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E2E" w:rsidP="00E216AA" w14:paraId="6B1DF5AB" w14:textId="61F3F98D">
      <w:pPr>
        <w:jc w:val="center"/>
      </w:pPr>
      <w:r w:rsidRPr="00086D6C">
        <w:t xml:space="preserve">UNITED STATES FOOD </w:t>
      </w:r>
      <w:r>
        <w:t xml:space="preserve">&amp; </w:t>
      </w:r>
      <w:r w:rsidRPr="00086D6C">
        <w:t>DRUG ADMINISTRATION</w:t>
      </w:r>
      <w:r w:rsidRPr="00086D6C" w:rsidR="00B27998">
        <w:t xml:space="preserve"> </w:t>
      </w:r>
    </w:p>
    <w:p w:rsidR="002D628E" w:rsidRPr="00086D6C" w:rsidP="00E216AA" w14:paraId="73206120" w14:textId="77777777">
      <w:pPr>
        <w:jc w:val="center"/>
      </w:pPr>
    </w:p>
    <w:p w:rsidR="00111969" w:rsidP="00E216AA" w14:paraId="0FB66AFE" w14:textId="63FD76C9">
      <w:pPr>
        <w:jc w:val="center"/>
      </w:pPr>
      <w:r w:rsidRPr="00086D6C">
        <w:t>Nonprescription Drug Product With An Additional Condition For Nonprescription Use</w:t>
      </w:r>
    </w:p>
    <w:p w:rsidR="002D628E" w:rsidRPr="00086D6C" w:rsidP="00E216AA" w14:paraId="2FFF50AD" w14:textId="77777777">
      <w:pPr>
        <w:jc w:val="center"/>
      </w:pPr>
    </w:p>
    <w:p w:rsidR="008D4AC5" w:rsidP="00E216AA" w14:paraId="60D1EC95" w14:textId="0DC2DD4E">
      <w:pPr>
        <w:jc w:val="center"/>
        <w:rPr>
          <w:i/>
          <w:iCs/>
        </w:rPr>
      </w:pPr>
      <w:r w:rsidRPr="00086D6C">
        <w:t>OMB Control No</w:t>
      </w:r>
      <w:r w:rsidR="002052FD">
        <w:t>s</w:t>
      </w:r>
      <w:r w:rsidRPr="00086D6C">
        <w:t xml:space="preserve">. </w:t>
      </w:r>
      <w:r w:rsidR="009D3FB2">
        <w:t>0910-</w:t>
      </w:r>
      <w:r w:rsidR="00FB76D8">
        <w:t>0001 and 0910-0340 - Revisio</w:t>
      </w:r>
      <w:r w:rsidR="00AF4580">
        <w:t>n</w:t>
      </w:r>
    </w:p>
    <w:p w:rsidR="0072218F" w:rsidRPr="00AF4580" w:rsidP="00E216AA" w14:paraId="25CC1FFF" w14:textId="66D82DA0">
      <w:pPr>
        <w:jc w:val="center"/>
      </w:pPr>
      <w:r>
        <w:t>RIN 0910-AH62</w:t>
      </w:r>
    </w:p>
    <w:p w:rsidR="008B4FBF" w:rsidRPr="00086D6C" w:rsidP="007958F4" w14:paraId="542D94C1" w14:textId="77777777"/>
    <w:p w:rsidR="00C64072" w:rsidP="00E216AA" w14:paraId="695CEAF1" w14:textId="23E58C67">
      <w:pPr>
        <w:jc w:val="center"/>
      </w:pPr>
      <w:r w:rsidRPr="00086D6C">
        <w:t xml:space="preserve">SUPPORTING STATEMENT </w:t>
      </w:r>
    </w:p>
    <w:p w:rsidR="006A6158" w:rsidRPr="00086D6C" w:rsidP="00E216AA" w14:paraId="2BD4C112" w14:textId="77777777">
      <w:pPr>
        <w:jc w:val="center"/>
      </w:pPr>
    </w:p>
    <w:p w:rsidR="00B27998" w:rsidRPr="00193823" w:rsidP="00D82FEC" w14:paraId="64334DD7" w14:textId="4DFF3D15">
      <w:r w:rsidRPr="00086D6C">
        <w:rPr>
          <w:b/>
          <w:bCs/>
        </w:rPr>
        <w:t xml:space="preserve">Part A: </w:t>
      </w:r>
      <w:r w:rsidRPr="00086D6C" w:rsidR="00144B96">
        <w:rPr>
          <w:b/>
          <w:bCs/>
        </w:rPr>
        <w:t xml:space="preserve"> </w:t>
      </w:r>
      <w:r w:rsidRPr="00086D6C">
        <w:rPr>
          <w:b/>
          <w:bCs/>
        </w:rPr>
        <w:t>Justification</w:t>
      </w:r>
      <w:r w:rsidR="00193823">
        <w:t>:</w:t>
      </w:r>
    </w:p>
    <w:p w:rsidR="00B27998" w:rsidRPr="00086D6C" w:rsidP="00D82FEC" w14:paraId="1F3E1A75" w14:textId="77777777">
      <w:pPr>
        <w:pStyle w:val="BodyText"/>
        <w:kinsoku w:val="0"/>
        <w:overflowPunct w:val="0"/>
        <w:ind w:left="0"/>
        <w:rPr>
          <w:b/>
          <w:bCs/>
        </w:rPr>
      </w:pPr>
    </w:p>
    <w:p w:rsidR="005F6E5C" w:rsidRPr="00086D6C" w:rsidP="009B70B4" w14:paraId="7BF83204" w14:textId="77777777">
      <w:pPr>
        <w:widowControl/>
        <w:numPr>
          <w:ilvl w:val="0"/>
          <w:numId w:val="3"/>
        </w:numPr>
        <w:autoSpaceDE/>
        <w:autoSpaceDN/>
        <w:adjustRightInd/>
        <w:spacing w:after="200" w:line="276" w:lineRule="auto"/>
        <w:rPr>
          <w:rFonts w:eastAsia="Calibri"/>
        </w:rPr>
      </w:pPr>
      <w:r w:rsidRPr="00086D6C">
        <w:rPr>
          <w:rFonts w:eastAsia="Calibri"/>
          <w:u w:val="single"/>
        </w:rPr>
        <w:t>Circumstances Making the Collection of Information Necessary</w:t>
      </w:r>
    </w:p>
    <w:p w:rsidR="00D80101" w:rsidP="009B70B4" w14:paraId="2F4DD9AB" w14:textId="484008DE">
      <w:pPr>
        <w:widowControl/>
        <w:spacing w:after="200"/>
      </w:pPr>
      <w:r w:rsidRPr="00086D6C">
        <w:t>This</w:t>
      </w:r>
      <w:r w:rsidRPr="00086D6C">
        <w:rPr>
          <w:spacing w:val="-7"/>
        </w:rPr>
        <w:t xml:space="preserve"> </w:t>
      </w:r>
      <w:r w:rsidR="002D0755">
        <w:rPr>
          <w:spacing w:val="-7"/>
        </w:rPr>
        <w:t xml:space="preserve">request </w:t>
      </w:r>
      <w:r w:rsidR="00A36692">
        <w:rPr>
          <w:spacing w:val="-1"/>
        </w:rPr>
        <w:t xml:space="preserve">is being submitted in </w:t>
      </w:r>
      <w:r w:rsidR="004E392A">
        <w:rPr>
          <w:spacing w:val="-1"/>
        </w:rPr>
        <w:t xml:space="preserve">support of agency </w:t>
      </w:r>
      <w:r w:rsidR="008C3775">
        <w:rPr>
          <w:spacing w:val="-1"/>
        </w:rPr>
        <w:t xml:space="preserve">rulemaking in </w:t>
      </w:r>
      <w:r w:rsidR="00A36692">
        <w:rPr>
          <w:spacing w:val="-1"/>
        </w:rPr>
        <w:t>accordance with 5 CFR 1320.11</w:t>
      </w:r>
      <w:r w:rsidR="008D4C01">
        <w:rPr>
          <w:rFonts w:ascii="Open Sans" w:hAnsi="Open Sans" w:cs="Open Sans"/>
          <w:sz w:val="21"/>
          <w:szCs w:val="21"/>
          <w:lang w:val="en"/>
        </w:rPr>
        <w:t>.</w:t>
      </w:r>
      <w:r w:rsidR="004013B7">
        <w:rPr>
          <w:rFonts w:ascii="Open Sans" w:hAnsi="Open Sans" w:cs="Open Sans"/>
          <w:sz w:val="21"/>
          <w:szCs w:val="21"/>
          <w:lang w:val="en"/>
        </w:rPr>
        <w:t xml:space="preserve"> </w:t>
      </w:r>
      <w:r w:rsidR="00EB2ECE">
        <w:t xml:space="preserve">Agency </w:t>
      </w:r>
      <w:r w:rsidR="008A269E">
        <w:t>r</w:t>
      </w:r>
      <w:r w:rsidRPr="00086D6C">
        <w:t>egulations</w:t>
      </w:r>
      <w:r w:rsidRPr="00086D6C">
        <w:rPr>
          <w:spacing w:val="-6"/>
        </w:rPr>
        <w:t xml:space="preserve"> </w:t>
      </w:r>
      <w:r w:rsidRPr="00086D6C">
        <w:t>regarding</w:t>
      </w:r>
      <w:r w:rsidRPr="00086D6C">
        <w:rPr>
          <w:spacing w:val="-6"/>
        </w:rPr>
        <w:t xml:space="preserve"> </w:t>
      </w:r>
      <w:r w:rsidRPr="00086D6C">
        <w:t>the</w:t>
      </w:r>
      <w:r w:rsidRPr="00086D6C">
        <w:rPr>
          <w:spacing w:val="-6"/>
        </w:rPr>
        <w:t xml:space="preserve"> </w:t>
      </w:r>
      <w:r w:rsidRPr="00086D6C">
        <w:rPr>
          <w:spacing w:val="-1"/>
        </w:rPr>
        <w:t>approval</w:t>
      </w:r>
      <w:r w:rsidRPr="00086D6C">
        <w:rPr>
          <w:spacing w:val="-6"/>
        </w:rPr>
        <w:t xml:space="preserve"> </w:t>
      </w:r>
      <w:r w:rsidRPr="00086D6C">
        <w:rPr>
          <w:spacing w:val="-1"/>
        </w:rPr>
        <w:t>of</w:t>
      </w:r>
      <w:r w:rsidRPr="00086D6C">
        <w:rPr>
          <w:spacing w:val="-6"/>
        </w:rPr>
        <w:t xml:space="preserve"> </w:t>
      </w:r>
      <w:r w:rsidRPr="00086D6C">
        <w:rPr>
          <w:spacing w:val="-1"/>
        </w:rPr>
        <w:t>new</w:t>
      </w:r>
      <w:r w:rsidRPr="00086D6C">
        <w:rPr>
          <w:spacing w:val="-6"/>
        </w:rPr>
        <w:t xml:space="preserve"> </w:t>
      </w:r>
      <w:r w:rsidRPr="00086D6C">
        <w:rPr>
          <w:spacing w:val="-1"/>
        </w:rPr>
        <w:t>drug</w:t>
      </w:r>
      <w:r w:rsidRPr="00086D6C">
        <w:rPr>
          <w:spacing w:val="-6"/>
        </w:rPr>
        <w:t xml:space="preserve"> </w:t>
      </w:r>
      <w:r w:rsidRPr="00086D6C">
        <w:t>applications</w:t>
      </w:r>
      <w:r w:rsidRPr="00086D6C">
        <w:rPr>
          <w:spacing w:val="-5"/>
        </w:rPr>
        <w:t xml:space="preserve"> </w:t>
      </w:r>
      <w:r w:rsidRPr="00086D6C">
        <w:t>are</w:t>
      </w:r>
      <w:r w:rsidRPr="00086D6C">
        <w:rPr>
          <w:spacing w:val="-5"/>
        </w:rPr>
        <w:t xml:space="preserve"> </w:t>
      </w:r>
      <w:r w:rsidRPr="00086D6C">
        <w:t>codified</w:t>
      </w:r>
      <w:r w:rsidRPr="00086D6C">
        <w:rPr>
          <w:spacing w:val="-6"/>
        </w:rPr>
        <w:t xml:space="preserve"> </w:t>
      </w:r>
      <w:r w:rsidR="00EB7E45">
        <w:rPr>
          <w:spacing w:val="-6"/>
        </w:rPr>
        <w:t xml:space="preserve">in </w:t>
      </w:r>
      <w:r w:rsidRPr="00086D6C">
        <w:t>21</w:t>
      </w:r>
      <w:r w:rsidRPr="00086D6C">
        <w:rPr>
          <w:spacing w:val="-5"/>
        </w:rPr>
        <w:t xml:space="preserve"> </w:t>
      </w:r>
      <w:r w:rsidRPr="00086D6C">
        <w:t>CFR</w:t>
      </w:r>
      <w:r w:rsidRPr="00086D6C">
        <w:rPr>
          <w:spacing w:val="-5"/>
        </w:rPr>
        <w:t xml:space="preserve"> </w:t>
      </w:r>
      <w:r w:rsidR="001C1055">
        <w:rPr>
          <w:spacing w:val="-1"/>
        </w:rPr>
        <w:t>p</w:t>
      </w:r>
      <w:r w:rsidRPr="00086D6C">
        <w:rPr>
          <w:spacing w:val="-1"/>
        </w:rPr>
        <w:t>art</w:t>
      </w:r>
      <w:r w:rsidRPr="00086D6C">
        <w:rPr>
          <w:spacing w:val="20"/>
          <w:w w:val="99"/>
        </w:rPr>
        <w:t xml:space="preserve"> </w:t>
      </w:r>
      <w:r w:rsidRPr="00086D6C">
        <w:t>314</w:t>
      </w:r>
      <w:r w:rsidR="0072218F">
        <w:rPr>
          <w:spacing w:val="-6"/>
        </w:rPr>
        <w:t xml:space="preserve">; regulations </w:t>
      </w:r>
      <w:r w:rsidR="00FB76D8">
        <w:rPr>
          <w:spacing w:val="-6"/>
        </w:rPr>
        <w:t xml:space="preserve">regarding labeling for </w:t>
      </w:r>
      <w:r w:rsidR="0072218F">
        <w:rPr>
          <w:spacing w:val="-6"/>
        </w:rPr>
        <w:t xml:space="preserve">drugs are codified </w:t>
      </w:r>
      <w:r w:rsidR="00EB7E45">
        <w:rPr>
          <w:spacing w:val="-6"/>
        </w:rPr>
        <w:t xml:space="preserve">in </w:t>
      </w:r>
      <w:r w:rsidR="0072218F">
        <w:rPr>
          <w:spacing w:val="-6"/>
        </w:rPr>
        <w:t>21 CFR part 201</w:t>
      </w:r>
      <w:r w:rsidR="00FB76D8">
        <w:rPr>
          <w:spacing w:val="-6"/>
        </w:rPr>
        <w:t>, and include regulations governing the format and content of labeling for nonprescription products in subpart C</w:t>
      </w:r>
      <w:r w:rsidRPr="00086D6C" w:rsidR="00B54C0A">
        <w:t xml:space="preserve">. </w:t>
      </w:r>
      <w:r w:rsidRPr="00086D6C" w:rsidR="00A45C31">
        <w:t xml:space="preserve">The regulations amend the new drug application (NDA) </w:t>
      </w:r>
      <w:r w:rsidRPr="00086D6C" w:rsidR="00320A93">
        <w:t xml:space="preserve">and </w:t>
      </w:r>
      <w:r w:rsidRPr="00086D6C" w:rsidR="008E0255">
        <w:t>abbreviated new drug</w:t>
      </w:r>
      <w:r w:rsidRPr="00086D6C" w:rsidR="00C737C3">
        <w:t xml:space="preserve"> application</w:t>
      </w:r>
      <w:r w:rsidRPr="00086D6C" w:rsidR="008E0255">
        <w:t xml:space="preserve"> (ANDA) </w:t>
      </w:r>
      <w:r w:rsidRPr="00086D6C" w:rsidR="00A45C31">
        <w:t xml:space="preserve">regulations to </w:t>
      </w:r>
      <w:r w:rsidRPr="00086D6C">
        <w:t xml:space="preserve">establish requirements for a nonprescription drug product with an additional condition for nonprescription use (ACNU).  </w:t>
      </w:r>
      <w:r w:rsidR="00FB76D8">
        <w:t xml:space="preserve">The regulations also amend labeling requirements applicable to these products.  </w:t>
      </w:r>
      <w:r w:rsidRPr="00086D6C">
        <w:t xml:space="preserve">The </w:t>
      </w:r>
      <w:r w:rsidR="004A1811">
        <w:t>final</w:t>
      </w:r>
      <w:r w:rsidRPr="00086D6C" w:rsidR="004A1811">
        <w:t xml:space="preserve"> </w:t>
      </w:r>
      <w:r w:rsidRPr="00086D6C">
        <w:t>rule establish</w:t>
      </w:r>
      <w:r w:rsidR="004A1811">
        <w:t>es the</w:t>
      </w:r>
      <w:r w:rsidRPr="00086D6C">
        <w:t xml:space="preserve"> requirements for a nonprescription drug product that has an additional </w:t>
      </w:r>
      <w:r w:rsidRPr="00086D6C" w:rsidR="000027DF">
        <w:t xml:space="preserve">requirement </w:t>
      </w:r>
      <w:r w:rsidRPr="00086D6C">
        <w:t xml:space="preserve">that an applicant must implement to ensure appropriate self-selection or appropriate actual use, or both, by consumers without the supervision of a healthcare practitioner.  </w:t>
      </w:r>
      <w:r w:rsidRPr="00086D6C" w:rsidR="00A314DB">
        <w:t>We therefore request OMB approv</w:t>
      </w:r>
      <w:r w:rsidR="00A314DB">
        <w:t>al of</w:t>
      </w:r>
      <w:r w:rsidRPr="00086D6C" w:rsidR="00A314DB">
        <w:t xml:space="preserve"> the information collection associated with </w:t>
      </w:r>
      <w:r w:rsidR="00A314DB">
        <w:t xml:space="preserve">the </w:t>
      </w:r>
      <w:r w:rsidR="004A1811">
        <w:t xml:space="preserve">final </w:t>
      </w:r>
      <w:r w:rsidR="00A314DB">
        <w:t>rule.</w:t>
      </w:r>
    </w:p>
    <w:p w:rsidR="00A1150E" w:rsidRPr="00086D6C" w:rsidP="007E5A9A" w14:paraId="5BFC15BA" w14:textId="3ECC08C0">
      <w:pPr>
        <w:keepNext/>
        <w:widowControl/>
        <w:numPr>
          <w:ilvl w:val="0"/>
          <w:numId w:val="3"/>
        </w:numPr>
        <w:autoSpaceDE/>
        <w:autoSpaceDN/>
        <w:adjustRightInd/>
        <w:spacing w:after="200" w:line="276" w:lineRule="auto"/>
        <w:rPr>
          <w:rFonts w:eastAsia="Calibri"/>
          <w:u w:val="single"/>
        </w:rPr>
      </w:pPr>
      <w:r w:rsidRPr="00A314DB">
        <w:rPr>
          <w:u w:val="single"/>
        </w:rPr>
        <w:t>Purpose</w:t>
      </w:r>
      <w:r w:rsidRPr="00086D6C">
        <w:rPr>
          <w:rFonts w:eastAsia="Calibri"/>
          <w:u w:val="single"/>
        </w:rPr>
        <w:t xml:space="preserve"> and Use of the Information Collection </w:t>
      </w:r>
    </w:p>
    <w:p w:rsidR="00B27998" w:rsidRPr="00086D6C" w:rsidP="009B70B4" w14:paraId="6B836872" w14:textId="327CC780">
      <w:pPr>
        <w:pStyle w:val="BodyText"/>
        <w:kinsoku w:val="0"/>
        <w:overflowPunct w:val="0"/>
        <w:spacing w:after="200"/>
        <w:ind w:left="0"/>
      </w:pPr>
      <w:r w:rsidRPr="00EB7E45">
        <w:t xml:space="preserve">The </w:t>
      </w:r>
      <w:r w:rsidR="00884059">
        <w:t>final</w:t>
      </w:r>
      <w:r w:rsidRPr="00EB7E45" w:rsidR="00884059">
        <w:t xml:space="preserve"> </w:t>
      </w:r>
      <w:r w:rsidRPr="00EB7E45">
        <w:t xml:space="preserve">rule is intended to increase </w:t>
      </w:r>
      <w:r w:rsidR="00884059">
        <w:t>options for applicants to develop and market</w:t>
      </w:r>
      <w:r w:rsidRPr="00EB7E45">
        <w:t xml:space="preserve"> of safe and effective nonprescription drug products, which could improve public health by broadening the types of </w:t>
      </w:r>
      <w:r w:rsidR="00884059">
        <w:t xml:space="preserve">nonprescription </w:t>
      </w:r>
      <w:r w:rsidRPr="00EB7E45">
        <w:t>drug products</w:t>
      </w:r>
      <w:r w:rsidR="00884059">
        <w:t xml:space="preserve"> available to consumers</w:t>
      </w:r>
      <w:r w:rsidRPr="00EB7E45">
        <w:t xml:space="preserve">.  The action, if finalized, will codify requirements for a nonprescription drug product with an ACNU. </w:t>
      </w:r>
      <w:r>
        <w:t xml:space="preserve"> </w:t>
      </w:r>
      <w:r w:rsidRPr="00086D6C">
        <w:t xml:space="preserve">These regulations are also intended to establish an effective system for </w:t>
      </w:r>
      <w:r w:rsidR="005449FB">
        <w:t>FDA’</w:t>
      </w:r>
      <w:r w:rsidRPr="00086D6C">
        <w:t xml:space="preserve">s surveillance of marketed drugs. </w:t>
      </w:r>
      <w:r w:rsidR="00B627C7">
        <w:t xml:space="preserve"> W</w:t>
      </w:r>
      <w:r w:rsidRPr="00086D6C">
        <w:t>ithout the information provided by respondents regarding the drug products they seek to market, we would not be able to adequately protect the public health by assuring</w:t>
      </w:r>
      <w:r w:rsidRPr="00086D6C" w:rsidR="00046B55">
        <w:t xml:space="preserve"> their safety and efficacy.</w:t>
      </w:r>
    </w:p>
    <w:p w:rsidR="000542D0" w:rsidP="009B70B4" w14:paraId="4742282E" w14:textId="77FE4C4B">
      <w:pPr>
        <w:pStyle w:val="BodyText"/>
        <w:kinsoku w:val="0"/>
        <w:overflowPunct w:val="0"/>
        <w:spacing w:after="200"/>
        <w:ind w:left="0"/>
      </w:pPr>
      <w:r w:rsidRPr="00086D6C">
        <w:t>For nonprescription products with an ACNU, t</w:t>
      </w:r>
      <w:r w:rsidRPr="00086D6C" w:rsidR="00B54C0A">
        <w:t>he</w:t>
      </w:r>
      <w:r w:rsidRPr="00086D6C">
        <w:t xml:space="preserve"> </w:t>
      </w:r>
      <w:r w:rsidRPr="00086D6C">
        <w:t>regulations</w:t>
      </w:r>
      <w:r w:rsidRPr="00086D6C">
        <w:t xml:space="preserve"> will provide the information necessary for </w:t>
      </w:r>
      <w:r w:rsidRPr="00086D6C" w:rsidR="000145FA">
        <w:t>FDA</w:t>
      </w:r>
      <w:r w:rsidRPr="00086D6C" w:rsidR="00B30AB2">
        <w:t xml:space="preserve"> </w:t>
      </w:r>
      <w:r w:rsidRPr="00086D6C">
        <w:t xml:space="preserve">to approve an NDA or ANDA for a nonprescription drug </w:t>
      </w:r>
      <w:r w:rsidR="00F23053">
        <w:t>for</w:t>
      </w:r>
      <w:r w:rsidRPr="00086D6C" w:rsidR="00F23053">
        <w:t xml:space="preserve"> </w:t>
      </w:r>
      <w:r w:rsidRPr="00086D6C">
        <w:t xml:space="preserve">which labeling alone is not sufficient to ensure that the consumer can appropriately self-select or use a drug product safely </w:t>
      </w:r>
      <w:r w:rsidRPr="00086D6C" w:rsidR="000145FA">
        <w:t>and</w:t>
      </w:r>
      <w:r w:rsidRPr="00086D6C">
        <w:t xml:space="preserve"> effectively in a nonprescription setting.  FDA approval of an NDA or ANDA for a nonprescription drug product with an ACNU will improve public health by </w:t>
      </w:r>
      <w:r w:rsidRPr="00086D6C">
        <w:t xml:space="preserve">expanding </w:t>
      </w:r>
      <w:r w:rsidRPr="00086D6C">
        <w:t>the types of drug products consumers can access and use</w:t>
      </w:r>
      <w:r w:rsidRPr="00086D6C">
        <w:t xml:space="preserve"> </w:t>
      </w:r>
      <w:r w:rsidRPr="00086D6C">
        <w:t>over</w:t>
      </w:r>
      <w:r w:rsidR="00FD4A20">
        <w:t>-</w:t>
      </w:r>
      <w:r w:rsidRPr="00086D6C">
        <w:t>the</w:t>
      </w:r>
      <w:r w:rsidR="00FD4A20">
        <w:t>-</w:t>
      </w:r>
      <w:r w:rsidRPr="00086D6C">
        <w:t>counter</w:t>
      </w:r>
      <w:r w:rsidRPr="00086D6C">
        <w:t xml:space="preserve"> that would otherwise only be available by prescription.</w:t>
      </w:r>
    </w:p>
    <w:p w:rsidR="00CA051D" w:rsidRPr="00086D6C" w:rsidP="009B70B4" w14:paraId="1646657D" w14:textId="77777777">
      <w:pPr>
        <w:pStyle w:val="BodyText"/>
        <w:kinsoku w:val="0"/>
        <w:overflowPunct w:val="0"/>
        <w:spacing w:after="200"/>
        <w:ind w:left="0"/>
      </w:pPr>
    </w:p>
    <w:p w:rsidR="0059723B" w:rsidRPr="00086D6C" w:rsidP="009B70B4" w14:paraId="6083E8C9"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Use of Improved Information Technology and Burden Reduction</w:t>
      </w:r>
    </w:p>
    <w:p w:rsidR="00B27998" w:rsidRPr="00086D6C" w:rsidP="009B70B4" w14:paraId="0396B023" w14:textId="1158A54A">
      <w:pPr>
        <w:pStyle w:val="BodyText"/>
        <w:kinsoku w:val="0"/>
        <w:overflowPunct w:val="0"/>
        <w:spacing w:after="200"/>
        <w:ind w:left="0"/>
      </w:pPr>
      <w:r>
        <w:t>E</w:t>
      </w:r>
      <w:r w:rsidRPr="00086D6C">
        <w:t xml:space="preserve">lectronic submission of </w:t>
      </w:r>
      <w:r>
        <w:t xml:space="preserve">the </w:t>
      </w:r>
      <w:r w:rsidRPr="00086D6C">
        <w:t>information</w:t>
      </w:r>
      <w:r>
        <w:t xml:space="preserve"> is </w:t>
      </w:r>
      <w:r w:rsidRPr="00086D6C">
        <w:t>required under</w:t>
      </w:r>
      <w:r w:rsidR="00276D28">
        <w:t xml:space="preserve"> </w:t>
      </w:r>
      <w:r>
        <w:t xml:space="preserve">21 CFR </w:t>
      </w:r>
      <w:r w:rsidRPr="00086D6C">
        <w:t>part 314</w:t>
      </w:r>
      <w:r w:rsidRPr="00086D6C" w:rsidR="0095617F">
        <w:t xml:space="preserve"> for approval of nonprescription drug products with ACNU.</w:t>
      </w:r>
      <w:r w:rsidRPr="00086D6C">
        <w:t xml:space="preserve"> </w:t>
      </w:r>
    </w:p>
    <w:p w:rsidR="00AF53FA" w:rsidRPr="00086D6C" w:rsidP="009B70B4" w14:paraId="35A6276F"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Efforts to Identify Duplication and Use of Similar Information </w:t>
      </w:r>
    </w:p>
    <w:p w:rsidR="00B27998" w:rsidRPr="00086D6C" w:rsidP="00D82FEC" w14:paraId="3B9B0496" w14:textId="71C1CE6E">
      <w:pPr>
        <w:pStyle w:val="BodyText"/>
        <w:kinsoku w:val="0"/>
        <w:overflowPunct w:val="0"/>
        <w:spacing w:after="200"/>
        <w:ind w:left="0"/>
      </w:pPr>
      <w:r>
        <w:t>We are unaware of</w:t>
      </w:r>
      <w:r w:rsidRPr="00086D6C" w:rsidR="00B54C0A">
        <w:t xml:space="preserve"> </w:t>
      </w:r>
      <w:r w:rsidRPr="00086D6C">
        <w:t>duplicative information collection</w:t>
      </w:r>
      <w:r w:rsidRPr="00086D6C" w:rsidR="005F1DA2">
        <w:t>.</w:t>
      </w:r>
      <w:r>
        <w:t xml:space="preserve">  Upon finalization of the rule, the information collection provisions will revise currently approved OMB </w:t>
      </w:r>
      <w:r w:rsidR="00410F51">
        <w:t>C</w:t>
      </w:r>
      <w:r>
        <w:t xml:space="preserve">ontrol </w:t>
      </w:r>
      <w:r w:rsidR="00410F51">
        <w:t>N</w:t>
      </w:r>
      <w:r>
        <w:t>os. 0910-0001 (Applications for FDA Approval to Market a New Drug) and 0910-0340 (</w:t>
      </w:r>
      <w:r w:rsidRPr="00843C3F">
        <w:t>Format and Content Requirements for Over-the-Counter Drug Product Labeling</w:t>
      </w:r>
      <w:r>
        <w:t>).</w:t>
      </w:r>
    </w:p>
    <w:p w:rsidR="00CF2607" w:rsidRPr="00086D6C" w:rsidP="009B70B4" w14:paraId="29D4B145" w14:textId="77777777">
      <w:pPr>
        <w:widowControl/>
        <w:numPr>
          <w:ilvl w:val="0"/>
          <w:numId w:val="3"/>
        </w:numPr>
        <w:autoSpaceDE/>
        <w:autoSpaceDN/>
        <w:adjustRightInd/>
        <w:spacing w:after="200" w:line="276" w:lineRule="auto"/>
        <w:rPr>
          <w:rFonts w:eastAsia="Calibri"/>
        </w:rPr>
      </w:pPr>
      <w:r w:rsidRPr="00086D6C">
        <w:rPr>
          <w:rFonts w:eastAsia="Calibri"/>
          <w:u w:val="single"/>
        </w:rPr>
        <w:t>Impact on Small Businesses or Other Small Entities</w:t>
      </w:r>
    </w:p>
    <w:p w:rsidR="004808EE" w:rsidRPr="00F50E23" w:rsidP="00D82FEC" w14:paraId="7AC19627" w14:textId="33195576">
      <w:pPr>
        <w:spacing w:after="200"/>
      </w:pPr>
      <w:r>
        <w:t>We do not believe the information collection pose</w:t>
      </w:r>
      <w:r w:rsidR="004223B0">
        <w:t>s</w:t>
      </w:r>
      <w:r>
        <w:t xml:space="preserve"> undue burden on small entities.  </w:t>
      </w:r>
      <w:r w:rsidR="00AD52FD">
        <w:t xml:space="preserve">At the same time, </w:t>
      </w:r>
      <w:r w:rsidRPr="00C05233" w:rsidR="00B27998">
        <w:t>FDA</w:t>
      </w:r>
      <w:r w:rsidRPr="00D82FEC" w:rsidR="00B27998">
        <w:t xml:space="preserve"> </w:t>
      </w:r>
      <w:r w:rsidRPr="00C05233" w:rsidR="00B27998">
        <w:t>has</w:t>
      </w:r>
      <w:r w:rsidRPr="00D82FEC" w:rsidR="00B27998">
        <w:t xml:space="preserve"> </w:t>
      </w:r>
      <w:r w:rsidRPr="00C05233" w:rsidR="00B27998">
        <w:t>established</w:t>
      </w:r>
      <w:r w:rsidRPr="00D82FEC" w:rsidR="00B27998">
        <w:t xml:space="preserve"> </w:t>
      </w:r>
      <w:r w:rsidRPr="00C05233" w:rsidR="00B27998">
        <w:t>various</w:t>
      </w:r>
      <w:r w:rsidRPr="00D82FEC" w:rsidR="00B27998">
        <w:t xml:space="preserve"> </w:t>
      </w:r>
      <w:r w:rsidRPr="00C05233" w:rsidR="00B27998">
        <w:t>agency</w:t>
      </w:r>
      <w:r w:rsidRPr="00D82FEC" w:rsidR="00B27998">
        <w:t xml:space="preserve"> components </w:t>
      </w:r>
      <w:r w:rsidRPr="00C05233" w:rsidR="00B27998">
        <w:t>to</w:t>
      </w:r>
      <w:r w:rsidRPr="00D82FEC" w:rsidR="00B27998">
        <w:t xml:space="preserve"> </w:t>
      </w:r>
      <w:r w:rsidRPr="00C05233" w:rsidR="00B27998">
        <w:t>assist</w:t>
      </w:r>
      <w:r w:rsidRPr="00D82FEC" w:rsidR="00B27998">
        <w:t xml:space="preserve"> small </w:t>
      </w:r>
      <w:r w:rsidRPr="00C05233" w:rsidR="00B27998">
        <w:t>businesses</w:t>
      </w:r>
      <w:r w:rsidRPr="00D82FEC" w:rsidR="00B27998">
        <w:t xml:space="preserve"> </w:t>
      </w:r>
      <w:r w:rsidRPr="00C05233" w:rsidR="00B27998">
        <w:t>in</w:t>
      </w:r>
      <w:r w:rsidRPr="00D82FEC" w:rsidR="00B27998">
        <w:t xml:space="preserve"> complying </w:t>
      </w:r>
      <w:r w:rsidRPr="00C05233" w:rsidR="00B27998">
        <w:t>with</w:t>
      </w:r>
      <w:r w:rsidRPr="00D82FEC" w:rsidR="00B27998">
        <w:t xml:space="preserve"> </w:t>
      </w:r>
      <w:r w:rsidRPr="00C05233" w:rsidR="00B27998">
        <w:t>our</w:t>
      </w:r>
      <w:r w:rsidRPr="00D82FEC" w:rsidR="00B27998">
        <w:t xml:space="preserve"> </w:t>
      </w:r>
      <w:r w:rsidRPr="00C05233" w:rsidR="00B27998">
        <w:t>regulations</w:t>
      </w:r>
      <w:r w:rsidRPr="00D82FEC">
        <w:t xml:space="preserve">. </w:t>
      </w:r>
      <w:r>
        <w:t xml:space="preserve"> </w:t>
      </w:r>
      <w:r w:rsidRPr="00C05233" w:rsidR="00B27998">
        <w:t>Contact</w:t>
      </w:r>
      <w:r w:rsidRPr="00D82FEC" w:rsidR="00B27998">
        <w:t xml:space="preserve"> information may </w:t>
      </w:r>
      <w:r w:rsidRPr="00C05233" w:rsidR="00B27998">
        <w:t>be</w:t>
      </w:r>
      <w:r w:rsidRPr="00D82FEC" w:rsidR="00B27998">
        <w:t xml:space="preserve"> </w:t>
      </w:r>
      <w:r w:rsidRPr="00C05233" w:rsidR="00B27998">
        <w:t>found</w:t>
      </w:r>
      <w:r w:rsidRPr="00D82FEC" w:rsidR="00B27998">
        <w:t xml:space="preserve"> </w:t>
      </w:r>
      <w:r w:rsidRPr="00C05233" w:rsidR="00B27998">
        <w:t>on</w:t>
      </w:r>
      <w:r w:rsidRPr="00D82FEC" w:rsidR="00B27998">
        <w:t xml:space="preserve"> </w:t>
      </w:r>
      <w:r w:rsidRPr="00C05233" w:rsidR="00B27998">
        <w:t>our</w:t>
      </w:r>
      <w:r w:rsidRPr="00D82FEC" w:rsidR="00B27998">
        <w:t xml:space="preserve"> </w:t>
      </w:r>
      <w:r w:rsidRPr="00C05233" w:rsidR="00B27998">
        <w:t>website</w:t>
      </w:r>
      <w:r w:rsidRPr="00D82FEC" w:rsidR="00B27998">
        <w:t xml:space="preserve"> </w:t>
      </w:r>
      <w:r w:rsidRPr="00C05233" w:rsidR="00B27998">
        <w:t>at</w:t>
      </w:r>
      <w:r w:rsidRPr="00D82FEC" w:rsidR="00B27998">
        <w:t xml:space="preserve"> </w:t>
      </w:r>
      <w:hyperlink r:id="rId8" w:history="1">
        <w:r w:rsidRPr="004808EE">
          <w:rPr>
            <w:color w:val="000000"/>
            <w:spacing w:val="-1"/>
          </w:rPr>
          <w:t>https://www.fda.gov/industry/small-business-assistance</w:t>
        </w:r>
      </w:hyperlink>
      <w:r w:rsidRPr="00FA50D4" w:rsidR="00EA63A1">
        <w:t>.</w:t>
      </w:r>
    </w:p>
    <w:p w:rsidR="008A7665" w:rsidRPr="00086D6C" w:rsidP="009B70B4" w14:paraId="132ABA7E"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Consequences of Collecting the Information Less Frequently</w:t>
      </w:r>
    </w:p>
    <w:p w:rsidR="000A497A" w:rsidRPr="00086D6C" w:rsidP="00D82FEC" w14:paraId="51F67009" w14:textId="6DF06150">
      <w:pPr>
        <w:pStyle w:val="BodyText"/>
        <w:kinsoku w:val="0"/>
        <w:overflowPunct w:val="0"/>
        <w:spacing w:after="200"/>
        <w:ind w:left="0"/>
      </w:pPr>
      <w:r w:rsidRPr="00086D6C">
        <w:t xml:space="preserve">The </w:t>
      </w:r>
      <w:r w:rsidRPr="00086D6C" w:rsidR="05615449">
        <w:t>i</w:t>
      </w:r>
      <w:r w:rsidRPr="00086D6C" w:rsidR="00B27998">
        <w:t xml:space="preserve">nformation collection schedule is consistent with statutory </w:t>
      </w:r>
      <w:r w:rsidR="00521D65">
        <w:t xml:space="preserve">and regulatory </w:t>
      </w:r>
      <w:r w:rsidRPr="00086D6C" w:rsidR="00B27998">
        <w:t>requirements</w:t>
      </w:r>
      <w:r w:rsidRPr="00086D6C" w:rsidR="008304CB">
        <w:t>.</w:t>
      </w:r>
    </w:p>
    <w:p w:rsidR="003D581F" w:rsidRPr="00086D6C" w:rsidP="009B70B4" w14:paraId="0001D92A" w14:textId="77777777">
      <w:pPr>
        <w:widowControl/>
        <w:numPr>
          <w:ilvl w:val="0"/>
          <w:numId w:val="3"/>
        </w:numPr>
        <w:autoSpaceDE/>
        <w:autoSpaceDN/>
        <w:adjustRightInd/>
        <w:spacing w:after="200" w:line="276" w:lineRule="auto"/>
        <w:rPr>
          <w:rFonts w:eastAsia="Calibri"/>
        </w:rPr>
      </w:pPr>
      <w:r w:rsidRPr="00086D6C">
        <w:rPr>
          <w:rFonts w:eastAsia="Calibri"/>
          <w:u w:val="single"/>
        </w:rPr>
        <w:t>Special Circumstances Relating to the Guidelines of 5 CFR 1320.5</w:t>
      </w:r>
    </w:p>
    <w:p w:rsidR="00B27998" w:rsidRPr="00086D6C" w:rsidP="009B70B4" w14:paraId="0215F950" w14:textId="70A967E6">
      <w:pPr>
        <w:pStyle w:val="BodyText"/>
        <w:kinsoku w:val="0"/>
        <w:overflowPunct w:val="0"/>
        <w:spacing w:after="200"/>
        <w:ind w:left="0"/>
      </w:pPr>
      <w:r w:rsidRPr="00086D6C">
        <w:t>No special circumstances are applicable to this information collection</w:t>
      </w:r>
      <w:r w:rsidR="009F650D">
        <w:t>.</w:t>
      </w:r>
    </w:p>
    <w:p w:rsidR="00F5045C" w:rsidRPr="00086D6C" w:rsidP="009B70B4" w14:paraId="22B2C52E" w14:textId="77777777">
      <w:pPr>
        <w:widowControl/>
        <w:numPr>
          <w:ilvl w:val="0"/>
          <w:numId w:val="3"/>
        </w:numPr>
        <w:autoSpaceDE/>
        <w:autoSpaceDN/>
        <w:adjustRightInd/>
        <w:spacing w:after="200" w:line="276" w:lineRule="auto"/>
        <w:rPr>
          <w:rFonts w:eastAsia="Calibri"/>
        </w:rPr>
      </w:pPr>
      <w:r w:rsidRPr="00086D6C">
        <w:rPr>
          <w:rFonts w:eastAsia="Calibri"/>
          <w:u w:val="single"/>
        </w:rPr>
        <w:t xml:space="preserve">Comments in Response to the </w:t>
      </w:r>
      <w:r w:rsidRPr="00D82FEC">
        <w:rPr>
          <w:rFonts w:eastAsia="Calibri"/>
          <w:i/>
          <w:iCs/>
          <w:u w:val="single"/>
        </w:rPr>
        <w:t>Federal Register</w:t>
      </w:r>
      <w:r w:rsidRPr="00086D6C">
        <w:rPr>
          <w:rFonts w:eastAsia="Calibri"/>
          <w:u w:val="single"/>
        </w:rPr>
        <w:t xml:space="preserve"> Notice and Efforts to Consult Outside the Agency</w:t>
      </w:r>
    </w:p>
    <w:p w:rsidR="00CE5AA5" w:rsidRPr="00086D6C" w:rsidP="009B70B4" w14:paraId="5344F16E" w14:textId="053DC34B">
      <w:pPr>
        <w:pStyle w:val="BodyText"/>
        <w:kinsoku w:val="0"/>
        <w:overflowPunct w:val="0"/>
        <w:spacing w:after="200"/>
        <w:ind w:left="0"/>
      </w:pPr>
      <w:r w:rsidRPr="00086D6C">
        <w:t xml:space="preserve">In accordance with </w:t>
      </w:r>
      <w:r w:rsidRPr="00D82FEC">
        <w:t>5 CFR</w:t>
      </w:r>
      <w:r w:rsidRPr="00086D6C">
        <w:t xml:space="preserve"> 1320.11, </w:t>
      </w:r>
      <w:r w:rsidR="008067C8">
        <w:t xml:space="preserve">FDA is </w:t>
      </w:r>
      <w:r w:rsidRPr="00086D6C">
        <w:t>provid</w:t>
      </w:r>
      <w:r w:rsidR="008067C8">
        <w:t xml:space="preserve">ing </w:t>
      </w:r>
      <w:r w:rsidRPr="00086D6C">
        <w:t xml:space="preserve">a 30-day public comment </w:t>
      </w:r>
      <w:r w:rsidR="008067C8">
        <w:t xml:space="preserve">period </w:t>
      </w:r>
      <w:r w:rsidRPr="00086D6C">
        <w:t xml:space="preserve">on the information collection. </w:t>
      </w:r>
      <w:r w:rsidR="00364F1A">
        <w:t xml:space="preserve"> </w:t>
      </w:r>
      <w:r w:rsidRPr="00364F1A" w:rsidR="00364F1A">
        <w:t xml:space="preserve">In the proposed rule, we sought comments on </w:t>
      </w:r>
      <w:r w:rsidR="00364F1A">
        <w:t>our</w:t>
      </w:r>
      <w:r w:rsidRPr="00364F1A" w:rsidR="00364F1A">
        <w:t xml:space="preserve"> analysis.  We did not receive any comments that were specific to our numeric hour burden estimates. However, we received numerous comments on the provisions of the proposed rule having to do with proposed requirements for applications, postmarketing reports, and labeling. Th</w:t>
      </w:r>
      <w:r w:rsidR="00364F1A">
        <w:t>e</w:t>
      </w:r>
      <w:r w:rsidRPr="00364F1A" w:rsidR="00364F1A">
        <w:t xml:space="preserve"> final rule contains comment summaries and responses for these comments in section V. E and F, and I through M.</w:t>
      </w:r>
      <w:r w:rsidR="002D2A6B">
        <w:t xml:space="preserve">  </w:t>
      </w:r>
      <w:r w:rsidRPr="002D2A6B" w:rsidR="002D2A6B">
        <w:t>For the final rule, we did not change our numeric hour burden estimates from those reported in the proposed rule.</w:t>
      </w:r>
    </w:p>
    <w:p w:rsidR="00720CE4" w:rsidRPr="00086D6C" w:rsidP="009B70B4" w14:paraId="78601753" w14:textId="77777777">
      <w:pPr>
        <w:widowControl/>
        <w:numPr>
          <w:ilvl w:val="0"/>
          <w:numId w:val="3"/>
        </w:numPr>
        <w:autoSpaceDE/>
        <w:autoSpaceDN/>
        <w:adjustRightInd/>
        <w:spacing w:after="200" w:line="276" w:lineRule="auto"/>
        <w:rPr>
          <w:rFonts w:eastAsia="Calibri"/>
        </w:rPr>
      </w:pPr>
      <w:r w:rsidRPr="00086D6C">
        <w:rPr>
          <w:rFonts w:eastAsia="Calibri"/>
          <w:u w:val="single"/>
        </w:rPr>
        <w:t>Explanation of Any Payment or Gift to Respondents</w:t>
      </w:r>
    </w:p>
    <w:p w:rsidR="00B27998" w:rsidRPr="00086D6C" w:rsidP="009B70B4" w14:paraId="34743607" w14:textId="4AB62117">
      <w:pPr>
        <w:pStyle w:val="BodyText"/>
        <w:kinsoku w:val="0"/>
        <w:overflowPunct w:val="0"/>
        <w:spacing w:after="200"/>
        <w:ind w:left="0"/>
      </w:pPr>
      <w:r w:rsidRPr="00086D6C">
        <w:t>There are no payments or gifts associated with this rule.</w:t>
      </w:r>
    </w:p>
    <w:p w:rsidR="006D2459" w:rsidRPr="00086D6C" w:rsidP="009B70B4" w14:paraId="52432CD5" w14:textId="77777777">
      <w:pPr>
        <w:widowControl/>
        <w:numPr>
          <w:ilvl w:val="0"/>
          <w:numId w:val="3"/>
        </w:numPr>
        <w:autoSpaceDE/>
        <w:autoSpaceDN/>
        <w:adjustRightInd/>
        <w:spacing w:after="200" w:line="276" w:lineRule="auto"/>
        <w:rPr>
          <w:rFonts w:eastAsia="Calibri"/>
        </w:rPr>
      </w:pPr>
      <w:r w:rsidRPr="00086D6C">
        <w:rPr>
          <w:rFonts w:eastAsia="Calibri"/>
          <w:u w:val="single"/>
        </w:rPr>
        <w:t>Assurance of Confidentiality Provided to Respondents</w:t>
      </w:r>
    </w:p>
    <w:p w:rsidR="005954CC" w:rsidRPr="00C63BFF" w:rsidP="005954CC" w14:paraId="4521C4B3" w14:textId="40924564">
      <w:pPr>
        <w:ind w:left="90"/>
      </w:pPr>
      <w:r w:rsidRPr="00643CF4">
        <w:t>In preparing this Supporting Statement, we consulted our Privacy Office to ensure appropriate identification and handling of information collected.</w:t>
      </w:r>
      <w:r w:rsidR="006E2351">
        <w:t xml:space="preserve">  Although t</w:t>
      </w:r>
      <w:r w:rsidRPr="00C63BFF">
        <w:t>his ICR collects personally identifiable information (PII) or other data of a personal nature</w:t>
      </w:r>
      <w:r w:rsidR="006E2351">
        <w:t>, it</w:t>
      </w:r>
      <w:r w:rsidRPr="00C63BFF">
        <w:t xml:space="preserve"> is collected in the context of the subject individuals’ professional capacity and the FDA-related work perform</w:t>
      </w:r>
      <w:r w:rsidR="006E2351">
        <w:t>ed</w:t>
      </w:r>
      <w:r w:rsidRPr="00C63BFF">
        <w:t xml:space="preserve"> for their </w:t>
      </w:r>
      <w:r w:rsidRPr="00C63BFF">
        <w:t>employer (e.g., point of contact at a regulated entity).  The PII submitted via Form 36</w:t>
      </w:r>
      <w:r w:rsidRPr="00C63BFF" w:rsidR="00C63BFF">
        <w:t>5h</w:t>
      </w:r>
      <w:r w:rsidRPr="00C63BFF">
        <w:t xml:space="preserve"> </w:t>
      </w:r>
      <w:r w:rsidRPr="00C63BFF" w:rsidR="00C63BFF">
        <w:t>A</w:t>
      </w:r>
      <w:r w:rsidR="00C63BFF">
        <w:t>pplication to Market a New or Abbreviated New Drug or Biologic for Human Use,</w:t>
      </w:r>
      <w:r w:rsidRPr="00C63BFF" w:rsidR="00C63BFF">
        <w:t xml:space="preserve"> </w:t>
      </w:r>
      <w:r w:rsidRPr="00C63BFF">
        <w:t>is name, work mailing address, work email address, work telephone</w:t>
      </w:r>
      <w:r w:rsidR="00C63BFF">
        <w:t>,</w:t>
      </w:r>
      <w:r w:rsidRPr="00C63BFF">
        <w:t xml:space="preserve"> fax number</w:t>
      </w:r>
      <w:r w:rsidR="00C63BFF">
        <w:t>, U.S. license number and DUNS number</w:t>
      </w:r>
      <w:r w:rsidRPr="00C63BFF">
        <w:t xml:space="preserve">. </w:t>
      </w:r>
    </w:p>
    <w:p w:rsidR="005954CC" w:rsidP="005954CC" w14:paraId="3B83CF8F" w14:textId="77777777">
      <w:pPr>
        <w:pStyle w:val="NoSpacing"/>
        <w:rPr>
          <w:rFonts w:ascii="Times New Roman" w:hAnsi="Times New Roman" w:cs="Times New Roman"/>
          <w:sz w:val="24"/>
          <w:szCs w:val="24"/>
        </w:rPr>
      </w:pPr>
    </w:p>
    <w:p w:rsidR="005954CC" w:rsidP="005954CC" w14:paraId="4ABE7432" w14:textId="20CD18CE">
      <w:pPr>
        <w:pStyle w:val="NoSpacing"/>
        <w:ind w:left="90"/>
      </w:pPr>
      <w:r>
        <w:rPr>
          <w:rFonts w:ascii="Times New Roman" w:hAnsi="Times New Roman" w:cs="Times New Roman"/>
          <w:sz w:val="24"/>
          <w:szCs w:val="24"/>
        </w:rPr>
        <w:t>We have</w:t>
      </w:r>
      <w:r>
        <w:rPr>
          <w:rFonts w:ascii="Times New Roman" w:hAnsi="Times New Roman" w:cs="Times New Roman"/>
          <w:sz w:val="24"/>
          <w:szCs w:val="24"/>
        </w:rPr>
        <w:t xml:space="preserve"> determined that </w:t>
      </w:r>
      <w:r>
        <w:rPr>
          <w:rFonts w:ascii="Times New Roman" w:hAnsi="Times New Roman" w:cs="Times New Roman"/>
          <w:sz w:val="24"/>
          <w:szCs w:val="24"/>
        </w:rPr>
        <w:t>the</w:t>
      </w:r>
      <w:r>
        <w:rPr>
          <w:rFonts w:ascii="Times New Roman" w:hAnsi="Times New Roman" w:cs="Times New Roman"/>
          <w:sz w:val="24"/>
          <w:szCs w:val="24"/>
        </w:rPr>
        <w:t xml:space="preserve"> PII collected is not subject to the Privacy Act of 1974 and the particular notice and other requirements of the </w:t>
      </w:r>
      <w:r>
        <w:rPr>
          <w:rFonts w:ascii="Times New Roman" w:hAnsi="Times New Roman" w:cs="Times New Roman"/>
          <w:sz w:val="24"/>
          <w:szCs w:val="24"/>
        </w:rPr>
        <w:t xml:space="preserve">Privacy </w:t>
      </w:r>
      <w:r>
        <w:rPr>
          <w:rFonts w:ascii="Times New Roman" w:hAnsi="Times New Roman" w:cs="Times New Roman"/>
          <w:sz w:val="24"/>
          <w:szCs w:val="24"/>
        </w:rPr>
        <w:t>Act do not apply. Specifically, the contractor or FDA do not use name or any other personal identifier to routinely retrieve records from the information collected.</w:t>
      </w:r>
    </w:p>
    <w:p w:rsidR="005954CC" w:rsidP="005954CC" w14:paraId="4C8BB119" w14:textId="77777777">
      <w:pPr>
        <w:ind w:left="720"/>
        <w:rPr>
          <w:rFonts w:ascii="Melior" w:hAnsi="Melior" w:cs="Melior"/>
          <w:sz w:val="18"/>
          <w:szCs w:val="18"/>
        </w:rPr>
      </w:pPr>
    </w:p>
    <w:p w:rsidR="005954CC" w:rsidP="005954CC" w14:paraId="2615DFB4" w14:textId="77777777">
      <w:pPr>
        <w:ind w:left="90"/>
      </w:pPr>
      <w:r w:rsidRPr="00643CF4">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5954CC" w:rsidP="009B70B4" w14:paraId="5E10191A" w14:textId="77777777">
      <w:pPr>
        <w:pStyle w:val="BodyText"/>
        <w:kinsoku w:val="0"/>
        <w:overflowPunct w:val="0"/>
        <w:spacing w:after="200"/>
        <w:ind w:left="0"/>
      </w:pPr>
    </w:p>
    <w:p w:rsidR="00EA63A1" w:rsidRPr="00086D6C" w:rsidP="009B70B4" w14:paraId="23A5D111" w14:textId="77777777">
      <w:pPr>
        <w:widowControl/>
        <w:numPr>
          <w:ilvl w:val="0"/>
          <w:numId w:val="3"/>
        </w:numPr>
        <w:autoSpaceDE/>
        <w:autoSpaceDN/>
        <w:adjustRightInd/>
        <w:spacing w:after="200" w:line="276" w:lineRule="auto"/>
        <w:rPr>
          <w:rFonts w:eastAsia="Calibri"/>
        </w:rPr>
      </w:pPr>
      <w:bookmarkStart w:id="0" w:name="_Hlk78551651"/>
      <w:r w:rsidRPr="00086D6C">
        <w:rPr>
          <w:rFonts w:eastAsia="Calibri"/>
          <w:u w:val="single"/>
        </w:rPr>
        <w:t>Justification for Sensitive Questions</w:t>
      </w:r>
    </w:p>
    <w:bookmarkEnd w:id="0"/>
    <w:p w:rsidR="00B27998" w:rsidRPr="00086D6C" w:rsidP="009B70B4" w14:paraId="0CB9565D" w14:textId="77777777">
      <w:pPr>
        <w:pStyle w:val="BodyText"/>
        <w:kinsoku w:val="0"/>
        <w:overflowPunct w:val="0"/>
        <w:spacing w:after="200"/>
        <w:ind w:left="0"/>
      </w:pPr>
      <w:r w:rsidRPr="00086D6C">
        <w:t>There are no questions of a sensitive nature.</w:t>
      </w:r>
    </w:p>
    <w:p w:rsidR="008E28ED" w:rsidRPr="00086D6C" w:rsidP="009B70B4" w14:paraId="15553193"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Estimates of Annualized Burden Hours and Cost</w:t>
      </w:r>
    </w:p>
    <w:p w:rsidR="002F62DF" w:rsidRPr="006B17DC" w:rsidP="009B70B4" w14:paraId="7406486F" w14:textId="16DA76E8">
      <w:pPr>
        <w:spacing w:after="200"/>
        <w:ind w:left="360"/>
        <w:rPr>
          <w:i/>
          <w:iCs/>
        </w:rPr>
      </w:pPr>
      <w:r w:rsidRPr="006B17DC">
        <w:rPr>
          <w:i/>
          <w:iCs/>
        </w:rPr>
        <w:t xml:space="preserve">12a. </w:t>
      </w:r>
      <w:r w:rsidRPr="006B17DC" w:rsidR="001F5BDA">
        <w:rPr>
          <w:i/>
          <w:iCs/>
        </w:rPr>
        <w:t>Estimated Annual Reporting and Recordkeeping Burden</w:t>
      </w:r>
    </w:p>
    <w:p w:rsidR="008067C8" w:rsidRPr="00086D6C" w:rsidP="008067C8" w14:paraId="78C093B1" w14:textId="7030A735">
      <w:pPr>
        <w:pStyle w:val="BodyText"/>
        <w:kinsoku w:val="0"/>
        <w:overflowPunct w:val="0"/>
        <w:spacing w:after="200"/>
        <w:ind w:left="360"/>
      </w:pPr>
      <w:r>
        <w:t>W</w:t>
      </w:r>
      <w:r w:rsidR="00BF11DD">
        <w:t xml:space="preserve">e </w:t>
      </w:r>
      <w:r w:rsidRPr="00086D6C">
        <w:t>estimate the burden of this information collection as follows:</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420"/>
        <w:gridCol w:w="1440"/>
        <w:gridCol w:w="1440"/>
        <w:gridCol w:w="1260"/>
        <w:gridCol w:w="1350"/>
        <w:gridCol w:w="990"/>
      </w:tblGrid>
      <w:tr w14:paraId="00A9CDB6" w14:textId="77777777" w:rsidTr="00B46E09">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42"/>
          <w:tblHeader/>
        </w:trPr>
        <w:tc>
          <w:tcPr>
            <w:tcW w:w="9900" w:type="dxa"/>
            <w:gridSpan w:val="6"/>
            <w:tcBorders>
              <w:top w:val="nil"/>
              <w:left w:val="nil"/>
              <w:bottom w:val="nil"/>
              <w:right w:val="nil"/>
            </w:tcBorders>
            <w:shd w:val="clear" w:color="auto" w:fill="auto"/>
          </w:tcPr>
          <w:p w:rsidR="008067C8" w:rsidRPr="006B17DC" w14:paraId="0EEEF7EC" w14:textId="615881B1">
            <w:pPr>
              <w:widowControl/>
              <w:spacing w:after="200"/>
              <w:ind w:firstLine="360"/>
              <w:jc w:val="center"/>
              <w:rPr>
                <w:sz w:val="22"/>
                <w:szCs w:val="22"/>
              </w:rPr>
            </w:pPr>
            <w:r w:rsidRPr="006B17DC">
              <w:rPr>
                <w:sz w:val="22"/>
                <w:szCs w:val="22"/>
              </w:rPr>
              <w:t>Table 1.--Estimated Annual Reporting Burden</w:t>
            </w:r>
            <w:r w:rsidRPr="006B17DC" w:rsidR="00BF11DD">
              <w:rPr>
                <w:sz w:val="22"/>
                <w:szCs w:val="22"/>
              </w:rPr>
              <w:t>; OMB Control No. 0910-0001</w:t>
            </w:r>
            <w:r w:rsidRPr="006B17DC">
              <w:rPr>
                <w:sz w:val="22"/>
                <w:szCs w:val="22"/>
                <w:vertAlign w:val="superscript"/>
              </w:rPr>
              <w:t>1</w:t>
            </w:r>
          </w:p>
        </w:tc>
      </w:tr>
      <w:tr w14:paraId="23E71557" w14:textId="77777777" w:rsidTr="00B46E09">
        <w:tblPrEx>
          <w:tblW w:w="9900" w:type="dxa"/>
          <w:tblLayout w:type="fixed"/>
          <w:tblLook w:val="01C0"/>
        </w:tblPrEx>
        <w:trPr>
          <w:cantSplit/>
          <w:trHeight w:val="20"/>
          <w:tblHeader/>
        </w:trPr>
        <w:tc>
          <w:tcPr>
            <w:tcW w:w="3420" w:type="dxa"/>
            <w:shd w:val="clear" w:color="auto" w:fill="auto"/>
          </w:tcPr>
          <w:p w:rsidR="008067C8" w:rsidRPr="006B17DC" w14:paraId="0D4582B5" w14:textId="158B7DF7">
            <w:pPr>
              <w:widowControl/>
              <w:spacing w:after="200"/>
              <w:jc w:val="center"/>
              <w:rPr>
                <w:sz w:val="22"/>
                <w:szCs w:val="22"/>
              </w:rPr>
            </w:pPr>
            <w:r w:rsidRPr="006B17DC">
              <w:rPr>
                <w:sz w:val="22"/>
                <w:szCs w:val="22"/>
              </w:rPr>
              <w:t xml:space="preserve">Information Collection Activity; </w:t>
            </w:r>
            <w:r w:rsidRPr="006B17DC">
              <w:rPr>
                <w:sz w:val="22"/>
                <w:szCs w:val="22"/>
              </w:rPr>
              <w:t xml:space="preserve">21 CFR </w:t>
            </w:r>
            <w:r w:rsidRPr="006B17DC">
              <w:rPr>
                <w:sz w:val="22"/>
                <w:szCs w:val="22"/>
              </w:rPr>
              <w:t>part 314 (Application for FDA Approval to Market a New Drug)</w:t>
            </w:r>
          </w:p>
        </w:tc>
        <w:tc>
          <w:tcPr>
            <w:tcW w:w="1440" w:type="dxa"/>
            <w:shd w:val="clear" w:color="auto" w:fill="auto"/>
          </w:tcPr>
          <w:p w:rsidR="008067C8" w:rsidRPr="006B17DC" w14:paraId="3EB40716" w14:textId="77777777">
            <w:pPr>
              <w:widowControl/>
              <w:spacing w:after="200"/>
              <w:jc w:val="center"/>
              <w:rPr>
                <w:sz w:val="22"/>
                <w:szCs w:val="22"/>
              </w:rPr>
            </w:pPr>
            <w:r w:rsidRPr="006B17DC">
              <w:rPr>
                <w:sz w:val="22"/>
                <w:szCs w:val="22"/>
              </w:rPr>
              <w:t>No. of Respondents</w:t>
            </w:r>
          </w:p>
        </w:tc>
        <w:tc>
          <w:tcPr>
            <w:tcW w:w="1440" w:type="dxa"/>
            <w:shd w:val="clear" w:color="auto" w:fill="auto"/>
          </w:tcPr>
          <w:p w:rsidR="008067C8" w:rsidRPr="006B17DC" w14:paraId="1B80B837" w14:textId="77777777">
            <w:pPr>
              <w:widowControl/>
              <w:spacing w:after="200"/>
              <w:jc w:val="center"/>
              <w:rPr>
                <w:sz w:val="22"/>
                <w:szCs w:val="22"/>
              </w:rPr>
            </w:pPr>
            <w:r w:rsidRPr="006B17DC">
              <w:rPr>
                <w:sz w:val="22"/>
                <w:szCs w:val="22"/>
              </w:rPr>
              <w:t>No. of Responses per Respondent</w:t>
            </w:r>
          </w:p>
        </w:tc>
        <w:tc>
          <w:tcPr>
            <w:tcW w:w="1260" w:type="dxa"/>
            <w:shd w:val="clear" w:color="auto" w:fill="auto"/>
          </w:tcPr>
          <w:p w:rsidR="008067C8" w:rsidRPr="006B17DC" w14:paraId="3427D047" w14:textId="77777777">
            <w:pPr>
              <w:widowControl/>
              <w:spacing w:after="200"/>
              <w:jc w:val="center"/>
              <w:rPr>
                <w:sz w:val="22"/>
                <w:szCs w:val="22"/>
              </w:rPr>
            </w:pPr>
            <w:r w:rsidRPr="006B17DC">
              <w:rPr>
                <w:sz w:val="22"/>
                <w:szCs w:val="22"/>
              </w:rPr>
              <w:t>Total Annual Responses</w:t>
            </w:r>
          </w:p>
        </w:tc>
        <w:tc>
          <w:tcPr>
            <w:tcW w:w="1350" w:type="dxa"/>
            <w:shd w:val="clear" w:color="auto" w:fill="auto"/>
          </w:tcPr>
          <w:p w:rsidR="008067C8" w:rsidRPr="006B17DC" w14:paraId="766DF367" w14:textId="77777777">
            <w:pPr>
              <w:widowControl/>
              <w:spacing w:after="200"/>
              <w:jc w:val="center"/>
              <w:rPr>
                <w:sz w:val="22"/>
                <w:szCs w:val="22"/>
              </w:rPr>
            </w:pPr>
            <w:r w:rsidRPr="006B17DC">
              <w:rPr>
                <w:sz w:val="22"/>
                <w:szCs w:val="22"/>
              </w:rPr>
              <w:t>Average Burden per Response (Hours)</w:t>
            </w:r>
          </w:p>
        </w:tc>
        <w:tc>
          <w:tcPr>
            <w:tcW w:w="990" w:type="dxa"/>
            <w:shd w:val="clear" w:color="auto" w:fill="auto"/>
          </w:tcPr>
          <w:p w:rsidR="008067C8" w:rsidRPr="006B17DC" w14:paraId="731FBEC9" w14:textId="77777777">
            <w:pPr>
              <w:widowControl/>
              <w:spacing w:after="200"/>
              <w:jc w:val="center"/>
              <w:rPr>
                <w:sz w:val="22"/>
                <w:szCs w:val="22"/>
              </w:rPr>
            </w:pPr>
            <w:r w:rsidRPr="006B17DC">
              <w:rPr>
                <w:sz w:val="22"/>
                <w:szCs w:val="22"/>
              </w:rPr>
              <w:t>Total Hours</w:t>
            </w:r>
          </w:p>
        </w:tc>
      </w:tr>
      <w:tr w14:paraId="10902ADF" w14:textId="77777777" w:rsidTr="00B46E09">
        <w:tblPrEx>
          <w:tblW w:w="9900" w:type="dxa"/>
          <w:tblLayout w:type="fixed"/>
          <w:tblLook w:val="01C0"/>
        </w:tblPrEx>
        <w:trPr>
          <w:cantSplit/>
          <w:trHeight w:val="20"/>
        </w:trPr>
        <w:tc>
          <w:tcPr>
            <w:tcW w:w="3420" w:type="dxa"/>
            <w:shd w:val="clear" w:color="auto" w:fill="auto"/>
          </w:tcPr>
          <w:p w:rsidR="008067C8" w:rsidRPr="006B17DC" w14:paraId="732A68DE" w14:textId="236C1AD0">
            <w:pPr>
              <w:widowControl/>
              <w:spacing w:after="200"/>
              <w:rPr>
                <w:sz w:val="22"/>
                <w:szCs w:val="22"/>
              </w:rPr>
            </w:pPr>
            <w:r w:rsidRPr="006B17DC">
              <w:rPr>
                <w:sz w:val="22"/>
                <w:szCs w:val="22"/>
              </w:rPr>
              <w:t xml:space="preserve">Submission of separate application for </w:t>
            </w:r>
            <w:r w:rsidRPr="006B17DC">
              <w:rPr>
                <w:sz w:val="22"/>
                <w:szCs w:val="22"/>
              </w:rPr>
              <w:t>nonprescription drug product with an ACNU</w:t>
            </w:r>
          </w:p>
          <w:p w:rsidR="008067C8" w:rsidRPr="006B17DC" w14:paraId="3D060AAE" w14:textId="063E2F5D">
            <w:pPr>
              <w:widowControl/>
              <w:spacing w:after="200"/>
              <w:rPr>
                <w:sz w:val="22"/>
                <w:szCs w:val="22"/>
              </w:rPr>
            </w:pPr>
            <w:r w:rsidRPr="006B17DC">
              <w:rPr>
                <w:sz w:val="22"/>
                <w:szCs w:val="22"/>
              </w:rPr>
              <w:t>(§ 314.56(</w:t>
            </w:r>
            <w:r w:rsidRPr="006B17DC" w:rsidR="009A04A8">
              <w:rPr>
                <w:sz w:val="22"/>
                <w:szCs w:val="22"/>
              </w:rPr>
              <w:t>b)</w:t>
            </w:r>
            <w:r w:rsidRPr="006B17DC" w:rsidR="009A04A8">
              <w:rPr>
                <w:sz w:val="22"/>
                <w:szCs w:val="22"/>
                <w:vertAlign w:val="superscript"/>
              </w:rPr>
              <w:t xml:space="preserve"> </w:t>
            </w:r>
            <w:r w:rsidRPr="006B17DC" w:rsidR="009A04A8">
              <w:rPr>
                <w:sz w:val="22"/>
                <w:szCs w:val="22"/>
              </w:rPr>
              <w:t>and (c)</w:t>
            </w:r>
          </w:p>
        </w:tc>
        <w:tc>
          <w:tcPr>
            <w:tcW w:w="1440" w:type="dxa"/>
            <w:shd w:val="clear" w:color="auto" w:fill="auto"/>
          </w:tcPr>
          <w:p w:rsidR="008067C8" w:rsidRPr="006B17DC" w14:paraId="2BD47CC5" w14:textId="1AABB60A">
            <w:pPr>
              <w:widowControl/>
              <w:spacing w:after="200"/>
              <w:jc w:val="right"/>
              <w:rPr>
                <w:sz w:val="22"/>
                <w:szCs w:val="22"/>
              </w:rPr>
            </w:pPr>
            <w:r w:rsidRPr="006B17DC">
              <w:rPr>
                <w:sz w:val="22"/>
                <w:szCs w:val="22"/>
              </w:rPr>
              <w:t>6</w:t>
            </w:r>
          </w:p>
        </w:tc>
        <w:tc>
          <w:tcPr>
            <w:tcW w:w="1440" w:type="dxa"/>
            <w:shd w:val="clear" w:color="auto" w:fill="auto"/>
          </w:tcPr>
          <w:p w:rsidR="008067C8" w:rsidRPr="006B17DC" w14:paraId="11C356F4" w14:textId="77777777">
            <w:pPr>
              <w:widowControl/>
              <w:spacing w:after="200"/>
              <w:jc w:val="right"/>
              <w:rPr>
                <w:sz w:val="22"/>
                <w:szCs w:val="22"/>
              </w:rPr>
            </w:pPr>
            <w:r w:rsidRPr="006B17DC">
              <w:rPr>
                <w:sz w:val="22"/>
                <w:szCs w:val="22"/>
              </w:rPr>
              <w:t>1</w:t>
            </w:r>
          </w:p>
        </w:tc>
        <w:tc>
          <w:tcPr>
            <w:tcW w:w="1260" w:type="dxa"/>
            <w:shd w:val="clear" w:color="auto" w:fill="auto"/>
          </w:tcPr>
          <w:p w:rsidR="008067C8" w:rsidRPr="006B17DC" w14:paraId="0DEB89C3" w14:textId="48735A66">
            <w:pPr>
              <w:widowControl/>
              <w:spacing w:after="200"/>
              <w:jc w:val="right"/>
              <w:rPr>
                <w:sz w:val="22"/>
                <w:szCs w:val="22"/>
              </w:rPr>
            </w:pPr>
            <w:r w:rsidRPr="006B17DC">
              <w:rPr>
                <w:sz w:val="22"/>
                <w:szCs w:val="22"/>
              </w:rPr>
              <w:t>6</w:t>
            </w:r>
          </w:p>
        </w:tc>
        <w:tc>
          <w:tcPr>
            <w:tcW w:w="1350" w:type="dxa"/>
            <w:shd w:val="clear" w:color="auto" w:fill="auto"/>
          </w:tcPr>
          <w:p w:rsidR="008067C8" w:rsidRPr="006B17DC" w14:paraId="2010BD62" w14:textId="77777777">
            <w:pPr>
              <w:widowControl/>
              <w:spacing w:after="200"/>
              <w:jc w:val="right"/>
              <w:rPr>
                <w:sz w:val="22"/>
                <w:szCs w:val="22"/>
              </w:rPr>
            </w:pPr>
            <w:r w:rsidRPr="006B17DC">
              <w:rPr>
                <w:sz w:val="22"/>
                <w:szCs w:val="22"/>
              </w:rPr>
              <w:t>320</w:t>
            </w:r>
          </w:p>
        </w:tc>
        <w:tc>
          <w:tcPr>
            <w:tcW w:w="990" w:type="dxa"/>
            <w:shd w:val="clear" w:color="auto" w:fill="auto"/>
          </w:tcPr>
          <w:p w:rsidR="009A04A8" w:rsidRPr="006B17DC" w14:paraId="3D3E0D47" w14:textId="78E30450">
            <w:pPr>
              <w:widowControl/>
              <w:spacing w:after="200"/>
              <w:jc w:val="right"/>
              <w:rPr>
                <w:sz w:val="22"/>
                <w:szCs w:val="22"/>
              </w:rPr>
            </w:pPr>
            <w:r w:rsidRPr="006B17DC">
              <w:rPr>
                <w:sz w:val="22"/>
                <w:szCs w:val="22"/>
              </w:rPr>
              <w:t>1,920</w:t>
            </w:r>
          </w:p>
        </w:tc>
      </w:tr>
      <w:tr w14:paraId="7B7DCB8D" w14:textId="77777777" w:rsidTr="00B46E09">
        <w:tblPrEx>
          <w:tblW w:w="9900" w:type="dxa"/>
          <w:tblLayout w:type="fixed"/>
          <w:tblLook w:val="01C0"/>
        </w:tblPrEx>
        <w:trPr>
          <w:cantSplit/>
          <w:trHeight w:val="20"/>
        </w:trPr>
        <w:tc>
          <w:tcPr>
            <w:tcW w:w="3420" w:type="dxa"/>
            <w:shd w:val="clear" w:color="auto" w:fill="auto"/>
          </w:tcPr>
          <w:p w:rsidR="008067C8" w:rsidRPr="006B17DC" w14:paraId="4857FA98" w14:textId="5264B335">
            <w:pPr>
              <w:widowControl/>
              <w:spacing w:after="200"/>
              <w:rPr>
                <w:sz w:val="22"/>
                <w:szCs w:val="22"/>
              </w:rPr>
            </w:pPr>
            <w:r w:rsidRPr="006B17DC">
              <w:rPr>
                <w:sz w:val="22"/>
                <w:szCs w:val="22"/>
              </w:rPr>
              <w:t>Other postmarketing reports; s</w:t>
            </w:r>
            <w:r w:rsidRPr="006B17DC">
              <w:rPr>
                <w:sz w:val="22"/>
                <w:szCs w:val="22"/>
              </w:rPr>
              <w:t>ubmission of  each individual consumer affected by a failure in implementation of an ACNU</w:t>
            </w:r>
            <w:r w:rsidRPr="006B17DC">
              <w:rPr>
                <w:sz w:val="22"/>
                <w:szCs w:val="22"/>
              </w:rPr>
              <w:t>; 314.81</w:t>
            </w:r>
          </w:p>
        </w:tc>
        <w:tc>
          <w:tcPr>
            <w:tcW w:w="1440" w:type="dxa"/>
            <w:shd w:val="clear" w:color="auto" w:fill="auto"/>
          </w:tcPr>
          <w:p w:rsidR="008067C8" w:rsidRPr="006B17DC" w14:paraId="72356ABD" w14:textId="77777777">
            <w:pPr>
              <w:widowControl/>
              <w:spacing w:after="200"/>
              <w:jc w:val="right"/>
              <w:rPr>
                <w:sz w:val="22"/>
                <w:szCs w:val="22"/>
              </w:rPr>
            </w:pPr>
            <w:r w:rsidRPr="006B17DC">
              <w:rPr>
                <w:sz w:val="22"/>
                <w:szCs w:val="22"/>
              </w:rPr>
              <w:t>6</w:t>
            </w:r>
          </w:p>
        </w:tc>
        <w:tc>
          <w:tcPr>
            <w:tcW w:w="1440" w:type="dxa"/>
            <w:shd w:val="clear" w:color="auto" w:fill="auto"/>
          </w:tcPr>
          <w:p w:rsidR="008067C8" w:rsidRPr="006B17DC" w14:paraId="064CC67B" w14:textId="77777777">
            <w:pPr>
              <w:widowControl/>
              <w:spacing w:after="200"/>
              <w:jc w:val="right"/>
              <w:rPr>
                <w:sz w:val="22"/>
                <w:szCs w:val="22"/>
              </w:rPr>
            </w:pPr>
            <w:r w:rsidRPr="006B17DC">
              <w:rPr>
                <w:sz w:val="22"/>
                <w:szCs w:val="22"/>
              </w:rPr>
              <w:t>25</w:t>
            </w:r>
          </w:p>
        </w:tc>
        <w:tc>
          <w:tcPr>
            <w:tcW w:w="1260" w:type="dxa"/>
            <w:shd w:val="clear" w:color="auto" w:fill="auto"/>
          </w:tcPr>
          <w:p w:rsidR="008067C8" w:rsidRPr="006B17DC" w14:paraId="4A670CDD" w14:textId="77777777">
            <w:pPr>
              <w:widowControl/>
              <w:spacing w:after="200"/>
              <w:jc w:val="right"/>
              <w:rPr>
                <w:sz w:val="22"/>
                <w:szCs w:val="22"/>
              </w:rPr>
            </w:pPr>
            <w:r w:rsidRPr="006B17DC">
              <w:rPr>
                <w:sz w:val="22"/>
                <w:szCs w:val="22"/>
              </w:rPr>
              <w:t>150</w:t>
            </w:r>
          </w:p>
        </w:tc>
        <w:tc>
          <w:tcPr>
            <w:tcW w:w="1350" w:type="dxa"/>
            <w:shd w:val="clear" w:color="auto" w:fill="auto"/>
          </w:tcPr>
          <w:p w:rsidR="008067C8" w:rsidRPr="006B17DC" w14:paraId="6E654C41" w14:textId="77777777">
            <w:pPr>
              <w:widowControl/>
              <w:spacing w:after="200"/>
              <w:jc w:val="right"/>
              <w:rPr>
                <w:sz w:val="22"/>
                <w:szCs w:val="22"/>
              </w:rPr>
            </w:pPr>
            <w:r w:rsidRPr="006B17DC">
              <w:rPr>
                <w:sz w:val="22"/>
                <w:szCs w:val="22"/>
              </w:rPr>
              <w:t>40</w:t>
            </w:r>
          </w:p>
        </w:tc>
        <w:tc>
          <w:tcPr>
            <w:tcW w:w="990" w:type="dxa"/>
            <w:shd w:val="clear" w:color="auto" w:fill="auto"/>
          </w:tcPr>
          <w:p w:rsidR="008067C8" w:rsidRPr="006B17DC" w14:paraId="3F2B4EE0" w14:textId="77777777">
            <w:pPr>
              <w:widowControl/>
              <w:spacing w:after="200"/>
              <w:jc w:val="right"/>
              <w:rPr>
                <w:sz w:val="22"/>
                <w:szCs w:val="22"/>
              </w:rPr>
            </w:pPr>
            <w:r w:rsidRPr="006B17DC">
              <w:rPr>
                <w:sz w:val="22"/>
                <w:szCs w:val="22"/>
              </w:rPr>
              <w:t>6,000</w:t>
            </w:r>
          </w:p>
        </w:tc>
      </w:tr>
      <w:tr w14:paraId="48FFD471" w14:textId="77777777" w:rsidTr="00B46E09">
        <w:tblPrEx>
          <w:tblW w:w="9900" w:type="dxa"/>
          <w:tblLayout w:type="fixed"/>
          <w:tblLook w:val="01C0"/>
        </w:tblPrEx>
        <w:trPr>
          <w:cantSplit/>
          <w:trHeight w:val="20"/>
        </w:trPr>
        <w:tc>
          <w:tcPr>
            <w:tcW w:w="3420" w:type="dxa"/>
            <w:shd w:val="clear" w:color="auto" w:fill="auto"/>
          </w:tcPr>
          <w:p w:rsidR="00BF11DD" w:rsidRPr="006B17DC" w14:paraId="000360BB" w14:textId="219C2BF4">
            <w:pPr>
              <w:widowControl/>
              <w:spacing w:after="200"/>
              <w:rPr>
                <w:sz w:val="22"/>
                <w:szCs w:val="22"/>
              </w:rPr>
            </w:pPr>
            <w:r w:rsidRPr="006B17DC">
              <w:rPr>
                <w:sz w:val="22"/>
                <w:szCs w:val="22"/>
              </w:rPr>
              <w:t>TOTAL</w:t>
            </w:r>
          </w:p>
        </w:tc>
        <w:tc>
          <w:tcPr>
            <w:tcW w:w="1440" w:type="dxa"/>
            <w:shd w:val="clear" w:color="auto" w:fill="auto"/>
          </w:tcPr>
          <w:p w:rsidR="00BF11DD" w:rsidRPr="006B17DC" w14:paraId="1CA29CB5" w14:textId="77777777">
            <w:pPr>
              <w:widowControl/>
              <w:spacing w:after="200"/>
              <w:jc w:val="right"/>
              <w:rPr>
                <w:sz w:val="22"/>
                <w:szCs w:val="22"/>
              </w:rPr>
            </w:pPr>
          </w:p>
        </w:tc>
        <w:tc>
          <w:tcPr>
            <w:tcW w:w="1440" w:type="dxa"/>
            <w:shd w:val="clear" w:color="auto" w:fill="auto"/>
          </w:tcPr>
          <w:p w:rsidR="00BF11DD" w:rsidRPr="006B17DC" w14:paraId="25629D21" w14:textId="77777777">
            <w:pPr>
              <w:widowControl/>
              <w:spacing w:after="200"/>
              <w:jc w:val="right"/>
              <w:rPr>
                <w:sz w:val="22"/>
                <w:szCs w:val="22"/>
              </w:rPr>
            </w:pPr>
          </w:p>
        </w:tc>
        <w:tc>
          <w:tcPr>
            <w:tcW w:w="1260" w:type="dxa"/>
            <w:shd w:val="clear" w:color="auto" w:fill="auto"/>
          </w:tcPr>
          <w:p w:rsidR="00BF11DD" w:rsidRPr="006B17DC" w14:paraId="5332C654" w14:textId="08F7F0C9">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156</w:t>
            </w:r>
            <w:r w:rsidRPr="006B17DC">
              <w:rPr>
                <w:sz w:val="22"/>
                <w:szCs w:val="22"/>
              </w:rPr>
              <w:fldChar w:fldCharType="end"/>
            </w:r>
          </w:p>
        </w:tc>
        <w:tc>
          <w:tcPr>
            <w:tcW w:w="1350" w:type="dxa"/>
            <w:shd w:val="clear" w:color="auto" w:fill="auto"/>
          </w:tcPr>
          <w:p w:rsidR="00BF11DD" w:rsidRPr="006B17DC" w14:paraId="5DEF63B6" w14:textId="77777777">
            <w:pPr>
              <w:widowControl/>
              <w:spacing w:after="200"/>
              <w:jc w:val="right"/>
              <w:rPr>
                <w:sz w:val="22"/>
                <w:szCs w:val="22"/>
              </w:rPr>
            </w:pPr>
          </w:p>
        </w:tc>
        <w:tc>
          <w:tcPr>
            <w:tcW w:w="990" w:type="dxa"/>
            <w:shd w:val="clear" w:color="auto" w:fill="auto"/>
          </w:tcPr>
          <w:p w:rsidR="00BF11DD" w:rsidRPr="006B17DC" w14:paraId="43D12185" w14:textId="595858EC">
            <w:pPr>
              <w:widowControl/>
              <w:spacing w:after="200"/>
              <w:jc w:val="right"/>
              <w:rPr>
                <w:sz w:val="22"/>
                <w:szCs w:val="22"/>
              </w:rPr>
            </w:pPr>
            <w:r w:rsidRPr="006B17DC">
              <w:rPr>
                <w:sz w:val="22"/>
                <w:szCs w:val="22"/>
              </w:rPr>
              <w:fldChar w:fldCharType="begin"/>
            </w:r>
            <w:r w:rsidRPr="006B17DC">
              <w:rPr>
                <w:sz w:val="22"/>
                <w:szCs w:val="22"/>
              </w:rPr>
              <w:instrText xml:space="preserve"> =SUM(ABOVE) </w:instrText>
            </w:r>
            <w:r w:rsidRPr="006B17DC">
              <w:rPr>
                <w:sz w:val="22"/>
                <w:szCs w:val="22"/>
              </w:rPr>
              <w:fldChar w:fldCharType="separate"/>
            </w:r>
            <w:r w:rsidRPr="006B17DC">
              <w:rPr>
                <w:noProof/>
                <w:sz w:val="22"/>
                <w:szCs w:val="22"/>
              </w:rPr>
              <w:t>7,920</w:t>
            </w:r>
            <w:r w:rsidRPr="006B17DC">
              <w:rPr>
                <w:sz w:val="22"/>
                <w:szCs w:val="22"/>
              </w:rPr>
              <w:fldChar w:fldCharType="end"/>
            </w:r>
          </w:p>
        </w:tc>
      </w:tr>
    </w:tbl>
    <w:p w:rsidR="00A97A8A" w:rsidRPr="006C28C2" w:rsidP="00A97A8A" w14:paraId="575D8204" w14:textId="77777777">
      <w:pPr>
        <w:spacing w:after="200"/>
        <w:ind w:left="360"/>
        <w:rPr>
          <w:sz w:val="20"/>
          <w:szCs w:val="20"/>
        </w:rPr>
      </w:pPr>
      <w:r w:rsidRPr="006C28C2">
        <w:rPr>
          <w:sz w:val="20"/>
          <w:szCs w:val="20"/>
          <w:vertAlign w:val="superscript"/>
        </w:rPr>
        <w:t>1</w:t>
      </w:r>
      <w:r w:rsidRPr="006C28C2">
        <w:rPr>
          <w:sz w:val="20"/>
          <w:szCs w:val="20"/>
        </w:rPr>
        <w:t xml:space="preserve">  There are no capital, or operating or maintenance costs associated with the information coll</w:t>
      </w:r>
      <w:r>
        <w:rPr>
          <w:sz w:val="20"/>
          <w:szCs w:val="20"/>
        </w:rPr>
        <w:t>e</w:t>
      </w:r>
      <w:r w:rsidRPr="006C28C2">
        <w:rPr>
          <w:sz w:val="20"/>
          <w:szCs w:val="20"/>
        </w:rPr>
        <w:t>ction.</w:t>
      </w:r>
    </w:p>
    <w:p w:rsidR="00DA2D31" w14:paraId="29A3D363" w14:textId="77777777"/>
    <w:p w:rsidR="00DA2D31" w:rsidRPr="00086D6C" w:rsidP="00DA2D31" w14:paraId="39CDEC76" w14:textId="1F64C3F8">
      <w:pPr>
        <w:pStyle w:val="BodyText"/>
        <w:tabs>
          <w:tab w:val="left" w:pos="620"/>
        </w:tabs>
        <w:kinsoku w:val="0"/>
        <w:overflowPunct w:val="0"/>
        <w:spacing w:after="200"/>
        <w:ind w:left="0"/>
        <w:rPr>
          <w:i/>
          <w:iCs/>
        </w:rPr>
      </w:pPr>
      <w:r w:rsidRPr="00086D6C">
        <w:rPr>
          <w:i/>
          <w:iCs/>
        </w:rPr>
        <w:t xml:space="preserve">NDA and ANDA Submissions </w:t>
      </w:r>
    </w:p>
    <w:p w:rsidR="00DA2D31" w:rsidP="00DA2D31" w14:paraId="2BF53C51" w14:textId="1121AA86">
      <w:pPr>
        <w:pStyle w:val="BodyText"/>
        <w:kinsoku w:val="0"/>
        <w:overflowPunct w:val="0"/>
        <w:spacing w:after="200"/>
        <w:ind w:left="0"/>
      </w:pPr>
      <w:r>
        <w:t>Based on our experience with information collection associated with current NDA and AND</w:t>
      </w:r>
      <w:r w:rsidR="00397F2B">
        <w:t>A submissions</w:t>
      </w:r>
      <w:r>
        <w:t xml:space="preserve">, we estimate six </w:t>
      </w:r>
      <w:r w:rsidRPr="00086D6C">
        <w:t>application</w:t>
      </w:r>
      <w:r>
        <w:t>s</w:t>
      </w:r>
      <w:r w:rsidRPr="00086D6C">
        <w:t xml:space="preserve"> for a nonprescription drug product with an ACNU</w:t>
      </w:r>
      <w:r>
        <w:t xml:space="preserve"> will be submitted annually</w:t>
      </w:r>
      <w:r w:rsidRPr="00086D6C">
        <w:t xml:space="preserve">.  Based on Broad Agency Announcement </w:t>
      </w:r>
      <w:r w:rsidRPr="00791F3C">
        <w:t>pr</w:t>
      </w:r>
      <w:r w:rsidRPr="00086D6C">
        <w:t xml:space="preserve">oposals that set forth the number of hours anticipated to produce study reports for submission to </w:t>
      </w:r>
      <w:r w:rsidRPr="00914724">
        <w:t>us,</w:t>
      </w:r>
      <w:r w:rsidRPr="00086D6C">
        <w:t xml:space="preserve"> we </w:t>
      </w:r>
      <w:r w:rsidR="00AF4580">
        <w:t>assume it</w:t>
      </w:r>
      <w:r w:rsidRPr="00086D6C">
        <w:t xml:space="preserve"> will take an average of 320 hours per application for both NDA and ANDA applicants to prepare and submit the information required for applications for nonprescription drugs with an ACNU (in addition to meeting the general NDA or ANDA requirements under </w:t>
      </w:r>
      <w:r>
        <w:t>§§</w:t>
      </w:r>
      <w:r w:rsidRPr="00086D6C">
        <w:t xml:space="preserve"> 314.50 and 314.94, already approved in OMB </w:t>
      </w:r>
      <w:r w:rsidR="00410F51">
        <w:t>C</w:t>
      </w:r>
      <w:r w:rsidRPr="00086D6C">
        <w:t xml:space="preserve">ontrol </w:t>
      </w:r>
      <w:r w:rsidR="00410F51">
        <w:t>No.</w:t>
      </w:r>
      <w:r w:rsidRPr="00086D6C">
        <w:t xml:space="preserve"> 0910-0001). </w:t>
      </w:r>
    </w:p>
    <w:p w:rsidR="00022FE8" w:rsidP="00022FE8" w14:paraId="0D2EECD7" w14:textId="59770FCA">
      <w:pPr>
        <w:pStyle w:val="BodyText"/>
        <w:kinsoku w:val="0"/>
        <w:overflowPunct w:val="0"/>
        <w:spacing w:after="200"/>
        <w:ind w:left="0"/>
        <w:rPr>
          <w:i/>
          <w:iCs/>
        </w:rPr>
      </w:pPr>
      <w:r w:rsidRPr="00086D6C">
        <w:rPr>
          <w:i/>
          <w:iCs/>
        </w:rPr>
        <w:t xml:space="preserve">Reports of a Failure in Implementation of an ACNU </w:t>
      </w:r>
    </w:p>
    <w:p w:rsidR="00427562" w:rsidP="00A44199" w14:paraId="4C02B2CF" w14:textId="3F6FF321">
      <w:pPr>
        <w:pStyle w:val="BodyText"/>
        <w:kinsoku w:val="0"/>
        <w:overflowPunct w:val="0"/>
        <w:spacing w:after="200"/>
        <w:ind w:left="0"/>
      </w:pPr>
      <w:r w:rsidRPr="00086D6C">
        <w:t xml:space="preserve">We estimate </w:t>
      </w:r>
      <w:r w:rsidR="00C67A1E">
        <w:t>six</w:t>
      </w:r>
      <w:r w:rsidRPr="00086D6C">
        <w:t xml:space="preserve"> respondents will submit </w:t>
      </w:r>
      <w:r w:rsidR="00404BBB">
        <w:t>25</w:t>
      </w:r>
      <w:r w:rsidR="00C67A1E">
        <w:t xml:space="preserve"> </w:t>
      </w:r>
      <w:r w:rsidRPr="00086D6C">
        <w:t>report</w:t>
      </w:r>
      <w:r w:rsidR="00404BBB">
        <w:t>s each</w:t>
      </w:r>
      <w:r w:rsidRPr="00086D6C">
        <w:t xml:space="preserve"> to FDA for individual failure in implementation of an ACNU under § 314.81(b)(3)(v)</w:t>
      </w:r>
      <w:r w:rsidR="00914C99">
        <w:t>.  We assume</w:t>
      </w:r>
      <w:r w:rsidRPr="00086D6C">
        <w:t xml:space="preserve"> an average of 40 hours per response for each applicant</w:t>
      </w:r>
      <w:r w:rsidR="00C30FF9">
        <w:t xml:space="preserve">, for a total of </w:t>
      </w:r>
      <w:r w:rsidRPr="00086D6C">
        <w:t>6,000 hours</w:t>
      </w:r>
      <w:r w:rsidR="00C30FF9">
        <w:t xml:space="preserve"> annually</w:t>
      </w:r>
      <w:r w:rsidRPr="00086D6C">
        <w:t xml:space="preserve">. </w:t>
      </w:r>
      <w:r w:rsidR="00595723">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3799"/>
        <w:gridCol w:w="1341"/>
        <w:gridCol w:w="1474"/>
        <w:gridCol w:w="1168"/>
        <w:gridCol w:w="1410"/>
        <w:gridCol w:w="888"/>
      </w:tblGrid>
      <w:tr w14:paraId="179DA9C0" w14:textId="77777777" w:rsidTr="00256C13">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Ex>
        <w:trPr>
          <w:cantSplit/>
          <w:trHeight w:val="20"/>
        </w:trPr>
        <w:tc>
          <w:tcPr>
            <w:tcW w:w="10080" w:type="dxa"/>
            <w:gridSpan w:val="6"/>
            <w:tcBorders>
              <w:top w:val="nil"/>
              <w:left w:val="nil"/>
              <w:bottom w:val="single" w:sz="4" w:space="0" w:color="auto"/>
              <w:right w:val="nil"/>
            </w:tcBorders>
            <w:shd w:val="clear" w:color="auto" w:fill="auto"/>
          </w:tcPr>
          <w:p w:rsidR="00EF6DA2" w:rsidRPr="00256C13" w:rsidP="00EF6DA2" w14:paraId="398AA9B7" w14:textId="7A621FF8">
            <w:pPr>
              <w:widowControl/>
              <w:spacing w:after="200"/>
              <w:jc w:val="center"/>
              <w:rPr>
                <w:sz w:val="22"/>
                <w:szCs w:val="22"/>
              </w:rPr>
            </w:pPr>
            <w:r w:rsidRPr="00256C13">
              <w:rPr>
                <w:sz w:val="22"/>
                <w:szCs w:val="22"/>
              </w:rPr>
              <w:t>Table 2.--Estimated Annual Recordkeeping Burden</w:t>
            </w:r>
            <w:r w:rsidRPr="00256C13" w:rsidR="00FD2ACA">
              <w:rPr>
                <w:sz w:val="22"/>
                <w:szCs w:val="22"/>
              </w:rPr>
              <w:t>; OMB Control No. 0910-0001</w:t>
            </w:r>
            <w:r w:rsidRPr="006C28C2" w:rsidR="00FD2ACA">
              <w:rPr>
                <w:sz w:val="22"/>
                <w:szCs w:val="22"/>
                <w:vertAlign w:val="superscript"/>
              </w:rPr>
              <w:t>1</w:t>
            </w:r>
          </w:p>
        </w:tc>
      </w:tr>
      <w:tr w14:paraId="54DAF15A" w14:textId="77777777" w:rsidTr="00256C13">
        <w:tblPrEx>
          <w:tblW w:w="10080" w:type="dxa"/>
          <w:tblLook w:val="01C0"/>
        </w:tblPrEx>
        <w:trPr>
          <w:cantSplit/>
          <w:trHeight w:val="20"/>
        </w:trPr>
        <w:tc>
          <w:tcPr>
            <w:tcW w:w="3960" w:type="dxa"/>
            <w:tcBorders>
              <w:top w:val="single" w:sz="4" w:space="0" w:color="auto"/>
              <w:bottom w:val="single" w:sz="4" w:space="0" w:color="auto"/>
            </w:tcBorders>
            <w:shd w:val="clear" w:color="auto" w:fill="auto"/>
          </w:tcPr>
          <w:p w:rsidR="000054D5" w:rsidRPr="00256C13" w:rsidP="00EF6DA2" w14:paraId="2BD83D50" w14:textId="5FBCBFB6">
            <w:pPr>
              <w:widowControl/>
              <w:spacing w:after="200"/>
              <w:jc w:val="center"/>
              <w:rPr>
                <w:sz w:val="22"/>
                <w:szCs w:val="22"/>
              </w:rPr>
            </w:pPr>
            <w:r w:rsidRPr="00256C13">
              <w:rPr>
                <w:sz w:val="22"/>
                <w:szCs w:val="22"/>
              </w:rPr>
              <w:t xml:space="preserve">Information Collection; </w:t>
            </w:r>
            <w:r w:rsidRPr="00256C13">
              <w:rPr>
                <w:sz w:val="22"/>
                <w:szCs w:val="22"/>
              </w:rPr>
              <w:t xml:space="preserve">21 CFR </w:t>
            </w:r>
            <w:r w:rsidRPr="00256C13">
              <w:rPr>
                <w:sz w:val="22"/>
                <w:szCs w:val="22"/>
              </w:rPr>
              <w:t>part 314 (Applications for FDA Approval to Market a New Drug)</w:t>
            </w:r>
          </w:p>
        </w:tc>
        <w:tc>
          <w:tcPr>
            <w:tcW w:w="1117" w:type="dxa"/>
            <w:tcBorders>
              <w:top w:val="single" w:sz="4" w:space="0" w:color="auto"/>
              <w:bottom w:val="single" w:sz="4" w:space="0" w:color="auto"/>
            </w:tcBorders>
            <w:shd w:val="clear" w:color="auto" w:fill="auto"/>
          </w:tcPr>
          <w:p w:rsidR="000054D5" w:rsidRPr="00256C13" w:rsidP="00EF6DA2" w14:paraId="21B4E514" w14:textId="77777777">
            <w:pPr>
              <w:widowControl/>
              <w:spacing w:after="200"/>
              <w:jc w:val="center"/>
              <w:rPr>
                <w:sz w:val="22"/>
                <w:szCs w:val="22"/>
              </w:rPr>
            </w:pPr>
            <w:r w:rsidRPr="00256C13">
              <w:rPr>
                <w:sz w:val="22"/>
                <w:szCs w:val="22"/>
              </w:rPr>
              <w:t>No. of Respondents</w:t>
            </w:r>
          </w:p>
        </w:tc>
        <w:tc>
          <w:tcPr>
            <w:tcW w:w="1493" w:type="dxa"/>
            <w:tcBorders>
              <w:top w:val="single" w:sz="4" w:space="0" w:color="auto"/>
              <w:bottom w:val="single" w:sz="4" w:space="0" w:color="auto"/>
            </w:tcBorders>
            <w:shd w:val="clear" w:color="auto" w:fill="auto"/>
          </w:tcPr>
          <w:p w:rsidR="000054D5" w:rsidRPr="00256C13" w:rsidP="00EF6DA2" w14:paraId="33C500E4" w14:textId="77777777">
            <w:pPr>
              <w:widowControl/>
              <w:spacing w:after="200"/>
              <w:jc w:val="center"/>
              <w:rPr>
                <w:sz w:val="22"/>
                <w:szCs w:val="22"/>
              </w:rPr>
            </w:pPr>
            <w:r w:rsidRPr="00256C13">
              <w:rPr>
                <w:sz w:val="22"/>
                <w:szCs w:val="22"/>
              </w:rPr>
              <w:t>No. of Responses per Respondent</w:t>
            </w:r>
          </w:p>
        </w:tc>
        <w:tc>
          <w:tcPr>
            <w:tcW w:w="1170" w:type="dxa"/>
            <w:tcBorders>
              <w:top w:val="single" w:sz="4" w:space="0" w:color="auto"/>
              <w:bottom w:val="single" w:sz="4" w:space="0" w:color="auto"/>
            </w:tcBorders>
            <w:shd w:val="clear" w:color="auto" w:fill="auto"/>
          </w:tcPr>
          <w:p w:rsidR="000054D5" w:rsidRPr="00256C13" w:rsidP="00EF6DA2" w14:paraId="27BFEF64" w14:textId="77777777">
            <w:pPr>
              <w:widowControl/>
              <w:spacing w:after="200"/>
              <w:jc w:val="center"/>
              <w:rPr>
                <w:sz w:val="22"/>
                <w:szCs w:val="22"/>
              </w:rPr>
            </w:pPr>
            <w:r w:rsidRPr="00256C13">
              <w:rPr>
                <w:sz w:val="22"/>
                <w:szCs w:val="22"/>
              </w:rPr>
              <w:t>Total Annual Responses</w:t>
            </w:r>
          </w:p>
        </w:tc>
        <w:tc>
          <w:tcPr>
            <w:tcW w:w="1440" w:type="dxa"/>
            <w:tcBorders>
              <w:top w:val="single" w:sz="4" w:space="0" w:color="auto"/>
              <w:bottom w:val="single" w:sz="4" w:space="0" w:color="auto"/>
            </w:tcBorders>
            <w:shd w:val="clear" w:color="auto" w:fill="auto"/>
          </w:tcPr>
          <w:p w:rsidR="000054D5" w:rsidRPr="00256C13" w:rsidP="00EF6DA2" w14:paraId="094F8A86" w14:textId="77777777">
            <w:pPr>
              <w:widowControl/>
              <w:spacing w:after="200"/>
              <w:jc w:val="center"/>
              <w:rPr>
                <w:sz w:val="22"/>
                <w:szCs w:val="22"/>
              </w:rPr>
            </w:pPr>
            <w:r w:rsidRPr="00256C13">
              <w:rPr>
                <w:sz w:val="22"/>
                <w:szCs w:val="22"/>
              </w:rPr>
              <w:t>Average Burden per Response (Hours)</w:t>
            </w:r>
          </w:p>
        </w:tc>
        <w:tc>
          <w:tcPr>
            <w:tcW w:w="900" w:type="dxa"/>
            <w:tcBorders>
              <w:top w:val="single" w:sz="4" w:space="0" w:color="auto"/>
            </w:tcBorders>
            <w:shd w:val="clear" w:color="auto" w:fill="auto"/>
          </w:tcPr>
          <w:p w:rsidR="000054D5" w:rsidRPr="00256C13" w:rsidP="00EF6DA2" w14:paraId="4B81FD30" w14:textId="77777777">
            <w:pPr>
              <w:widowControl/>
              <w:spacing w:after="200"/>
              <w:jc w:val="center"/>
              <w:rPr>
                <w:sz w:val="22"/>
                <w:szCs w:val="22"/>
              </w:rPr>
            </w:pPr>
            <w:r w:rsidRPr="00256C13">
              <w:rPr>
                <w:sz w:val="22"/>
                <w:szCs w:val="22"/>
              </w:rPr>
              <w:t>Total Hours</w:t>
            </w:r>
          </w:p>
        </w:tc>
      </w:tr>
      <w:tr w14:paraId="04F2C72C" w14:textId="77777777" w:rsidTr="00256C13">
        <w:tblPrEx>
          <w:tblW w:w="10080" w:type="dxa"/>
          <w:tblLook w:val="01C0"/>
        </w:tblPrEx>
        <w:trPr>
          <w:cantSplit/>
          <w:trHeight w:val="20"/>
        </w:trPr>
        <w:tc>
          <w:tcPr>
            <w:tcW w:w="3960" w:type="dxa"/>
            <w:tcBorders>
              <w:right w:val="single" w:sz="4" w:space="0" w:color="auto"/>
            </w:tcBorders>
            <w:shd w:val="clear" w:color="auto" w:fill="auto"/>
          </w:tcPr>
          <w:p w:rsidR="000054D5" w:rsidRPr="00256C13" w:rsidP="00EF6DA2" w14:paraId="6E69FE82" w14:textId="671381D5">
            <w:pPr>
              <w:widowControl/>
              <w:spacing w:after="200"/>
              <w:rPr>
                <w:sz w:val="22"/>
                <w:szCs w:val="22"/>
              </w:rPr>
            </w:pPr>
            <w:r w:rsidRPr="00256C13">
              <w:rPr>
                <w:sz w:val="22"/>
                <w:szCs w:val="22"/>
              </w:rPr>
              <w:t>Requirements for failures in implementation of an ACNU (§ 314.81(b)(3)(v)(d))</w:t>
            </w:r>
          </w:p>
        </w:tc>
        <w:tc>
          <w:tcPr>
            <w:tcW w:w="1117" w:type="dxa"/>
            <w:tcBorders>
              <w:left w:val="single" w:sz="4" w:space="0" w:color="auto"/>
              <w:right w:val="single" w:sz="4" w:space="0" w:color="auto"/>
            </w:tcBorders>
            <w:shd w:val="clear" w:color="auto" w:fill="auto"/>
          </w:tcPr>
          <w:p w:rsidR="000054D5" w:rsidRPr="00256C13" w:rsidP="00EF6DA2" w14:paraId="7355A1E2" w14:textId="77777777">
            <w:pPr>
              <w:widowControl/>
              <w:spacing w:after="200"/>
              <w:jc w:val="right"/>
              <w:rPr>
                <w:sz w:val="22"/>
                <w:szCs w:val="22"/>
              </w:rPr>
            </w:pPr>
            <w:r w:rsidRPr="00256C13">
              <w:rPr>
                <w:sz w:val="22"/>
                <w:szCs w:val="22"/>
              </w:rPr>
              <w:t>6</w:t>
            </w:r>
          </w:p>
        </w:tc>
        <w:tc>
          <w:tcPr>
            <w:tcW w:w="1493" w:type="dxa"/>
            <w:tcBorders>
              <w:left w:val="single" w:sz="4" w:space="0" w:color="auto"/>
              <w:right w:val="single" w:sz="4" w:space="0" w:color="auto"/>
            </w:tcBorders>
            <w:shd w:val="clear" w:color="auto" w:fill="auto"/>
          </w:tcPr>
          <w:p w:rsidR="000054D5" w:rsidRPr="00256C13" w:rsidP="00EF6DA2" w14:paraId="3730413B" w14:textId="77777777">
            <w:pPr>
              <w:widowControl/>
              <w:spacing w:after="200"/>
              <w:jc w:val="right"/>
              <w:rPr>
                <w:sz w:val="22"/>
                <w:szCs w:val="22"/>
              </w:rPr>
            </w:pPr>
            <w:r w:rsidRPr="00256C13">
              <w:rPr>
                <w:sz w:val="22"/>
                <w:szCs w:val="22"/>
              </w:rPr>
              <w:t>25</w:t>
            </w:r>
          </w:p>
        </w:tc>
        <w:tc>
          <w:tcPr>
            <w:tcW w:w="1170" w:type="dxa"/>
            <w:tcBorders>
              <w:left w:val="single" w:sz="4" w:space="0" w:color="auto"/>
              <w:right w:val="single" w:sz="4" w:space="0" w:color="auto"/>
            </w:tcBorders>
            <w:shd w:val="clear" w:color="auto" w:fill="auto"/>
          </w:tcPr>
          <w:p w:rsidR="000054D5" w:rsidRPr="00256C13" w:rsidP="00EF6DA2" w14:paraId="51433E16" w14:textId="77777777">
            <w:pPr>
              <w:widowControl/>
              <w:spacing w:after="200"/>
              <w:jc w:val="right"/>
              <w:rPr>
                <w:sz w:val="22"/>
                <w:szCs w:val="22"/>
              </w:rPr>
            </w:pPr>
            <w:r w:rsidRPr="00256C13">
              <w:rPr>
                <w:sz w:val="22"/>
                <w:szCs w:val="22"/>
              </w:rPr>
              <w:t>150</w:t>
            </w:r>
          </w:p>
        </w:tc>
        <w:tc>
          <w:tcPr>
            <w:tcW w:w="1440" w:type="dxa"/>
            <w:tcBorders>
              <w:left w:val="single" w:sz="4" w:space="0" w:color="auto"/>
            </w:tcBorders>
            <w:shd w:val="clear" w:color="auto" w:fill="auto"/>
          </w:tcPr>
          <w:p w:rsidR="000054D5" w:rsidRPr="00256C13" w:rsidP="00EF6DA2" w14:paraId="1BB1C10A" w14:textId="77777777">
            <w:pPr>
              <w:widowControl/>
              <w:spacing w:after="200"/>
              <w:jc w:val="right"/>
              <w:rPr>
                <w:sz w:val="22"/>
                <w:szCs w:val="22"/>
              </w:rPr>
            </w:pPr>
            <w:r w:rsidRPr="00256C13">
              <w:rPr>
                <w:sz w:val="22"/>
                <w:szCs w:val="22"/>
              </w:rPr>
              <w:t>8</w:t>
            </w:r>
          </w:p>
        </w:tc>
        <w:tc>
          <w:tcPr>
            <w:tcW w:w="900" w:type="dxa"/>
            <w:shd w:val="clear" w:color="auto" w:fill="auto"/>
          </w:tcPr>
          <w:p w:rsidR="000054D5" w:rsidRPr="00256C13" w:rsidP="00EF6DA2" w14:paraId="0D475774" w14:textId="77777777">
            <w:pPr>
              <w:widowControl/>
              <w:spacing w:after="200"/>
              <w:jc w:val="right"/>
              <w:rPr>
                <w:sz w:val="22"/>
                <w:szCs w:val="22"/>
              </w:rPr>
            </w:pPr>
            <w:r w:rsidRPr="00256C13">
              <w:rPr>
                <w:sz w:val="22"/>
                <w:szCs w:val="22"/>
              </w:rPr>
              <w:t>1,200</w:t>
            </w:r>
          </w:p>
        </w:tc>
      </w:tr>
    </w:tbl>
    <w:p w:rsidR="006B17DC" w:rsidP="00C64072" w14:paraId="7BAB21B5" w14:textId="2DF036A4">
      <w:pPr>
        <w:spacing w:after="200"/>
        <w:ind w:left="360"/>
      </w:pPr>
      <w:r w:rsidRPr="006C28C2">
        <w:rPr>
          <w:sz w:val="20"/>
          <w:szCs w:val="20"/>
          <w:vertAlign w:val="superscript"/>
        </w:rPr>
        <w:t>1</w:t>
      </w:r>
      <w:r w:rsidRPr="006C28C2">
        <w:rPr>
          <w:sz w:val="20"/>
          <w:szCs w:val="20"/>
        </w:rPr>
        <w:t xml:space="preserve">  There</w:t>
      </w:r>
      <w:r w:rsidRPr="006C28C2">
        <w:rPr>
          <w:sz w:val="20"/>
          <w:szCs w:val="20"/>
        </w:rPr>
        <w:t xml:space="preserve"> are no capital, or opera</w:t>
      </w:r>
      <w:r w:rsidRPr="006C28C2" w:rsidR="00DA2D31">
        <w:rPr>
          <w:sz w:val="20"/>
          <w:szCs w:val="20"/>
        </w:rPr>
        <w:t>ting or maintenance costs associated with the information coll</w:t>
      </w:r>
      <w:r w:rsidR="006C28C2">
        <w:rPr>
          <w:sz w:val="20"/>
          <w:szCs w:val="20"/>
        </w:rPr>
        <w:t>e</w:t>
      </w:r>
      <w:r w:rsidRPr="006C28C2" w:rsidR="00DA2D31">
        <w:rPr>
          <w:sz w:val="20"/>
          <w:szCs w:val="20"/>
        </w:rPr>
        <w:t>ction.</w:t>
      </w:r>
    </w:p>
    <w:p w:rsidR="00683D8D" w:rsidP="00DB1D99" w14:paraId="17AEE3EC" w14:textId="49183581">
      <w:pPr>
        <w:pStyle w:val="BodyText"/>
        <w:kinsoku w:val="0"/>
        <w:overflowPunct w:val="0"/>
        <w:spacing w:after="200"/>
        <w:ind w:left="0"/>
      </w:pPr>
      <w:r w:rsidRPr="00086D6C">
        <w:t>Based on</w:t>
      </w:r>
      <w:r w:rsidR="00D12931">
        <w:t xml:space="preserve"> our</w:t>
      </w:r>
      <w:r w:rsidRPr="00086D6C">
        <w:t xml:space="preserve"> experience with postmarket recordkeeping requirements, we </w:t>
      </w:r>
      <w:r w:rsidR="00D12931">
        <w:t>assume</w:t>
      </w:r>
      <w:r w:rsidR="005D27FB">
        <w:t xml:space="preserve"> </w:t>
      </w:r>
      <w:r w:rsidRPr="00086D6C">
        <w:t xml:space="preserve">an average burden of 8 hours </w:t>
      </w:r>
      <w:r w:rsidR="004C64EA">
        <w:t xml:space="preserve">of recordkeeping </w:t>
      </w:r>
      <w:r w:rsidRPr="00086D6C">
        <w:t>for each report</w:t>
      </w:r>
      <w:r w:rsidR="00A0088A">
        <w:t xml:space="preserve"> and therefore have</w:t>
      </w:r>
      <w:r w:rsidR="00115BC9">
        <w:t xml:space="preserve"> calculated</w:t>
      </w:r>
      <w:r w:rsidR="00EE33A9">
        <w:t xml:space="preserve"> </w:t>
      </w:r>
      <w:r w:rsidRPr="00086D6C">
        <w:t>1,200 hours</w:t>
      </w:r>
      <w:r w:rsidR="005D27FB">
        <w:t xml:space="preserve"> annually</w:t>
      </w:r>
      <w:r w:rsidRPr="00086D6C">
        <w:t>.</w:t>
      </w:r>
    </w:p>
    <w:p w:rsidR="00DB1D99" w:rsidRPr="00FB3AED" w:rsidP="00DB1D99" w14:paraId="63E70ABD" w14:textId="094760D9">
      <w:pPr>
        <w:pStyle w:val="BodyText"/>
        <w:kinsoku w:val="0"/>
        <w:overflowPunct w:val="0"/>
        <w:spacing w:after="200"/>
        <w:ind w:left="0"/>
        <w:jc w:val="center"/>
        <w:rPr>
          <w:sz w:val="22"/>
          <w:szCs w:val="22"/>
        </w:rPr>
      </w:pPr>
      <w:r>
        <w:rPr>
          <w:sz w:val="22"/>
          <w:szCs w:val="22"/>
        </w:rPr>
        <w:t xml:space="preserve">Table </w:t>
      </w:r>
      <w:r>
        <w:rPr>
          <w:sz w:val="22"/>
          <w:szCs w:val="22"/>
        </w:rPr>
        <w:t>3.--</w:t>
      </w:r>
      <w:r w:rsidRPr="00FB3AED" w:rsidR="00EA4788">
        <w:rPr>
          <w:sz w:val="22"/>
          <w:szCs w:val="22"/>
        </w:rPr>
        <w:t>Third-Party Disclosure Burden</w:t>
      </w:r>
      <w:r w:rsidRPr="00FB3AED" w:rsidR="000F1824">
        <w:rPr>
          <w:sz w:val="22"/>
          <w:szCs w:val="22"/>
        </w:rPr>
        <w:t xml:space="preserve">; </w:t>
      </w:r>
      <w:r w:rsidRPr="00256C13" w:rsidR="00BB1C26">
        <w:rPr>
          <w:sz w:val="22"/>
          <w:szCs w:val="22"/>
        </w:rPr>
        <w:t>OMB Control No. 0910-0</w:t>
      </w:r>
      <w:r w:rsidR="00BB1C26">
        <w:rPr>
          <w:sz w:val="22"/>
          <w:szCs w:val="22"/>
        </w:rPr>
        <w:t>340</w:t>
      </w:r>
      <w:r w:rsidRPr="006C28C2" w:rsidR="00BB1C26">
        <w:rPr>
          <w:sz w:val="22"/>
          <w:szCs w:val="22"/>
          <w:vertAlign w:val="superscript"/>
        </w:rPr>
        <w:t>1</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3960"/>
        <w:gridCol w:w="1350"/>
        <w:gridCol w:w="1440"/>
        <w:gridCol w:w="1260"/>
        <w:gridCol w:w="1170"/>
        <w:gridCol w:w="900"/>
      </w:tblGrid>
      <w:tr w14:paraId="3860B630" w14:textId="77777777" w:rsidTr="005B1AD5">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Height w:val="20"/>
        </w:trPr>
        <w:tc>
          <w:tcPr>
            <w:tcW w:w="3960" w:type="dxa"/>
            <w:shd w:val="clear" w:color="auto" w:fill="auto"/>
          </w:tcPr>
          <w:p w:rsidR="006B17DC" w:rsidRPr="00B03B93" w:rsidP="006C28C2" w14:paraId="6F390BCC" w14:textId="07BA4B63">
            <w:pPr>
              <w:widowControl/>
              <w:spacing w:after="200"/>
              <w:jc w:val="center"/>
              <w:rPr>
                <w:sz w:val="22"/>
                <w:szCs w:val="22"/>
              </w:rPr>
            </w:pPr>
            <w:r w:rsidRPr="00B03B93">
              <w:rPr>
                <w:sz w:val="22"/>
                <w:szCs w:val="22"/>
              </w:rPr>
              <w:t>Information Collection Activity; 21 CFR part 201, subpart C (Format and Content Requirements for Over-the-Counter Drug Product Labeling)</w:t>
            </w:r>
          </w:p>
        </w:tc>
        <w:tc>
          <w:tcPr>
            <w:tcW w:w="1350" w:type="dxa"/>
            <w:shd w:val="clear" w:color="auto" w:fill="auto"/>
          </w:tcPr>
          <w:p w:rsidR="006B17DC" w:rsidRPr="00B03B93" w:rsidP="006C28C2" w14:paraId="7A867270" w14:textId="77777777">
            <w:pPr>
              <w:widowControl/>
              <w:spacing w:after="200"/>
              <w:jc w:val="center"/>
              <w:rPr>
                <w:sz w:val="22"/>
                <w:szCs w:val="22"/>
              </w:rPr>
            </w:pPr>
            <w:r w:rsidRPr="00B03B93">
              <w:rPr>
                <w:sz w:val="22"/>
                <w:szCs w:val="22"/>
              </w:rPr>
              <w:t>No. of Respondents</w:t>
            </w:r>
          </w:p>
        </w:tc>
        <w:tc>
          <w:tcPr>
            <w:tcW w:w="1440" w:type="dxa"/>
            <w:shd w:val="clear" w:color="auto" w:fill="auto"/>
          </w:tcPr>
          <w:p w:rsidR="006B17DC" w:rsidRPr="00B03B93" w:rsidP="006C28C2" w14:paraId="12E13118" w14:textId="77777777">
            <w:pPr>
              <w:widowControl/>
              <w:spacing w:after="200"/>
              <w:jc w:val="center"/>
              <w:rPr>
                <w:sz w:val="22"/>
                <w:szCs w:val="22"/>
              </w:rPr>
            </w:pPr>
            <w:r w:rsidRPr="00B03B93">
              <w:rPr>
                <w:sz w:val="22"/>
                <w:szCs w:val="22"/>
              </w:rPr>
              <w:t>No. of Responses per Respondent</w:t>
            </w:r>
          </w:p>
        </w:tc>
        <w:tc>
          <w:tcPr>
            <w:tcW w:w="1260" w:type="dxa"/>
            <w:shd w:val="clear" w:color="auto" w:fill="auto"/>
          </w:tcPr>
          <w:p w:rsidR="006B17DC" w:rsidRPr="00B03B93" w:rsidP="006C28C2" w14:paraId="642529AD" w14:textId="77777777">
            <w:pPr>
              <w:widowControl/>
              <w:spacing w:after="200"/>
              <w:jc w:val="center"/>
              <w:rPr>
                <w:sz w:val="22"/>
                <w:szCs w:val="22"/>
              </w:rPr>
            </w:pPr>
            <w:r w:rsidRPr="00B03B93">
              <w:rPr>
                <w:sz w:val="22"/>
                <w:szCs w:val="22"/>
              </w:rPr>
              <w:t>Total Annual Responses</w:t>
            </w:r>
          </w:p>
        </w:tc>
        <w:tc>
          <w:tcPr>
            <w:tcW w:w="1170" w:type="dxa"/>
            <w:shd w:val="clear" w:color="auto" w:fill="auto"/>
          </w:tcPr>
          <w:p w:rsidR="006B17DC" w:rsidRPr="00B03B93" w:rsidP="006C28C2" w14:paraId="00BCC863" w14:textId="77777777">
            <w:pPr>
              <w:widowControl/>
              <w:spacing w:after="200"/>
              <w:jc w:val="center"/>
              <w:rPr>
                <w:sz w:val="22"/>
                <w:szCs w:val="22"/>
              </w:rPr>
            </w:pPr>
            <w:r w:rsidRPr="00B03B93">
              <w:rPr>
                <w:sz w:val="22"/>
                <w:szCs w:val="22"/>
              </w:rPr>
              <w:t>Average Burden per Response</w:t>
            </w:r>
          </w:p>
        </w:tc>
        <w:tc>
          <w:tcPr>
            <w:tcW w:w="900" w:type="dxa"/>
            <w:shd w:val="clear" w:color="auto" w:fill="auto"/>
          </w:tcPr>
          <w:p w:rsidR="006B17DC" w:rsidRPr="00B03B93" w:rsidP="006C28C2" w14:paraId="65603F13" w14:textId="77777777">
            <w:pPr>
              <w:widowControl/>
              <w:spacing w:after="200"/>
              <w:jc w:val="center"/>
              <w:rPr>
                <w:sz w:val="22"/>
                <w:szCs w:val="22"/>
              </w:rPr>
            </w:pPr>
            <w:r w:rsidRPr="00B03B93">
              <w:rPr>
                <w:sz w:val="22"/>
                <w:szCs w:val="22"/>
              </w:rPr>
              <w:t>Total Hours</w:t>
            </w:r>
          </w:p>
        </w:tc>
      </w:tr>
      <w:tr w14:paraId="4C148B84"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14:paraId="5DCA4BEC" w14:textId="7CDE130F">
            <w:pPr>
              <w:widowControl/>
              <w:spacing w:after="200"/>
              <w:rPr>
                <w:sz w:val="22"/>
                <w:szCs w:val="22"/>
              </w:rPr>
            </w:pPr>
            <w:r w:rsidRPr="00B03B93">
              <w:rPr>
                <w:sz w:val="22"/>
                <w:szCs w:val="22"/>
              </w:rPr>
              <w:t>Disclosure of information on the principal display panel or within Drug Facts Labeling; 201.66 (including)g statements specified in § 201.130(a)(1) and (2)</w:t>
            </w:r>
          </w:p>
        </w:tc>
        <w:tc>
          <w:tcPr>
            <w:tcW w:w="1350" w:type="dxa"/>
            <w:shd w:val="clear" w:color="auto" w:fill="auto"/>
          </w:tcPr>
          <w:p w:rsidR="006B17DC" w:rsidRPr="00B03B93" w14:paraId="34CF8975"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14:paraId="18D9167D"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14:paraId="5B4069BD"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14:paraId="51255791" w14:textId="77777777">
            <w:pPr>
              <w:widowControl/>
              <w:spacing w:after="200"/>
              <w:jc w:val="right"/>
              <w:rPr>
                <w:sz w:val="22"/>
                <w:szCs w:val="22"/>
              </w:rPr>
            </w:pPr>
            <w:r w:rsidRPr="00B03B93">
              <w:rPr>
                <w:sz w:val="22"/>
                <w:szCs w:val="22"/>
              </w:rPr>
              <w:t>15</w:t>
            </w:r>
          </w:p>
        </w:tc>
        <w:tc>
          <w:tcPr>
            <w:tcW w:w="900" w:type="dxa"/>
            <w:shd w:val="clear" w:color="auto" w:fill="auto"/>
          </w:tcPr>
          <w:p w:rsidR="006B17DC" w:rsidRPr="00B03B93" w14:paraId="209D42B3" w14:textId="77777777">
            <w:pPr>
              <w:widowControl/>
              <w:spacing w:after="200"/>
              <w:jc w:val="right"/>
              <w:rPr>
                <w:sz w:val="22"/>
                <w:szCs w:val="22"/>
              </w:rPr>
            </w:pPr>
            <w:r w:rsidRPr="00B03B93">
              <w:rPr>
                <w:sz w:val="22"/>
                <w:szCs w:val="22"/>
              </w:rPr>
              <w:t>90</w:t>
            </w:r>
          </w:p>
        </w:tc>
      </w:tr>
      <w:tr w14:paraId="721322E2" w14:textId="77777777" w:rsidTr="005B1AD5">
        <w:tblPrEx>
          <w:tblW w:w="10080" w:type="dxa"/>
          <w:tblInd w:w="-5" w:type="dxa"/>
          <w:tblLayout w:type="fixed"/>
          <w:tblLook w:val="01C0"/>
        </w:tblPrEx>
        <w:trPr>
          <w:cantSplit/>
          <w:trHeight w:val="20"/>
        </w:trPr>
        <w:tc>
          <w:tcPr>
            <w:tcW w:w="3960" w:type="dxa"/>
            <w:shd w:val="clear" w:color="auto" w:fill="auto"/>
          </w:tcPr>
          <w:p w:rsidR="006B17DC" w:rsidRPr="00B03B93" w14:paraId="4B393386" w14:textId="767C7D16">
            <w:pPr>
              <w:widowControl/>
              <w:spacing w:after="200"/>
              <w:rPr>
                <w:sz w:val="22"/>
                <w:szCs w:val="22"/>
              </w:rPr>
            </w:pPr>
            <w:r w:rsidRPr="00B03B93">
              <w:rPr>
                <w:sz w:val="22"/>
                <w:szCs w:val="22"/>
              </w:rPr>
              <w:t xml:space="preserve">ACNU statement; </w:t>
            </w:r>
            <w:r w:rsidRPr="00B03B93">
              <w:rPr>
                <w:sz w:val="22"/>
                <w:szCs w:val="22"/>
              </w:rPr>
              <w:t>(§ 201.67)</w:t>
            </w:r>
          </w:p>
        </w:tc>
        <w:tc>
          <w:tcPr>
            <w:tcW w:w="1350" w:type="dxa"/>
            <w:shd w:val="clear" w:color="auto" w:fill="auto"/>
          </w:tcPr>
          <w:p w:rsidR="006B17DC" w:rsidRPr="00B03B93" w14:paraId="6C7A7D16" w14:textId="77777777">
            <w:pPr>
              <w:widowControl/>
              <w:spacing w:after="200"/>
              <w:jc w:val="right"/>
              <w:rPr>
                <w:sz w:val="22"/>
                <w:szCs w:val="22"/>
              </w:rPr>
            </w:pPr>
            <w:r w:rsidRPr="00B03B93">
              <w:rPr>
                <w:sz w:val="22"/>
                <w:szCs w:val="22"/>
              </w:rPr>
              <w:t>6</w:t>
            </w:r>
          </w:p>
        </w:tc>
        <w:tc>
          <w:tcPr>
            <w:tcW w:w="1440" w:type="dxa"/>
            <w:shd w:val="clear" w:color="auto" w:fill="auto"/>
          </w:tcPr>
          <w:p w:rsidR="006B17DC" w:rsidRPr="00B03B93" w14:paraId="321D93ED" w14:textId="77777777">
            <w:pPr>
              <w:widowControl/>
              <w:spacing w:after="200"/>
              <w:jc w:val="right"/>
              <w:rPr>
                <w:sz w:val="22"/>
                <w:szCs w:val="22"/>
              </w:rPr>
            </w:pPr>
            <w:r w:rsidRPr="00B03B93">
              <w:rPr>
                <w:sz w:val="22"/>
                <w:szCs w:val="22"/>
              </w:rPr>
              <w:t>1</w:t>
            </w:r>
          </w:p>
        </w:tc>
        <w:tc>
          <w:tcPr>
            <w:tcW w:w="1260" w:type="dxa"/>
            <w:shd w:val="clear" w:color="auto" w:fill="auto"/>
          </w:tcPr>
          <w:p w:rsidR="006B17DC" w:rsidRPr="00B03B93" w14:paraId="33C0CA55" w14:textId="77777777">
            <w:pPr>
              <w:widowControl/>
              <w:spacing w:after="200"/>
              <w:jc w:val="right"/>
              <w:rPr>
                <w:sz w:val="22"/>
                <w:szCs w:val="22"/>
              </w:rPr>
            </w:pPr>
            <w:r w:rsidRPr="00B03B93">
              <w:rPr>
                <w:sz w:val="22"/>
                <w:szCs w:val="22"/>
              </w:rPr>
              <w:t>6</w:t>
            </w:r>
          </w:p>
        </w:tc>
        <w:tc>
          <w:tcPr>
            <w:tcW w:w="1170" w:type="dxa"/>
            <w:shd w:val="clear" w:color="auto" w:fill="auto"/>
          </w:tcPr>
          <w:p w:rsidR="006B17DC" w:rsidRPr="00B03B93" w14:paraId="061EF38D" w14:textId="77777777">
            <w:pPr>
              <w:widowControl/>
              <w:spacing w:after="200"/>
              <w:jc w:val="right"/>
              <w:rPr>
                <w:sz w:val="22"/>
                <w:szCs w:val="22"/>
              </w:rPr>
            </w:pPr>
            <w:r w:rsidRPr="00B03B93">
              <w:rPr>
                <w:sz w:val="22"/>
                <w:szCs w:val="22"/>
              </w:rPr>
              <w:t>9</w:t>
            </w:r>
          </w:p>
        </w:tc>
        <w:tc>
          <w:tcPr>
            <w:tcW w:w="900" w:type="dxa"/>
            <w:shd w:val="clear" w:color="auto" w:fill="auto"/>
          </w:tcPr>
          <w:p w:rsidR="006B17DC" w:rsidRPr="00B03B93" w14:paraId="6C722570" w14:textId="77777777">
            <w:pPr>
              <w:widowControl/>
              <w:spacing w:after="200"/>
              <w:jc w:val="right"/>
              <w:rPr>
                <w:sz w:val="22"/>
                <w:szCs w:val="22"/>
              </w:rPr>
            </w:pPr>
            <w:r w:rsidRPr="00B03B93">
              <w:rPr>
                <w:sz w:val="22"/>
                <w:szCs w:val="22"/>
              </w:rPr>
              <w:t>54</w:t>
            </w:r>
          </w:p>
        </w:tc>
      </w:tr>
      <w:tr w14:paraId="722D67C5" w14:textId="77777777" w:rsidTr="005B1AD5">
        <w:tblPrEx>
          <w:tblW w:w="10080" w:type="dxa"/>
          <w:tblInd w:w="-5" w:type="dxa"/>
          <w:tblLayout w:type="fixed"/>
          <w:tblLook w:val="01C0"/>
        </w:tblPrEx>
        <w:trPr>
          <w:cantSplit/>
          <w:trHeight w:val="20"/>
        </w:trPr>
        <w:tc>
          <w:tcPr>
            <w:tcW w:w="3960" w:type="dxa"/>
            <w:tcBorders>
              <w:bottom w:val="single" w:sz="4" w:space="0" w:color="auto"/>
            </w:tcBorders>
            <w:shd w:val="clear" w:color="auto" w:fill="auto"/>
          </w:tcPr>
          <w:p w:rsidR="006B17DC" w:rsidRPr="00B03B93" w14:paraId="632E3934" w14:textId="7BC296B4">
            <w:pPr>
              <w:widowControl/>
              <w:spacing w:after="200"/>
              <w:rPr>
                <w:sz w:val="22"/>
                <w:szCs w:val="22"/>
              </w:rPr>
            </w:pPr>
            <w:r w:rsidRPr="00B03B93">
              <w:rPr>
                <w:sz w:val="22"/>
                <w:szCs w:val="22"/>
              </w:rPr>
              <w:t>T</w:t>
            </w:r>
            <w:r w:rsidR="00427DCF">
              <w:rPr>
                <w:sz w:val="22"/>
                <w:szCs w:val="22"/>
              </w:rPr>
              <w:t>OTAL</w:t>
            </w:r>
          </w:p>
        </w:tc>
        <w:tc>
          <w:tcPr>
            <w:tcW w:w="1350" w:type="dxa"/>
            <w:tcBorders>
              <w:bottom w:val="single" w:sz="4" w:space="0" w:color="auto"/>
            </w:tcBorders>
            <w:shd w:val="clear" w:color="auto" w:fill="auto"/>
          </w:tcPr>
          <w:p w:rsidR="006B17DC" w:rsidRPr="00B03B93" w14:paraId="7F555887" w14:textId="77777777">
            <w:pPr>
              <w:widowControl/>
              <w:spacing w:after="200"/>
              <w:jc w:val="right"/>
              <w:rPr>
                <w:sz w:val="22"/>
                <w:szCs w:val="22"/>
              </w:rPr>
            </w:pPr>
          </w:p>
        </w:tc>
        <w:tc>
          <w:tcPr>
            <w:tcW w:w="1440" w:type="dxa"/>
            <w:tcBorders>
              <w:bottom w:val="single" w:sz="4" w:space="0" w:color="auto"/>
            </w:tcBorders>
            <w:shd w:val="clear" w:color="auto" w:fill="auto"/>
          </w:tcPr>
          <w:p w:rsidR="006B17DC" w:rsidRPr="00B03B93" w14:paraId="08322EAE" w14:textId="77777777">
            <w:pPr>
              <w:widowControl/>
              <w:spacing w:after="200"/>
              <w:jc w:val="right"/>
              <w:rPr>
                <w:sz w:val="22"/>
                <w:szCs w:val="22"/>
              </w:rPr>
            </w:pPr>
          </w:p>
        </w:tc>
        <w:tc>
          <w:tcPr>
            <w:tcW w:w="1260" w:type="dxa"/>
            <w:tcBorders>
              <w:bottom w:val="single" w:sz="4" w:space="0" w:color="auto"/>
            </w:tcBorders>
            <w:shd w:val="clear" w:color="auto" w:fill="auto"/>
          </w:tcPr>
          <w:p w:rsidR="006B17DC" w:rsidRPr="00B03B93" w14:paraId="0835719A"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12</w:t>
            </w:r>
            <w:r w:rsidRPr="00B03B93">
              <w:rPr>
                <w:sz w:val="22"/>
                <w:szCs w:val="22"/>
              </w:rPr>
              <w:fldChar w:fldCharType="end"/>
            </w:r>
          </w:p>
        </w:tc>
        <w:tc>
          <w:tcPr>
            <w:tcW w:w="1170" w:type="dxa"/>
            <w:tcBorders>
              <w:bottom w:val="single" w:sz="4" w:space="0" w:color="auto"/>
            </w:tcBorders>
            <w:shd w:val="clear" w:color="auto" w:fill="auto"/>
          </w:tcPr>
          <w:p w:rsidR="006B17DC" w:rsidRPr="00B03B93" w14:paraId="0553D0C1" w14:textId="77777777">
            <w:pPr>
              <w:widowControl/>
              <w:spacing w:after="200"/>
              <w:jc w:val="right"/>
              <w:rPr>
                <w:sz w:val="22"/>
                <w:szCs w:val="22"/>
              </w:rPr>
            </w:pPr>
          </w:p>
        </w:tc>
        <w:tc>
          <w:tcPr>
            <w:tcW w:w="900" w:type="dxa"/>
            <w:tcBorders>
              <w:bottom w:val="single" w:sz="4" w:space="0" w:color="auto"/>
            </w:tcBorders>
            <w:shd w:val="clear" w:color="auto" w:fill="auto"/>
          </w:tcPr>
          <w:p w:rsidR="006B17DC" w:rsidRPr="00B03B93" w14:paraId="6593CD07" w14:textId="77777777">
            <w:pPr>
              <w:widowControl/>
              <w:spacing w:after="200"/>
              <w:jc w:val="right"/>
              <w:rPr>
                <w:sz w:val="22"/>
                <w:szCs w:val="22"/>
              </w:rPr>
            </w:pPr>
            <w:r w:rsidRPr="00B03B93">
              <w:rPr>
                <w:sz w:val="22"/>
                <w:szCs w:val="22"/>
              </w:rPr>
              <w:fldChar w:fldCharType="begin"/>
            </w:r>
            <w:r w:rsidRPr="00B03B93">
              <w:rPr>
                <w:sz w:val="22"/>
                <w:szCs w:val="22"/>
              </w:rPr>
              <w:instrText xml:space="preserve"> =SUM(ABOVE) </w:instrText>
            </w:r>
            <w:r w:rsidRPr="00B03B93">
              <w:rPr>
                <w:sz w:val="22"/>
                <w:szCs w:val="22"/>
              </w:rPr>
              <w:fldChar w:fldCharType="separate"/>
            </w:r>
            <w:r w:rsidRPr="00B03B93">
              <w:rPr>
                <w:noProof/>
                <w:sz w:val="22"/>
                <w:szCs w:val="22"/>
              </w:rPr>
              <w:t>144</w:t>
            </w:r>
            <w:r w:rsidRPr="00B03B93">
              <w:rPr>
                <w:sz w:val="22"/>
                <w:szCs w:val="22"/>
              </w:rPr>
              <w:fldChar w:fldCharType="end"/>
            </w:r>
          </w:p>
        </w:tc>
      </w:tr>
      <w:tr w14:paraId="2AC37EF8" w14:textId="77777777" w:rsidTr="005B1AD5">
        <w:tblPrEx>
          <w:tblW w:w="10080" w:type="dxa"/>
          <w:tblInd w:w="-5" w:type="dxa"/>
          <w:tblLayout w:type="fixed"/>
          <w:tblLook w:val="01C0"/>
        </w:tblPrEx>
        <w:trPr>
          <w:cantSplit/>
          <w:trHeight w:val="20"/>
        </w:trPr>
        <w:tc>
          <w:tcPr>
            <w:tcW w:w="10080" w:type="dxa"/>
            <w:gridSpan w:val="6"/>
            <w:tcBorders>
              <w:top w:val="single" w:sz="4" w:space="0" w:color="auto"/>
              <w:left w:val="nil"/>
              <w:bottom w:val="nil"/>
              <w:right w:val="nil"/>
            </w:tcBorders>
            <w:shd w:val="clear" w:color="auto" w:fill="auto"/>
          </w:tcPr>
          <w:p w:rsidR="006B17DC" w:rsidRPr="00B03B93" w14:paraId="52F2F5CA" w14:textId="77777777">
            <w:pPr>
              <w:widowControl/>
              <w:rPr>
                <w:sz w:val="22"/>
                <w:szCs w:val="22"/>
              </w:rPr>
            </w:pPr>
            <w:r w:rsidRPr="00B03B93">
              <w:rPr>
                <w:sz w:val="22"/>
                <w:szCs w:val="22"/>
                <w:vertAlign w:val="superscript"/>
              </w:rPr>
              <w:t>1</w:t>
            </w:r>
            <w:r w:rsidRPr="00B03B93">
              <w:rPr>
                <w:sz w:val="22"/>
                <w:szCs w:val="22"/>
              </w:rPr>
              <w:t xml:space="preserve"> There are no capital costs or operating and maintenance costs associated with this collection of information.</w:t>
            </w:r>
          </w:p>
          <w:p w:rsidR="006B17DC" w:rsidRPr="00B03B93" w14:paraId="4DCC1EB9" w14:textId="424E2D74">
            <w:pPr>
              <w:widowControl/>
              <w:rPr>
                <w:sz w:val="22"/>
                <w:szCs w:val="22"/>
              </w:rPr>
            </w:pPr>
          </w:p>
        </w:tc>
      </w:tr>
    </w:tbl>
    <w:p w:rsidR="006B17DC" w:rsidRPr="00086D6C" w:rsidP="00B02BCD" w14:paraId="4D5B20A8" w14:textId="77777777">
      <w:pPr>
        <w:spacing w:after="200"/>
      </w:pPr>
    </w:p>
    <w:p w:rsidR="00FD2ACA" w:rsidP="006B17DC" w14:paraId="4DB55D47" w14:textId="4C3298A7">
      <w:pPr>
        <w:pStyle w:val="BodyText"/>
        <w:kinsoku w:val="0"/>
        <w:overflowPunct w:val="0"/>
        <w:spacing w:after="200"/>
        <w:ind w:left="0"/>
        <w:rPr>
          <w:i/>
          <w:iCs/>
        </w:rPr>
      </w:pPr>
      <w:r w:rsidRPr="00086D6C">
        <w:rPr>
          <w:i/>
          <w:iCs/>
        </w:rPr>
        <w:t xml:space="preserve">Labeling for Nonprescription Drugs with an ACNU </w:t>
      </w:r>
    </w:p>
    <w:p w:rsidR="00FD2ACA" w:rsidP="006B17DC" w14:paraId="41C8400A" w14:textId="12F88ADD">
      <w:pPr>
        <w:pStyle w:val="BodyText"/>
        <w:kinsoku w:val="0"/>
        <w:overflowPunct w:val="0"/>
        <w:spacing w:after="200"/>
        <w:ind w:left="0"/>
      </w:pPr>
      <w:r>
        <w:t>B</w:t>
      </w:r>
      <w:r w:rsidR="00786F5E">
        <w:t>ased</w:t>
      </w:r>
      <w:r w:rsidRPr="00086D6C">
        <w:t xml:space="preserve"> on our experience with NDA and ANDA submissions</w:t>
      </w:r>
      <w:r w:rsidR="00786F5E">
        <w:t xml:space="preserve">, </w:t>
      </w:r>
      <w:r w:rsidRPr="00086D6C">
        <w:t>we estimate six</w:t>
      </w:r>
      <w:r w:rsidR="009F27AD">
        <w:t xml:space="preserve"> respondents</w:t>
      </w:r>
      <w:r w:rsidRPr="00086D6C">
        <w:t xml:space="preserve"> will </w:t>
      </w:r>
      <w:r w:rsidR="009976D8">
        <w:t>each</w:t>
      </w:r>
      <w:r w:rsidR="009F27AD">
        <w:t xml:space="preserve"> submit an application for a </w:t>
      </w:r>
      <w:r w:rsidRPr="00086D6C">
        <w:t>nonprescription drug product with an ACNU</w:t>
      </w:r>
      <w:r w:rsidR="00D80565">
        <w:t xml:space="preserve">, each becoming </w:t>
      </w:r>
      <w:r w:rsidRPr="00086D6C">
        <w:t>subject to all nonprescription labeling regulations</w:t>
      </w:r>
      <w:r w:rsidR="00D80565">
        <w:t xml:space="preserve"> in </w:t>
      </w:r>
      <w:r w:rsidRPr="00086D6C">
        <w:t>(21 CFR 201</w:t>
      </w:r>
      <w:r>
        <w:t>,</w:t>
      </w:r>
      <w:r w:rsidRPr="00086D6C">
        <w:t xml:space="preserve"> subpart C, including the requirements for statements of identity and net contents (</w:t>
      </w:r>
      <w:r>
        <w:t>§§</w:t>
      </w:r>
      <w:r w:rsidRPr="00086D6C">
        <w:t xml:space="preserve"> 201.61 and 201.62) which appear on the principal display panel (PDP) (defined by </w:t>
      </w:r>
      <w:r>
        <w:t>§</w:t>
      </w:r>
      <w:r w:rsidRPr="00086D6C">
        <w:t xml:space="preserve"> 201.60), and the Drug Facts </w:t>
      </w:r>
      <w:r>
        <w:t>l</w:t>
      </w:r>
      <w:r w:rsidRPr="00086D6C">
        <w:t>abel (DFL) requirements of § 201.66, as part of which the respondents must also include (where applicable) labeling to satisfy sodium, calcium, magnesium, and potassium labeling requirements (</w:t>
      </w:r>
      <w:r>
        <w:t>§§</w:t>
      </w:r>
      <w:r w:rsidRPr="00086D6C">
        <w:t xml:space="preserve"> 201.64, 201.70, 201.71, </w:t>
      </w:r>
      <w:r>
        <w:t xml:space="preserve">and </w:t>
      </w:r>
      <w:r w:rsidRPr="00086D6C">
        <w:t xml:space="preserve">201.72), and the statements required by </w:t>
      </w:r>
      <w:r>
        <w:t>§</w:t>
      </w:r>
      <w:r w:rsidR="004A1811">
        <w:t>§</w:t>
      </w:r>
      <w:r w:rsidRPr="00086D6C">
        <w:t xml:space="preserve"> 201.130(a)(1)</w:t>
      </w:r>
      <w:r w:rsidR="004A1811">
        <w:t xml:space="preserve"> and (a)(2)</w:t>
      </w:r>
      <w:r w:rsidRPr="00086D6C">
        <w:t>.  These products may also have additional labeling beyond the DFL requirements (</w:t>
      </w:r>
      <w:r>
        <w:t>§</w:t>
      </w:r>
      <w:r w:rsidRPr="00086D6C">
        <w:t xml:space="preserve"> 201.67(c)(2)).  </w:t>
      </w:r>
    </w:p>
    <w:p w:rsidR="00FD2ACA" w:rsidP="006B17DC" w14:paraId="30715563" w14:textId="6CD38159">
      <w:pPr>
        <w:pStyle w:val="BodyText"/>
        <w:kinsoku w:val="0"/>
        <w:overflowPunct w:val="0"/>
        <w:spacing w:after="200"/>
        <w:ind w:left="0"/>
      </w:pPr>
      <w:r>
        <w:t>Estimating</w:t>
      </w:r>
      <w:r w:rsidR="00CB3FC1">
        <w:t xml:space="preserve"> </w:t>
      </w:r>
      <w:r w:rsidRPr="00086D6C">
        <w:t>six respondents</w:t>
      </w:r>
      <w:r w:rsidR="001525AB">
        <w:t xml:space="preserve"> will expend 1 hour</w:t>
      </w:r>
      <w:r w:rsidRPr="00086D6C">
        <w:t xml:space="preserve"> </w:t>
      </w:r>
      <w:r w:rsidR="008740A3">
        <w:t>annually</w:t>
      </w:r>
      <w:r w:rsidR="001525AB">
        <w:t xml:space="preserve"> to comply</w:t>
      </w:r>
      <w:r w:rsidR="007A5D4B">
        <w:t xml:space="preserve"> </w:t>
      </w:r>
      <w:r w:rsidRPr="00086D6C">
        <w:t>with PDP and DFL labeling requirements under § 201.67(c)(1)</w:t>
      </w:r>
      <w:r w:rsidR="007A5D4B">
        <w:t>, and assuming</w:t>
      </w:r>
      <w:r w:rsidR="00DA2CE7">
        <w:t xml:space="preserve"> each disclosure will require</w:t>
      </w:r>
      <w:r w:rsidRPr="00086D6C">
        <w:t xml:space="preserve"> 15 hours, </w:t>
      </w:r>
      <w:r w:rsidR="00DA2CE7">
        <w:t xml:space="preserve">we calculate </w:t>
      </w:r>
      <w:r w:rsidRPr="00086D6C">
        <w:t xml:space="preserve">a total of 90 hours </w:t>
      </w:r>
      <w:r w:rsidR="00EB22E4">
        <w:t>annually.</w:t>
      </w:r>
      <w:r w:rsidRPr="00086D6C">
        <w:t xml:space="preserve"> Additionally, we estimate six respondents will </w:t>
      </w:r>
      <w:r w:rsidR="002233C8">
        <w:t xml:space="preserve">each </w:t>
      </w:r>
      <w:r w:rsidRPr="00086D6C">
        <w:t>submit one application for a nonprescription drug product with an ACNU that contains additional labeling requirements</w:t>
      </w:r>
      <w:r>
        <w:t>,</w:t>
      </w:r>
      <w:r w:rsidRPr="00086D6C">
        <w:t xml:space="preserve"> for a total of six annual responses.  Based on </w:t>
      </w:r>
      <w:r w:rsidR="00731BE2">
        <w:t xml:space="preserve">our </w:t>
      </w:r>
      <w:r w:rsidRPr="00086D6C">
        <w:t xml:space="preserve">experience with nonprescription labeling requirements, we </w:t>
      </w:r>
      <w:r w:rsidR="0020672C">
        <w:t xml:space="preserve">assume an </w:t>
      </w:r>
      <w:r w:rsidRPr="00086D6C">
        <w:t>average burden per response of 9 hours</w:t>
      </w:r>
      <w:r>
        <w:t>,</w:t>
      </w:r>
      <w:r w:rsidRPr="00086D6C">
        <w:t xml:space="preserve"> for a total of 54 hours </w:t>
      </w:r>
      <w:r w:rsidR="0020672C">
        <w:t>annually</w:t>
      </w:r>
      <w:r w:rsidRPr="00086D6C">
        <w:t>.</w:t>
      </w:r>
    </w:p>
    <w:p w:rsidR="00412365" w:rsidRPr="006B17DC" w:rsidP="00412365" w14:paraId="2AB0A2DA" w14:textId="77777777">
      <w:pPr>
        <w:spacing w:after="200"/>
        <w:ind w:left="360"/>
        <w:rPr>
          <w:rFonts w:eastAsia="Calibri"/>
          <w:i/>
          <w:iCs/>
        </w:rPr>
      </w:pPr>
      <w:r w:rsidRPr="006B17DC">
        <w:rPr>
          <w:rFonts w:eastAsia="Calibri"/>
          <w:i/>
          <w:iCs/>
        </w:rPr>
        <w:t>12b.  Annualized Cost Burden Estimate</w:t>
      </w:r>
    </w:p>
    <w:p w:rsidR="00EB4BA4" w:rsidRPr="00086D6C" w:rsidP="006B17DC" w14:paraId="226DE57F" w14:textId="16912640">
      <w:pPr>
        <w:pStyle w:val="BodyText"/>
        <w:kinsoku w:val="0"/>
        <w:overflowPunct w:val="0"/>
        <w:spacing w:after="200"/>
        <w:ind w:left="90"/>
      </w:pPr>
      <w:r w:rsidRPr="00086D6C">
        <w:t xml:space="preserve">We estimate reduction in access costs to consumers who could transfer from a prescription to a nonprescription drug product with an ACNU.  </w:t>
      </w:r>
      <w:r w:rsidRPr="00086D6C" w:rsidR="00545682">
        <w:t>Our primary</w:t>
      </w:r>
      <w:r w:rsidRPr="00086D6C" w:rsidR="00E915A0">
        <w:t xml:space="preserve"> estimate </w:t>
      </w:r>
      <w:r w:rsidRPr="00086D6C">
        <w:t>for this item is $</w:t>
      </w:r>
      <w:r w:rsidR="00BD10F8">
        <w:t>33.62</w:t>
      </w:r>
      <w:r w:rsidRPr="00086D6C">
        <w:t xml:space="preserve"> </w:t>
      </w:r>
      <w:r w:rsidRPr="00DD693F" w:rsidR="00BD10F8">
        <w:rPr>
          <w:rStyle w:val="normaltextrun"/>
        </w:rPr>
        <w:t xml:space="preserve">per consumer per purchase </w:t>
      </w:r>
      <w:r w:rsidRPr="00086D6C">
        <w:t>with a range of $0 to $</w:t>
      </w:r>
      <w:r w:rsidR="00902AF4">
        <w:t>67.23</w:t>
      </w:r>
      <w:r w:rsidRPr="00086D6C">
        <w:t xml:space="preserve">.  </w:t>
      </w:r>
      <w:r w:rsidRPr="00DD693F" w:rsidR="009E010B">
        <w:rPr>
          <w:rStyle w:val="normaltextrun"/>
        </w:rPr>
        <w:t>We also quantify the value of the potential reduction in the number of meetings with applicants that will occur during the approval process.  This estimate includes benefits to us and industry.  Our primary estimate is $68,773.11 per applicant with a range of $56,332.65 to $81,763.56.</w:t>
      </w:r>
    </w:p>
    <w:p w:rsidR="00B27998" w:rsidRPr="00086D6C" w:rsidP="00B273EF" w14:paraId="55C9A5A5" w14:textId="74324C05">
      <w:pPr>
        <w:pStyle w:val="BodyText"/>
        <w:numPr>
          <w:ilvl w:val="0"/>
          <w:numId w:val="3"/>
        </w:numPr>
        <w:tabs>
          <w:tab w:val="left" w:pos="301"/>
        </w:tabs>
        <w:kinsoku w:val="0"/>
        <w:overflowPunct w:val="0"/>
        <w:spacing w:after="200"/>
        <w:ind w:left="180" w:hanging="180"/>
      </w:pPr>
      <w:r w:rsidRPr="00086D6C">
        <w:rPr>
          <w:spacing w:val="-1"/>
          <w:u w:val="single"/>
        </w:rPr>
        <w:t>Estimates of Other Total Annual Costs to Respondents and/or</w:t>
      </w:r>
      <w:r w:rsidRPr="00086D6C" w:rsidR="009849ED">
        <w:rPr>
          <w:spacing w:val="-1"/>
          <w:u w:val="single"/>
        </w:rPr>
        <w:t xml:space="preserve"> </w:t>
      </w:r>
      <w:r w:rsidRPr="00086D6C">
        <w:rPr>
          <w:spacing w:val="-1"/>
          <w:u w:val="single"/>
        </w:rPr>
        <w:t>Recordkeepers/Capital Costs</w:t>
      </w:r>
    </w:p>
    <w:p w:rsidR="00B27998" w:rsidRPr="00086D6C" w:rsidP="00B273EF" w14:paraId="5F624E5D" w14:textId="094A1664">
      <w:pPr>
        <w:pStyle w:val="BodyText"/>
        <w:kinsoku w:val="0"/>
        <w:overflowPunct w:val="0"/>
        <w:spacing w:after="200"/>
        <w:ind w:left="0"/>
      </w:pPr>
      <w:r w:rsidRPr="00086D6C">
        <w:t xml:space="preserve">There are </w:t>
      </w:r>
      <w:r w:rsidRPr="00086D6C" w:rsidR="003F302B">
        <w:t xml:space="preserve">no </w:t>
      </w:r>
      <w:r w:rsidRPr="00086D6C">
        <w:t xml:space="preserve">capital costs </w:t>
      </w:r>
      <w:r w:rsidRPr="00086D6C" w:rsidR="00CF573B">
        <w:t>and</w:t>
      </w:r>
      <w:r w:rsidRPr="00086D6C">
        <w:t xml:space="preserve"> operating and maintenance costs associated with this collection of information.</w:t>
      </w:r>
    </w:p>
    <w:p w:rsidR="001C1ACE" w:rsidRPr="00086D6C" w:rsidP="001C1ACE" w14:paraId="075C3D32"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Annualized Cost to the Federal Government</w:t>
      </w:r>
    </w:p>
    <w:p w:rsidR="00B27998" w:rsidRPr="00086D6C" w:rsidP="00B273EF" w14:paraId="2FD559C3" w14:textId="7DC9C195">
      <w:pPr>
        <w:pStyle w:val="BodyText"/>
        <w:kinsoku w:val="0"/>
        <w:overflowPunct w:val="0"/>
        <w:spacing w:after="200"/>
        <w:ind w:left="0"/>
      </w:pPr>
      <w:r>
        <w:t xml:space="preserve"> </w:t>
      </w:r>
      <w:r w:rsidR="00731BE2">
        <w:t>Costs</w:t>
      </w:r>
      <w:r w:rsidR="00B97FA7">
        <w:t xml:space="preserve"> of t</w:t>
      </w:r>
      <w:r>
        <w:t>he information collection will be absorbed through existing resource</w:t>
      </w:r>
      <w:r w:rsidR="00A314DB">
        <w:t xml:space="preserve"> allocations.</w:t>
      </w:r>
      <w:r>
        <w:t xml:space="preserve"> </w:t>
      </w:r>
    </w:p>
    <w:p w:rsidR="006234E2" w:rsidRPr="00086D6C" w:rsidP="006234E2" w14:paraId="16BEDE56" w14:textId="718956C6">
      <w:pPr>
        <w:widowControl/>
        <w:numPr>
          <w:ilvl w:val="0"/>
          <w:numId w:val="3"/>
        </w:numPr>
        <w:autoSpaceDE/>
        <w:autoSpaceDN/>
        <w:adjustRightInd/>
        <w:spacing w:after="200" w:line="276" w:lineRule="auto"/>
        <w:rPr>
          <w:rFonts w:eastAsia="Calibri"/>
          <w:u w:val="single"/>
        </w:rPr>
      </w:pPr>
      <w:r w:rsidRPr="00086D6C">
        <w:rPr>
          <w:rFonts w:eastAsia="Calibri"/>
          <w:u w:val="single"/>
        </w:rPr>
        <w:t>Explanation</w:t>
      </w:r>
      <w:r w:rsidRPr="00086D6C">
        <w:rPr>
          <w:rFonts w:eastAsia="Calibri"/>
          <w:u w:val="single"/>
        </w:rPr>
        <w:t xml:space="preserve"> for Program Changes or Adjustments</w:t>
      </w:r>
    </w:p>
    <w:p w:rsidR="006B17DC" w:rsidP="00B273EF" w14:paraId="645957F9" w14:textId="63F3EF43">
      <w:pPr>
        <w:pStyle w:val="BodyText"/>
        <w:kinsoku w:val="0"/>
        <w:overflowPunct w:val="0"/>
        <w:spacing w:after="200"/>
        <w:ind w:left="0"/>
      </w:pPr>
      <w:r w:rsidRPr="00086D6C">
        <w:t xml:space="preserve">The </w:t>
      </w:r>
      <w:r>
        <w:t>information collection will</w:t>
      </w:r>
      <w:r w:rsidR="00E002C4">
        <w:t xml:space="preserve"> expand the scope of</w:t>
      </w:r>
      <w:r w:rsidR="00F525FD">
        <w:t xml:space="preserve"> OMB </w:t>
      </w:r>
      <w:r w:rsidR="00410F51">
        <w:t>C</w:t>
      </w:r>
      <w:r w:rsidR="00F525FD">
        <w:t xml:space="preserve">ontrol </w:t>
      </w:r>
      <w:r w:rsidR="00410F51">
        <w:t>N</w:t>
      </w:r>
      <w:r w:rsidR="00F525FD">
        <w:t>o</w:t>
      </w:r>
      <w:r w:rsidR="00925BBD">
        <w:t>s. 0910-0001 and 0910-0340</w:t>
      </w:r>
      <w:r w:rsidR="00E002C4">
        <w:t xml:space="preserve"> to provide for new regulatory provisions.  </w:t>
      </w:r>
      <w:r w:rsidR="00956389">
        <w:t xml:space="preserve">Estimated burden from the </w:t>
      </w:r>
      <w:r w:rsidR="00266800">
        <w:t xml:space="preserve">corresponding information collection will result in an adjustment to OMB </w:t>
      </w:r>
      <w:r w:rsidR="00410F51">
        <w:t>C</w:t>
      </w:r>
      <w:r w:rsidR="00266800">
        <w:t xml:space="preserve">ontrol </w:t>
      </w:r>
      <w:r w:rsidR="00410F51">
        <w:t>N</w:t>
      </w:r>
      <w:r w:rsidR="00266800">
        <w:t xml:space="preserve">o. 0910-0001 by </w:t>
      </w:r>
      <w:r w:rsidR="0031782B">
        <w:t>9,120</w:t>
      </w:r>
      <w:r w:rsidR="00BA61A1">
        <w:t xml:space="preserve"> hours and </w:t>
      </w:r>
      <w:r w:rsidR="0077746F">
        <w:t xml:space="preserve">306 responses annually; </w:t>
      </w:r>
      <w:r w:rsidR="00EE4097">
        <w:t xml:space="preserve">and an adjustment to OMB </w:t>
      </w:r>
      <w:r w:rsidR="00410F51">
        <w:t>C</w:t>
      </w:r>
      <w:r w:rsidR="00EE4097">
        <w:t xml:space="preserve">ontrol </w:t>
      </w:r>
      <w:r w:rsidR="00410F51">
        <w:t>N</w:t>
      </w:r>
      <w:r w:rsidR="00EE4097">
        <w:t xml:space="preserve">o. 0910-0340 by </w:t>
      </w:r>
      <w:r w:rsidR="00CB248D">
        <w:t xml:space="preserve">144 </w:t>
      </w:r>
      <w:r w:rsidR="00CB248D">
        <w:t>hours and 12 disclosures annually.</w:t>
      </w:r>
    </w:p>
    <w:p w:rsidR="009F6886" w:rsidRPr="00086D6C" w:rsidP="009F6886" w14:paraId="7E6995B7"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Plans for Tabulation and Publication and Project Time Schedule</w:t>
      </w:r>
    </w:p>
    <w:p w:rsidR="00101E8B" w:rsidRPr="00086D6C" w:rsidP="00B273EF" w14:paraId="177B201A" w14:textId="0961A9A1">
      <w:pPr>
        <w:pStyle w:val="BodyText"/>
        <w:kinsoku w:val="0"/>
        <w:overflowPunct w:val="0"/>
        <w:spacing w:after="200"/>
        <w:ind w:left="0"/>
      </w:pPr>
      <w:r w:rsidRPr="009B5146">
        <w:t>This information collected will not be published or tabulated.</w:t>
      </w:r>
    </w:p>
    <w:p w:rsidR="0063703A" w:rsidRPr="00086D6C" w:rsidP="0063703A" w14:paraId="04B989E4"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Reason(s) Display of OMB Expiration Date is Inappropriate</w:t>
      </w:r>
    </w:p>
    <w:p w:rsidR="00E915A0" w:rsidRPr="00086D6C" w:rsidP="00B273EF" w14:paraId="03FFA6E4" w14:textId="7F9A3349">
      <w:pPr>
        <w:pStyle w:val="BodyText"/>
        <w:kinsoku w:val="0"/>
        <w:overflowPunct w:val="0"/>
        <w:spacing w:after="200"/>
        <w:ind w:left="0"/>
      </w:pPr>
      <w:r w:rsidRPr="00086D6C">
        <w:t>We will display the OMB expiration date as required by 5 CFR 1320.5</w:t>
      </w:r>
      <w:r w:rsidRPr="00086D6C" w:rsidR="0097342F">
        <w:t>.</w:t>
      </w:r>
    </w:p>
    <w:p w:rsidR="0079475B" w:rsidRPr="00086D6C" w:rsidP="0079475B" w14:paraId="325E69FA" w14:textId="77777777">
      <w:pPr>
        <w:widowControl/>
        <w:numPr>
          <w:ilvl w:val="0"/>
          <w:numId w:val="3"/>
        </w:numPr>
        <w:autoSpaceDE/>
        <w:autoSpaceDN/>
        <w:adjustRightInd/>
        <w:spacing w:after="200" w:line="276" w:lineRule="auto"/>
        <w:rPr>
          <w:rFonts w:eastAsia="Calibri"/>
          <w:u w:val="single"/>
        </w:rPr>
      </w:pPr>
      <w:r w:rsidRPr="00086D6C">
        <w:rPr>
          <w:rFonts w:eastAsia="Calibri"/>
          <w:u w:val="single"/>
        </w:rPr>
        <w:t>Exceptions to Certification for Paperwork Reduction Act Submissions</w:t>
      </w:r>
    </w:p>
    <w:p w:rsidR="00B27998" w:rsidRPr="00086D6C" w:rsidP="00B273EF" w14:paraId="4CA108A9" w14:textId="77777777">
      <w:pPr>
        <w:pStyle w:val="BodyText"/>
        <w:kinsoku w:val="0"/>
        <w:overflowPunct w:val="0"/>
        <w:spacing w:after="200"/>
        <w:ind w:left="0"/>
      </w:pPr>
      <w:r w:rsidRPr="00086D6C">
        <w:t>There are no exceptions to the certification.</w:t>
      </w:r>
    </w:p>
    <w:sectPr w:rsidSect="00EF6DA2">
      <w:footerReference w:type="default" r:id="rId9"/>
      <w:pgSz w:w="12240" w:h="15840"/>
      <w:pgMar w:top="1380" w:right="1660" w:bottom="1680" w:left="1340" w:header="0" w:footer="1487" w:gutter="0"/>
      <w:cols w:space="720" w:equalWidth="0">
        <w:col w:w="9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998" w14:paraId="6B848F51" w14:textId="77777777">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3822700</wp:posOffset>
              </wp:positionH>
              <wp:positionV relativeFrom="page">
                <wp:posOffset>8974455</wp:posOffset>
              </wp:positionV>
              <wp:extent cx="127000" cy="1778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998"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6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B27998" w14:paraId="407728B3" w14:textId="77777777">
                    <w:pPr>
                      <w:pStyle w:val="BodyText"/>
                      <w:kinsoku w:val="0"/>
                      <w:overflowPunct w:val="0"/>
                      <w:spacing w:line="265" w:lineRule="exact"/>
                      <w:ind w:left="40"/>
                    </w:pPr>
                    <w:r>
                      <w:fldChar w:fldCharType="begin"/>
                    </w:r>
                    <w:r>
                      <w:instrText xml:space="preserve"> PAGE </w:instrText>
                    </w:r>
                    <w:r>
                      <w:fldChar w:fldCharType="separate"/>
                    </w:r>
                    <w:r w:rsidR="00A45C31">
                      <w:rPr>
                        <w:noProof/>
                      </w:rPr>
                      <w:t>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B8AE73FC"/>
    <w:lvl w:ilvl="0">
      <w:start w:val="1"/>
      <w:numFmt w:val="decimal"/>
      <w:suff w:val="nothing"/>
      <w:lvlText w:val="%1."/>
      <w:lvlJc w:val="left"/>
      <w:pPr>
        <w:ind w:left="300" w:hanging="181"/>
      </w:pPr>
      <w:rPr>
        <w:rFonts w:cs="Times New Roman" w:hint="default"/>
        <w:u w:val="single"/>
      </w:rPr>
    </w:lvl>
    <w:lvl w:ilvl="1">
      <w:start w:val="0"/>
      <w:numFmt w:val="bullet"/>
      <w:lvlText w:val=""/>
      <w:lvlJc w:val="left"/>
      <w:pPr>
        <w:ind w:left="840" w:hanging="360"/>
      </w:pPr>
      <w:rPr>
        <w:rFonts w:ascii="Symbol" w:hAnsi="Symbol" w:hint="default"/>
        <w:b w:val="0"/>
        <w:sz w:val="24"/>
      </w:rPr>
    </w:lvl>
    <w:lvl w:ilvl="2">
      <w:start w:val="0"/>
      <w:numFmt w:val="bullet"/>
      <w:lvlText w:val="•"/>
      <w:lvlJc w:val="left"/>
      <w:pPr>
        <w:ind w:left="1808" w:hanging="360"/>
      </w:pPr>
      <w:rPr>
        <w:rFonts w:hint="default"/>
      </w:rPr>
    </w:lvl>
    <w:lvl w:ilvl="3">
      <w:start w:val="0"/>
      <w:numFmt w:val="bullet"/>
      <w:lvlText w:val="•"/>
      <w:lvlJc w:val="left"/>
      <w:pPr>
        <w:ind w:left="2777" w:hanging="360"/>
      </w:pPr>
      <w:rPr>
        <w:rFonts w:hint="default"/>
      </w:rPr>
    </w:lvl>
    <w:lvl w:ilvl="4">
      <w:start w:val="0"/>
      <w:numFmt w:val="bullet"/>
      <w:lvlText w:val="•"/>
      <w:lvlJc w:val="left"/>
      <w:pPr>
        <w:ind w:left="3746" w:hanging="360"/>
      </w:pPr>
      <w:rPr>
        <w:rFonts w:hint="default"/>
      </w:rPr>
    </w:lvl>
    <w:lvl w:ilvl="5">
      <w:start w:val="0"/>
      <w:numFmt w:val="bullet"/>
      <w:lvlText w:val="•"/>
      <w:lvlJc w:val="left"/>
      <w:pPr>
        <w:ind w:left="4715" w:hanging="360"/>
      </w:pPr>
      <w:rPr>
        <w:rFonts w:hint="default"/>
      </w:rPr>
    </w:lvl>
    <w:lvl w:ilvl="6">
      <w:start w:val="0"/>
      <w:numFmt w:val="bullet"/>
      <w:lvlText w:val="•"/>
      <w:lvlJc w:val="left"/>
      <w:pPr>
        <w:ind w:left="5684" w:hanging="360"/>
      </w:pPr>
      <w:rPr>
        <w:rFonts w:hint="default"/>
      </w:rPr>
    </w:lvl>
    <w:lvl w:ilvl="7">
      <w:start w:val="0"/>
      <w:numFmt w:val="bullet"/>
      <w:lvlText w:val="•"/>
      <w:lvlJc w:val="left"/>
      <w:pPr>
        <w:ind w:left="6653" w:hanging="360"/>
      </w:pPr>
      <w:rPr>
        <w:rFonts w:hint="default"/>
      </w:rPr>
    </w:lvl>
    <w:lvl w:ilvl="8">
      <w:start w:val="0"/>
      <w:numFmt w:val="bullet"/>
      <w:lvlText w:val="•"/>
      <w:lvlJc w:val="left"/>
      <w:pPr>
        <w:ind w:left="7622" w:hanging="360"/>
      </w:pPr>
      <w:rPr>
        <w:rFonts w:hint="default"/>
      </w:rPr>
    </w:lvl>
  </w:abstractNum>
  <w:abstractNum w:abstractNumId="1">
    <w:nsid w:val="00000403"/>
    <w:multiLevelType w:val="multilevel"/>
    <w:tmpl w:val="681A09DC"/>
    <w:lvl w:ilvl="0">
      <w:start w:val="8"/>
      <w:numFmt w:val="decimal"/>
      <w:lvlText w:val="%1."/>
      <w:lvlJc w:val="left"/>
      <w:pPr>
        <w:ind w:left="200" w:hanging="180"/>
      </w:pPr>
      <w:rPr>
        <w:rFonts w:cs="Times New Roman"/>
        <w:u w:val="single"/>
      </w:rPr>
    </w:lvl>
    <w:lvl w:ilvl="1">
      <w:start w:val="0"/>
      <w:numFmt w:val="bullet"/>
      <w:lvlText w:val="•"/>
      <w:lvlJc w:val="left"/>
      <w:pPr>
        <w:ind w:left="1156" w:hanging="180"/>
      </w:pPr>
    </w:lvl>
    <w:lvl w:ilvl="2">
      <w:start w:val="0"/>
      <w:numFmt w:val="bullet"/>
      <w:lvlText w:val="•"/>
      <w:lvlJc w:val="left"/>
      <w:pPr>
        <w:ind w:left="2112" w:hanging="180"/>
      </w:pPr>
    </w:lvl>
    <w:lvl w:ilvl="3">
      <w:start w:val="0"/>
      <w:numFmt w:val="bullet"/>
      <w:lvlText w:val="•"/>
      <w:lvlJc w:val="left"/>
      <w:pPr>
        <w:ind w:left="3068" w:hanging="180"/>
      </w:pPr>
    </w:lvl>
    <w:lvl w:ilvl="4">
      <w:start w:val="0"/>
      <w:numFmt w:val="bullet"/>
      <w:lvlText w:val="•"/>
      <w:lvlJc w:val="left"/>
      <w:pPr>
        <w:ind w:left="4024" w:hanging="180"/>
      </w:pPr>
    </w:lvl>
    <w:lvl w:ilvl="5">
      <w:start w:val="0"/>
      <w:numFmt w:val="bullet"/>
      <w:lvlText w:val="•"/>
      <w:lvlJc w:val="left"/>
      <w:pPr>
        <w:ind w:left="4980" w:hanging="180"/>
      </w:pPr>
    </w:lvl>
    <w:lvl w:ilvl="6">
      <w:start w:val="0"/>
      <w:numFmt w:val="bullet"/>
      <w:lvlText w:val="•"/>
      <w:lvlJc w:val="left"/>
      <w:pPr>
        <w:ind w:left="5936" w:hanging="180"/>
      </w:pPr>
    </w:lvl>
    <w:lvl w:ilvl="7">
      <w:start w:val="0"/>
      <w:numFmt w:val="bullet"/>
      <w:lvlText w:val="•"/>
      <w:lvlJc w:val="left"/>
      <w:pPr>
        <w:ind w:left="6892" w:hanging="180"/>
      </w:pPr>
    </w:lvl>
    <w:lvl w:ilvl="8">
      <w:start w:val="0"/>
      <w:numFmt w:val="bullet"/>
      <w:lvlText w:val="•"/>
      <w:lvlJc w:val="left"/>
      <w:pPr>
        <w:ind w:left="7848" w:hanging="180"/>
      </w:pPr>
    </w:lvl>
  </w:abstractNum>
  <w:abstractNum w:abstractNumId="2">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04301615">
    <w:abstractNumId w:val="1"/>
  </w:num>
  <w:num w:numId="2" w16cid:durableId="682903509">
    <w:abstractNumId w:val="0"/>
  </w:num>
  <w:num w:numId="3" w16cid:durableId="61652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1"/>
    <w:rsid w:val="000027DF"/>
    <w:rsid w:val="00002B1C"/>
    <w:rsid w:val="000032E5"/>
    <w:rsid w:val="00003D9C"/>
    <w:rsid w:val="000054D5"/>
    <w:rsid w:val="0000755A"/>
    <w:rsid w:val="00013A8A"/>
    <w:rsid w:val="000145FA"/>
    <w:rsid w:val="000147DD"/>
    <w:rsid w:val="00022FE8"/>
    <w:rsid w:val="00025067"/>
    <w:rsid w:val="000254BB"/>
    <w:rsid w:val="000425D8"/>
    <w:rsid w:val="00044FA8"/>
    <w:rsid w:val="00046B55"/>
    <w:rsid w:val="00052887"/>
    <w:rsid w:val="0005312D"/>
    <w:rsid w:val="000542D0"/>
    <w:rsid w:val="00056039"/>
    <w:rsid w:val="00057AFD"/>
    <w:rsid w:val="00060491"/>
    <w:rsid w:val="000659BB"/>
    <w:rsid w:val="00065BCE"/>
    <w:rsid w:val="00067B60"/>
    <w:rsid w:val="00070BA7"/>
    <w:rsid w:val="000755A7"/>
    <w:rsid w:val="00076997"/>
    <w:rsid w:val="00077DA9"/>
    <w:rsid w:val="000807DD"/>
    <w:rsid w:val="00082D69"/>
    <w:rsid w:val="000846BA"/>
    <w:rsid w:val="00084B3D"/>
    <w:rsid w:val="00085182"/>
    <w:rsid w:val="00086D6C"/>
    <w:rsid w:val="00087CDB"/>
    <w:rsid w:val="00091DD6"/>
    <w:rsid w:val="000947E7"/>
    <w:rsid w:val="000A305F"/>
    <w:rsid w:val="000A493B"/>
    <w:rsid w:val="000A497A"/>
    <w:rsid w:val="000A6108"/>
    <w:rsid w:val="000A6FC2"/>
    <w:rsid w:val="000A75BB"/>
    <w:rsid w:val="000B2F8B"/>
    <w:rsid w:val="000B6B7F"/>
    <w:rsid w:val="000C195E"/>
    <w:rsid w:val="000C27BC"/>
    <w:rsid w:val="000D28E1"/>
    <w:rsid w:val="000D7B54"/>
    <w:rsid w:val="000E1513"/>
    <w:rsid w:val="000E3DF6"/>
    <w:rsid w:val="000E4E6F"/>
    <w:rsid w:val="000E6FC1"/>
    <w:rsid w:val="000F0EFB"/>
    <w:rsid w:val="000F17E7"/>
    <w:rsid w:val="000F1824"/>
    <w:rsid w:val="000F3BE0"/>
    <w:rsid w:val="000F73CA"/>
    <w:rsid w:val="00101E8B"/>
    <w:rsid w:val="00104A9D"/>
    <w:rsid w:val="001061E0"/>
    <w:rsid w:val="00106753"/>
    <w:rsid w:val="00111969"/>
    <w:rsid w:val="00112D4C"/>
    <w:rsid w:val="001151AB"/>
    <w:rsid w:val="0011551F"/>
    <w:rsid w:val="00115BC9"/>
    <w:rsid w:val="00116EB9"/>
    <w:rsid w:val="001178B0"/>
    <w:rsid w:val="00117900"/>
    <w:rsid w:val="001322F4"/>
    <w:rsid w:val="00137FF8"/>
    <w:rsid w:val="00140C18"/>
    <w:rsid w:val="0014170D"/>
    <w:rsid w:val="0014183C"/>
    <w:rsid w:val="001419F1"/>
    <w:rsid w:val="00142077"/>
    <w:rsid w:val="00144B96"/>
    <w:rsid w:val="001525AB"/>
    <w:rsid w:val="001659E5"/>
    <w:rsid w:val="00173045"/>
    <w:rsid w:val="00177D56"/>
    <w:rsid w:val="00177E1C"/>
    <w:rsid w:val="00183B47"/>
    <w:rsid w:val="001868CF"/>
    <w:rsid w:val="00187754"/>
    <w:rsid w:val="00190C79"/>
    <w:rsid w:val="0019315F"/>
    <w:rsid w:val="00193823"/>
    <w:rsid w:val="00196FE4"/>
    <w:rsid w:val="001975DA"/>
    <w:rsid w:val="001A5C4E"/>
    <w:rsid w:val="001A6C1D"/>
    <w:rsid w:val="001A6DE3"/>
    <w:rsid w:val="001B0BA5"/>
    <w:rsid w:val="001B171D"/>
    <w:rsid w:val="001B3CC2"/>
    <w:rsid w:val="001B4E3B"/>
    <w:rsid w:val="001B553D"/>
    <w:rsid w:val="001C0084"/>
    <w:rsid w:val="001C1055"/>
    <w:rsid w:val="001C1ACE"/>
    <w:rsid w:val="001C3534"/>
    <w:rsid w:val="001C6F1F"/>
    <w:rsid w:val="001C797B"/>
    <w:rsid w:val="001D5A43"/>
    <w:rsid w:val="001E2E2E"/>
    <w:rsid w:val="001E64B8"/>
    <w:rsid w:val="001E7A4C"/>
    <w:rsid w:val="001F0C19"/>
    <w:rsid w:val="001F5BDA"/>
    <w:rsid w:val="001F7E2D"/>
    <w:rsid w:val="0020263A"/>
    <w:rsid w:val="002052FD"/>
    <w:rsid w:val="0020591C"/>
    <w:rsid w:val="0020672C"/>
    <w:rsid w:val="00206B36"/>
    <w:rsid w:val="00211B34"/>
    <w:rsid w:val="002233C8"/>
    <w:rsid w:val="0023098D"/>
    <w:rsid w:val="00233088"/>
    <w:rsid w:val="00233A0C"/>
    <w:rsid w:val="0023422C"/>
    <w:rsid w:val="00235535"/>
    <w:rsid w:val="002400EC"/>
    <w:rsid w:val="00245DB6"/>
    <w:rsid w:val="002562B4"/>
    <w:rsid w:val="00256C13"/>
    <w:rsid w:val="0026395B"/>
    <w:rsid w:val="00265E2B"/>
    <w:rsid w:val="00266800"/>
    <w:rsid w:val="002748DE"/>
    <w:rsid w:val="00276D28"/>
    <w:rsid w:val="00276E64"/>
    <w:rsid w:val="00276FEB"/>
    <w:rsid w:val="002834BF"/>
    <w:rsid w:val="002870FE"/>
    <w:rsid w:val="00287220"/>
    <w:rsid w:val="002913A3"/>
    <w:rsid w:val="00291BFB"/>
    <w:rsid w:val="002951E5"/>
    <w:rsid w:val="002A727B"/>
    <w:rsid w:val="002A7AD3"/>
    <w:rsid w:val="002B4495"/>
    <w:rsid w:val="002C34AB"/>
    <w:rsid w:val="002C3FB9"/>
    <w:rsid w:val="002C404D"/>
    <w:rsid w:val="002D0755"/>
    <w:rsid w:val="002D2704"/>
    <w:rsid w:val="002D2A6B"/>
    <w:rsid w:val="002D340C"/>
    <w:rsid w:val="002D4A5F"/>
    <w:rsid w:val="002D628E"/>
    <w:rsid w:val="002E3F93"/>
    <w:rsid w:val="002E732D"/>
    <w:rsid w:val="002E7F84"/>
    <w:rsid w:val="002F58A6"/>
    <w:rsid w:val="002F5C7B"/>
    <w:rsid w:val="002F62DF"/>
    <w:rsid w:val="003064A0"/>
    <w:rsid w:val="00307656"/>
    <w:rsid w:val="00312DFA"/>
    <w:rsid w:val="00313303"/>
    <w:rsid w:val="00315CD5"/>
    <w:rsid w:val="00316CEF"/>
    <w:rsid w:val="0031782B"/>
    <w:rsid w:val="00320A93"/>
    <w:rsid w:val="00320C54"/>
    <w:rsid w:val="00322C66"/>
    <w:rsid w:val="00324ECB"/>
    <w:rsid w:val="00335065"/>
    <w:rsid w:val="003351C1"/>
    <w:rsid w:val="00342B93"/>
    <w:rsid w:val="00344775"/>
    <w:rsid w:val="0034502B"/>
    <w:rsid w:val="00345320"/>
    <w:rsid w:val="003462E2"/>
    <w:rsid w:val="00351563"/>
    <w:rsid w:val="0035641F"/>
    <w:rsid w:val="00357DCB"/>
    <w:rsid w:val="0036231D"/>
    <w:rsid w:val="00364F1A"/>
    <w:rsid w:val="00367A89"/>
    <w:rsid w:val="003704D1"/>
    <w:rsid w:val="00377680"/>
    <w:rsid w:val="00385071"/>
    <w:rsid w:val="0038658F"/>
    <w:rsid w:val="003870A5"/>
    <w:rsid w:val="00392FDC"/>
    <w:rsid w:val="00393C5B"/>
    <w:rsid w:val="00394C35"/>
    <w:rsid w:val="00397F2B"/>
    <w:rsid w:val="003A1696"/>
    <w:rsid w:val="003A1F93"/>
    <w:rsid w:val="003A4397"/>
    <w:rsid w:val="003A6238"/>
    <w:rsid w:val="003B406F"/>
    <w:rsid w:val="003B589D"/>
    <w:rsid w:val="003B65C5"/>
    <w:rsid w:val="003C2A99"/>
    <w:rsid w:val="003C2D49"/>
    <w:rsid w:val="003C4258"/>
    <w:rsid w:val="003C529C"/>
    <w:rsid w:val="003D0288"/>
    <w:rsid w:val="003D55D4"/>
    <w:rsid w:val="003D581F"/>
    <w:rsid w:val="003E0B3A"/>
    <w:rsid w:val="003E2B4F"/>
    <w:rsid w:val="003E57C8"/>
    <w:rsid w:val="003F302B"/>
    <w:rsid w:val="003F63E7"/>
    <w:rsid w:val="00400842"/>
    <w:rsid w:val="004013B7"/>
    <w:rsid w:val="004015CB"/>
    <w:rsid w:val="00404BBB"/>
    <w:rsid w:val="00407788"/>
    <w:rsid w:val="00410F51"/>
    <w:rsid w:val="00412365"/>
    <w:rsid w:val="004125DB"/>
    <w:rsid w:val="004125DE"/>
    <w:rsid w:val="00412955"/>
    <w:rsid w:val="0042059E"/>
    <w:rsid w:val="004223B0"/>
    <w:rsid w:val="004223DC"/>
    <w:rsid w:val="004235A6"/>
    <w:rsid w:val="00427562"/>
    <w:rsid w:val="00427AF5"/>
    <w:rsid w:val="00427DCF"/>
    <w:rsid w:val="004310DE"/>
    <w:rsid w:val="0043228D"/>
    <w:rsid w:val="00432ED2"/>
    <w:rsid w:val="00432F92"/>
    <w:rsid w:val="00433604"/>
    <w:rsid w:val="00433B62"/>
    <w:rsid w:val="004348A7"/>
    <w:rsid w:val="004355D5"/>
    <w:rsid w:val="00440A2E"/>
    <w:rsid w:val="00441782"/>
    <w:rsid w:val="00451211"/>
    <w:rsid w:val="00457750"/>
    <w:rsid w:val="00460FC6"/>
    <w:rsid w:val="00462DB8"/>
    <w:rsid w:val="0046505F"/>
    <w:rsid w:val="004716BD"/>
    <w:rsid w:val="0047240E"/>
    <w:rsid w:val="004732B5"/>
    <w:rsid w:val="00473D52"/>
    <w:rsid w:val="00476E62"/>
    <w:rsid w:val="004774B1"/>
    <w:rsid w:val="00477DB8"/>
    <w:rsid w:val="004808EE"/>
    <w:rsid w:val="00483857"/>
    <w:rsid w:val="0048468B"/>
    <w:rsid w:val="0049178D"/>
    <w:rsid w:val="0049419E"/>
    <w:rsid w:val="00495003"/>
    <w:rsid w:val="004953B9"/>
    <w:rsid w:val="00497FDA"/>
    <w:rsid w:val="004A1811"/>
    <w:rsid w:val="004A71AE"/>
    <w:rsid w:val="004A7EDD"/>
    <w:rsid w:val="004B100E"/>
    <w:rsid w:val="004B2C9D"/>
    <w:rsid w:val="004B552B"/>
    <w:rsid w:val="004B5841"/>
    <w:rsid w:val="004B68F2"/>
    <w:rsid w:val="004B7963"/>
    <w:rsid w:val="004B79D8"/>
    <w:rsid w:val="004C34C4"/>
    <w:rsid w:val="004C420E"/>
    <w:rsid w:val="004C64EA"/>
    <w:rsid w:val="004D5D79"/>
    <w:rsid w:val="004E392A"/>
    <w:rsid w:val="004F29BA"/>
    <w:rsid w:val="004F6840"/>
    <w:rsid w:val="004F6F6F"/>
    <w:rsid w:val="005050C8"/>
    <w:rsid w:val="005060A0"/>
    <w:rsid w:val="005112F8"/>
    <w:rsid w:val="0051278A"/>
    <w:rsid w:val="00516DA9"/>
    <w:rsid w:val="005219E2"/>
    <w:rsid w:val="00521D65"/>
    <w:rsid w:val="0052367A"/>
    <w:rsid w:val="0053170C"/>
    <w:rsid w:val="0053259D"/>
    <w:rsid w:val="00536946"/>
    <w:rsid w:val="00537D41"/>
    <w:rsid w:val="005447B9"/>
    <w:rsid w:val="005449FB"/>
    <w:rsid w:val="00544DAE"/>
    <w:rsid w:val="00545682"/>
    <w:rsid w:val="00545A4A"/>
    <w:rsid w:val="0055622E"/>
    <w:rsid w:val="005562EA"/>
    <w:rsid w:val="0055632C"/>
    <w:rsid w:val="005616C3"/>
    <w:rsid w:val="0057189D"/>
    <w:rsid w:val="0057485F"/>
    <w:rsid w:val="005764D5"/>
    <w:rsid w:val="0058029D"/>
    <w:rsid w:val="00581769"/>
    <w:rsid w:val="00593860"/>
    <w:rsid w:val="005954CC"/>
    <w:rsid w:val="00595723"/>
    <w:rsid w:val="0059723B"/>
    <w:rsid w:val="005A24D7"/>
    <w:rsid w:val="005A2C68"/>
    <w:rsid w:val="005A53DC"/>
    <w:rsid w:val="005B1AD5"/>
    <w:rsid w:val="005B2221"/>
    <w:rsid w:val="005B6538"/>
    <w:rsid w:val="005B753D"/>
    <w:rsid w:val="005C2F75"/>
    <w:rsid w:val="005D27FB"/>
    <w:rsid w:val="005E3190"/>
    <w:rsid w:val="005E513E"/>
    <w:rsid w:val="005E6088"/>
    <w:rsid w:val="005F1DA2"/>
    <w:rsid w:val="005F2B5D"/>
    <w:rsid w:val="005F5EB0"/>
    <w:rsid w:val="005F6E5C"/>
    <w:rsid w:val="00601935"/>
    <w:rsid w:val="00601D12"/>
    <w:rsid w:val="00605392"/>
    <w:rsid w:val="0061379A"/>
    <w:rsid w:val="006154ED"/>
    <w:rsid w:val="00615D3F"/>
    <w:rsid w:val="00617A6A"/>
    <w:rsid w:val="006234E2"/>
    <w:rsid w:val="0062463B"/>
    <w:rsid w:val="006278A1"/>
    <w:rsid w:val="00630913"/>
    <w:rsid w:val="00631D46"/>
    <w:rsid w:val="00633A7F"/>
    <w:rsid w:val="00634333"/>
    <w:rsid w:val="00634AD3"/>
    <w:rsid w:val="0063703A"/>
    <w:rsid w:val="006404E7"/>
    <w:rsid w:val="00643CF4"/>
    <w:rsid w:val="00650F13"/>
    <w:rsid w:val="006550DB"/>
    <w:rsid w:val="00655EF3"/>
    <w:rsid w:val="00656CB6"/>
    <w:rsid w:val="00657F76"/>
    <w:rsid w:val="006621FE"/>
    <w:rsid w:val="00662BE3"/>
    <w:rsid w:val="0066516D"/>
    <w:rsid w:val="00677371"/>
    <w:rsid w:val="00682CB8"/>
    <w:rsid w:val="00683D8D"/>
    <w:rsid w:val="00684642"/>
    <w:rsid w:val="006916A0"/>
    <w:rsid w:val="00691ABE"/>
    <w:rsid w:val="00691D81"/>
    <w:rsid w:val="00692B8B"/>
    <w:rsid w:val="0069564C"/>
    <w:rsid w:val="00695E63"/>
    <w:rsid w:val="006A1038"/>
    <w:rsid w:val="006A409D"/>
    <w:rsid w:val="006A6158"/>
    <w:rsid w:val="006B17DC"/>
    <w:rsid w:val="006B4C52"/>
    <w:rsid w:val="006B77DA"/>
    <w:rsid w:val="006B7B63"/>
    <w:rsid w:val="006C037F"/>
    <w:rsid w:val="006C0F98"/>
    <w:rsid w:val="006C28C2"/>
    <w:rsid w:val="006C4063"/>
    <w:rsid w:val="006C5FFB"/>
    <w:rsid w:val="006D2459"/>
    <w:rsid w:val="006D36C3"/>
    <w:rsid w:val="006E2351"/>
    <w:rsid w:val="006E3470"/>
    <w:rsid w:val="006E4EC8"/>
    <w:rsid w:val="006E6C9A"/>
    <w:rsid w:val="00700590"/>
    <w:rsid w:val="00701F35"/>
    <w:rsid w:val="00704B09"/>
    <w:rsid w:val="007072B2"/>
    <w:rsid w:val="007103B2"/>
    <w:rsid w:val="007160D3"/>
    <w:rsid w:val="0072003F"/>
    <w:rsid w:val="00720CE4"/>
    <w:rsid w:val="00721763"/>
    <w:rsid w:val="0072218F"/>
    <w:rsid w:val="00722656"/>
    <w:rsid w:val="00725A12"/>
    <w:rsid w:val="00731BE2"/>
    <w:rsid w:val="00733B37"/>
    <w:rsid w:val="00741791"/>
    <w:rsid w:val="00744614"/>
    <w:rsid w:val="007456BA"/>
    <w:rsid w:val="007501BD"/>
    <w:rsid w:val="00750FF6"/>
    <w:rsid w:val="00752056"/>
    <w:rsid w:val="00753E9F"/>
    <w:rsid w:val="0076060F"/>
    <w:rsid w:val="0076137A"/>
    <w:rsid w:val="007711CA"/>
    <w:rsid w:val="007748DF"/>
    <w:rsid w:val="0077592E"/>
    <w:rsid w:val="00776C54"/>
    <w:rsid w:val="0077746F"/>
    <w:rsid w:val="00781742"/>
    <w:rsid w:val="00782A25"/>
    <w:rsid w:val="00786F5E"/>
    <w:rsid w:val="00791F3C"/>
    <w:rsid w:val="007920DB"/>
    <w:rsid w:val="0079475B"/>
    <w:rsid w:val="00795450"/>
    <w:rsid w:val="007958F4"/>
    <w:rsid w:val="007959BB"/>
    <w:rsid w:val="007A23F7"/>
    <w:rsid w:val="007A4F2E"/>
    <w:rsid w:val="007A51AC"/>
    <w:rsid w:val="007A5D4B"/>
    <w:rsid w:val="007B11E7"/>
    <w:rsid w:val="007B1863"/>
    <w:rsid w:val="007C2A34"/>
    <w:rsid w:val="007C2D9E"/>
    <w:rsid w:val="007E1727"/>
    <w:rsid w:val="007E2D9A"/>
    <w:rsid w:val="007E2FAD"/>
    <w:rsid w:val="007E5A9A"/>
    <w:rsid w:val="007E638A"/>
    <w:rsid w:val="007E652F"/>
    <w:rsid w:val="007F2AFF"/>
    <w:rsid w:val="007F5535"/>
    <w:rsid w:val="0080300A"/>
    <w:rsid w:val="008057B8"/>
    <w:rsid w:val="008067C8"/>
    <w:rsid w:val="00807AD8"/>
    <w:rsid w:val="00811811"/>
    <w:rsid w:val="00815778"/>
    <w:rsid w:val="00821D87"/>
    <w:rsid w:val="00826499"/>
    <w:rsid w:val="008275BF"/>
    <w:rsid w:val="008304CB"/>
    <w:rsid w:val="008372A1"/>
    <w:rsid w:val="00837D77"/>
    <w:rsid w:val="008403F9"/>
    <w:rsid w:val="00840785"/>
    <w:rsid w:val="00841C8F"/>
    <w:rsid w:val="008421A6"/>
    <w:rsid w:val="00842F4A"/>
    <w:rsid w:val="00843B06"/>
    <w:rsid w:val="00843C3F"/>
    <w:rsid w:val="00843DDD"/>
    <w:rsid w:val="00844E13"/>
    <w:rsid w:val="00845CB5"/>
    <w:rsid w:val="00847DEC"/>
    <w:rsid w:val="00850533"/>
    <w:rsid w:val="00854F36"/>
    <w:rsid w:val="00864CBD"/>
    <w:rsid w:val="00864F4C"/>
    <w:rsid w:val="00867DD2"/>
    <w:rsid w:val="008740A3"/>
    <w:rsid w:val="00882BF9"/>
    <w:rsid w:val="00884059"/>
    <w:rsid w:val="00894DBE"/>
    <w:rsid w:val="008955AA"/>
    <w:rsid w:val="008A12BD"/>
    <w:rsid w:val="008A269E"/>
    <w:rsid w:val="008A473B"/>
    <w:rsid w:val="008A7602"/>
    <w:rsid w:val="008A7665"/>
    <w:rsid w:val="008B20FE"/>
    <w:rsid w:val="008B354F"/>
    <w:rsid w:val="008B3931"/>
    <w:rsid w:val="008B4FBF"/>
    <w:rsid w:val="008B6927"/>
    <w:rsid w:val="008B7ED0"/>
    <w:rsid w:val="008C3775"/>
    <w:rsid w:val="008C794F"/>
    <w:rsid w:val="008D1609"/>
    <w:rsid w:val="008D1B50"/>
    <w:rsid w:val="008D4AC5"/>
    <w:rsid w:val="008D4C01"/>
    <w:rsid w:val="008D7EF6"/>
    <w:rsid w:val="008E0255"/>
    <w:rsid w:val="008E0E6A"/>
    <w:rsid w:val="008E28ED"/>
    <w:rsid w:val="008E7334"/>
    <w:rsid w:val="008F1DCB"/>
    <w:rsid w:val="008F21CE"/>
    <w:rsid w:val="008F3DBC"/>
    <w:rsid w:val="008F3E3A"/>
    <w:rsid w:val="008F400F"/>
    <w:rsid w:val="008F4E27"/>
    <w:rsid w:val="008F653A"/>
    <w:rsid w:val="00902AF4"/>
    <w:rsid w:val="00905694"/>
    <w:rsid w:val="009072B7"/>
    <w:rsid w:val="00911B08"/>
    <w:rsid w:val="00914724"/>
    <w:rsid w:val="00914C99"/>
    <w:rsid w:val="009157D4"/>
    <w:rsid w:val="00925BBD"/>
    <w:rsid w:val="00926126"/>
    <w:rsid w:val="009263CD"/>
    <w:rsid w:val="009301DD"/>
    <w:rsid w:val="009324CF"/>
    <w:rsid w:val="00933ABE"/>
    <w:rsid w:val="00935139"/>
    <w:rsid w:val="00936DBC"/>
    <w:rsid w:val="00936FC9"/>
    <w:rsid w:val="00940550"/>
    <w:rsid w:val="00945025"/>
    <w:rsid w:val="00945088"/>
    <w:rsid w:val="00955CDB"/>
    <w:rsid w:val="0095617F"/>
    <w:rsid w:val="00956389"/>
    <w:rsid w:val="00960841"/>
    <w:rsid w:val="00960BE4"/>
    <w:rsid w:val="009624F0"/>
    <w:rsid w:val="009631FD"/>
    <w:rsid w:val="0096632A"/>
    <w:rsid w:val="00970572"/>
    <w:rsid w:val="0097342F"/>
    <w:rsid w:val="00974016"/>
    <w:rsid w:val="009823F6"/>
    <w:rsid w:val="009834CB"/>
    <w:rsid w:val="009849ED"/>
    <w:rsid w:val="00991ABF"/>
    <w:rsid w:val="00992C3D"/>
    <w:rsid w:val="00993FCA"/>
    <w:rsid w:val="009976D8"/>
    <w:rsid w:val="009A04A8"/>
    <w:rsid w:val="009A60F1"/>
    <w:rsid w:val="009A7F71"/>
    <w:rsid w:val="009B5146"/>
    <w:rsid w:val="009B5A58"/>
    <w:rsid w:val="009B70B4"/>
    <w:rsid w:val="009D021D"/>
    <w:rsid w:val="009D0D34"/>
    <w:rsid w:val="009D0F23"/>
    <w:rsid w:val="009D1814"/>
    <w:rsid w:val="009D3FB2"/>
    <w:rsid w:val="009E010B"/>
    <w:rsid w:val="009E4A11"/>
    <w:rsid w:val="009F0B5C"/>
    <w:rsid w:val="009F27AD"/>
    <w:rsid w:val="009F650D"/>
    <w:rsid w:val="009F6886"/>
    <w:rsid w:val="00A0088A"/>
    <w:rsid w:val="00A03C31"/>
    <w:rsid w:val="00A05195"/>
    <w:rsid w:val="00A103D1"/>
    <w:rsid w:val="00A10E5F"/>
    <w:rsid w:val="00A1150E"/>
    <w:rsid w:val="00A12C71"/>
    <w:rsid w:val="00A201F2"/>
    <w:rsid w:val="00A23CBC"/>
    <w:rsid w:val="00A24569"/>
    <w:rsid w:val="00A30116"/>
    <w:rsid w:val="00A314DB"/>
    <w:rsid w:val="00A31CDC"/>
    <w:rsid w:val="00A32749"/>
    <w:rsid w:val="00A36692"/>
    <w:rsid w:val="00A4010C"/>
    <w:rsid w:val="00A41D8C"/>
    <w:rsid w:val="00A44199"/>
    <w:rsid w:val="00A45C31"/>
    <w:rsid w:val="00A461C6"/>
    <w:rsid w:val="00A50885"/>
    <w:rsid w:val="00A55321"/>
    <w:rsid w:val="00A57D6A"/>
    <w:rsid w:val="00A61560"/>
    <w:rsid w:val="00A639E5"/>
    <w:rsid w:val="00A64668"/>
    <w:rsid w:val="00A66EE8"/>
    <w:rsid w:val="00A67AFF"/>
    <w:rsid w:val="00A745E5"/>
    <w:rsid w:val="00A7546F"/>
    <w:rsid w:val="00A81868"/>
    <w:rsid w:val="00A83F68"/>
    <w:rsid w:val="00A85A66"/>
    <w:rsid w:val="00A92841"/>
    <w:rsid w:val="00A941F7"/>
    <w:rsid w:val="00A956AF"/>
    <w:rsid w:val="00A962CB"/>
    <w:rsid w:val="00A97A8A"/>
    <w:rsid w:val="00A97B3E"/>
    <w:rsid w:val="00AA50B3"/>
    <w:rsid w:val="00AB3B4B"/>
    <w:rsid w:val="00AB6BB1"/>
    <w:rsid w:val="00AC3DAD"/>
    <w:rsid w:val="00AC78E0"/>
    <w:rsid w:val="00AC7DC0"/>
    <w:rsid w:val="00AD48A4"/>
    <w:rsid w:val="00AD52FD"/>
    <w:rsid w:val="00AD6671"/>
    <w:rsid w:val="00AE1126"/>
    <w:rsid w:val="00AF0325"/>
    <w:rsid w:val="00AF17DF"/>
    <w:rsid w:val="00AF4580"/>
    <w:rsid w:val="00AF5195"/>
    <w:rsid w:val="00AF53FA"/>
    <w:rsid w:val="00B009AB"/>
    <w:rsid w:val="00B02BCD"/>
    <w:rsid w:val="00B03B93"/>
    <w:rsid w:val="00B04138"/>
    <w:rsid w:val="00B05D79"/>
    <w:rsid w:val="00B0783B"/>
    <w:rsid w:val="00B119AF"/>
    <w:rsid w:val="00B217F0"/>
    <w:rsid w:val="00B273EF"/>
    <w:rsid w:val="00B27998"/>
    <w:rsid w:val="00B30AB2"/>
    <w:rsid w:val="00B31993"/>
    <w:rsid w:val="00B36887"/>
    <w:rsid w:val="00B41E25"/>
    <w:rsid w:val="00B45A01"/>
    <w:rsid w:val="00B46E09"/>
    <w:rsid w:val="00B477AD"/>
    <w:rsid w:val="00B54C0A"/>
    <w:rsid w:val="00B60D96"/>
    <w:rsid w:val="00B627C7"/>
    <w:rsid w:val="00B629EC"/>
    <w:rsid w:val="00B662E0"/>
    <w:rsid w:val="00B6742D"/>
    <w:rsid w:val="00B678E2"/>
    <w:rsid w:val="00B714B4"/>
    <w:rsid w:val="00B73D89"/>
    <w:rsid w:val="00B73D8D"/>
    <w:rsid w:val="00B74CFE"/>
    <w:rsid w:val="00B84707"/>
    <w:rsid w:val="00B872E9"/>
    <w:rsid w:val="00B90451"/>
    <w:rsid w:val="00B905F2"/>
    <w:rsid w:val="00B92313"/>
    <w:rsid w:val="00B97FA7"/>
    <w:rsid w:val="00BA3C66"/>
    <w:rsid w:val="00BA6003"/>
    <w:rsid w:val="00BA61A1"/>
    <w:rsid w:val="00BA6CAF"/>
    <w:rsid w:val="00BA79F6"/>
    <w:rsid w:val="00BB1BA9"/>
    <w:rsid w:val="00BB1C26"/>
    <w:rsid w:val="00BB2B23"/>
    <w:rsid w:val="00BB2DB0"/>
    <w:rsid w:val="00BB33C2"/>
    <w:rsid w:val="00BB3DCE"/>
    <w:rsid w:val="00BB6AFB"/>
    <w:rsid w:val="00BC05C0"/>
    <w:rsid w:val="00BC193C"/>
    <w:rsid w:val="00BC270D"/>
    <w:rsid w:val="00BD0C9C"/>
    <w:rsid w:val="00BD10F8"/>
    <w:rsid w:val="00BD13DC"/>
    <w:rsid w:val="00BD1ED3"/>
    <w:rsid w:val="00BD4AC5"/>
    <w:rsid w:val="00BD5698"/>
    <w:rsid w:val="00BE0DF6"/>
    <w:rsid w:val="00BE1749"/>
    <w:rsid w:val="00BE2C38"/>
    <w:rsid w:val="00BE66AD"/>
    <w:rsid w:val="00BF11DD"/>
    <w:rsid w:val="00BF1986"/>
    <w:rsid w:val="00BF5635"/>
    <w:rsid w:val="00C01C5B"/>
    <w:rsid w:val="00C02E3D"/>
    <w:rsid w:val="00C048A0"/>
    <w:rsid w:val="00C051B3"/>
    <w:rsid w:val="00C05233"/>
    <w:rsid w:val="00C0589F"/>
    <w:rsid w:val="00C075FA"/>
    <w:rsid w:val="00C11553"/>
    <w:rsid w:val="00C12461"/>
    <w:rsid w:val="00C144B6"/>
    <w:rsid w:val="00C16765"/>
    <w:rsid w:val="00C1747A"/>
    <w:rsid w:val="00C17575"/>
    <w:rsid w:val="00C17C28"/>
    <w:rsid w:val="00C2066C"/>
    <w:rsid w:val="00C220AB"/>
    <w:rsid w:val="00C27FBA"/>
    <w:rsid w:val="00C30FF9"/>
    <w:rsid w:val="00C35C54"/>
    <w:rsid w:val="00C425EB"/>
    <w:rsid w:val="00C42882"/>
    <w:rsid w:val="00C435DB"/>
    <w:rsid w:val="00C43844"/>
    <w:rsid w:val="00C50B37"/>
    <w:rsid w:val="00C50FBA"/>
    <w:rsid w:val="00C51ECC"/>
    <w:rsid w:val="00C520E8"/>
    <w:rsid w:val="00C5685D"/>
    <w:rsid w:val="00C6135A"/>
    <w:rsid w:val="00C61AA8"/>
    <w:rsid w:val="00C63BFF"/>
    <w:rsid w:val="00C64072"/>
    <w:rsid w:val="00C66BB1"/>
    <w:rsid w:val="00C67A1E"/>
    <w:rsid w:val="00C71D61"/>
    <w:rsid w:val="00C737C3"/>
    <w:rsid w:val="00C828F6"/>
    <w:rsid w:val="00C8409E"/>
    <w:rsid w:val="00C8477A"/>
    <w:rsid w:val="00C87DF6"/>
    <w:rsid w:val="00C90555"/>
    <w:rsid w:val="00C90E67"/>
    <w:rsid w:val="00C91C31"/>
    <w:rsid w:val="00C96207"/>
    <w:rsid w:val="00C974A5"/>
    <w:rsid w:val="00CA051D"/>
    <w:rsid w:val="00CA3F01"/>
    <w:rsid w:val="00CA464C"/>
    <w:rsid w:val="00CA50E8"/>
    <w:rsid w:val="00CA679E"/>
    <w:rsid w:val="00CB248D"/>
    <w:rsid w:val="00CB35C3"/>
    <w:rsid w:val="00CB3FC1"/>
    <w:rsid w:val="00CB5BCB"/>
    <w:rsid w:val="00CB777A"/>
    <w:rsid w:val="00CC035E"/>
    <w:rsid w:val="00CC3355"/>
    <w:rsid w:val="00CC54E6"/>
    <w:rsid w:val="00CD7DB1"/>
    <w:rsid w:val="00CE45D1"/>
    <w:rsid w:val="00CE5AA5"/>
    <w:rsid w:val="00CE6822"/>
    <w:rsid w:val="00CE76C9"/>
    <w:rsid w:val="00CF2607"/>
    <w:rsid w:val="00CF573B"/>
    <w:rsid w:val="00CF6E0E"/>
    <w:rsid w:val="00D01B4D"/>
    <w:rsid w:val="00D01D91"/>
    <w:rsid w:val="00D038A7"/>
    <w:rsid w:val="00D12931"/>
    <w:rsid w:val="00D15213"/>
    <w:rsid w:val="00D152D5"/>
    <w:rsid w:val="00D177E2"/>
    <w:rsid w:val="00D2303A"/>
    <w:rsid w:val="00D267A1"/>
    <w:rsid w:val="00D33044"/>
    <w:rsid w:val="00D36AB8"/>
    <w:rsid w:val="00D469C0"/>
    <w:rsid w:val="00D47608"/>
    <w:rsid w:val="00D52EA5"/>
    <w:rsid w:val="00D52EFF"/>
    <w:rsid w:val="00D53190"/>
    <w:rsid w:val="00D54670"/>
    <w:rsid w:val="00D63621"/>
    <w:rsid w:val="00D64011"/>
    <w:rsid w:val="00D652C3"/>
    <w:rsid w:val="00D66FBB"/>
    <w:rsid w:val="00D67C80"/>
    <w:rsid w:val="00D743AE"/>
    <w:rsid w:val="00D80101"/>
    <w:rsid w:val="00D80565"/>
    <w:rsid w:val="00D82FEC"/>
    <w:rsid w:val="00D85BF5"/>
    <w:rsid w:val="00D93397"/>
    <w:rsid w:val="00D9368F"/>
    <w:rsid w:val="00D9406F"/>
    <w:rsid w:val="00D97209"/>
    <w:rsid w:val="00DA2CE7"/>
    <w:rsid w:val="00DA2D31"/>
    <w:rsid w:val="00DA56CB"/>
    <w:rsid w:val="00DA5EC0"/>
    <w:rsid w:val="00DA6D06"/>
    <w:rsid w:val="00DB0F20"/>
    <w:rsid w:val="00DB1D99"/>
    <w:rsid w:val="00DC1ABB"/>
    <w:rsid w:val="00DC22FB"/>
    <w:rsid w:val="00DC7785"/>
    <w:rsid w:val="00DC7E3C"/>
    <w:rsid w:val="00DD5D47"/>
    <w:rsid w:val="00DD693F"/>
    <w:rsid w:val="00DD7DF9"/>
    <w:rsid w:val="00DE1260"/>
    <w:rsid w:val="00DE329B"/>
    <w:rsid w:val="00DE4131"/>
    <w:rsid w:val="00DE5DC4"/>
    <w:rsid w:val="00DE7C7B"/>
    <w:rsid w:val="00DF07C9"/>
    <w:rsid w:val="00DF6A45"/>
    <w:rsid w:val="00E002C4"/>
    <w:rsid w:val="00E03108"/>
    <w:rsid w:val="00E04F78"/>
    <w:rsid w:val="00E123DA"/>
    <w:rsid w:val="00E216AA"/>
    <w:rsid w:val="00E25C96"/>
    <w:rsid w:val="00E308C0"/>
    <w:rsid w:val="00E33224"/>
    <w:rsid w:val="00E35FF0"/>
    <w:rsid w:val="00E373DA"/>
    <w:rsid w:val="00E470B0"/>
    <w:rsid w:val="00E5357F"/>
    <w:rsid w:val="00E53A40"/>
    <w:rsid w:val="00E5768B"/>
    <w:rsid w:val="00E6035B"/>
    <w:rsid w:val="00E628F0"/>
    <w:rsid w:val="00E63410"/>
    <w:rsid w:val="00E65835"/>
    <w:rsid w:val="00E7153A"/>
    <w:rsid w:val="00E734D7"/>
    <w:rsid w:val="00E75AC2"/>
    <w:rsid w:val="00E842B5"/>
    <w:rsid w:val="00E86436"/>
    <w:rsid w:val="00E8795B"/>
    <w:rsid w:val="00E915A0"/>
    <w:rsid w:val="00E949FF"/>
    <w:rsid w:val="00E94AF4"/>
    <w:rsid w:val="00E9796B"/>
    <w:rsid w:val="00EA4788"/>
    <w:rsid w:val="00EA4862"/>
    <w:rsid w:val="00EA63A1"/>
    <w:rsid w:val="00EB22DC"/>
    <w:rsid w:val="00EB22E4"/>
    <w:rsid w:val="00EB2ECE"/>
    <w:rsid w:val="00EB4BA4"/>
    <w:rsid w:val="00EB57A0"/>
    <w:rsid w:val="00EB6451"/>
    <w:rsid w:val="00EB6F49"/>
    <w:rsid w:val="00EB7E45"/>
    <w:rsid w:val="00EC0F72"/>
    <w:rsid w:val="00EC4707"/>
    <w:rsid w:val="00ED7186"/>
    <w:rsid w:val="00EE33A9"/>
    <w:rsid w:val="00EE4097"/>
    <w:rsid w:val="00EF4837"/>
    <w:rsid w:val="00EF6DA2"/>
    <w:rsid w:val="00EF7400"/>
    <w:rsid w:val="00EF7935"/>
    <w:rsid w:val="00F015E5"/>
    <w:rsid w:val="00F02975"/>
    <w:rsid w:val="00F02F7D"/>
    <w:rsid w:val="00F0533C"/>
    <w:rsid w:val="00F078D7"/>
    <w:rsid w:val="00F1224E"/>
    <w:rsid w:val="00F12612"/>
    <w:rsid w:val="00F16470"/>
    <w:rsid w:val="00F17943"/>
    <w:rsid w:val="00F222EF"/>
    <w:rsid w:val="00F227E3"/>
    <w:rsid w:val="00F229CF"/>
    <w:rsid w:val="00F23053"/>
    <w:rsid w:val="00F31405"/>
    <w:rsid w:val="00F3260E"/>
    <w:rsid w:val="00F3415D"/>
    <w:rsid w:val="00F34C46"/>
    <w:rsid w:val="00F42EA2"/>
    <w:rsid w:val="00F44AD3"/>
    <w:rsid w:val="00F47D49"/>
    <w:rsid w:val="00F500E8"/>
    <w:rsid w:val="00F5045C"/>
    <w:rsid w:val="00F50E23"/>
    <w:rsid w:val="00F525FD"/>
    <w:rsid w:val="00F54C79"/>
    <w:rsid w:val="00F5663D"/>
    <w:rsid w:val="00F628D9"/>
    <w:rsid w:val="00F727F9"/>
    <w:rsid w:val="00F73FF3"/>
    <w:rsid w:val="00F76C4A"/>
    <w:rsid w:val="00F7707D"/>
    <w:rsid w:val="00F80B23"/>
    <w:rsid w:val="00F84EDD"/>
    <w:rsid w:val="00F94ED7"/>
    <w:rsid w:val="00F971AF"/>
    <w:rsid w:val="00F9723C"/>
    <w:rsid w:val="00FA0AA3"/>
    <w:rsid w:val="00FA0F3A"/>
    <w:rsid w:val="00FA50D4"/>
    <w:rsid w:val="00FA5E4C"/>
    <w:rsid w:val="00FB0A70"/>
    <w:rsid w:val="00FB27DA"/>
    <w:rsid w:val="00FB28A7"/>
    <w:rsid w:val="00FB3AED"/>
    <w:rsid w:val="00FB4E16"/>
    <w:rsid w:val="00FB7220"/>
    <w:rsid w:val="00FB76D8"/>
    <w:rsid w:val="00FC1BAD"/>
    <w:rsid w:val="00FC51D8"/>
    <w:rsid w:val="00FC7646"/>
    <w:rsid w:val="00FD1516"/>
    <w:rsid w:val="00FD2ACA"/>
    <w:rsid w:val="00FD4A20"/>
    <w:rsid w:val="00FF0A62"/>
    <w:rsid w:val="00FF10C1"/>
    <w:rsid w:val="00FF310D"/>
    <w:rsid w:val="00FF5B64"/>
    <w:rsid w:val="00FF63B5"/>
    <w:rsid w:val="04238B89"/>
    <w:rsid w:val="044F57DE"/>
    <w:rsid w:val="05615449"/>
    <w:rsid w:val="06ED249B"/>
    <w:rsid w:val="121AE180"/>
    <w:rsid w:val="1810E553"/>
    <w:rsid w:val="220302DD"/>
    <w:rsid w:val="48EE1384"/>
    <w:rsid w:val="5132BEC3"/>
    <w:rsid w:val="64B879BF"/>
    <w:rsid w:val="65D17F7F"/>
    <w:rsid w:val="66E32F31"/>
    <w:rsid w:val="676D4FE0"/>
    <w:rsid w:val="7A38E1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6945ACB1"/>
  <w15:docId w15:val="{2F07E237-A6E5-408A-AD5B-888763A9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nhideWhenUsed/>
    <w:rsid w:val="005616C3"/>
    <w:rPr>
      <w:sz w:val="16"/>
    </w:rPr>
  </w:style>
  <w:style w:type="paragraph" w:styleId="CommentText">
    <w:name w:val="annotation text"/>
    <w:basedOn w:val="Normal"/>
    <w:link w:val="CommentTextChar"/>
    <w:unhideWhenUsed/>
    <w:rsid w:val="005616C3"/>
    <w:pPr>
      <w:autoSpaceDE/>
      <w:autoSpaceDN/>
      <w:adjustRightInd/>
      <w:spacing w:after="200"/>
    </w:pPr>
    <w:rPr>
      <w:rFonts w:ascii="Calibri" w:hAnsi="Calibri"/>
      <w:sz w:val="20"/>
      <w:szCs w:val="20"/>
    </w:rPr>
  </w:style>
  <w:style w:type="character" w:customStyle="1" w:styleId="CommentTextChar">
    <w:name w:val="Comment Text Char"/>
    <w:link w:val="CommentText"/>
    <w:locked/>
    <w:rsid w:val="005616C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5616C3"/>
    <w:rPr>
      <w:rFonts w:ascii="Segoe UI" w:hAnsi="Segoe UI" w:cs="Segoe UI"/>
      <w:sz w:val="18"/>
      <w:szCs w:val="18"/>
    </w:rPr>
  </w:style>
  <w:style w:type="character" w:customStyle="1" w:styleId="BalloonTextChar">
    <w:name w:val="Balloon Text Char"/>
    <w:link w:val="BalloonText"/>
    <w:uiPriority w:val="99"/>
    <w:semiHidden/>
    <w:locked/>
    <w:rsid w:val="005616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51AB"/>
    <w:pPr>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151AB"/>
    <w:rPr>
      <w:rFonts w:ascii="Times New Roman" w:eastAsia="Times New Roman" w:hAnsi="Times New Roman" w:cs="Times New Roman"/>
      <w:b/>
      <w:bCs/>
      <w:sz w:val="20"/>
      <w:szCs w:val="20"/>
    </w:rPr>
  </w:style>
  <w:style w:type="paragraph" w:styleId="Revision">
    <w:name w:val="Revision"/>
    <w:hidden/>
    <w:uiPriority w:val="99"/>
    <w:semiHidden/>
    <w:rsid w:val="00FF10C1"/>
    <w:rPr>
      <w:rFonts w:ascii="Times New Roman" w:hAnsi="Times New Roman"/>
      <w:sz w:val="24"/>
      <w:szCs w:val="24"/>
    </w:rPr>
  </w:style>
  <w:style w:type="character" w:styleId="Hyperlink">
    <w:name w:val="Hyperlink"/>
    <w:basedOn w:val="DefaultParagraphFont"/>
    <w:uiPriority w:val="99"/>
    <w:unhideWhenUsed/>
    <w:rsid w:val="000947E7"/>
    <w:rPr>
      <w:color w:val="0563C1" w:themeColor="hyperlink"/>
      <w:u w:val="single"/>
    </w:rPr>
  </w:style>
  <w:style w:type="character" w:styleId="UnresolvedMention">
    <w:name w:val="Unresolved Mention"/>
    <w:basedOn w:val="DefaultParagraphFont"/>
    <w:uiPriority w:val="99"/>
    <w:semiHidden/>
    <w:unhideWhenUsed/>
    <w:rsid w:val="000947E7"/>
    <w:rPr>
      <w:color w:val="605E5C"/>
      <w:shd w:val="clear" w:color="auto" w:fill="E1DFDD"/>
    </w:rPr>
  </w:style>
  <w:style w:type="character" w:styleId="FollowedHyperlink">
    <w:name w:val="FollowedHyperlink"/>
    <w:basedOn w:val="DefaultParagraphFont"/>
    <w:uiPriority w:val="99"/>
    <w:semiHidden/>
    <w:unhideWhenUsed/>
    <w:rsid w:val="005A24D7"/>
    <w:rPr>
      <w:color w:val="954F72" w:themeColor="followedHyperlink"/>
      <w:u w:val="single"/>
    </w:rPr>
  </w:style>
  <w:style w:type="paragraph" w:styleId="Header">
    <w:name w:val="header"/>
    <w:basedOn w:val="Normal"/>
    <w:link w:val="HeaderChar"/>
    <w:uiPriority w:val="99"/>
    <w:unhideWhenUsed/>
    <w:rsid w:val="003B589D"/>
    <w:pPr>
      <w:tabs>
        <w:tab w:val="center" w:pos="4680"/>
        <w:tab w:val="right" w:pos="9360"/>
      </w:tabs>
    </w:pPr>
  </w:style>
  <w:style w:type="character" w:customStyle="1" w:styleId="HeaderChar">
    <w:name w:val="Header Char"/>
    <w:basedOn w:val="DefaultParagraphFont"/>
    <w:link w:val="Header"/>
    <w:uiPriority w:val="99"/>
    <w:rsid w:val="003B589D"/>
    <w:rPr>
      <w:rFonts w:ascii="Times New Roman" w:hAnsi="Times New Roman"/>
      <w:sz w:val="24"/>
      <w:szCs w:val="24"/>
    </w:rPr>
  </w:style>
  <w:style w:type="paragraph" w:styleId="Footer">
    <w:name w:val="footer"/>
    <w:basedOn w:val="Normal"/>
    <w:link w:val="FooterChar"/>
    <w:uiPriority w:val="99"/>
    <w:unhideWhenUsed/>
    <w:rsid w:val="003B589D"/>
    <w:pPr>
      <w:tabs>
        <w:tab w:val="center" w:pos="4680"/>
        <w:tab w:val="right" w:pos="9360"/>
      </w:tabs>
    </w:pPr>
  </w:style>
  <w:style w:type="character" w:customStyle="1" w:styleId="FooterChar">
    <w:name w:val="Footer Char"/>
    <w:basedOn w:val="DefaultParagraphFont"/>
    <w:link w:val="Footer"/>
    <w:uiPriority w:val="99"/>
    <w:rsid w:val="003B589D"/>
    <w:rPr>
      <w:rFonts w:ascii="Times New Roman" w:hAnsi="Times New Roman"/>
      <w:sz w:val="24"/>
      <w:szCs w:val="24"/>
    </w:rPr>
  </w:style>
  <w:style w:type="paragraph" w:styleId="NoSpacing">
    <w:name w:val="No Spacing"/>
    <w:basedOn w:val="Normal"/>
    <w:uiPriority w:val="1"/>
    <w:qFormat/>
    <w:rsid w:val="005954CC"/>
    <w:pPr>
      <w:widowControl/>
      <w:autoSpaceDE/>
      <w:autoSpaceDN/>
      <w:adjustRightInd/>
    </w:pPr>
    <w:rPr>
      <w:rFonts w:ascii="Calibri" w:eastAsia="Calibri" w:hAnsi="Calibri" w:cs="Calibri"/>
      <w:sz w:val="22"/>
      <w:szCs w:val="22"/>
    </w:rPr>
  </w:style>
  <w:style w:type="character" w:customStyle="1" w:styleId="normaltextrun">
    <w:name w:val="normaltextrun"/>
    <w:basedOn w:val="DefaultParagraphFont"/>
    <w:rsid w:val="009E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industry/small-business-assistan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AAB67050F424BA24B9981A1B17D7C" ma:contentTypeVersion="5" ma:contentTypeDescription="Create a new document." ma:contentTypeScope="" ma:versionID="1f478aefa293ad979d6352450fec3ca5">
  <xsd:schema xmlns:xsd="http://www.w3.org/2001/XMLSchema" xmlns:xs="http://www.w3.org/2001/XMLSchema" xmlns:p="http://schemas.microsoft.com/office/2006/metadata/properties" xmlns:ns2="7f7cca42-ee6d-4642-b6bb-acfe980635cf" xmlns:ns3="f2fcef62-a6a6-47d2-8698-58df511dad91" targetNamespace="http://schemas.microsoft.com/office/2006/metadata/properties" ma:root="true" ma:fieldsID="b9e656eb12d92cde5c115396fcb51d24" ns2:_="" ns3:_="">
    <xsd:import namespace="7f7cca42-ee6d-4642-b6bb-acfe980635cf"/>
    <xsd:import namespace="f2fcef62-a6a6-47d2-8698-58df511dad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ca42-ee6d-4642-b6bb-acfe9806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cef62-a6a6-47d2-8698-58df511dad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fcef62-a6a6-47d2-8698-58df511dad91">
      <UserInfo>
        <DisplayName>Eicken, Darren</DisplayName>
        <AccountId>231</AccountId>
        <AccountType/>
      </UserInfo>
      <UserInfo>
        <DisplayName>Friedman, Beverly J</DisplayName>
        <AccountId>1334</AccountId>
        <AccountType/>
      </UserInfo>
      <UserInfo>
        <DisplayName>Reese, Syzette</DisplayName>
        <AccountId>763</AccountId>
        <AccountType/>
      </UserInfo>
      <UserInfo>
        <DisplayName>Ng, Wendy</DisplayName>
        <AccountId>1319</AccountId>
        <AccountType/>
      </UserInfo>
      <UserInfo>
        <DisplayName>Omokaro, Stephanie</DisplayName>
        <AccountId>94</AccountId>
        <AccountType/>
      </UserInfo>
      <UserInfo>
        <DisplayName>Raafat, Dina</DisplayName>
        <AccountId>776</AccountId>
        <AccountType/>
      </UserInfo>
      <UserInfo>
        <DisplayName>Almeida, Cecilia</DisplayName>
        <AccountId>106</AccountId>
        <AccountType/>
      </UserInfo>
      <UserInfo>
        <DisplayName>Doan, Dat</DisplayName>
        <AccountId>114</AccountId>
        <AccountType/>
      </UserInfo>
      <UserInfo>
        <DisplayName>Schley, Mignon</DisplayName>
        <AccountId>95</AccountId>
        <AccountType/>
      </UserInfo>
      <UserInfo>
        <DisplayName>Bean, Domini</DisplayName>
        <AccountId>1373</AccountId>
        <AccountType/>
      </UserInfo>
      <UserInfo>
        <DisplayName>Fienkeng, Mathilda</DisplayName>
        <AccountId>92</AccountId>
        <AccountType/>
      </UserInfo>
      <UserInfo>
        <DisplayName>Melvin, Maureen</DisplayName>
        <AccountId>746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772E9BA-BC22-479E-B559-85A3E7CB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ca42-ee6d-4642-b6bb-acfe980635cf"/>
    <ds:schemaRef ds:uri="f2fcef62-a6a6-47d2-8698-58df511da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249B1-C38D-495E-A9B3-ADCDEDB55AD6}">
  <ds:schemaRefs>
    <ds:schemaRef ds:uri="http://schemas.microsoft.com/sharepoint/v3/contenttype/forms"/>
  </ds:schemaRefs>
</ds:datastoreItem>
</file>

<file path=customXml/itemProps3.xml><?xml version="1.0" encoding="utf-8"?>
<ds:datastoreItem xmlns:ds="http://schemas.openxmlformats.org/officeDocument/2006/customXml" ds:itemID="{E256123C-E621-429F-B1B4-FD62AE7EA87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fcef62-a6a6-47d2-8698-58df511dad91"/>
    <ds:schemaRef ds:uri="http://purl.org/dc/elements/1.1/"/>
    <ds:schemaRef ds:uri="7f7cca42-ee6d-4642-b6bb-acfe980635cf"/>
    <ds:schemaRef ds:uri="http://www.w3.org/XML/1998/namespace"/>
    <ds:schemaRef ds:uri="http://purl.org/dc/dcmitype/"/>
  </ds:schemaRefs>
</ds:datastoreItem>
</file>

<file path=customXml/itemProps4.xml><?xml version="1.0" encoding="utf-8"?>
<ds:datastoreItem xmlns:ds="http://schemas.openxmlformats.org/officeDocument/2006/customXml" ds:itemID="{8F6A70CD-EBF3-49E0-BFBC-BCF5004570FA}">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1890</Words>
  <Characters>10984</Characters>
  <Application>Microsoft Office Word</Application>
  <DocSecurity>0</DocSecurity>
  <Lines>233</Lines>
  <Paragraphs>89</Paragraphs>
  <ScaleCrop>false</ScaleCrop>
  <HeadingPairs>
    <vt:vector size="2" baseType="variant">
      <vt:variant>
        <vt:lpstr>Title</vt:lpstr>
      </vt:variant>
      <vt:variant>
        <vt:i4>1</vt:i4>
      </vt:variant>
    </vt:vector>
  </HeadingPairs>
  <TitlesOfParts>
    <vt:vector size="1" baseType="lpstr">
      <vt:lpstr>Microsoft Word - 0001 NDAs SSA 2017 Ext.docx</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- 0001 NDAs SSA 2017 Ext.docx</dc:title>
  <dc:creator>DHC</dc:creator>
  <cp:lastModifiedBy>PRAB - AS</cp:lastModifiedBy>
  <cp:revision>2</cp:revision>
  <dcterms:created xsi:type="dcterms:W3CDTF">2024-12-19T14:45:00Z</dcterms:created>
  <dcterms:modified xsi:type="dcterms:W3CDTF">2024-12-19T14:45:00Z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0x0101004EBAAB67050F424BA24B9981A1B17D7C</vt:lpwstr>
  </property>
  <property fmtid="{D5CDD505-2E9C-101B-9397-08002B2CF9AE}" pid="3" name="Order">
    <vt:r8>75700</vt:r8>
  </property>
  <property fmtid="{D5CDD505-2E9C-101B-9397-08002B2CF9AE}" pid="4" name="_dlc_DocIdItemGuid">
    <vt:lpwstr>5bcac5cc-4a39-4488-b2f5-51867a2317de</vt:lpwstr>
  </property>
  <property fmtid="{D5CDD505-2E9C-101B-9397-08002B2CF9AE}" pid="5" name="_NewReviewCycle">
    <vt:lpwstr/>
  </property>
  <property fmtid="{D5CDD505-2E9C-101B-9397-08002B2CF9AE}" pid="6" name="_ReviewCycleID">
    <vt:i4>-1898056308</vt:i4>
  </property>
  <property fmtid="{D5CDD505-2E9C-101B-9397-08002B2CF9AE}" pid="7" name="_ReviewingToolsShownOnce">
    <vt:lpwstr/>
  </property>
</Properties>
</file>