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05347" w:rsidP="00057D48" w14:paraId="102CCC85" w14:textId="77777777">
      <w:pPr>
        <w:autoSpaceDE/>
        <w:autoSpaceDN/>
        <w:adjustRightInd/>
        <w:jc w:val="center"/>
        <w:outlineLvl w:val="0"/>
        <w:rPr>
          <w:rFonts w:ascii="Times New Roman" w:hAnsi="Times New Roman"/>
          <w:bCs/>
          <w:sz w:val="24"/>
          <w:szCs w:val="24"/>
        </w:rPr>
      </w:pPr>
      <w:r>
        <w:rPr>
          <w:rFonts w:ascii="Times New Roman" w:hAnsi="Times New Roman"/>
          <w:bCs/>
          <w:sz w:val="24"/>
          <w:szCs w:val="24"/>
        </w:rPr>
        <w:t>United States Food and Drug Administration</w:t>
      </w:r>
    </w:p>
    <w:p w:rsidR="009943A6" w:rsidRPr="00505347" w:rsidP="00057D48" w14:paraId="150F7F1A" w14:textId="69983B6E">
      <w:pPr>
        <w:autoSpaceDE/>
        <w:autoSpaceDN/>
        <w:adjustRightInd/>
        <w:jc w:val="center"/>
        <w:outlineLvl w:val="0"/>
        <w:rPr>
          <w:rFonts w:ascii="Times New Roman" w:hAnsi="Times New Roman"/>
          <w:bCs/>
          <w:sz w:val="24"/>
          <w:szCs w:val="24"/>
        </w:rPr>
      </w:pPr>
      <w:r>
        <w:rPr>
          <w:rFonts w:ascii="Times New Roman" w:hAnsi="Times New Roman"/>
          <w:bCs/>
          <w:sz w:val="24"/>
          <w:szCs w:val="24"/>
        </w:rPr>
        <w:br/>
      </w:r>
      <w:r w:rsidRPr="00505347">
        <w:rPr>
          <w:rFonts w:ascii="Times New Roman" w:hAnsi="Times New Roman"/>
          <w:bCs/>
          <w:sz w:val="24"/>
          <w:szCs w:val="24"/>
        </w:rPr>
        <w:t>Generic Clearance for the Collection of Quantitative Data on Tobacco Products and Communications</w:t>
      </w:r>
    </w:p>
    <w:p w:rsidR="00457B64" w:rsidRPr="00505347" w:rsidP="009943A6" w14:paraId="0E8BCC69" w14:textId="22710F10">
      <w:pPr>
        <w:autoSpaceDE/>
        <w:autoSpaceDN/>
        <w:adjustRightInd/>
        <w:spacing w:before="100" w:beforeAutospacing="1" w:after="100" w:afterAutospacing="1"/>
        <w:jc w:val="center"/>
        <w:outlineLvl w:val="0"/>
        <w:rPr>
          <w:rFonts w:ascii="Times New Roman" w:hAnsi="Times New Roman"/>
          <w:bCs/>
          <w:sz w:val="24"/>
          <w:szCs w:val="24"/>
        </w:rPr>
      </w:pPr>
      <w:r w:rsidRPr="00505347">
        <w:rPr>
          <w:rFonts w:ascii="Times New Roman" w:hAnsi="Times New Roman"/>
          <w:bCs/>
          <w:sz w:val="24"/>
          <w:szCs w:val="24"/>
        </w:rPr>
        <w:t xml:space="preserve">OMB Control No. </w:t>
      </w:r>
      <w:r w:rsidRPr="00505347" w:rsidR="00BF1FB3">
        <w:rPr>
          <w:rFonts w:ascii="Times New Roman" w:hAnsi="Times New Roman"/>
          <w:bCs/>
          <w:sz w:val="24"/>
          <w:szCs w:val="24"/>
        </w:rPr>
        <w:t>0910-0810</w:t>
      </w:r>
      <w:r w:rsidR="00672D04">
        <w:rPr>
          <w:rFonts w:ascii="Times New Roman" w:hAnsi="Times New Roman"/>
          <w:bCs/>
          <w:sz w:val="24"/>
          <w:szCs w:val="24"/>
        </w:rPr>
        <w:t xml:space="preserve"> -- Extension</w:t>
      </w:r>
    </w:p>
    <w:p w:rsidR="00596B96" w:rsidRPr="00505347" w:rsidP="3A02322C" w14:paraId="242D81F5" w14:textId="48D94012">
      <w:pPr>
        <w:autoSpaceDE/>
        <w:autoSpaceDN/>
        <w:adjustRightInd/>
        <w:spacing w:before="100" w:beforeAutospacing="1" w:after="100" w:afterAutospacing="1"/>
        <w:jc w:val="center"/>
        <w:rPr>
          <w:rFonts w:ascii="Times New Roman" w:hAnsi="Times New Roman"/>
          <w:bCs/>
          <w:sz w:val="24"/>
          <w:szCs w:val="24"/>
        </w:rPr>
      </w:pPr>
      <w:r w:rsidRPr="00505347">
        <w:rPr>
          <w:rFonts w:ascii="Times New Roman" w:hAnsi="Times New Roman"/>
          <w:bCs/>
          <w:sz w:val="24"/>
          <w:szCs w:val="24"/>
        </w:rPr>
        <w:t>Supporting Statement</w:t>
      </w:r>
      <w:r w:rsidRPr="00505347" w:rsidR="00057D48">
        <w:rPr>
          <w:rFonts w:ascii="Times New Roman" w:hAnsi="Times New Roman"/>
          <w:bCs/>
          <w:sz w:val="24"/>
          <w:szCs w:val="24"/>
        </w:rPr>
        <w:t xml:space="preserve"> Part A: Justification</w:t>
      </w:r>
    </w:p>
    <w:p w:rsidR="489E7BC7" w:rsidRPr="00505347" w:rsidP="3EA4798D" w14:paraId="69BDA405" w14:textId="644DB309">
      <w:pPr>
        <w:spacing w:beforeAutospacing="1" w:afterAutospacing="1"/>
        <w:rPr>
          <w:rFonts w:ascii="Times New Roman" w:hAnsi="Times New Roman"/>
          <w:bCs/>
          <w:sz w:val="24"/>
          <w:szCs w:val="24"/>
        </w:rPr>
      </w:pPr>
      <w:bookmarkStart w:id="0" w:name="_Hlk184897468"/>
      <w:r w:rsidRPr="00505347">
        <w:rPr>
          <w:rFonts w:ascii="Times New Roman" w:hAnsi="Times New Roman"/>
          <w:bCs/>
          <w:sz w:val="24"/>
          <w:szCs w:val="24"/>
        </w:rPr>
        <w:t>Terms of clearance:</w:t>
      </w:r>
      <w:r w:rsidRPr="00505347" w:rsidR="0DA7D883">
        <w:rPr>
          <w:rFonts w:ascii="Times New Roman" w:hAnsi="Times New Roman"/>
          <w:bCs/>
          <w:sz w:val="24"/>
          <w:szCs w:val="24"/>
        </w:rPr>
        <w:t xml:space="preserve"> </w:t>
      </w:r>
      <w:r w:rsidRPr="00505347" w:rsidR="00A42F18">
        <w:rPr>
          <w:rFonts w:ascii="Times New Roman" w:hAnsi="Times New Roman"/>
          <w:bCs/>
          <w:sz w:val="24"/>
          <w:szCs w:val="24"/>
        </w:rPr>
        <w:t>Approved consistent with the understanding that FDA will submit individual collections under this generic clearance to OMB. These submissions will include the actual study instruments along with a memo describing the specific study goal, the study design, any incentives to be used, and the sampling and analysis plans. Each IC request should include a justification for the chosen incentive (unless it is equivalent to or less than the pre-approved "standard" for focus groups ($75) and cognitive interviews ($40)). Further, FDA will send OMB an annual report summarizing the number of hours used, as well as the nature and results of the activities completed under this clearance.</w:t>
      </w:r>
    </w:p>
    <w:p w:rsidR="005C0FF9" w:rsidRPr="00505347" w:rsidP="001D5468" w14:paraId="7EBDC38C" w14:textId="75086319">
      <w:pPr>
        <w:spacing w:beforeAutospacing="1" w:afterAutospacing="1"/>
        <w:rPr>
          <w:rFonts w:ascii="Times New Roman" w:hAnsi="Times New Roman"/>
          <w:bCs/>
          <w:sz w:val="24"/>
          <w:szCs w:val="24"/>
        </w:rPr>
      </w:pPr>
      <w:bookmarkStart w:id="1" w:name="_Hlk184897447"/>
      <w:r w:rsidRPr="00505347">
        <w:rPr>
          <w:rFonts w:ascii="Times New Roman" w:hAnsi="Times New Roman"/>
          <w:bCs/>
          <w:sz w:val="24"/>
          <w:szCs w:val="24"/>
        </w:rPr>
        <w:t xml:space="preserve">Response to OIRA terms of clearance: </w:t>
      </w:r>
      <w:r w:rsidRPr="00505347" w:rsidR="00F4186E">
        <w:rPr>
          <w:rFonts w:ascii="Times New Roman" w:hAnsi="Times New Roman"/>
          <w:bCs/>
          <w:sz w:val="24"/>
          <w:szCs w:val="24"/>
        </w:rPr>
        <w:t xml:space="preserve">FDA agrees to submit individual collections to OMB under this generic clearance. Submissions will include the study instruments along with a memo describing the specific study goal, the design, incentives </w:t>
      </w:r>
      <w:r w:rsidRPr="00505347" w:rsidR="001D5468">
        <w:rPr>
          <w:rFonts w:ascii="Times New Roman" w:hAnsi="Times New Roman"/>
          <w:bCs/>
          <w:sz w:val="24"/>
          <w:szCs w:val="24"/>
        </w:rPr>
        <w:t>as well as</w:t>
      </w:r>
      <w:r w:rsidRPr="00505347" w:rsidR="00F4186E">
        <w:rPr>
          <w:rFonts w:ascii="Times New Roman" w:hAnsi="Times New Roman"/>
          <w:bCs/>
          <w:sz w:val="24"/>
          <w:szCs w:val="24"/>
        </w:rPr>
        <w:t xml:space="preserve"> the sampling and analysis plans. With the request to extend OMB approval on the next extension cycle, FDA will provide a summary of the number of hours used </w:t>
      </w:r>
      <w:r w:rsidRPr="00505347" w:rsidR="001D5468">
        <w:rPr>
          <w:rFonts w:ascii="Times New Roman" w:hAnsi="Times New Roman"/>
          <w:bCs/>
          <w:sz w:val="24"/>
          <w:szCs w:val="24"/>
        </w:rPr>
        <w:t xml:space="preserve">along with </w:t>
      </w:r>
      <w:r w:rsidRPr="00505347" w:rsidR="00F4186E">
        <w:rPr>
          <w:rFonts w:ascii="Times New Roman" w:hAnsi="Times New Roman"/>
          <w:bCs/>
          <w:sz w:val="24"/>
          <w:szCs w:val="24"/>
        </w:rPr>
        <w:t xml:space="preserve">the nature and results of the activities completed under this clearance. To clarify, this umbrella generic is for </w:t>
      </w:r>
      <w:r w:rsidRPr="00505347" w:rsidR="00F4186E">
        <w:rPr>
          <w:rFonts w:ascii="Times New Roman" w:hAnsi="Times New Roman"/>
          <w:bCs/>
          <w:sz w:val="24"/>
          <w:szCs w:val="24"/>
          <w:u w:val="single"/>
        </w:rPr>
        <w:t>quantitative</w:t>
      </w:r>
      <w:r w:rsidRPr="00505347" w:rsidR="00F4186E">
        <w:rPr>
          <w:rFonts w:ascii="Times New Roman" w:hAnsi="Times New Roman"/>
          <w:bCs/>
          <w:sz w:val="24"/>
          <w:szCs w:val="24"/>
        </w:rPr>
        <w:t xml:space="preserve"> data collection which will not include focus groups or interviews.</w:t>
      </w:r>
      <w:bookmarkEnd w:id="0"/>
      <w:bookmarkEnd w:id="1"/>
    </w:p>
    <w:p w:rsidR="005C0FF9" w:rsidRPr="00505347" w14:paraId="5103C968" w14:textId="77777777">
      <w:pPr>
        <w:numPr>
          <w:ilvl w:val="12"/>
          <w:numId w:val="0"/>
        </w:numPr>
        <w:outlineLvl w:val="2"/>
        <w:rPr>
          <w:rFonts w:ascii="Times New Roman" w:hAnsi="Times New Roman"/>
          <w:bCs/>
          <w:sz w:val="24"/>
          <w:szCs w:val="24"/>
          <w:u w:val="single"/>
        </w:rPr>
      </w:pPr>
      <w:bookmarkStart w:id="2" w:name="_Toc239649221"/>
      <w:r w:rsidRPr="00505347">
        <w:rPr>
          <w:rFonts w:ascii="Times New Roman" w:hAnsi="Times New Roman"/>
          <w:bCs/>
          <w:sz w:val="24"/>
          <w:szCs w:val="24"/>
        </w:rPr>
        <w:t xml:space="preserve">1.  </w:t>
      </w:r>
      <w:r w:rsidRPr="00505347">
        <w:rPr>
          <w:rFonts w:ascii="Times New Roman" w:hAnsi="Times New Roman"/>
          <w:bCs/>
          <w:sz w:val="24"/>
          <w:szCs w:val="24"/>
          <w:u w:val="single"/>
        </w:rPr>
        <w:t>Circumstances Making the Collection of Information Necessary</w:t>
      </w:r>
      <w:bookmarkEnd w:id="2"/>
    </w:p>
    <w:p w:rsidR="005C0FF9" w:rsidRPr="00505347" w14:paraId="19528076" w14:textId="77777777">
      <w:pPr>
        <w:numPr>
          <w:ilvl w:val="12"/>
          <w:numId w:val="0"/>
        </w:numPr>
        <w:rPr>
          <w:rFonts w:ascii="Times New Roman" w:hAnsi="Times New Roman"/>
          <w:bCs/>
          <w:sz w:val="24"/>
          <w:szCs w:val="24"/>
        </w:rPr>
      </w:pPr>
    </w:p>
    <w:p w:rsidR="00436176" w:rsidRPr="00505347" w:rsidP="788827CB" w14:paraId="1E9DCBE0" w14:textId="7B80EB53">
      <w:pPr>
        <w:rPr>
          <w:rFonts w:ascii="Times New Roman" w:hAnsi="Times New Roman"/>
          <w:bCs/>
          <w:sz w:val="24"/>
          <w:szCs w:val="24"/>
        </w:rPr>
      </w:pPr>
      <w:r w:rsidRPr="00505347">
        <w:rPr>
          <w:rFonts w:ascii="Times New Roman" w:hAnsi="Times New Roman"/>
          <w:bCs/>
          <w:sz w:val="24"/>
          <w:szCs w:val="24"/>
        </w:rPr>
        <w:t>This information collection supports Food and Drug Administration (FDA or we) programs.</w:t>
      </w:r>
      <w:r w:rsidRPr="00505347" w:rsidR="000E63E5">
        <w:rPr>
          <w:rFonts w:ascii="Times New Roman" w:hAnsi="Times New Roman"/>
          <w:bCs/>
          <w:sz w:val="24"/>
          <w:szCs w:val="24"/>
        </w:rPr>
        <w:t xml:space="preserve"> </w:t>
      </w:r>
    </w:p>
    <w:p w:rsidR="00436176" w:rsidRPr="00505347" w:rsidP="788827CB" w14:paraId="57D7685B" w14:textId="77777777">
      <w:pPr>
        <w:rPr>
          <w:rFonts w:ascii="Times New Roman" w:hAnsi="Times New Roman"/>
          <w:bCs/>
          <w:sz w:val="24"/>
          <w:szCs w:val="24"/>
        </w:rPr>
      </w:pPr>
    </w:p>
    <w:p w:rsidR="00CE57EA" w:rsidRPr="00505347" w:rsidP="788827CB" w14:paraId="6072E253" w14:textId="4AA73C8D">
      <w:pPr>
        <w:rPr>
          <w:rFonts w:ascii="Times New Roman" w:hAnsi="Times New Roman"/>
          <w:bCs/>
          <w:sz w:val="24"/>
          <w:szCs w:val="24"/>
        </w:rPr>
      </w:pPr>
      <w:r w:rsidRPr="00505347">
        <w:rPr>
          <w:rFonts w:ascii="Times New Roman" w:hAnsi="Times New Roman"/>
          <w:bCs/>
          <w:sz w:val="24"/>
          <w:szCs w:val="24"/>
        </w:rPr>
        <w:t>In order to conduct educational and public information programs relating to tobacco use as authorized by section 1003(d)(2)(D) of the Federal Food, Drug, and Cosmetic Act (21 U.S.C. 393(d)(2)(D)), FDA’s Center for Tobacco Products</w:t>
      </w:r>
      <w:r w:rsidRPr="00505347" w:rsidR="00A42F18">
        <w:rPr>
          <w:rFonts w:ascii="Times New Roman" w:hAnsi="Times New Roman"/>
          <w:bCs/>
          <w:sz w:val="24"/>
          <w:szCs w:val="24"/>
        </w:rPr>
        <w:t xml:space="preserve"> (CTP)</w:t>
      </w:r>
      <w:r w:rsidRPr="00505347">
        <w:rPr>
          <w:rFonts w:ascii="Times New Roman" w:hAnsi="Times New Roman"/>
          <w:bCs/>
          <w:sz w:val="24"/>
          <w:szCs w:val="24"/>
        </w:rPr>
        <w:t xml:space="preserve"> will conduct research and use a variety of media to inform and educate </w:t>
      </w:r>
      <w:r w:rsidRPr="00505347" w:rsidR="0215E1B5">
        <w:rPr>
          <w:rFonts w:ascii="Times New Roman" w:hAnsi="Times New Roman"/>
          <w:bCs/>
          <w:sz w:val="24"/>
          <w:szCs w:val="24"/>
        </w:rPr>
        <w:t xml:space="preserve">stakeholders (e.g., </w:t>
      </w:r>
      <w:r w:rsidRPr="00505347">
        <w:rPr>
          <w:rFonts w:ascii="Times New Roman" w:hAnsi="Times New Roman"/>
          <w:bCs/>
          <w:sz w:val="24"/>
          <w:szCs w:val="24"/>
        </w:rPr>
        <w:t>the public, tobacco retailers, and health professionals</w:t>
      </w:r>
      <w:r w:rsidRPr="00505347" w:rsidR="06785B7C">
        <w:rPr>
          <w:rFonts w:ascii="Times New Roman" w:hAnsi="Times New Roman"/>
          <w:bCs/>
          <w:sz w:val="24"/>
          <w:szCs w:val="24"/>
        </w:rPr>
        <w:t>)</w:t>
      </w:r>
      <w:r w:rsidRPr="00505347">
        <w:rPr>
          <w:rFonts w:ascii="Times New Roman" w:hAnsi="Times New Roman"/>
          <w:bCs/>
          <w:sz w:val="24"/>
          <w:szCs w:val="24"/>
        </w:rPr>
        <w:t xml:space="preserve"> about the risks of tobacco use, how to quit using tobacco products, and FDA’s role in regulating tobacco. </w:t>
      </w:r>
    </w:p>
    <w:p w:rsidR="00CE57EA" w:rsidRPr="00505347" w:rsidP="00CE57EA" w14:paraId="1621B1A6" w14:textId="77777777">
      <w:pPr>
        <w:numPr>
          <w:ilvl w:val="12"/>
          <w:numId w:val="0"/>
        </w:numPr>
        <w:rPr>
          <w:rFonts w:ascii="Times New Roman" w:hAnsi="Times New Roman"/>
          <w:bCs/>
          <w:sz w:val="24"/>
          <w:szCs w:val="24"/>
        </w:rPr>
      </w:pPr>
    </w:p>
    <w:p w:rsidR="00400C9D" w:rsidRPr="00505347" w:rsidP="00400C9D" w14:paraId="78510511" w14:textId="010C1E6C">
      <w:pPr>
        <w:numPr>
          <w:ilvl w:val="12"/>
          <w:numId w:val="0"/>
        </w:numPr>
        <w:rPr>
          <w:rFonts w:ascii="Times New Roman" w:hAnsi="Times New Roman"/>
          <w:bCs/>
          <w:sz w:val="24"/>
          <w:szCs w:val="24"/>
        </w:rPr>
      </w:pPr>
      <w:r w:rsidRPr="00505347">
        <w:rPr>
          <w:rFonts w:ascii="Times New Roman" w:hAnsi="Times New Roman"/>
          <w:bCs/>
          <w:sz w:val="24"/>
          <w:szCs w:val="24"/>
        </w:rPr>
        <w:t>To ensure that regulatory actions and communications activities have the highest potential to be received, understood, and accepted by various audiences, CTP conduct</w:t>
      </w:r>
      <w:r w:rsidRPr="00505347" w:rsidR="00A42F18">
        <w:rPr>
          <w:rFonts w:ascii="Times New Roman" w:hAnsi="Times New Roman"/>
          <w:bCs/>
          <w:sz w:val="24"/>
          <w:szCs w:val="24"/>
        </w:rPr>
        <w:t>s</w:t>
      </w:r>
      <w:r w:rsidRPr="00505347">
        <w:rPr>
          <w:rFonts w:ascii="Times New Roman" w:hAnsi="Times New Roman"/>
          <w:bCs/>
          <w:sz w:val="24"/>
          <w:szCs w:val="24"/>
        </w:rPr>
        <w:t xml:space="preserve"> research studies relating to the control and prevention of disease as authorized by section 301 of the Public Health Service Act (42 U.S.C 241(a)). Since </w:t>
      </w:r>
      <w:r w:rsidRPr="00505347" w:rsidR="00A42F18">
        <w:rPr>
          <w:rFonts w:ascii="Times New Roman" w:hAnsi="Times New Roman"/>
          <w:bCs/>
          <w:sz w:val="24"/>
          <w:szCs w:val="24"/>
        </w:rPr>
        <w:t>the establishment of this umbrella generic</w:t>
      </w:r>
      <w:r w:rsidRPr="00505347">
        <w:rPr>
          <w:rFonts w:ascii="Times New Roman" w:hAnsi="Times New Roman"/>
          <w:bCs/>
          <w:sz w:val="24"/>
          <w:szCs w:val="24"/>
        </w:rPr>
        <w:t xml:space="preserve">, FDA now has authority per the deeming rule over many newly regulated products. Therefore, FDA may need to gather more foundational and formative research on these newly deemed tobacco products to inform comprehensive and accessible communications that describe CTP regulatory actions to the public and other CTP stakeholders, aligned with CTP’s Strategic Plan (Goal 1: Develop, Advance, and Communicate Comprehensive and Impactful Tobacco Regulations and Guidance) </w:t>
      </w:r>
      <w:r w:rsidRPr="00505347">
        <w:rPr>
          <w:rFonts w:ascii="Times New Roman" w:hAnsi="Times New Roman"/>
          <w:bCs/>
          <w:sz w:val="24"/>
          <w:szCs w:val="24"/>
        </w:rPr>
        <w:t>as data gathered from information collections under this generic clearance will facilitate development of clear and accessible CTP public statements and communications. Aligned with CTP’s Strategic Plan (Goal 4: Enhance Knowledge and Understanding of the Risks Associated with Tobacco Product Use), this information will also aid CTP’s strategy and development of communication messaging and educational initiatives related to public health (i.e., educating youth about the risks of tobacco product use; educating people who use tobacco products about the benefits of cessation; educating adults who smoke about the relative risks of tobacco products).</w:t>
      </w:r>
    </w:p>
    <w:p w:rsidR="00400C9D" w:rsidRPr="00505347" w:rsidP="00CE57EA" w14:paraId="558A1BC1" w14:textId="77777777">
      <w:pPr>
        <w:numPr>
          <w:ilvl w:val="12"/>
          <w:numId w:val="0"/>
        </w:numPr>
        <w:rPr>
          <w:rFonts w:ascii="Times New Roman" w:hAnsi="Times New Roman"/>
          <w:bCs/>
          <w:sz w:val="24"/>
          <w:szCs w:val="24"/>
        </w:rPr>
      </w:pPr>
    </w:p>
    <w:p w:rsidR="001C669E" w:rsidRPr="00505347" w:rsidP="7AE98EAD" w14:paraId="21563082" w14:textId="23EAF213">
      <w:pPr>
        <w:autoSpaceDE/>
        <w:autoSpaceDN/>
        <w:adjustRightInd/>
        <w:rPr>
          <w:rFonts w:ascii="Times New Roman" w:hAnsi="Times New Roman"/>
          <w:bCs/>
          <w:sz w:val="24"/>
          <w:szCs w:val="24"/>
        </w:rPr>
      </w:pPr>
      <w:r w:rsidRPr="00505347">
        <w:rPr>
          <w:rFonts w:ascii="Times New Roman" w:hAnsi="Times New Roman"/>
          <w:bCs/>
          <w:sz w:val="24"/>
          <w:szCs w:val="24"/>
        </w:rPr>
        <w:t xml:space="preserve">We therefore request extension of OMB approval </w:t>
      </w:r>
      <w:r w:rsidRPr="00505347">
        <w:rPr>
          <w:rFonts w:ascii="Times New Roman" w:hAnsi="Times New Roman"/>
          <w:bCs/>
          <w:color w:val="000000" w:themeColor="text1"/>
          <w:sz w:val="24"/>
          <w:szCs w:val="24"/>
        </w:rPr>
        <w:t xml:space="preserve">to collect quantitative information related </w:t>
      </w:r>
      <w:r w:rsidRPr="00505347">
        <w:rPr>
          <w:rFonts w:ascii="Times New Roman" w:hAnsi="Times New Roman"/>
          <w:bCs/>
          <w:sz w:val="24"/>
          <w:szCs w:val="24"/>
        </w:rPr>
        <w:t>to informing the development and/or assessment of tobacco communication message</w:t>
      </w:r>
      <w:r w:rsidRPr="00505347">
        <w:rPr>
          <w:rFonts w:ascii="Times New Roman" w:hAnsi="Times New Roman"/>
          <w:bCs/>
          <w:strike/>
          <w:sz w:val="24"/>
          <w:szCs w:val="24"/>
        </w:rPr>
        <w:t>s</w:t>
      </w:r>
      <w:r w:rsidRPr="00505347">
        <w:rPr>
          <w:rFonts w:ascii="Times New Roman" w:hAnsi="Times New Roman"/>
          <w:bCs/>
          <w:sz w:val="24"/>
          <w:szCs w:val="24"/>
        </w:rPr>
        <w:t>, materials and/or measures</w:t>
      </w:r>
      <w:r w:rsidRPr="00505347" w:rsidR="00C45CB3">
        <w:rPr>
          <w:rFonts w:ascii="Times New Roman" w:hAnsi="Times New Roman"/>
          <w:bCs/>
          <w:sz w:val="24"/>
          <w:szCs w:val="24"/>
        </w:rPr>
        <w:t>.</w:t>
      </w:r>
      <w:r w:rsidRPr="00505347">
        <w:rPr>
          <w:rFonts w:ascii="Times New Roman" w:hAnsi="Times New Roman"/>
          <w:bCs/>
          <w:sz w:val="24"/>
          <w:szCs w:val="24"/>
        </w:rPr>
        <w:t xml:space="preserve"> </w:t>
      </w:r>
    </w:p>
    <w:p w:rsidR="00DA346F" w:rsidRPr="00505347" w:rsidP="7AE98EAD" w14:paraId="1910FC54" w14:textId="40966F52">
      <w:pPr>
        <w:autoSpaceDE/>
        <w:autoSpaceDN/>
        <w:adjustRightInd/>
        <w:rPr>
          <w:rFonts w:ascii="Times New Roman" w:hAnsi="Times New Roman"/>
          <w:bCs/>
          <w:sz w:val="24"/>
          <w:szCs w:val="24"/>
        </w:rPr>
      </w:pPr>
      <w:bookmarkStart w:id="3" w:name="_Toc239649222"/>
    </w:p>
    <w:p w:rsidR="005C0FF9" w:rsidRPr="00505347" w14:paraId="706F3A45" w14:textId="77777777">
      <w:pPr>
        <w:numPr>
          <w:ilvl w:val="12"/>
          <w:numId w:val="0"/>
        </w:numPr>
        <w:outlineLvl w:val="2"/>
        <w:rPr>
          <w:rFonts w:ascii="Times New Roman" w:hAnsi="Times New Roman"/>
          <w:bCs/>
          <w:sz w:val="24"/>
          <w:szCs w:val="24"/>
          <w:u w:val="single"/>
        </w:rPr>
      </w:pPr>
      <w:r w:rsidRPr="00505347">
        <w:rPr>
          <w:rFonts w:ascii="Times New Roman" w:hAnsi="Times New Roman"/>
          <w:bCs/>
          <w:sz w:val="24"/>
          <w:szCs w:val="24"/>
        </w:rPr>
        <w:t xml:space="preserve">2.  </w:t>
      </w:r>
      <w:r w:rsidRPr="00505347">
        <w:rPr>
          <w:rFonts w:ascii="Times New Roman" w:hAnsi="Times New Roman"/>
          <w:bCs/>
          <w:sz w:val="24"/>
          <w:szCs w:val="24"/>
          <w:u w:val="single"/>
        </w:rPr>
        <w:t>Purpose and Use of the Information</w:t>
      </w:r>
      <w:bookmarkEnd w:id="3"/>
    </w:p>
    <w:p w:rsidR="005C0FF9" w:rsidRPr="00505347" w:rsidP="7AE98EAD" w14:paraId="761B5B54" w14:textId="77777777">
      <w:pPr>
        <w:rPr>
          <w:rFonts w:ascii="Times New Roman" w:hAnsi="Times New Roman"/>
          <w:bCs/>
          <w:sz w:val="24"/>
          <w:szCs w:val="24"/>
        </w:rPr>
      </w:pPr>
    </w:p>
    <w:p w:rsidR="00400950" w:rsidRPr="00505347" w:rsidP="7AE98EAD" w14:paraId="3B7F8299" w14:textId="24DF7E40">
      <w:pPr>
        <w:rPr>
          <w:rFonts w:ascii="Times New Roman" w:hAnsi="Times New Roman"/>
          <w:bCs/>
          <w:sz w:val="24"/>
          <w:szCs w:val="24"/>
        </w:rPr>
      </w:pPr>
      <w:r w:rsidRPr="00505347">
        <w:rPr>
          <w:rFonts w:ascii="Times New Roman" w:hAnsi="Times New Roman"/>
          <w:bCs/>
          <w:sz w:val="24"/>
          <w:szCs w:val="24"/>
        </w:rPr>
        <w:t>FDA may use the data collected under this generic clearance to understand consumers’ responses to tobacco related topics and concepts, as well as to develop measures that could assess reactions and impacts of health communications. Data may also be collected to better understand consumers’ behavior, knowledge and attitudes about tobacco products, including testing of tobacco communication and surveillance of tobacco product knowledge, attitudes, beliefs, intentions, and behavior</w:t>
      </w:r>
      <w:r w:rsidRPr="00505347">
        <w:rPr>
          <w:rFonts w:ascii="Times New Roman" w:hAnsi="Times New Roman"/>
          <w:bCs/>
          <w:strike/>
          <w:sz w:val="24"/>
          <w:szCs w:val="24"/>
        </w:rPr>
        <w:t>s</w:t>
      </w:r>
      <w:r w:rsidRPr="00505347">
        <w:rPr>
          <w:rFonts w:ascii="Times New Roman" w:hAnsi="Times New Roman"/>
          <w:bCs/>
          <w:sz w:val="24"/>
          <w:szCs w:val="24"/>
        </w:rPr>
        <w:t xml:space="preserve">. Data collected under this generic will inform the regulatory science base and the development of FDA’s public education </w:t>
      </w:r>
      <w:r w:rsidRPr="00505347" w:rsidR="005A1C8D">
        <w:rPr>
          <w:rFonts w:ascii="Times New Roman" w:hAnsi="Times New Roman"/>
          <w:bCs/>
          <w:sz w:val="24"/>
          <w:szCs w:val="24"/>
        </w:rPr>
        <w:t xml:space="preserve">initiatives </w:t>
      </w:r>
      <w:r w:rsidRPr="00505347">
        <w:rPr>
          <w:rFonts w:ascii="Times New Roman" w:hAnsi="Times New Roman"/>
          <w:bCs/>
          <w:sz w:val="24"/>
          <w:szCs w:val="24"/>
        </w:rPr>
        <w:t>and other materials directed at consumers. The data will not be directly used for the purposes of making policy or regulatory decisions.</w:t>
      </w:r>
    </w:p>
    <w:p w:rsidR="00400950" w:rsidRPr="00505347" w:rsidP="7AE98EAD" w14:paraId="6FAB78E1" w14:textId="0558A89D">
      <w:pPr>
        <w:rPr>
          <w:rFonts w:ascii="Times New Roman" w:hAnsi="Times New Roman"/>
          <w:bCs/>
          <w:color w:val="000000" w:themeColor="text1"/>
          <w:sz w:val="24"/>
          <w:szCs w:val="24"/>
        </w:rPr>
      </w:pPr>
    </w:p>
    <w:p w:rsidR="00400950" w:rsidRPr="00505347" w:rsidP="7AE98EAD" w14:paraId="3782181F" w14:textId="197378AC">
      <w:pPr>
        <w:rPr>
          <w:rFonts w:ascii="Times New Roman" w:hAnsi="Times New Roman"/>
          <w:bCs/>
          <w:color w:val="000000" w:themeColor="text1"/>
          <w:sz w:val="24"/>
          <w:szCs w:val="24"/>
        </w:rPr>
      </w:pPr>
      <w:r w:rsidRPr="00505347">
        <w:rPr>
          <w:rFonts w:ascii="Times New Roman" w:hAnsi="Times New Roman"/>
          <w:bCs/>
          <w:color w:val="000000" w:themeColor="text1"/>
          <w:sz w:val="24"/>
          <w:szCs w:val="24"/>
        </w:rPr>
        <w:t xml:space="preserve">The information collected will add to the </w:t>
      </w:r>
      <w:r w:rsidRPr="00505347">
        <w:rPr>
          <w:rFonts w:ascii="Times New Roman" w:hAnsi="Times New Roman"/>
          <w:bCs/>
          <w:sz w:val="24"/>
          <w:szCs w:val="24"/>
        </w:rPr>
        <w:t xml:space="preserve">tobacco control, public health communication, and/or regulatory science knowledge base and may help FDA identify </w:t>
      </w:r>
      <w:r w:rsidRPr="00505347" w:rsidR="002F481B">
        <w:rPr>
          <w:rFonts w:ascii="Times New Roman" w:hAnsi="Times New Roman"/>
          <w:bCs/>
          <w:sz w:val="24"/>
          <w:szCs w:val="24"/>
        </w:rPr>
        <w:t>various</w:t>
      </w:r>
      <w:r w:rsidRPr="00505347">
        <w:rPr>
          <w:rFonts w:ascii="Times New Roman" w:hAnsi="Times New Roman"/>
          <w:bCs/>
          <w:sz w:val="24"/>
          <w:szCs w:val="24"/>
        </w:rPr>
        <w:t xml:space="preserve"> audiences for messaging; develop and refine improved measures for understanding audiences and assessing audience perceptions of messaging; and understand audience reactions to messaging or stimuli. Findings from these studies may also help to identify </w:t>
      </w:r>
      <w:r w:rsidRPr="00505347">
        <w:rPr>
          <w:rFonts w:ascii="Times New Roman" w:hAnsi="Times New Roman"/>
          <w:bCs/>
          <w:color w:val="000000" w:themeColor="text1"/>
          <w:sz w:val="24"/>
          <w:szCs w:val="24"/>
        </w:rPr>
        <w:t>gaps in knowledge and attitudes about tobacco products, behaviors and behavioral intentions for tobacco use. This information can help to inform communication directed at consumers.</w:t>
      </w:r>
      <w:r w:rsidRPr="00505347">
        <w:rPr>
          <w:rFonts w:ascii="Times New Roman" w:hAnsi="Times New Roman"/>
          <w:bCs/>
          <w:strike/>
          <w:color w:val="D13438"/>
          <w:sz w:val="24"/>
          <w:szCs w:val="24"/>
        </w:rPr>
        <w:t xml:space="preserve">  </w:t>
      </w:r>
    </w:p>
    <w:p w:rsidR="00D46A29" w:rsidRPr="00505347" w:rsidP="00D46A29" w14:paraId="65B72C7A" w14:textId="77777777">
      <w:pPr>
        <w:autoSpaceDE/>
        <w:autoSpaceDN/>
        <w:adjustRightInd/>
        <w:rPr>
          <w:rFonts w:ascii="Times New Roman" w:hAnsi="Times New Roman"/>
          <w:bCs/>
          <w:color w:val="000000" w:themeColor="text1"/>
          <w:sz w:val="24"/>
          <w:szCs w:val="24"/>
        </w:rPr>
      </w:pPr>
    </w:p>
    <w:p w:rsidR="00400950" w:rsidRPr="00505347" w:rsidP="00D46A29" w14:paraId="3985590D" w14:textId="66124392">
      <w:pPr>
        <w:autoSpaceDE/>
        <w:autoSpaceDN/>
        <w:adjustRightInd/>
        <w:rPr>
          <w:rFonts w:ascii="Times New Roman" w:hAnsi="Times New Roman"/>
          <w:bCs/>
          <w:color w:val="000000" w:themeColor="text1"/>
          <w:sz w:val="24"/>
          <w:szCs w:val="24"/>
        </w:rPr>
      </w:pPr>
      <w:r w:rsidRPr="00505347">
        <w:rPr>
          <w:rFonts w:ascii="Times New Roman" w:hAnsi="Times New Roman"/>
          <w:bCs/>
          <w:color w:val="000000" w:themeColor="text1"/>
          <w:sz w:val="24"/>
          <w:szCs w:val="24"/>
        </w:rPr>
        <w:t xml:space="preserve">FDA will only submit a collection for approval under this generic clearance if it meets the following conditions:   </w:t>
      </w:r>
    </w:p>
    <w:p w:rsidR="00400950" w:rsidRPr="00505347" w:rsidP="7AE98EAD" w14:paraId="139DA642" w14:textId="7D6EB3E9">
      <w:pPr>
        <w:pStyle w:val="ListParagraph"/>
        <w:numPr>
          <w:ilvl w:val="0"/>
          <w:numId w:val="5"/>
        </w:numPr>
        <w:spacing w:beforeAutospacing="1" w:afterAutospacing="1"/>
        <w:rPr>
          <w:rFonts w:ascii="Times New Roman" w:hAnsi="Times New Roman"/>
          <w:bCs/>
          <w:color w:val="000000" w:themeColor="text1"/>
          <w:sz w:val="24"/>
          <w:szCs w:val="24"/>
        </w:rPr>
      </w:pPr>
      <w:r w:rsidRPr="00505347">
        <w:rPr>
          <w:rFonts w:ascii="Times New Roman" w:hAnsi="Times New Roman"/>
          <w:bCs/>
          <w:color w:val="000000" w:themeColor="text1"/>
          <w:sz w:val="24"/>
          <w:szCs w:val="24"/>
        </w:rPr>
        <w:t>The collections are voluntary;</w:t>
      </w:r>
    </w:p>
    <w:p w:rsidR="00400950" w:rsidRPr="00505347" w:rsidP="7AE98EAD" w14:paraId="11898256" w14:textId="1045BC37">
      <w:pPr>
        <w:pStyle w:val="ListParagraph"/>
        <w:numPr>
          <w:ilvl w:val="0"/>
          <w:numId w:val="5"/>
        </w:numPr>
        <w:spacing w:beforeAutospacing="1" w:afterAutospacing="1"/>
        <w:rPr>
          <w:rFonts w:ascii="Times New Roman" w:hAnsi="Times New Roman"/>
          <w:bCs/>
          <w:color w:val="000000" w:themeColor="text1"/>
          <w:sz w:val="24"/>
          <w:szCs w:val="24"/>
        </w:rPr>
      </w:pPr>
      <w:r w:rsidRPr="00505347">
        <w:rPr>
          <w:rFonts w:ascii="Times New Roman" w:hAnsi="Times New Roman"/>
          <w:bCs/>
          <w:color w:val="000000" w:themeColor="text1"/>
          <w:sz w:val="24"/>
          <w:szCs w:val="24"/>
        </w:rPr>
        <w:t>The collections are low burden for respondents (based on considerations of total burden hours, total number of respondents, or burden hours per respondent) and are low cost for both the respondents and the Federal Government;</w:t>
      </w:r>
    </w:p>
    <w:p w:rsidR="00400950" w:rsidRPr="00505347" w:rsidP="7AE98EAD" w14:paraId="4C2115E6" w14:textId="67B4A9C9">
      <w:pPr>
        <w:pStyle w:val="ListParagraph"/>
        <w:numPr>
          <w:ilvl w:val="0"/>
          <w:numId w:val="5"/>
        </w:numPr>
        <w:spacing w:beforeAutospacing="1" w:afterAutospacing="1"/>
        <w:rPr>
          <w:rFonts w:ascii="Times New Roman" w:hAnsi="Times New Roman"/>
          <w:bCs/>
          <w:color w:val="000000" w:themeColor="text1"/>
          <w:sz w:val="24"/>
          <w:szCs w:val="24"/>
        </w:rPr>
      </w:pPr>
      <w:r w:rsidRPr="00505347">
        <w:rPr>
          <w:rFonts w:ascii="Times New Roman" w:hAnsi="Times New Roman"/>
          <w:bCs/>
          <w:color w:val="000000" w:themeColor="text1"/>
          <w:sz w:val="24"/>
          <w:szCs w:val="24"/>
        </w:rPr>
        <w:t xml:space="preserve">The collections are noncontroversial; </w:t>
      </w:r>
    </w:p>
    <w:p w:rsidR="00400950" w:rsidRPr="00505347" w:rsidP="7AE98EAD" w14:paraId="6F8F1BE9" w14:textId="19214A76">
      <w:pPr>
        <w:pStyle w:val="ListParagraph"/>
        <w:numPr>
          <w:ilvl w:val="0"/>
          <w:numId w:val="5"/>
        </w:numPr>
        <w:spacing w:beforeAutospacing="1" w:afterAutospacing="1"/>
        <w:rPr>
          <w:rFonts w:ascii="Times New Roman" w:hAnsi="Times New Roman"/>
          <w:bCs/>
          <w:color w:val="000000" w:themeColor="text1"/>
          <w:sz w:val="24"/>
          <w:szCs w:val="24"/>
        </w:rPr>
      </w:pPr>
      <w:r w:rsidRPr="00505347">
        <w:rPr>
          <w:rFonts w:ascii="Times New Roman" w:hAnsi="Times New Roman"/>
          <w:bCs/>
          <w:color w:val="000000" w:themeColor="text1"/>
          <w:sz w:val="24"/>
          <w:szCs w:val="24"/>
        </w:rPr>
        <w:t>Personal identifiable information (PII) is collected only to the extent necessary</w:t>
      </w:r>
      <w:r w:rsidRPr="00505347">
        <w:rPr>
          <w:rFonts w:ascii="Times New Roman" w:hAnsi="Times New Roman"/>
          <w:bCs/>
          <w:color w:val="000000" w:themeColor="text1"/>
          <w:sz w:val="24"/>
          <w:szCs w:val="24"/>
          <w:vertAlign w:val="superscript"/>
        </w:rPr>
        <w:t>2</w:t>
      </w:r>
      <w:r w:rsidRPr="00505347">
        <w:rPr>
          <w:rFonts w:ascii="Times New Roman" w:hAnsi="Times New Roman"/>
          <w:bCs/>
          <w:color w:val="000000" w:themeColor="text1"/>
          <w:sz w:val="24"/>
          <w:szCs w:val="24"/>
        </w:rPr>
        <w:t xml:space="preserve"> and is not retained; and</w:t>
      </w:r>
    </w:p>
    <w:p w:rsidR="00400950" w:rsidRPr="00505347" w:rsidP="7AE98EAD" w14:paraId="7E72AFCF" w14:textId="66303228">
      <w:pPr>
        <w:pStyle w:val="ListParagraph"/>
        <w:numPr>
          <w:ilvl w:val="0"/>
          <w:numId w:val="5"/>
        </w:numPr>
        <w:spacing w:beforeAutospacing="1" w:afterAutospacing="1"/>
        <w:rPr>
          <w:rFonts w:ascii="Times New Roman" w:hAnsi="Times New Roman"/>
          <w:bCs/>
          <w:color w:val="000000" w:themeColor="text1"/>
          <w:sz w:val="24"/>
          <w:szCs w:val="24"/>
        </w:rPr>
      </w:pPr>
      <w:r w:rsidRPr="00505347">
        <w:rPr>
          <w:rFonts w:ascii="Times New Roman" w:hAnsi="Times New Roman"/>
          <w:bCs/>
          <w:color w:val="000000" w:themeColor="text1"/>
          <w:sz w:val="24"/>
          <w:szCs w:val="24"/>
        </w:rPr>
        <w:t>Information gathered will not be used for substantially informing influential policy decisions.</w:t>
      </w:r>
      <w:r w:rsidRPr="00505347">
        <w:rPr>
          <w:rFonts w:ascii="Times New Roman" w:hAnsi="Times New Roman"/>
          <w:bCs/>
          <w:color w:val="000000" w:themeColor="text1"/>
          <w:sz w:val="24"/>
          <w:szCs w:val="24"/>
          <w:vertAlign w:val="superscript"/>
        </w:rPr>
        <w:t>3</w:t>
      </w:r>
    </w:p>
    <w:p w:rsidR="00400950" w:rsidRPr="00505347" w:rsidP="7AE98EAD" w14:paraId="3E61D204" w14:textId="165FF2BA">
      <w:pPr>
        <w:spacing w:beforeAutospacing="1" w:afterAutospacing="1"/>
        <w:rPr>
          <w:rFonts w:ascii="Times New Roman" w:hAnsi="Times New Roman"/>
          <w:bCs/>
          <w:color w:val="000000" w:themeColor="text1"/>
          <w:sz w:val="24"/>
          <w:szCs w:val="24"/>
        </w:rPr>
      </w:pPr>
      <w:r w:rsidRPr="00505347">
        <w:rPr>
          <w:rFonts w:ascii="Times New Roman" w:hAnsi="Times New Roman"/>
          <w:bCs/>
          <w:color w:val="000000" w:themeColor="text1"/>
          <w:sz w:val="24"/>
          <w:szCs w:val="24"/>
        </w:rPr>
        <w:t xml:space="preserve">If these conditions are not met, FDA will submit an information collection request to OMB for approval through the normal PRA process.  </w:t>
      </w:r>
    </w:p>
    <w:p w:rsidR="006F7936" w:rsidRPr="00505347" w:rsidP="006F7936" w14:paraId="0374226A" w14:textId="77777777">
      <w:pPr>
        <w:rPr>
          <w:rFonts w:ascii="Times New Roman" w:hAnsi="Times New Roman"/>
          <w:bCs/>
          <w:color w:val="000000" w:themeColor="text1"/>
          <w:sz w:val="24"/>
          <w:szCs w:val="24"/>
        </w:rPr>
      </w:pPr>
      <w:r w:rsidRPr="00505347">
        <w:rPr>
          <w:rFonts w:ascii="Times New Roman" w:hAnsi="Times New Roman"/>
          <w:bCs/>
          <w:color w:val="000000" w:themeColor="text1"/>
          <w:sz w:val="24"/>
          <w:szCs w:val="24"/>
        </w:rPr>
        <w:t xml:space="preserve">FDA will submit individual collections under this generic clearance to OMB. Before submission to OMB, individual collections will undergo review </w:t>
      </w:r>
      <w:r w:rsidRPr="00505347">
        <w:rPr>
          <w:rFonts w:ascii="Times New Roman" w:hAnsi="Times New Roman"/>
          <w:bCs/>
          <w:sz w:val="24"/>
          <w:szCs w:val="24"/>
        </w:rPr>
        <w:t xml:space="preserve">by an external accredited Institutional </w:t>
      </w:r>
      <w:r w:rsidRPr="00505347">
        <w:rPr>
          <w:rFonts w:ascii="Times New Roman" w:hAnsi="Times New Roman"/>
          <w:bCs/>
          <w:color w:val="000000" w:themeColor="text1"/>
          <w:sz w:val="24"/>
          <w:szCs w:val="24"/>
        </w:rPr>
        <w:t>Review Board (IRB)</w:t>
      </w:r>
      <w:r w:rsidRPr="00505347">
        <w:rPr>
          <w:rFonts w:ascii="Times New Roman" w:hAnsi="Times New Roman"/>
          <w:bCs/>
          <w:color w:val="881798"/>
          <w:sz w:val="24"/>
          <w:szCs w:val="24"/>
          <w:u w:val="single"/>
        </w:rPr>
        <w:t>,</w:t>
      </w:r>
      <w:r w:rsidRPr="00505347">
        <w:rPr>
          <w:rFonts w:ascii="Times New Roman" w:hAnsi="Times New Roman"/>
          <w:bCs/>
          <w:color w:val="000000" w:themeColor="text1"/>
          <w:sz w:val="24"/>
          <w:szCs w:val="24"/>
        </w:rPr>
        <w:t xml:space="preserve"> senior leadership in the Center for Tobacco Products, and Paperwork Reduction Act (PRA) specialists. FDA will prepare a report during the OMB collection renewal summarizing the number of </w:t>
      </w:r>
      <w:r w:rsidRPr="00505347">
        <w:rPr>
          <w:rFonts w:ascii="Times New Roman" w:hAnsi="Times New Roman"/>
          <w:bCs/>
          <w:sz w:val="24"/>
          <w:szCs w:val="24"/>
        </w:rPr>
        <w:t xml:space="preserve">burden </w:t>
      </w:r>
      <w:r w:rsidRPr="00505347">
        <w:rPr>
          <w:rFonts w:ascii="Times New Roman" w:hAnsi="Times New Roman"/>
          <w:bCs/>
          <w:color w:val="000000" w:themeColor="text1"/>
          <w:sz w:val="24"/>
          <w:szCs w:val="24"/>
        </w:rPr>
        <w:t>hours used, as well as the nature and results of the activities completed under this clearance.</w:t>
      </w:r>
    </w:p>
    <w:p w:rsidR="005704E1" w:rsidRPr="00505347" w:rsidP="005704E1" w14:paraId="4B4D9701" w14:textId="77777777">
      <w:pPr>
        <w:autoSpaceDE/>
        <w:autoSpaceDN/>
        <w:adjustRightInd/>
        <w:spacing w:before="100" w:beforeAutospacing="1" w:after="100" w:afterAutospacing="1"/>
        <w:rPr>
          <w:rFonts w:ascii="Times New Roman" w:hAnsi="Times New Roman"/>
          <w:bCs/>
          <w:sz w:val="24"/>
          <w:szCs w:val="24"/>
        </w:rPr>
      </w:pPr>
      <w:bookmarkStart w:id="4" w:name="_Toc239649223"/>
      <w:r w:rsidRPr="00505347">
        <w:rPr>
          <w:rFonts w:ascii="Times New Roman" w:hAnsi="Times New Roman"/>
          <w:bCs/>
          <w:sz w:val="24"/>
          <w:szCs w:val="24"/>
        </w:rPr>
        <w:t>The types of collections that this generic clearance covers may include, but are not limited to:</w:t>
      </w:r>
    </w:p>
    <w:p w:rsidR="005704E1" w:rsidRPr="00505347" w:rsidP="005704E1" w14:paraId="7AA6D1FC" w14:textId="77777777">
      <w:pPr>
        <w:numPr>
          <w:ilvl w:val="0"/>
          <w:numId w:val="31"/>
        </w:numPr>
        <w:autoSpaceDE/>
        <w:autoSpaceDN/>
        <w:adjustRightInd/>
        <w:spacing w:before="100" w:beforeAutospacing="1" w:after="100" w:afterAutospacing="1" w:line="276" w:lineRule="auto"/>
        <w:contextualSpacing/>
        <w:rPr>
          <w:rFonts w:ascii="Times New Roman" w:hAnsi="Times New Roman"/>
          <w:bCs/>
          <w:sz w:val="24"/>
          <w:szCs w:val="24"/>
        </w:rPr>
      </w:pPr>
      <w:r w:rsidRPr="00505347">
        <w:rPr>
          <w:rFonts w:ascii="Times New Roman" w:hAnsi="Times New Roman"/>
          <w:bCs/>
          <w:sz w:val="24"/>
          <w:szCs w:val="24"/>
        </w:rPr>
        <w:t>Survey studies;</w:t>
      </w:r>
    </w:p>
    <w:p w:rsidR="005704E1" w:rsidRPr="00505347" w:rsidP="005704E1" w14:paraId="6CD29B78" w14:textId="77777777">
      <w:pPr>
        <w:numPr>
          <w:ilvl w:val="0"/>
          <w:numId w:val="31"/>
        </w:numPr>
        <w:autoSpaceDE/>
        <w:autoSpaceDN/>
        <w:adjustRightInd/>
        <w:spacing w:before="100" w:beforeAutospacing="1" w:after="100" w:afterAutospacing="1" w:line="276" w:lineRule="auto"/>
        <w:contextualSpacing/>
        <w:rPr>
          <w:rFonts w:ascii="Times New Roman" w:hAnsi="Times New Roman"/>
          <w:bCs/>
          <w:sz w:val="24"/>
          <w:szCs w:val="24"/>
        </w:rPr>
      </w:pPr>
      <w:r w:rsidRPr="00505347">
        <w:rPr>
          <w:rFonts w:ascii="Times New Roman" w:hAnsi="Times New Roman"/>
          <w:bCs/>
          <w:sz w:val="24"/>
          <w:szCs w:val="24"/>
        </w:rPr>
        <w:t xml:space="preserve">Experimental or quasi experimental studies; </w:t>
      </w:r>
    </w:p>
    <w:p w:rsidR="005704E1" w:rsidRPr="00505347" w:rsidP="005704E1" w14:paraId="66A32C39" w14:textId="77777777">
      <w:pPr>
        <w:numPr>
          <w:ilvl w:val="0"/>
          <w:numId w:val="31"/>
        </w:numPr>
        <w:autoSpaceDE/>
        <w:autoSpaceDN/>
        <w:adjustRightInd/>
        <w:spacing w:before="100" w:beforeAutospacing="1" w:after="100" w:afterAutospacing="1" w:line="276" w:lineRule="auto"/>
        <w:contextualSpacing/>
        <w:rPr>
          <w:rFonts w:ascii="Times New Roman" w:hAnsi="Times New Roman"/>
          <w:bCs/>
          <w:sz w:val="24"/>
          <w:szCs w:val="24"/>
        </w:rPr>
      </w:pPr>
      <w:r w:rsidRPr="00505347">
        <w:rPr>
          <w:rFonts w:ascii="Times New Roman" w:hAnsi="Times New Roman"/>
          <w:bCs/>
          <w:sz w:val="24"/>
          <w:szCs w:val="24"/>
        </w:rPr>
        <w:t>Randomized controlled trials (RCTs);</w:t>
      </w:r>
    </w:p>
    <w:p w:rsidR="005704E1" w:rsidRPr="00505347" w:rsidP="005704E1" w14:paraId="1CE47AA0" w14:textId="27958558">
      <w:pPr>
        <w:numPr>
          <w:ilvl w:val="0"/>
          <w:numId w:val="31"/>
        </w:numPr>
        <w:autoSpaceDE/>
        <w:autoSpaceDN/>
        <w:adjustRightInd/>
        <w:spacing w:before="100" w:beforeAutospacing="1" w:after="100" w:afterAutospacing="1" w:line="276" w:lineRule="auto"/>
        <w:contextualSpacing/>
        <w:rPr>
          <w:rFonts w:ascii="Times New Roman" w:hAnsi="Times New Roman"/>
          <w:bCs/>
          <w:sz w:val="24"/>
          <w:szCs w:val="24"/>
        </w:rPr>
      </w:pPr>
      <w:r w:rsidRPr="00505347">
        <w:rPr>
          <w:rFonts w:ascii="Times New Roman" w:hAnsi="Times New Roman"/>
          <w:bCs/>
          <w:sz w:val="24"/>
          <w:szCs w:val="24"/>
        </w:rPr>
        <w:t>C</w:t>
      </w:r>
      <w:r w:rsidRPr="00505347">
        <w:rPr>
          <w:rFonts w:ascii="Times New Roman" w:hAnsi="Times New Roman"/>
          <w:bCs/>
          <w:sz w:val="24"/>
          <w:szCs w:val="24"/>
        </w:rPr>
        <w:t>ohort studies;</w:t>
      </w:r>
    </w:p>
    <w:p w:rsidR="005704E1" w:rsidRPr="00505347" w:rsidP="005704E1" w14:paraId="0440FF88" w14:textId="77777777">
      <w:pPr>
        <w:numPr>
          <w:ilvl w:val="0"/>
          <w:numId w:val="31"/>
        </w:numPr>
        <w:autoSpaceDE/>
        <w:autoSpaceDN/>
        <w:adjustRightInd/>
        <w:spacing w:before="100" w:beforeAutospacing="1" w:after="100" w:afterAutospacing="1" w:line="276" w:lineRule="auto"/>
        <w:contextualSpacing/>
        <w:rPr>
          <w:rFonts w:ascii="Times New Roman" w:hAnsi="Times New Roman"/>
          <w:bCs/>
          <w:sz w:val="24"/>
          <w:szCs w:val="24"/>
        </w:rPr>
      </w:pPr>
      <w:r w:rsidRPr="00505347">
        <w:rPr>
          <w:rFonts w:ascii="Times New Roman" w:hAnsi="Times New Roman"/>
          <w:bCs/>
          <w:sz w:val="24"/>
          <w:szCs w:val="24"/>
        </w:rPr>
        <w:t>Case-Control studies;</w:t>
      </w:r>
    </w:p>
    <w:p w:rsidR="005704E1" w:rsidRPr="00505347" w:rsidP="005704E1" w14:paraId="4C97A8BF" w14:textId="77777777">
      <w:pPr>
        <w:numPr>
          <w:ilvl w:val="0"/>
          <w:numId w:val="31"/>
        </w:numPr>
        <w:autoSpaceDE/>
        <w:autoSpaceDN/>
        <w:adjustRightInd/>
        <w:spacing w:beforeAutospacing="1" w:after="200" w:afterAutospacing="1" w:line="276" w:lineRule="auto"/>
        <w:contextualSpacing/>
        <w:rPr>
          <w:rFonts w:ascii="Times New Roman" w:hAnsi="Times New Roman"/>
          <w:bCs/>
          <w:sz w:val="24"/>
          <w:szCs w:val="24"/>
        </w:rPr>
      </w:pPr>
      <w:r w:rsidRPr="00505347">
        <w:rPr>
          <w:rFonts w:ascii="Times New Roman" w:hAnsi="Times New Roman"/>
          <w:bCs/>
          <w:sz w:val="24"/>
          <w:szCs w:val="24"/>
        </w:rPr>
        <w:t>Psychometric testing;</w:t>
      </w:r>
    </w:p>
    <w:p w:rsidR="005704E1" w:rsidRPr="00505347" w:rsidP="005704E1" w14:paraId="713184E5" w14:textId="77777777">
      <w:pPr>
        <w:numPr>
          <w:ilvl w:val="0"/>
          <w:numId w:val="31"/>
        </w:numPr>
        <w:autoSpaceDE/>
        <w:autoSpaceDN/>
        <w:adjustRightInd/>
        <w:spacing w:beforeAutospacing="1" w:after="200" w:afterAutospacing="1" w:line="276" w:lineRule="auto"/>
        <w:contextualSpacing/>
        <w:rPr>
          <w:rFonts w:ascii="Times New Roman" w:hAnsi="Times New Roman"/>
          <w:bCs/>
          <w:sz w:val="24"/>
          <w:szCs w:val="24"/>
        </w:rPr>
      </w:pPr>
      <w:r w:rsidRPr="00505347">
        <w:rPr>
          <w:rFonts w:ascii="Times New Roman" w:hAnsi="Times New Roman"/>
          <w:bCs/>
          <w:sz w:val="24"/>
          <w:szCs w:val="24"/>
        </w:rPr>
        <w:t>Item Response Theory testing;</w:t>
      </w:r>
    </w:p>
    <w:p w:rsidR="005704E1" w:rsidRPr="00505347" w:rsidP="005704E1" w14:paraId="13C43969" w14:textId="77777777">
      <w:pPr>
        <w:numPr>
          <w:ilvl w:val="0"/>
          <w:numId w:val="31"/>
        </w:numPr>
        <w:autoSpaceDE/>
        <w:autoSpaceDN/>
        <w:adjustRightInd/>
        <w:spacing w:before="100" w:beforeAutospacing="1" w:after="100" w:afterAutospacing="1" w:line="276" w:lineRule="auto"/>
        <w:contextualSpacing/>
        <w:rPr>
          <w:rFonts w:ascii="Times New Roman" w:hAnsi="Times New Roman"/>
          <w:bCs/>
          <w:sz w:val="24"/>
          <w:szCs w:val="24"/>
        </w:rPr>
      </w:pPr>
      <w:r w:rsidRPr="00505347">
        <w:rPr>
          <w:rFonts w:ascii="Times New Roman" w:hAnsi="Times New Roman"/>
          <w:bCs/>
          <w:sz w:val="24"/>
          <w:szCs w:val="24"/>
        </w:rPr>
        <w:t>Digital measurement and analysis (e.g., engagement metrics such as clicks, shares, comments, scrolling, session duration; conversion metrics such as click-through rate; traffic metrics such as impressions, reach, unique visitors; attention metrics such as viewing duration via eye tracking);</w:t>
      </w:r>
    </w:p>
    <w:p w:rsidR="00255A76" w:rsidRPr="00505347" w:rsidP="00255A76" w14:paraId="096672F2" w14:textId="37C47D5C">
      <w:pPr>
        <w:numPr>
          <w:ilvl w:val="0"/>
          <w:numId w:val="31"/>
        </w:numPr>
        <w:autoSpaceDE/>
        <w:autoSpaceDN/>
        <w:adjustRightInd/>
        <w:spacing w:before="100" w:beforeAutospacing="1" w:after="100" w:afterAutospacing="1" w:line="276" w:lineRule="auto"/>
        <w:contextualSpacing/>
        <w:rPr>
          <w:rFonts w:ascii="Times New Roman" w:hAnsi="Times New Roman"/>
          <w:bCs/>
          <w:sz w:val="24"/>
          <w:szCs w:val="24"/>
        </w:rPr>
      </w:pPr>
      <w:r w:rsidRPr="00505347">
        <w:rPr>
          <w:rFonts w:ascii="Times New Roman" w:hAnsi="Times New Roman"/>
          <w:bCs/>
          <w:sz w:val="24"/>
          <w:szCs w:val="24"/>
        </w:rPr>
        <w:t>Physiological measures (e.g., galvanic skin response, EEG, and pupil dilation).</w:t>
      </w:r>
      <w:r w:rsidRPr="00505347">
        <w:rPr>
          <w:rFonts w:ascii="Times New Roman" w:hAnsi="Times New Roman"/>
          <w:bCs/>
          <w:sz w:val="24"/>
          <w:szCs w:val="24"/>
        </w:rPr>
        <w:br/>
      </w:r>
    </w:p>
    <w:p w:rsidR="00255A76" w:rsidRPr="00505347" w:rsidP="006F7936" w14:paraId="1B61782F" w14:textId="77777777">
      <w:pPr>
        <w:rPr>
          <w:rFonts w:ascii="Times New Roman" w:hAnsi="Times New Roman"/>
          <w:bCs/>
          <w:sz w:val="24"/>
          <w:szCs w:val="24"/>
        </w:rPr>
      </w:pPr>
      <w:r w:rsidRPr="00505347">
        <w:rPr>
          <w:rFonts w:ascii="Times New Roman" w:hAnsi="Times New Roman"/>
          <w:bCs/>
          <w:sz w:val="24"/>
          <w:szCs w:val="24"/>
        </w:rPr>
        <w:t xml:space="preserve">This type of research may involve: (1) assessing audience knowledge, attitudes, intentions, behaviors, and other characteristics for the purpose of determining the need for and developing health messages, communication strategies, dissemination strategies, and public information programs; (2) testing health messages, strategies, and program components while they are in developmental form to assess audience comprehension, reactions, and perceptions, as well as after they have been disseminated to consumers; and (3) adding to the tobacco control, public health communication, and regulatory science knowledge base. Quantitative studies play an important role in exploring areas of research and gathering information because they can be used to summarize a population of interest on key variables or reveal systematic relationships between variables. </w:t>
      </w:r>
    </w:p>
    <w:p w:rsidR="00255A76" w:rsidRPr="00505347" w:rsidP="006F7936" w14:paraId="054C544E" w14:textId="77777777">
      <w:pPr>
        <w:rPr>
          <w:rFonts w:ascii="Times New Roman" w:hAnsi="Times New Roman"/>
          <w:bCs/>
          <w:sz w:val="24"/>
          <w:szCs w:val="24"/>
        </w:rPr>
      </w:pPr>
      <w:r w:rsidRPr="00505347">
        <w:rPr>
          <w:rFonts w:ascii="Times New Roman" w:hAnsi="Times New Roman"/>
          <w:bCs/>
          <w:sz w:val="24"/>
          <w:szCs w:val="24"/>
        </w:rPr>
        <w:t xml:space="preserve"> </w:t>
      </w:r>
    </w:p>
    <w:p w:rsidR="00255A76" w:rsidRPr="00505347" w:rsidP="006F7936" w14:paraId="5C4AF4C6" w14:textId="77777777">
      <w:pPr>
        <w:rPr>
          <w:rFonts w:ascii="Times New Roman" w:hAnsi="Times New Roman"/>
          <w:bCs/>
          <w:sz w:val="24"/>
          <w:szCs w:val="24"/>
        </w:rPr>
      </w:pPr>
      <w:r w:rsidRPr="00505347">
        <w:rPr>
          <w:rFonts w:ascii="Times New Roman" w:hAnsi="Times New Roman"/>
          <w:bCs/>
          <w:sz w:val="24"/>
          <w:szCs w:val="24"/>
        </w:rPr>
        <w:t xml:space="preserve">Foundational research to understand audiences and inform message development and the testing of messages are a staple of best practices in communications research. Obtaining voluntary feedback from various audiences during the development and dissemination of messages and materials is crucial for the success of every communication program. The purpose of obtaining this information is that it allows FDA to improve messages, materials and implementation strategies while revisions are still affordable and possible. Message testing can also to identify potential unintended outcomes caused by audiences’ interpreting messages in a way that was not intended by the drafters.  </w:t>
      </w:r>
    </w:p>
    <w:p w:rsidR="00255A76" w:rsidRPr="00505347" w:rsidP="006F7936" w14:paraId="429D31DC" w14:textId="77777777">
      <w:pPr>
        <w:rPr>
          <w:rFonts w:ascii="Times New Roman" w:hAnsi="Times New Roman"/>
          <w:bCs/>
          <w:sz w:val="24"/>
          <w:szCs w:val="24"/>
        </w:rPr>
      </w:pPr>
    </w:p>
    <w:p w:rsidR="00255A76" w:rsidRPr="00505347" w:rsidP="006F7936" w14:paraId="238EAE46" w14:textId="77777777">
      <w:pPr>
        <w:rPr>
          <w:rFonts w:ascii="Times New Roman" w:hAnsi="Times New Roman"/>
          <w:bCs/>
          <w:sz w:val="24"/>
          <w:szCs w:val="24"/>
        </w:rPr>
      </w:pPr>
      <w:r w:rsidRPr="00505347">
        <w:rPr>
          <w:rFonts w:ascii="Times New Roman" w:hAnsi="Times New Roman"/>
          <w:bCs/>
          <w:sz w:val="24"/>
          <w:szCs w:val="24"/>
        </w:rPr>
        <w:t>The voluntary information collected will serve the primary purpose of providing FDA information about various measures of ad performance including, but not limited to, message comprehension, perceived effectiveness, emotional responses and knowledge, attitudes, and behavioral intentions to assess the ability of messages, advertisements, and materials to reach and successfully communicate with various audiences. Additionally, this information collection will provide FDA with insights into how to best measure public education message performance. Quantitative testing of messages and other materials with various audiences will allow FDA to refine and assess messages, advertisements, and materials directed at consumers.</w:t>
      </w:r>
    </w:p>
    <w:p w:rsidR="00255A76" w:rsidRPr="00505347" w:rsidP="006F7936" w14:paraId="33C075BE" w14:textId="77777777">
      <w:pPr>
        <w:ind w:left="360"/>
        <w:rPr>
          <w:rFonts w:ascii="Times New Roman" w:hAnsi="Times New Roman"/>
          <w:bCs/>
          <w:sz w:val="24"/>
          <w:szCs w:val="24"/>
        </w:rPr>
      </w:pPr>
    </w:p>
    <w:p w:rsidR="00255A76" w:rsidRPr="00505347" w:rsidP="006F7936" w14:paraId="7971CA58" w14:textId="77777777">
      <w:pPr>
        <w:spacing w:after="120"/>
        <w:rPr>
          <w:rFonts w:ascii="Times New Roman" w:hAnsi="Times New Roman"/>
          <w:bCs/>
          <w:sz w:val="24"/>
          <w:szCs w:val="24"/>
        </w:rPr>
      </w:pPr>
      <w:r w:rsidRPr="00505347">
        <w:rPr>
          <w:rFonts w:ascii="Times New Roman" w:hAnsi="Times New Roman"/>
          <w:bCs/>
          <w:sz w:val="24"/>
          <w:szCs w:val="24"/>
        </w:rPr>
        <w:t>In addition, quantitative information is needed by FDA to track changes in response to policy and regulatory actions and to expand the tobacco regulatory science base by providing information on changing behaviors, knowledge and attitudes about tobacco products, including post-marketing surveillance of tobacco products.</w:t>
      </w:r>
    </w:p>
    <w:p w:rsidR="00255A76" w:rsidRPr="00505347" w:rsidP="006F7936" w14:paraId="1D6C8762" w14:textId="77777777">
      <w:pPr>
        <w:tabs>
          <w:tab w:val="left" w:pos="720"/>
          <w:tab w:val="right" w:pos="10800"/>
        </w:tabs>
        <w:rPr>
          <w:rFonts w:ascii="Times New Roman" w:hAnsi="Times New Roman"/>
          <w:bCs/>
          <w:color w:val="000000" w:themeColor="text1"/>
          <w:sz w:val="24"/>
          <w:szCs w:val="24"/>
        </w:rPr>
      </w:pPr>
    </w:p>
    <w:p w:rsidR="00255A76" w:rsidRPr="00505347" w:rsidP="006F7936" w14:paraId="6792865A" w14:textId="77777777">
      <w:pPr>
        <w:tabs>
          <w:tab w:val="left" w:pos="720"/>
          <w:tab w:val="right" w:pos="10800"/>
        </w:tabs>
        <w:rPr>
          <w:rFonts w:ascii="Times New Roman" w:hAnsi="Times New Roman"/>
          <w:bCs/>
          <w:sz w:val="24"/>
          <w:szCs w:val="24"/>
        </w:rPr>
      </w:pPr>
      <w:r w:rsidRPr="00505347">
        <w:rPr>
          <w:rFonts w:ascii="Times New Roman" w:hAnsi="Times New Roman"/>
          <w:bCs/>
          <w:color w:val="000000" w:themeColor="text1"/>
          <w:sz w:val="24"/>
          <w:szCs w:val="24"/>
        </w:rPr>
        <w:t>FDA conducts research relating to tobacco products under its statutory authority in section 1103(d)(2)(C) of the FD&amp;C Act, to conduct research “relating to foods, drugs, cosmetics, devices, and tobacco products in carrying out the act.” To coordinate efforts, FDA proposes that this generic clearance continue to cover all information collection activities aimed to better understand</w:t>
      </w:r>
      <w:r w:rsidRPr="00505347">
        <w:rPr>
          <w:rFonts w:ascii="Times New Roman" w:hAnsi="Times New Roman"/>
          <w:bCs/>
          <w:color w:val="D13438"/>
          <w:sz w:val="24"/>
          <w:szCs w:val="24"/>
          <w:u w:val="single"/>
        </w:rPr>
        <w:t xml:space="preserve"> </w:t>
      </w:r>
      <w:r w:rsidRPr="00505347">
        <w:rPr>
          <w:rFonts w:ascii="Times New Roman" w:hAnsi="Times New Roman"/>
          <w:bCs/>
          <w:sz w:val="24"/>
          <w:szCs w:val="24"/>
        </w:rPr>
        <w:t xml:space="preserve">various audiences for tobacco education (including knowledge </w:t>
      </w:r>
      <w:r w:rsidRPr="00505347">
        <w:rPr>
          <w:rFonts w:ascii="Times New Roman" w:hAnsi="Times New Roman"/>
          <w:bCs/>
          <w:color w:val="000000" w:themeColor="text1"/>
          <w:sz w:val="24"/>
          <w:szCs w:val="24"/>
        </w:rPr>
        <w:t>and perceptions about tobacco-related topics</w:t>
      </w:r>
      <w:r w:rsidRPr="00505347">
        <w:rPr>
          <w:rFonts w:ascii="Times New Roman" w:hAnsi="Times New Roman"/>
          <w:bCs/>
          <w:sz w:val="24"/>
          <w:szCs w:val="24"/>
        </w:rPr>
        <w:t xml:space="preserve">), to add to the regulatory science base, and to test and develop communication messages, materials, and measures by </w:t>
      </w:r>
      <w:r w:rsidRPr="00505347">
        <w:rPr>
          <w:rFonts w:ascii="Times New Roman" w:hAnsi="Times New Roman"/>
          <w:bCs/>
          <w:color w:val="000000" w:themeColor="text1"/>
          <w:sz w:val="24"/>
          <w:szCs w:val="24"/>
        </w:rPr>
        <w:t>the Center for Tobacco Products. FDA intends to utilize best practices for effective health communication research set forth by other DHHS agencies such as the National Cancer Institute.</w:t>
      </w:r>
      <w:r>
        <w:rPr>
          <w:rStyle w:val="FootnoteReference"/>
          <w:rFonts w:ascii="Times New Roman" w:hAnsi="Times New Roman"/>
          <w:bCs/>
          <w:sz w:val="24"/>
          <w:szCs w:val="24"/>
        </w:rPr>
        <w:footnoteReference w:id="3"/>
      </w:r>
    </w:p>
    <w:p w:rsidR="00255A76" w:rsidRPr="00505347" w:rsidP="006F7936" w14:paraId="384EB29E" w14:textId="77777777">
      <w:pPr>
        <w:autoSpaceDE/>
        <w:autoSpaceDN/>
        <w:adjustRightInd/>
        <w:spacing w:before="100" w:beforeAutospacing="1" w:after="100" w:afterAutospacing="1" w:line="276" w:lineRule="auto"/>
        <w:contextualSpacing/>
        <w:rPr>
          <w:rFonts w:ascii="Times New Roman" w:hAnsi="Times New Roman"/>
          <w:bCs/>
          <w:sz w:val="24"/>
          <w:szCs w:val="24"/>
        </w:rPr>
      </w:pPr>
    </w:p>
    <w:p w:rsidR="005C0FF9" w:rsidRPr="00505347" w14:paraId="521FE7D3" w14:textId="7849F6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Cs/>
          <w:sz w:val="24"/>
          <w:szCs w:val="24"/>
          <w:u w:val="single"/>
        </w:rPr>
      </w:pPr>
      <w:r w:rsidRPr="00505347">
        <w:rPr>
          <w:rFonts w:ascii="Times New Roman" w:hAnsi="Times New Roman"/>
          <w:bCs/>
          <w:sz w:val="24"/>
          <w:szCs w:val="24"/>
        </w:rPr>
        <w:t xml:space="preserve">3.  </w:t>
      </w:r>
      <w:r w:rsidRPr="00505347">
        <w:rPr>
          <w:rFonts w:ascii="Times New Roman" w:hAnsi="Times New Roman"/>
          <w:bCs/>
          <w:sz w:val="24"/>
          <w:szCs w:val="24"/>
          <w:u w:val="single"/>
        </w:rPr>
        <w:t>Use of Information Technology and Burden Reduction</w:t>
      </w:r>
      <w:bookmarkEnd w:id="4"/>
    </w:p>
    <w:p w:rsidR="005C0FF9" w:rsidRPr="00505347" w14:paraId="2D0D79E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szCs w:val="24"/>
        </w:rPr>
      </w:pPr>
    </w:p>
    <w:p w:rsidR="005C0FF9" w:rsidRPr="00505347" w14:paraId="790A23C6" w14:textId="2A88CD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color w:val="000000"/>
          <w:sz w:val="24"/>
          <w:szCs w:val="24"/>
        </w:rPr>
      </w:pPr>
      <w:r w:rsidRPr="00505347">
        <w:rPr>
          <w:rFonts w:ascii="Times New Roman" w:hAnsi="Times New Roman"/>
          <w:bCs/>
          <w:color w:val="000000"/>
          <w:sz w:val="24"/>
          <w:szCs w:val="24"/>
        </w:rPr>
        <w:t xml:space="preserve">FDA will make use of </w:t>
      </w:r>
      <w:r w:rsidRPr="00505347" w:rsidR="00AA3575">
        <w:rPr>
          <w:rFonts w:ascii="Times New Roman" w:hAnsi="Times New Roman"/>
          <w:bCs/>
          <w:color w:val="000000"/>
          <w:sz w:val="24"/>
          <w:szCs w:val="24"/>
        </w:rPr>
        <w:t>w</w:t>
      </w:r>
      <w:r w:rsidRPr="00505347">
        <w:rPr>
          <w:rFonts w:ascii="Times New Roman" w:hAnsi="Times New Roman"/>
          <w:bCs/>
          <w:color w:val="000000"/>
          <w:sz w:val="24"/>
          <w:szCs w:val="24"/>
        </w:rPr>
        <w:t xml:space="preserve">eb-based data collection methods when </w:t>
      </w:r>
      <w:r w:rsidRPr="00505347" w:rsidR="008267E2">
        <w:rPr>
          <w:rFonts w:ascii="Times New Roman" w:hAnsi="Times New Roman"/>
          <w:bCs/>
          <w:color w:val="000000"/>
          <w:sz w:val="24"/>
          <w:szCs w:val="24"/>
        </w:rPr>
        <w:t xml:space="preserve">collecting </w:t>
      </w:r>
      <w:r w:rsidRPr="00505347">
        <w:rPr>
          <w:rFonts w:ascii="Times New Roman" w:hAnsi="Times New Roman"/>
          <w:bCs/>
          <w:color w:val="000000"/>
          <w:sz w:val="24"/>
          <w:szCs w:val="24"/>
        </w:rPr>
        <w:t>quantitative data</w:t>
      </w:r>
      <w:r w:rsidRPr="00505347" w:rsidR="00885898">
        <w:rPr>
          <w:rFonts w:ascii="Times New Roman" w:hAnsi="Times New Roman"/>
          <w:bCs/>
          <w:color w:val="000000"/>
          <w:sz w:val="24"/>
          <w:szCs w:val="24"/>
        </w:rPr>
        <w:t xml:space="preserve"> when appropriate</w:t>
      </w:r>
      <w:r w:rsidRPr="00505347">
        <w:rPr>
          <w:rFonts w:ascii="Times New Roman" w:hAnsi="Times New Roman"/>
          <w:bCs/>
          <w:color w:val="000000"/>
          <w:sz w:val="24"/>
          <w:szCs w:val="24"/>
        </w:rPr>
        <w:t xml:space="preserve">.  </w:t>
      </w:r>
    </w:p>
    <w:p w:rsidR="005C0FF9" w:rsidRPr="00505347" w14:paraId="150B5E1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color w:val="000000"/>
          <w:sz w:val="24"/>
          <w:szCs w:val="24"/>
        </w:rPr>
      </w:pPr>
    </w:p>
    <w:p w:rsidR="005C0FF9" w:rsidRPr="00505347" w14:paraId="07E5C5E6" w14:textId="2606C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color w:val="000000"/>
          <w:sz w:val="24"/>
          <w:szCs w:val="24"/>
        </w:rPr>
      </w:pPr>
      <w:r w:rsidRPr="00505347">
        <w:rPr>
          <w:rFonts w:ascii="Times New Roman" w:hAnsi="Times New Roman"/>
          <w:bCs/>
          <w:color w:val="000000"/>
          <w:sz w:val="24"/>
          <w:szCs w:val="24"/>
        </w:rPr>
        <w:t xml:space="preserve">Web-based </w:t>
      </w:r>
      <w:r w:rsidRPr="00505347" w:rsidR="00BD6916">
        <w:rPr>
          <w:rFonts w:ascii="Times New Roman" w:hAnsi="Times New Roman"/>
          <w:bCs/>
          <w:color w:val="000000"/>
          <w:sz w:val="24"/>
          <w:szCs w:val="24"/>
        </w:rPr>
        <w:t xml:space="preserve">data </w:t>
      </w:r>
      <w:r w:rsidRPr="00505347" w:rsidR="002B21B2">
        <w:rPr>
          <w:rFonts w:ascii="Times New Roman" w:hAnsi="Times New Roman"/>
          <w:bCs/>
          <w:color w:val="000000"/>
          <w:sz w:val="24"/>
          <w:szCs w:val="24"/>
        </w:rPr>
        <w:t>collections,</w:t>
      </w:r>
      <w:r w:rsidRPr="00505347">
        <w:rPr>
          <w:rFonts w:ascii="Times New Roman" w:hAnsi="Times New Roman"/>
          <w:bCs/>
          <w:color w:val="000000"/>
          <w:sz w:val="24"/>
          <w:szCs w:val="24"/>
        </w:rPr>
        <w:t xml:space="preserve"> including those using experimental designs, are an especially convenient option for eliciting feedback on visual stimuli. With </w:t>
      </w:r>
      <w:r w:rsidRPr="00505347" w:rsidR="00AA3575">
        <w:rPr>
          <w:rFonts w:ascii="Times New Roman" w:hAnsi="Times New Roman"/>
          <w:bCs/>
          <w:color w:val="000000"/>
          <w:sz w:val="24"/>
          <w:szCs w:val="24"/>
        </w:rPr>
        <w:t>w</w:t>
      </w:r>
      <w:r w:rsidRPr="00505347">
        <w:rPr>
          <w:rFonts w:ascii="Times New Roman" w:hAnsi="Times New Roman"/>
          <w:bCs/>
          <w:color w:val="000000"/>
          <w:sz w:val="24"/>
          <w:szCs w:val="24"/>
        </w:rPr>
        <w:t xml:space="preserve">eb-based </w:t>
      </w:r>
      <w:r w:rsidRPr="00505347" w:rsidR="00E70F4A">
        <w:rPr>
          <w:rFonts w:ascii="Times New Roman" w:hAnsi="Times New Roman"/>
          <w:bCs/>
          <w:color w:val="000000" w:themeColor="text1"/>
          <w:sz w:val="24"/>
          <w:szCs w:val="24"/>
        </w:rPr>
        <w:t xml:space="preserve">data collections, </w:t>
      </w:r>
      <w:r w:rsidRPr="00505347">
        <w:rPr>
          <w:rFonts w:ascii="Times New Roman" w:hAnsi="Times New Roman"/>
          <w:bCs/>
          <w:color w:val="000000"/>
          <w:sz w:val="24"/>
          <w:szCs w:val="24"/>
        </w:rPr>
        <w:t xml:space="preserve">respondents complete an online </w:t>
      </w:r>
      <w:r w:rsidRPr="00505347" w:rsidR="001C191F">
        <w:rPr>
          <w:rFonts w:ascii="Times New Roman" w:hAnsi="Times New Roman"/>
          <w:bCs/>
          <w:color w:val="000000"/>
          <w:sz w:val="24"/>
          <w:szCs w:val="24"/>
        </w:rPr>
        <w:t>survey</w:t>
      </w:r>
      <w:r w:rsidRPr="00505347" w:rsidR="001C191F">
        <w:rPr>
          <w:rFonts w:ascii="Times New Roman" w:hAnsi="Times New Roman"/>
          <w:bCs/>
          <w:color w:val="000000" w:themeColor="text1"/>
          <w:sz w:val="24"/>
          <w:szCs w:val="24"/>
        </w:rPr>
        <w:t>, digital</w:t>
      </w:r>
      <w:r w:rsidRPr="00505347" w:rsidR="00881EB0">
        <w:rPr>
          <w:rFonts w:ascii="Times New Roman" w:hAnsi="Times New Roman"/>
          <w:bCs/>
          <w:color w:val="000000" w:themeColor="text1"/>
          <w:sz w:val="24"/>
          <w:szCs w:val="24"/>
        </w:rPr>
        <w:t xml:space="preserve"> </w:t>
      </w:r>
      <w:r w:rsidRPr="00505347">
        <w:rPr>
          <w:rFonts w:ascii="Times New Roman" w:hAnsi="Times New Roman"/>
          <w:bCs/>
          <w:color w:val="000000"/>
          <w:sz w:val="24"/>
          <w:szCs w:val="24"/>
        </w:rPr>
        <w:t xml:space="preserve">data </w:t>
      </w:r>
      <w:r w:rsidRPr="00505347" w:rsidR="00674EDC">
        <w:rPr>
          <w:rFonts w:ascii="Times New Roman" w:hAnsi="Times New Roman"/>
          <w:bCs/>
          <w:color w:val="000000" w:themeColor="text1"/>
          <w:sz w:val="24"/>
          <w:szCs w:val="24"/>
        </w:rPr>
        <w:t xml:space="preserve">are </w:t>
      </w:r>
      <w:r w:rsidRPr="00505347" w:rsidR="00881EB0">
        <w:rPr>
          <w:rFonts w:ascii="Times New Roman" w:hAnsi="Times New Roman"/>
          <w:bCs/>
          <w:color w:val="000000" w:themeColor="text1"/>
          <w:sz w:val="24"/>
          <w:szCs w:val="24"/>
        </w:rPr>
        <w:t xml:space="preserve">recorded </w:t>
      </w:r>
      <w:r w:rsidRPr="00505347" w:rsidR="00674EDC">
        <w:rPr>
          <w:rFonts w:ascii="Times New Roman" w:hAnsi="Times New Roman"/>
          <w:bCs/>
          <w:color w:val="000000" w:themeColor="text1"/>
          <w:sz w:val="24"/>
          <w:szCs w:val="24"/>
        </w:rPr>
        <w:t xml:space="preserve">(e.g., </w:t>
      </w:r>
      <w:r w:rsidRPr="00505347" w:rsidR="00881EB0">
        <w:rPr>
          <w:rFonts w:ascii="Times New Roman" w:hAnsi="Times New Roman"/>
          <w:bCs/>
          <w:color w:val="000000" w:themeColor="text1"/>
          <w:sz w:val="24"/>
          <w:szCs w:val="24"/>
        </w:rPr>
        <w:t xml:space="preserve">measures of engagement), and data are submitted </w:t>
      </w:r>
      <w:r w:rsidRPr="00505347">
        <w:rPr>
          <w:rFonts w:ascii="Times New Roman" w:hAnsi="Times New Roman"/>
          <w:bCs/>
          <w:color w:val="000000"/>
          <w:sz w:val="24"/>
          <w:szCs w:val="24"/>
        </w:rPr>
        <w:t xml:space="preserve">electronically over the </w:t>
      </w:r>
      <w:r w:rsidRPr="00505347" w:rsidR="00AA3575">
        <w:rPr>
          <w:rFonts w:ascii="Times New Roman" w:hAnsi="Times New Roman"/>
          <w:bCs/>
          <w:color w:val="000000"/>
          <w:sz w:val="24"/>
          <w:szCs w:val="24"/>
        </w:rPr>
        <w:t>i</w:t>
      </w:r>
      <w:r w:rsidRPr="00505347">
        <w:rPr>
          <w:rFonts w:ascii="Times New Roman" w:hAnsi="Times New Roman"/>
          <w:bCs/>
          <w:color w:val="000000"/>
          <w:sz w:val="24"/>
          <w:szCs w:val="24"/>
        </w:rPr>
        <w:t>nternet. Closed-ended questions (e.g., multiple-choice items, Likert scales) will be employed whenever possible</w:t>
      </w:r>
      <w:r w:rsidRPr="00505347" w:rsidR="69E6D011">
        <w:rPr>
          <w:rFonts w:ascii="Times New Roman" w:hAnsi="Times New Roman"/>
          <w:bCs/>
          <w:color w:val="000000"/>
          <w:sz w:val="24"/>
          <w:szCs w:val="24"/>
        </w:rPr>
        <w:t>, to reduce burden.</w:t>
      </w:r>
      <w:r w:rsidRPr="00505347">
        <w:rPr>
          <w:rFonts w:ascii="Times New Roman" w:hAnsi="Times New Roman"/>
          <w:bCs/>
          <w:color w:val="000000"/>
          <w:sz w:val="24"/>
          <w:szCs w:val="24"/>
        </w:rPr>
        <w:t xml:space="preserve"> With 9</w:t>
      </w:r>
      <w:r w:rsidRPr="00505347" w:rsidR="00D979F5">
        <w:rPr>
          <w:rFonts w:ascii="Times New Roman" w:hAnsi="Times New Roman"/>
          <w:bCs/>
          <w:color w:val="000000"/>
          <w:sz w:val="24"/>
          <w:szCs w:val="24"/>
        </w:rPr>
        <w:t>9</w:t>
      </w:r>
      <w:r w:rsidRPr="00505347" w:rsidR="003762AF">
        <w:rPr>
          <w:rFonts w:ascii="Times New Roman" w:hAnsi="Times New Roman"/>
          <w:bCs/>
          <w:color w:val="000000"/>
          <w:sz w:val="24"/>
          <w:szCs w:val="24"/>
        </w:rPr>
        <w:t xml:space="preserve"> percent</w:t>
      </w:r>
      <w:r w:rsidRPr="00505347">
        <w:rPr>
          <w:rFonts w:ascii="Times New Roman" w:hAnsi="Times New Roman"/>
          <w:bCs/>
          <w:color w:val="000000"/>
          <w:sz w:val="24"/>
          <w:szCs w:val="24"/>
        </w:rPr>
        <w:t xml:space="preserve"> of </w:t>
      </w:r>
      <w:r w:rsidRPr="00505347" w:rsidR="00265AFA">
        <w:rPr>
          <w:rFonts w:ascii="Times New Roman" w:hAnsi="Times New Roman"/>
          <w:bCs/>
          <w:color w:val="000000"/>
          <w:sz w:val="24"/>
          <w:szCs w:val="24"/>
        </w:rPr>
        <w:t>18-to-29-year</w:t>
      </w:r>
      <w:r w:rsidRPr="00505347">
        <w:rPr>
          <w:rFonts w:ascii="Times New Roman" w:hAnsi="Times New Roman"/>
          <w:bCs/>
          <w:color w:val="000000"/>
          <w:sz w:val="24"/>
          <w:szCs w:val="24"/>
        </w:rPr>
        <w:t xml:space="preserve"> </w:t>
      </w:r>
      <w:r w:rsidRPr="00505347" w:rsidR="000D01FC">
        <w:rPr>
          <w:rFonts w:ascii="Times New Roman" w:hAnsi="Times New Roman"/>
          <w:bCs/>
          <w:color w:val="000000"/>
          <w:sz w:val="24"/>
          <w:szCs w:val="24"/>
        </w:rPr>
        <w:t>old’s</w:t>
      </w:r>
      <w:r w:rsidRPr="00505347">
        <w:rPr>
          <w:rFonts w:ascii="Times New Roman" w:hAnsi="Times New Roman"/>
          <w:bCs/>
          <w:color w:val="000000"/>
          <w:sz w:val="24"/>
          <w:szCs w:val="24"/>
        </w:rPr>
        <w:t xml:space="preserve"> indicating in of 20</w:t>
      </w:r>
      <w:r w:rsidRPr="00505347" w:rsidR="00506019">
        <w:rPr>
          <w:rFonts w:ascii="Times New Roman" w:hAnsi="Times New Roman"/>
          <w:bCs/>
          <w:color w:val="000000"/>
          <w:sz w:val="24"/>
          <w:szCs w:val="24"/>
        </w:rPr>
        <w:t>2</w:t>
      </w:r>
      <w:r w:rsidRPr="00505347" w:rsidR="00D979F5">
        <w:rPr>
          <w:rFonts w:ascii="Times New Roman" w:hAnsi="Times New Roman"/>
          <w:bCs/>
          <w:color w:val="000000"/>
          <w:sz w:val="24"/>
          <w:szCs w:val="24"/>
        </w:rPr>
        <w:t>1</w:t>
      </w:r>
      <w:r w:rsidRPr="00505347">
        <w:rPr>
          <w:rFonts w:ascii="Times New Roman" w:hAnsi="Times New Roman"/>
          <w:bCs/>
          <w:color w:val="000000"/>
          <w:sz w:val="24"/>
          <w:szCs w:val="24"/>
        </w:rPr>
        <w:t xml:space="preserve"> that they use the </w:t>
      </w:r>
      <w:r w:rsidRPr="00505347" w:rsidR="00AA3575">
        <w:rPr>
          <w:rFonts w:ascii="Times New Roman" w:hAnsi="Times New Roman"/>
          <w:bCs/>
          <w:color w:val="000000"/>
          <w:sz w:val="24"/>
          <w:szCs w:val="24"/>
        </w:rPr>
        <w:t>i</w:t>
      </w:r>
      <w:r w:rsidRPr="00505347">
        <w:rPr>
          <w:rFonts w:ascii="Times New Roman" w:hAnsi="Times New Roman"/>
          <w:bCs/>
          <w:color w:val="000000"/>
          <w:sz w:val="24"/>
          <w:szCs w:val="24"/>
        </w:rPr>
        <w:t>nternet,</w:t>
      </w:r>
      <w:r w:rsidRPr="00505347">
        <w:rPr>
          <w:rStyle w:val="FootnoteReference"/>
          <w:rFonts w:ascii="Times New Roman" w:hAnsi="Times New Roman"/>
          <w:bCs/>
          <w:color w:val="000000"/>
          <w:sz w:val="24"/>
          <w:szCs w:val="24"/>
        </w:rPr>
        <w:t xml:space="preserve"> </w:t>
      </w:r>
      <w:r>
        <w:rPr>
          <w:rStyle w:val="FootnoteReference"/>
          <w:rFonts w:ascii="Times New Roman" w:hAnsi="Times New Roman"/>
          <w:bCs/>
          <w:color w:val="000000"/>
          <w:sz w:val="24"/>
          <w:szCs w:val="24"/>
        </w:rPr>
        <w:footnoteReference w:id="4"/>
      </w:r>
      <w:r w:rsidRPr="00505347">
        <w:rPr>
          <w:rFonts w:ascii="Times New Roman" w:hAnsi="Times New Roman"/>
          <w:bCs/>
          <w:color w:val="000000"/>
          <w:sz w:val="24"/>
          <w:szCs w:val="24"/>
        </w:rPr>
        <w:t xml:space="preserve"> </w:t>
      </w:r>
      <w:r w:rsidRPr="00505347" w:rsidR="00AA3575">
        <w:rPr>
          <w:rFonts w:ascii="Times New Roman" w:hAnsi="Times New Roman"/>
          <w:bCs/>
          <w:color w:val="000000"/>
          <w:sz w:val="24"/>
          <w:szCs w:val="24"/>
        </w:rPr>
        <w:t>w</w:t>
      </w:r>
      <w:r w:rsidRPr="00505347">
        <w:rPr>
          <w:rFonts w:ascii="Times New Roman" w:hAnsi="Times New Roman"/>
          <w:bCs/>
          <w:color w:val="000000"/>
          <w:sz w:val="24"/>
          <w:szCs w:val="24"/>
        </w:rPr>
        <w:t>eb-based surveys offer an especially useful way to solicit responses from young adults and adolescents</w:t>
      </w:r>
      <w:r w:rsidRPr="00505347" w:rsidR="493942AA">
        <w:rPr>
          <w:rFonts w:ascii="Times New Roman" w:hAnsi="Times New Roman"/>
          <w:bCs/>
          <w:color w:val="000000"/>
          <w:sz w:val="24"/>
          <w:szCs w:val="24"/>
        </w:rPr>
        <w:t>.</w:t>
      </w:r>
      <w:r w:rsidRPr="00505347">
        <w:rPr>
          <w:rFonts w:ascii="Times New Roman" w:hAnsi="Times New Roman"/>
          <w:bCs/>
          <w:color w:val="000000"/>
          <w:sz w:val="24"/>
          <w:szCs w:val="24"/>
        </w:rPr>
        <w:t xml:space="preserve"> </w:t>
      </w:r>
    </w:p>
    <w:p w:rsidR="00AB3BB6" w:rsidRPr="00505347" w14:paraId="5410690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color w:val="000000"/>
          <w:sz w:val="24"/>
          <w:szCs w:val="24"/>
        </w:rPr>
      </w:pPr>
    </w:p>
    <w:p w:rsidR="005C0FF9" w:rsidRPr="00505347" w:rsidP="7AE98EAD" w14:paraId="14E5BDD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Cs/>
          <w:sz w:val="24"/>
          <w:szCs w:val="24"/>
          <w:u w:val="single"/>
        </w:rPr>
      </w:pPr>
      <w:bookmarkStart w:id="5" w:name="_Toc239649224"/>
      <w:r w:rsidRPr="00505347">
        <w:rPr>
          <w:rFonts w:ascii="Times New Roman" w:hAnsi="Times New Roman"/>
          <w:bCs/>
          <w:sz w:val="24"/>
          <w:szCs w:val="24"/>
        </w:rPr>
        <w:t xml:space="preserve">4.  </w:t>
      </w:r>
      <w:r w:rsidRPr="00505347">
        <w:rPr>
          <w:rFonts w:ascii="Times New Roman" w:hAnsi="Times New Roman"/>
          <w:bCs/>
          <w:sz w:val="24"/>
          <w:szCs w:val="24"/>
          <w:u w:val="single"/>
        </w:rPr>
        <w:t>Efforts to Identify Duplication and Use of Similar Information</w:t>
      </w:r>
      <w:bookmarkEnd w:id="5"/>
    </w:p>
    <w:p w:rsidR="7AE98EAD" w:rsidRPr="00505347" w:rsidP="7AE98EAD" w14:paraId="78778FF3" w14:textId="3ED89DCB">
      <w:pPr>
        <w:rPr>
          <w:rFonts w:ascii="Times New Roman" w:hAnsi="Times New Roman"/>
          <w:bCs/>
          <w:color w:val="000000" w:themeColor="text1"/>
          <w:sz w:val="24"/>
          <w:szCs w:val="24"/>
        </w:rPr>
      </w:pPr>
    </w:p>
    <w:p w:rsidR="72F562F8" w:rsidRPr="00505347" w:rsidP="7AE98EAD" w14:paraId="4E2D74F7" w14:textId="6DFE6E84">
      <w:pPr>
        <w:rPr>
          <w:rFonts w:ascii="Times New Roman" w:hAnsi="Times New Roman"/>
          <w:bCs/>
          <w:color w:val="000000" w:themeColor="text1"/>
          <w:sz w:val="24"/>
          <w:szCs w:val="24"/>
        </w:rPr>
      </w:pPr>
      <w:r w:rsidRPr="00505347">
        <w:rPr>
          <w:rFonts w:ascii="Times New Roman" w:hAnsi="Times New Roman"/>
          <w:bCs/>
          <w:color w:val="000000" w:themeColor="text1"/>
          <w:sz w:val="24"/>
          <w:szCs w:val="24"/>
        </w:rPr>
        <w:t>As each new research study is developed, FDA will review existing literature and databases.</w:t>
      </w:r>
      <w:r w:rsidRPr="00505347" w:rsidR="005D26A3">
        <w:rPr>
          <w:rFonts w:ascii="Times New Roman" w:hAnsi="Times New Roman"/>
          <w:bCs/>
          <w:color w:val="498205"/>
          <w:sz w:val="24"/>
          <w:szCs w:val="24"/>
        </w:rPr>
        <w:t xml:space="preserve">  </w:t>
      </w:r>
      <w:r w:rsidRPr="00505347">
        <w:rPr>
          <w:rFonts w:ascii="Times New Roman" w:hAnsi="Times New Roman"/>
          <w:bCs/>
          <w:sz w:val="24"/>
          <w:szCs w:val="24"/>
        </w:rPr>
        <w:t xml:space="preserve">This will develop efficiencies and eliminate redundancies. When possible, </w:t>
      </w:r>
      <w:r w:rsidRPr="00505347">
        <w:rPr>
          <w:rFonts w:ascii="Times New Roman" w:hAnsi="Times New Roman"/>
          <w:bCs/>
          <w:color w:val="000000" w:themeColor="text1"/>
          <w:sz w:val="24"/>
          <w:szCs w:val="24"/>
        </w:rPr>
        <w:t xml:space="preserve">FDA will also consult with outside experts to evaluate available information on similar messages with comparable audiences. </w:t>
      </w:r>
      <w:r w:rsidRPr="00505347">
        <w:rPr>
          <w:rFonts w:ascii="Times New Roman" w:hAnsi="Times New Roman"/>
          <w:bCs/>
          <w:sz w:val="24"/>
          <w:szCs w:val="24"/>
        </w:rPr>
        <w:t xml:space="preserve">Where </w:t>
      </w:r>
      <w:r w:rsidRPr="00505347" w:rsidR="00F54DD4">
        <w:rPr>
          <w:rFonts w:ascii="Times New Roman" w:hAnsi="Times New Roman"/>
          <w:bCs/>
          <w:sz w:val="24"/>
          <w:szCs w:val="24"/>
        </w:rPr>
        <w:t>applicable</w:t>
      </w:r>
      <w:r w:rsidRPr="00505347">
        <w:rPr>
          <w:rFonts w:ascii="Times New Roman" w:hAnsi="Times New Roman"/>
          <w:bCs/>
          <w:sz w:val="24"/>
          <w:szCs w:val="24"/>
        </w:rPr>
        <w:t xml:space="preserve">, </w:t>
      </w:r>
      <w:r w:rsidRPr="00505347">
        <w:rPr>
          <w:rFonts w:ascii="Times New Roman" w:hAnsi="Times New Roman"/>
          <w:bCs/>
          <w:color w:val="000000" w:themeColor="text1"/>
          <w:sz w:val="24"/>
          <w:szCs w:val="24"/>
        </w:rPr>
        <w:t xml:space="preserve">FDA will work with other HHS agencies responsible for communicating about tobacco use with the general public. </w:t>
      </w:r>
    </w:p>
    <w:p w:rsidR="7AE98EAD" w:rsidRPr="00505347" w:rsidP="7AE98EAD" w14:paraId="56B519A9" w14:textId="306414BF">
      <w:pPr>
        <w:rPr>
          <w:rFonts w:ascii="Times New Roman" w:hAnsi="Times New Roman"/>
          <w:bCs/>
          <w:color w:val="000000" w:themeColor="text1"/>
          <w:sz w:val="24"/>
          <w:szCs w:val="24"/>
        </w:rPr>
      </w:pPr>
    </w:p>
    <w:p w:rsidR="72F562F8" w:rsidRPr="00505347" w:rsidP="7AE98EAD" w14:paraId="0F38B4E8" w14:textId="35A0CA46">
      <w:pPr>
        <w:rPr>
          <w:rFonts w:ascii="Times New Roman" w:hAnsi="Times New Roman"/>
          <w:bCs/>
          <w:color w:val="000000" w:themeColor="text1"/>
          <w:sz w:val="24"/>
          <w:szCs w:val="24"/>
        </w:rPr>
      </w:pPr>
      <w:r w:rsidRPr="00505347">
        <w:rPr>
          <w:rFonts w:ascii="Times New Roman" w:hAnsi="Times New Roman"/>
          <w:bCs/>
          <w:color w:val="000000" w:themeColor="text1"/>
          <w:sz w:val="24"/>
          <w:szCs w:val="24"/>
        </w:rPr>
        <w:t>However, because communications to consumers on the use of tobacco will be diverse and vary by</w:t>
      </w:r>
      <w:r w:rsidRPr="00505347">
        <w:rPr>
          <w:rFonts w:ascii="Times New Roman" w:hAnsi="Times New Roman"/>
          <w:bCs/>
          <w:sz w:val="24"/>
          <w:szCs w:val="24"/>
        </w:rPr>
        <w:t xml:space="preserve"> </w:t>
      </w:r>
      <w:r w:rsidRPr="00505347" w:rsidR="0070519B">
        <w:rPr>
          <w:rFonts w:ascii="Times New Roman" w:hAnsi="Times New Roman"/>
          <w:bCs/>
          <w:sz w:val="24"/>
          <w:szCs w:val="24"/>
        </w:rPr>
        <w:t xml:space="preserve">target </w:t>
      </w:r>
      <w:r w:rsidRPr="00505347">
        <w:rPr>
          <w:rFonts w:ascii="Times New Roman" w:hAnsi="Times New Roman"/>
          <w:bCs/>
          <w:color w:val="000000" w:themeColor="text1"/>
          <w:sz w:val="24"/>
          <w:szCs w:val="24"/>
        </w:rPr>
        <w:t>audience</w:t>
      </w:r>
      <w:r w:rsidRPr="00505347" w:rsidR="0070519B">
        <w:rPr>
          <w:rFonts w:ascii="Times New Roman" w:hAnsi="Times New Roman"/>
          <w:bCs/>
          <w:color w:val="000000" w:themeColor="text1"/>
          <w:sz w:val="24"/>
          <w:szCs w:val="24"/>
        </w:rPr>
        <w:t>s</w:t>
      </w:r>
      <w:r w:rsidRPr="00505347">
        <w:rPr>
          <w:rFonts w:ascii="Times New Roman" w:hAnsi="Times New Roman"/>
          <w:bCs/>
          <w:color w:val="000000" w:themeColor="text1"/>
          <w:sz w:val="24"/>
          <w:szCs w:val="24"/>
        </w:rPr>
        <w:t xml:space="preserve">, new data collection instruments generally will be prepared for each quantitative study.  </w:t>
      </w:r>
    </w:p>
    <w:p w:rsidR="005C0FF9" w:rsidRPr="00505347" w:rsidP="00F54DD4" w14:paraId="4CB04D79" w14:textId="54E2A79A">
      <w:pPr>
        <w:spacing w:beforeAutospacing="1" w:afterAutospacing="1"/>
        <w:rPr>
          <w:rFonts w:ascii="Times New Roman" w:hAnsi="Times New Roman"/>
          <w:bCs/>
          <w:sz w:val="24"/>
          <w:szCs w:val="24"/>
        </w:rPr>
      </w:pPr>
      <w:r w:rsidRPr="00505347">
        <w:rPr>
          <w:rFonts w:ascii="Times New Roman" w:hAnsi="Times New Roman"/>
          <w:bCs/>
          <w:color w:val="000000" w:themeColor="text1"/>
          <w:sz w:val="24"/>
          <w:szCs w:val="24"/>
        </w:rPr>
        <w:t>Therefore, each set of data collected by FDA is unique. Coordination with other agencies ensures that duplicative data is not being gathered. Further, no similar data are gathered or maintained by FDA or are available from other sources known to FDA.</w:t>
      </w:r>
    </w:p>
    <w:p w:rsidR="00773576" w:rsidRPr="00505347" w:rsidP="7AE98EAD" w14:paraId="0C1C6CF8" w14:textId="632D8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Cs/>
          <w:sz w:val="24"/>
          <w:szCs w:val="24"/>
          <w:u w:val="single"/>
        </w:rPr>
      </w:pPr>
      <w:bookmarkStart w:id="6" w:name="_Toc239649225"/>
      <w:r w:rsidRPr="00505347">
        <w:rPr>
          <w:rFonts w:ascii="Times New Roman" w:hAnsi="Times New Roman"/>
          <w:bCs/>
          <w:sz w:val="24"/>
          <w:szCs w:val="24"/>
        </w:rPr>
        <w:t xml:space="preserve">5.   </w:t>
      </w:r>
      <w:r w:rsidRPr="00505347">
        <w:rPr>
          <w:rFonts w:ascii="Times New Roman" w:hAnsi="Times New Roman"/>
          <w:bCs/>
          <w:sz w:val="24"/>
          <w:szCs w:val="24"/>
          <w:u w:val="single"/>
        </w:rPr>
        <w:t>Impact on Small Businesses or Other Small Entities</w:t>
      </w:r>
      <w:bookmarkEnd w:id="6"/>
    </w:p>
    <w:p w:rsidR="7AE98EAD" w:rsidRPr="00505347" w:rsidP="00FF2C3C" w14:paraId="4B3DCB98" w14:textId="1CF497FE">
      <w:pPr>
        <w:pStyle w:val="ListParagraph"/>
        <w:spacing w:before="100" w:beforeAutospacing="1" w:after="100" w:afterAutospacing="1" w:line="240" w:lineRule="auto"/>
        <w:ind w:left="0"/>
        <w:rPr>
          <w:rFonts w:ascii="Times New Roman" w:hAnsi="Times New Roman"/>
          <w:bCs/>
          <w:sz w:val="24"/>
          <w:szCs w:val="24"/>
        </w:rPr>
      </w:pPr>
      <w:r w:rsidRPr="00505347">
        <w:rPr>
          <w:rFonts w:ascii="Times New Roman" w:hAnsi="Times New Roman"/>
          <w:bCs/>
          <w:sz w:val="24"/>
          <w:szCs w:val="24"/>
        </w:rPr>
        <w:t>Small businesses, or other small entities, may be involved in efforts related to collections of information approved under this clearance. However</w:t>
      </w:r>
      <w:r w:rsidRPr="00505347" w:rsidR="005E1508">
        <w:rPr>
          <w:rFonts w:ascii="Times New Roman" w:hAnsi="Times New Roman"/>
          <w:bCs/>
          <w:sz w:val="24"/>
          <w:szCs w:val="24"/>
        </w:rPr>
        <w:t>,</w:t>
      </w:r>
      <w:r w:rsidRPr="00505347">
        <w:rPr>
          <w:rFonts w:ascii="Times New Roman" w:hAnsi="Times New Roman"/>
          <w:bCs/>
          <w:sz w:val="24"/>
          <w:szCs w:val="24"/>
        </w:rPr>
        <w:t xml:space="preserve"> FDA will minimize the effect and burden on them by sampling </w:t>
      </w:r>
      <w:r w:rsidRPr="00505347" w:rsidR="00D46A29">
        <w:rPr>
          <w:rFonts w:ascii="Times New Roman" w:hAnsi="Times New Roman"/>
          <w:bCs/>
          <w:sz w:val="24"/>
          <w:szCs w:val="24"/>
        </w:rPr>
        <w:t>appropriately.</w:t>
      </w:r>
    </w:p>
    <w:p w:rsidR="005C0FF9" w:rsidRPr="00505347" w:rsidP="7AE98EAD" w14:paraId="72F000A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Cs/>
          <w:sz w:val="24"/>
          <w:szCs w:val="24"/>
          <w:u w:val="single"/>
        </w:rPr>
      </w:pPr>
      <w:bookmarkStart w:id="7" w:name="_Toc239649226"/>
      <w:r w:rsidRPr="00505347">
        <w:rPr>
          <w:rFonts w:ascii="Times New Roman" w:hAnsi="Times New Roman"/>
          <w:bCs/>
          <w:sz w:val="24"/>
          <w:szCs w:val="24"/>
        </w:rPr>
        <w:t xml:space="preserve">6.  </w:t>
      </w:r>
      <w:r w:rsidRPr="00505347">
        <w:rPr>
          <w:rFonts w:ascii="Times New Roman" w:hAnsi="Times New Roman"/>
          <w:bCs/>
          <w:sz w:val="24"/>
          <w:szCs w:val="24"/>
          <w:u w:val="single"/>
        </w:rPr>
        <w:t>Consequence of Collecting the Information Less Frequently</w:t>
      </w:r>
      <w:bookmarkEnd w:id="7"/>
    </w:p>
    <w:p w:rsidR="00EB74B2" w:rsidRPr="00505347" w:rsidP="00FF2C3C" w14:paraId="396AB011" w14:textId="77777777">
      <w:pPr>
        <w:spacing w:beforeAutospacing="1" w:afterAutospacing="1"/>
        <w:rPr>
          <w:rFonts w:ascii="Times New Roman" w:hAnsi="Times New Roman"/>
          <w:bCs/>
          <w:sz w:val="24"/>
          <w:szCs w:val="24"/>
        </w:rPr>
      </w:pPr>
      <w:r w:rsidRPr="00505347">
        <w:rPr>
          <w:rFonts w:ascii="Times New Roman" w:hAnsi="Times New Roman"/>
          <w:bCs/>
          <w:color w:val="000000" w:themeColor="text1"/>
          <w:sz w:val="24"/>
          <w:szCs w:val="24"/>
        </w:rPr>
        <w:t xml:space="preserve">FDA </w:t>
      </w:r>
      <w:r w:rsidRPr="00505347" w:rsidR="008E591E">
        <w:rPr>
          <w:rFonts w:ascii="Times New Roman" w:hAnsi="Times New Roman"/>
          <w:bCs/>
          <w:color w:val="000000" w:themeColor="text1"/>
          <w:sz w:val="24"/>
          <w:szCs w:val="24"/>
        </w:rPr>
        <w:t>uses</w:t>
      </w:r>
      <w:r w:rsidRPr="00505347">
        <w:rPr>
          <w:rFonts w:ascii="Times New Roman" w:hAnsi="Times New Roman"/>
          <w:bCs/>
          <w:color w:val="000000" w:themeColor="text1"/>
          <w:sz w:val="24"/>
          <w:szCs w:val="24"/>
        </w:rPr>
        <w:t xml:space="preserve"> a variety of media messages and materials to inform and educate the public about the risks of tobacco use. Communicating effectively about the risks of using tobacco products involves conveying complex concepts. Continued quantitative research is needed to</w:t>
      </w:r>
      <w:r w:rsidRPr="00505347">
        <w:rPr>
          <w:rFonts w:ascii="Times New Roman" w:hAnsi="Times New Roman"/>
          <w:bCs/>
          <w:color w:val="CC3595"/>
          <w:sz w:val="24"/>
          <w:szCs w:val="24"/>
          <w:u w:val="single"/>
        </w:rPr>
        <w:t xml:space="preserve"> </w:t>
      </w:r>
      <w:r w:rsidRPr="00505347">
        <w:rPr>
          <w:rFonts w:ascii="Times New Roman" w:hAnsi="Times New Roman"/>
          <w:bCs/>
          <w:sz w:val="24"/>
          <w:szCs w:val="24"/>
        </w:rPr>
        <w:t xml:space="preserve">ensure a solid understanding of </w:t>
      </w:r>
      <w:r w:rsidRPr="00505347" w:rsidR="00D46A29">
        <w:rPr>
          <w:rFonts w:ascii="Times New Roman" w:hAnsi="Times New Roman"/>
          <w:bCs/>
          <w:sz w:val="24"/>
          <w:szCs w:val="24"/>
        </w:rPr>
        <w:t>various audiences</w:t>
      </w:r>
      <w:r w:rsidRPr="00505347">
        <w:rPr>
          <w:rFonts w:ascii="Times New Roman" w:hAnsi="Times New Roman"/>
          <w:bCs/>
          <w:sz w:val="24"/>
          <w:szCs w:val="24"/>
        </w:rPr>
        <w:t xml:space="preserve"> for messaging, to develop new messages and to </w:t>
      </w:r>
      <w:r w:rsidRPr="00505347">
        <w:rPr>
          <w:rFonts w:ascii="Times New Roman" w:hAnsi="Times New Roman"/>
          <w:bCs/>
          <w:color w:val="000000" w:themeColor="text1"/>
          <w:sz w:val="24"/>
          <w:szCs w:val="24"/>
        </w:rPr>
        <w:t>assess the continued relevance of such messages given dynamic social and environmental factors and the changing education and information needs of the public.</w:t>
      </w:r>
      <w:r w:rsidRPr="00505347">
        <w:rPr>
          <w:rFonts w:ascii="Times New Roman" w:hAnsi="Times New Roman"/>
          <w:bCs/>
          <w:color w:val="498205"/>
          <w:sz w:val="24"/>
          <w:szCs w:val="24"/>
        </w:rPr>
        <w:t xml:space="preserve"> </w:t>
      </w:r>
      <w:r w:rsidRPr="00505347">
        <w:rPr>
          <w:rFonts w:ascii="Times New Roman" w:hAnsi="Times New Roman"/>
          <w:bCs/>
          <w:sz w:val="24"/>
          <w:szCs w:val="24"/>
        </w:rPr>
        <w:t xml:space="preserve">In addition, testing is required to refine implementation of messaging and campaigns within new environments, such as social media, and other digital platforms. </w:t>
      </w:r>
      <w:r w:rsidRPr="00505347">
        <w:rPr>
          <w:rFonts w:ascii="Times New Roman" w:hAnsi="Times New Roman"/>
          <w:bCs/>
          <w:color w:val="000000" w:themeColor="text1"/>
          <w:sz w:val="24"/>
          <w:szCs w:val="24"/>
        </w:rPr>
        <w:t xml:space="preserve">Without quantitative testing and data collections, FDA cannot </w:t>
      </w:r>
      <w:r w:rsidRPr="00505347">
        <w:rPr>
          <w:rFonts w:ascii="Times New Roman" w:hAnsi="Times New Roman"/>
          <w:bCs/>
          <w:color w:val="000000" w:themeColor="text1"/>
          <w:sz w:val="24"/>
          <w:szCs w:val="24"/>
        </w:rPr>
        <w:t xml:space="preserve">fully ensure that tobacco messages and materials directed at consumers are serving their intended purpose. As a result, the FDA could spend a large amount of money on communications that are ineffective in achieving the intended purpose of reducing tobacco-associated costs to people’s lives and to the government. Further, quantitative research is often necessary to track changes in response to policy and regulatory actions. </w:t>
      </w:r>
      <w:r w:rsidRPr="00505347">
        <w:rPr>
          <w:rFonts w:ascii="Times New Roman" w:hAnsi="Times New Roman"/>
          <w:bCs/>
          <w:sz w:val="24"/>
          <w:szCs w:val="24"/>
        </w:rPr>
        <w:t xml:space="preserve"> </w:t>
      </w:r>
    </w:p>
    <w:p w:rsidR="005C0FF9" w:rsidRPr="00505347" w:rsidP="00FF2C3C" w14:paraId="20B65452" w14:textId="63F6F347">
      <w:pPr>
        <w:spacing w:beforeAutospacing="1" w:afterAutospacing="1"/>
        <w:rPr>
          <w:rFonts w:ascii="Times New Roman" w:hAnsi="Times New Roman"/>
          <w:bCs/>
          <w:sz w:val="24"/>
          <w:szCs w:val="24"/>
        </w:rPr>
      </w:pPr>
      <w:bookmarkStart w:id="8" w:name="_Toc239649227"/>
      <w:r w:rsidRPr="00505347">
        <w:rPr>
          <w:rFonts w:ascii="Times New Roman" w:hAnsi="Times New Roman"/>
          <w:bCs/>
          <w:sz w:val="24"/>
          <w:szCs w:val="24"/>
        </w:rPr>
        <w:t xml:space="preserve">7.  </w:t>
      </w:r>
      <w:r w:rsidRPr="00505347">
        <w:rPr>
          <w:rFonts w:ascii="Times New Roman" w:hAnsi="Times New Roman"/>
          <w:bCs/>
          <w:sz w:val="24"/>
          <w:szCs w:val="24"/>
          <w:u w:val="single"/>
        </w:rPr>
        <w:t>Special Circumstances Relating to the Guidelines of 5 CFR 1320.5</w:t>
      </w:r>
      <w:bookmarkEnd w:id="8"/>
    </w:p>
    <w:p w:rsidR="005C0FF9" w:rsidRPr="00505347" w14:paraId="21EA4819" w14:textId="13DFE5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szCs w:val="24"/>
        </w:rPr>
      </w:pPr>
      <w:r w:rsidRPr="00505347">
        <w:rPr>
          <w:rFonts w:ascii="Times New Roman" w:hAnsi="Times New Roman"/>
          <w:bCs/>
          <w:sz w:val="24"/>
          <w:szCs w:val="24"/>
        </w:rPr>
        <w:t>Generally, s</w:t>
      </w:r>
      <w:r w:rsidRPr="00505347" w:rsidR="00FB59EB">
        <w:rPr>
          <w:rFonts w:ascii="Times New Roman" w:hAnsi="Times New Roman"/>
          <w:bCs/>
          <w:sz w:val="24"/>
          <w:szCs w:val="24"/>
        </w:rPr>
        <w:t>tudies under this collection rely</w:t>
      </w:r>
      <w:r w:rsidRPr="00505347" w:rsidR="00355B8B">
        <w:rPr>
          <w:rFonts w:ascii="Times New Roman" w:hAnsi="Times New Roman"/>
          <w:bCs/>
          <w:sz w:val="24"/>
          <w:szCs w:val="24"/>
        </w:rPr>
        <w:t xml:space="preserve"> on quantitative methods and use convenience samples rather than probability samples. </w:t>
      </w:r>
      <w:r w:rsidRPr="00505347" w:rsidR="008E591E">
        <w:rPr>
          <w:rFonts w:ascii="Times New Roman" w:hAnsi="Times New Roman"/>
          <w:bCs/>
          <w:sz w:val="24"/>
          <w:szCs w:val="24"/>
        </w:rPr>
        <w:t>Therefore,</w:t>
      </w:r>
      <w:r w:rsidRPr="00505347" w:rsidR="00355B8B">
        <w:rPr>
          <w:rFonts w:ascii="Times New Roman" w:hAnsi="Times New Roman"/>
          <w:bCs/>
          <w:sz w:val="24"/>
          <w:szCs w:val="24"/>
        </w:rPr>
        <w:t xml:space="preserve"> the results are not intended to yield results that are statistically projectable, nationally representative, or precise estimates of population parameters.</w:t>
      </w:r>
      <w:r w:rsidRPr="00505347">
        <w:rPr>
          <w:rFonts w:ascii="Times New Roman" w:hAnsi="Times New Roman"/>
          <w:bCs/>
          <w:sz w:val="24"/>
          <w:szCs w:val="24"/>
        </w:rPr>
        <w:t xml:space="preserve"> However, some studies submitted under this generic may use panels </w:t>
      </w:r>
      <w:r w:rsidRPr="00505347" w:rsidR="003762AF">
        <w:rPr>
          <w:rFonts w:ascii="Times New Roman" w:hAnsi="Times New Roman"/>
          <w:bCs/>
          <w:sz w:val="24"/>
          <w:szCs w:val="24"/>
        </w:rPr>
        <w:t>that</w:t>
      </w:r>
      <w:r w:rsidRPr="00505347">
        <w:rPr>
          <w:rFonts w:ascii="Times New Roman" w:hAnsi="Times New Roman"/>
          <w:bCs/>
          <w:sz w:val="24"/>
          <w:szCs w:val="24"/>
        </w:rPr>
        <w:t xml:space="preserve"> may yield nationally representative results. </w:t>
      </w:r>
      <w:r w:rsidRPr="00505347" w:rsidR="00B109F9">
        <w:rPr>
          <w:rFonts w:ascii="Times New Roman" w:hAnsi="Times New Roman"/>
          <w:bCs/>
          <w:sz w:val="24"/>
          <w:szCs w:val="24"/>
        </w:rPr>
        <w:t>When probability samples are employed (such as through an online panel)</w:t>
      </w:r>
      <w:r w:rsidRPr="00505347" w:rsidR="003762AF">
        <w:rPr>
          <w:rFonts w:ascii="Times New Roman" w:hAnsi="Times New Roman"/>
          <w:bCs/>
          <w:sz w:val="24"/>
          <w:szCs w:val="24"/>
        </w:rPr>
        <w:t>,</w:t>
      </w:r>
      <w:r w:rsidRPr="00505347" w:rsidR="00B109F9">
        <w:rPr>
          <w:rFonts w:ascii="Times New Roman" w:hAnsi="Times New Roman"/>
          <w:bCs/>
          <w:sz w:val="24"/>
          <w:szCs w:val="24"/>
        </w:rPr>
        <w:t xml:space="preserve"> representative estimates to the national population will not be made.</w:t>
      </w:r>
    </w:p>
    <w:p w:rsidR="00355B8B" w:rsidRPr="00505347" w14:paraId="34E2466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szCs w:val="24"/>
        </w:rPr>
      </w:pPr>
    </w:p>
    <w:p w:rsidR="005C0FF9" w:rsidRPr="00505347" w14:paraId="67B4A1A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Cs/>
          <w:sz w:val="24"/>
          <w:szCs w:val="24"/>
          <w:u w:val="single"/>
        </w:rPr>
      </w:pPr>
      <w:bookmarkStart w:id="9" w:name="_Toc239649228"/>
      <w:r w:rsidRPr="00505347">
        <w:rPr>
          <w:rFonts w:ascii="Times New Roman" w:hAnsi="Times New Roman"/>
          <w:bCs/>
          <w:sz w:val="24"/>
          <w:szCs w:val="24"/>
        </w:rPr>
        <w:t xml:space="preserve">8.  </w:t>
      </w:r>
      <w:r w:rsidRPr="00505347">
        <w:rPr>
          <w:rFonts w:ascii="Times New Roman" w:hAnsi="Times New Roman"/>
          <w:bCs/>
          <w:sz w:val="24"/>
          <w:szCs w:val="24"/>
          <w:u w:val="single"/>
        </w:rPr>
        <w:t>Comments in Response to the Federal Register Notice and Efforts to Consult Outside</w:t>
      </w:r>
      <w:bookmarkEnd w:id="9"/>
      <w:r w:rsidRPr="00505347">
        <w:rPr>
          <w:rFonts w:ascii="Times New Roman" w:hAnsi="Times New Roman"/>
          <w:bCs/>
          <w:sz w:val="24"/>
          <w:szCs w:val="24"/>
          <w:u w:val="single"/>
        </w:rPr>
        <w:t xml:space="preserve"> </w:t>
      </w:r>
    </w:p>
    <w:p w:rsidR="005C0FF9" w:rsidRPr="00505347" w14:paraId="17A99C1F" w14:textId="77777777">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outlineLvl w:val="2"/>
        <w:rPr>
          <w:rFonts w:ascii="Times New Roman" w:hAnsi="Times New Roman"/>
          <w:bCs/>
          <w:sz w:val="24"/>
          <w:szCs w:val="24"/>
          <w:u w:val="single"/>
        </w:rPr>
      </w:pPr>
      <w:bookmarkStart w:id="10" w:name="_Toc239649229"/>
      <w:r w:rsidRPr="00505347">
        <w:rPr>
          <w:rFonts w:ascii="Times New Roman" w:hAnsi="Times New Roman"/>
          <w:bCs/>
          <w:sz w:val="24"/>
          <w:szCs w:val="24"/>
          <w:u w:val="single"/>
        </w:rPr>
        <w:t>Agency</w:t>
      </w:r>
      <w:bookmarkEnd w:id="10"/>
    </w:p>
    <w:p w:rsidR="00D66F13" w:rsidRPr="00505347" w14:paraId="60D703B0" w14:textId="77777777">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outlineLvl w:val="2"/>
        <w:rPr>
          <w:rFonts w:ascii="Times New Roman" w:hAnsi="Times New Roman"/>
          <w:bCs/>
          <w:sz w:val="24"/>
          <w:szCs w:val="24"/>
          <w:u w:val="single"/>
        </w:rPr>
      </w:pPr>
    </w:p>
    <w:p w:rsidR="7AE98EAD" w:rsidRPr="00505347" w:rsidP="00F54DD4" w14:paraId="1326555B" w14:textId="34A8D28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Cs/>
          <w:sz w:val="24"/>
          <w:szCs w:val="24"/>
          <w:u w:val="single"/>
        </w:rPr>
      </w:pPr>
      <w:r w:rsidRPr="00505347">
        <w:rPr>
          <w:rFonts w:ascii="Times New Roman" w:eastAsia="Calibri" w:hAnsi="Times New Roman"/>
          <w:bCs/>
          <w:sz w:val="24"/>
          <w:szCs w:val="24"/>
        </w:rPr>
        <w:t>In accordance with 5 CFR 1320.8(d), FDA published a 60</w:t>
      </w:r>
      <w:r w:rsidRPr="00505347" w:rsidR="003762AF">
        <w:rPr>
          <w:rFonts w:ascii="Times New Roman" w:eastAsia="Calibri" w:hAnsi="Times New Roman"/>
          <w:bCs/>
          <w:sz w:val="24"/>
          <w:szCs w:val="24"/>
        </w:rPr>
        <w:t>-</w:t>
      </w:r>
      <w:r w:rsidRPr="00505347">
        <w:rPr>
          <w:rFonts w:ascii="Times New Roman" w:eastAsia="Calibri" w:hAnsi="Times New Roman"/>
          <w:bCs/>
          <w:sz w:val="24"/>
          <w:szCs w:val="24"/>
        </w:rPr>
        <w:t xml:space="preserve">day notice for public comment </w:t>
      </w:r>
      <w:r w:rsidRPr="00505347" w:rsidR="003762AF">
        <w:rPr>
          <w:rFonts w:ascii="Times New Roman" w:eastAsia="Calibri" w:hAnsi="Times New Roman"/>
          <w:bCs/>
          <w:sz w:val="24"/>
          <w:szCs w:val="24"/>
        </w:rPr>
        <w:t xml:space="preserve">on the proposed collection of information </w:t>
      </w:r>
      <w:r w:rsidRPr="00505347">
        <w:rPr>
          <w:rFonts w:ascii="Times New Roman" w:eastAsia="Calibri" w:hAnsi="Times New Roman"/>
          <w:bCs/>
          <w:sz w:val="24"/>
          <w:szCs w:val="24"/>
        </w:rPr>
        <w:t>in the FEDERAL REGISTER</w:t>
      </w:r>
      <w:r w:rsidRPr="00505347">
        <w:rPr>
          <w:rFonts w:ascii="Times New Roman" w:eastAsia="Calibri" w:hAnsi="Times New Roman"/>
          <w:bCs/>
          <w:i/>
          <w:sz w:val="24"/>
          <w:szCs w:val="24"/>
        </w:rPr>
        <w:t xml:space="preserve"> </w:t>
      </w:r>
      <w:bookmarkStart w:id="11" w:name="OLE_LINK1"/>
      <w:bookmarkStart w:id="12" w:name="OLE_LINK2"/>
      <w:r w:rsidRPr="00505347">
        <w:rPr>
          <w:rFonts w:ascii="Times New Roman" w:eastAsia="Calibri" w:hAnsi="Times New Roman"/>
          <w:bCs/>
          <w:sz w:val="24"/>
          <w:szCs w:val="24"/>
        </w:rPr>
        <w:t>o</w:t>
      </w:r>
      <w:r w:rsidRPr="00505347" w:rsidR="003762AF">
        <w:rPr>
          <w:rFonts w:ascii="Times New Roman" w:eastAsia="Calibri" w:hAnsi="Times New Roman"/>
          <w:bCs/>
          <w:sz w:val="24"/>
          <w:szCs w:val="24"/>
        </w:rPr>
        <w:t>f</w:t>
      </w:r>
      <w:r w:rsidRPr="00505347">
        <w:rPr>
          <w:rFonts w:ascii="Times New Roman" w:eastAsia="Calibri" w:hAnsi="Times New Roman"/>
          <w:bCs/>
          <w:sz w:val="24"/>
          <w:szCs w:val="24"/>
        </w:rPr>
        <w:t xml:space="preserve"> </w:t>
      </w:r>
      <w:bookmarkEnd w:id="11"/>
      <w:bookmarkEnd w:id="12"/>
      <w:r w:rsidRPr="00505347" w:rsidR="000E63E5">
        <w:rPr>
          <w:rFonts w:ascii="Times New Roman" w:eastAsia="Calibri" w:hAnsi="Times New Roman"/>
          <w:bCs/>
          <w:sz w:val="24"/>
          <w:szCs w:val="24"/>
        </w:rPr>
        <w:t>June 21</w:t>
      </w:r>
      <w:r w:rsidRPr="00505347" w:rsidR="006F6D75">
        <w:rPr>
          <w:rFonts w:ascii="Times New Roman" w:eastAsia="Calibri" w:hAnsi="Times New Roman"/>
          <w:bCs/>
          <w:sz w:val="24"/>
          <w:szCs w:val="24"/>
        </w:rPr>
        <w:t>, 202</w:t>
      </w:r>
      <w:r w:rsidRPr="00505347" w:rsidR="00E56BEF">
        <w:rPr>
          <w:rFonts w:ascii="Times New Roman" w:eastAsia="Calibri" w:hAnsi="Times New Roman"/>
          <w:bCs/>
          <w:sz w:val="24"/>
          <w:szCs w:val="24"/>
        </w:rPr>
        <w:t>4</w:t>
      </w:r>
      <w:r w:rsidRPr="00505347" w:rsidR="006F6D75">
        <w:rPr>
          <w:rFonts w:ascii="Times New Roman" w:eastAsia="Calibri" w:hAnsi="Times New Roman"/>
          <w:bCs/>
          <w:sz w:val="24"/>
          <w:szCs w:val="24"/>
        </w:rPr>
        <w:t xml:space="preserve"> (</w:t>
      </w:r>
      <w:r w:rsidRPr="00505347" w:rsidR="000E63E5">
        <w:rPr>
          <w:rFonts w:ascii="Times New Roman" w:eastAsia="Calibri" w:hAnsi="Times New Roman"/>
          <w:bCs/>
          <w:sz w:val="24"/>
          <w:szCs w:val="24"/>
        </w:rPr>
        <w:t>89 FR 52055</w:t>
      </w:r>
      <w:r w:rsidRPr="00505347" w:rsidR="006F6D75">
        <w:rPr>
          <w:rFonts w:ascii="Times New Roman" w:eastAsia="Calibri" w:hAnsi="Times New Roman"/>
          <w:bCs/>
          <w:sz w:val="24"/>
          <w:szCs w:val="24"/>
        </w:rPr>
        <w:t xml:space="preserve">). </w:t>
      </w:r>
      <w:r w:rsidRPr="00505347" w:rsidR="00E56BEF">
        <w:rPr>
          <w:rFonts w:ascii="Times New Roman" w:eastAsia="Calibri" w:hAnsi="Times New Roman"/>
          <w:bCs/>
          <w:sz w:val="24"/>
          <w:szCs w:val="24"/>
        </w:rPr>
        <w:t>FDA receive</w:t>
      </w:r>
      <w:r w:rsidRPr="00505347" w:rsidR="008E591E">
        <w:rPr>
          <w:rFonts w:ascii="Times New Roman" w:eastAsia="Calibri" w:hAnsi="Times New Roman"/>
          <w:bCs/>
          <w:sz w:val="24"/>
          <w:szCs w:val="24"/>
        </w:rPr>
        <w:t>d</w:t>
      </w:r>
      <w:r w:rsidRPr="00505347" w:rsidR="00E56BEF">
        <w:rPr>
          <w:rFonts w:ascii="Times New Roman" w:eastAsia="Calibri" w:hAnsi="Times New Roman"/>
          <w:bCs/>
          <w:sz w:val="24"/>
          <w:szCs w:val="24"/>
        </w:rPr>
        <w:t xml:space="preserve"> </w:t>
      </w:r>
      <w:r w:rsidRPr="00505347" w:rsidR="008E591E">
        <w:rPr>
          <w:rFonts w:ascii="Times New Roman" w:eastAsia="Calibri" w:hAnsi="Times New Roman"/>
          <w:bCs/>
          <w:sz w:val="24"/>
          <w:szCs w:val="24"/>
        </w:rPr>
        <w:t>no</w:t>
      </w:r>
      <w:r w:rsidRPr="00505347" w:rsidR="00E56BEF">
        <w:rPr>
          <w:rFonts w:ascii="Times New Roman" w:eastAsia="Calibri" w:hAnsi="Times New Roman"/>
          <w:bCs/>
          <w:sz w:val="24"/>
          <w:szCs w:val="24"/>
        </w:rPr>
        <w:t xml:space="preserve"> comments.</w:t>
      </w:r>
      <w:bookmarkStart w:id="13" w:name="_Toc239649230"/>
      <w:r w:rsidRPr="00505347" w:rsidR="008E591E">
        <w:rPr>
          <w:rFonts w:ascii="Times New Roman" w:hAnsi="Times New Roman"/>
          <w:bCs/>
          <w:sz w:val="24"/>
          <w:szCs w:val="24"/>
        </w:rPr>
        <w:br/>
      </w:r>
      <w:r w:rsidRPr="00505347" w:rsidR="008E591E">
        <w:rPr>
          <w:rFonts w:ascii="Times New Roman" w:hAnsi="Times New Roman"/>
          <w:bCs/>
          <w:sz w:val="24"/>
          <w:szCs w:val="24"/>
        </w:rPr>
        <w:br/>
      </w:r>
      <w:r w:rsidRPr="00505347" w:rsidR="005C0FF9">
        <w:rPr>
          <w:rFonts w:ascii="Times New Roman" w:hAnsi="Times New Roman"/>
          <w:bCs/>
          <w:sz w:val="24"/>
          <w:szCs w:val="24"/>
        </w:rPr>
        <w:t xml:space="preserve">9.  </w:t>
      </w:r>
      <w:r w:rsidRPr="00505347" w:rsidR="005C0FF9">
        <w:rPr>
          <w:rFonts w:ascii="Times New Roman" w:hAnsi="Times New Roman"/>
          <w:bCs/>
          <w:sz w:val="24"/>
          <w:szCs w:val="24"/>
          <w:u w:val="single"/>
        </w:rPr>
        <w:t>Explanation of Any Payment or Gift to Respondents</w:t>
      </w:r>
      <w:bookmarkEnd w:id="13"/>
    </w:p>
    <w:p w:rsidR="1A8DB8E6" w:rsidRPr="00505347" w:rsidP="7AE98EAD" w14:paraId="70A07F46" w14:textId="41702F25">
      <w:pPr>
        <w:tabs>
          <w:tab w:val="left" w:pos="990"/>
        </w:tabs>
        <w:spacing w:beforeAutospacing="1" w:afterAutospacing="1"/>
        <w:rPr>
          <w:bCs/>
        </w:rPr>
      </w:pPr>
      <w:r w:rsidRPr="00505347">
        <w:rPr>
          <w:rFonts w:ascii="Times New Roman" w:hAnsi="Times New Roman"/>
          <w:bCs/>
          <w:sz w:val="24"/>
          <w:szCs w:val="24"/>
        </w:rPr>
        <w:t xml:space="preserve">It is standard practice in </w:t>
      </w:r>
      <w:r w:rsidRPr="00505347" w:rsidR="008E591E">
        <w:rPr>
          <w:rFonts w:ascii="Times New Roman" w:hAnsi="Times New Roman"/>
          <w:bCs/>
          <w:sz w:val="24"/>
          <w:szCs w:val="24"/>
        </w:rPr>
        <w:t xml:space="preserve">commercial market </w:t>
      </w:r>
      <w:r w:rsidRPr="00505347">
        <w:rPr>
          <w:rFonts w:ascii="Times New Roman" w:hAnsi="Times New Roman"/>
          <w:bCs/>
          <w:sz w:val="24"/>
          <w:szCs w:val="24"/>
        </w:rPr>
        <w:t xml:space="preserve">research to offer recruited respondents some form of renumeration for the time they spend engaged in a personal interview activity. Instances for offering a token of appreciation will be determined on a case-by-case basis (depending on the information collection design). </w:t>
      </w:r>
      <w:r w:rsidRPr="00505347" w:rsidR="00F54DD4">
        <w:rPr>
          <w:rFonts w:ascii="Times New Roman" w:hAnsi="Times New Roman"/>
          <w:bCs/>
          <w:sz w:val="24"/>
          <w:szCs w:val="24"/>
        </w:rPr>
        <w:t>Additionally,</w:t>
      </w:r>
      <w:r w:rsidRPr="00505347">
        <w:rPr>
          <w:rFonts w:ascii="Times New Roman" w:hAnsi="Times New Roman"/>
          <w:bCs/>
          <w:sz w:val="24"/>
          <w:szCs w:val="24"/>
        </w:rPr>
        <w:t xml:space="preserve"> panel providers may offer an “early bird” drawing to help with participation/avoid no-shows. The amount offered would be equal to or less than the token of appreciation. FDA will provide empirical evidence to justify proposed incentives beyond these standards. In certain instances of difficult-to-recruit populations, FDA may propose incentives at a higher rate if </w:t>
      </w:r>
      <w:r w:rsidRPr="00505347" w:rsidR="00F54DD4">
        <w:rPr>
          <w:rFonts w:ascii="Times New Roman" w:hAnsi="Times New Roman"/>
          <w:bCs/>
          <w:sz w:val="24"/>
          <w:szCs w:val="24"/>
        </w:rPr>
        <w:t>a justification</w:t>
      </w:r>
      <w:r w:rsidRPr="00505347">
        <w:rPr>
          <w:rFonts w:ascii="Times New Roman" w:hAnsi="Times New Roman"/>
          <w:bCs/>
          <w:sz w:val="24"/>
          <w:szCs w:val="24"/>
        </w:rPr>
        <w:t xml:space="preserve"> is provided that larger incentives are necessary for successful recruitment.  </w:t>
      </w:r>
    </w:p>
    <w:p w:rsidR="005C0FF9" w:rsidRPr="00505347" w14:paraId="02C5AE4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Cs/>
          <w:sz w:val="24"/>
          <w:szCs w:val="24"/>
          <w:u w:val="single"/>
        </w:rPr>
      </w:pPr>
      <w:bookmarkStart w:id="14" w:name="_Toc239649231"/>
      <w:r w:rsidRPr="00505347">
        <w:rPr>
          <w:rFonts w:ascii="Times New Roman" w:hAnsi="Times New Roman"/>
          <w:bCs/>
          <w:sz w:val="24"/>
          <w:szCs w:val="24"/>
        </w:rPr>
        <w:t xml:space="preserve">10.  </w:t>
      </w:r>
      <w:r w:rsidRPr="00505347">
        <w:rPr>
          <w:rFonts w:ascii="Times New Roman" w:hAnsi="Times New Roman"/>
          <w:bCs/>
          <w:sz w:val="24"/>
          <w:szCs w:val="24"/>
          <w:u w:val="single"/>
        </w:rPr>
        <w:t>Assurance of Confidentiality Provided to Respondents</w:t>
      </w:r>
      <w:bookmarkEnd w:id="14"/>
    </w:p>
    <w:p w:rsidR="005C0FF9" w:rsidRPr="00505347" w14:paraId="74BCC54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szCs w:val="24"/>
        </w:rPr>
      </w:pPr>
    </w:p>
    <w:p w:rsidR="00D52A42" w:rsidRPr="00505347" w:rsidP="00D52A42" w14:paraId="7924993F" w14:textId="296F71E0">
      <w:pPr>
        <w:rPr>
          <w:rFonts w:ascii="Times New Roman" w:hAnsi="Times New Roman"/>
          <w:bCs/>
          <w:sz w:val="24"/>
          <w:szCs w:val="24"/>
        </w:rPr>
      </w:pPr>
      <w:r w:rsidRPr="00505347">
        <w:rPr>
          <w:rFonts w:ascii="Times New Roman" w:hAnsi="Times New Roman"/>
          <w:bCs/>
          <w:sz w:val="24"/>
          <w:szCs w:val="24"/>
        </w:rPr>
        <w:t xml:space="preserve">In developing this study, CTP consulted the agency Privacy Officer to identify potential risks to the privacy of participants and other individuals whose information may be handled by or on behalf of FDA in the performance of this study. FDA designed the study to minimize privacy risks in keeping with the Fair Information Practice Principles (FIPPs) and applying controls selected from the National Institute of Standards and Technology (NIST), Special Publication 800-53, Security and Privacy Controls for Federal Information Systems and Organizations. CTP also identified privacy compliance requirements and coordinated with FDA’s Privacy Officer to </w:t>
      </w:r>
      <w:r w:rsidRPr="00505347">
        <w:rPr>
          <w:rFonts w:ascii="Times New Roman" w:hAnsi="Times New Roman"/>
          <w:bCs/>
          <w:sz w:val="24"/>
          <w:szCs w:val="24"/>
        </w:rPr>
        <w:t xml:space="preserve">ensure responsible offices in CTP satisfy all in accordance with law and policy. </w:t>
      </w:r>
      <w:r w:rsidRPr="00505347" w:rsidR="00842F6E">
        <w:rPr>
          <w:rFonts w:ascii="Times New Roman" w:hAnsi="Times New Roman"/>
          <w:bCs/>
          <w:sz w:val="24"/>
          <w:szCs w:val="24"/>
        </w:rPr>
        <w:t>FDA submitted</w:t>
      </w:r>
      <w:r w:rsidRPr="00505347" w:rsidR="00E56BEF">
        <w:rPr>
          <w:rFonts w:ascii="Times New Roman" w:hAnsi="Times New Roman"/>
          <w:bCs/>
          <w:sz w:val="24"/>
          <w:szCs w:val="24"/>
        </w:rPr>
        <w:t xml:space="preserve"> a</w:t>
      </w:r>
      <w:r w:rsidRPr="00505347" w:rsidR="00842F6E">
        <w:rPr>
          <w:rFonts w:ascii="Times New Roman" w:hAnsi="Times New Roman"/>
          <w:bCs/>
          <w:sz w:val="24"/>
          <w:szCs w:val="24"/>
        </w:rPr>
        <w:t xml:space="preserve"> Privacy Impact Assessment to the privacy office that has been approved by the Department of Health and Human Services </w:t>
      </w:r>
      <w:r w:rsidRPr="00505347" w:rsidR="00E56BEF">
        <w:rPr>
          <w:rFonts w:ascii="Times New Roman" w:hAnsi="Times New Roman"/>
          <w:bCs/>
          <w:sz w:val="24"/>
          <w:szCs w:val="24"/>
        </w:rPr>
        <w:t>on 4/26/2023</w:t>
      </w:r>
      <w:r w:rsidRPr="00505347" w:rsidR="00842F6E">
        <w:rPr>
          <w:rFonts w:ascii="Times New Roman" w:hAnsi="Times New Roman"/>
          <w:bCs/>
          <w:sz w:val="24"/>
          <w:szCs w:val="24"/>
        </w:rPr>
        <w:t>.</w:t>
      </w:r>
    </w:p>
    <w:p w:rsidR="00DA346F" w:rsidRPr="00505347" w:rsidP="00D52A42" w14:paraId="0F0F1FFB" w14:textId="77777777">
      <w:pPr>
        <w:rPr>
          <w:rFonts w:ascii="Times New Roman" w:hAnsi="Times New Roman"/>
          <w:bCs/>
          <w:sz w:val="24"/>
          <w:szCs w:val="24"/>
        </w:rPr>
      </w:pPr>
    </w:p>
    <w:p w:rsidR="00D52A42" w:rsidRPr="00505347" w:rsidP="00D52A42" w14:paraId="0C18074B" w14:textId="21AED0D3">
      <w:pPr>
        <w:rPr>
          <w:rFonts w:ascii="Times New Roman" w:hAnsi="Times New Roman"/>
          <w:bCs/>
          <w:sz w:val="24"/>
          <w:szCs w:val="24"/>
        </w:rPr>
      </w:pPr>
      <w:r w:rsidRPr="00505347">
        <w:rPr>
          <w:rFonts w:ascii="Times New Roman" w:hAnsi="Times New Roman"/>
          <w:bCs/>
          <w:sz w:val="24"/>
          <w:szCs w:val="24"/>
        </w:rPr>
        <w:t xml:space="preserve">Privacy Act Applicability </w:t>
      </w:r>
      <w:r w:rsidR="00505347">
        <w:rPr>
          <w:rFonts w:ascii="Times New Roman" w:hAnsi="Times New Roman"/>
          <w:bCs/>
          <w:sz w:val="24"/>
          <w:szCs w:val="24"/>
        </w:rPr>
        <w:br/>
      </w:r>
    </w:p>
    <w:p w:rsidR="00D52A42" w:rsidRPr="00505347" w:rsidP="00D52A42" w14:paraId="10DC7009" w14:textId="2B9B1A46">
      <w:pPr>
        <w:rPr>
          <w:rFonts w:ascii="Times New Roman" w:hAnsi="Times New Roman"/>
          <w:bCs/>
          <w:sz w:val="24"/>
          <w:szCs w:val="24"/>
        </w:rPr>
      </w:pPr>
      <w:r w:rsidRPr="00505347">
        <w:rPr>
          <w:rFonts w:ascii="Times New Roman" w:hAnsi="Times New Roman"/>
          <w:bCs/>
          <w:sz w:val="24"/>
          <w:szCs w:val="24"/>
        </w:rPr>
        <w:t>The information collection is not subject to the Privacy Act of 1974. Hence, no Privacy Act Statement is required to be displayed on the form, website, mobile application or other point at which information</w:t>
      </w:r>
      <w:r w:rsidRPr="00505347" w:rsidR="00DA346F">
        <w:rPr>
          <w:rFonts w:ascii="Times New Roman" w:hAnsi="Times New Roman"/>
          <w:bCs/>
          <w:sz w:val="24"/>
          <w:szCs w:val="24"/>
        </w:rPr>
        <w:t xml:space="preserve"> is collected</w:t>
      </w:r>
      <w:r w:rsidRPr="00505347">
        <w:rPr>
          <w:rFonts w:ascii="Times New Roman" w:hAnsi="Times New Roman"/>
          <w:bCs/>
          <w:sz w:val="24"/>
          <w:szCs w:val="24"/>
        </w:rPr>
        <w:t>.</w:t>
      </w:r>
    </w:p>
    <w:p w:rsidR="00D52A42" w:rsidRPr="00505347" w:rsidP="00D52A42" w14:paraId="459EB4CE" w14:textId="77777777">
      <w:pPr>
        <w:rPr>
          <w:rFonts w:ascii="Times New Roman" w:hAnsi="Times New Roman"/>
          <w:bCs/>
          <w:sz w:val="24"/>
          <w:szCs w:val="24"/>
        </w:rPr>
      </w:pPr>
    </w:p>
    <w:p w:rsidR="00D52A42" w:rsidRPr="00505347" w:rsidP="00D52A42" w14:paraId="73C2CE0D" w14:textId="4A8E0592">
      <w:pPr>
        <w:rPr>
          <w:rFonts w:ascii="Times New Roman" w:hAnsi="Times New Roman"/>
          <w:bCs/>
          <w:sz w:val="24"/>
          <w:szCs w:val="24"/>
        </w:rPr>
      </w:pPr>
      <w:r w:rsidRPr="00505347">
        <w:rPr>
          <w:rFonts w:ascii="Times New Roman" w:hAnsi="Times New Roman"/>
          <w:bCs/>
          <w:sz w:val="24"/>
          <w:szCs w:val="24"/>
        </w:rPr>
        <w:t>PII Collection</w:t>
      </w:r>
      <w:r w:rsidR="00505347">
        <w:rPr>
          <w:rFonts w:ascii="Times New Roman" w:hAnsi="Times New Roman"/>
          <w:bCs/>
          <w:sz w:val="24"/>
          <w:szCs w:val="24"/>
        </w:rPr>
        <w:br/>
      </w:r>
    </w:p>
    <w:p w:rsidR="00DA346F" w:rsidRPr="00505347" w:rsidP="00D52A42" w14:paraId="59B01B3A" w14:textId="34A6B18D">
      <w:pPr>
        <w:rPr>
          <w:rFonts w:ascii="Times New Roman" w:hAnsi="Times New Roman"/>
          <w:bCs/>
          <w:sz w:val="24"/>
          <w:szCs w:val="24"/>
        </w:rPr>
      </w:pPr>
      <w:r w:rsidRPr="00505347">
        <w:rPr>
          <w:rFonts w:ascii="Times New Roman" w:hAnsi="Times New Roman"/>
          <w:bCs/>
          <w:sz w:val="24"/>
          <w:szCs w:val="24"/>
        </w:rPr>
        <w:t xml:space="preserve">For respondent enrollment, PII will be collected on an as needed basis during the enrollment/screening process. Mailing address and/or e-mail addresses may be collected for contacting the respondent regarding enrollment details (e.g. directions, schedule). PII will be collected during the screening process to assess study eligibility. PII collected as part of the respondent enrollment will not be maintained or linked to other study information. </w:t>
      </w:r>
      <w:r w:rsidRPr="00505347">
        <w:rPr>
          <w:rFonts w:ascii="Times New Roman" w:hAnsi="Times New Roman"/>
          <w:bCs/>
          <w:sz w:val="24"/>
          <w:szCs w:val="24"/>
        </w:rPr>
        <w:t xml:space="preserve">Contractors and subcontractors that collect data on behalf of CTP </w:t>
      </w:r>
      <w:r w:rsidRPr="00505347" w:rsidR="0056666F">
        <w:rPr>
          <w:rFonts w:ascii="Times New Roman" w:hAnsi="Times New Roman"/>
          <w:bCs/>
          <w:sz w:val="24"/>
          <w:szCs w:val="24"/>
        </w:rPr>
        <w:t xml:space="preserve">are contractually prohibited from </w:t>
      </w:r>
      <w:r w:rsidRPr="00505347">
        <w:rPr>
          <w:rFonts w:ascii="Times New Roman" w:hAnsi="Times New Roman"/>
          <w:bCs/>
          <w:sz w:val="24"/>
          <w:szCs w:val="24"/>
        </w:rPr>
        <w:t>pass</w:t>
      </w:r>
      <w:r w:rsidRPr="00505347" w:rsidR="0056666F">
        <w:rPr>
          <w:rFonts w:ascii="Times New Roman" w:hAnsi="Times New Roman"/>
          <w:bCs/>
          <w:sz w:val="24"/>
          <w:szCs w:val="24"/>
        </w:rPr>
        <w:t>ing</w:t>
      </w:r>
      <w:r w:rsidRPr="00505347">
        <w:rPr>
          <w:rFonts w:ascii="Times New Roman" w:hAnsi="Times New Roman"/>
          <w:bCs/>
          <w:sz w:val="24"/>
          <w:szCs w:val="24"/>
        </w:rPr>
        <w:t xml:space="preserve"> along any PII, and at the most </w:t>
      </w:r>
      <w:r w:rsidRPr="00505347" w:rsidR="00116F0B">
        <w:rPr>
          <w:rFonts w:ascii="Times New Roman" w:hAnsi="Times New Roman"/>
          <w:bCs/>
          <w:sz w:val="24"/>
          <w:szCs w:val="24"/>
        </w:rPr>
        <w:t xml:space="preserve">FDA </w:t>
      </w:r>
      <w:r w:rsidRPr="00505347">
        <w:rPr>
          <w:rFonts w:ascii="Times New Roman" w:hAnsi="Times New Roman"/>
          <w:bCs/>
          <w:sz w:val="24"/>
          <w:szCs w:val="24"/>
        </w:rPr>
        <w:t xml:space="preserve">receive ID numbers. For these collections, </w:t>
      </w:r>
      <w:r w:rsidRPr="00505347" w:rsidR="0056666F">
        <w:rPr>
          <w:rFonts w:ascii="Times New Roman" w:hAnsi="Times New Roman"/>
          <w:bCs/>
          <w:sz w:val="24"/>
          <w:szCs w:val="24"/>
        </w:rPr>
        <w:t>FDA does not</w:t>
      </w:r>
      <w:r w:rsidRPr="00505347">
        <w:rPr>
          <w:rFonts w:ascii="Times New Roman" w:hAnsi="Times New Roman"/>
          <w:bCs/>
          <w:sz w:val="24"/>
          <w:szCs w:val="24"/>
        </w:rPr>
        <w:t xml:space="preserve"> have any systems </w:t>
      </w:r>
      <w:r w:rsidRPr="00505347" w:rsidR="0056666F">
        <w:rPr>
          <w:rFonts w:ascii="Times New Roman" w:hAnsi="Times New Roman"/>
          <w:bCs/>
          <w:sz w:val="24"/>
          <w:szCs w:val="24"/>
        </w:rPr>
        <w:t xml:space="preserve">to </w:t>
      </w:r>
      <w:r w:rsidRPr="00505347">
        <w:rPr>
          <w:rFonts w:ascii="Times New Roman" w:hAnsi="Times New Roman"/>
          <w:bCs/>
          <w:sz w:val="24"/>
          <w:szCs w:val="24"/>
        </w:rPr>
        <w:t xml:space="preserve">maintain or retrieve PII. </w:t>
      </w:r>
    </w:p>
    <w:p w:rsidR="00D52A42" w:rsidRPr="00505347" w:rsidP="00D52A42" w14:paraId="1367BF30" w14:textId="3E4434F3">
      <w:pPr>
        <w:rPr>
          <w:rFonts w:ascii="Times New Roman" w:hAnsi="Times New Roman"/>
          <w:bCs/>
          <w:sz w:val="24"/>
          <w:szCs w:val="24"/>
        </w:rPr>
      </w:pPr>
      <w:r w:rsidRPr="00505347">
        <w:rPr>
          <w:rFonts w:ascii="Times New Roman" w:hAnsi="Times New Roman"/>
          <w:bCs/>
          <w:sz w:val="24"/>
          <w:szCs w:val="24"/>
        </w:rPr>
        <w:t xml:space="preserve"> </w:t>
      </w:r>
    </w:p>
    <w:p w:rsidR="00D52A42" w:rsidRPr="00505347" w:rsidP="00D52A42" w14:paraId="0E1E4EA9" w14:textId="7110E81E">
      <w:pPr>
        <w:rPr>
          <w:rFonts w:ascii="Times New Roman" w:hAnsi="Times New Roman"/>
          <w:bCs/>
          <w:sz w:val="24"/>
          <w:szCs w:val="24"/>
        </w:rPr>
      </w:pPr>
      <w:r w:rsidRPr="00505347">
        <w:rPr>
          <w:rFonts w:ascii="Times New Roman" w:hAnsi="Times New Roman"/>
          <w:bCs/>
          <w:sz w:val="24"/>
          <w:szCs w:val="24"/>
        </w:rPr>
        <w:t>For data quality management, PII in the form of audio recordings (</w:t>
      </w:r>
      <w:r w:rsidRPr="00505347" w:rsidR="000D01FC">
        <w:rPr>
          <w:rFonts w:ascii="Times New Roman" w:hAnsi="Times New Roman"/>
          <w:bCs/>
          <w:sz w:val="24"/>
          <w:szCs w:val="24"/>
        </w:rPr>
        <w:t>biometric</w:t>
      </w:r>
      <w:r w:rsidRPr="00505347">
        <w:rPr>
          <w:rFonts w:ascii="Times New Roman" w:hAnsi="Times New Roman"/>
          <w:bCs/>
          <w:sz w:val="24"/>
          <w:szCs w:val="24"/>
        </w:rPr>
        <w:t xml:space="preserve"> identifiers) may be used as a means of quality control and/or data assurance. Permission (active consent) for this type of PII is obtained from all respondents. Respondents must agree to have study activities audio recorded. Audio files are used to produce a transcript </w:t>
      </w:r>
      <w:r w:rsidRPr="00505347" w:rsidR="000D01FC">
        <w:rPr>
          <w:rFonts w:ascii="Times New Roman" w:hAnsi="Times New Roman"/>
          <w:bCs/>
          <w:sz w:val="24"/>
          <w:szCs w:val="24"/>
        </w:rPr>
        <w:t>for</w:t>
      </w:r>
      <w:r w:rsidRPr="00505347">
        <w:rPr>
          <w:rFonts w:ascii="Times New Roman" w:hAnsi="Times New Roman"/>
          <w:bCs/>
          <w:sz w:val="24"/>
          <w:szCs w:val="24"/>
        </w:rPr>
        <w:t xml:space="preserve"> developing a report and then destroyed. Audio recordings, including any transcripts made from the audio recordings, will not be linked to any other PII or transmitted.   </w:t>
      </w:r>
    </w:p>
    <w:p w:rsidR="00D52A42" w:rsidRPr="00505347" w:rsidP="00D52A42" w14:paraId="3BBC620A" w14:textId="77777777">
      <w:pPr>
        <w:rPr>
          <w:rFonts w:ascii="Times New Roman" w:hAnsi="Times New Roman"/>
          <w:bCs/>
          <w:sz w:val="24"/>
          <w:szCs w:val="24"/>
        </w:rPr>
      </w:pPr>
    </w:p>
    <w:p w:rsidR="00D52A42" w:rsidRPr="00505347" w:rsidP="00D52A42" w14:paraId="4509FFC3" w14:textId="79F62D02">
      <w:pPr>
        <w:rPr>
          <w:rFonts w:ascii="Times New Roman" w:hAnsi="Times New Roman"/>
          <w:bCs/>
          <w:sz w:val="24"/>
          <w:szCs w:val="24"/>
        </w:rPr>
      </w:pPr>
      <w:r w:rsidRPr="00505347">
        <w:rPr>
          <w:rFonts w:ascii="Times New Roman" w:hAnsi="Times New Roman"/>
          <w:bCs/>
          <w:sz w:val="24"/>
          <w:szCs w:val="24"/>
        </w:rPr>
        <w:t>For study implementation, PII in the form of e-mail and IP addresses and/or zip codes may be collected on a</w:t>
      </w:r>
      <w:r w:rsidRPr="00505347" w:rsidR="00DA346F">
        <w:rPr>
          <w:rFonts w:ascii="Times New Roman" w:hAnsi="Times New Roman"/>
          <w:bCs/>
          <w:sz w:val="24"/>
          <w:szCs w:val="24"/>
        </w:rPr>
        <w:t>n</w:t>
      </w:r>
      <w:r w:rsidRPr="00505347">
        <w:rPr>
          <w:rFonts w:ascii="Times New Roman" w:hAnsi="Times New Roman"/>
          <w:bCs/>
          <w:sz w:val="24"/>
          <w:szCs w:val="24"/>
        </w:rPr>
        <w:t xml:space="preserve"> as needed basis for study implementation. This type of PII may be checked against respondent data to avoid duplicates and reduce fraudulent activity. If multiple e-mails have the same IP address, researchers will review the data, retain the first recorded response, and remove duplicates from the final analytical dataset. Researchers may also contact respondents to convey follow-up information about the study or if there is an issue with incentive delivery. PII collected as part of the study implementation will not be included in the dataset used for analysis or maintained. There will be no secondary uses, PII will only be used to for primary study purposes.</w:t>
      </w:r>
    </w:p>
    <w:p w:rsidR="00501C4D" w:rsidRPr="00505347" w:rsidP="00D52A42" w14:paraId="111B16FF" w14:textId="77777777">
      <w:pPr>
        <w:rPr>
          <w:rFonts w:ascii="Times New Roman" w:hAnsi="Times New Roman"/>
          <w:bCs/>
          <w:sz w:val="24"/>
          <w:szCs w:val="24"/>
        </w:rPr>
      </w:pPr>
    </w:p>
    <w:p w:rsidR="00D52A42" w:rsidRPr="00505347" w:rsidP="00D52A42" w14:paraId="2BA5A56C" w14:textId="7429AE2B">
      <w:pPr>
        <w:rPr>
          <w:rFonts w:ascii="Times New Roman" w:hAnsi="Times New Roman"/>
          <w:bCs/>
          <w:sz w:val="24"/>
          <w:szCs w:val="24"/>
        </w:rPr>
      </w:pPr>
      <w:r w:rsidRPr="00505347">
        <w:rPr>
          <w:rFonts w:ascii="Times New Roman" w:hAnsi="Times New Roman"/>
          <w:bCs/>
          <w:sz w:val="24"/>
          <w:szCs w:val="24"/>
        </w:rPr>
        <w:t>FDA has minimized the risk of unnecessary access, disclosure, use or proliferation PII about respondents. FDA and other parties involved in the study collect and maintain study records containing PII only as long as required. For many studies that information is not retained once the study is completed (e.g., email addresses needed to re-contact participants for the follow-up session of a study. PII is always removed</w:t>
      </w:r>
      <w:r w:rsidRPr="00505347" w:rsidR="00DA346F">
        <w:rPr>
          <w:rFonts w:ascii="Times New Roman" w:hAnsi="Times New Roman"/>
          <w:bCs/>
          <w:sz w:val="24"/>
          <w:szCs w:val="24"/>
        </w:rPr>
        <w:t xml:space="preserve"> before any data is sent to FDA. </w:t>
      </w:r>
      <w:r w:rsidRPr="00505347">
        <w:rPr>
          <w:rFonts w:ascii="Times New Roman" w:hAnsi="Times New Roman"/>
          <w:bCs/>
          <w:sz w:val="24"/>
          <w:szCs w:val="24"/>
        </w:rPr>
        <w:t xml:space="preserve">That PII may be is </w:t>
      </w:r>
      <w:r w:rsidRPr="00505347">
        <w:rPr>
          <w:rFonts w:ascii="Times New Roman" w:hAnsi="Times New Roman"/>
          <w:bCs/>
          <w:sz w:val="24"/>
          <w:szCs w:val="24"/>
        </w:rPr>
        <w:t>linked to data by a code, only when necessary, or more commonly fully disassociated from the data.</w:t>
      </w:r>
    </w:p>
    <w:p w:rsidR="00501C4D" w:rsidRPr="00505347" w:rsidP="00D52A42" w14:paraId="313BAF69" w14:textId="77777777">
      <w:pPr>
        <w:rPr>
          <w:rFonts w:ascii="Times New Roman" w:hAnsi="Times New Roman"/>
          <w:bCs/>
          <w:sz w:val="24"/>
          <w:szCs w:val="24"/>
        </w:rPr>
      </w:pPr>
    </w:p>
    <w:p w:rsidR="00D52A42" w:rsidRPr="00505347" w:rsidP="00D52A42" w14:paraId="0CC7E1F3" w14:textId="4578807D">
      <w:pPr>
        <w:rPr>
          <w:rFonts w:ascii="Times New Roman" w:hAnsi="Times New Roman"/>
          <w:bCs/>
          <w:sz w:val="24"/>
          <w:szCs w:val="24"/>
        </w:rPr>
      </w:pPr>
      <w:r w:rsidRPr="00505347">
        <w:rPr>
          <w:rFonts w:ascii="Times New Roman" w:hAnsi="Times New Roman"/>
          <w:bCs/>
          <w:sz w:val="24"/>
          <w:szCs w:val="24"/>
        </w:rPr>
        <w:t>Notice and Transparency</w:t>
      </w:r>
      <w:r w:rsidR="00505347">
        <w:rPr>
          <w:rFonts w:ascii="Times New Roman" w:hAnsi="Times New Roman"/>
          <w:bCs/>
          <w:sz w:val="24"/>
          <w:szCs w:val="24"/>
        </w:rPr>
        <w:br/>
      </w:r>
    </w:p>
    <w:p w:rsidR="00D52A42" w:rsidRPr="00505347" w:rsidP="00D52A42" w14:paraId="6B33E637" w14:textId="77777777">
      <w:pPr>
        <w:rPr>
          <w:rFonts w:ascii="Times New Roman" w:hAnsi="Times New Roman"/>
          <w:bCs/>
          <w:sz w:val="24"/>
          <w:szCs w:val="24"/>
        </w:rPr>
      </w:pPr>
      <w:r w:rsidRPr="00505347">
        <w:rPr>
          <w:rFonts w:ascii="Times New Roman" w:hAnsi="Times New Roman"/>
          <w:bCs/>
          <w:sz w:val="24"/>
          <w:szCs w:val="24"/>
        </w:rPr>
        <w:t>Neither FDA nor direct contractors, including 3rd parties share PII gathered via this collection with any other individuals or entities.</w:t>
      </w:r>
    </w:p>
    <w:p w:rsidR="001B7696" w:rsidRPr="00505347" w:rsidP="00D52A42" w14:paraId="491CB0D8" w14:textId="77777777">
      <w:pPr>
        <w:rPr>
          <w:rFonts w:ascii="Times New Roman" w:hAnsi="Times New Roman"/>
          <w:bCs/>
          <w:sz w:val="24"/>
          <w:szCs w:val="24"/>
        </w:rPr>
      </w:pPr>
    </w:p>
    <w:p w:rsidR="00D52A42" w:rsidRPr="00505347" w:rsidP="7AE98EAD" w14:paraId="1B8855BF" w14:textId="05083196">
      <w:pPr>
        <w:rPr>
          <w:rFonts w:ascii="Times New Roman" w:hAnsi="Times New Roman"/>
          <w:bCs/>
          <w:sz w:val="24"/>
          <w:szCs w:val="24"/>
        </w:rPr>
      </w:pPr>
      <w:r w:rsidRPr="00505347">
        <w:rPr>
          <w:rFonts w:ascii="Times New Roman" w:hAnsi="Times New Roman"/>
          <w:bCs/>
          <w:sz w:val="24"/>
          <w:szCs w:val="24"/>
        </w:rPr>
        <w:t xml:space="preserve">All PII subjects are provided notice regarding the collection and use of the information they submit. </w:t>
      </w:r>
      <w:r w:rsidRPr="00505347" w:rsidR="001B7696">
        <w:rPr>
          <w:rFonts w:ascii="Times New Roman" w:hAnsi="Times New Roman"/>
          <w:bCs/>
          <w:sz w:val="24"/>
          <w:szCs w:val="24"/>
        </w:rPr>
        <w:t xml:space="preserve">A panel provider may collect IP addresses when participants register for the panel, but FDA does not receive IP addresses. FDA and </w:t>
      </w:r>
      <w:r w:rsidRPr="00505347" w:rsidR="000D01FC">
        <w:rPr>
          <w:rFonts w:ascii="Times New Roman" w:hAnsi="Times New Roman"/>
          <w:bCs/>
          <w:sz w:val="24"/>
          <w:szCs w:val="24"/>
        </w:rPr>
        <w:t>its</w:t>
      </w:r>
      <w:r w:rsidRPr="00505347" w:rsidR="001B7696">
        <w:rPr>
          <w:rFonts w:ascii="Times New Roman" w:hAnsi="Times New Roman"/>
          <w:bCs/>
          <w:sz w:val="24"/>
          <w:szCs w:val="24"/>
        </w:rPr>
        <w:t xml:space="preserve"> contractors will notify participants if IP addresses are recorded. </w:t>
      </w:r>
      <w:r w:rsidRPr="00505347" w:rsidR="5968403D">
        <w:rPr>
          <w:rFonts w:ascii="Times New Roman" w:hAnsi="Times New Roman"/>
          <w:bCs/>
          <w:sz w:val="24"/>
          <w:szCs w:val="24"/>
        </w:rPr>
        <w:t xml:space="preserve">FDA sponsorship will be disclosed prior to data collection when appropriate. In some cases, FDA sponsorship will not be made known to respondents prior to data collection out of concern for the potential introduction of bias to study results.  In such cases, FDA sponsorship will be made known after the data are collected. </w:t>
      </w:r>
    </w:p>
    <w:p w:rsidR="00F54DD4" w:rsidRPr="00505347" w:rsidP="00D52A42" w14:paraId="5114CEDF" w14:textId="77777777">
      <w:pPr>
        <w:rPr>
          <w:rFonts w:ascii="Times New Roman" w:hAnsi="Times New Roman"/>
          <w:bCs/>
          <w:sz w:val="24"/>
          <w:szCs w:val="24"/>
        </w:rPr>
      </w:pPr>
    </w:p>
    <w:p w:rsidR="00D52A42" w:rsidRPr="00505347" w:rsidP="00D52A42" w14:paraId="2D2014C2" w14:textId="3AE61C11">
      <w:pPr>
        <w:rPr>
          <w:rFonts w:ascii="Times New Roman" w:hAnsi="Times New Roman"/>
          <w:bCs/>
          <w:sz w:val="24"/>
          <w:szCs w:val="24"/>
        </w:rPr>
      </w:pPr>
      <w:r w:rsidRPr="00505347">
        <w:rPr>
          <w:rFonts w:ascii="Times New Roman" w:hAnsi="Times New Roman"/>
          <w:bCs/>
          <w:sz w:val="24"/>
          <w:szCs w:val="24"/>
        </w:rPr>
        <w:t>Individual Participation and Control</w:t>
      </w:r>
      <w:r w:rsidR="00505347">
        <w:rPr>
          <w:rFonts w:ascii="Times New Roman" w:hAnsi="Times New Roman"/>
          <w:bCs/>
          <w:sz w:val="24"/>
          <w:szCs w:val="24"/>
        </w:rPr>
        <w:br/>
      </w:r>
    </w:p>
    <w:p w:rsidR="00D52A42" w:rsidRPr="00505347" w:rsidP="7AE98EAD" w14:paraId="2B4412CF" w14:textId="68DD2963">
      <w:pPr>
        <w:rPr>
          <w:rFonts w:ascii="Times New Roman" w:hAnsi="Times New Roman"/>
          <w:bCs/>
          <w:sz w:val="24"/>
          <w:szCs w:val="24"/>
        </w:rPr>
      </w:pPr>
      <w:r w:rsidRPr="00505347">
        <w:rPr>
          <w:rFonts w:ascii="Times New Roman" w:hAnsi="Times New Roman"/>
          <w:bCs/>
          <w:color w:val="000000" w:themeColor="text1"/>
          <w:sz w:val="24"/>
          <w:szCs w:val="24"/>
        </w:rPr>
        <w:t xml:space="preserve">While anonymity of respondents generally cannot be assured unless there is a statutory requirement associated with the information collection, information provided by respondents will be kept </w:t>
      </w:r>
      <w:r w:rsidRPr="00505347">
        <w:rPr>
          <w:rFonts w:ascii="Times New Roman" w:hAnsi="Times New Roman"/>
          <w:bCs/>
          <w:sz w:val="24"/>
          <w:szCs w:val="24"/>
        </w:rPr>
        <w:t>confidential,</w:t>
      </w:r>
      <w:r w:rsidRPr="00505347">
        <w:rPr>
          <w:rFonts w:ascii="Times New Roman" w:hAnsi="Times New Roman"/>
          <w:bCs/>
          <w:sz w:val="24"/>
          <w:szCs w:val="24"/>
          <w:u w:val="single"/>
        </w:rPr>
        <w:t xml:space="preserve"> </w:t>
      </w:r>
      <w:r w:rsidRPr="00505347">
        <w:rPr>
          <w:rFonts w:ascii="Times New Roman" w:hAnsi="Times New Roman"/>
          <w:bCs/>
          <w:color w:val="000000" w:themeColor="text1"/>
          <w:sz w:val="24"/>
          <w:szCs w:val="24"/>
        </w:rPr>
        <w:t>private and anonymous, to the extent allowable by law. This will be communicated to respondents by means of introductory letters, explanatory texts on the cover pages of questionnaires, and</w:t>
      </w:r>
      <w:r w:rsidRPr="00505347">
        <w:rPr>
          <w:rFonts w:ascii="Times New Roman" w:hAnsi="Times New Roman"/>
          <w:bCs/>
          <w:color w:val="8764B8"/>
          <w:sz w:val="24"/>
          <w:szCs w:val="24"/>
          <w:u w:val="single"/>
        </w:rPr>
        <w:t>/</w:t>
      </w:r>
      <w:r w:rsidRPr="00505347">
        <w:rPr>
          <w:rFonts w:ascii="Times New Roman" w:hAnsi="Times New Roman"/>
          <w:bCs/>
          <w:sz w:val="24"/>
          <w:szCs w:val="24"/>
        </w:rPr>
        <w:t xml:space="preserve">or </w:t>
      </w:r>
      <w:r w:rsidRPr="00505347">
        <w:rPr>
          <w:rFonts w:ascii="Times New Roman" w:hAnsi="Times New Roman"/>
          <w:bCs/>
          <w:color w:val="000000" w:themeColor="text1"/>
          <w:sz w:val="24"/>
          <w:szCs w:val="24"/>
        </w:rPr>
        <w:t>consent forms. Respondents also will be advised of the following: the nature of the activity; the purpose and use of the data collected; FDA sponsorship (when appropriate); and the fact that participation is voluntary at all times. Because responses are voluntary, respondents will be assured that there will be no penalties if they decide not to respond, either to the information collection or to any particular questions.</w:t>
      </w:r>
    </w:p>
    <w:p w:rsidR="00D52A42" w:rsidRPr="00505347" w:rsidP="7AE98EAD" w14:paraId="697560D7" w14:textId="5452C94E">
      <w:pPr>
        <w:rPr>
          <w:rFonts w:ascii="Times New Roman" w:hAnsi="Times New Roman"/>
          <w:bCs/>
          <w:sz w:val="24"/>
          <w:szCs w:val="24"/>
        </w:rPr>
      </w:pPr>
    </w:p>
    <w:p w:rsidR="00D52A42" w:rsidRPr="00505347" w:rsidP="00D52A42" w14:paraId="37B4AE9D" w14:textId="28CF9E28">
      <w:pPr>
        <w:rPr>
          <w:rFonts w:ascii="Times New Roman" w:hAnsi="Times New Roman"/>
          <w:bCs/>
          <w:sz w:val="24"/>
          <w:szCs w:val="24"/>
        </w:rPr>
      </w:pPr>
      <w:r w:rsidRPr="00505347">
        <w:rPr>
          <w:rFonts w:ascii="Times New Roman" w:hAnsi="Times New Roman"/>
          <w:bCs/>
          <w:sz w:val="24"/>
          <w:szCs w:val="24"/>
        </w:rPr>
        <w:t>Data Security</w:t>
      </w:r>
      <w:r w:rsidR="00505347">
        <w:rPr>
          <w:rFonts w:ascii="Times New Roman" w:hAnsi="Times New Roman"/>
          <w:bCs/>
          <w:sz w:val="24"/>
          <w:szCs w:val="24"/>
        </w:rPr>
        <w:br/>
      </w:r>
    </w:p>
    <w:p w:rsidR="00D52A42" w:rsidRPr="00505347" w:rsidP="00D52A42" w14:paraId="299B8292" w14:textId="1EFAE333">
      <w:pPr>
        <w:rPr>
          <w:rFonts w:ascii="Times New Roman" w:hAnsi="Times New Roman"/>
          <w:bCs/>
          <w:sz w:val="24"/>
          <w:szCs w:val="24"/>
        </w:rPr>
      </w:pPr>
      <w:r w:rsidRPr="00505347">
        <w:rPr>
          <w:rFonts w:ascii="Times New Roman" w:hAnsi="Times New Roman"/>
          <w:bCs/>
          <w:sz w:val="24"/>
          <w:szCs w:val="24"/>
        </w:rPr>
        <w:t>Contractors are required to maintain appropriate administrative, technical and physical safeguards to ensure the security and confidentiality of records. User roles and responsibilities will determine the type and content data and information necessary for job function (both PII and non-PII). Role-based access will determine and control who will access to PII on an as needed basis.</w:t>
      </w:r>
    </w:p>
    <w:p w:rsidR="00842F6E" w:rsidRPr="00505347" w:rsidP="00D52A42" w14:paraId="19EAD5C0" w14:textId="77777777">
      <w:pPr>
        <w:rPr>
          <w:rFonts w:ascii="Times New Roman" w:hAnsi="Times New Roman"/>
          <w:bCs/>
          <w:sz w:val="24"/>
          <w:szCs w:val="24"/>
        </w:rPr>
      </w:pPr>
    </w:p>
    <w:p w:rsidR="00842F6E" w:rsidRPr="00505347" w:rsidP="7AE98EAD" w14:paraId="32B616F4" w14:textId="6C9997F4">
      <w:pPr>
        <w:rPr>
          <w:rFonts w:ascii="Times New Roman" w:hAnsi="Times New Roman"/>
          <w:bCs/>
          <w:color w:val="000000" w:themeColor="text1"/>
          <w:sz w:val="24"/>
          <w:szCs w:val="24"/>
        </w:rPr>
      </w:pPr>
      <w:r w:rsidRPr="00505347">
        <w:rPr>
          <w:rFonts w:ascii="Times New Roman" w:hAnsi="Times New Roman"/>
          <w:bCs/>
          <w:color w:val="000000" w:themeColor="text1"/>
          <w:sz w:val="24"/>
          <w:szCs w:val="24"/>
        </w:rPr>
        <w:t xml:space="preserve">All project staff from a contractor conducting the information collection must take required measures to ensure the privacy and anonymity of data. PII will be limited to information that may be required in the process of respondent enrollment. PII will be accessible to contractors on an as needed basis and will not be linked to </w:t>
      </w:r>
      <w:r w:rsidRPr="00505347">
        <w:rPr>
          <w:rFonts w:ascii="Times New Roman" w:hAnsi="Times New Roman"/>
          <w:bCs/>
          <w:sz w:val="24"/>
          <w:szCs w:val="24"/>
        </w:rPr>
        <w:t>survey</w:t>
      </w:r>
      <w:r w:rsidRPr="00505347">
        <w:rPr>
          <w:rFonts w:ascii="Times New Roman" w:hAnsi="Times New Roman"/>
          <w:bCs/>
          <w:color w:val="000000" w:themeColor="text1"/>
          <w:sz w:val="24"/>
          <w:szCs w:val="24"/>
        </w:rPr>
        <w:t xml:space="preserve"> data. All PII will be destroyed following data collection</w:t>
      </w:r>
      <w:r w:rsidRPr="00505347">
        <w:rPr>
          <w:rFonts w:ascii="Times New Roman" w:hAnsi="Times New Roman"/>
          <w:bCs/>
          <w:sz w:val="24"/>
          <w:szCs w:val="24"/>
        </w:rPr>
        <w:t xml:space="preserve"> as soon as it is no longer necessary for the study</w:t>
      </w:r>
      <w:r w:rsidRPr="00505347">
        <w:rPr>
          <w:rFonts w:ascii="Times New Roman" w:hAnsi="Times New Roman"/>
          <w:bCs/>
          <w:color w:val="000000" w:themeColor="text1"/>
          <w:sz w:val="24"/>
          <w:szCs w:val="24"/>
        </w:rPr>
        <w:t xml:space="preserve">.  </w:t>
      </w:r>
    </w:p>
    <w:p w:rsidR="00842F6E" w:rsidRPr="00505347" w:rsidP="7AE98EAD" w14:paraId="312E76CA" w14:textId="0985ED68">
      <w:pPr>
        <w:rPr>
          <w:rFonts w:ascii="Times New Roman" w:hAnsi="Times New Roman"/>
          <w:bCs/>
          <w:color w:val="000000" w:themeColor="text1"/>
          <w:sz w:val="24"/>
          <w:szCs w:val="24"/>
        </w:rPr>
      </w:pPr>
    </w:p>
    <w:p w:rsidR="00D52A42" w:rsidRPr="00505347" w:rsidP="00D52A42" w14:paraId="10ED4707" w14:textId="79A9B8ED">
      <w:pPr>
        <w:rPr>
          <w:rFonts w:ascii="Times New Roman" w:hAnsi="Times New Roman"/>
          <w:bCs/>
          <w:sz w:val="24"/>
          <w:szCs w:val="24"/>
        </w:rPr>
      </w:pPr>
      <w:r w:rsidRPr="00505347">
        <w:rPr>
          <w:rFonts w:ascii="Times New Roman" w:hAnsi="Times New Roman"/>
          <w:bCs/>
          <w:sz w:val="24"/>
          <w:szCs w:val="24"/>
        </w:rPr>
        <w:t>All electronic and hard copy data will be maintained securely throughout the information collection and data processing phases. While under review, electronic data will be stored in locked files on secured computers and hard copy data will be maintained in secure building facilities in locked filing cabinets. As a further guarantee of privacy and anonymity, all presentation of data in reports will be in aggregate form, with no links to individuals. Reports will be used only for research purposes and for the development of communication messages.</w:t>
      </w:r>
    </w:p>
    <w:p w:rsidR="00501C4D" w:rsidRPr="00505347" w:rsidP="00D52A42" w14:paraId="11FAF4FF" w14:textId="44EAC83B">
      <w:pPr>
        <w:rPr>
          <w:rFonts w:ascii="Times New Roman" w:hAnsi="Times New Roman"/>
          <w:bCs/>
          <w:sz w:val="24"/>
          <w:szCs w:val="24"/>
        </w:rPr>
      </w:pPr>
      <w:r w:rsidRPr="00505347">
        <w:rPr>
          <w:rFonts w:ascii="Times New Roman" w:hAnsi="Times New Roman"/>
          <w:bCs/>
          <w:sz w:val="24"/>
          <w:szCs w:val="24"/>
        </w:rPr>
        <w:t xml:space="preserve">Interviews are typically considered exempt from the “Regulations for the Protection of Human Subjects” in accordance with 45 CFR 46.101(b)(3). </w:t>
      </w:r>
    </w:p>
    <w:p w:rsidR="002C26BF" w:rsidRPr="00505347" w:rsidP="00D52A42" w14:paraId="7E106376" w14:textId="77777777">
      <w:pPr>
        <w:rPr>
          <w:rFonts w:ascii="Times New Roman" w:hAnsi="Times New Roman"/>
          <w:bCs/>
          <w:sz w:val="24"/>
          <w:szCs w:val="24"/>
        </w:rPr>
      </w:pPr>
    </w:p>
    <w:p w:rsidR="00D52A42" w:rsidRPr="00505347" w:rsidP="00D52A42" w14:paraId="79CA9E92" w14:textId="7BF5C87A">
      <w:pPr>
        <w:rPr>
          <w:rFonts w:ascii="Times New Roman" w:hAnsi="Times New Roman"/>
          <w:bCs/>
          <w:sz w:val="24"/>
          <w:szCs w:val="24"/>
        </w:rPr>
      </w:pPr>
      <w:r w:rsidRPr="00505347">
        <w:rPr>
          <w:rFonts w:ascii="Times New Roman" w:hAnsi="Times New Roman"/>
          <w:bCs/>
          <w:sz w:val="24"/>
          <w:szCs w:val="24"/>
        </w:rPr>
        <w:t xml:space="preserve">Before data are collected, FDA researchers will obtain either an exemption or approval for </w:t>
      </w:r>
      <w:r w:rsidRPr="00505347" w:rsidR="001633FC">
        <w:rPr>
          <w:rFonts w:ascii="Times New Roman" w:hAnsi="Times New Roman"/>
          <w:bCs/>
          <w:sz w:val="24"/>
          <w:szCs w:val="24"/>
        </w:rPr>
        <w:t xml:space="preserve">the </w:t>
      </w:r>
      <w:r w:rsidRPr="00505347">
        <w:rPr>
          <w:rFonts w:ascii="Times New Roman" w:hAnsi="Times New Roman"/>
          <w:bCs/>
          <w:sz w:val="24"/>
          <w:szCs w:val="24"/>
        </w:rPr>
        <w:t xml:space="preserve">research from FDA’s </w:t>
      </w:r>
      <w:r w:rsidRPr="00505347" w:rsidR="00E1447B">
        <w:rPr>
          <w:rFonts w:ascii="Times New Roman" w:hAnsi="Times New Roman"/>
          <w:bCs/>
          <w:sz w:val="24"/>
          <w:szCs w:val="24"/>
        </w:rPr>
        <w:t xml:space="preserve">Institutional </w:t>
      </w:r>
      <w:r w:rsidRPr="00505347">
        <w:rPr>
          <w:rFonts w:ascii="Times New Roman" w:hAnsi="Times New Roman"/>
          <w:bCs/>
          <w:sz w:val="24"/>
          <w:szCs w:val="24"/>
        </w:rPr>
        <w:t>Review Board (IRB)</w:t>
      </w:r>
      <w:r w:rsidRPr="00505347" w:rsidR="001633FC">
        <w:rPr>
          <w:rFonts w:ascii="Times New Roman" w:hAnsi="Times New Roman"/>
          <w:bCs/>
          <w:sz w:val="24"/>
          <w:szCs w:val="24"/>
        </w:rPr>
        <w:t xml:space="preserve"> or an external accredited IRB. </w:t>
      </w:r>
    </w:p>
    <w:p w:rsidR="00501C4D" w:rsidRPr="00505347" w:rsidP="00D52A42" w14:paraId="79DFDACC" w14:textId="77777777">
      <w:pPr>
        <w:rPr>
          <w:rFonts w:ascii="Times New Roman" w:hAnsi="Times New Roman"/>
          <w:bCs/>
          <w:sz w:val="24"/>
          <w:szCs w:val="24"/>
        </w:rPr>
      </w:pPr>
    </w:p>
    <w:p w:rsidR="00501C4D" w:rsidRPr="00505347" w:rsidP="00D52A42" w14:paraId="1FA4E37C" w14:textId="20696F35">
      <w:pPr>
        <w:rPr>
          <w:bCs/>
        </w:rPr>
      </w:pPr>
      <w:r w:rsidRPr="00505347">
        <w:rPr>
          <w:rFonts w:ascii="Times New Roman" w:hAnsi="Times New Roman"/>
          <w:bCs/>
          <w:sz w:val="24"/>
          <w:szCs w:val="24"/>
        </w:rPr>
        <w:t>Minors (or children) are persons who have not attained the legal age for consent to treatments or procedures described in the study are covered under the applicable law of the jurisdiction in which the research will be conducted. Where FDA’s IRB determines that minors are capable of giving an assent, the IRB will determine whether adequate provisions are made for soliciting assent. Generally, assent to the research requires securing the signature of a minor in a separate assent form, in addition to the consent form the parent or legal guardian signs. An assent document should contain an explanation of the study, a description of what is required of the subject (e.g., what the child will experience (in what setting the survey will take place, whether the child's parents will be with him or her, etc.)), an explanation of any risks or mental anguish associated with the study topic, and an explanation of the benefits to the child or others.</w:t>
      </w:r>
    </w:p>
    <w:p w:rsidR="00501C4D" w:rsidRPr="00505347" w:rsidP="7AE98EAD" w14:paraId="51E7C6EA" w14:textId="4DDF41D3">
      <w:pPr>
        <w:rPr>
          <w:rFonts w:ascii="Times New Roman" w:hAnsi="Times New Roman"/>
          <w:bCs/>
          <w:sz w:val="24"/>
          <w:szCs w:val="24"/>
        </w:rPr>
      </w:pPr>
    </w:p>
    <w:p w:rsidR="005C0FF9" w:rsidRPr="00505347" w14:paraId="4CD064AA" w14:textId="56FB726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szCs w:val="24"/>
        </w:rPr>
      </w:pPr>
      <w:r w:rsidRPr="00505347">
        <w:rPr>
          <w:rFonts w:ascii="Times New Roman" w:hAnsi="Times New Roman"/>
          <w:bCs/>
          <w:sz w:val="24"/>
          <w:szCs w:val="24"/>
        </w:rPr>
        <w:t>Administrative safeguards include user training; system documentation that advises on proper use; implementation of Need to Know and Minimum Necessary principles when awarding access, and others. Technical Safeguards include use of multi-factor access authentication, firewalls, and network monitoring and intrusion detection tools. Physical controls include that all system servers are located at facilities protected by guards, locked facility doors, and climate controls. Other appropriate controls have been selected from the National Institute of Standards and Technology’s (NIST’s) Special Publication 800-53, as determined using Federal Information Processing Standard (FIPS) 199.</w:t>
      </w:r>
    </w:p>
    <w:p w:rsidR="00501C4D" w:rsidRPr="00505347" w14:paraId="076132F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szCs w:val="24"/>
        </w:rPr>
      </w:pPr>
    </w:p>
    <w:p w:rsidR="005C0FF9" w:rsidRPr="00505347" w14:paraId="71B2ABF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Cs/>
          <w:sz w:val="24"/>
          <w:szCs w:val="24"/>
          <w:u w:val="single"/>
        </w:rPr>
      </w:pPr>
      <w:bookmarkStart w:id="15" w:name="_Toc239649232"/>
      <w:r w:rsidRPr="00505347">
        <w:rPr>
          <w:rFonts w:ascii="Times New Roman" w:hAnsi="Times New Roman"/>
          <w:bCs/>
          <w:sz w:val="24"/>
          <w:szCs w:val="24"/>
        </w:rPr>
        <w:t xml:space="preserve">11.  </w:t>
      </w:r>
      <w:r w:rsidRPr="00505347">
        <w:rPr>
          <w:rFonts w:ascii="Times New Roman" w:hAnsi="Times New Roman"/>
          <w:bCs/>
          <w:sz w:val="24"/>
          <w:szCs w:val="24"/>
          <w:u w:val="single"/>
        </w:rPr>
        <w:t>Justification for Sensitive Questions</w:t>
      </w:r>
      <w:bookmarkEnd w:id="15"/>
    </w:p>
    <w:p w:rsidR="005C0FF9" w:rsidRPr="00505347" w14:paraId="6E7B22C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szCs w:val="24"/>
        </w:rPr>
      </w:pPr>
    </w:p>
    <w:p w:rsidR="00773576" w:rsidRPr="00505347" w:rsidP="00773576" w14:paraId="04F116AA" w14:textId="624F92D3">
      <w:pPr>
        <w:autoSpaceDE/>
        <w:autoSpaceDN/>
        <w:adjustRightInd/>
        <w:rPr>
          <w:rFonts w:ascii="Times New Roman" w:hAnsi="Times New Roman"/>
          <w:bCs/>
          <w:sz w:val="24"/>
          <w:szCs w:val="24"/>
        </w:rPr>
      </w:pPr>
      <w:r w:rsidRPr="00505347">
        <w:rPr>
          <w:rFonts w:ascii="Times New Roman" w:hAnsi="Times New Roman"/>
          <w:bCs/>
          <w:sz w:val="24"/>
          <w:szCs w:val="24"/>
        </w:rPr>
        <w:t xml:space="preserve">Some studies require the inclusion of people who match selected characteristics of the </w:t>
      </w:r>
      <w:r w:rsidRPr="00505347" w:rsidR="00587F8C">
        <w:rPr>
          <w:rFonts w:ascii="Times New Roman" w:hAnsi="Times New Roman"/>
          <w:bCs/>
          <w:sz w:val="24"/>
          <w:szCs w:val="24"/>
        </w:rPr>
        <w:t xml:space="preserve">intended </w:t>
      </w:r>
      <w:r w:rsidRPr="00505347">
        <w:rPr>
          <w:rFonts w:ascii="Times New Roman" w:hAnsi="Times New Roman"/>
          <w:bCs/>
          <w:sz w:val="24"/>
          <w:szCs w:val="24"/>
        </w:rPr>
        <w:t xml:space="preserve">audience that FDA is trying to reach. </w:t>
      </w:r>
      <w:r w:rsidRPr="00505347" w:rsidR="00EB78D8">
        <w:rPr>
          <w:rFonts w:ascii="Times New Roman" w:hAnsi="Times New Roman"/>
          <w:bCs/>
          <w:sz w:val="24"/>
          <w:szCs w:val="24"/>
        </w:rPr>
        <w:t>Efforts to match characteristics</w:t>
      </w:r>
      <w:r w:rsidRPr="00505347">
        <w:rPr>
          <w:rFonts w:ascii="Times New Roman" w:hAnsi="Times New Roman"/>
          <w:bCs/>
          <w:sz w:val="24"/>
          <w:szCs w:val="24"/>
        </w:rPr>
        <w:t xml:space="preserve"> may require asking question</w:t>
      </w:r>
      <w:r w:rsidRPr="00505347" w:rsidR="00F1375F">
        <w:rPr>
          <w:rFonts w:ascii="Times New Roman" w:hAnsi="Times New Roman"/>
          <w:bCs/>
          <w:sz w:val="24"/>
          <w:szCs w:val="24"/>
        </w:rPr>
        <w:t>s</w:t>
      </w:r>
      <w:r w:rsidRPr="00505347">
        <w:rPr>
          <w:rFonts w:ascii="Times New Roman" w:hAnsi="Times New Roman"/>
          <w:bCs/>
          <w:sz w:val="24"/>
          <w:szCs w:val="24"/>
        </w:rPr>
        <w:t xml:space="preserve"> </w:t>
      </w:r>
      <w:r w:rsidRPr="00505347" w:rsidR="00F1375F">
        <w:rPr>
          <w:rFonts w:ascii="Times New Roman" w:hAnsi="Times New Roman"/>
          <w:bCs/>
          <w:sz w:val="24"/>
          <w:szCs w:val="24"/>
        </w:rPr>
        <w:t xml:space="preserve">that may be considered sensitive, such as </w:t>
      </w:r>
      <w:r w:rsidRPr="00505347">
        <w:rPr>
          <w:rFonts w:ascii="Times New Roman" w:hAnsi="Times New Roman"/>
          <w:bCs/>
          <w:sz w:val="24"/>
          <w:szCs w:val="24"/>
        </w:rPr>
        <w:t>about race</w:t>
      </w:r>
      <w:r w:rsidRPr="00505347" w:rsidR="00F1375F">
        <w:rPr>
          <w:rFonts w:ascii="Times New Roman" w:hAnsi="Times New Roman"/>
          <w:bCs/>
          <w:sz w:val="24"/>
          <w:szCs w:val="24"/>
        </w:rPr>
        <w:t xml:space="preserve"> and </w:t>
      </w:r>
      <w:r w:rsidRPr="00505347">
        <w:rPr>
          <w:rFonts w:ascii="Times New Roman" w:hAnsi="Times New Roman"/>
          <w:bCs/>
          <w:sz w:val="24"/>
          <w:szCs w:val="24"/>
        </w:rPr>
        <w:t>ethnicity, income, education</w:t>
      </w:r>
      <w:r w:rsidRPr="00505347" w:rsidR="00030AAD">
        <w:rPr>
          <w:rFonts w:ascii="Times New Roman" w:hAnsi="Times New Roman"/>
          <w:bCs/>
          <w:sz w:val="24"/>
          <w:szCs w:val="24"/>
        </w:rPr>
        <w:t>, sexual orientation, gender identity,</w:t>
      </w:r>
      <w:r w:rsidRPr="00505347">
        <w:rPr>
          <w:rFonts w:ascii="Times New Roman" w:hAnsi="Times New Roman"/>
          <w:bCs/>
          <w:sz w:val="24"/>
          <w:szCs w:val="24"/>
        </w:rPr>
        <w:t xml:space="preserve"> and/or health status on the initial screening questionnaire used for recruiting. Potential participants are informed that this is being done to make sure that FDA speaks with the kinds of people for whom its messages are intended. Again, respondents are assured that the information is voluntary and will be treated as private and anonymous. All information on race/ethnicity will comply fully with the standards of OMB Statistical Policy Directive No. 15, October 1997 (</w:t>
      </w:r>
      <w:hyperlink r:id="rId9" w:history="1">
        <w:r w:rsidRPr="00505347" w:rsidR="00DF7C2B">
          <w:rPr>
            <w:rStyle w:val="Hyperlink"/>
            <w:rFonts w:ascii="Times New Roman" w:hAnsi="Times New Roman"/>
            <w:bCs/>
            <w:sz w:val="24"/>
            <w:szCs w:val="24"/>
          </w:rPr>
          <w:t>https://www.federalregister.gov/documents/2024/03/29/2024-</w:t>
        </w:r>
        <w:r w:rsidRPr="00505347" w:rsidR="00DF7C2B">
          <w:rPr>
            <w:rStyle w:val="Hyperlink"/>
            <w:rFonts w:ascii="Times New Roman" w:hAnsi="Times New Roman"/>
            <w:bCs/>
            <w:sz w:val="24"/>
            <w:szCs w:val="24"/>
          </w:rPr>
          <w:t>06469/revisions-to-ombs-statistical-policy-directive-no-15-standards-for-maintaining-collecting-and</w:t>
        </w:r>
      </w:hyperlink>
      <w:r w:rsidRPr="00505347">
        <w:rPr>
          <w:rFonts w:ascii="Times New Roman" w:hAnsi="Times New Roman"/>
          <w:bCs/>
          <w:sz w:val="24"/>
          <w:szCs w:val="24"/>
        </w:rPr>
        <w:t>).</w:t>
      </w:r>
      <w:r w:rsidRPr="00505347" w:rsidR="00DF7C2B">
        <w:rPr>
          <w:rFonts w:ascii="Times New Roman" w:hAnsi="Times New Roman"/>
          <w:bCs/>
          <w:sz w:val="24"/>
          <w:szCs w:val="24"/>
        </w:rPr>
        <w:t xml:space="preserve"> </w:t>
      </w:r>
    </w:p>
    <w:p w:rsidR="005C0FF9" w:rsidRPr="00505347" w14:paraId="2FFF356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szCs w:val="24"/>
        </w:rPr>
      </w:pPr>
    </w:p>
    <w:p w:rsidR="005C0FF9" w:rsidRPr="00505347" w14:paraId="6CB15CE1" w14:textId="7B80EF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szCs w:val="24"/>
        </w:rPr>
      </w:pPr>
      <w:r w:rsidRPr="00505347">
        <w:rPr>
          <w:rFonts w:ascii="Times New Roman" w:hAnsi="Times New Roman"/>
          <w:bCs/>
          <w:sz w:val="24"/>
          <w:szCs w:val="24"/>
        </w:rPr>
        <w:t xml:space="preserve">Because </w:t>
      </w:r>
      <w:r w:rsidRPr="00505347" w:rsidR="00560084">
        <w:rPr>
          <w:rFonts w:ascii="Times New Roman" w:hAnsi="Times New Roman"/>
          <w:bCs/>
          <w:sz w:val="24"/>
          <w:szCs w:val="24"/>
        </w:rPr>
        <w:t xml:space="preserve">these data collections </w:t>
      </w:r>
      <w:r w:rsidRPr="00505347">
        <w:rPr>
          <w:rFonts w:ascii="Times New Roman" w:hAnsi="Times New Roman"/>
          <w:bCs/>
          <w:sz w:val="24"/>
          <w:szCs w:val="24"/>
        </w:rPr>
        <w:t>may concern</w:t>
      </w:r>
      <w:r w:rsidRPr="00505347" w:rsidR="006F7936">
        <w:rPr>
          <w:rFonts w:ascii="Times New Roman" w:hAnsi="Times New Roman"/>
          <w:bCs/>
          <w:sz w:val="24"/>
          <w:szCs w:val="24"/>
        </w:rPr>
        <w:t xml:space="preserve"> </w:t>
      </w:r>
      <w:r w:rsidRPr="00505347">
        <w:rPr>
          <w:rFonts w:ascii="Times New Roman" w:hAnsi="Times New Roman"/>
          <w:bCs/>
          <w:sz w:val="24"/>
          <w:szCs w:val="24"/>
        </w:rPr>
        <w:t xml:space="preserve">prevention of premature mortality from heart disease and oral and respiratory cancers, some projects may involve asking questions about (or discussing) how one perceives his/her own personal risk for serious illness. Fears of heart disease and cancer and experiences with both may also be covered. Graphic displays of negative health outcomes (e.g., cancerous lung tissue, gum disease and tooth loss) may also be presented as stimuli to assess the ability of such displays to encourage current tobacco users to </w:t>
      </w:r>
      <w:r w:rsidRPr="00505347" w:rsidR="002C26BF">
        <w:rPr>
          <w:rFonts w:ascii="Times New Roman" w:hAnsi="Times New Roman"/>
          <w:bCs/>
          <w:sz w:val="24"/>
          <w:szCs w:val="24"/>
        </w:rPr>
        <w:t>quit or</w:t>
      </w:r>
      <w:r w:rsidRPr="00505347">
        <w:rPr>
          <w:rFonts w:ascii="Times New Roman" w:hAnsi="Times New Roman"/>
          <w:bCs/>
          <w:sz w:val="24"/>
          <w:szCs w:val="24"/>
        </w:rPr>
        <w:t xml:space="preserve"> prevent non-tobacco users from initiating use. This information is needed to gain a better understanding of the target audience so that the messages, strategies, and materials designed will be appropriate and sensitive. Questions of this nature, while not as personal as those about sexual behavior or religious beliefs, still require some sensitivity in how they are worded and approached. In face-to-face data collections, questions of this kind are generally asked later in the interview or group discussion, when respondents are more comfortable with the interview situation and are more at ease with the interviewer/moderator. As noted in section A.10., participants are informed prior to actual participation about the nature of the activity and the voluntary nature of their participation. The interviewer/moderator makes it clear that they do not have to respond to any question that makes them uncomfortable.</w:t>
      </w:r>
    </w:p>
    <w:p w:rsidR="005C0FF9" w:rsidRPr="00505347" w14:paraId="6B450C1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szCs w:val="24"/>
        </w:rPr>
      </w:pPr>
    </w:p>
    <w:p w:rsidR="005C0FF9" w:rsidRPr="00505347" w:rsidP="7AE98EAD" w14:paraId="52EE8F6C" w14:textId="394C5F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szCs w:val="24"/>
        </w:rPr>
      </w:pPr>
      <w:r w:rsidRPr="00505347">
        <w:rPr>
          <w:rFonts w:ascii="Times New Roman" w:hAnsi="Times New Roman"/>
          <w:bCs/>
          <w:sz w:val="24"/>
          <w:szCs w:val="24"/>
        </w:rPr>
        <w:t xml:space="preserve">FDA tobacco communications may </w:t>
      </w:r>
      <w:r w:rsidRPr="00505347" w:rsidR="008C0BBA">
        <w:rPr>
          <w:rFonts w:ascii="Times New Roman" w:hAnsi="Times New Roman"/>
          <w:bCs/>
          <w:sz w:val="24"/>
          <w:szCs w:val="24"/>
        </w:rPr>
        <w:t xml:space="preserve">discourage adolescent </w:t>
      </w:r>
      <w:r w:rsidRPr="00505347">
        <w:rPr>
          <w:rFonts w:ascii="Times New Roman" w:hAnsi="Times New Roman"/>
          <w:bCs/>
          <w:sz w:val="24"/>
          <w:szCs w:val="24"/>
        </w:rPr>
        <w:t xml:space="preserve">tobacco before they start. </w:t>
      </w:r>
      <w:r w:rsidRPr="00505347" w:rsidR="00230787">
        <w:rPr>
          <w:rFonts w:ascii="Times New Roman" w:hAnsi="Times New Roman"/>
          <w:bCs/>
          <w:sz w:val="24"/>
          <w:szCs w:val="24"/>
        </w:rPr>
        <w:t>FDA acknowledges the sensitivity of questio</w:t>
      </w:r>
      <w:r w:rsidRPr="00505347" w:rsidR="004C5B66">
        <w:rPr>
          <w:rFonts w:ascii="Times New Roman" w:hAnsi="Times New Roman"/>
          <w:bCs/>
          <w:sz w:val="24"/>
          <w:szCs w:val="24"/>
        </w:rPr>
        <w:t xml:space="preserve">ns </w:t>
      </w:r>
      <w:r w:rsidRPr="00505347" w:rsidR="00230787">
        <w:rPr>
          <w:rFonts w:ascii="Times New Roman" w:hAnsi="Times New Roman"/>
          <w:bCs/>
          <w:sz w:val="24"/>
          <w:szCs w:val="24"/>
        </w:rPr>
        <w:t xml:space="preserve">about the purchase and use of tobacco, which is illegal </w:t>
      </w:r>
      <w:r w:rsidRPr="00505347" w:rsidR="004C5B66">
        <w:rPr>
          <w:rFonts w:ascii="Times New Roman" w:hAnsi="Times New Roman"/>
          <w:bCs/>
          <w:sz w:val="24"/>
          <w:szCs w:val="24"/>
        </w:rPr>
        <w:t>for minors</w:t>
      </w:r>
      <w:r w:rsidRPr="00505347" w:rsidR="00230787">
        <w:rPr>
          <w:rFonts w:ascii="Times New Roman" w:hAnsi="Times New Roman"/>
          <w:bCs/>
          <w:sz w:val="24"/>
          <w:szCs w:val="24"/>
        </w:rPr>
        <w:t xml:space="preserve">. </w:t>
      </w:r>
    </w:p>
    <w:p w:rsidR="005C0FF9" w:rsidRPr="00505347" w14:paraId="250108D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szCs w:val="24"/>
        </w:rPr>
      </w:pPr>
    </w:p>
    <w:p w:rsidR="005C0FF9" w:rsidRPr="00505347" w14:paraId="33BBE097" w14:textId="2EBD63D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szCs w:val="24"/>
        </w:rPr>
      </w:pPr>
      <w:r w:rsidRPr="00505347">
        <w:rPr>
          <w:rFonts w:ascii="Times New Roman" w:hAnsi="Times New Roman"/>
          <w:bCs/>
          <w:sz w:val="24"/>
          <w:szCs w:val="24"/>
        </w:rPr>
        <w:t xml:space="preserve">Raw data from </w:t>
      </w:r>
      <w:r w:rsidRPr="00505347" w:rsidR="008C0BBA">
        <w:rPr>
          <w:rFonts w:ascii="Times New Roman" w:hAnsi="Times New Roman"/>
          <w:bCs/>
          <w:sz w:val="24"/>
          <w:szCs w:val="24"/>
        </w:rPr>
        <w:t xml:space="preserve">information </w:t>
      </w:r>
      <w:r w:rsidRPr="00505347">
        <w:rPr>
          <w:rFonts w:ascii="Times New Roman" w:hAnsi="Times New Roman"/>
          <w:bCs/>
          <w:sz w:val="24"/>
          <w:szCs w:val="24"/>
        </w:rPr>
        <w:t>collections that</w:t>
      </w:r>
      <w:r w:rsidRPr="00505347" w:rsidR="00F709E9">
        <w:rPr>
          <w:rFonts w:ascii="Times New Roman" w:hAnsi="Times New Roman"/>
          <w:bCs/>
          <w:sz w:val="24"/>
          <w:szCs w:val="24"/>
        </w:rPr>
        <w:t xml:space="preserve"> may</w:t>
      </w:r>
      <w:r w:rsidRPr="00505347">
        <w:rPr>
          <w:rFonts w:ascii="Times New Roman" w:hAnsi="Times New Roman"/>
          <w:bCs/>
          <w:sz w:val="24"/>
          <w:szCs w:val="24"/>
        </w:rPr>
        <w:t xml:space="preserve"> include sensitive information (for example, screening questionnaires) are not retained once the data have been extracted and aggregated. The information never becomes part of a system of records containing permanent identifiers that can be used for retrieval.</w:t>
      </w:r>
    </w:p>
    <w:p w:rsidR="005C0FF9" w:rsidRPr="00505347" w14:paraId="49A3D03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szCs w:val="24"/>
        </w:rPr>
      </w:pPr>
    </w:p>
    <w:p w:rsidR="005C0FF9" w:rsidRPr="00505347" w14:paraId="2C77427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Cs/>
          <w:sz w:val="24"/>
          <w:szCs w:val="24"/>
          <w:u w:val="single"/>
        </w:rPr>
      </w:pPr>
      <w:bookmarkStart w:id="16" w:name="_Toc239649233"/>
      <w:r w:rsidRPr="00505347">
        <w:rPr>
          <w:rFonts w:ascii="Times New Roman" w:hAnsi="Times New Roman"/>
          <w:bCs/>
          <w:sz w:val="24"/>
          <w:szCs w:val="24"/>
        </w:rPr>
        <w:t xml:space="preserve">12.  </w:t>
      </w:r>
      <w:r w:rsidRPr="00505347">
        <w:rPr>
          <w:rFonts w:ascii="Times New Roman" w:hAnsi="Times New Roman"/>
          <w:bCs/>
          <w:sz w:val="24"/>
          <w:szCs w:val="24"/>
          <w:u w:val="single"/>
        </w:rPr>
        <w:t>Estimates of Annualized Burden Hours and Costs</w:t>
      </w:r>
      <w:bookmarkEnd w:id="16"/>
    </w:p>
    <w:p w:rsidR="005C0FF9" w:rsidRPr="00505347" w14:paraId="763CC3F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szCs w:val="24"/>
        </w:rPr>
      </w:pPr>
    </w:p>
    <w:p w:rsidR="005C0FF9" w:rsidRPr="00505347" w:rsidP="0065772E" w14:paraId="1435B4B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szCs w:val="24"/>
        </w:rPr>
      </w:pPr>
      <w:r w:rsidRPr="00505347">
        <w:rPr>
          <w:rFonts w:ascii="Times New Roman" w:hAnsi="Times New Roman"/>
          <w:bCs/>
          <w:sz w:val="24"/>
          <w:szCs w:val="24"/>
        </w:rPr>
        <w:t xml:space="preserve">Table 1 provides </w:t>
      </w:r>
      <w:r w:rsidRPr="00505347" w:rsidR="005E5681">
        <w:rPr>
          <w:rFonts w:ascii="Times New Roman" w:hAnsi="Times New Roman"/>
          <w:bCs/>
          <w:sz w:val="24"/>
          <w:szCs w:val="24"/>
        </w:rPr>
        <w:t xml:space="preserve">an estimate of </w:t>
      </w:r>
      <w:r w:rsidRPr="00505347" w:rsidR="00573151">
        <w:rPr>
          <w:rFonts w:ascii="Times New Roman" w:hAnsi="Times New Roman"/>
          <w:bCs/>
          <w:sz w:val="24"/>
          <w:szCs w:val="24"/>
        </w:rPr>
        <w:t xml:space="preserve">anticipated </w:t>
      </w:r>
      <w:r w:rsidRPr="00505347">
        <w:rPr>
          <w:rFonts w:ascii="Times New Roman" w:hAnsi="Times New Roman"/>
          <w:bCs/>
          <w:sz w:val="24"/>
          <w:szCs w:val="24"/>
        </w:rPr>
        <w:t xml:space="preserve">burden levels that may be incurred during </w:t>
      </w:r>
      <w:r w:rsidRPr="00505347" w:rsidR="0065772E">
        <w:rPr>
          <w:rFonts w:ascii="Times New Roman" w:hAnsi="Times New Roman"/>
          <w:bCs/>
          <w:sz w:val="24"/>
          <w:szCs w:val="24"/>
        </w:rPr>
        <w:t xml:space="preserve">a </w:t>
      </w:r>
      <w:r w:rsidRPr="00505347" w:rsidR="00EB78D8">
        <w:rPr>
          <w:rFonts w:ascii="Times New Roman" w:hAnsi="Times New Roman"/>
          <w:bCs/>
          <w:sz w:val="24"/>
          <w:szCs w:val="24"/>
        </w:rPr>
        <w:t>3</w:t>
      </w:r>
      <w:r w:rsidRPr="00505347">
        <w:rPr>
          <w:rFonts w:ascii="Times New Roman" w:hAnsi="Times New Roman"/>
          <w:bCs/>
          <w:sz w:val="24"/>
          <w:szCs w:val="24"/>
        </w:rPr>
        <w:t>-year period</w:t>
      </w:r>
      <w:r w:rsidRPr="00505347" w:rsidR="005E5681">
        <w:rPr>
          <w:rFonts w:ascii="Times New Roman" w:hAnsi="Times New Roman"/>
          <w:bCs/>
          <w:sz w:val="24"/>
          <w:szCs w:val="24"/>
        </w:rPr>
        <w:t xml:space="preserve">. </w:t>
      </w:r>
    </w:p>
    <w:p w:rsidR="005C0FF9" w:rsidRPr="00505347" w14:paraId="6B61B05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szCs w:val="24"/>
        </w:rPr>
      </w:pPr>
    </w:p>
    <w:p w:rsidR="005C0FF9" w:rsidRPr="00505347" w:rsidP="00EB74B2" w14:paraId="1DB78CE5" w14:textId="7CC06C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i/>
          <w:sz w:val="24"/>
          <w:szCs w:val="24"/>
        </w:rPr>
      </w:pPr>
      <w:r w:rsidRPr="00505347">
        <w:rPr>
          <w:rFonts w:ascii="Times New Roman" w:hAnsi="Times New Roman"/>
          <w:bCs/>
          <w:sz w:val="24"/>
          <w:szCs w:val="24"/>
        </w:rPr>
        <w:t xml:space="preserve">Table </w:t>
      </w:r>
      <w:r w:rsidRPr="00505347" w:rsidR="00265AFA">
        <w:rPr>
          <w:rFonts w:ascii="Times New Roman" w:hAnsi="Times New Roman"/>
          <w:bCs/>
          <w:sz w:val="24"/>
          <w:szCs w:val="24"/>
        </w:rPr>
        <w:t xml:space="preserve">1. -- </w:t>
      </w:r>
      <w:r w:rsidRPr="00505347">
        <w:rPr>
          <w:rFonts w:ascii="Times New Roman" w:hAnsi="Times New Roman"/>
          <w:bCs/>
          <w:sz w:val="24"/>
          <w:szCs w:val="24"/>
        </w:rPr>
        <w:t>Estimated Annual Re</w:t>
      </w:r>
      <w:r w:rsidRPr="00505347" w:rsidR="00A037C8">
        <w:rPr>
          <w:rFonts w:ascii="Times New Roman" w:hAnsi="Times New Roman"/>
          <w:bCs/>
          <w:sz w:val="24"/>
          <w:szCs w:val="24"/>
        </w:rPr>
        <w:t>porting</w:t>
      </w:r>
      <w:r w:rsidRPr="00505347">
        <w:rPr>
          <w:rFonts w:ascii="Times New Roman" w:hAnsi="Times New Roman"/>
          <w:bCs/>
          <w:sz w:val="24"/>
          <w:szCs w:val="24"/>
        </w:rPr>
        <w:t xml:space="preserve"> Burden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2"/>
        <w:gridCol w:w="1743"/>
        <w:gridCol w:w="1637"/>
        <w:gridCol w:w="1457"/>
        <w:gridCol w:w="1591"/>
        <w:gridCol w:w="990"/>
      </w:tblGrid>
      <w:tr w14:paraId="5150F697" w14:textId="77777777" w:rsidTr="00C7109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056"/>
        </w:trPr>
        <w:tc>
          <w:tcPr>
            <w:tcW w:w="1742" w:type="dxa"/>
            <w:shd w:val="clear" w:color="auto" w:fill="auto"/>
            <w:vAlign w:val="center"/>
          </w:tcPr>
          <w:p w:rsidR="00573151" w:rsidRPr="00505347" w:rsidP="00C71091" w14:paraId="25A4EE2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p>
          <w:p w:rsidR="00D41618" w:rsidRPr="00505347" w:rsidP="00C71091" w14:paraId="43513A8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505347">
              <w:rPr>
                <w:rFonts w:ascii="Times New Roman" w:hAnsi="Times New Roman"/>
                <w:bCs/>
                <w:sz w:val="22"/>
                <w:szCs w:val="22"/>
              </w:rPr>
              <w:t>Survey Type</w:t>
            </w:r>
          </w:p>
        </w:tc>
        <w:tc>
          <w:tcPr>
            <w:tcW w:w="1743" w:type="dxa"/>
            <w:shd w:val="clear" w:color="auto" w:fill="auto"/>
            <w:vAlign w:val="center"/>
          </w:tcPr>
          <w:p w:rsidR="00D41618" w:rsidRPr="00505347" w:rsidP="00C71091" w14:paraId="1E3EA67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505347">
              <w:rPr>
                <w:rFonts w:ascii="Times New Roman" w:hAnsi="Times New Roman"/>
                <w:bCs/>
                <w:sz w:val="22"/>
                <w:szCs w:val="22"/>
              </w:rPr>
              <w:t>Number of Respondents</w:t>
            </w:r>
          </w:p>
        </w:tc>
        <w:tc>
          <w:tcPr>
            <w:tcW w:w="1637" w:type="dxa"/>
            <w:vAlign w:val="center"/>
          </w:tcPr>
          <w:p w:rsidR="00D41618" w:rsidRPr="00505347" w:rsidP="00C71091" w14:paraId="64849B7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505347">
              <w:rPr>
                <w:rFonts w:ascii="Times New Roman" w:hAnsi="Times New Roman"/>
                <w:bCs/>
                <w:sz w:val="22"/>
                <w:szCs w:val="22"/>
              </w:rPr>
              <w:t>No. of Responses per Respondent</w:t>
            </w:r>
          </w:p>
        </w:tc>
        <w:tc>
          <w:tcPr>
            <w:tcW w:w="1457" w:type="dxa"/>
            <w:vAlign w:val="center"/>
          </w:tcPr>
          <w:p w:rsidR="00D41618" w:rsidRPr="00505347" w:rsidP="00C71091" w14:paraId="4E4BF5B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505347">
              <w:rPr>
                <w:rFonts w:ascii="Times New Roman" w:hAnsi="Times New Roman"/>
                <w:bCs/>
                <w:sz w:val="22"/>
                <w:szCs w:val="22"/>
              </w:rPr>
              <w:t>Total Annual Responses</w:t>
            </w:r>
          </w:p>
        </w:tc>
        <w:tc>
          <w:tcPr>
            <w:tcW w:w="1591" w:type="dxa"/>
            <w:shd w:val="clear" w:color="auto" w:fill="auto"/>
            <w:vAlign w:val="center"/>
          </w:tcPr>
          <w:p w:rsidR="00D41618" w:rsidRPr="00505347" w:rsidP="00C71091" w14:paraId="531E927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505347">
              <w:rPr>
                <w:rFonts w:ascii="Times New Roman" w:hAnsi="Times New Roman"/>
                <w:bCs/>
                <w:sz w:val="22"/>
                <w:szCs w:val="22"/>
              </w:rPr>
              <w:t>Average Burden per Response</w:t>
            </w:r>
          </w:p>
        </w:tc>
        <w:tc>
          <w:tcPr>
            <w:tcW w:w="990" w:type="dxa"/>
            <w:shd w:val="clear" w:color="auto" w:fill="auto"/>
            <w:vAlign w:val="center"/>
          </w:tcPr>
          <w:p w:rsidR="00D41618" w:rsidRPr="00505347" w:rsidP="00C71091" w14:paraId="56E604B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505347">
              <w:rPr>
                <w:rFonts w:ascii="Times New Roman" w:hAnsi="Times New Roman"/>
                <w:bCs/>
                <w:sz w:val="22"/>
                <w:szCs w:val="22"/>
              </w:rPr>
              <w:t>Total Hours</w:t>
            </w:r>
          </w:p>
        </w:tc>
      </w:tr>
      <w:tr w14:paraId="7640A633" w14:textId="77777777" w:rsidTr="00C71091">
        <w:tblPrEx>
          <w:tblW w:w="0" w:type="auto"/>
          <w:tblLook w:val="01E0"/>
        </w:tblPrEx>
        <w:trPr>
          <w:trHeight w:val="773"/>
        </w:trPr>
        <w:tc>
          <w:tcPr>
            <w:tcW w:w="1742" w:type="dxa"/>
            <w:shd w:val="clear" w:color="auto" w:fill="auto"/>
            <w:vAlign w:val="center"/>
          </w:tcPr>
          <w:p w:rsidR="00D52A42" w:rsidRPr="00505347" w:rsidP="00265AFA" w14:paraId="2CBDF83A" w14:textId="13128D9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2"/>
                <w:szCs w:val="22"/>
              </w:rPr>
            </w:pPr>
            <w:r w:rsidRPr="00505347">
              <w:rPr>
                <w:rFonts w:ascii="Times New Roman" w:hAnsi="Times New Roman"/>
                <w:bCs/>
                <w:sz w:val="22"/>
                <w:szCs w:val="22"/>
              </w:rPr>
              <w:t>Screener</w:t>
            </w:r>
          </w:p>
        </w:tc>
        <w:tc>
          <w:tcPr>
            <w:tcW w:w="1743" w:type="dxa"/>
            <w:shd w:val="clear" w:color="auto" w:fill="auto"/>
            <w:vAlign w:val="center"/>
          </w:tcPr>
          <w:p w:rsidR="00D52A42" w:rsidRPr="00505347" w:rsidP="00D3418A" w14:paraId="0EE89281" w14:textId="59B812DD">
            <w:pPr>
              <w:jc w:val="center"/>
              <w:rPr>
                <w:rFonts w:ascii="Times New Roman" w:hAnsi="Times New Roman"/>
                <w:bCs/>
                <w:sz w:val="22"/>
                <w:szCs w:val="22"/>
              </w:rPr>
            </w:pPr>
            <w:r w:rsidRPr="00505347">
              <w:rPr>
                <w:rFonts w:ascii="Times New Roman" w:hAnsi="Times New Roman"/>
                <w:bCs/>
                <w:sz w:val="22"/>
                <w:szCs w:val="22"/>
              </w:rPr>
              <w:t>1,360,000</w:t>
            </w:r>
          </w:p>
        </w:tc>
        <w:tc>
          <w:tcPr>
            <w:tcW w:w="1637" w:type="dxa"/>
            <w:vAlign w:val="center"/>
          </w:tcPr>
          <w:p w:rsidR="00D52A42" w:rsidRPr="00505347" w14:paraId="0B4912A4" w14:textId="021C76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505347">
              <w:rPr>
                <w:rFonts w:ascii="Times New Roman" w:hAnsi="Times New Roman"/>
                <w:bCs/>
                <w:sz w:val="22"/>
                <w:szCs w:val="22"/>
              </w:rPr>
              <w:t>1</w:t>
            </w:r>
          </w:p>
        </w:tc>
        <w:tc>
          <w:tcPr>
            <w:tcW w:w="1457" w:type="dxa"/>
            <w:vAlign w:val="center"/>
          </w:tcPr>
          <w:p w:rsidR="00D52A42" w:rsidRPr="00505347" w14:paraId="0D5CE4C3" w14:textId="4FC2B6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505347">
              <w:rPr>
                <w:rFonts w:ascii="Times New Roman" w:hAnsi="Times New Roman"/>
                <w:bCs/>
                <w:sz w:val="22"/>
                <w:szCs w:val="22"/>
              </w:rPr>
              <w:t>1,360,000</w:t>
            </w:r>
          </w:p>
        </w:tc>
        <w:tc>
          <w:tcPr>
            <w:tcW w:w="1591" w:type="dxa"/>
            <w:shd w:val="clear" w:color="auto" w:fill="auto"/>
            <w:vAlign w:val="center"/>
          </w:tcPr>
          <w:p w:rsidR="00D52A42" w:rsidRPr="00505347" w14:paraId="3FC0D5BF" w14:textId="7F4A5C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505347">
              <w:rPr>
                <w:rFonts w:ascii="Times New Roman" w:hAnsi="Times New Roman"/>
                <w:bCs/>
                <w:sz w:val="22"/>
                <w:szCs w:val="22"/>
              </w:rPr>
              <w:t xml:space="preserve">0.083 </w:t>
            </w:r>
            <w:r w:rsidRPr="00505347" w:rsidR="00616D72">
              <w:rPr>
                <w:rFonts w:ascii="Times New Roman" w:hAnsi="Times New Roman"/>
                <w:bCs/>
                <w:sz w:val="22"/>
                <w:szCs w:val="22"/>
              </w:rPr>
              <w:br/>
            </w:r>
            <w:r w:rsidRPr="00505347">
              <w:rPr>
                <w:rFonts w:ascii="Times New Roman" w:hAnsi="Times New Roman"/>
                <w:bCs/>
                <w:sz w:val="22"/>
                <w:szCs w:val="22"/>
              </w:rPr>
              <w:t>(5 minutes)</w:t>
            </w:r>
          </w:p>
        </w:tc>
        <w:tc>
          <w:tcPr>
            <w:tcW w:w="990" w:type="dxa"/>
            <w:shd w:val="clear" w:color="auto" w:fill="auto"/>
            <w:vAlign w:val="center"/>
          </w:tcPr>
          <w:p w:rsidR="00D52A42" w:rsidRPr="00505347" w14:paraId="63D4D01C" w14:textId="71E3B4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505347">
              <w:rPr>
                <w:rFonts w:ascii="Times New Roman" w:hAnsi="Times New Roman"/>
                <w:bCs/>
                <w:sz w:val="22"/>
                <w:szCs w:val="22"/>
              </w:rPr>
              <w:t>113,334</w:t>
            </w:r>
          </w:p>
        </w:tc>
      </w:tr>
      <w:tr w14:paraId="0E2906BC" w14:textId="77777777" w:rsidTr="00C71091">
        <w:tblPrEx>
          <w:tblW w:w="0" w:type="auto"/>
          <w:tblLook w:val="01E0"/>
        </w:tblPrEx>
        <w:trPr>
          <w:trHeight w:val="773"/>
        </w:trPr>
        <w:tc>
          <w:tcPr>
            <w:tcW w:w="1742" w:type="dxa"/>
            <w:shd w:val="clear" w:color="auto" w:fill="auto"/>
            <w:vAlign w:val="center"/>
          </w:tcPr>
          <w:p w:rsidR="00D41618" w:rsidRPr="00505347" w:rsidP="7AE98EAD" w14:paraId="2A10EB94" w14:textId="2B91BD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2"/>
                <w:szCs w:val="22"/>
              </w:rPr>
            </w:pPr>
            <w:r w:rsidRPr="00505347">
              <w:rPr>
                <w:rFonts w:ascii="Times New Roman" w:hAnsi="Times New Roman"/>
                <w:bCs/>
                <w:sz w:val="22"/>
                <w:szCs w:val="22"/>
              </w:rPr>
              <w:t>Self-Administered Surveys</w:t>
            </w:r>
            <w:r w:rsidRPr="00505347" w:rsidR="4177CA59">
              <w:rPr>
                <w:rFonts w:ascii="Times New Roman" w:hAnsi="Times New Roman"/>
                <w:bCs/>
                <w:sz w:val="22"/>
                <w:szCs w:val="22"/>
              </w:rPr>
              <w:t xml:space="preserve"> </w:t>
            </w:r>
          </w:p>
        </w:tc>
        <w:tc>
          <w:tcPr>
            <w:tcW w:w="1743" w:type="dxa"/>
            <w:shd w:val="clear" w:color="auto" w:fill="auto"/>
            <w:vAlign w:val="center"/>
          </w:tcPr>
          <w:p w:rsidR="00D41618" w:rsidRPr="00505347" w14:paraId="662A55BE" w14:textId="34C3265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505347">
              <w:rPr>
                <w:rFonts w:ascii="Times New Roman" w:hAnsi="Times New Roman"/>
                <w:bCs/>
                <w:sz w:val="22"/>
                <w:szCs w:val="22"/>
              </w:rPr>
              <w:t>204,000</w:t>
            </w:r>
          </w:p>
        </w:tc>
        <w:tc>
          <w:tcPr>
            <w:tcW w:w="1637" w:type="dxa"/>
            <w:vAlign w:val="center"/>
          </w:tcPr>
          <w:p w:rsidR="00D41618" w:rsidRPr="00505347" w14:paraId="0128571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505347">
              <w:rPr>
                <w:rFonts w:ascii="Times New Roman" w:hAnsi="Times New Roman"/>
                <w:bCs/>
                <w:sz w:val="22"/>
                <w:szCs w:val="22"/>
              </w:rPr>
              <w:t>1</w:t>
            </w:r>
          </w:p>
        </w:tc>
        <w:tc>
          <w:tcPr>
            <w:tcW w:w="1457" w:type="dxa"/>
            <w:vAlign w:val="center"/>
          </w:tcPr>
          <w:p w:rsidR="00D41618" w:rsidRPr="00505347" w14:paraId="03A17A2E" w14:textId="446976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505347">
              <w:rPr>
                <w:rFonts w:ascii="Times New Roman" w:hAnsi="Times New Roman"/>
                <w:bCs/>
                <w:sz w:val="22"/>
                <w:szCs w:val="22"/>
              </w:rPr>
              <w:t>204,000</w:t>
            </w:r>
          </w:p>
        </w:tc>
        <w:tc>
          <w:tcPr>
            <w:tcW w:w="1591" w:type="dxa"/>
            <w:shd w:val="clear" w:color="auto" w:fill="auto"/>
            <w:vAlign w:val="center"/>
          </w:tcPr>
          <w:p w:rsidR="00D41618" w:rsidRPr="00505347" w14:paraId="64D8D701" w14:textId="62D41FB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505347">
              <w:rPr>
                <w:rFonts w:ascii="Times New Roman" w:hAnsi="Times New Roman"/>
                <w:bCs/>
                <w:sz w:val="22"/>
                <w:szCs w:val="22"/>
              </w:rPr>
              <w:t xml:space="preserve">0.33 </w:t>
            </w:r>
            <w:r w:rsidRPr="00505347" w:rsidR="00616D72">
              <w:rPr>
                <w:rFonts w:ascii="Times New Roman" w:hAnsi="Times New Roman"/>
                <w:bCs/>
                <w:sz w:val="22"/>
                <w:szCs w:val="22"/>
              </w:rPr>
              <w:br/>
            </w:r>
            <w:r w:rsidRPr="00505347">
              <w:rPr>
                <w:rFonts w:ascii="Times New Roman" w:hAnsi="Times New Roman"/>
                <w:bCs/>
                <w:sz w:val="22"/>
                <w:szCs w:val="22"/>
              </w:rPr>
              <w:t>(20 minutes)</w:t>
            </w:r>
          </w:p>
        </w:tc>
        <w:tc>
          <w:tcPr>
            <w:tcW w:w="990" w:type="dxa"/>
            <w:shd w:val="clear" w:color="auto" w:fill="auto"/>
            <w:vAlign w:val="center"/>
          </w:tcPr>
          <w:p w:rsidR="00D41618" w:rsidRPr="00505347" w14:paraId="6DBD31B6" w14:textId="5DD2366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505347">
              <w:rPr>
                <w:rFonts w:ascii="Times New Roman" w:hAnsi="Times New Roman"/>
                <w:bCs/>
                <w:sz w:val="22"/>
                <w:szCs w:val="22"/>
              </w:rPr>
              <w:t>68,000</w:t>
            </w:r>
          </w:p>
        </w:tc>
      </w:tr>
      <w:tr w14:paraId="1824341B" w14:textId="77777777" w:rsidTr="00C71091">
        <w:tblPrEx>
          <w:tblW w:w="0" w:type="auto"/>
          <w:tblLook w:val="01E0"/>
        </w:tblPrEx>
        <w:trPr>
          <w:trHeight w:val="773"/>
        </w:trPr>
        <w:tc>
          <w:tcPr>
            <w:tcW w:w="1742" w:type="dxa"/>
            <w:shd w:val="clear" w:color="auto" w:fill="auto"/>
            <w:vAlign w:val="center"/>
          </w:tcPr>
          <w:p w:rsidR="00CC727E" w:rsidRPr="00505347" w:rsidP="00CC727E" w14:paraId="5F0BF2C0" w14:textId="1574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2"/>
                <w:szCs w:val="22"/>
              </w:rPr>
            </w:pPr>
            <w:r w:rsidRPr="00505347">
              <w:rPr>
                <w:rFonts w:ascii="Times New Roman" w:hAnsi="Times New Roman"/>
                <w:bCs/>
                <w:sz w:val="22"/>
                <w:szCs w:val="22"/>
              </w:rPr>
              <w:t>Informed Consent/Assent</w:t>
            </w:r>
          </w:p>
        </w:tc>
        <w:tc>
          <w:tcPr>
            <w:tcW w:w="1743" w:type="dxa"/>
            <w:shd w:val="clear" w:color="auto" w:fill="auto"/>
            <w:vAlign w:val="center"/>
          </w:tcPr>
          <w:p w:rsidR="00CC727E" w:rsidRPr="00505347" w:rsidP="00CC727E" w14:paraId="686C8624" w14:textId="70C533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505347">
              <w:rPr>
                <w:rFonts w:ascii="Times New Roman" w:hAnsi="Times New Roman"/>
                <w:bCs/>
                <w:sz w:val="22"/>
                <w:szCs w:val="22"/>
              </w:rPr>
              <w:t>219,000</w:t>
            </w:r>
          </w:p>
        </w:tc>
        <w:tc>
          <w:tcPr>
            <w:tcW w:w="1637" w:type="dxa"/>
            <w:vAlign w:val="center"/>
          </w:tcPr>
          <w:p w:rsidR="00CC727E" w:rsidRPr="00505347" w:rsidP="00CC727E" w14:paraId="2662FD7A" w14:textId="584C764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505347">
              <w:rPr>
                <w:rFonts w:ascii="Times New Roman" w:hAnsi="Times New Roman"/>
                <w:bCs/>
                <w:sz w:val="22"/>
                <w:szCs w:val="22"/>
              </w:rPr>
              <w:t>1</w:t>
            </w:r>
          </w:p>
        </w:tc>
        <w:tc>
          <w:tcPr>
            <w:tcW w:w="1457" w:type="dxa"/>
            <w:vAlign w:val="center"/>
          </w:tcPr>
          <w:p w:rsidR="00CC727E" w:rsidRPr="00505347" w:rsidP="00CC727E" w14:paraId="3EA30876" w14:textId="086202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505347">
              <w:rPr>
                <w:rFonts w:ascii="Times New Roman" w:hAnsi="Times New Roman"/>
                <w:bCs/>
                <w:sz w:val="22"/>
                <w:szCs w:val="22"/>
              </w:rPr>
              <w:t>219,000</w:t>
            </w:r>
          </w:p>
        </w:tc>
        <w:tc>
          <w:tcPr>
            <w:tcW w:w="1591" w:type="dxa"/>
            <w:shd w:val="clear" w:color="auto" w:fill="auto"/>
            <w:vAlign w:val="center"/>
          </w:tcPr>
          <w:p w:rsidR="00CC727E" w:rsidRPr="00505347" w:rsidP="00CC727E" w14:paraId="0F887A3A" w14:textId="29AA398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505347">
              <w:rPr>
                <w:rFonts w:ascii="Times New Roman" w:hAnsi="Times New Roman"/>
                <w:bCs/>
                <w:sz w:val="22"/>
                <w:szCs w:val="22"/>
              </w:rPr>
              <w:t xml:space="preserve">0.033 </w:t>
            </w:r>
            <w:r w:rsidRPr="00505347">
              <w:rPr>
                <w:rFonts w:ascii="Times New Roman" w:hAnsi="Times New Roman"/>
                <w:bCs/>
                <w:sz w:val="22"/>
                <w:szCs w:val="22"/>
              </w:rPr>
              <w:br/>
              <w:t>(2 minutes)</w:t>
            </w:r>
          </w:p>
        </w:tc>
        <w:tc>
          <w:tcPr>
            <w:tcW w:w="990" w:type="dxa"/>
            <w:shd w:val="clear" w:color="auto" w:fill="auto"/>
            <w:vAlign w:val="center"/>
          </w:tcPr>
          <w:p w:rsidR="00CC727E" w:rsidRPr="00505347" w:rsidP="00CC727E" w14:paraId="01C5B101" w14:textId="026CE2F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505347">
              <w:rPr>
                <w:rFonts w:ascii="Times New Roman" w:hAnsi="Times New Roman"/>
                <w:bCs/>
                <w:sz w:val="22"/>
                <w:szCs w:val="22"/>
              </w:rPr>
              <w:t>7,200</w:t>
            </w:r>
          </w:p>
        </w:tc>
      </w:tr>
      <w:tr w14:paraId="120A660B" w14:textId="77777777" w:rsidTr="7AE98EAD">
        <w:tblPrEx>
          <w:tblW w:w="0" w:type="auto"/>
          <w:tblLook w:val="01E0"/>
        </w:tblPrEx>
        <w:trPr>
          <w:trHeight w:val="413"/>
        </w:trPr>
        <w:tc>
          <w:tcPr>
            <w:tcW w:w="1742" w:type="dxa"/>
            <w:shd w:val="clear" w:color="auto" w:fill="auto"/>
            <w:vAlign w:val="center"/>
          </w:tcPr>
          <w:p w:rsidR="00D52A42" w:rsidRPr="00505347" w:rsidP="00265AFA" w14:paraId="12E83620" w14:textId="40B94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2"/>
                <w:szCs w:val="22"/>
              </w:rPr>
            </w:pPr>
            <w:r w:rsidRPr="00505347">
              <w:rPr>
                <w:rFonts w:ascii="Times New Roman" w:hAnsi="Times New Roman"/>
                <w:bCs/>
                <w:sz w:val="22"/>
                <w:szCs w:val="22"/>
              </w:rPr>
              <w:t>Total</w:t>
            </w:r>
          </w:p>
        </w:tc>
        <w:tc>
          <w:tcPr>
            <w:tcW w:w="1743" w:type="dxa"/>
            <w:shd w:val="clear" w:color="auto" w:fill="auto"/>
            <w:vAlign w:val="center"/>
          </w:tcPr>
          <w:p w:rsidR="00D52A42" w:rsidRPr="00505347" w:rsidP="00265AFA" w14:paraId="71712B56" w14:textId="474DD6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505347">
              <w:rPr>
                <w:rFonts w:ascii="Times New Roman" w:hAnsi="Times New Roman"/>
                <w:bCs/>
                <w:sz w:val="22"/>
                <w:szCs w:val="22"/>
              </w:rPr>
              <w:t>1,768,000</w:t>
            </w:r>
          </w:p>
        </w:tc>
        <w:tc>
          <w:tcPr>
            <w:tcW w:w="1637" w:type="dxa"/>
            <w:vAlign w:val="center"/>
          </w:tcPr>
          <w:p w:rsidR="00D52A42" w:rsidRPr="00505347" w:rsidP="00265AFA" w14:paraId="1D98678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p>
        </w:tc>
        <w:tc>
          <w:tcPr>
            <w:tcW w:w="1457" w:type="dxa"/>
            <w:vAlign w:val="center"/>
          </w:tcPr>
          <w:p w:rsidR="00D52A42" w:rsidRPr="00505347" w:rsidP="00265AFA" w14:paraId="7AC92F8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p>
        </w:tc>
        <w:tc>
          <w:tcPr>
            <w:tcW w:w="1591" w:type="dxa"/>
            <w:shd w:val="clear" w:color="auto" w:fill="auto"/>
            <w:vAlign w:val="center"/>
          </w:tcPr>
          <w:p w:rsidR="00D52A42" w:rsidRPr="00505347" w:rsidP="00265AFA" w14:paraId="1330A3A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p>
        </w:tc>
        <w:tc>
          <w:tcPr>
            <w:tcW w:w="990" w:type="dxa"/>
            <w:shd w:val="clear" w:color="auto" w:fill="auto"/>
            <w:vAlign w:val="center"/>
          </w:tcPr>
          <w:p w:rsidR="00D52A42" w:rsidRPr="00505347" w:rsidP="00265AFA" w14:paraId="4C025F2F" w14:textId="39FB164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bookmarkStart w:id="17" w:name="_Hlk175304104"/>
            <w:r w:rsidRPr="00505347">
              <w:rPr>
                <w:rFonts w:ascii="Times New Roman" w:hAnsi="Times New Roman"/>
                <w:bCs/>
                <w:sz w:val="22"/>
                <w:szCs w:val="22"/>
              </w:rPr>
              <w:t>188,534</w:t>
            </w:r>
            <w:bookmarkEnd w:id="17"/>
          </w:p>
        </w:tc>
      </w:tr>
    </w:tbl>
    <w:p w:rsidR="0023288A" w:rsidRPr="00505347" w:rsidP="0023288A" w14:paraId="3CDA7407" w14:textId="09CDFC7D">
      <w:pPr>
        <w:pStyle w:val="ListParagraph"/>
        <w:spacing w:before="100" w:beforeAutospacing="1" w:after="100" w:afterAutospacing="1" w:line="240" w:lineRule="auto"/>
        <w:ind w:hanging="720"/>
        <w:rPr>
          <w:rFonts w:ascii="Times New Roman" w:hAnsi="Times New Roman"/>
          <w:bCs/>
          <w:u w:val="single"/>
        </w:rPr>
      </w:pPr>
      <w:r w:rsidRPr="00505347">
        <w:rPr>
          <w:rFonts w:ascii="Times New Roman" w:hAnsi="Times New Roman"/>
          <w:bCs/>
          <w:u w:val="single"/>
        </w:rPr>
        <w:t>12b</w:t>
      </w:r>
      <w:r w:rsidRPr="00505347" w:rsidR="00AF1E23">
        <w:rPr>
          <w:rFonts w:ascii="Times New Roman" w:hAnsi="Times New Roman"/>
          <w:bCs/>
          <w:u w:val="single"/>
        </w:rPr>
        <w:t xml:space="preserve">. </w:t>
      </w:r>
      <w:r w:rsidRPr="00505347">
        <w:rPr>
          <w:rFonts w:ascii="Times New Roman" w:hAnsi="Times New Roman"/>
          <w:bCs/>
          <w:u w:val="single"/>
        </w:rPr>
        <w:t>Annualized Cost Burden Estimate</w:t>
      </w:r>
    </w:p>
    <w:p w:rsidR="00AF1E23" w:rsidRPr="00505347" w:rsidP="00AF1E23" w14:paraId="23A20CEE" w14:textId="364D0ED3">
      <w:pPr>
        <w:rPr>
          <w:rFonts w:ascii="Times New Roman" w:hAnsi="Times New Roman"/>
          <w:bCs/>
          <w:sz w:val="24"/>
          <w:szCs w:val="24"/>
        </w:rPr>
      </w:pPr>
      <w:r w:rsidRPr="00505347">
        <w:rPr>
          <w:rFonts w:ascii="Times New Roman" w:hAnsi="Times New Roman"/>
          <w:bCs/>
          <w:sz w:val="24"/>
          <w:szCs w:val="24"/>
        </w:rPr>
        <w:t xml:space="preserve">The general public will complete the majority of data collections. </w:t>
      </w:r>
      <w:r w:rsidRPr="00505347" w:rsidR="008324B4">
        <w:rPr>
          <w:rFonts w:ascii="Times New Roman" w:hAnsi="Times New Roman"/>
          <w:bCs/>
          <w:sz w:val="24"/>
          <w:szCs w:val="24"/>
        </w:rPr>
        <w:t xml:space="preserve">The mean hourly compensation for this group as of </w:t>
      </w:r>
      <w:r w:rsidRPr="00505347" w:rsidR="000E7693">
        <w:rPr>
          <w:rFonts w:ascii="Times New Roman" w:hAnsi="Times New Roman"/>
          <w:bCs/>
          <w:sz w:val="24"/>
          <w:szCs w:val="24"/>
        </w:rPr>
        <w:t>May</w:t>
      </w:r>
      <w:r w:rsidRPr="00505347" w:rsidR="008324B4">
        <w:rPr>
          <w:rFonts w:ascii="Times New Roman" w:hAnsi="Times New Roman"/>
          <w:bCs/>
          <w:sz w:val="24"/>
          <w:szCs w:val="24"/>
        </w:rPr>
        <w:t xml:space="preserve"> 202</w:t>
      </w:r>
      <w:r w:rsidRPr="00505347" w:rsidR="000E7693">
        <w:rPr>
          <w:rFonts w:ascii="Times New Roman" w:hAnsi="Times New Roman"/>
          <w:bCs/>
          <w:sz w:val="24"/>
          <w:szCs w:val="24"/>
        </w:rPr>
        <w:t>3</w:t>
      </w:r>
      <w:r w:rsidRPr="00505347" w:rsidR="008324B4">
        <w:rPr>
          <w:rFonts w:ascii="Times New Roman" w:hAnsi="Times New Roman"/>
          <w:bCs/>
          <w:sz w:val="24"/>
          <w:szCs w:val="24"/>
        </w:rPr>
        <w:t xml:space="preserve"> is $3</w:t>
      </w:r>
      <w:r w:rsidRPr="00505347" w:rsidR="000E7693">
        <w:rPr>
          <w:rFonts w:ascii="Times New Roman" w:hAnsi="Times New Roman"/>
          <w:bCs/>
          <w:sz w:val="24"/>
          <w:szCs w:val="24"/>
        </w:rPr>
        <w:t>1</w:t>
      </w:r>
      <w:r w:rsidRPr="00505347" w:rsidR="008324B4">
        <w:rPr>
          <w:rFonts w:ascii="Times New Roman" w:hAnsi="Times New Roman"/>
          <w:bCs/>
          <w:sz w:val="24"/>
          <w:szCs w:val="24"/>
        </w:rPr>
        <w:t>.</w:t>
      </w:r>
      <w:r w:rsidRPr="00505347" w:rsidR="000E7693">
        <w:rPr>
          <w:rFonts w:ascii="Times New Roman" w:hAnsi="Times New Roman"/>
          <w:bCs/>
          <w:sz w:val="24"/>
          <w:szCs w:val="24"/>
        </w:rPr>
        <w:t>48</w:t>
      </w:r>
      <w:r w:rsidRPr="00505347" w:rsidR="008324B4">
        <w:rPr>
          <w:rFonts w:ascii="Times New Roman" w:hAnsi="Times New Roman"/>
          <w:bCs/>
          <w:sz w:val="24"/>
          <w:szCs w:val="24"/>
        </w:rPr>
        <w:t xml:space="preserve"> </w:t>
      </w:r>
      <w:hyperlink r:id="rId10" w:anchor="00-0000">
        <w:r w:rsidRPr="00505347" w:rsidR="008324B4">
          <w:rPr>
            <w:rStyle w:val="Hyperlink"/>
            <w:rFonts w:ascii="Times New Roman" w:hAnsi="Times New Roman"/>
            <w:bCs/>
            <w:sz w:val="24"/>
            <w:szCs w:val="24"/>
          </w:rPr>
          <w:t>(BLS)</w:t>
        </w:r>
      </w:hyperlink>
      <w:r w:rsidRPr="00505347" w:rsidR="008324B4">
        <w:rPr>
          <w:rFonts w:ascii="Times New Roman" w:hAnsi="Times New Roman"/>
          <w:bCs/>
          <w:sz w:val="24"/>
          <w:szCs w:val="24"/>
        </w:rPr>
        <w:t xml:space="preserve">. </w:t>
      </w:r>
      <w:r w:rsidRPr="00505347" w:rsidR="00F54DD4">
        <w:rPr>
          <w:rFonts w:ascii="Times New Roman" w:hAnsi="Times New Roman"/>
          <w:bCs/>
          <w:sz w:val="24"/>
          <w:szCs w:val="24"/>
        </w:rPr>
        <w:t>We double this to account for benefits and overhead, yielding an hourly wage rate of $6</w:t>
      </w:r>
      <w:r w:rsidRPr="00505347" w:rsidR="000E7693">
        <w:rPr>
          <w:rFonts w:ascii="Times New Roman" w:hAnsi="Times New Roman"/>
          <w:bCs/>
          <w:sz w:val="24"/>
          <w:szCs w:val="24"/>
        </w:rPr>
        <w:t>2</w:t>
      </w:r>
      <w:r w:rsidRPr="00505347" w:rsidR="00F54DD4">
        <w:rPr>
          <w:rFonts w:ascii="Times New Roman" w:hAnsi="Times New Roman"/>
          <w:bCs/>
          <w:sz w:val="24"/>
          <w:szCs w:val="24"/>
        </w:rPr>
        <w:t>.</w:t>
      </w:r>
      <w:r w:rsidRPr="00505347" w:rsidR="000E7693">
        <w:rPr>
          <w:rFonts w:ascii="Times New Roman" w:hAnsi="Times New Roman"/>
          <w:bCs/>
          <w:sz w:val="24"/>
          <w:szCs w:val="24"/>
        </w:rPr>
        <w:t>96</w:t>
      </w:r>
      <w:r w:rsidRPr="00505347" w:rsidR="00F54DD4">
        <w:rPr>
          <w:rFonts w:ascii="Times New Roman" w:hAnsi="Times New Roman"/>
          <w:bCs/>
          <w:sz w:val="24"/>
          <w:szCs w:val="24"/>
        </w:rPr>
        <w:t xml:space="preserve">. </w:t>
      </w:r>
      <w:r w:rsidRPr="00505347">
        <w:rPr>
          <w:rFonts w:ascii="Times New Roman" w:hAnsi="Times New Roman"/>
          <w:bCs/>
          <w:sz w:val="24"/>
          <w:szCs w:val="24"/>
        </w:rPr>
        <w:t xml:space="preserve">The estimated annualized annual cost for the general public in this information collection for </w:t>
      </w:r>
      <w:r w:rsidRPr="00505347" w:rsidR="00D3418A">
        <w:rPr>
          <w:rFonts w:ascii="Times New Roman" w:hAnsi="Times New Roman"/>
          <w:bCs/>
          <w:sz w:val="24"/>
          <w:szCs w:val="24"/>
        </w:rPr>
        <w:t>188,134</w:t>
      </w:r>
      <w:r w:rsidRPr="00505347">
        <w:rPr>
          <w:rFonts w:ascii="Times New Roman" w:hAnsi="Times New Roman"/>
          <w:bCs/>
          <w:sz w:val="24"/>
          <w:szCs w:val="24"/>
        </w:rPr>
        <w:t xml:space="preserve"> hours of reporting time is $</w:t>
      </w:r>
      <w:r w:rsidRPr="00505347" w:rsidR="000E7693">
        <w:rPr>
          <w:rFonts w:ascii="Times New Roman" w:hAnsi="Times New Roman"/>
          <w:bCs/>
          <w:sz w:val="24"/>
          <w:szCs w:val="24"/>
        </w:rPr>
        <w:t xml:space="preserve">11,844,916.64. </w:t>
      </w:r>
      <w:r w:rsidRPr="00505347">
        <w:rPr>
          <w:rFonts w:ascii="Times New Roman" w:hAnsi="Times New Roman"/>
          <w:bCs/>
          <w:sz w:val="24"/>
          <w:szCs w:val="24"/>
        </w:rPr>
        <w:t xml:space="preserve">The number of respondents and length of response was determined </w:t>
      </w:r>
      <w:r w:rsidRPr="00505347" w:rsidR="00501C4D">
        <w:rPr>
          <w:rFonts w:ascii="Times New Roman" w:hAnsi="Times New Roman"/>
          <w:bCs/>
          <w:sz w:val="24"/>
          <w:szCs w:val="24"/>
        </w:rPr>
        <w:t>based on</w:t>
      </w:r>
      <w:r w:rsidRPr="00505347">
        <w:rPr>
          <w:rFonts w:ascii="Times New Roman" w:hAnsi="Times New Roman"/>
          <w:bCs/>
          <w:sz w:val="24"/>
          <w:szCs w:val="24"/>
        </w:rPr>
        <w:t xml:space="preserve"> FDA prior experience with communications testing and an estimate of the communication needs of the Center for Tobacco Products. The actual numbers will vary depending upon the topic of interest</w:t>
      </w:r>
      <w:r w:rsidRPr="00505347" w:rsidR="00573151">
        <w:rPr>
          <w:rFonts w:ascii="Times New Roman" w:hAnsi="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57"/>
        <w:gridCol w:w="1607"/>
        <w:gridCol w:w="2005"/>
        <w:gridCol w:w="2657"/>
      </w:tblGrid>
      <w:tr w14:paraId="22843CD5" w14:textId="77777777" w:rsidTr="00192D2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99"/>
        </w:trPr>
        <w:tc>
          <w:tcPr>
            <w:tcW w:w="2857" w:type="dxa"/>
            <w:shd w:val="clear" w:color="auto" w:fill="auto"/>
          </w:tcPr>
          <w:p w:rsidR="00F75419" w:rsidRPr="00505347" w:rsidP="00F75419" w14:paraId="375CA669" w14:textId="353878A4">
            <w:pPr>
              <w:rPr>
                <w:rFonts w:ascii="Times New Roman" w:hAnsi="Times New Roman"/>
                <w:bCs/>
                <w:sz w:val="24"/>
                <w:szCs w:val="24"/>
              </w:rPr>
            </w:pPr>
            <w:r w:rsidRPr="00505347">
              <w:rPr>
                <w:rFonts w:ascii="Times New Roman" w:hAnsi="Times New Roman"/>
                <w:bCs/>
                <w:sz w:val="24"/>
                <w:szCs w:val="24"/>
              </w:rPr>
              <w:t xml:space="preserve"> </w:t>
            </w:r>
          </w:p>
        </w:tc>
        <w:tc>
          <w:tcPr>
            <w:tcW w:w="1607" w:type="dxa"/>
            <w:shd w:val="clear" w:color="auto" w:fill="auto"/>
            <w:vAlign w:val="center"/>
          </w:tcPr>
          <w:p w:rsidR="00F75419" w:rsidRPr="00505347" w:rsidP="00192D26" w14:paraId="7868D140" w14:textId="77777777">
            <w:pPr>
              <w:jc w:val="center"/>
              <w:rPr>
                <w:rFonts w:ascii="Times New Roman" w:hAnsi="Times New Roman"/>
                <w:bCs/>
                <w:sz w:val="24"/>
                <w:szCs w:val="24"/>
              </w:rPr>
            </w:pPr>
            <w:r w:rsidRPr="00505347">
              <w:rPr>
                <w:rFonts w:ascii="Times New Roman" w:hAnsi="Times New Roman"/>
                <w:bCs/>
                <w:sz w:val="24"/>
                <w:szCs w:val="24"/>
              </w:rPr>
              <w:t>Total Burden Hours</w:t>
            </w:r>
          </w:p>
        </w:tc>
        <w:tc>
          <w:tcPr>
            <w:tcW w:w="2005" w:type="dxa"/>
            <w:vAlign w:val="center"/>
          </w:tcPr>
          <w:p w:rsidR="00F75419" w:rsidRPr="00505347" w:rsidP="00192D26" w14:paraId="68306C8C" w14:textId="5419ED6F">
            <w:pPr>
              <w:jc w:val="center"/>
              <w:rPr>
                <w:rFonts w:ascii="Times New Roman" w:hAnsi="Times New Roman"/>
                <w:bCs/>
                <w:sz w:val="24"/>
                <w:szCs w:val="24"/>
              </w:rPr>
            </w:pPr>
            <w:r w:rsidRPr="00505347">
              <w:rPr>
                <w:rFonts w:ascii="Times New Roman" w:hAnsi="Times New Roman"/>
                <w:bCs/>
                <w:sz w:val="24"/>
                <w:szCs w:val="24"/>
              </w:rPr>
              <w:t>Average Rate</w:t>
            </w:r>
          </w:p>
        </w:tc>
        <w:tc>
          <w:tcPr>
            <w:tcW w:w="2657" w:type="dxa"/>
            <w:vAlign w:val="center"/>
          </w:tcPr>
          <w:p w:rsidR="00F75419" w:rsidRPr="00505347" w:rsidP="00192D26" w14:paraId="24C13112" w14:textId="77777777">
            <w:pPr>
              <w:jc w:val="center"/>
              <w:rPr>
                <w:rFonts w:ascii="Times New Roman" w:hAnsi="Times New Roman"/>
                <w:bCs/>
                <w:sz w:val="24"/>
                <w:szCs w:val="24"/>
              </w:rPr>
            </w:pPr>
            <w:r w:rsidRPr="00505347">
              <w:rPr>
                <w:rFonts w:ascii="Times New Roman" w:hAnsi="Times New Roman"/>
                <w:bCs/>
                <w:sz w:val="24"/>
                <w:szCs w:val="24"/>
              </w:rPr>
              <w:t xml:space="preserve">Total </w:t>
            </w:r>
            <w:r w:rsidRPr="00505347" w:rsidR="00D41618">
              <w:rPr>
                <w:rFonts w:ascii="Times New Roman" w:hAnsi="Times New Roman"/>
                <w:bCs/>
                <w:sz w:val="24"/>
                <w:szCs w:val="24"/>
              </w:rPr>
              <w:t xml:space="preserve">Respondent </w:t>
            </w:r>
            <w:r w:rsidRPr="00505347">
              <w:rPr>
                <w:rFonts w:ascii="Times New Roman" w:hAnsi="Times New Roman"/>
                <w:bCs/>
                <w:sz w:val="24"/>
                <w:szCs w:val="24"/>
              </w:rPr>
              <w:t>Cost</w:t>
            </w:r>
          </w:p>
        </w:tc>
      </w:tr>
      <w:tr w14:paraId="295DC5FA" w14:textId="77777777" w:rsidTr="00192D26">
        <w:tblPrEx>
          <w:tblW w:w="0" w:type="auto"/>
          <w:tblLook w:val="01E0"/>
        </w:tblPrEx>
        <w:trPr>
          <w:trHeight w:val="54"/>
        </w:trPr>
        <w:tc>
          <w:tcPr>
            <w:tcW w:w="2857" w:type="dxa"/>
            <w:shd w:val="clear" w:color="auto" w:fill="auto"/>
          </w:tcPr>
          <w:p w:rsidR="00143C3A" w:rsidRPr="00505347" w:rsidP="00F75419" w14:paraId="0B4EAFF9" w14:textId="22A07D64">
            <w:pPr>
              <w:rPr>
                <w:rFonts w:ascii="Times New Roman" w:hAnsi="Times New Roman"/>
                <w:bCs/>
                <w:sz w:val="24"/>
                <w:szCs w:val="24"/>
              </w:rPr>
            </w:pPr>
            <w:r w:rsidRPr="00505347">
              <w:rPr>
                <w:rFonts w:ascii="Times New Roman" w:hAnsi="Times New Roman"/>
                <w:bCs/>
                <w:sz w:val="24"/>
                <w:szCs w:val="24"/>
              </w:rPr>
              <w:t>Screener</w:t>
            </w:r>
          </w:p>
        </w:tc>
        <w:tc>
          <w:tcPr>
            <w:tcW w:w="1607" w:type="dxa"/>
            <w:shd w:val="clear" w:color="auto" w:fill="auto"/>
          </w:tcPr>
          <w:p w:rsidR="00143C3A" w:rsidRPr="00505347" w:rsidP="00192D26" w14:paraId="64C1A29F" w14:textId="7B6C517C">
            <w:pPr>
              <w:jc w:val="center"/>
              <w:rPr>
                <w:rFonts w:ascii="Times New Roman" w:hAnsi="Times New Roman"/>
                <w:bCs/>
                <w:sz w:val="24"/>
                <w:szCs w:val="24"/>
              </w:rPr>
            </w:pPr>
            <w:r w:rsidRPr="00505347">
              <w:rPr>
                <w:rFonts w:ascii="Times New Roman" w:hAnsi="Times New Roman"/>
                <w:bCs/>
                <w:sz w:val="24"/>
                <w:szCs w:val="24"/>
              </w:rPr>
              <w:t>113,334</w:t>
            </w:r>
          </w:p>
        </w:tc>
        <w:tc>
          <w:tcPr>
            <w:tcW w:w="2005" w:type="dxa"/>
          </w:tcPr>
          <w:p w:rsidR="00143C3A" w:rsidRPr="00505347" w:rsidP="00192D26" w14:paraId="73888C52" w14:textId="2EA534FC">
            <w:pPr>
              <w:jc w:val="center"/>
              <w:rPr>
                <w:rFonts w:ascii="Times New Roman" w:hAnsi="Times New Roman"/>
                <w:bCs/>
                <w:sz w:val="24"/>
                <w:szCs w:val="24"/>
              </w:rPr>
            </w:pPr>
            <w:r w:rsidRPr="00505347">
              <w:rPr>
                <w:rFonts w:ascii="Times New Roman" w:hAnsi="Times New Roman"/>
                <w:bCs/>
                <w:sz w:val="24"/>
                <w:szCs w:val="24"/>
              </w:rPr>
              <w:t>$6</w:t>
            </w:r>
            <w:r w:rsidRPr="00505347" w:rsidR="000E7693">
              <w:rPr>
                <w:rFonts w:ascii="Times New Roman" w:hAnsi="Times New Roman"/>
                <w:bCs/>
                <w:sz w:val="24"/>
                <w:szCs w:val="24"/>
              </w:rPr>
              <w:t>2</w:t>
            </w:r>
            <w:r w:rsidRPr="00505347">
              <w:rPr>
                <w:rFonts w:ascii="Times New Roman" w:hAnsi="Times New Roman"/>
                <w:bCs/>
                <w:sz w:val="24"/>
                <w:szCs w:val="24"/>
              </w:rPr>
              <w:t>.</w:t>
            </w:r>
            <w:r w:rsidRPr="00505347" w:rsidR="000E7693">
              <w:rPr>
                <w:rFonts w:ascii="Times New Roman" w:hAnsi="Times New Roman"/>
                <w:bCs/>
                <w:sz w:val="24"/>
                <w:szCs w:val="24"/>
              </w:rPr>
              <w:t>96</w:t>
            </w:r>
          </w:p>
        </w:tc>
        <w:tc>
          <w:tcPr>
            <w:tcW w:w="2657" w:type="dxa"/>
          </w:tcPr>
          <w:p w:rsidR="00143C3A" w:rsidRPr="00505347" w:rsidP="00192D26" w14:paraId="587C0878" w14:textId="60247E2A">
            <w:pPr>
              <w:jc w:val="center"/>
              <w:rPr>
                <w:rFonts w:ascii="Times New Roman" w:hAnsi="Times New Roman"/>
                <w:bCs/>
                <w:sz w:val="24"/>
                <w:szCs w:val="24"/>
              </w:rPr>
            </w:pPr>
            <w:r w:rsidRPr="00505347">
              <w:rPr>
                <w:rFonts w:ascii="Times New Roman" w:hAnsi="Times New Roman"/>
                <w:bCs/>
                <w:sz w:val="24"/>
                <w:szCs w:val="24"/>
              </w:rPr>
              <w:t>$</w:t>
            </w:r>
            <w:r w:rsidRPr="00505347" w:rsidR="000E7693">
              <w:rPr>
                <w:rFonts w:ascii="Times New Roman" w:hAnsi="Times New Roman"/>
                <w:bCs/>
                <w:sz w:val="24"/>
                <w:szCs w:val="24"/>
              </w:rPr>
              <w:t>7,135,508.64</w:t>
            </w:r>
          </w:p>
        </w:tc>
      </w:tr>
      <w:tr w14:paraId="24425C74" w14:textId="77777777" w:rsidTr="00192D26">
        <w:tblPrEx>
          <w:tblW w:w="0" w:type="auto"/>
          <w:tblLook w:val="01E0"/>
        </w:tblPrEx>
        <w:trPr>
          <w:trHeight w:val="54"/>
        </w:trPr>
        <w:tc>
          <w:tcPr>
            <w:tcW w:w="2857" w:type="dxa"/>
            <w:shd w:val="clear" w:color="auto" w:fill="auto"/>
          </w:tcPr>
          <w:p w:rsidR="00F75419" w:rsidRPr="00505347" w:rsidP="00F75419" w14:paraId="461E812F" w14:textId="77777777">
            <w:pPr>
              <w:rPr>
                <w:rFonts w:ascii="Times New Roman" w:hAnsi="Times New Roman"/>
                <w:bCs/>
                <w:sz w:val="24"/>
                <w:szCs w:val="24"/>
              </w:rPr>
            </w:pPr>
            <w:r w:rsidRPr="00505347">
              <w:rPr>
                <w:rFonts w:ascii="Times New Roman" w:hAnsi="Times New Roman"/>
                <w:bCs/>
                <w:sz w:val="24"/>
                <w:szCs w:val="24"/>
              </w:rPr>
              <w:t>Self-Administered Surveys</w:t>
            </w:r>
          </w:p>
        </w:tc>
        <w:tc>
          <w:tcPr>
            <w:tcW w:w="1607" w:type="dxa"/>
            <w:shd w:val="clear" w:color="auto" w:fill="auto"/>
          </w:tcPr>
          <w:p w:rsidR="00F75419" w:rsidRPr="00505347" w:rsidP="00192D26" w14:paraId="1B4EBEB2" w14:textId="692F5FF0">
            <w:pPr>
              <w:jc w:val="center"/>
              <w:rPr>
                <w:rFonts w:ascii="Times New Roman" w:hAnsi="Times New Roman"/>
                <w:bCs/>
                <w:sz w:val="24"/>
                <w:szCs w:val="24"/>
              </w:rPr>
            </w:pPr>
            <w:r w:rsidRPr="00505347">
              <w:rPr>
                <w:rFonts w:ascii="Times New Roman" w:hAnsi="Times New Roman"/>
                <w:bCs/>
                <w:sz w:val="24"/>
                <w:szCs w:val="24"/>
              </w:rPr>
              <w:t>68</w:t>
            </w:r>
            <w:r w:rsidRPr="00505347" w:rsidR="006F6D75">
              <w:rPr>
                <w:rFonts w:ascii="Times New Roman" w:hAnsi="Times New Roman"/>
                <w:bCs/>
                <w:sz w:val="24"/>
                <w:szCs w:val="24"/>
              </w:rPr>
              <w:t>,</w:t>
            </w:r>
            <w:r w:rsidRPr="00505347">
              <w:rPr>
                <w:rFonts w:ascii="Times New Roman" w:hAnsi="Times New Roman"/>
                <w:bCs/>
                <w:sz w:val="24"/>
                <w:szCs w:val="24"/>
              </w:rPr>
              <w:t>000</w:t>
            </w:r>
          </w:p>
        </w:tc>
        <w:tc>
          <w:tcPr>
            <w:tcW w:w="2005" w:type="dxa"/>
          </w:tcPr>
          <w:p w:rsidR="00F75419" w:rsidRPr="00505347" w:rsidP="00192D26" w14:paraId="36F6653E" w14:textId="15101A5A">
            <w:pPr>
              <w:jc w:val="center"/>
              <w:rPr>
                <w:rFonts w:ascii="Times New Roman" w:hAnsi="Times New Roman"/>
                <w:bCs/>
                <w:sz w:val="24"/>
                <w:szCs w:val="24"/>
              </w:rPr>
            </w:pPr>
            <w:r w:rsidRPr="00505347">
              <w:rPr>
                <w:rFonts w:ascii="Times New Roman" w:hAnsi="Times New Roman"/>
                <w:bCs/>
                <w:sz w:val="24"/>
                <w:szCs w:val="24"/>
              </w:rPr>
              <w:t>$6</w:t>
            </w:r>
            <w:r w:rsidRPr="00505347" w:rsidR="000E7693">
              <w:rPr>
                <w:rFonts w:ascii="Times New Roman" w:hAnsi="Times New Roman"/>
                <w:bCs/>
                <w:sz w:val="24"/>
                <w:szCs w:val="24"/>
              </w:rPr>
              <w:t>2</w:t>
            </w:r>
            <w:r w:rsidRPr="00505347">
              <w:rPr>
                <w:rFonts w:ascii="Times New Roman" w:hAnsi="Times New Roman"/>
                <w:bCs/>
                <w:sz w:val="24"/>
                <w:szCs w:val="24"/>
              </w:rPr>
              <w:t>.</w:t>
            </w:r>
            <w:r w:rsidRPr="00505347" w:rsidR="000E7693">
              <w:rPr>
                <w:rFonts w:ascii="Times New Roman" w:hAnsi="Times New Roman"/>
                <w:bCs/>
                <w:sz w:val="24"/>
                <w:szCs w:val="24"/>
              </w:rPr>
              <w:t>96</w:t>
            </w:r>
          </w:p>
        </w:tc>
        <w:tc>
          <w:tcPr>
            <w:tcW w:w="2657" w:type="dxa"/>
          </w:tcPr>
          <w:p w:rsidR="00F75419" w:rsidRPr="00505347" w:rsidP="00192D26" w14:paraId="2596C64E" w14:textId="32F95E4E">
            <w:pPr>
              <w:jc w:val="center"/>
              <w:rPr>
                <w:rFonts w:ascii="Times New Roman" w:hAnsi="Times New Roman"/>
                <w:bCs/>
                <w:sz w:val="24"/>
                <w:szCs w:val="24"/>
              </w:rPr>
            </w:pPr>
            <w:r w:rsidRPr="00505347">
              <w:rPr>
                <w:rFonts w:ascii="Times New Roman" w:hAnsi="Times New Roman"/>
                <w:bCs/>
                <w:sz w:val="24"/>
                <w:szCs w:val="24"/>
              </w:rPr>
              <w:t>$</w:t>
            </w:r>
            <w:r w:rsidRPr="00505347" w:rsidR="000E7693">
              <w:rPr>
                <w:rFonts w:ascii="Times New Roman" w:hAnsi="Times New Roman"/>
                <w:bCs/>
                <w:sz w:val="24"/>
                <w:szCs w:val="24"/>
              </w:rPr>
              <w:t>4,281,280.00</w:t>
            </w:r>
          </w:p>
        </w:tc>
      </w:tr>
      <w:tr w14:paraId="1D163976" w14:textId="77777777" w:rsidTr="00192D26">
        <w:tblPrEx>
          <w:tblW w:w="0" w:type="auto"/>
          <w:tblLook w:val="01E0"/>
        </w:tblPrEx>
        <w:trPr>
          <w:trHeight w:val="54"/>
        </w:trPr>
        <w:tc>
          <w:tcPr>
            <w:tcW w:w="2857" w:type="dxa"/>
            <w:shd w:val="clear" w:color="auto" w:fill="auto"/>
          </w:tcPr>
          <w:p w:rsidR="00D3418A" w:rsidRPr="00505347" w:rsidP="00D3418A" w14:paraId="312EA3C5" w14:textId="7FD66615">
            <w:pPr>
              <w:rPr>
                <w:rFonts w:ascii="Times New Roman" w:hAnsi="Times New Roman"/>
                <w:bCs/>
                <w:sz w:val="24"/>
                <w:szCs w:val="24"/>
              </w:rPr>
            </w:pPr>
            <w:r w:rsidRPr="00505347">
              <w:rPr>
                <w:rFonts w:ascii="Times New Roman" w:hAnsi="Times New Roman"/>
                <w:bCs/>
                <w:sz w:val="24"/>
                <w:szCs w:val="24"/>
              </w:rPr>
              <w:t>Informed Consent/Assent</w:t>
            </w:r>
          </w:p>
        </w:tc>
        <w:tc>
          <w:tcPr>
            <w:tcW w:w="1607" w:type="dxa"/>
            <w:shd w:val="clear" w:color="auto" w:fill="auto"/>
          </w:tcPr>
          <w:p w:rsidR="00D3418A" w:rsidRPr="00505347" w:rsidP="00D3418A" w14:paraId="654D8FA9" w14:textId="074F4458">
            <w:pPr>
              <w:jc w:val="center"/>
              <w:rPr>
                <w:rFonts w:ascii="Times New Roman" w:hAnsi="Times New Roman"/>
                <w:bCs/>
                <w:sz w:val="24"/>
                <w:szCs w:val="24"/>
              </w:rPr>
            </w:pPr>
            <w:r w:rsidRPr="00505347">
              <w:rPr>
                <w:rFonts w:ascii="Times New Roman" w:hAnsi="Times New Roman"/>
                <w:bCs/>
                <w:sz w:val="24"/>
                <w:szCs w:val="24"/>
              </w:rPr>
              <w:t>7,200</w:t>
            </w:r>
          </w:p>
        </w:tc>
        <w:tc>
          <w:tcPr>
            <w:tcW w:w="2005" w:type="dxa"/>
          </w:tcPr>
          <w:p w:rsidR="00D3418A" w:rsidRPr="00505347" w:rsidP="00D3418A" w14:paraId="6B8D3117" w14:textId="6DBE302C">
            <w:pPr>
              <w:jc w:val="center"/>
              <w:rPr>
                <w:rFonts w:ascii="Times New Roman" w:hAnsi="Times New Roman"/>
                <w:bCs/>
                <w:sz w:val="24"/>
                <w:szCs w:val="24"/>
              </w:rPr>
            </w:pPr>
            <w:r w:rsidRPr="00505347">
              <w:rPr>
                <w:rFonts w:ascii="Times New Roman" w:hAnsi="Times New Roman"/>
                <w:bCs/>
                <w:sz w:val="24"/>
                <w:szCs w:val="24"/>
              </w:rPr>
              <w:t>$6</w:t>
            </w:r>
            <w:r w:rsidRPr="00505347" w:rsidR="000E7693">
              <w:rPr>
                <w:rFonts w:ascii="Times New Roman" w:hAnsi="Times New Roman"/>
                <w:bCs/>
                <w:sz w:val="24"/>
                <w:szCs w:val="24"/>
              </w:rPr>
              <w:t>2</w:t>
            </w:r>
            <w:r w:rsidRPr="00505347">
              <w:rPr>
                <w:rFonts w:ascii="Times New Roman" w:hAnsi="Times New Roman"/>
                <w:bCs/>
                <w:sz w:val="24"/>
                <w:szCs w:val="24"/>
              </w:rPr>
              <w:t>.</w:t>
            </w:r>
            <w:r w:rsidRPr="00505347" w:rsidR="000E7693">
              <w:rPr>
                <w:rFonts w:ascii="Times New Roman" w:hAnsi="Times New Roman"/>
                <w:bCs/>
                <w:sz w:val="24"/>
                <w:szCs w:val="24"/>
              </w:rPr>
              <w:t>96</w:t>
            </w:r>
          </w:p>
        </w:tc>
        <w:tc>
          <w:tcPr>
            <w:tcW w:w="2657" w:type="dxa"/>
          </w:tcPr>
          <w:p w:rsidR="00D3418A" w:rsidRPr="00505347" w:rsidP="00D3418A" w14:paraId="22A1325F" w14:textId="519A5041">
            <w:pPr>
              <w:jc w:val="center"/>
              <w:rPr>
                <w:rFonts w:ascii="Times New Roman" w:hAnsi="Times New Roman"/>
                <w:bCs/>
                <w:sz w:val="24"/>
                <w:szCs w:val="24"/>
              </w:rPr>
            </w:pPr>
            <w:r w:rsidRPr="00505347">
              <w:rPr>
                <w:rFonts w:ascii="Times New Roman" w:hAnsi="Times New Roman"/>
                <w:bCs/>
                <w:sz w:val="24"/>
                <w:szCs w:val="24"/>
              </w:rPr>
              <w:t>453,312.00</w:t>
            </w:r>
          </w:p>
        </w:tc>
      </w:tr>
      <w:tr w14:paraId="55267BD5" w14:textId="77777777" w:rsidTr="00192D26">
        <w:tblPrEx>
          <w:tblW w:w="0" w:type="auto"/>
          <w:tblLook w:val="01E0"/>
        </w:tblPrEx>
        <w:trPr>
          <w:trHeight w:val="54"/>
        </w:trPr>
        <w:tc>
          <w:tcPr>
            <w:tcW w:w="2857" w:type="dxa"/>
            <w:shd w:val="clear" w:color="auto" w:fill="auto"/>
          </w:tcPr>
          <w:p w:rsidR="00D3418A" w:rsidRPr="00505347" w:rsidP="00D3418A" w14:paraId="4CE19587" w14:textId="3CCC1892">
            <w:pPr>
              <w:rPr>
                <w:rFonts w:ascii="Times New Roman" w:hAnsi="Times New Roman"/>
                <w:bCs/>
                <w:sz w:val="24"/>
                <w:szCs w:val="24"/>
              </w:rPr>
            </w:pPr>
            <w:r w:rsidRPr="00505347">
              <w:rPr>
                <w:rFonts w:ascii="Times New Roman" w:hAnsi="Times New Roman"/>
                <w:bCs/>
                <w:sz w:val="24"/>
                <w:szCs w:val="24"/>
              </w:rPr>
              <w:t>Total</w:t>
            </w:r>
          </w:p>
        </w:tc>
        <w:tc>
          <w:tcPr>
            <w:tcW w:w="1607" w:type="dxa"/>
            <w:shd w:val="clear" w:color="auto" w:fill="auto"/>
          </w:tcPr>
          <w:p w:rsidR="00D3418A" w:rsidRPr="00505347" w:rsidP="00D3418A" w14:paraId="05323104" w14:textId="77777777">
            <w:pPr>
              <w:rPr>
                <w:rFonts w:ascii="Times New Roman" w:hAnsi="Times New Roman"/>
                <w:bCs/>
                <w:sz w:val="24"/>
                <w:szCs w:val="24"/>
              </w:rPr>
            </w:pPr>
          </w:p>
        </w:tc>
        <w:tc>
          <w:tcPr>
            <w:tcW w:w="2005" w:type="dxa"/>
          </w:tcPr>
          <w:p w:rsidR="00D3418A" w:rsidRPr="00505347" w:rsidP="00D3418A" w14:paraId="718F192D" w14:textId="77777777">
            <w:pPr>
              <w:rPr>
                <w:rFonts w:ascii="Times New Roman" w:hAnsi="Times New Roman"/>
                <w:bCs/>
                <w:sz w:val="24"/>
                <w:szCs w:val="24"/>
              </w:rPr>
            </w:pPr>
          </w:p>
        </w:tc>
        <w:tc>
          <w:tcPr>
            <w:tcW w:w="2657" w:type="dxa"/>
          </w:tcPr>
          <w:p w:rsidR="00D3418A" w:rsidRPr="00505347" w:rsidP="00D3418A" w14:paraId="19C5D26E" w14:textId="34D51B90">
            <w:pPr>
              <w:jc w:val="center"/>
              <w:rPr>
                <w:rFonts w:ascii="Times New Roman" w:hAnsi="Times New Roman"/>
                <w:bCs/>
                <w:sz w:val="24"/>
                <w:szCs w:val="24"/>
              </w:rPr>
            </w:pPr>
            <w:r w:rsidRPr="00505347">
              <w:rPr>
                <w:rFonts w:ascii="Times New Roman" w:hAnsi="Times New Roman"/>
                <w:bCs/>
                <w:sz w:val="24"/>
                <w:szCs w:val="24"/>
              </w:rPr>
              <w:t>$</w:t>
            </w:r>
            <w:r w:rsidRPr="00505347" w:rsidR="000E7693">
              <w:rPr>
                <w:rFonts w:ascii="Times New Roman" w:hAnsi="Times New Roman"/>
                <w:bCs/>
                <w:sz w:val="24"/>
                <w:szCs w:val="24"/>
              </w:rPr>
              <w:t>11,844,916.64</w:t>
            </w:r>
          </w:p>
        </w:tc>
      </w:tr>
    </w:tbl>
    <w:p w:rsidR="005C0FF9" w:rsidRPr="00505347" w14:paraId="098C15A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szCs w:val="24"/>
        </w:rPr>
      </w:pPr>
    </w:p>
    <w:p w:rsidR="005C0FF9" w:rsidRPr="00505347" w:rsidP="00F303FE" w14:paraId="5E27D17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Cs/>
          <w:sz w:val="24"/>
          <w:szCs w:val="24"/>
          <w:u w:val="single"/>
        </w:rPr>
      </w:pPr>
      <w:bookmarkStart w:id="18" w:name="_Toc239649234"/>
      <w:r w:rsidRPr="00505347">
        <w:rPr>
          <w:rFonts w:ascii="Times New Roman" w:hAnsi="Times New Roman"/>
          <w:bCs/>
          <w:sz w:val="24"/>
          <w:szCs w:val="24"/>
        </w:rPr>
        <w:t xml:space="preserve">13.  </w:t>
      </w:r>
      <w:r w:rsidRPr="00505347">
        <w:rPr>
          <w:rFonts w:ascii="Times New Roman" w:hAnsi="Times New Roman"/>
          <w:bCs/>
          <w:sz w:val="24"/>
          <w:szCs w:val="24"/>
          <w:u w:val="single"/>
        </w:rPr>
        <w:t>Estimates of Other Total Annual Cost Burden to Respondents or Record Keepers</w:t>
      </w:r>
      <w:bookmarkEnd w:id="18"/>
    </w:p>
    <w:p w:rsidR="00573151" w:rsidRPr="00505347" w:rsidP="00EF497A" w14:paraId="389B3FE9" w14:textId="544A3E1D">
      <w:pPr>
        <w:pStyle w:val="ListParagraph"/>
        <w:spacing w:before="100" w:beforeAutospacing="1" w:after="100" w:afterAutospacing="1" w:line="240" w:lineRule="auto"/>
        <w:ind w:left="0"/>
        <w:rPr>
          <w:rFonts w:ascii="Times New Roman" w:hAnsi="Times New Roman"/>
          <w:bCs/>
          <w:sz w:val="24"/>
          <w:szCs w:val="24"/>
        </w:rPr>
      </w:pPr>
      <w:r w:rsidRPr="00505347">
        <w:rPr>
          <w:rFonts w:ascii="Times New Roman" w:hAnsi="Times New Roman"/>
          <w:bCs/>
          <w:sz w:val="24"/>
          <w:szCs w:val="24"/>
        </w:rPr>
        <w:t>There are no capital, start-up, operating</w:t>
      </w:r>
      <w:r w:rsidRPr="00505347">
        <w:rPr>
          <w:rFonts w:ascii="Times New Roman" w:hAnsi="Times New Roman"/>
          <w:bCs/>
          <w:sz w:val="24"/>
          <w:szCs w:val="24"/>
        </w:rPr>
        <w:t>,</w:t>
      </w:r>
      <w:r w:rsidRPr="00505347">
        <w:rPr>
          <w:rFonts w:ascii="Times New Roman" w:hAnsi="Times New Roman"/>
          <w:bCs/>
          <w:sz w:val="24"/>
          <w:szCs w:val="24"/>
        </w:rPr>
        <w:t xml:space="preserve"> or maintenance costs associated with this information collection</w:t>
      </w:r>
      <w:r w:rsidRPr="00505347">
        <w:rPr>
          <w:rFonts w:ascii="Times New Roman" w:hAnsi="Times New Roman"/>
          <w:bCs/>
          <w:sz w:val="24"/>
          <w:szCs w:val="24"/>
        </w:rPr>
        <w:t>.</w:t>
      </w:r>
    </w:p>
    <w:p w:rsidR="005C0FF9" w:rsidRPr="00505347" w14:paraId="36EF8F4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Cs/>
          <w:sz w:val="24"/>
          <w:szCs w:val="24"/>
          <w:u w:val="single"/>
        </w:rPr>
      </w:pPr>
      <w:bookmarkStart w:id="19" w:name="_Toc239649235"/>
      <w:r w:rsidRPr="00505347">
        <w:rPr>
          <w:rFonts w:ascii="Times New Roman" w:hAnsi="Times New Roman"/>
          <w:bCs/>
          <w:sz w:val="24"/>
          <w:szCs w:val="24"/>
        </w:rPr>
        <w:t xml:space="preserve">14.  </w:t>
      </w:r>
      <w:r w:rsidRPr="00505347">
        <w:rPr>
          <w:rFonts w:ascii="Times New Roman" w:hAnsi="Times New Roman"/>
          <w:bCs/>
          <w:sz w:val="24"/>
          <w:szCs w:val="24"/>
          <w:u w:val="single"/>
        </w:rPr>
        <w:t>Annualized Cost to the Federal Government</w:t>
      </w:r>
      <w:bookmarkEnd w:id="19"/>
    </w:p>
    <w:p w:rsidR="005C0FF9" w:rsidRPr="00505347" w14:paraId="1F589B7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szCs w:val="24"/>
        </w:rPr>
      </w:pPr>
    </w:p>
    <w:p w:rsidR="001E094C" w:rsidRPr="00505347" w:rsidP="7AE98EAD" w14:paraId="2551FE8D" w14:textId="3567EC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after="200" w:line="276" w:lineRule="auto"/>
        <w:rPr>
          <w:rFonts w:ascii="Times New Roman" w:hAnsi="Times New Roman"/>
          <w:bCs/>
          <w:sz w:val="24"/>
          <w:szCs w:val="24"/>
        </w:rPr>
      </w:pPr>
      <w:r w:rsidRPr="00505347">
        <w:rPr>
          <w:rFonts w:ascii="Times New Roman" w:hAnsi="Times New Roman"/>
          <w:bCs/>
          <w:sz w:val="24"/>
          <w:szCs w:val="24"/>
        </w:rPr>
        <w:t xml:space="preserve">Costs also include contractor expenses for designing and conducting information collection activities, specifically, drawing samples, </w:t>
      </w:r>
      <w:r w:rsidRPr="00505347" w:rsidR="4F6F700E">
        <w:rPr>
          <w:rFonts w:ascii="Times New Roman" w:hAnsi="Times New Roman"/>
          <w:bCs/>
          <w:sz w:val="24"/>
          <w:szCs w:val="24"/>
        </w:rPr>
        <w:t xml:space="preserve">recruiting participants, </w:t>
      </w:r>
      <w:r w:rsidRPr="00505347">
        <w:rPr>
          <w:rFonts w:ascii="Times New Roman" w:hAnsi="Times New Roman"/>
          <w:bCs/>
          <w:sz w:val="24"/>
          <w:szCs w:val="24"/>
        </w:rPr>
        <w:t>training interviewers, collecting and analyzing information, and reporting findings. Contractor expenses may vary from $20,000-$</w:t>
      </w:r>
      <w:r w:rsidRPr="00505347" w:rsidR="0081114A">
        <w:rPr>
          <w:rFonts w:ascii="Times New Roman" w:hAnsi="Times New Roman"/>
          <w:bCs/>
          <w:sz w:val="24"/>
          <w:szCs w:val="24"/>
        </w:rPr>
        <w:t>500</w:t>
      </w:r>
      <w:r w:rsidRPr="00505347">
        <w:rPr>
          <w:rFonts w:ascii="Times New Roman" w:hAnsi="Times New Roman"/>
          <w:bCs/>
          <w:sz w:val="24"/>
          <w:szCs w:val="24"/>
        </w:rPr>
        <w:t xml:space="preserve">,000 </w:t>
      </w:r>
      <w:r w:rsidRPr="00505347" w:rsidR="003F1635">
        <w:rPr>
          <w:rFonts w:ascii="Times New Roman" w:hAnsi="Times New Roman"/>
          <w:bCs/>
          <w:sz w:val="24"/>
          <w:szCs w:val="24"/>
        </w:rPr>
        <w:t xml:space="preserve">per study </w:t>
      </w:r>
      <w:r w:rsidRPr="00505347">
        <w:rPr>
          <w:rFonts w:ascii="Times New Roman" w:hAnsi="Times New Roman"/>
          <w:bCs/>
          <w:sz w:val="24"/>
          <w:szCs w:val="24"/>
        </w:rPr>
        <w:t xml:space="preserve">depending on the size of the study. Therefore, </w:t>
      </w:r>
      <w:r w:rsidRPr="00505347" w:rsidR="001D5468">
        <w:rPr>
          <w:rFonts w:ascii="Times New Roman" w:hAnsi="Times New Roman"/>
          <w:bCs/>
          <w:sz w:val="24"/>
          <w:szCs w:val="24"/>
        </w:rPr>
        <w:t>we estimate to fund</w:t>
      </w:r>
      <w:r w:rsidRPr="00505347">
        <w:rPr>
          <w:rFonts w:ascii="Times New Roman" w:hAnsi="Times New Roman"/>
          <w:bCs/>
          <w:sz w:val="24"/>
          <w:szCs w:val="24"/>
        </w:rPr>
        <w:t xml:space="preserve"> approximately </w:t>
      </w:r>
      <w:r w:rsidRPr="00505347" w:rsidR="004A1DC3">
        <w:rPr>
          <w:rFonts w:ascii="Times New Roman" w:hAnsi="Times New Roman"/>
          <w:bCs/>
          <w:sz w:val="24"/>
          <w:szCs w:val="24"/>
        </w:rPr>
        <w:t xml:space="preserve">$1 million </w:t>
      </w:r>
      <w:r w:rsidRPr="00505347">
        <w:rPr>
          <w:rFonts w:ascii="Times New Roman" w:hAnsi="Times New Roman"/>
          <w:bCs/>
          <w:sz w:val="24"/>
          <w:szCs w:val="24"/>
        </w:rPr>
        <w:t>in contractor expenses</w:t>
      </w:r>
      <w:r w:rsidRPr="00505347" w:rsidR="001D5468">
        <w:rPr>
          <w:rFonts w:ascii="Times New Roman" w:hAnsi="Times New Roman"/>
          <w:bCs/>
          <w:sz w:val="24"/>
          <w:szCs w:val="24"/>
        </w:rPr>
        <w:t xml:space="preserve">, an increase from the last extension cycle, as we project to </w:t>
      </w:r>
      <w:r w:rsidRPr="00505347">
        <w:rPr>
          <w:rFonts w:ascii="Times New Roman" w:hAnsi="Times New Roman"/>
          <w:bCs/>
          <w:sz w:val="24"/>
          <w:szCs w:val="24"/>
        </w:rPr>
        <w:t xml:space="preserve">fund at least </w:t>
      </w:r>
      <w:r w:rsidRPr="00505347" w:rsidR="00573151">
        <w:rPr>
          <w:rFonts w:ascii="Times New Roman" w:hAnsi="Times New Roman"/>
          <w:bCs/>
          <w:sz w:val="24"/>
          <w:szCs w:val="24"/>
        </w:rPr>
        <w:t>two</w:t>
      </w:r>
      <w:r w:rsidRPr="00505347">
        <w:rPr>
          <w:rFonts w:ascii="Times New Roman" w:hAnsi="Times New Roman"/>
          <w:bCs/>
          <w:sz w:val="24"/>
          <w:szCs w:val="24"/>
        </w:rPr>
        <w:t xml:space="preserve"> large scale study and </w:t>
      </w:r>
      <w:r w:rsidRPr="00505347" w:rsidR="00573151">
        <w:rPr>
          <w:rFonts w:ascii="Times New Roman" w:hAnsi="Times New Roman"/>
          <w:bCs/>
          <w:sz w:val="24"/>
          <w:szCs w:val="24"/>
        </w:rPr>
        <w:t>eight</w:t>
      </w:r>
      <w:r w:rsidRPr="00505347">
        <w:rPr>
          <w:rFonts w:ascii="Times New Roman" w:hAnsi="Times New Roman"/>
          <w:bCs/>
          <w:sz w:val="24"/>
          <w:szCs w:val="24"/>
        </w:rPr>
        <w:t xml:space="preserve"> smaller scale studies</w:t>
      </w:r>
      <w:r w:rsidRPr="00505347" w:rsidR="001D5468">
        <w:rPr>
          <w:rFonts w:ascii="Times New Roman" w:hAnsi="Times New Roman"/>
          <w:bCs/>
          <w:sz w:val="24"/>
          <w:szCs w:val="24"/>
        </w:rPr>
        <w:t>.</w:t>
      </w:r>
    </w:p>
    <w:p w:rsidR="00A703F9" w:rsidRPr="00505347" w:rsidP="00A703F9" w14:paraId="559F2F87" w14:textId="7E4211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szCs w:val="24"/>
        </w:rPr>
      </w:pPr>
      <w:r w:rsidRPr="00505347">
        <w:rPr>
          <w:rFonts w:ascii="Times New Roman" w:hAnsi="Times New Roman"/>
          <w:bCs/>
          <w:sz w:val="24"/>
          <w:szCs w:val="24"/>
        </w:rPr>
        <w:t>In addition, government staff costs may be incurred for monitoring by the government Project Officer and Senior Analyst, projected to be about 25</w:t>
      </w:r>
      <w:r w:rsidRPr="00505347" w:rsidR="00573151">
        <w:rPr>
          <w:rFonts w:ascii="Times New Roman" w:hAnsi="Times New Roman"/>
          <w:bCs/>
          <w:sz w:val="24"/>
          <w:szCs w:val="24"/>
        </w:rPr>
        <w:t xml:space="preserve"> percent</w:t>
      </w:r>
      <w:r w:rsidRPr="00505347">
        <w:rPr>
          <w:rFonts w:ascii="Times New Roman" w:hAnsi="Times New Roman"/>
          <w:bCs/>
          <w:sz w:val="24"/>
          <w:szCs w:val="24"/>
        </w:rPr>
        <w:t xml:space="preserve"> of an FTE’s time per year (522 </w:t>
      </w:r>
      <w:r w:rsidRPr="00505347">
        <w:rPr>
          <w:rFonts w:ascii="Times New Roman" w:hAnsi="Times New Roman"/>
          <w:bCs/>
          <w:sz w:val="24"/>
          <w:szCs w:val="24"/>
        </w:rPr>
        <w:t xml:space="preserve">hours).  Given an FDA personnel cost of </w:t>
      </w:r>
      <w:r w:rsidRPr="00505347" w:rsidR="006E2D22">
        <w:rPr>
          <w:rFonts w:ascii="Times New Roman" w:hAnsi="Times New Roman"/>
          <w:bCs/>
          <w:sz w:val="24"/>
          <w:szCs w:val="24"/>
        </w:rPr>
        <w:t xml:space="preserve">$56.52 </w:t>
      </w:r>
      <w:r w:rsidRPr="00505347">
        <w:rPr>
          <w:rFonts w:ascii="Times New Roman" w:hAnsi="Times New Roman"/>
          <w:bCs/>
          <w:sz w:val="24"/>
          <w:szCs w:val="24"/>
        </w:rPr>
        <w:t xml:space="preserve">per hour, </w:t>
      </w:r>
      <w:r w:rsidRPr="00505347" w:rsidR="00B07B15">
        <w:rPr>
          <w:rFonts w:ascii="Times New Roman" w:hAnsi="Times New Roman"/>
          <w:bCs/>
          <w:sz w:val="24"/>
          <w:szCs w:val="24"/>
        </w:rPr>
        <w:t xml:space="preserve">an estimated </w:t>
      </w:r>
      <w:r w:rsidRPr="00505347" w:rsidR="00B7212B">
        <w:rPr>
          <w:rFonts w:ascii="Times New Roman" w:hAnsi="Times New Roman"/>
          <w:bCs/>
          <w:sz w:val="24"/>
          <w:szCs w:val="24"/>
        </w:rPr>
        <w:t>$</w:t>
      </w:r>
      <w:r w:rsidRPr="00505347" w:rsidR="00C71091">
        <w:rPr>
          <w:rFonts w:ascii="Times New Roman" w:hAnsi="Times New Roman"/>
          <w:bCs/>
          <w:sz w:val="24"/>
          <w:szCs w:val="24"/>
        </w:rPr>
        <w:t xml:space="preserve">29,503.44 </w:t>
      </w:r>
      <w:r w:rsidRPr="00505347">
        <w:rPr>
          <w:rFonts w:ascii="Times New Roman" w:hAnsi="Times New Roman"/>
          <w:bCs/>
          <w:sz w:val="24"/>
          <w:szCs w:val="24"/>
        </w:rPr>
        <w:t>would be spent annually on government staff salaries.</w:t>
      </w:r>
    </w:p>
    <w:p w:rsidR="00A703F9" w:rsidRPr="00505347" w:rsidP="00A703F9" w14:paraId="56EF32B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szCs w:val="24"/>
        </w:rPr>
      </w:pPr>
    </w:p>
    <w:p w:rsidR="0062780A" w:rsidRPr="00505347" w:rsidP="000B1160" w14:paraId="6D30DD63" w14:textId="22FA5FC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szCs w:val="24"/>
        </w:rPr>
      </w:pPr>
      <w:r>
        <w:rPr>
          <w:rFonts w:ascii="Times New Roman" w:hAnsi="Times New Roman"/>
          <w:bCs/>
          <w:sz w:val="24"/>
          <w:szCs w:val="24"/>
        </w:rPr>
        <w:t xml:space="preserve">Therefore, we estimate a total of </w:t>
      </w:r>
      <w:r w:rsidRPr="00505347">
        <w:rPr>
          <w:rFonts w:ascii="Times New Roman" w:hAnsi="Times New Roman"/>
          <w:bCs/>
          <w:sz w:val="24"/>
          <w:szCs w:val="24"/>
        </w:rPr>
        <w:t>$1,0</w:t>
      </w:r>
      <w:r w:rsidRPr="00505347" w:rsidR="00C71091">
        <w:rPr>
          <w:rFonts w:ascii="Times New Roman" w:hAnsi="Times New Roman"/>
          <w:bCs/>
          <w:sz w:val="24"/>
          <w:szCs w:val="24"/>
        </w:rPr>
        <w:t>29,503.44</w:t>
      </w:r>
      <w:r w:rsidRPr="00505347">
        <w:rPr>
          <w:rFonts w:ascii="Times New Roman" w:hAnsi="Times New Roman"/>
          <w:bCs/>
          <w:sz w:val="24"/>
          <w:szCs w:val="24"/>
        </w:rPr>
        <w:t xml:space="preserve"> (which </w:t>
      </w:r>
      <w:r w:rsidRPr="00505347" w:rsidR="001D5468">
        <w:rPr>
          <w:rFonts w:ascii="Times New Roman" w:hAnsi="Times New Roman"/>
          <w:bCs/>
          <w:sz w:val="24"/>
          <w:szCs w:val="24"/>
        </w:rPr>
        <w:t xml:space="preserve">includes </w:t>
      </w:r>
      <w:r w:rsidRPr="00505347">
        <w:rPr>
          <w:rFonts w:ascii="Times New Roman" w:hAnsi="Times New Roman"/>
          <w:bCs/>
          <w:sz w:val="24"/>
          <w:szCs w:val="24"/>
        </w:rPr>
        <w:t>the total of contractor expenses ($1 million) plus FDA government staff salary cost ($</w:t>
      </w:r>
      <w:r w:rsidRPr="00505347" w:rsidR="00C71091">
        <w:rPr>
          <w:rFonts w:ascii="Times New Roman" w:hAnsi="Times New Roman"/>
          <w:bCs/>
          <w:sz w:val="24"/>
          <w:szCs w:val="24"/>
        </w:rPr>
        <w:t>29,503.44</w:t>
      </w:r>
      <w:r w:rsidRPr="00505347">
        <w:rPr>
          <w:rFonts w:ascii="Times New Roman" w:hAnsi="Times New Roman"/>
          <w:bCs/>
          <w:sz w:val="24"/>
          <w:szCs w:val="24"/>
        </w:rPr>
        <w:t>)).</w:t>
      </w:r>
    </w:p>
    <w:p w:rsidR="000B1160" w:rsidRPr="00505347" w:rsidP="000B1160" w14:paraId="30DE83D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szCs w:val="24"/>
        </w:rPr>
      </w:pPr>
    </w:p>
    <w:p w:rsidR="005C0FF9" w:rsidRPr="00505347" w14:paraId="3581006B" w14:textId="679280B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Cs/>
          <w:sz w:val="24"/>
          <w:szCs w:val="24"/>
          <w:u w:val="single"/>
        </w:rPr>
      </w:pPr>
      <w:bookmarkStart w:id="20" w:name="_Toc239649236"/>
      <w:r w:rsidRPr="00505347">
        <w:rPr>
          <w:rFonts w:ascii="Times New Roman" w:hAnsi="Times New Roman"/>
          <w:bCs/>
          <w:sz w:val="24"/>
          <w:szCs w:val="24"/>
        </w:rPr>
        <w:t xml:space="preserve">15.  </w:t>
      </w:r>
      <w:r w:rsidRPr="00505347">
        <w:rPr>
          <w:rFonts w:ascii="Times New Roman" w:hAnsi="Times New Roman"/>
          <w:bCs/>
          <w:sz w:val="24"/>
          <w:szCs w:val="24"/>
          <w:u w:val="single"/>
        </w:rPr>
        <w:t>Explanation for Program Changes or Adjustments</w:t>
      </w:r>
      <w:bookmarkEnd w:id="20"/>
    </w:p>
    <w:p w:rsidR="005C0FF9" w:rsidRPr="00505347" w14:paraId="30F9C8B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szCs w:val="24"/>
        </w:rPr>
      </w:pPr>
    </w:p>
    <w:p w:rsidR="00FC721B" w:rsidRPr="00505347" w:rsidP="3EA4798D" w14:paraId="5F0B34F8" w14:textId="37F4C6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szCs w:val="24"/>
        </w:rPr>
      </w:pPr>
      <w:r w:rsidRPr="00505347">
        <w:rPr>
          <w:rFonts w:ascii="Times New Roman" w:hAnsi="Times New Roman"/>
          <w:bCs/>
          <w:sz w:val="24"/>
          <w:szCs w:val="24"/>
        </w:rPr>
        <w:t>Our estimated burden for the information collection reflects an overall increase of 96,269 hours and a corresponding increase of 1,106,692 responses. We attribute this adjustment to the number of study responses used during the current approval and now estimated for the next 3 years. A greater number of quantitative studies will be conducted over the next 3 years due to the need to develop new creative messages and content. Recent years have seen a dramatic change in media. With the shift to digital media, FDA must adapt to communicate effectively in a digital environment. As digital tobacco use prevention/interventions are still in their infancy, we must better understand the types of digital channels available. To impact public health outcomes, we need to understand how to reach our intended audience. New foundational studies are needed (including those on digital metrics, measurement, and implementation) to support activities and initiatives that will enable the public to receive evidence-based, timely, and clear health communication and education. As a result, we have adjusted our burden estimate and revised the number of respondents to the information collection.</w:t>
      </w:r>
    </w:p>
    <w:p w:rsidR="00DF7C2B" w:rsidRPr="00505347" w14:paraId="44761F8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szCs w:val="24"/>
        </w:rPr>
      </w:pPr>
    </w:p>
    <w:p w:rsidR="005C0FF9" w:rsidRPr="00505347" w14:paraId="6C4F71F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Cs/>
          <w:sz w:val="24"/>
          <w:szCs w:val="24"/>
          <w:u w:val="single"/>
        </w:rPr>
      </w:pPr>
      <w:bookmarkStart w:id="21" w:name="_Toc239649237"/>
      <w:r w:rsidRPr="00505347">
        <w:rPr>
          <w:rFonts w:ascii="Times New Roman" w:hAnsi="Times New Roman"/>
          <w:bCs/>
          <w:sz w:val="24"/>
          <w:szCs w:val="24"/>
        </w:rPr>
        <w:t xml:space="preserve">16.  </w:t>
      </w:r>
      <w:r w:rsidRPr="00505347">
        <w:rPr>
          <w:rFonts w:ascii="Times New Roman" w:hAnsi="Times New Roman"/>
          <w:bCs/>
          <w:sz w:val="24"/>
          <w:szCs w:val="24"/>
          <w:u w:val="single"/>
        </w:rPr>
        <w:t>Plans for Tabulation and Publication and Project Time Schedule</w:t>
      </w:r>
      <w:bookmarkEnd w:id="21"/>
    </w:p>
    <w:p w:rsidR="005C0FF9" w:rsidRPr="00505347" w14:paraId="3ED4AE4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szCs w:val="24"/>
        </w:rPr>
      </w:pPr>
    </w:p>
    <w:p w:rsidR="005C0FF9" w:rsidRPr="00505347" w14:paraId="002EE2FE" w14:textId="2026F2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szCs w:val="24"/>
        </w:rPr>
      </w:pPr>
      <w:r w:rsidRPr="00505347">
        <w:rPr>
          <w:rFonts w:ascii="Times New Roman" w:hAnsi="Times New Roman"/>
          <w:bCs/>
          <w:sz w:val="24"/>
          <w:szCs w:val="24"/>
        </w:rPr>
        <w:t xml:space="preserve">The process for </w:t>
      </w:r>
      <w:r w:rsidRPr="00505347" w:rsidR="00520F63">
        <w:rPr>
          <w:rFonts w:ascii="Times New Roman" w:hAnsi="Times New Roman"/>
          <w:bCs/>
          <w:sz w:val="24"/>
          <w:szCs w:val="24"/>
        </w:rPr>
        <w:t>conducting</w:t>
      </w:r>
      <w:r w:rsidRPr="00505347" w:rsidR="003874B9">
        <w:rPr>
          <w:rFonts w:ascii="Times New Roman" w:hAnsi="Times New Roman"/>
          <w:bCs/>
          <w:sz w:val="24"/>
          <w:szCs w:val="24"/>
        </w:rPr>
        <w:t xml:space="preserve"> quantitative research include</w:t>
      </w:r>
      <w:r w:rsidRPr="00505347" w:rsidR="00520F63">
        <w:rPr>
          <w:rFonts w:ascii="Times New Roman" w:hAnsi="Times New Roman"/>
          <w:bCs/>
          <w:sz w:val="24"/>
          <w:szCs w:val="24"/>
        </w:rPr>
        <w:t>s</w:t>
      </w:r>
      <w:r w:rsidRPr="00505347" w:rsidR="003874B9">
        <w:rPr>
          <w:rFonts w:ascii="Times New Roman" w:hAnsi="Times New Roman"/>
          <w:bCs/>
          <w:sz w:val="24"/>
          <w:szCs w:val="24"/>
        </w:rPr>
        <w:t xml:space="preserve"> the following steps: </w:t>
      </w:r>
      <w:r w:rsidRPr="00505347">
        <w:rPr>
          <w:rFonts w:ascii="Times New Roman" w:hAnsi="Times New Roman"/>
          <w:bCs/>
          <w:sz w:val="24"/>
          <w:szCs w:val="24"/>
        </w:rPr>
        <w:t xml:space="preserve"> </w:t>
      </w:r>
      <w:r w:rsidRPr="00505347" w:rsidR="003874B9">
        <w:rPr>
          <w:rFonts w:ascii="Times New Roman" w:hAnsi="Times New Roman"/>
          <w:bCs/>
          <w:sz w:val="24"/>
          <w:szCs w:val="24"/>
        </w:rPr>
        <w:t xml:space="preserve">first, the objectives are discussed, next the analytic questions to be addressed are determine, </w:t>
      </w:r>
      <w:r w:rsidRPr="00505347" w:rsidR="00520F63">
        <w:rPr>
          <w:rFonts w:ascii="Times New Roman" w:hAnsi="Times New Roman"/>
          <w:bCs/>
          <w:sz w:val="24"/>
          <w:szCs w:val="24"/>
        </w:rPr>
        <w:t xml:space="preserve">then the procedures, instruments and data analysis plan are developed. </w:t>
      </w:r>
      <w:r w:rsidRPr="00505347">
        <w:rPr>
          <w:rFonts w:ascii="Times New Roman" w:hAnsi="Times New Roman"/>
          <w:bCs/>
          <w:sz w:val="24"/>
          <w:szCs w:val="24"/>
        </w:rPr>
        <w:t xml:space="preserve">The analyses conducted for each </w:t>
      </w:r>
      <w:r w:rsidRPr="00505347" w:rsidR="00520F63">
        <w:rPr>
          <w:rFonts w:ascii="Times New Roman" w:hAnsi="Times New Roman"/>
          <w:bCs/>
          <w:sz w:val="24"/>
          <w:szCs w:val="24"/>
        </w:rPr>
        <w:t>quantitative research study</w:t>
      </w:r>
      <w:r w:rsidRPr="00505347">
        <w:rPr>
          <w:rFonts w:ascii="Times New Roman" w:hAnsi="Times New Roman"/>
          <w:bCs/>
          <w:sz w:val="24"/>
          <w:szCs w:val="24"/>
        </w:rPr>
        <w:t xml:space="preserve"> will be determined by the objectives, the </w:t>
      </w:r>
      <w:r w:rsidRPr="00505347" w:rsidR="00520F63">
        <w:rPr>
          <w:rFonts w:ascii="Times New Roman" w:hAnsi="Times New Roman"/>
          <w:bCs/>
          <w:sz w:val="24"/>
          <w:szCs w:val="24"/>
        </w:rPr>
        <w:t>data being collected</w:t>
      </w:r>
      <w:r w:rsidRPr="00505347">
        <w:rPr>
          <w:rFonts w:ascii="Times New Roman" w:hAnsi="Times New Roman"/>
          <w:bCs/>
          <w:sz w:val="24"/>
          <w:szCs w:val="24"/>
        </w:rPr>
        <w:t xml:space="preserve">, and the </w:t>
      </w:r>
      <w:r w:rsidRPr="00505347" w:rsidR="00520F63">
        <w:rPr>
          <w:rFonts w:ascii="Times New Roman" w:hAnsi="Times New Roman"/>
          <w:bCs/>
          <w:sz w:val="24"/>
          <w:szCs w:val="24"/>
        </w:rPr>
        <w:t>characteristics of the participants</w:t>
      </w:r>
      <w:r w:rsidRPr="00505347">
        <w:rPr>
          <w:rFonts w:ascii="Times New Roman" w:hAnsi="Times New Roman"/>
          <w:bCs/>
          <w:sz w:val="24"/>
          <w:szCs w:val="24"/>
        </w:rPr>
        <w:t xml:space="preserve">. Specifics of the analyses cannot be determined </w:t>
      </w:r>
      <w:r w:rsidRPr="00505347" w:rsidR="00520F63">
        <w:rPr>
          <w:rFonts w:ascii="Times New Roman" w:hAnsi="Times New Roman"/>
          <w:bCs/>
          <w:sz w:val="24"/>
          <w:szCs w:val="24"/>
        </w:rPr>
        <w:t>until the survey instrument is developed.</w:t>
      </w:r>
    </w:p>
    <w:p w:rsidR="005C0FF9" w:rsidRPr="00505347" w14:paraId="21C6CDC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bCs/>
          <w:sz w:val="24"/>
          <w:szCs w:val="24"/>
        </w:rPr>
      </w:pPr>
    </w:p>
    <w:p w:rsidR="005C0FF9" w:rsidRPr="00505347" w:rsidP="7AE98EAD" w14:paraId="62D19BF8" w14:textId="1121DD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szCs w:val="24"/>
        </w:rPr>
      </w:pPr>
      <w:r w:rsidRPr="00505347">
        <w:rPr>
          <w:rFonts w:ascii="Times New Roman" w:hAnsi="Times New Roman"/>
          <w:bCs/>
          <w:sz w:val="24"/>
          <w:szCs w:val="24"/>
        </w:rPr>
        <w:t xml:space="preserve">Techniques include primarily </w:t>
      </w:r>
      <w:r w:rsidRPr="00505347" w:rsidR="00DE44F9">
        <w:rPr>
          <w:rFonts w:ascii="Times New Roman" w:hAnsi="Times New Roman"/>
          <w:bCs/>
          <w:sz w:val="24"/>
          <w:szCs w:val="24"/>
        </w:rPr>
        <w:t xml:space="preserve">quantitative </w:t>
      </w:r>
      <w:r w:rsidRPr="00505347">
        <w:rPr>
          <w:rFonts w:ascii="Times New Roman" w:hAnsi="Times New Roman"/>
          <w:bCs/>
          <w:sz w:val="24"/>
          <w:szCs w:val="24"/>
        </w:rPr>
        <w:t>analyses using descriptive statistics</w:t>
      </w:r>
      <w:r w:rsidRPr="00505347" w:rsidR="00C63BCA">
        <w:rPr>
          <w:rFonts w:ascii="Times New Roman" w:hAnsi="Times New Roman"/>
          <w:bCs/>
          <w:sz w:val="24"/>
          <w:szCs w:val="24"/>
        </w:rPr>
        <w:t>.</w:t>
      </w:r>
      <w:r w:rsidRPr="00505347" w:rsidR="00DE44F9">
        <w:rPr>
          <w:rFonts w:ascii="Times New Roman" w:hAnsi="Times New Roman"/>
          <w:bCs/>
          <w:sz w:val="24"/>
          <w:szCs w:val="24"/>
        </w:rPr>
        <w:t xml:space="preserve"> D</w:t>
      </w:r>
      <w:r w:rsidRPr="00505347">
        <w:rPr>
          <w:rFonts w:ascii="Times New Roman" w:hAnsi="Times New Roman"/>
          <w:bCs/>
          <w:sz w:val="24"/>
          <w:szCs w:val="24"/>
        </w:rPr>
        <w:t>escriptive statistics</w:t>
      </w:r>
      <w:r w:rsidRPr="00505347" w:rsidR="00DD5987">
        <w:rPr>
          <w:rFonts w:ascii="Times New Roman" w:hAnsi="Times New Roman"/>
          <w:bCs/>
          <w:sz w:val="24"/>
          <w:szCs w:val="24"/>
        </w:rPr>
        <w:t xml:space="preserve"> </w:t>
      </w:r>
      <w:r w:rsidRPr="00505347">
        <w:rPr>
          <w:rFonts w:ascii="Times New Roman" w:hAnsi="Times New Roman"/>
          <w:bCs/>
          <w:sz w:val="24"/>
          <w:szCs w:val="24"/>
        </w:rPr>
        <w:t>—</w:t>
      </w:r>
      <w:r w:rsidRPr="00505347" w:rsidR="00DD5987">
        <w:rPr>
          <w:rFonts w:ascii="Times New Roman" w:hAnsi="Times New Roman"/>
          <w:bCs/>
          <w:sz w:val="24"/>
          <w:szCs w:val="24"/>
        </w:rPr>
        <w:t xml:space="preserve"> </w:t>
      </w:r>
      <w:r w:rsidRPr="00505347">
        <w:rPr>
          <w:rFonts w:ascii="Times New Roman" w:hAnsi="Times New Roman"/>
          <w:bCs/>
          <w:sz w:val="24"/>
          <w:szCs w:val="24"/>
        </w:rPr>
        <w:t>including percentages, cross tabulations, and averages</w:t>
      </w:r>
      <w:r w:rsidRPr="00505347" w:rsidR="00DD5987">
        <w:rPr>
          <w:rFonts w:ascii="Times New Roman" w:hAnsi="Times New Roman"/>
          <w:bCs/>
          <w:sz w:val="24"/>
          <w:szCs w:val="24"/>
        </w:rPr>
        <w:t xml:space="preserve"> </w:t>
      </w:r>
      <w:r w:rsidRPr="00505347">
        <w:rPr>
          <w:rFonts w:ascii="Times New Roman" w:hAnsi="Times New Roman"/>
          <w:bCs/>
          <w:sz w:val="24"/>
          <w:szCs w:val="24"/>
        </w:rPr>
        <w:t>—</w:t>
      </w:r>
      <w:r w:rsidRPr="00505347" w:rsidR="00DD5987">
        <w:rPr>
          <w:rFonts w:ascii="Times New Roman" w:hAnsi="Times New Roman"/>
          <w:bCs/>
          <w:sz w:val="24"/>
          <w:szCs w:val="24"/>
        </w:rPr>
        <w:t xml:space="preserve"> </w:t>
      </w:r>
      <w:r w:rsidRPr="00505347">
        <w:rPr>
          <w:rFonts w:ascii="Times New Roman" w:hAnsi="Times New Roman"/>
          <w:bCs/>
          <w:sz w:val="24"/>
          <w:szCs w:val="24"/>
        </w:rPr>
        <w:t xml:space="preserve">will be calculated and presented, along with demographic descriptions of study respondents.  Information collected from study participants will be subjected to subgroup analyses to uncover potential differences among key groups (defined by gender, age, race/ethnicity, etc.). </w:t>
      </w:r>
      <w:r w:rsidRPr="00505347" w:rsidR="00077D08">
        <w:rPr>
          <w:rFonts w:ascii="Times New Roman" w:hAnsi="Times New Roman"/>
          <w:bCs/>
          <w:sz w:val="24"/>
          <w:szCs w:val="24"/>
        </w:rPr>
        <w:t>Inferential s</w:t>
      </w:r>
      <w:r w:rsidRPr="00505347">
        <w:rPr>
          <w:rFonts w:ascii="Times New Roman" w:hAnsi="Times New Roman"/>
          <w:bCs/>
          <w:sz w:val="24"/>
          <w:szCs w:val="24"/>
        </w:rPr>
        <w:t xml:space="preserve">tatistical analyses may </w:t>
      </w:r>
      <w:r w:rsidRPr="00505347" w:rsidR="00077D08">
        <w:rPr>
          <w:rFonts w:ascii="Times New Roman" w:hAnsi="Times New Roman"/>
          <w:bCs/>
          <w:sz w:val="24"/>
          <w:szCs w:val="24"/>
        </w:rPr>
        <w:t xml:space="preserve">also </w:t>
      </w:r>
      <w:r w:rsidRPr="00505347">
        <w:rPr>
          <w:rFonts w:ascii="Times New Roman" w:hAnsi="Times New Roman"/>
          <w:bCs/>
          <w:sz w:val="24"/>
          <w:szCs w:val="24"/>
        </w:rPr>
        <w:t>be conducted using cross-tabulation procedures with categorical variables (e.g., chi-square) and between-group procedures with continuous variables (e.g., ANOVA and t</w:t>
      </w:r>
      <w:r w:rsidRPr="00505347" w:rsidR="006E225C">
        <w:rPr>
          <w:rFonts w:ascii="Times New Roman" w:hAnsi="Times New Roman"/>
          <w:bCs/>
          <w:sz w:val="24"/>
          <w:szCs w:val="24"/>
        </w:rPr>
        <w:t>-</w:t>
      </w:r>
      <w:r w:rsidRPr="00505347">
        <w:rPr>
          <w:rFonts w:ascii="Times New Roman" w:hAnsi="Times New Roman"/>
          <w:bCs/>
          <w:sz w:val="24"/>
          <w:szCs w:val="24"/>
        </w:rPr>
        <w:t>tests).  Parametric statistical tests will be used in the case of sufficient sample sizes, normal distributions, and continuous or interval data; nonparametric procedures will be used otherwise.</w:t>
      </w:r>
      <w:r w:rsidRPr="00505347" w:rsidR="00DB125A">
        <w:rPr>
          <w:rFonts w:ascii="Times New Roman" w:hAnsi="Times New Roman"/>
          <w:bCs/>
          <w:sz w:val="24"/>
          <w:szCs w:val="24"/>
        </w:rPr>
        <w:t xml:space="preserve"> </w:t>
      </w:r>
      <w:r w:rsidRPr="00505347" w:rsidR="000D01FC">
        <w:rPr>
          <w:rFonts w:ascii="Times New Roman" w:hAnsi="Times New Roman"/>
          <w:bCs/>
          <w:sz w:val="24"/>
          <w:szCs w:val="24"/>
        </w:rPr>
        <w:t>All</w:t>
      </w:r>
      <w:r w:rsidRPr="00505347" w:rsidR="00DB125A">
        <w:rPr>
          <w:rFonts w:ascii="Times New Roman" w:hAnsi="Times New Roman"/>
          <w:bCs/>
          <w:sz w:val="24"/>
          <w:szCs w:val="24"/>
        </w:rPr>
        <w:t xml:space="preserve"> the analyses will be done in the context of understanding the limitations of the data with respect to </w:t>
      </w:r>
      <w:r w:rsidRPr="00505347" w:rsidR="2EC1E2A7">
        <w:rPr>
          <w:rFonts w:ascii="Times New Roman" w:hAnsi="Times New Roman"/>
          <w:bCs/>
          <w:sz w:val="24"/>
          <w:szCs w:val="24"/>
        </w:rPr>
        <w:t>the extent to which they represent</w:t>
      </w:r>
      <w:r w:rsidRPr="00505347" w:rsidR="00F42249">
        <w:rPr>
          <w:rFonts w:ascii="Times New Roman" w:hAnsi="Times New Roman"/>
          <w:bCs/>
          <w:sz w:val="24"/>
          <w:szCs w:val="24"/>
        </w:rPr>
        <w:t xml:space="preserve"> population parame</w:t>
      </w:r>
      <w:r w:rsidRPr="00505347" w:rsidR="00DB125A">
        <w:rPr>
          <w:rFonts w:ascii="Times New Roman" w:hAnsi="Times New Roman"/>
          <w:bCs/>
          <w:sz w:val="24"/>
          <w:szCs w:val="24"/>
        </w:rPr>
        <w:t>ters</w:t>
      </w:r>
      <w:r w:rsidRPr="00505347" w:rsidR="00F42249">
        <w:rPr>
          <w:rFonts w:ascii="Times New Roman" w:hAnsi="Times New Roman"/>
          <w:bCs/>
          <w:sz w:val="24"/>
          <w:szCs w:val="24"/>
        </w:rPr>
        <w:t>.</w:t>
      </w:r>
    </w:p>
    <w:p w:rsidR="005C0FF9" w:rsidRPr="00505347" w:rsidP="7AE98EAD" w14:paraId="1E595C4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szCs w:val="24"/>
        </w:rPr>
      </w:pPr>
    </w:p>
    <w:p w:rsidR="006731AE" w:rsidRPr="00505347" w:rsidP="006731AE" w14:paraId="766B1EC2" w14:textId="5B2C2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szCs w:val="24"/>
        </w:rPr>
      </w:pPr>
      <w:r w:rsidRPr="00505347">
        <w:rPr>
          <w:rFonts w:ascii="Times New Roman" w:hAnsi="Times New Roman"/>
          <w:bCs/>
          <w:sz w:val="24"/>
          <w:szCs w:val="24"/>
        </w:rPr>
        <w:t xml:space="preserve">While the primary purpose of quantitative research is to provide information to FDA, FDA may make the results available to a variety of health program planners at Government agencies, voluntary organizations, health professional organizations, and medical institutions.  In addition, FDA may present the findings of its work at professional association meetings, including those of the Society for Research on Nicotine and Tobacco and the American Public Health Association.  Some results may be published in professional journals such as the </w:t>
      </w:r>
      <w:r w:rsidRPr="00505347">
        <w:rPr>
          <w:rFonts w:ascii="Times New Roman" w:hAnsi="Times New Roman"/>
          <w:bCs/>
          <w:i/>
          <w:iCs/>
          <w:sz w:val="24"/>
          <w:szCs w:val="24"/>
        </w:rPr>
        <w:t>Journal of Public Policy and Marketing</w:t>
      </w:r>
      <w:r w:rsidRPr="00505347">
        <w:rPr>
          <w:rFonts w:ascii="Times New Roman" w:hAnsi="Times New Roman"/>
          <w:bCs/>
          <w:sz w:val="24"/>
          <w:szCs w:val="24"/>
        </w:rPr>
        <w:t xml:space="preserve"> and </w:t>
      </w:r>
      <w:r w:rsidRPr="00505347">
        <w:rPr>
          <w:rFonts w:ascii="Times New Roman" w:hAnsi="Times New Roman"/>
          <w:bCs/>
          <w:i/>
          <w:iCs/>
          <w:sz w:val="24"/>
          <w:szCs w:val="24"/>
        </w:rPr>
        <w:t>Tobacco Control</w:t>
      </w:r>
      <w:r w:rsidRPr="00505347">
        <w:rPr>
          <w:rFonts w:ascii="Times New Roman" w:hAnsi="Times New Roman"/>
          <w:bCs/>
          <w:sz w:val="24"/>
          <w:szCs w:val="24"/>
        </w:rPr>
        <w:t>. In any findings presented at professional association meetings or in professional journals, FDA will state the limitations of the data by recognizing the qualitative and non-representative nature of its research.</w:t>
      </w:r>
    </w:p>
    <w:p w:rsidR="006731AE" w:rsidRPr="00505347" w:rsidP="006731AE" w14:paraId="28D0934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szCs w:val="24"/>
        </w:rPr>
      </w:pPr>
    </w:p>
    <w:p w:rsidR="1A5D4FE6" w:rsidRPr="00505347" w:rsidP="006731AE" w14:paraId="25AB7E0C" w14:textId="0687F5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505347">
        <w:rPr>
          <w:rFonts w:ascii="Times New Roman" w:hAnsi="Times New Roman"/>
          <w:bCs/>
          <w:sz w:val="24"/>
          <w:szCs w:val="24"/>
        </w:rPr>
        <w:t>Specific timelines associated with the individual quantitative research projects are not known at this time. While data collection period varies somewhat depending on the complexity of the design and number of respondents required, the typical study will require approximately 15 weeks</w:t>
      </w:r>
      <w:r w:rsidRPr="00505347">
        <w:rPr>
          <w:rFonts w:ascii="Times New Roman" w:hAnsi="Times New Roman"/>
          <w:bCs/>
          <w:color w:val="008080"/>
          <w:sz w:val="24"/>
          <w:szCs w:val="24"/>
          <w:u w:val="single"/>
        </w:rPr>
        <w:t xml:space="preserve"> </w:t>
      </w:r>
      <w:r w:rsidRPr="00505347">
        <w:rPr>
          <w:rFonts w:ascii="Times New Roman" w:hAnsi="Times New Roman"/>
          <w:bCs/>
          <w:sz w:val="24"/>
          <w:szCs w:val="24"/>
        </w:rPr>
        <w:t>following OMB approval from data collection</w:t>
      </w:r>
      <w:r w:rsidRPr="00505347">
        <w:rPr>
          <w:rFonts w:ascii="Times New Roman" w:hAnsi="Times New Roman"/>
          <w:bCs/>
          <w:sz w:val="24"/>
          <w:szCs w:val="24"/>
          <w:u w:val="single"/>
        </w:rPr>
        <w:t xml:space="preserve"> </w:t>
      </w:r>
      <w:r w:rsidRPr="00505347">
        <w:rPr>
          <w:rFonts w:ascii="Times New Roman" w:hAnsi="Times New Roman"/>
          <w:bCs/>
          <w:sz w:val="24"/>
          <w:szCs w:val="24"/>
        </w:rPr>
        <w:t>to preparation of the report of findings. A schedule for a typical data collection is shown below:</w:t>
      </w:r>
    </w:p>
    <w:p w:rsidR="001B7696" w:rsidRPr="00505347" w:rsidP="00DE44F9" w14:paraId="5890EB9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Cs/>
          <w:sz w:val="24"/>
          <w:szCs w:val="24"/>
          <w:u w:val="single"/>
        </w:rPr>
      </w:pPr>
    </w:p>
    <w:p w:rsidR="00C71091" w:rsidRPr="00505347" w:rsidP="00C71091" w14:paraId="4F7D8B17" w14:textId="59CEE75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i/>
          <w:sz w:val="24"/>
          <w:szCs w:val="24"/>
          <w:u w:val="single"/>
        </w:rPr>
      </w:pPr>
      <w:r w:rsidRPr="00505347">
        <w:rPr>
          <w:rFonts w:ascii="Times New Roman" w:hAnsi="Times New Roman"/>
          <w:bCs/>
          <w:i/>
          <w:sz w:val="24"/>
          <w:szCs w:val="24"/>
          <w:u w:val="single"/>
        </w:rPr>
        <w:t>Project Time Schedule</w:t>
      </w:r>
    </w:p>
    <w:tbl>
      <w:tblPr>
        <w:tblStyle w:val="TableGrid"/>
        <w:tblW w:w="0" w:type="auto"/>
        <w:tblLayout w:type="fixed"/>
        <w:tblLook w:val="04A0"/>
      </w:tblPr>
      <w:tblGrid>
        <w:gridCol w:w="4585"/>
        <w:gridCol w:w="4765"/>
      </w:tblGrid>
      <w:tr w14:paraId="1432384E" w14:textId="77777777" w:rsidTr="004B4C7A">
        <w:tblPrEx>
          <w:tblW w:w="0" w:type="auto"/>
          <w:tblLayout w:type="fixed"/>
          <w:tblLook w:val="04A0"/>
        </w:tblPrEx>
        <w:tc>
          <w:tcPr>
            <w:tcW w:w="4585" w:type="dxa"/>
          </w:tcPr>
          <w:p w:rsidR="000E7693" w:rsidRPr="00505347" w:rsidP="000E7693" w14:paraId="236E9627" w14:textId="74DE4E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4"/>
                <w:szCs w:val="24"/>
              </w:rPr>
            </w:pPr>
            <w:r w:rsidRPr="00505347">
              <w:rPr>
                <w:rFonts w:ascii="Times New Roman" w:hAnsi="Times New Roman"/>
                <w:bCs/>
                <w:sz w:val="24"/>
                <w:szCs w:val="24"/>
              </w:rPr>
              <w:t>Activity</w:t>
            </w:r>
          </w:p>
        </w:tc>
        <w:tc>
          <w:tcPr>
            <w:tcW w:w="4765" w:type="dxa"/>
          </w:tcPr>
          <w:p w:rsidR="000E7693" w:rsidRPr="00505347" w:rsidP="000E7693" w14:paraId="648317BA" w14:textId="48152B9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4"/>
                <w:szCs w:val="24"/>
              </w:rPr>
            </w:pPr>
            <w:r w:rsidRPr="00505347">
              <w:rPr>
                <w:rFonts w:ascii="Times New Roman" w:hAnsi="Times New Roman"/>
                <w:bCs/>
                <w:sz w:val="24"/>
                <w:szCs w:val="24"/>
              </w:rPr>
              <w:t>Time Schedule</w:t>
            </w:r>
          </w:p>
        </w:tc>
      </w:tr>
      <w:tr w14:paraId="60A446C9" w14:textId="77777777" w:rsidTr="004B4C7A">
        <w:tblPrEx>
          <w:tblW w:w="0" w:type="auto"/>
          <w:tblLayout w:type="fixed"/>
          <w:tblLook w:val="04A0"/>
        </w:tblPrEx>
        <w:tc>
          <w:tcPr>
            <w:tcW w:w="4585" w:type="dxa"/>
          </w:tcPr>
          <w:p w:rsidR="000E7693" w:rsidRPr="00505347" w:rsidP="000E7693" w14:paraId="5B491A85" w14:textId="18EB5EB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4"/>
                <w:szCs w:val="24"/>
              </w:rPr>
            </w:pPr>
            <w:r w:rsidRPr="00505347">
              <w:rPr>
                <w:rFonts w:ascii="Times New Roman" w:hAnsi="Times New Roman"/>
                <w:bCs/>
                <w:sz w:val="24"/>
                <w:szCs w:val="24"/>
              </w:rPr>
              <w:t>Collection of data</w:t>
            </w:r>
          </w:p>
        </w:tc>
        <w:tc>
          <w:tcPr>
            <w:tcW w:w="4765" w:type="dxa"/>
            <w:vAlign w:val="center"/>
          </w:tcPr>
          <w:p w:rsidR="000E7693" w:rsidRPr="00505347" w:rsidP="004B4C7A" w14:paraId="1E8B4A0B" w14:textId="03BF97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4"/>
                <w:szCs w:val="24"/>
              </w:rPr>
            </w:pPr>
            <w:r w:rsidRPr="00505347">
              <w:rPr>
                <w:rFonts w:ascii="Times New Roman" w:hAnsi="Times New Roman"/>
                <w:bCs/>
                <w:sz w:val="24"/>
                <w:szCs w:val="24"/>
              </w:rPr>
              <w:t>5 weeks after OMB approval</w:t>
            </w:r>
          </w:p>
        </w:tc>
      </w:tr>
      <w:tr w14:paraId="2A973B95" w14:textId="77777777" w:rsidTr="004B4C7A">
        <w:tblPrEx>
          <w:tblW w:w="0" w:type="auto"/>
          <w:tblLayout w:type="fixed"/>
          <w:tblLook w:val="04A0"/>
        </w:tblPrEx>
        <w:tc>
          <w:tcPr>
            <w:tcW w:w="4585" w:type="dxa"/>
          </w:tcPr>
          <w:p w:rsidR="000E7693" w:rsidRPr="00505347" w:rsidP="000E7693" w14:paraId="193C6F1A" w14:textId="4ED159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4"/>
                <w:szCs w:val="24"/>
              </w:rPr>
            </w:pPr>
            <w:r w:rsidRPr="00505347">
              <w:rPr>
                <w:rFonts w:ascii="Times New Roman" w:hAnsi="Times New Roman"/>
                <w:bCs/>
                <w:sz w:val="24"/>
                <w:szCs w:val="24"/>
              </w:rPr>
              <w:t>Analysis of data</w:t>
            </w:r>
          </w:p>
        </w:tc>
        <w:tc>
          <w:tcPr>
            <w:tcW w:w="4765" w:type="dxa"/>
            <w:vAlign w:val="center"/>
          </w:tcPr>
          <w:p w:rsidR="000E7693" w:rsidRPr="00505347" w:rsidP="004B4C7A" w14:paraId="3E7F095E" w14:textId="13B11A8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4"/>
                <w:szCs w:val="24"/>
              </w:rPr>
            </w:pPr>
            <w:r w:rsidRPr="00505347">
              <w:rPr>
                <w:rFonts w:ascii="Times New Roman" w:hAnsi="Times New Roman"/>
                <w:bCs/>
                <w:sz w:val="24"/>
                <w:szCs w:val="24"/>
              </w:rPr>
              <w:t>10 weeks after OMB approval</w:t>
            </w:r>
          </w:p>
        </w:tc>
      </w:tr>
      <w:tr w14:paraId="6DC3A943" w14:textId="77777777" w:rsidTr="004B4C7A">
        <w:tblPrEx>
          <w:tblW w:w="0" w:type="auto"/>
          <w:tblLayout w:type="fixed"/>
          <w:tblLook w:val="04A0"/>
        </w:tblPrEx>
        <w:tc>
          <w:tcPr>
            <w:tcW w:w="4585" w:type="dxa"/>
          </w:tcPr>
          <w:p w:rsidR="000E7693" w:rsidRPr="00505347" w:rsidP="000E7693" w14:paraId="3882FF38" w14:textId="29F4FE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4"/>
                <w:szCs w:val="24"/>
              </w:rPr>
            </w:pPr>
            <w:r w:rsidRPr="00505347">
              <w:rPr>
                <w:rFonts w:ascii="Times New Roman" w:hAnsi="Times New Roman"/>
                <w:bCs/>
                <w:sz w:val="24"/>
                <w:szCs w:val="24"/>
              </w:rPr>
              <w:t>Draft Report</w:t>
            </w:r>
          </w:p>
        </w:tc>
        <w:tc>
          <w:tcPr>
            <w:tcW w:w="4765" w:type="dxa"/>
            <w:vAlign w:val="center"/>
          </w:tcPr>
          <w:p w:rsidR="000E7693" w:rsidRPr="00505347" w:rsidP="004B4C7A" w14:paraId="1485D832" w14:textId="739913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4"/>
                <w:szCs w:val="24"/>
              </w:rPr>
            </w:pPr>
            <w:r w:rsidRPr="00505347">
              <w:rPr>
                <w:rFonts w:ascii="Times New Roman" w:hAnsi="Times New Roman"/>
                <w:bCs/>
                <w:sz w:val="24"/>
                <w:szCs w:val="24"/>
              </w:rPr>
              <w:t>12 weeks after OMB approval</w:t>
            </w:r>
          </w:p>
        </w:tc>
      </w:tr>
    </w:tbl>
    <w:p w:rsidR="005C0FF9" w:rsidRPr="00505347" w14:paraId="1B369457" w14:textId="133C66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szCs w:val="24"/>
        </w:rPr>
      </w:pPr>
      <w:r w:rsidRPr="00505347">
        <w:rPr>
          <w:rFonts w:ascii="Times New Roman" w:hAnsi="Times New Roman"/>
          <w:bCs/>
          <w:sz w:val="24"/>
          <w:szCs w:val="24"/>
        </w:rPr>
        <w:tab/>
      </w:r>
      <w:r w:rsidRPr="00505347">
        <w:rPr>
          <w:rFonts w:ascii="Times New Roman" w:hAnsi="Times New Roman"/>
          <w:bCs/>
          <w:sz w:val="24"/>
          <w:szCs w:val="24"/>
        </w:rPr>
        <w:tab/>
      </w:r>
    </w:p>
    <w:p w:rsidR="005C0FF9" w:rsidRPr="00505347" w14:paraId="17E59CE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Cs/>
          <w:sz w:val="24"/>
          <w:szCs w:val="24"/>
          <w:u w:val="single"/>
        </w:rPr>
      </w:pPr>
      <w:bookmarkStart w:id="22" w:name="_Toc239649238"/>
      <w:r w:rsidRPr="00505347">
        <w:rPr>
          <w:rFonts w:ascii="Times New Roman" w:hAnsi="Times New Roman"/>
          <w:bCs/>
          <w:sz w:val="24"/>
          <w:szCs w:val="24"/>
        </w:rPr>
        <w:t xml:space="preserve">17.  </w:t>
      </w:r>
      <w:r w:rsidRPr="00505347">
        <w:rPr>
          <w:rFonts w:ascii="Times New Roman" w:hAnsi="Times New Roman"/>
          <w:bCs/>
          <w:sz w:val="24"/>
          <w:szCs w:val="24"/>
          <w:u w:val="single"/>
        </w:rPr>
        <w:t>Reason(s) Display of OMB Expiration Date is Inappropriate</w:t>
      </w:r>
      <w:bookmarkEnd w:id="22"/>
    </w:p>
    <w:p w:rsidR="005C0FF9" w:rsidRPr="00505347" w14:paraId="5EC0445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szCs w:val="24"/>
        </w:rPr>
      </w:pPr>
    </w:p>
    <w:p w:rsidR="005C0FF9" w:rsidRPr="00505347" w14:paraId="1109DCC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szCs w:val="24"/>
        </w:rPr>
      </w:pPr>
      <w:r w:rsidRPr="00505347">
        <w:rPr>
          <w:rFonts w:ascii="Times New Roman" w:hAnsi="Times New Roman"/>
          <w:bCs/>
          <w:sz w:val="24"/>
          <w:szCs w:val="24"/>
        </w:rPr>
        <w:t xml:space="preserve">We are not requesting an exemption to this requirement. </w:t>
      </w:r>
      <w:r w:rsidRPr="00505347">
        <w:rPr>
          <w:rFonts w:ascii="Times New Roman" w:hAnsi="Times New Roman"/>
          <w:bCs/>
          <w:sz w:val="24"/>
          <w:szCs w:val="24"/>
        </w:rPr>
        <w:t>The OMB expiration date will be displayed.</w:t>
      </w:r>
    </w:p>
    <w:p w:rsidR="005C0FF9" w:rsidRPr="00505347" w14:paraId="4268643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szCs w:val="24"/>
        </w:rPr>
      </w:pPr>
    </w:p>
    <w:p w:rsidR="005C0FF9" w:rsidRPr="00505347" w14:paraId="39DA41B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Cs/>
          <w:sz w:val="24"/>
          <w:szCs w:val="24"/>
          <w:u w:val="single"/>
        </w:rPr>
      </w:pPr>
      <w:bookmarkStart w:id="23" w:name="_Toc239649239"/>
      <w:r w:rsidRPr="00505347">
        <w:rPr>
          <w:rFonts w:ascii="Times New Roman" w:hAnsi="Times New Roman"/>
          <w:bCs/>
          <w:sz w:val="24"/>
          <w:szCs w:val="24"/>
        </w:rPr>
        <w:t xml:space="preserve">18.  </w:t>
      </w:r>
      <w:r w:rsidRPr="00505347">
        <w:rPr>
          <w:rFonts w:ascii="Times New Roman" w:hAnsi="Times New Roman"/>
          <w:bCs/>
          <w:sz w:val="24"/>
          <w:szCs w:val="24"/>
          <w:u w:val="single"/>
        </w:rPr>
        <w:t>Exceptions to Certification for Paperwork Reduction Act Submissions</w:t>
      </w:r>
      <w:bookmarkEnd w:id="23"/>
    </w:p>
    <w:p w:rsidR="005C0FF9" w:rsidRPr="00505347" w14:paraId="0518D7B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szCs w:val="24"/>
        </w:rPr>
      </w:pPr>
    </w:p>
    <w:p w:rsidR="005C0FF9" w:rsidRPr="00505347" w14:paraId="25192C9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szCs w:val="24"/>
        </w:rPr>
      </w:pPr>
      <w:r w:rsidRPr="00505347">
        <w:rPr>
          <w:rFonts w:ascii="Times New Roman" w:hAnsi="Times New Roman"/>
          <w:bCs/>
          <w:sz w:val="24"/>
          <w:szCs w:val="24"/>
        </w:rPr>
        <w:t xml:space="preserve">These information collection activities involve no exception to the Certification for Paperwork Reduction Act Submissions. </w:t>
      </w:r>
    </w:p>
    <w:sectPr w:rsidSect="006731AE">
      <w:headerReference w:type="default" r:id="rId11"/>
      <w:footerReference w:type="default" r:id="rId12"/>
      <w:type w:val="continuous"/>
      <w:pgSz w:w="12240" w:h="15840"/>
      <w:pgMar w:top="1440" w:right="1440" w:bottom="1440" w:left="1440" w:header="1440" w:footer="1440" w:gutter="0"/>
      <w:pgNumType w:start="1"/>
      <w:cols w:space="720"/>
      <w:noEndnote/>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altName w:val="Courier New"/>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65017396"/>
      <w:docPartObj>
        <w:docPartGallery w:val="Page Numbers (Bottom of Page)"/>
        <w:docPartUnique/>
      </w:docPartObj>
    </w:sdtPr>
    <w:sdtEndPr>
      <w:rPr>
        <w:noProof/>
      </w:rPr>
    </w:sdtEndPr>
    <w:sdtContent>
      <w:p w:rsidR="00433B27" w14:paraId="1F220488" w14:textId="77777777">
        <w:pPr>
          <w:pStyle w:val="Footer"/>
          <w:jc w:val="center"/>
        </w:pPr>
      </w:p>
      <w:p w:rsidR="00167209" w14:paraId="44BBCBBD" w14:textId="3BB39916">
        <w:pPr>
          <w:pStyle w:val="Footer"/>
          <w:jc w:val="center"/>
        </w:pPr>
        <w:r>
          <w:fldChar w:fldCharType="begin"/>
        </w:r>
        <w:r>
          <w:instrText xml:space="preserve"> PAGE   \* MERGEFORMAT </w:instrText>
        </w:r>
        <w:r>
          <w:fldChar w:fldCharType="separate"/>
        </w:r>
        <w:r w:rsidR="00747E8D">
          <w:rPr>
            <w:noProof/>
          </w:rPr>
          <w:t>1</w:t>
        </w:r>
        <w:r>
          <w:rPr>
            <w:noProof/>
          </w:rPr>
          <w:fldChar w:fldCharType="end"/>
        </w:r>
      </w:p>
    </w:sdtContent>
  </w:sdt>
  <w:p w:rsidR="001605F2" w14:paraId="7383F696" w14:textId="77777777">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A7A5D" w14:paraId="0B6A3298" w14:textId="77777777">
      <w:r>
        <w:separator/>
      </w:r>
    </w:p>
  </w:footnote>
  <w:footnote w:type="continuationSeparator" w:id="1">
    <w:p w:rsidR="00EA7A5D" w14:paraId="65E8188B" w14:textId="77777777">
      <w:r>
        <w:continuationSeparator/>
      </w:r>
    </w:p>
  </w:footnote>
  <w:footnote w:type="continuationNotice" w:id="2">
    <w:p w:rsidR="00EA7A5D" w14:paraId="3BF17958" w14:textId="77777777"/>
  </w:footnote>
  <w:footnote w:id="3">
    <w:p w:rsidR="00255A76" w:rsidP="00255A76" w14:paraId="293DAC74" w14:textId="77777777">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National Cancer Institute (NCI). Making Health Communications Work: A planner’s guide, Pink Book. Pub. No. T068. </w:t>
      </w:r>
      <w:smartTag w:uri="urn:schemas-microsoft-com:office:smarttags" w:element="City">
        <w:r>
          <w:rPr>
            <w:rFonts w:ascii="Times New Roman" w:hAnsi="Times New Roman"/>
          </w:rPr>
          <w:t>Washington</w:t>
        </w:r>
      </w:smartTag>
      <w:r>
        <w:rPr>
          <w:rFonts w:ascii="Times New Roman" w:hAnsi="Times New Roman"/>
        </w:rPr>
        <w:t xml:space="preserve">, </w:t>
      </w:r>
      <w:smartTag w:uri="urn:schemas-microsoft-com:office:smarttags" w:element="State">
        <w:r>
          <w:rPr>
            <w:rFonts w:ascii="Times New Roman" w:hAnsi="Times New Roman"/>
          </w:rPr>
          <w:t>DC</w:t>
        </w:r>
      </w:smartTag>
      <w:r>
        <w:rPr>
          <w:rFonts w:ascii="Times New Roman" w:hAnsi="Times New Roman"/>
        </w:rPr>
        <w:t xml:space="preserve">: </w:t>
      </w:r>
      <w:smartTag w:uri="urn:schemas-microsoft-com:office:smarttags" w:element="place">
        <w:smartTag w:uri="urn:schemas-microsoft-com:office:smarttags" w:element="country-region">
          <w:r>
            <w:rPr>
              <w:rFonts w:ascii="Times New Roman" w:hAnsi="Times New Roman"/>
            </w:rPr>
            <w:t>U.S.</w:t>
          </w:r>
        </w:smartTag>
      </w:smartTag>
      <w:r>
        <w:rPr>
          <w:rFonts w:ascii="Times New Roman" w:hAnsi="Times New Roman"/>
        </w:rPr>
        <w:t xml:space="preserve"> Department of Health and Human Services (HHS), August 2004.</w:t>
      </w:r>
    </w:p>
  </w:footnote>
  <w:footnote w:id="4">
    <w:p w:rsidR="00FE01D6" w:rsidP="00FE01D6" w14:paraId="4E143A50" w14:textId="3EEF79E5">
      <w:pPr>
        <w:pStyle w:val="FootnoteText"/>
        <w:rPr>
          <w:rFonts w:ascii="Times New Roman" w:hAnsi="Times New Roman"/>
        </w:rPr>
      </w:pPr>
      <w:r>
        <w:rPr>
          <w:rStyle w:val="FootnoteReference"/>
        </w:rPr>
        <w:footnoteRef/>
      </w:r>
      <w:r>
        <w:t xml:space="preserve"> </w:t>
      </w:r>
      <w:r w:rsidRPr="00580919" w:rsidR="00580919">
        <w:rPr>
          <w:rFonts w:ascii="Times New Roman" w:hAnsi="Times New Roman"/>
        </w:rPr>
        <w:t>Internet/Broadband Fact Sheet</w:t>
      </w:r>
      <w:r>
        <w:rPr>
          <w:rFonts w:ascii="Times New Roman" w:hAnsi="Times New Roman"/>
        </w:rPr>
        <w:t xml:space="preserve">. Pew </w:t>
      </w:r>
      <w:r w:rsidR="007D25FA">
        <w:rPr>
          <w:rFonts w:ascii="Times New Roman" w:hAnsi="Times New Roman"/>
        </w:rPr>
        <w:t>Research Center</w:t>
      </w:r>
      <w:r>
        <w:rPr>
          <w:rFonts w:ascii="Times New Roman" w:hAnsi="Times New Roman"/>
        </w:rPr>
        <w:t xml:space="preserve">, </w:t>
      </w:r>
      <w:r w:rsidR="007D25FA">
        <w:rPr>
          <w:rFonts w:ascii="Times New Roman" w:hAnsi="Times New Roman"/>
        </w:rPr>
        <w:t>April 7</w:t>
      </w:r>
      <w:r w:rsidR="00506019">
        <w:rPr>
          <w:rFonts w:ascii="Times New Roman" w:hAnsi="Times New Roman"/>
        </w:rPr>
        <w:t>, 20</w:t>
      </w:r>
      <w:r w:rsidR="007D25FA">
        <w:rPr>
          <w:rFonts w:ascii="Times New Roman" w:hAnsi="Times New Roman"/>
        </w:rPr>
        <w:t>21</w:t>
      </w:r>
      <w:r w:rsidRPr="00506019" w:rsidR="00506019">
        <w:t xml:space="preserve"> </w:t>
      </w:r>
      <w:hyperlink r:id="rId1" w:history="1">
        <w:r w:rsidRPr="00CF72B6" w:rsidR="00012033">
          <w:rPr>
            <w:rStyle w:val="Hyperlink"/>
            <w:rFonts w:ascii="Times New Roman" w:hAnsi="Times New Roman"/>
          </w:rPr>
          <w:t>https://www.pewresearch.org/internet/fact-sheet/internet-broadband/</w:t>
        </w:r>
      </w:hyperlink>
      <w:r>
        <w:rPr>
          <w:rFonts w:ascii="Times New Roman" w:hAnsi="Times New Roman"/>
        </w:rPr>
        <w:t xml:space="preserve">, accessed on </w:t>
      </w:r>
      <w:r w:rsidR="00506019">
        <w:rPr>
          <w:rFonts w:ascii="Times New Roman" w:hAnsi="Times New Roman"/>
        </w:rPr>
        <w:t xml:space="preserve">July </w:t>
      </w:r>
      <w:r w:rsidR="00012033">
        <w:rPr>
          <w:rFonts w:ascii="Times New Roman" w:hAnsi="Times New Roman"/>
        </w:rPr>
        <w:t>22</w:t>
      </w:r>
      <w:r w:rsidR="00506019">
        <w:rPr>
          <w:rFonts w:ascii="Times New Roman" w:hAnsi="Times New Roman"/>
        </w:rPr>
        <w:t>, 20</w:t>
      </w:r>
      <w:r w:rsidR="00012033">
        <w:rPr>
          <w:rFonts w:ascii="Times New Roman" w:hAnsi="Times New Roman"/>
        </w:rPr>
        <w:t>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31AE" w:rsidRPr="006731AE" w:rsidP="006731AE" w14:paraId="23D2B8F5" w14:textId="77777777">
    <w:pPr>
      <w:autoSpaceDE/>
      <w:autoSpaceDN/>
      <w:adjustRightInd/>
      <w:jc w:val="center"/>
      <w:outlineLvl w:val="0"/>
      <w:rPr>
        <w:rFonts w:ascii="Times New Roman" w:hAnsi="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E50D5A"/>
    <w:multiLevelType w:val="multilevel"/>
    <w:tmpl w:val="B7326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4303B4"/>
    <w:multiLevelType w:val="hybridMultilevel"/>
    <w:tmpl w:val="7DE422F8"/>
    <w:lvl w:ilvl="0">
      <w:start w:val="2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E131405"/>
    <w:multiLevelType w:val="singleLevel"/>
    <w:tmpl w:val="BB9A9BE4"/>
    <w:lvl w:ilvl="0">
      <w:start w:val="17"/>
      <w:numFmt w:val="decimal"/>
      <w:lvlText w:val="%1."/>
      <w:legacy w:legacy="1" w:legacySpace="0" w:legacyIndent="1"/>
      <w:lvlJc w:val="left"/>
      <w:pPr>
        <w:ind w:left="1" w:hanging="1"/>
      </w:pPr>
      <w:rPr>
        <w:rFonts w:ascii="Times New Roman" w:hAnsi="Times New Roman" w:cs="Times New Roman" w:hint="default"/>
      </w:rPr>
    </w:lvl>
  </w:abstractNum>
  <w:abstractNum w:abstractNumId="3">
    <w:nsid w:val="0FA73F38"/>
    <w:multiLevelType w:val="hybridMultilevel"/>
    <w:tmpl w:val="FD983D1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3BC719F"/>
    <w:multiLevelType w:val="hybridMultilevel"/>
    <w:tmpl w:val="BC14E1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5050E56"/>
    <w:multiLevelType w:val="hybridMultilevel"/>
    <w:tmpl w:val="513CC2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61B2BAD"/>
    <w:multiLevelType w:val="hybridMultilevel"/>
    <w:tmpl w:val="9596159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8745233"/>
    <w:multiLevelType w:val="singleLevel"/>
    <w:tmpl w:val="680C1442"/>
    <w:lvl w:ilvl="0">
      <w:start w:val="1"/>
      <w:numFmt w:val="decimal"/>
      <w:lvlText w:val="%1."/>
      <w:legacy w:legacy="1" w:legacySpace="0" w:legacyIndent="1"/>
      <w:lvlJc w:val="left"/>
      <w:pPr>
        <w:ind w:left="721" w:hanging="1"/>
      </w:pPr>
      <w:rPr>
        <w:rFonts w:ascii="Times New Roman" w:hAnsi="Times New Roman" w:cs="Times New Roman" w:hint="default"/>
      </w:rPr>
    </w:lvl>
  </w:abstractNum>
  <w:abstractNum w:abstractNumId="8">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nsid w:val="255D2956"/>
    <w:multiLevelType w:val="hybridMultilevel"/>
    <w:tmpl w:val="FD1260F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CC11841"/>
    <w:multiLevelType w:val="hybridMultilevel"/>
    <w:tmpl w:val="598A8588"/>
    <w:lvl w:ilvl="0">
      <w:start w:val="2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DBA6F81"/>
    <w:multiLevelType w:val="hybridMultilevel"/>
    <w:tmpl w:val="D1D204C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1E2A162"/>
    <w:multiLevelType w:val="hybridMultilevel"/>
    <w:tmpl w:val="B09CC0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324D79AF"/>
    <w:multiLevelType w:val="hybridMultilevel"/>
    <w:tmpl w:val="1330893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5D158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BF26874"/>
    <w:multiLevelType w:val="hybridMultilevel"/>
    <w:tmpl w:val="9E0E01E0"/>
    <w:lvl w:ilvl="0">
      <w:start w:val="2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3E866D21"/>
    <w:multiLevelType w:val="singleLevel"/>
    <w:tmpl w:val="BB9A9BE4"/>
    <w:lvl w:ilvl="0">
      <w:start w:val="17"/>
      <w:numFmt w:val="decimal"/>
      <w:lvlText w:val="%1."/>
      <w:legacy w:legacy="1" w:legacySpace="0" w:legacyIndent="1"/>
      <w:lvlJc w:val="left"/>
      <w:pPr>
        <w:ind w:left="721" w:hanging="1"/>
      </w:pPr>
      <w:rPr>
        <w:rFonts w:ascii="Times New Roman" w:hAnsi="Times New Roman" w:cs="Times New Roman" w:hint="default"/>
      </w:rPr>
    </w:lvl>
  </w:abstractNum>
  <w:abstractNum w:abstractNumId="18">
    <w:nsid w:val="3EDD7500"/>
    <w:multiLevelType w:val="singleLevel"/>
    <w:tmpl w:val="89E80FDA"/>
    <w:lvl w:ilvl="0">
      <w:start w:val="10"/>
      <w:numFmt w:val="decimal"/>
      <w:lvlText w:val="%1."/>
      <w:legacy w:legacy="1" w:legacySpace="0" w:legacyIndent="1"/>
      <w:lvlJc w:val="left"/>
      <w:pPr>
        <w:ind w:left="721" w:hanging="1"/>
      </w:pPr>
      <w:rPr>
        <w:rFonts w:ascii="Times New Roman" w:hAnsi="Times New Roman" w:cs="Times New Roman" w:hint="default"/>
      </w:rPr>
    </w:lvl>
  </w:abstractNum>
  <w:abstractNum w:abstractNumId="19">
    <w:nsid w:val="462840A2"/>
    <w:multiLevelType w:val="hybridMultilevel"/>
    <w:tmpl w:val="70EEBB9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0">
    <w:nsid w:val="47BB124B"/>
    <w:multiLevelType w:val="hybridMultilevel"/>
    <w:tmpl w:val="D8C6BF8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BFDCFEA"/>
    <w:multiLevelType w:val="hybridMultilevel"/>
    <w:tmpl w:val="597C4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4E421C9C"/>
    <w:multiLevelType w:val="hybridMultilevel"/>
    <w:tmpl w:val="48DCB5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4ED578CA"/>
    <w:multiLevelType w:val="hybridMultilevel"/>
    <w:tmpl w:val="1C4287D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5806292A"/>
    <w:multiLevelType w:val="hybridMultilevel"/>
    <w:tmpl w:val="6C8832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A6D4087"/>
    <w:multiLevelType w:val="hybridMultilevel"/>
    <w:tmpl w:val="64D4B21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670919ED"/>
    <w:multiLevelType w:val="hybridMultilevel"/>
    <w:tmpl w:val="A7BEB07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8">
    <w:nsid w:val="6E046EFC"/>
    <w:multiLevelType w:val="singleLevel"/>
    <w:tmpl w:val="89E80FDA"/>
    <w:lvl w:ilvl="0">
      <w:start w:val="10"/>
      <w:numFmt w:val="decimal"/>
      <w:lvlText w:val="%1."/>
      <w:legacy w:legacy="1" w:legacySpace="0" w:legacyIndent="1"/>
      <w:lvlJc w:val="left"/>
      <w:pPr>
        <w:ind w:left="1" w:hanging="1"/>
      </w:pPr>
      <w:rPr>
        <w:rFonts w:ascii="Times New Roman" w:hAnsi="Times New Roman" w:cs="Times New Roman" w:hint="default"/>
      </w:rPr>
    </w:lvl>
  </w:abstractNum>
  <w:abstractNum w:abstractNumId="29">
    <w:nsid w:val="709F5CFE"/>
    <w:multiLevelType w:val="multilevel"/>
    <w:tmpl w:val="A7BEB07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0">
    <w:nsid w:val="74AB1E9C"/>
    <w:multiLevelType w:val="hybridMultilevel"/>
    <w:tmpl w:val="A140AE32"/>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7AC23144"/>
    <w:multiLevelType w:val="hybridMultilevel"/>
    <w:tmpl w:val="BDC8311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661666703">
    <w:abstractNumId w:val="4"/>
  </w:num>
  <w:num w:numId="2" w16cid:durableId="1046490200">
    <w:abstractNumId w:val="13"/>
  </w:num>
  <w:num w:numId="3" w16cid:durableId="1237089916">
    <w:abstractNumId w:val="24"/>
  </w:num>
  <w:num w:numId="4" w16cid:durableId="144517412">
    <w:abstractNumId w:val="22"/>
  </w:num>
  <w:num w:numId="5" w16cid:durableId="1025060906">
    <w:abstractNumId w:val="21"/>
  </w:num>
  <w:num w:numId="6" w16cid:durableId="1288972465">
    <w:abstractNumId w:val="7"/>
  </w:num>
  <w:num w:numId="7" w16cid:durableId="2029866017">
    <w:abstractNumId w:val="18"/>
  </w:num>
  <w:num w:numId="8" w16cid:durableId="1131097070">
    <w:abstractNumId w:val="17"/>
  </w:num>
  <w:num w:numId="9" w16cid:durableId="54427598">
    <w:abstractNumId w:val="28"/>
  </w:num>
  <w:num w:numId="10" w16cid:durableId="2020307269">
    <w:abstractNumId w:val="2"/>
  </w:num>
  <w:num w:numId="11" w16cid:durableId="1437410618">
    <w:abstractNumId w:val="27"/>
  </w:num>
  <w:num w:numId="12" w16cid:durableId="1965578330">
    <w:abstractNumId w:val="31"/>
  </w:num>
  <w:num w:numId="13" w16cid:durableId="500854257">
    <w:abstractNumId w:val="23"/>
  </w:num>
  <w:num w:numId="14" w16cid:durableId="1965846261">
    <w:abstractNumId w:val="29"/>
  </w:num>
  <w:num w:numId="15" w16cid:durableId="748159838">
    <w:abstractNumId w:val="19"/>
  </w:num>
  <w:num w:numId="16" w16cid:durableId="404650275">
    <w:abstractNumId w:val="16"/>
  </w:num>
  <w:num w:numId="17" w16cid:durableId="66419902">
    <w:abstractNumId w:val="10"/>
  </w:num>
  <w:num w:numId="18" w16cid:durableId="1755469102">
    <w:abstractNumId w:val="1"/>
  </w:num>
  <w:num w:numId="19" w16cid:durableId="1839923709">
    <w:abstractNumId w:val="12"/>
  </w:num>
  <w:num w:numId="20" w16cid:durableId="388117049">
    <w:abstractNumId w:val="26"/>
  </w:num>
  <w:num w:numId="21" w16cid:durableId="927424585">
    <w:abstractNumId w:val="3"/>
  </w:num>
  <w:num w:numId="22" w16cid:durableId="972832611">
    <w:abstractNumId w:val="6"/>
  </w:num>
  <w:num w:numId="23" w16cid:durableId="1112866929">
    <w:abstractNumId w:val="30"/>
  </w:num>
  <w:num w:numId="24" w16cid:durableId="1859003829">
    <w:abstractNumId w:val="20"/>
  </w:num>
  <w:num w:numId="25" w16cid:durableId="550728992">
    <w:abstractNumId w:val="9"/>
  </w:num>
  <w:num w:numId="26" w16cid:durableId="1926844721">
    <w:abstractNumId w:val="5"/>
  </w:num>
  <w:num w:numId="27" w16cid:durableId="1333022307">
    <w:abstractNumId w:val="14"/>
  </w:num>
  <w:num w:numId="28" w16cid:durableId="255022098">
    <w:abstractNumId w:val="15"/>
  </w:num>
  <w:num w:numId="29" w16cid:durableId="657733054">
    <w:abstractNumId w:val="0"/>
  </w:num>
  <w:num w:numId="30" w16cid:durableId="460618356">
    <w:abstractNumId w:val="25"/>
  </w:num>
  <w:num w:numId="31" w16cid:durableId="166604254">
    <w:abstractNumId w:val="8"/>
  </w:num>
  <w:num w:numId="32" w16cid:durableId="12675456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08C"/>
    <w:rsid w:val="00007C02"/>
    <w:rsid w:val="00012033"/>
    <w:rsid w:val="00016DF6"/>
    <w:rsid w:val="000216D8"/>
    <w:rsid w:val="00024664"/>
    <w:rsid w:val="00030AAD"/>
    <w:rsid w:val="00044C9C"/>
    <w:rsid w:val="00053777"/>
    <w:rsid w:val="00057D48"/>
    <w:rsid w:val="0006469D"/>
    <w:rsid w:val="0007013B"/>
    <w:rsid w:val="000759F5"/>
    <w:rsid w:val="00077D08"/>
    <w:rsid w:val="00087E7A"/>
    <w:rsid w:val="00092D53"/>
    <w:rsid w:val="000B1160"/>
    <w:rsid w:val="000B2AED"/>
    <w:rsid w:val="000C6188"/>
    <w:rsid w:val="000D01FC"/>
    <w:rsid w:val="000D0D78"/>
    <w:rsid w:val="000D317F"/>
    <w:rsid w:val="000D5B55"/>
    <w:rsid w:val="000E2B4D"/>
    <w:rsid w:val="000E63E5"/>
    <w:rsid w:val="000E7693"/>
    <w:rsid w:val="00112C5C"/>
    <w:rsid w:val="00114ED0"/>
    <w:rsid w:val="00116F0B"/>
    <w:rsid w:val="00117BD9"/>
    <w:rsid w:val="0013250E"/>
    <w:rsid w:val="001331DD"/>
    <w:rsid w:val="00143C3A"/>
    <w:rsid w:val="00143DFE"/>
    <w:rsid w:val="001605F2"/>
    <w:rsid w:val="00161B0D"/>
    <w:rsid w:val="001633FC"/>
    <w:rsid w:val="00164C23"/>
    <w:rsid w:val="001666A0"/>
    <w:rsid w:val="00167209"/>
    <w:rsid w:val="00167A02"/>
    <w:rsid w:val="00170DC8"/>
    <w:rsid w:val="0018222E"/>
    <w:rsid w:val="00182612"/>
    <w:rsid w:val="0018611D"/>
    <w:rsid w:val="00192D26"/>
    <w:rsid w:val="001A241E"/>
    <w:rsid w:val="001A26E1"/>
    <w:rsid w:val="001A2EE0"/>
    <w:rsid w:val="001B0183"/>
    <w:rsid w:val="001B33C8"/>
    <w:rsid w:val="001B7696"/>
    <w:rsid w:val="001C191F"/>
    <w:rsid w:val="001C3211"/>
    <w:rsid w:val="001C669E"/>
    <w:rsid w:val="001D5468"/>
    <w:rsid w:val="001E094C"/>
    <w:rsid w:val="001E22AC"/>
    <w:rsid w:val="001E723C"/>
    <w:rsid w:val="001F24C8"/>
    <w:rsid w:val="001F3059"/>
    <w:rsid w:val="001F41CF"/>
    <w:rsid w:val="001F6FE7"/>
    <w:rsid w:val="00203152"/>
    <w:rsid w:val="002039FC"/>
    <w:rsid w:val="00203CCA"/>
    <w:rsid w:val="002051D8"/>
    <w:rsid w:val="002063C6"/>
    <w:rsid w:val="00207211"/>
    <w:rsid w:val="0020760E"/>
    <w:rsid w:val="00212ECB"/>
    <w:rsid w:val="00217A3C"/>
    <w:rsid w:val="00221C66"/>
    <w:rsid w:val="002261A8"/>
    <w:rsid w:val="002301EC"/>
    <w:rsid w:val="00230787"/>
    <w:rsid w:val="0023288A"/>
    <w:rsid w:val="0023594B"/>
    <w:rsid w:val="002428E1"/>
    <w:rsid w:val="002468E9"/>
    <w:rsid w:val="00255A76"/>
    <w:rsid w:val="00255D9B"/>
    <w:rsid w:val="00265AFA"/>
    <w:rsid w:val="00267147"/>
    <w:rsid w:val="0027041B"/>
    <w:rsid w:val="002760ED"/>
    <w:rsid w:val="002809F2"/>
    <w:rsid w:val="00291772"/>
    <w:rsid w:val="00293C23"/>
    <w:rsid w:val="002A339B"/>
    <w:rsid w:val="002A6066"/>
    <w:rsid w:val="002A71C2"/>
    <w:rsid w:val="002B0CBE"/>
    <w:rsid w:val="002B21B2"/>
    <w:rsid w:val="002B26DF"/>
    <w:rsid w:val="002B3FB0"/>
    <w:rsid w:val="002B467A"/>
    <w:rsid w:val="002B6095"/>
    <w:rsid w:val="002C26BF"/>
    <w:rsid w:val="002E08A7"/>
    <w:rsid w:val="002E1EB3"/>
    <w:rsid w:val="002E3812"/>
    <w:rsid w:val="002E5C08"/>
    <w:rsid w:val="002E6437"/>
    <w:rsid w:val="002F481B"/>
    <w:rsid w:val="002F6AC9"/>
    <w:rsid w:val="002F70AF"/>
    <w:rsid w:val="00300BB3"/>
    <w:rsid w:val="00301B59"/>
    <w:rsid w:val="003125AC"/>
    <w:rsid w:val="0031695B"/>
    <w:rsid w:val="0032273F"/>
    <w:rsid w:val="00326C6F"/>
    <w:rsid w:val="00336BCB"/>
    <w:rsid w:val="00341478"/>
    <w:rsid w:val="0034441D"/>
    <w:rsid w:val="00345758"/>
    <w:rsid w:val="00346B32"/>
    <w:rsid w:val="00351C73"/>
    <w:rsid w:val="00355B8B"/>
    <w:rsid w:val="003762AF"/>
    <w:rsid w:val="00385951"/>
    <w:rsid w:val="00386D6C"/>
    <w:rsid w:val="003874B9"/>
    <w:rsid w:val="0039377F"/>
    <w:rsid w:val="003B00A6"/>
    <w:rsid w:val="003B7130"/>
    <w:rsid w:val="003E02D6"/>
    <w:rsid w:val="003E0649"/>
    <w:rsid w:val="003F1635"/>
    <w:rsid w:val="00400950"/>
    <w:rsid w:val="00400C9D"/>
    <w:rsid w:val="00407733"/>
    <w:rsid w:val="004102E4"/>
    <w:rsid w:val="00426D15"/>
    <w:rsid w:val="00433B27"/>
    <w:rsid w:val="00436176"/>
    <w:rsid w:val="00445B15"/>
    <w:rsid w:val="004546B9"/>
    <w:rsid w:val="00457B64"/>
    <w:rsid w:val="00460687"/>
    <w:rsid w:val="00460A53"/>
    <w:rsid w:val="004675D7"/>
    <w:rsid w:val="004676D3"/>
    <w:rsid w:val="00470E70"/>
    <w:rsid w:val="004868D1"/>
    <w:rsid w:val="00491915"/>
    <w:rsid w:val="004975E0"/>
    <w:rsid w:val="004A1DC3"/>
    <w:rsid w:val="004A2126"/>
    <w:rsid w:val="004B4C7A"/>
    <w:rsid w:val="004C5B66"/>
    <w:rsid w:val="004C6682"/>
    <w:rsid w:val="004D3BD8"/>
    <w:rsid w:val="004D78A0"/>
    <w:rsid w:val="00500D1E"/>
    <w:rsid w:val="00501C4D"/>
    <w:rsid w:val="00505347"/>
    <w:rsid w:val="00506019"/>
    <w:rsid w:val="005072D1"/>
    <w:rsid w:val="00507F32"/>
    <w:rsid w:val="00507FCD"/>
    <w:rsid w:val="0051608C"/>
    <w:rsid w:val="00520F63"/>
    <w:rsid w:val="00521D24"/>
    <w:rsid w:val="00535C40"/>
    <w:rsid w:val="00556746"/>
    <w:rsid w:val="00560084"/>
    <w:rsid w:val="00563825"/>
    <w:rsid w:val="00563911"/>
    <w:rsid w:val="00566286"/>
    <w:rsid w:val="0056666F"/>
    <w:rsid w:val="005704E1"/>
    <w:rsid w:val="00573151"/>
    <w:rsid w:val="00573AE4"/>
    <w:rsid w:val="00580919"/>
    <w:rsid w:val="00587F8C"/>
    <w:rsid w:val="00596B96"/>
    <w:rsid w:val="005A1C8D"/>
    <w:rsid w:val="005B124E"/>
    <w:rsid w:val="005C0FF9"/>
    <w:rsid w:val="005C1A4F"/>
    <w:rsid w:val="005C23C2"/>
    <w:rsid w:val="005C2E3B"/>
    <w:rsid w:val="005C6607"/>
    <w:rsid w:val="005D00E9"/>
    <w:rsid w:val="005D26A3"/>
    <w:rsid w:val="005D5B2C"/>
    <w:rsid w:val="005E1508"/>
    <w:rsid w:val="005E1541"/>
    <w:rsid w:val="005E206E"/>
    <w:rsid w:val="005E5681"/>
    <w:rsid w:val="005E6B0C"/>
    <w:rsid w:val="005F6485"/>
    <w:rsid w:val="006074BC"/>
    <w:rsid w:val="00615C58"/>
    <w:rsid w:val="00616D72"/>
    <w:rsid w:val="0062780A"/>
    <w:rsid w:val="006347B4"/>
    <w:rsid w:val="0063754B"/>
    <w:rsid w:val="00643B98"/>
    <w:rsid w:val="00654117"/>
    <w:rsid w:val="0065772E"/>
    <w:rsid w:val="006615AA"/>
    <w:rsid w:val="00672D04"/>
    <w:rsid w:val="006731AE"/>
    <w:rsid w:val="00674EDC"/>
    <w:rsid w:val="0067799B"/>
    <w:rsid w:val="006A327E"/>
    <w:rsid w:val="006A3BEC"/>
    <w:rsid w:val="006A6421"/>
    <w:rsid w:val="006C0D51"/>
    <w:rsid w:val="006C3950"/>
    <w:rsid w:val="006D21F9"/>
    <w:rsid w:val="006E1019"/>
    <w:rsid w:val="006E225C"/>
    <w:rsid w:val="006E2D22"/>
    <w:rsid w:val="006F117E"/>
    <w:rsid w:val="006F6D75"/>
    <w:rsid w:val="006F7936"/>
    <w:rsid w:val="0070519B"/>
    <w:rsid w:val="007101BF"/>
    <w:rsid w:val="00717893"/>
    <w:rsid w:val="007274ED"/>
    <w:rsid w:val="00731AD7"/>
    <w:rsid w:val="00734BED"/>
    <w:rsid w:val="00747E8D"/>
    <w:rsid w:val="00752F2B"/>
    <w:rsid w:val="0075398D"/>
    <w:rsid w:val="00756B50"/>
    <w:rsid w:val="007620DA"/>
    <w:rsid w:val="007621C4"/>
    <w:rsid w:val="0076293C"/>
    <w:rsid w:val="00770D2F"/>
    <w:rsid w:val="00773576"/>
    <w:rsid w:val="007809B1"/>
    <w:rsid w:val="00785BF0"/>
    <w:rsid w:val="007A31C3"/>
    <w:rsid w:val="007A6542"/>
    <w:rsid w:val="007B53A8"/>
    <w:rsid w:val="007C2969"/>
    <w:rsid w:val="007C3E2D"/>
    <w:rsid w:val="007D097E"/>
    <w:rsid w:val="007D0A85"/>
    <w:rsid w:val="007D25FA"/>
    <w:rsid w:val="007D4CDB"/>
    <w:rsid w:val="007D57EE"/>
    <w:rsid w:val="007D7E6C"/>
    <w:rsid w:val="007E609B"/>
    <w:rsid w:val="00802C2A"/>
    <w:rsid w:val="00807DD4"/>
    <w:rsid w:val="0081114A"/>
    <w:rsid w:val="00811804"/>
    <w:rsid w:val="008153F3"/>
    <w:rsid w:val="00815BD1"/>
    <w:rsid w:val="00817163"/>
    <w:rsid w:val="0082223D"/>
    <w:rsid w:val="008255F6"/>
    <w:rsid w:val="008267E2"/>
    <w:rsid w:val="008324B4"/>
    <w:rsid w:val="00836247"/>
    <w:rsid w:val="00842F6E"/>
    <w:rsid w:val="008443DC"/>
    <w:rsid w:val="0085008D"/>
    <w:rsid w:val="00850C97"/>
    <w:rsid w:val="0085765D"/>
    <w:rsid w:val="00881EB0"/>
    <w:rsid w:val="00884ECF"/>
    <w:rsid w:val="00885898"/>
    <w:rsid w:val="008A1FE8"/>
    <w:rsid w:val="008A673F"/>
    <w:rsid w:val="008B44EC"/>
    <w:rsid w:val="008C0BBA"/>
    <w:rsid w:val="008C689B"/>
    <w:rsid w:val="008D0E13"/>
    <w:rsid w:val="008D288A"/>
    <w:rsid w:val="008E455D"/>
    <w:rsid w:val="008E591E"/>
    <w:rsid w:val="008E76AC"/>
    <w:rsid w:val="008F6A7E"/>
    <w:rsid w:val="009028FD"/>
    <w:rsid w:val="00905441"/>
    <w:rsid w:val="009077BC"/>
    <w:rsid w:val="009156AB"/>
    <w:rsid w:val="009169AF"/>
    <w:rsid w:val="00920C1E"/>
    <w:rsid w:val="00926590"/>
    <w:rsid w:val="00927939"/>
    <w:rsid w:val="0093178C"/>
    <w:rsid w:val="00946942"/>
    <w:rsid w:val="0095149E"/>
    <w:rsid w:val="00965100"/>
    <w:rsid w:val="00970C26"/>
    <w:rsid w:val="00975CEA"/>
    <w:rsid w:val="00986B61"/>
    <w:rsid w:val="009943A6"/>
    <w:rsid w:val="00996CA8"/>
    <w:rsid w:val="009A3696"/>
    <w:rsid w:val="009B2186"/>
    <w:rsid w:val="009B2653"/>
    <w:rsid w:val="009D65E5"/>
    <w:rsid w:val="009E10AF"/>
    <w:rsid w:val="009E465E"/>
    <w:rsid w:val="009F1268"/>
    <w:rsid w:val="00A028A1"/>
    <w:rsid w:val="00A037C8"/>
    <w:rsid w:val="00A115F0"/>
    <w:rsid w:val="00A2461B"/>
    <w:rsid w:val="00A24E68"/>
    <w:rsid w:val="00A36C49"/>
    <w:rsid w:val="00A42F18"/>
    <w:rsid w:val="00A46F41"/>
    <w:rsid w:val="00A63338"/>
    <w:rsid w:val="00A65768"/>
    <w:rsid w:val="00A67168"/>
    <w:rsid w:val="00A703F9"/>
    <w:rsid w:val="00A7649D"/>
    <w:rsid w:val="00A82E0F"/>
    <w:rsid w:val="00A862F4"/>
    <w:rsid w:val="00A93423"/>
    <w:rsid w:val="00A94186"/>
    <w:rsid w:val="00AA0B21"/>
    <w:rsid w:val="00AA2DB9"/>
    <w:rsid w:val="00AA3575"/>
    <w:rsid w:val="00AB1469"/>
    <w:rsid w:val="00AB27D5"/>
    <w:rsid w:val="00AB3BB6"/>
    <w:rsid w:val="00AB58C8"/>
    <w:rsid w:val="00AB77E0"/>
    <w:rsid w:val="00AC1CA0"/>
    <w:rsid w:val="00AD1713"/>
    <w:rsid w:val="00AF1E23"/>
    <w:rsid w:val="00B07B15"/>
    <w:rsid w:val="00B109F9"/>
    <w:rsid w:val="00B22A14"/>
    <w:rsid w:val="00B26B2F"/>
    <w:rsid w:val="00B32381"/>
    <w:rsid w:val="00B42762"/>
    <w:rsid w:val="00B427EC"/>
    <w:rsid w:val="00B431DF"/>
    <w:rsid w:val="00B54661"/>
    <w:rsid w:val="00B571F4"/>
    <w:rsid w:val="00B61CCA"/>
    <w:rsid w:val="00B66FDB"/>
    <w:rsid w:val="00B670BE"/>
    <w:rsid w:val="00B70413"/>
    <w:rsid w:val="00B7212B"/>
    <w:rsid w:val="00B72260"/>
    <w:rsid w:val="00B75848"/>
    <w:rsid w:val="00B80CF9"/>
    <w:rsid w:val="00B85276"/>
    <w:rsid w:val="00B966EB"/>
    <w:rsid w:val="00BB4AC2"/>
    <w:rsid w:val="00BB54AF"/>
    <w:rsid w:val="00BD6916"/>
    <w:rsid w:val="00BE4BBC"/>
    <w:rsid w:val="00BF1587"/>
    <w:rsid w:val="00BF1FB3"/>
    <w:rsid w:val="00C02069"/>
    <w:rsid w:val="00C21E57"/>
    <w:rsid w:val="00C27DE7"/>
    <w:rsid w:val="00C45CB3"/>
    <w:rsid w:val="00C5011F"/>
    <w:rsid w:val="00C53269"/>
    <w:rsid w:val="00C63371"/>
    <w:rsid w:val="00C63BCA"/>
    <w:rsid w:val="00C658A2"/>
    <w:rsid w:val="00C66319"/>
    <w:rsid w:val="00C66510"/>
    <w:rsid w:val="00C71091"/>
    <w:rsid w:val="00C746B6"/>
    <w:rsid w:val="00C77F04"/>
    <w:rsid w:val="00C80EA7"/>
    <w:rsid w:val="00CA5C63"/>
    <w:rsid w:val="00CA6C16"/>
    <w:rsid w:val="00CA7318"/>
    <w:rsid w:val="00CB1A8E"/>
    <w:rsid w:val="00CB4BA9"/>
    <w:rsid w:val="00CC20A8"/>
    <w:rsid w:val="00CC727E"/>
    <w:rsid w:val="00CD1B4D"/>
    <w:rsid w:val="00CD6993"/>
    <w:rsid w:val="00CD7DC3"/>
    <w:rsid w:val="00CE154F"/>
    <w:rsid w:val="00CE5058"/>
    <w:rsid w:val="00CE57EA"/>
    <w:rsid w:val="00CF363F"/>
    <w:rsid w:val="00CF72B6"/>
    <w:rsid w:val="00D17BAA"/>
    <w:rsid w:val="00D22D94"/>
    <w:rsid w:val="00D233A9"/>
    <w:rsid w:val="00D3418A"/>
    <w:rsid w:val="00D41618"/>
    <w:rsid w:val="00D46A29"/>
    <w:rsid w:val="00D50B3C"/>
    <w:rsid w:val="00D52A42"/>
    <w:rsid w:val="00D5356E"/>
    <w:rsid w:val="00D6223C"/>
    <w:rsid w:val="00D66F13"/>
    <w:rsid w:val="00D74221"/>
    <w:rsid w:val="00D75A1B"/>
    <w:rsid w:val="00D772A6"/>
    <w:rsid w:val="00D81931"/>
    <w:rsid w:val="00D85AEE"/>
    <w:rsid w:val="00D979F5"/>
    <w:rsid w:val="00DA1197"/>
    <w:rsid w:val="00DA16C8"/>
    <w:rsid w:val="00DA346F"/>
    <w:rsid w:val="00DB125A"/>
    <w:rsid w:val="00DC66C6"/>
    <w:rsid w:val="00DD5987"/>
    <w:rsid w:val="00DD68A8"/>
    <w:rsid w:val="00DE0599"/>
    <w:rsid w:val="00DE30C2"/>
    <w:rsid w:val="00DE44F9"/>
    <w:rsid w:val="00DE7DFA"/>
    <w:rsid w:val="00DF188B"/>
    <w:rsid w:val="00DF2D6B"/>
    <w:rsid w:val="00DF2FAD"/>
    <w:rsid w:val="00DF7C2B"/>
    <w:rsid w:val="00E00750"/>
    <w:rsid w:val="00E0144F"/>
    <w:rsid w:val="00E01C04"/>
    <w:rsid w:val="00E02D2D"/>
    <w:rsid w:val="00E04CC3"/>
    <w:rsid w:val="00E1207E"/>
    <w:rsid w:val="00E134B1"/>
    <w:rsid w:val="00E1447B"/>
    <w:rsid w:val="00E147DF"/>
    <w:rsid w:val="00E14D38"/>
    <w:rsid w:val="00E242F9"/>
    <w:rsid w:val="00E252C3"/>
    <w:rsid w:val="00E35A37"/>
    <w:rsid w:val="00E37AEF"/>
    <w:rsid w:val="00E51BED"/>
    <w:rsid w:val="00E56BEF"/>
    <w:rsid w:val="00E57535"/>
    <w:rsid w:val="00E657BD"/>
    <w:rsid w:val="00E70F4A"/>
    <w:rsid w:val="00E7313D"/>
    <w:rsid w:val="00E751F7"/>
    <w:rsid w:val="00E82325"/>
    <w:rsid w:val="00E91B2D"/>
    <w:rsid w:val="00E93632"/>
    <w:rsid w:val="00E9490F"/>
    <w:rsid w:val="00EA7A5D"/>
    <w:rsid w:val="00EB3501"/>
    <w:rsid w:val="00EB579B"/>
    <w:rsid w:val="00EB65EF"/>
    <w:rsid w:val="00EB74B2"/>
    <w:rsid w:val="00EB78D8"/>
    <w:rsid w:val="00EC0F03"/>
    <w:rsid w:val="00EC577D"/>
    <w:rsid w:val="00ED26E2"/>
    <w:rsid w:val="00ED289D"/>
    <w:rsid w:val="00ED372F"/>
    <w:rsid w:val="00EE1E64"/>
    <w:rsid w:val="00EE31E0"/>
    <w:rsid w:val="00EE6544"/>
    <w:rsid w:val="00EF118C"/>
    <w:rsid w:val="00EF497A"/>
    <w:rsid w:val="00F04430"/>
    <w:rsid w:val="00F1271E"/>
    <w:rsid w:val="00F1375F"/>
    <w:rsid w:val="00F177D2"/>
    <w:rsid w:val="00F303FE"/>
    <w:rsid w:val="00F32EF4"/>
    <w:rsid w:val="00F37575"/>
    <w:rsid w:val="00F37F38"/>
    <w:rsid w:val="00F4186E"/>
    <w:rsid w:val="00F42249"/>
    <w:rsid w:val="00F46ED3"/>
    <w:rsid w:val="00F5021A"/>
    <w:rsid w:val="00F5375C"/>
    <w:rsid w:val="00F54DD4"/>
    <w:rsid w:val="00F709E9"/>
    <w:rsid w:val="00F70DC5"/>
    <w:rsid w:val="00F75419"/>
    <w:rsid w:val="00F7603D"/>
    <w:rsid w:val="00F9158A"/>
    <w:rsid w:val="00FA078D"/>
    <w:rsid w:val="00FA42BB"/>
    <w:rsid w:val="00FA4C7F"/>
    <w:rsid w:val="00FB59EB"/>
    <w:rsid w:val="00FC2246"/>
    <w:rsid w:val="00FC2E59"/>
    <w:rsid w:val="00FC344A"/>
    <w:rsid w:val="00FC721B"/>
    <w:rsid w:val="00FE01D6"/>
    <w:rsid w:val="00FE48CB"/>
    <w:rsid w:val="00FF2C3C"/>
    <w:rsid w:val="0198D98B"/>
    <w:rsid w:val="0215E1B5"/>
    <w:rsid w:val="0334A9EC"/>
    <w:rsid w:val="04D07A4D"/>
    <w:rsid w:val="066C4AAE"/>
    <w:rsid w:val="06785B7C"/>
    <w:rsid w:val="08081B0F"/>
    <w:rsid w:val="0A945D79"/>
    <w:rsid w:val="0B269374"/>
    <w:rsid w:val="0DA7D883"/>
    <w:rsid w:val="1776316B"/>
    <w:rsid w:val="19DFE97F"/>
    <w:rsid w:val="1A5D4FE6"/>
    <w:rsid w:val="1A8DB8E6"/>
    <w:rsid w:val="2B41EAE0"/>
    <w:rsid w:val="2D91BF40"/>
    <w:rsid w:val="2E2E55B7"/>
    <w:rsid w:val="2E7C529F"/>
    <w:rsid w:val="2EC1E2A7"/>
    <w:rsid w:val="30A05FF8"/>
    <w:rsid w:val="371F69B9"/>
    <w:rsid w:val="3A02322C"/>
    <w:rsid w:val="3B3B464D"/>
    <w:rsid w:val="3EA4798D"/>
    <w:rsid w:val="4177CA59"/>
    <w:rsid w:val="43F6120A"/>
    <w:rsid w:val="4503AD7C"/>
    <w:rsid w:val="489E7BC7"/>
    <w:rsid w:val="48C5F65D"/>
    <w:rsid w:val="48C9832D"/>
    <w:rsid w:val="493942AA"/>
    <w:rsid w:val="4A65538E"/>
    <w:rsid w:val="4F6F700E"/>
    <w:rsid w:val="5264F607"/>
    <w:rsid w:val="5968403D"/>
    <w:rsid w:val="5A9623C6"/>
    <w:rsid w:val="60298311"/>
    <w:rsid w:val="64FCF434"/>
    <w:rsid w:val="6698C495"/>
    <w:rsid w:val="69E6D011"/>
    <w:rsid w:val="6CABC29A"/>
    <w:rsid w:val="72F562F8"/>
    <w:rsid w:val="737BA853"/>
    <w:rsid w:val="764E395D"/>
    <w:rsid w:val="77EA09BE"/>
    <w:rsid w:val="782AB12D"/>
    <w:rsid w:val="788827CB"/>
    <w:rsid w:val="79AFC27E"/>
    <w:rsid w:val="7AE98EAD"/>
    <w:rsid w:val="7C65F81B"/>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14:docId w14:val="6096E36A"/>
  <w15:docId w15:val="{335DA21A-CC74-43ED-8220-AD37D37F3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adjustRightInd w:val="0"/>
    </w:pPr>
    <w:rPr>
      <w:rFonts w:ascii="Courier 10cpi" w:hAnsi="Courier 10cpi"/>
      <w:lang w:bidi="ar-SA"/>
    </w:rPr>
  </w:style>
  <w:style w:type="paragraph" w:styleId="Heading1">
    <w:name w:val="heading 1"/>
    <w:basedOn w:val="Normal"/>
    <w:next w:val="Normal"/>
    <w:qFormat/>
    <w:pPr>
      <w:keepNext/>
      <w:tabs>
        <w:tab w:val="left" w:pos="960"/>
        <w:tab w:val="right" w:pos="9240"/>
      </w:tabs>
      <w:autoSpaceDE/>
      <w:autoSpaceDN/>
      <w:adjustRightInd/>
      <w:outlineLvl w:val="0"/>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autoSpaceDE w:val="0"/>
      <w:autoSpaceDN w:val="0"/>
      <w:adjustRightInd w:val="0"/>
      <w:ind w:left="720"/>
    </w:pPr>
    <w:rPr>
      <w:rFonts w:ascii="Courier 10cpi" w:hAnsi="Courier 10cpi"/>
      <w:sz w:val="24"/>
      <w:szCs w:val="24"/>
      <w:lang w:bidi="ar-SA"/>
    </w:rPr>
  </w:style>
  <w:style w:type="paragraph" w:styleId="BodyText2">
    <w:name w:val="Body Text 2"/>
    <w:basedOn w:val="Normal"/>
    <w:pPr>
      <w:ind w:firstLine="720"/>
      <w:jc w:val="both"/>
    </w:pPr>
    <w:rPr>
      <w:sz w:val="24"/>
      <w:szCs w:val="24"/>
    </w:rPr>
  </w:style>
  <w:style w:type="character" w:customStyle="1" w:styleId="SYSHYPERTEXT">
    <w:name w:val="SYS_HYPERTEXT"/>
    <w:rPr>
      <w:color w:val="0000FF"/>
      <w:u w:val="single"/>
    </w:rPr>
  </w:style>
  <w:style w:type="character" w:styleId="Hyperlink">
    <w:name w:val="Hyperlink"/>
    <w:rPr>
      <w:color w:val="0000FF"/>
      <w:u w:val="single"/>
    </w:rPr>
  </w:style>
  <w:style w:type="paragraph" w:styleId="NormalWeb">
    <w:name w:val="Normal (Web)"/>
    <w:basedOn w:val="Normal"/>
    <w:pPr>
      <w:autoSpaceDE/>
      <w:autoSpaceDN/>
      <w:adjustRightInd/>
      <w:spacing w:before="100" w:beforeAutospacing="1" w:after="100" w:afterAutospacing="1"/>
    </w:pPr>
    <w:rPr>
      <w:rFonts w:ascii="Times New Roman" w:hAnsi="Times New Roman"/>
      <w:sz w:val="24"/>
      <w:szCs w:val="24"/>
    </w:rPr>
  </w:style>
  <w:style w:type="character" w:styleId="Strong">
    <w:name w:val="Strong"/>
    <w:qFormat/>
    <w:rPr>
      <w:b/>
      <w:bCs/>
    </w:rPr>
  </w:style>
  <w:style w:type="paragraph" w:customStyle="1" w:styleId="SL-FlLftSgl">
    <w:name w:val="SL-Fl Lft Sgl"/>
    <w:pPr>
      <w:spacing w:line="240" w:lineRule="atLeast"/>
      <w:jc w:val="both"/>
    </w:pPr>
    <w:rPr>
      <w:sz w:val="22"/>
      <w:lang w:bidi="ar-SA"/>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table" w:styleId="TableGrid">
    <w:name w:val="Table Grid"/>
    <w:basedOn w:val="TableNormal"/>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pPr>
      <w:spacing w:after="120" w:line="480" w:lineRule="auto"/>
      <w:ind w:left="360"/>
    </w:pPr>
  </w:style>
  <w:style w:type="paragraph" w:styleId="TOC1">
    <w:name w:val="toc 1"/>
    <w:basedOn w:val="Normal"/>
    <w:next w:val="Normal"/>
    <w:autoRedefine/>
    <w:semiHidden/>
  </w:style>
  <w:style w:type="paragraph" w:styleId="TOC2">
    <w:name w:val="toc 2"/>
    <w:basedOn w:val="Normal"/>
    <w:next w:val="Normal"/>
    <w:autoRedefine/>
    <w:semiHidden/>
    <w:pPr>
      <w:tabs>
        <w:tab w:val="right" w:pos="9350"/>
      </w:tabs>
      <w:ind w:left="200"/>
    </w:pPr>
    <w:rPr>
      <w:rFonts w:ascii="Times New Roman" w:hAnsi="Times New Roman"/>
      <w:noProof/>
      <w:sz w:val="22"/>
      <w:szCs w:val="22"/>
    </w:rPr>
  </w:style>
  <w:style w:type="paragraph" w:styleId="TOC3">
    <w:name w:val="toc 3"/>
    <w:basedOn w:val="Normal"/>
    <w:next w:val="Normal"/>
    <w:autoRedefine/>
    <w:semiHidden/>
    <w:pPr>
      <w:ind w:left="400"/>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link w:val="BodyTextIndentChar"/>
    <w:rsid w:val="00986B61"/>
    <w:pPr>
      <w:spacing w:after="120"/>
      <w:ind w:left="360"/>
    </w:pPr>
  </w:style>
  <w:style w:type="character" w:customStyle="1" w:styleId="BodyTextIndentChar">
    <w:name w:val="Body Text Indent Char"/>
    <w:link w:val="BodyTextIndent"/>
    <w:rsid w:val="00986B61"/>
    <w:rPr>
      <w:rFonts w:ascii="Courier 10cpi" w:hAnsi="Courier 10cpi"/>
    </w:rPr>
  </w:style>
  <w:style w:type="paragraph" w:styleId="ListParagraph">
    <w:name w:val="List Paragraph"/>
    <w:basedOn w:val="Normal"/>
    <w:qFormat/>
    <w:rsid w:val="00773576"/>
    <w:pPr>
      <w:autoSpaceDE/>
      <w:autoSpaceDN/>
      <w:adjustRightInd/>
      <w:spacing w:after="200" w:line="276" w:lineRule="auto"/>
      <w:ind w:left="720"/>
      <w:contextualSpacing/>
    </w:pPr>
    <w:rPr>
      <w:rFonts w:ascii="Calibri" w:hAnsi="Calibri"/>
      <w:sz w:val="22"/>
      <w:szCs w:val="22"/>
    </w:rPr>
  </w:style>
  <w:style w:type="character" w:customStyle="1" w:styleId="FooterChar">
    <w:name w:val="Footer Char"/>
    <w:link w:val="Footer"/>
    <w:uiPriority w:val="99"/>
    <w:rsid w:val="009943A6"/>
    <w:rPr>
      <w:rFonts w:ascii="Courier 10cpi" w:hAnsi="Courier 10cpi"/>
    </w:rPr>
  </w:style>
  <w:style w:type="character" w:customStyle="1" w:styleId="FootnoteTextChar">
    <w:name w:val="Footnote Text Char"/>
    <w:link w:val="FootnoteText"/>
    <w:uiPriority w:val="99"/>
    <w:semiHidden/>
    <w:rsid w:val="00AF1E23"/>
    <w:rPr>
      <w:rFonts w:ascii="Courier 10cpi" w:hAnsi="Courier 10cpi"/>
    </w:rPr>
  </w:style>
  <w:style w:type="character" w:styleId="FollowedHyperlink">
    <w:name w:val="FollowedHyperlink"/>
    <w:basedOn w:val="DefaultParagraphFont"/>
    <w:rsid w:val="0076293C"/>
    <w:rPr>
      <w:color w:val="800080" w:themeColor="followedHyperlink"/>
      <w:u w:val="single"/>
    </w:rPr>
  </w:style>
  <w:style w:type="character" w:styleId="UnresolvedMention">
    <w:name w:val="Unresolved Mention"/>
    <w:basedOn w:val="DefaultParagraphFont"/>
    <w:uiPriority w:val="99"/>
    <w:semiHidden/>
    <w:unhideWhenUsed/>
    <w:rsid w:val="00CF72B6"/>
    <w:rPr>
      <w:color w:val="605E5C"/>
      <w:shd w:val="clear" w:color="auto" w:fill="E1DFDD"/>
    </w:rPr>
  </w:style>
  <w:style w:type="paragraph" w:styleId="Revision">
    <w:name w:val="Revision"/>
    <w:hidden/>
    <w:uiPriority w:val="99"/>
    <w:semiHidden/>
    <w:rsid w:val="00E56BEF"/>
    <w:rPr>
      <w:rFonts w:ascii="Courier 10cpi" w:hAnsi="Courier 10cpi"/>
      <w:lang w:bidi="ar-SA"/>
    </w:rPr>
  </w:style>
  <w:style w:type="character" w:customStyle="1" w:styleId="CommentTextChar">
    <w:name w:val="Comment Text Char"/>
    <w:link w:val="CommentText"/>
    <w:semiHidden/>
    <w:locked/>
    <w:rsid w:val="008324B4"/>
    <w:rPr>
      <w:rFonts w:ascii="Courier 10cpi" w:hAnsi="Courier 10cpi"/>
      <w:lang w:bidi="ar-SA"/>
    </w:rPr>
  </w:style>
  <w:style w:type="character" w:styleId="Mention">
    <w:name w:val="Mention"/>
    <w:basedOn w:val="DefaultParagraphFont"/>
    <w:uiPriority w:val="99"/>
    <w:unhideWhenUsed/>
    <w:rsid w:val="005704E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deralregister.gov/documents/2024/03/29/2024-06469/revisions-to-ombs-statistical-policy-directive-no-15-standards-for-maintaining-collecting-and"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pewresearch.org/internet/fact-sheet/internet-broadban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13D2A0FFF35964E9859F2CD028E242B" ma:contentTypeVersion="6" ma:contentTypeDescription="Create a new document." ma:contentTypeScope="" ma:versionID="2791e6acc960ef74af4a5c353dd3059b">
  <xsd:schema xmlns:xsd="http://www.w3.org/2001/XMLSchema" xmlns:xs="http://www.w3.org/2001/XMLSchema" xmlns:p="http://schemas.microsoft.com/office/2006/metadata/properties" xmlns:ns2="51153f22-0994-41b9-a4fa-3c8bb3c8ee19" xmlns:ns3="55806e25-2472-48df-91f5-2c650834f9f6" targetNamespace="http://schemas.microsoft.com/office/2006/metadata/properties" ma:root="true" ma:fieldsID="597445ca36682085d8adc13b72589916" ns2:_="" ns3:_="">
    <xsd:import namespace="51153f22-0994-41b9-a4fa-3c8bb3c8ee19"/>
    <xsd:import namespace="55806e25-2472-48df-91f5-2c650834f9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53f22-0994-41b9-a4fa-3c8bb3c8ee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806e25-2472-48df-91f5-2c650834f9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299016-8A32-4AB7-932A-80363A4B9134}">
  <ds:schemaRefs>
    <ds:schemaRef ds:uri="http://schemas.openxmlformats.org/officeDocument/2006/bibliography"/>
  </ds:schemaRefs>
</ds:datastoreItem>
</file>

<file path=customXml/itemProps2.xml><?xml version="1.0" encoding="utf-8"?>
<ds:datastoreItem xmlns:ds="http://schemas.openxmlformats.org/officeDocument/2006/customXml" ds:itemID="{D05D092C-8E18-413C-8D5A-004D512C13A6}">
  <ds:schemaRefs>
    <ds:schemaRef ds:uri="http://purl.org/dc/elements/1.1/"/>
    <ds:schemaRef ds:uri="http://schemas.microsoft.com/office/2006/metadata/properties"/>
    <ds:schemaRef ds:uri="55806e25-2472-48df-91f5-2c650834f9f6"/>
    <ds:schemaRef ds:uri="http://purl.org/dc/terms/"/>
    <ds:schemaRef ds:uri="http://schemas.openxmlformats.org/package/2006/metadata/core-properties"/>
    <ds:schemaRef ds:uri="http://schemas.microsoft.com/office/2006/documentManagement/types"/>
    <ds:schemaRef ds:uri="51153f22-0994-41b9-a4fa-3c8bb3c8ee19"/>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A67258A9-4EAB-4B43-AA25-1F9059923FB8}">
  <ds:schemaRefs>
    <ds:schemaRef ds:uri="http://schemas.microsoft.com/sharepoint/v3/contenttype/forms"/>
  </ds:schemaRefs>
</ds:datastoreItem>
</file>

<file path=customXml/itemProps4.xml><?xml version="1.0" encoding="utf-8"?>
<ds:datastoreItem xmlns:ds="http://schemas.openxmlformats.org/officeDocument/2006/customXml" ds:itemID="{04408740-9C46-4BC6-9D88-221604697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53f22-0994-41b9-a4fa-3c8bb3c8ee19"/>
    <ds:schemaRef ds:uri="55806e25-2472-48df-91f5-2c650834f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13</Pages>
  <Words>5063</Words>
  <Characters>29956</Characters>
  <Application>Microsoft Office Word</Application>
  <DocSecurity>0</DocSecurity>
  <Lines>249</Lines>
  <Paragraphs>69</Paragraphs>
  <ScaleCrop>false</ScaleCrop>
  <HeadingPairs>
    <vt:vector size="2" baseType="variant">
      <vt:variant>
        <vt:lpstr>Title</vt:lpstr>
      </vt:variant>
      <vt:variant>
        <vt:i4>1</vt:i4>
      </vt:variant>
    </vt:vector>
  </HeadingPairs>
  <TitlesOfParts>
    <vt:vector size="1" baseType="lpstr">
      <vt:lpstr/>
    </vt:vector>
  </TitlesOfParts>
  <Company>NCI</Company>
  <LinksUpToDate>false</LinksUpToDate>
  <CharactersWithSpaces>34950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Pritzlaff, Olivia *</dc:creator>
  <cp:lastModifiedBy>Capezzuto, JonnaLynn</cp:lastModifiedBy>
  <cp:revision>6</cp:revision>
  <cp:lastPrinted>2014-10-28T18:50:00Z</cp:lastPrinted>
  <dcterms:created xsi:type="dcterms:W3CDTF">2024-12-13T14:10:00Z</dcterms:created>
  <dcterms:modified xsi:type="dcterms:W3CDTF">2024-12-27T20:13:00Z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0x010100613D2A0FFF35964E9859F2CD028E242B</vt:lpwstr>
  </property>
</Properties>
</file>