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RPr="004917B7" w:rsidP="004917B7" w14:paraId="56416C2A" w14:textId="77777777">
      <w:pPr>
        <w:spacing w:after="120" w:line="240" w:lineRule="auto"/>
        <w:rPr>
          <w:b/>
          <w:bCs/>
          <w:sz w:val="32"/>
          <w:szCs w:val="28"/>
        </w:rPr>
      </w:pPr>
      <w:bookmarkStart w:id="0" w:name="_Toc473880015"/>
    </w:p>
    <w:p w:rsidR="00304BBB" w:rsidRPr="00CD37E2" w:rsidP="00CD37E2" w14:paraId="26DF73FB" w14:textId="77777777">
      <w:pPr>
        <w:spacing w:after="120" w:line="240" w:lineRule="auto"/>
        <w:jc w:val="center"/>
        <w:rPr>
          <w:b/>
          <w:bCs/>
          <w:sz w:val="40"/>
          <w:szCs w:val="40"/>
        </w:rPr>
      </w:pPr>
    </w:p>
    <w:p w:rsidR="00F32A12" w:rsidRPr="00CD37E2" w:rsidP="00CD37E2" w14:paraId="65712D29" w14:textId="77777777">
      <w:pPr>
        <w:spacing w:after="120" w:line="240" w:lineRule="auto"/>
        <w:jc w:val="center"/>
        <w:rPr>
          <w:b/>
          <w:bCs/>
          <w:sz w:val="40"/>
          <w:szCs w:val="40"/>
        </w:rPr>
      </w:pPr>
      <w:bookmarkStart w:id="1" w:name="_Hlk177547760"/>
      <w:bookmarkEnd w:id="0"/>
      <w:r w:rsidRPr="00CD37E2">
        <w:rPr>
          <w:b/>
          <w:bCs/>
          <w:sz w:val="40"/>
          <w:szCs w:val="40"/>
        </w:rPr>
        <w:t>National Healthcare Safety Network (NHSN)</w:t>
      </w:r>
    </w:p>
    <w:bookmarkEnd w:id="1"/>
    <w:p w:rsidR="00F32A12" w:rsidRPr="00CD37E2" w:rsidP="00CD37E2" w14:paraId="41DE7AF3" w14:textId="77777777">
      <w:pPr>
        <w:spacing w:after="120" w:line="240" w:lineRule="auto"/>
        <w:jc w:val="center"/>
        <w:rPr>
          <w:b/>
          <w:bCs/>
          <w:sz w:val="40"/>
          <w:szCs w:val="40"/>
        </w:rPr>
      </w:pPr>
      <w:r w:rsidRPr="00CD37E2">
        <w:rPr>
          <w:b/>
          <w:bCs/>
          <w:sz w:val="40"/>
          <w:szCs w:val="40"/>
        </w:rPr>
        <w:t>OMB Control No. 0920-0666</w:t>
      </w:r>
    </w:p>
    <w:p w:rsidR="00F32A12" w:rsidRPr="00CD37E2" w:rsidP="00CD37E2" w14:paraId="0F1F9C30" w14:textId="77777777">
      <w:pPr>
        <w:spacing w:after="120" w:line="240" w:lineRule="auto"/>
        <w:jc w:val="center"/>
        <w:rPr>
          <w:bCs/>
          <w:sz w:val="40"/>
          <w:szCs w:val="40"/>
        </w:rPr>
      </w:pPr>
      <w:r>
        <w:rPr>
          <w:bCs/>
          <w:sz w:val="40"/>
          <w:szCs w:val="40"/>
        </w:rPr>
        <w:t>Exp</w:t>
      </w:r>
      <w:r w:rsidR="00D35B31">
        <w:rPr>
          <w:bCs/>
          <w:sz w:val="40"/>
          <w:szCs w:val="40"/>
        </w:rPr>
        <w:t>iration</w:t>
      </w:r>
      <w:r w:rsidRPr="00CD37E2" w:rsidR="00AA35BA">
        <w:rPr>
          <w:bCs/>
          <w:sz w:val="40"/>
          <w:szCs w:val="40"/>
        </w:rPr>
        <w:t xml:space="preserve"> 0</w:t>
      </w:r>
      <w:r w:rsidR="00113D93">
        <w:rPr>
          <w:bCs/>
          <w:sz w:val="40"/>
          <w:szCs w:val="40"/>
        </w:rPr>
        <w:t>6</w:t>
      </w:r>
      <w:r w:rsidRPr="00CD37E2" w:rsidR="00AA35BA">
        <w:rPr>
          <w:bCs/>
          <w:sz w:val="40"/>
          <w:szCs w:val="40"/>
        </w:rPr>
        <w:t>/3</w:t>
      </w:r>
      <w:r w:rsidR="00113D93">
        <w:rPr>
          <w:bCs/>
          <w:sz w:val="40"/>
          <w:szCs w:val="40"/>
        </w:rPr>
        <w:t>0</w:t>
      </w:r>
      <w:r w:rsidRPr="00CD37E2" w:rsidR="00AA35BA">
        <w:rPr>
          <w:bCs/>
          <w:sz w:val="40"/>
          <w:szCs w:val="40"/>
        </w:rPr>
        <w:t>/202</w:t>
      </w:r>
      <w:r w:rsidR="00D55EE4">
        <w:rPr>
          <w:bCs/>
          <w:sz w:val="40"/>
          <w:szCs w:val="40"/>
        </w:rPr>
        <w:t>6</w:t>
      </w:r>
    </w:p>
    <w:p w:rsidR="00F32A12" w:rsidRPr="00CD37E2" w:rsidP="001B050F" w14:paraId="4AB7A418" w14:textId="77777777">
      <w:pPr>
        <w:spacing w:after="120" w:line="240" w:lineRule="auto"/>
        <w:jc w:val="center"/>
        <w:rPr>
          <w:bCs/>
          <w:sz w:val="40"/>
          <w:szCs w:val="40"/>
        </w:rPr>
      </w:pPr>
      <w:r>
        <w:rPr>
          <w:bCs/>
          <w:sz w:val="40"/>
          <w:szCs w:val="40"/>
        </w:rPr>
        <w:t>Revision</w:t>
      </w:r>
      <w:r w:rsidR="00AA35BA">
        <w:rPr>
          <w:bCs/>
          <w:sz w:val="40"/>
          <w:szCs w:val="40"/>
        </w:rPr>
        <w:t xml:space="preserve"> ICR</w:t>
      </w:r>
      <w:r w:rsidRPr="00CD37E2" w:rsidR="00AA35BA">
        <w:rPr>
          <w:bCs/>
          <w:sz w:val="40"/>
          <w:szCs w:val="40"/>
        </w:rPr>
        <w:t xml:space="preserve"> </w:t>
      </w:r>
    </w:p>
    <w:p w:rsidR="00CD37E2" w:rsidP="00CD37E2" w14:paraId="021F1194" w14:textId="77777777">
      <w:pPr>
        <w:spacing w:after="120" w:line="240" w:lineRule="auto"/>
        <w:jc w:val="center"/>
        <w:rPr>
          <w:b/>
          <w:szCs w:val="24"/>
        </w:rPr>
      </w:pPr>
    </w:p>
    <w:p w:rsidR="00CD37E2" w:rsidP="00CD37E2" w14:paraId="7CF1FA9B" w14:textId="77777777">
      <w:pPr>
        <w:spacing w:after="120" w:line="240" w:lineRule="auto"/>
        <w:jc w:val="center"/>
        <w:rPr>
          <w:b/>
          <w:szCs w:val="24"/>
        </w:rPr>
      </w:pPr>
    </w:p>
    <w:p w:rsidR="00CD37E2" w:rsidRPr="00CD37E2" w:rsidP="00CD37E2" w14:paraId="6A281414" w14:textId="77777777">
      <w:pPr>
        <w:spacing w:after="120" w:line="240" w:lineRule="auto"/>
        <w:jc w:val="center"/>
        <w:rPr>
          <w:b/>
          <w:szCs w:val="24"/>
        </w:rPr>
      </w:pPr>
    </w:p>
    <w:p w:rsidR="00735B1E" w:rsidRPr="00CD37E2" w:rsidP="0054297A" w14:paraId="1E973948" w14:textId="77777777">
      <w:pPr>
        <w:jc w:val="center"/>
        <w:rPr>
          <w:b/>
          <w:szCs w:val="24"/>
        </w:rPr>
      </w:pPr>
      <w:r w:rsidRPr="00CD37E2">
        <w:rPr>
          <w:b/>
          <w:szCs w:val="24"/>
        </w:rPr>
        <w:t xml:space="preserve">Supporting </w:t>
      </w:r>
      <w:r w:rsidRPr="00CD37E2" w:rsidR="00D2088F">
        <w:rPr>
          <w:b/>
          <w:szCs w:val="24"/>
        </w:rPr>
        <w:t>Statement</w:t>
      </w:r>
      <w:r w:rsidR="00DA108D">
        <w:rPr>
          <w:b/>
          <w:szCs w:val="24"/>
        </w:rPr>
        <w:t xml:space="preserve"> </w:t>
      </w:r>
      <w:r w:rsidRPr="00CD37E2">
        <w:rPr>
          <w:b/>
          <w:szCs w:val="24"/>
        </w:rPr>
        <w:t>A</w:t>
      </w:r>
    </w:p>
    <w:p w:rsidR="004A13E8" w:rsidP="009A79E1" w14:paraId="2A7D35DB" w14:textId="77777777"/>
    <w:p w:rsidR="004A13E8" w:rsidP="009A79E1" w14:paraId="2087DCF7" w14:textId="77777777"/>
    <w:p w:rsidR="004A13E8" w:rsidP="004A13E8" w14:paraId="1734B15F" w14:textId="77777777">
      <w:pPr>
        <w:spacing w:after="0" w:line="240" w:lineRule="auto"/>
        <w:jc w:val="center"/>
        <w:rPr>
          <w:b/>
        </w:rPr>
      </w:pPr>
    </w:p>
    <w:p w:rsidR="004A13E8" w:rsidP="004A13E8" w14:paraId="5B85417B" w14:textId="77777777">
      <w:pPr>
        <w:spacing w:after="0" w:line="240" w:lineRule="auto"/>
        <w:rPr>
          <w:b/>
        </w:rPr>
      </w:pPr>
    </w:p>
    <w:p w:rsidR="004A13E8" w:rsidP="004A13E8" w14:paraId="222DFFD3" w14:textId="77777777">
      <w:pPr>
        <w:spacing w:after="0" w:line="240" w:lineRule="auto"/>
        <w:rPr>
          <w:b/>
        </w:rPr>
      </w:pPr>
    </w:p>
    <w:p w:rsidR="004A13E8" w:rsidP="004A13E8" w14:paraId="59BC09F5" w14:textId="77777777">
      <w:pPr>
        <w:spacing w:after="0" w:line="240" w:lineRule="auto"/>
        <w:rPr>
          <w:b/>
        </w:rPr>
      </w:pPr>
    </w:p>
    <w:p w:rsidR="004A13E8" w:rsidP="004A13E8" w14:paraId="1DD6E0B6" w14:textId="77777777">
      <w:pPr>
        <w:spacing w:after="0" w:line="240" w:lineRule="auto"/>
        <w:rPr>
          <w:b/>
        </w:rPr>
      </w:pPr>
    </w:p>
    <w:p w:rsidR="004A13E8" w:rsidP="004A13E8" w14:paraId="57775E63" w14:textId="77777777">
      <w:pPr>
        <w:spacing w:after="0" w:line="240" w:lineRule="auto"/>
        <w:rPr>
          <w:b/>
        </w:rPr>
      </w:pPr>
    </w:p>
    <w:p w:rsidR="00E23896" w:rsidP="004A13E8" w14:paraId="196CE59E" w14:textId="77777777">
      <w:pPr>
        <w:spacing w:after="0" w:line="240" w:lineRule="auto"/>
        <w:rPr>
          <w:b/>
        </w:rPr>
      </w:pPr>
    </w:p>
    <w:p w:rsidR="00E23896" w:rsidP="004A13E8" w14:paraId="01B19639" w14:textId="77777777">
      <w:pPr>
        <w:spacing w:after="0" w:line="240" w:lineRule="auto"/>
        <w:rPr>
          <w:b/>
        </w:rPr>
      </w:pPr>
    </w:p>
    <w:p w:rsidR="00E23896" w:rsidP="004A13E8" w14:paraId="14DCC88D" w14:textId="77777777">
      <w:pPr>
        <w:spacing w:after="0" w:line="240" w:lineRule="auto"/>
        <w:rPr>
          <w:b/>
        </w:rPr>
      </w:pPr>
    </w:p>
    <w:p w:rsidR="00911CE9" w:rsidP="004A13E8" w14:paraId="75067368" w14:textId="77777777">
      <w:pPr>
        <w:spacing w:after="0" w:line="240" w:lineRule="auto"/>
        <w:rPr>
          <w:b/>
        </w:rPr>
      </w:pPr>
    </w:p>
    <w:p w:rsidR="00911CE9" w:rsidP="004A13E8" w14:paraId="138657BE" w14:textId="77777777">
      <w:pPr>
        <w:spacing w:after="0" w:line="240" w:lineRule="auto"/>
        <w:rPr>
          <w:b/>
        </w:rPr>
      </w:pPr>
    </w:p>
    <w:p w:rsidR="00911CE9" w:rsidP="004A13E8" w14:paraId="23E0CA59" w14:textId="77777777">
      <w:pPr>
        <w:spacing w:after="0" w:line="240" w:lineRule="auto"/>
        <w:rPr>
          <w:b/>
        </w:rPr>
      </w:pPr>
    </w:p>
    <w:p w:rsidR="00911CE9" w:rsidP="004A13E8" w14:paraId="01BF8643" w14:textId="77777777">
      <w:pPr>
        <w:spacing w:after="0" w:line="240" w:lineRule="auto"/>
        <w:rPr>
          <w:b/>
        </w:rPr>
      </w:pPr>
    </w:p>
    <w:p w:rsidR="00911CE9" w:rsidP="004A13E8" w14:paraId="2B8E6838" w14:textId="77777777">
      <w:pPr>
        <w:spacing w:after="0" w:line="240" w:lineRule="auto"/>
        <w:rPr>
          <w:b/>
        </w:rPr>
      </w:pPr>
    </w:p>
    <w:p w:rsidR="00911CE9" w:rsidP="004A13E8" w14:paraId="114108D0" w14:textId="77777777">
      <w:pPr>
        <w:spacing w:after="0" w:line="240" w:lineRule="auto"/>
        <w:rPr>
          <w:b/>
        </w:rPr>
      </w:pPr>
    </w:p>
    <w:p w:rsidR="00911CE9" w:rsidP="004A13E8" w14:paraId="06FBBD3A" w14:textId="77777777">
      <w:pPr>
        <w:spacing w:after="0" w:line="240" w:lineRule="auto"/>
        <w:rPr>
          <w:b/>
        </w:rPr>
      </w:pPr>
    </w:p>
    <w:p w:rsidR="00911CE9" w:rsidP="004A13E8" w14:paraId="02970D40" w14:textId="77777777">
      <w:pPr>
        <w:spacing w:after="0" w:line="240" w:lineRule="auto"/>
        <w:rPr>
          <w:b/>
        </w:rPr>
      </w:pPr>
    </w:p>
    <w:p w:rsidR="00911CE9" w:rsidP="004A13E8" w14:paraId="77E4060C" w14:textId="77777777">
      <w:pPr>
        <w:spacing w:after="0" w:line="240" w:lineRule="auto"/>
        <w:rPr>
          <w:b/>
        </w:rPr>
      </w:pPr>
    </w:p>
    <w:p w:rsidR="00911CE9" w:rsidP="004A13E8" w14:paraId="01C8E43D" w14:textId="77777777">
      <w:pPr>
        <w:spacing w:after="0" w:line="240" w:lineRule="auto"/>
        <w:rPr>
          <w:b/>
        </w:rPr>
      </w:pPr>
    </w:p>
    <w:p w:rsidR="00911CE9" w:rsidP="004A13E8" w14:paraId="12E8B588" w14:textId="77777777">
      <w:pPr>
        <w:spacing w:after="0" w:line="240" w:lineRule="auto"/>
        <w:rPr>
          <w:b/>
        </w:rPr>
      </w:pPr>
    </w:p>
    <w:p w:rsidR="00911CE9" w:rsidP="004A13E8" w14:paraId="0488CCD2" w14:textId="77777777">
      <w:pPr>
        <w:spacing w:after="0" w:line="240" w:lineRule="auto"/>
        <w:rPr>
          <w:b/>
        </w:rPr>
      </w:pPr>
    </w:p>
    <w:p w:rsidR="00911CE9" w:rsidP="004A13E8" w14:paraId="0F26576E" w14:textId="77777777">
      <w:pPr>
        <w:spacing w:after="0" w:line="240" w:lineRule="auto"/>
        <w:rPr>
          <w:b/>
        </w:rPr>
      </w:pPr>
    </w:p>
    <w:p w:rsidR="00911CE9" w:rsidP="004A13E8" w14:paraId="4CF4C0D8" w14:textId="77777777">
      <w:pPr>
        <w:spacing w:after="0" w:line="240" w:lineRule="auto"/>
        <w:rPr>
          <w:b/>
        </w:rPr>
      </w:pPr>
    </w:p>
    <w:p w:rsidR="00911CE9" w:rsidP="004A13E8" w14:paraId="64970CE9" w14:textId="77777777">
      <w:pPr>
        <w:spacing w:after="0" w:line="240" w:lineRule="auto"/>
        <w:rPr>
          <w:b/>
        </w:rPr>
      </w:pPr>
    </w:p>
    <w:p w:rsidR="00911CE9" w:rsidP="004A13E8" w14:paraId="11D73CCF" w14:textId="77777777">
      <w:pPr>
        <w:spacing w:after="0" w:line="240" w:lineRule="auto"/>
        <w:rPr>
          <w:b/>
        </w:rPr>
      </w:pPr>
    </w:p>
    <w:p w:rsidR="00911CE9" w:rsidP="004A13E8" w14:paraId="094495D6" w14:textId="77777777">
      <w:pPr>
        <w:spacing w:after="0" w:line="240" w:lineRule="auto"/>
        <w:rPr>
          <w:b/>
        </w:rPr>
      </w:pPr>
    </w:p>
    <w:p w:rsidR="00E23896" w:rsidP="004A13E8" w14:paraId="2734F4E8" w14:textId="77777777">
      <w:pPr>
        <w:spacing w:after="0" w:line="240" w:lineRule="auto"/>
        <w:rPr>
          <w:b/>
        </w:rPr>
      </w:pPr>
    </w:p>
    <w:p w:rsidR="00E23896" w:rsidP="004A13E8" w14:paraId="35A42AAB" w14:textId="77777777">
      <w:pPr>
        <w:spacing w:after="0" w:line="240" w:lineRule="auto"/>
        <w:rPr>
          <w:b/>
        </w:rPr>
      </w:pPr>
    </w:p>
    <w:p w:rsidR="00F32A12" w:rsidRPr="00113D93" w:rsidP="00F32A12" w14:paraId="7605B969" w14:textId="77777777">
      <w:pPr>
        <w:spacing w:after="0"/>
        <w:rPr>
          <w:rFonts w:cs="Times New Roman"/>
          <w:szCs w:val="24"/>
        </w:rPr>
      </w:pPr>
      <w:r w:rsidRPr="00113D93">
        <w:rPr>
          <w:rFonts w:cs="Times New Roman"/>
          <w:szCs w:val="24"/>
        </w:rPr>
        <w:t>Paula Farrell, MS</w:t>
      </w:r>
    </w:p>
    <w:p w:rsidR="00F32A12" w:rsidRPr="00113D93" w:rsidP="00F32A12" w14:paraId="54A6E26F" w14:textId="77777777">
      <w:pPr>
        <w:spacing w:after="0"/>
        <w:rPr>
          <w:rFonts w:cs="Times New Roman"/>
          <w:szCs w:val="24"/>
        </w:rPr>
      </w:pPr>
      <w:r w:rsidRPr="00113D93">
        <w:rPr>
          <w:rFonts w:cs="Times New Roman"/>
          <w:szCs w:val="24"/>
        </w:rPr>
        <w:t>Division of Healthcare Quality Promotion</w:t>
      </w:r>
    </w:p>
    <w:p w:rsidR="00F32A12" w:rsidRPr="00113D93" w:rsidP="00F32A12" w14:paraId="2149AEBE" w14:textId="77777777">
      <w:pPr>
        <w:spacing w:after="0"/>
        <w:rPr>
          <w:rFonts w:cs="Times New Roman"/>
          <w:szCs w:val="24"/>
        </w:rPr>
      </w:pPr>
      <w:r w:rsidRPr="00113D93">
        <w:rPr>
          <w:rFonts w:cs="Times New Roman"/>
          <w:szCs w:val="24"/>
        </w:rPr>
        <w:t>National Center for Emerging and Zoonotic Infectious Diseases</w:t>
      </w:r>
    </w:p>
    <w:p w:rsidR="00F32A12" w:rsidRPr="00113D93" w:rsidP="00F32A12" w14:paraId="22C17083" w14:textId="77777777">
      <w:pPr>
        <w:spacing w:after="0"/>
        <w:rPr>
          <w:rFonts w:cs="Times New Roman"/>
          <w:szCs w:val="24"/>
        </w:rPr>
      </w:pPr>
      <w:r w:rsidRPr="00113D93">
        <w:rPr>
          <w:rFonts w:cs="Times New Roman"/>
          <w:szCs w:val="24"/>
        </w:rPr>
        <w:t>Centers for Disease Control and Prevention</w:t>
      </w:r>
    </w:p>
    <w:p w:rsidR="00F32A12" w:rsidRPr="00113D93" w:rsidP="00F32A12" w14:paraId="720621FC" w14:textId="77777777">
      <w:pPr>
        <w:spacing w:after="0"/>
        <w:rPr>
          <w:rFonts w:cs="Times New Roman"/>
          <w:szCs w:val="24"/>
        </w:rPr>
      </w:pPr>
      <w:r w:rsidRPr="00113D93">
        <w:rPr>
          <w:rFonts w:cs="Times New Roman"/>
          <w:szCs w:val="24"/>
        </w:rPr>
        <w:t>Atlanta, Georgia 30329-4018</w:t>
      </w:r>
    </w:p>
    <w:p w:rsidR="00F32A12" w:rsidRPr="00113D93" w:rsidP="00F32A12" w14:paraId="7052BCED" w14:textId="77777777">
      <w:pPr>
        <w:spacing w:after="0"/>
        <w:rPr>
          <w:rFonts w:cs="Times New Roman"/>
          <w:szCs w:val="24"/>
        </w:rPr>
      </w:pPr>
      <w:r w:rsidRPr="00113D93">
        <w:rPr>
          <w:rFonts w:cs="Times New Roman"/>
          <w:szCs w:val="24"/>
        </w:rPr>
        <w:t xml:space="preserve">Phone: (404) </w:t>
      </w:r>
      <w:r w:rsidRPr="00113D93" w:rsidR="00113D93">
        <w:rPr>
          <w:rFonts w:cs="Times New Roman"/>
          <w:color w:val="242424"/>
          <w:szCs w:val="24"/>
          <w:shd w:val="clear" w:color="auto" w:fill="FAFAFA"/>
        </w:rPr>
        <w:t>498-4019</w:t>
      </w:r>
    </w:p>
    <w:p w:rsidR="00F32A12" w:rsidRPr="00113D93" w:rsidP="00F32A12" w14:paraId="3126BE05" w14:textId="77777777">
      <w:pPr>
        <w:spacing w:after="0"/>
        <w:rPr>
          <w:rFonts w:cs="Times New Roman"/>
          <w:szCs w:val="24"/>
        </w:rPr>
      </w:pPr>
      <w:r w:rsidRPr="00113D93">
        <w:rPr>
          <w:rFonts w:cs="Times New Roman"/>
          <w:szCs w:val="24"/>
        </w:rPr>
        <w:t>Fax: (404) 639-4043</w:t>
      </w:r>
    </w:p>
    <w:p w:rsidR="00F32A12" w:rsidRPr="00113D93" w:rsidP="00F32A12" w14:paraId="36548B47" w14:textId="77777777">
      <w:pPr>
        <w:spacing w:after="0"/>
        <w:rPr>
          <w:rFonts w:cs="Times New Roman"/>
          <w:szCs w:val="24"/>
        </w:rPr>
      </w:pPr>
      <w:r w:rsidRPr="00113D93">
        <w:rPr>
          <w:rFonts w:cs="Times New Roman"/>
          <w:szCs w:val="24"/>
        </w:rPr>
        <w:t xml:space="preserve">Email: </w:t>
      </w:r>
      <w:hyperlink r:id="rId9" w:history="1">
        <w:r w:rsidRPr="00113D93" w:rsidR="00113D93">
          <w:rPr>
            <w:rStyle w:val="Hyperlink"/>
            <w:rFonts w:cs="Times New Roman"/>
            <w:szCs w:val="24"/>
          </w:rPr>
          <w:t>ujb1@cdc.gov</w:t>
        </w:r>
      </w:hyperlink>
    </w:p>
    <w:p w:rsidR="004A13E8" w:rsidP="004A13E8" w14:paraId="646FE4E1" w14:textId="77777777">
      <w:pPr>
        <w:spacing w:after="0" w:line="240" w:lineRule="auto"/>
        <w:rPr>
          <w:b/>
        </w:rPr>
      </w:pPr>
    </w:p>
    <w:p w:rsidR="004A13E8" w:rsidP="004A13E8" w14:paraId="33AC6D85" w14:textId="77777777">
      <w:pPr>
        <w:spacing w:after="0" w:line="240" w:lineRule="auto"/>
        <w:rPr>
          <w:b/>
        </w:rPr>
      </w:pPr>
    </w:p>
    <w:p w:rsidR="004A13E8" w:rsidP="004A13E8" w14:paraId="78F262BA" w14:textId="77777777">
      <w:pPr>
        <w:spacing w:after="0" w:line="240" w:lineRule="auto"/>
        <w:rPr>
          <w:b/>
        </w:rPr>
      </w:pPr>
    </w:p>
    <w:p w:rsidR="004A13E8" w:rsidP="004A13E8" w14:paraId="05C26A7E" w14:textId="77777777">
      <w:pPr>
        <w:spacing w:after="0" w:line="240" w:lineRule="auto"/>
        <w:rPr>
          <w:b/>
        </w:rPr>
      </w:pPr>
    </w:p>
    <w:p w:rsidR="004A13E8" w:rsidP="009A79E1" w14:paraId="0E7C0D10" w14:textId="77777777">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480DD583" w14:textId="77777777">
          <w:pPr>
            <w:pStyle w:val="Heading4"/>
            <w:rPr>
              <w:sz w:val="28"/>
              <w:szCs w:val="28"/>
            </w:rPr>
          </w:pPr>
          <w:r w:rsidRPr="00D13EA1">
            <w:rPr>
              <w:sz w:val="28"/>
              <w:szCs w:val="28"/>
            </w:rPr>
            <w:t>Table of Contents</w:t>
          </w:r>
        </w:p>
        <w:p w:rsidR="00286ABC" w14:paraId="55C4CCFE" w14:textId="77777777">
          <w:pPr>
            <w:pStyle w:val="TOC1"/>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77113126" w:history="1">
            <w:r w:rsidRPr="00A36B67">
              <w:rPr>
                <w:rStyle w:val="Hyperlink"/>
                <w:noProof/>
              </w:rPr>
              <w:t>1.</w:t>
            </w:r>
            <w:r>
              <w:rPr>
                <w:rFonts w:asciiTheme="minorHAnsi" w:eastAsiaTheme="minorEastAsia" w:hAnsiTheme="minorHAnsi"/>
                <w:noProof/>
                <w:kern w:val="2"/>
                <w:sz w:val="22"/>
                <w14:ligatures w14:val="standardContextual"/>
              </w:rPr>
              <w:tab/>
            </w:r>
            <w:r w:rsidRPr="00A36B6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_Toc177113126 \h </w:instrText>
            </w:r>
            <w:r>
              <w:rPr>
                <w:noProof/>
                <w:webHidden/>
              </w:rPr>
              <w:fldChar w:fldCharType="separate"/>
            </w:r>
            <w:r>
              <w:rPr>
                <w:noProof/>
                <w:webHidden/>
              </w:rPr>
              <w:t>3</w:t>
            </w:r>
            <w:r>
              <w:rPr>
                <w:noProof/>
                <w:webHidden/>
              </w:rPr>
              <w:fldChar w:fldCharType="end"/>
            </w:r>
          </w:hyperlink>
        </w:p>
        <w:p w:rsidR="00286ABC" w14:paraId="79F91445" w14:textId="77777777">
          <w:pPr>
            <w:pStyle w:val="TOC1"/>
            <w:rPr>
              <w:rFonts w:asciiTheme="minorHAnsi" w:eastAsiaTheme="minorEastAsia" w:hAnsiTheme="minorHAnsi"/>
              <w:noProof/>
              <w:kern w:val="2"/>
              <w:sz w:val="22"/>
              <w14:ligatures w14:val="standardContextual"/>
            </w:rPr>
          </w:pPr>
          <w:hyperlink w:anchor="_Toc177113127" w:history="1">
            <w:r w:rsidRPr="00A36B67" w:rsidR="00FC2261">
              <w:rPr>
                <w:rStyle w:val="Hyperlink"/>
                <w:noProof/>
              </w:rPr>
              <w:t>2.</w:t>
            </w:r>
            <w:r w:rsidR="00FC2261">
              <w:rPr>
                <w:rFonts w:asciiTheme="minorHAnsi" w:eastAsiaTheme="minorEastAsia" w:hAnsiTheme="minorHAnsi"/>
                <w:noProof/>
                <w:kern w:val="2"/>
                <w:sz w:val="22"/>
                <w14:ligatures w14:val="standardContextual"/>
              </w:rPr>
              <w:tab/>
            </w:r>
            <w:r w:rsidRPr="00A36B67" w:rsidR="00FC2261">
              <w:rPr>
                <w:rStyle w:val="Hyperlink"/>
                <w:noProof/>
              </w:rPr>
              <w:t>Purpose and Use of Information Collection</w:t>
            </w:r>
            <w:r w:rsidR="00FC2261">
              <w:rPr>
                <w:noProof/>
                <w:webHidden/>
              </w:rPr>
              <w:tab/>
            </w:r>
            <w:r w:rsidR="00FC2261">
              <w:rPr>
                <w:noProof/>
                <w:webHidden/>
              </w:rPr>
              <w:fldChar w:fldCharType="begin"/>
            </w:r>
            <w:r w:rsidR="00FC2261">
              <w:rPr>
                <w:noProof/>
                <w:webHidden/>
              </w:rPr>
              <w:instrText xml:space="preserve"> PAGEREF _Toc177113127 \h </w:instrText>
            </w:r>
            <w:r w:rsidR="00FC2261">
              <w:rPr>
                <w:noProof/>
                <w:webHidden/>
              </w:rPr>
              <w:fldChar w:fldCharType="separate"/>
            </w:r>
            <w:r w:rsidR="00FC2261">
              <w:rPr>
                <w:noProof/>
                <w:webHidden/>
              </w:rPr>
              <w:t>5</w:t>
            </w:r>
            <w:r w:rsidR="00FC2261">
              <w:rPr>
                <w:noProof/>
                <w:webHidden/>
              </w:rPr>
              <w:fldChar w:fldCharType="end"/>
            </w:r>
          </w:hyperlink>
        </w:p>
        <w:p w:rsidR="00286ABC" w14:paraId="638B9FC3" w14:textId="77777777">
          <w:pPr>
            <w:pStyle w:val="TOC1"/>
            <w:rPr>
              <w:rFonts w:asciiTheme="minorHAnsi" w:eastAsiaTheme="minorEastAsia" w:hAnsiTheme="minorHAnsi"/>
              <w:noProof/>
              <w:kern w:val="2"/>
              <w:sz w:val="22"/>
              <w14:ligatures w14:val="standardContextual"/>
            </w:rPr>
          </w:pPr>
          <w:hyperlink w:anchor="_Toc177113128" w:history="1">
            <w:r w:rsidRPr="00A36B67" w:rsidR="00FC2261">
              <w:rPr>
                <w:rStyle w:val="Hyperlink"/>
                <w:noProof/>
              </w:rPr>
              <w:t>3.</w:t>
            </w:r>
            <w:r w:rsidR="00FC2261">
              <w:rPr>
                <w:rFonts w:asciiTheme="minorHAnsi" w:eastAsiaTheme="minorEastAsia" w:hAnsiTheme="minorHAnsi"/>
                <w:noProof/>
                <w:kern w:val="2"/>
                <w:sz w:val="22"/>
                <w14:ligatures w14:val="standardContextual"/>
              </w:rPr>
              <w:tab/>
            </w:r>
            <w:r w:rsidRPr="00A36B67" w:rsidR="00FC2261">
              <w:rPr>
                <w:rStyle w:val="Hyperlink"/>
                <w:noProof/>
              </w:rPr>
              <w:t>Use of Improved Information Technology and Burden Reduction</w:t>
            </w:r>
            <w:r w:rsidR="00FC2261">
              <w:rPr>
                <w:noProof/>
                <w:webHidden/>
              </w:rPr>
              <w:tab/>
            </w:r>
            <w:r w:rsidR="00FC2261">
              <w:rPr>
                <w:noProof/>
                <w:webHidden/>
              </w:rPr>
              <w:fldChar w:fldCharType="begin"/>
            </w:r>
            <w:r w:rsidR="00FC2261">
              <w:rPr>
                <w:noProof/>
                <w:webHidden/>
              </w:rPr>
              <w:instrText xml:space="preserve"> PAGEREF _Toc177113128 \h </w:instrText>
            </w:r>
            <w:r w:rsidR="00FC2261">
              <w:rPr>
                <w:noProof/>
                <w:webHidden/>
              </w:rPr>
              <w:fldChar w:fldCharType="separate"/>
            </w:r>
            <w:r w:rsidR="00FC2261">
              <w:rPr>
                <w:noProof/>
                <w:webHidden/>
              </w:rPr>
              <w:t>6</w:t>
            </w:r>
            <w:r w:rsidR="00FC2261">
              <w:rPr>
                <w:noProof/>
                <w:webHidden/>
              </w:rPr>
              <w:fldChar w:fldCharType="end"/>
            </w:r>
          </w:hyperlink>
        </w:p>
        <w:p w:rsidR="00286ABC" w14:paraId="7E7CF00D" w14:textId="77777777">
          <w:pPr>
            <w:pStyle w:val="TOC1"/>
            <w:rPr>
              <w:rFonts w:asciiTheme="minorHAnsi" w:eastAsiaTheme="minorEastAsia" w:hAnsiTheme="minorHAnsi"/>
              <w:noProof/>
              <w:kern w:val="2"/>
              <w:sz w:val="22"/>
              <w14:ligatures w14:val="standardContextual"/>
            </w:rPr>
          </w:pPr>
          <w:hyperlink w:anchor="_Toc177113129" w:history="1">
            <w:r w:rsidRPr="00A36B67" w:rsidR="00FC2261">
              <w:rPr>
                <w:rStyle w:val="Hyperlink"/>
                <w:noProof/>
              </w:rPr>
              <w:t>4.</w:t>
            </w:r>
            <w:r w:rsidR="00FC2261">
              <w:rPr>
                <w:rFonts w:asciiTheme="minorHAnsi" w:eastAsiaTheme="minorEastAsia" w:hAnsiTheme="minorHAnsi"/>
                <w:noProof/>
                <w:kern w:val="2"/>
                <w:sz w:val="22"/>
                <w14:ligatures w14:val="standardContextual"/>
              </w:rPr>
              <w:tab/>
            </w:r>
            <w:r w:rsidRPr="00A36B67" w:rsidR="00FC2261">
              <w:rPr>
                <w:rStyle w:val="Hyperlink"/>
                <w:noProof/>
              </w:rPr>
              <w:t>Efforts to Identify Duplication and Use of Similar Information</w:t>
            </w:r>
            <w:r w:rsidR="00FC2261">
              <w:rPr>
                <w:noProof/>
                <w:webHidden/>
              </w:rPr>
              <w:tab/>
            </w:r>
            <w:r w:rsidR="00FC2261">
              <w:rPr>
                <w:noProof/>
                <w:webHidden/>
              </w:rPr>
              <w:fldChar w:fldCharType="begin"/>
            </w:r>
            <w:r w:rsidR="00FC2261">
              <w:rPr>
                <w:noProof/>
                <w:webHidden/>
              </w:rPr>
              <w:instrText xml:space="preserve"> PAGEREF _Toc177113129 \h </w:instrText>
            </w:r>
            <w:r w:rsidR="00FC2261">
              <w:rPr>
                <w:noProof/>
                <w:webHidden/>
              </w:rPr>
              <w:fldChar w:fldCharType="separate"/>
            </w:r>
            <w:r w:rsidR="00FC2261">
              <w:rPr>
                <w:noProof/>
                <w:webHidden/>
              </w:rPr>
              <w:t>7</w:t>
            </w:r>
            <w:r w:rsidR="00FC2261">
              <w:rPr>
                <w:noProof/>
                <w:webHidden/>
              </w:rPr>
              <w:fldChar w:fldCharType="end"/>
            </w:r>
          </w:hyperlink>
        </w:p>
        <w:p w:rsidR="00286ABC" w14:paraId="1A12185D" w14:textId="77777777">
          <w:pPr>
            <w:pStyle w:val="TOC1"/>
            <w:rPr>
              <w:rFonts w:asciiTheme="minorHAnsi" w:eastAsiaTheme="minorEastAsia" w:hAnsiTheme="minorHAnsi"/>
              <w:noProof/>
              <w:kern w:val="2"/>
              <w:sz w:val="22"/>
              <w14:ligatures w14:val="standardContextual"/>
            </w:rPr>
          </w:pPr>
          <w:hyperlink w:anchor="_Toc177113130" w:history="1">
            <w:r w:rsidRPr="00A36B67" w:rsidR="00FC2261">
              <w:rPr>
                <w:rStyle w:val="Hyperlink"/>
                <w:noProof/>
              </w:rPr>
              <w:t>5.</w:t>
            </w:r>
            <w:r w:rsidR="00FC2261">
              <w:rPr>
                <w:rFonts w:asciiTheme="minorHAnsi" w:eastAsiaTheme="minorEastAsia" w:hAnsiTheme="minorHAnsi"/>
                <w:noProof/>
                <w:kern w:val="2"/>
                <w:sz w:val="22"/>
                <w14:ligatures w14:val="standardContextual"/>
              </w:rPr>
              <w:tab/>
            </w:r>
            <w:r w:rsidRPr="00A36B67" w:rsidR="00FC2261">
              <w:rPr>
                <w:rStyle w:val="Hyperlink"/>
                <w:noProof/>
              </w:rPr>
              <w:t>Impact on Small Businesses or Other Small Entities</w:t>
            </w:r>
            <w:r w:rsidR="00FC2261">
              <w:rPr>
                <w:noProof/>
                <w:webHidden/>
              </w:rPr>
              <w:tab/>
            </w:r>
            <w:r w:rsidR="00FC2261">
              <w:rPr>
                <w:noProof/>
                <w:webHidden/>
              </w:rPr>
              <w:fldChar w:fldCharType="begin"/>
            </w:r>
            <w:r w:rsidR="00FC2261">
              <w:rPr>
                <w:noProof/>
                <w:webHidden/>
              </w:rPr>
              <w:instrText xml:space="preserve"> PAGEREF _Toc177113130 \h </w:instrText>
            </w:r>
            <w:r w:rsidR="00FC2261">
              <w:rPr>
                <w:noProof/>
                <w:webHidden/>
              </w:rPr>
              <w:fldChar w:fldCharType="separate"/>
            </w:r>
            <w:r w:rsidR="00FC2261">
              <w:rPr>
                <w:noProof/>
                <w:webHidden/>
              </w:rPr>
              <w:t>7</w:t>
            </w:r>
            <w:r w:rsidR="00FC2261">
              <w:rPr>
                <w:noProof/>
                <w:webHidden/>
              </w:rPr>
              <w:fldChar w:fldCharType="end"/>
            </w:r>
          </w:hyperlink>
        </w:p>
        <w:p w:rsidR="00286ABC" w14:paraId="433D6228" w14:textId="77777777">
          <w:pPr>
            <w:pStyle w:val="TOC1"/>
            <w:rPr>
              <w:rFonts w:asciiTheme="minorHAnsi" w:eastAsiaTheme="minorEastAsia" w:hAnsiTheme="minorHAnsi"/>
              <w:noProof/>
              <w:kern w:val="2"/>
              <w:sz w:val="22"/>
              <w14:ligatures w14:val="standardContextual"/>
            </w:rPr>
          </w:pPr>
          <w:hyperlink w:anchor="_Toc177113131" w:history="1">
            <w:r w:rsidRPr="00A36B67" w:rsidR="00FC2261">
              <w:rPr>
                <w:rStyle w:val="Hyperlink"/>
                <w:noProof/>
              </w:rPr>
              <w:t>6.</w:t>
            </w:r>
            <w:r w:rsidR="00FC2261">
              <w:rPr>
                <w:rFonts w:asciiTheme="minorHAnsi" w:eastAsiaTheme="minorEastAsia" w:hAnsiTheme="minorHAnsi"/>
                <w:noProof/>
                <w:kern w:val="2"/>
                <w:sz w:val="22"/>
                <w14:ligatures w14:val="standardContextual"/>
              </w:rPr>
              <w:tab/>
            </w:r>
            <w:r w:rsidRPr="00A36B67" w:rsidR="00FC2261">
              <w:rPr>
                <w:rStyle w:val="Hyperlink"/>
                <w:noProof/>
              </w:rPr>
              <w:t>Consequences of Collecting the Information Less Frequently</w:t>
            </w:r>
            <w:r w:rsidR="00FC2261">
              <w:rPr>
                <w:noProof/>
                <w:webHidden/>
              </w:rPr>
              <w:tab/>
            </w:r>
            <w:r w:rsidR="00FC2261">
              <w:rPr>
                <w:noProof/>
                <w:webHidden/>
              </w:rPr>
              <w:fldChar w:fldCharType="begin"/>
            </w:r>
            <w:r w:rsidR="00FC2261">
              <w:rPr>
                <w:noProof/>
                <w:webHidden/>
              </w:rPr>
              <w:instrText xml:space="preserve"> PAGEREF _Toc177113131 \h </w:instrText>
            </w:r>
            <w:r w:rsidR="00FC2261">
              <w:rPr>
                <w:noProof/>
                <w:webHidden/>
              </w:rPr>
              <w:fldChar w:fldCharType="separate"/>
            </w:r>
            <w:r w:rsidR="00FC2261">
              <w:rPr>
                <w:noProof/>
                <w:webHidden/>
              </w:rPr>
              <w:t>7</w:t>
            </w:r>
            <w:r w:rsidR="00FC2261">
              <w:rPr>
                <w:noProof/>
                <w:webHidden/>
              </w:rPr>
              <w:fldChar w:fldCharType="end"/>
            </w:r>
          </w:hyperlink>
        </w:p>
        <w:p w:rsidR="00286ABC" w14:paraId="24EB5F1E" w14:textId="77777777">
          <w:pPr>
            <w:pStyle w:val="TOC1"/>
            <w:rPr>
              <w:rFonts w:asciiTheme="minorHAnsi" w:eastAsiaTheme="minorEastAsia" w:hAnsiTheme="minorHAnsi"/>
              <w:noProof/>
              <w:kern w:val="2"/>
              <w:sz w:val="22"/>
              <w14:ligatures w14:val="standardContextual"/>
            </w:rPr>
          </w:pPr>
          <w:hyperlink w:anchor="_Toc177113132" w:history="1">
            <w:r w:rsidRPr="00A36B67" w:rsidR="00FC2261">
              <w:rPr>
                <w:rStyle w:val="Hyperlink"/>
                <w:noProof/>
              </w:rPr>
              <w:t>7.</w:t>
            </w:r>
            <w:r w:rsidR="00FC2261">
              <w:rPr>
                <w:rFonts w:asciiTheme="minorHAnsi" w:eastAsiaTheme="minorEastAsia" w:hAnsiTheme="minorHAnsi"/>
                <w:noProof/>
                <w:kern w:val="2"/>
                <w:sz w:val="22"/>
                <w14:ligatures w14:val="standardContextual"/>
              </w:rPr>
              <w:tab/>
            </w:r>
            <w:r w:rsidRPr="00A36B67" w:rsidR="00FC2261">
              <w:rPr>
                <w:rStyle w:val="Hyperlink"/>
                <w:noProof/>
              </w:rPr>
              <w:t>Special Circumstances Relating to the Guidelines of 5 CFR 1320.5</w:t>
            </w:r>
            <w:r w:rsidR="00FC2261">
              <w:rPr>
                <w:noProof/>
                <w:webHidden/>
              </w:rPr>
              <w:tab/>
            </w:r>
            <w:r w:rsidR="00FC2261">
              <w:rPr>
                <w:noProof/>
                <w:webHidden/>
              </w:rPr>
              <w:fldChar w:fldCharType="begin"/>
            </w:r>
            <w:r w:rsidR="00FC2261">
              <w:rPr>
                <w:noProof/>
                <w:webHidden/>
              </w:rPr>
              <w:instrText xml:space="preserve"> PAGEREF _Toc177113132 \h </w:instrText>
            </w:r>
            <w:r w:rsidR="00FC2261">
              <w:rPr>
                <w:noProof/>
                <w:webHidden/>
              </w:rPr>
              <w:fldChar w:fldCharType="separate"/>
            </w:r>
            <w:r w:rsidR="00FC2261">
              <w:rPr>
                <w:noProof/>
                <w:webHidden/>
              </w:rPr>
              <w:t>7</w:t>
            </w:r>
            <w:r w:rsidR="00FC2261">
              <w:rPr>
                <w:noProof/>
                <w:webHidden/>
              </w:rPr>
              <w:fldChar w:fldCharType="end"/>
            </w:r>
          </w:hyperlink>
        </w:p>
        <w:p w:rsidR="00286ABC" w14:paraId="74ACB96B" w14:textId="77777777">
          <w:pPr>
            <w:pStyle w:val="TOC1"/>
            <w:rPr>
              <w:rFonts w:asciiTheme="minorHAnsi" w:eastAsiaTheme="minorEastAsia" w:hAnsiTheme="minorHAnsi"/>
              <w:noProof/>
              <w:kern w:val="2"/>
              <w:sz w:val="22"/>
              <w14:ligatures w14:val="standardContextual"/>
            </w:rPr>
          </w:pPr>
          <w:hyperlink w:anchor="_Toc177113133" w:history="1">
            <w:r w:rsidRPr="00A36B67" w:rsidR="00FC2261">
              <w:rPr>
                <w:rStyle w:val="Hyperlink"/>
                <w:noProof/>
              </w:rPr>
              <w:t>8.</w:t>
            </w:r>
            <w:r w:rsidR="00FC2261">
              <w:rPr>
                <w:rFonts w:asciiTheme="minorHAnsi" w:eastAsiaTheme="minorEastAsia" w:hAnsiTheme="minorHAnsi"/>
                <w:noProof/>
                <w:kern w:val="2"/>
                <w:sz w:val="22"/>
                <w14:ligatures w14:val="standardContextual"/>
              </w:rPr>
              <w:tab/>
            </w:r>
            <w:r w:rsidRPr="00A36B67" w:rsidR="00FC2261">
              <w:rPr>
                <w:rStyle w:val="Hyperlink"/>
                <w:noProof/>
              </w:rPr>
              <w:t>Comments in Response to the Federal Register Notice and Efforts to Consult Outside the Agency</w:t>
            </w:r>
            <w:r w:rsidR="00FC2261">
              <w:rPr>
                <w:noProof/>
                <w:webHidden/>
              </w:rPr>
              <w:tab/>
            </w:r>
            <w:r w:rsidR="00FC2261">
              <w:rPr>
                <w:noProof/>
                <w:webHidden/>
              </w:rPr>
              <w:fldChar w:fldCharType="begin"/>
            </w:r>
            <w:r w:rsidR="00FC2261">
              <w:rPr>
                <w:noProof/>
                <w:webHidden/>
              </w:rPr>
              <w:instrText xml:space="preserve"> PAGEREF _Toc177113133 \h </w:instrText>
            </w:r>
            <w:r w:rsidR="00FC2261">
              <w:rPr>
                <w:noProof/>
                <w:webHidden/>
              </w:rPr>
              <w:fldChar w:fldCharType="separate"/>
            </w:r>
            <w:r w:rsidR="00FC2261">
              <w:rPr>
                <w:noProof/>
                <w:webHidden/>
              </w:rPr>
              <w:t>8</w:t>
            </w:r>
            <w:r w:rsidR="00FC2261">
              <w:rPr>
                <w:noProof/>
                <w:webHidden/>
              </w:rPr>
              <w:fldChar w:fldCharType="end"/>
            </w:r>
          </w:hyperlink>
        </w:p>
        <w:p w:rsidR="00286ABC" w14:paraId="21522E91" w14:textId="77777777">
          <w:pPr>
            <w:pStyle w:val="TOC1"/>
            <w:rPr>
              <w:rFonts w:asciiTheme="minorHAnsi" w:eastAsiaTheme="minorEastAsia" w:hAnsiTheme="minorHAnsi"/>
              <w:noProof/>
              <w:kern w:val="2"/>
              <w:sz w:val="22"/>
              <w14:ligatures w14:val="standardContextual"/>
            </w:rPr>
          </w:pPr>
          <w:hyperlink w:anchor="_Toc177113134" w:history="1">
            <w:r w:rsidRPr="00A36B67" w:rsidR="00FC2261">
              <w:rPr>
                <w:rStyle w:val="Hyperlink"/>
                <w:noProof/>
              </w:rPr>
              <w:t>9.</w:t>
            </w:r>
            <w:r w:rsidR="00FC2261">
              <w:rPr>
                <w:rFonts w:asciiTheme="minorHAnsi" w:eastAsiaTheme="minorEastAsia" w:hAnsiTheme="minorHAnsi"/>
                <w:noProof/>
                <w:kern w:val="2"/>
                <w:sz w:val="22"/>
                <w14:ligatures w14:val="standardContextual"/>
              </w:rPr>
              <w:tab/>
            </w:r>
            <w:r w:rsidRPr="00A36B67" w:rsidR="00FC2261">
              <w:rPr>
                <w:rStyle w:val="Hyperlink"/>
                <w:noProof/>
              </w:rPr>
              <w:t>Explanation of Any Payment or Gift to Respondents</w:t>
            </w:r>
            <w:r w:rsidR="00FC2261">
              <w:rPr>
                <w:noProof/>
                <w:webHidden/>
              </w:rPr>
              <w:tab/>
            </w:r>
            <w:r w:rsidR="00FC2261">
              <w:rPr>
                <w:noProof/>
                <w:webHidden/>
              </w:rPr>
              <w:fldChar w:fldCharType="begin"/>
            </w:r>
            <w:r w:rsidR="00FC2261">
              <w:rPr>
                <w:noProof/>
                <w:webHidden/>
              </w:rPr>
              <w:instrText xml:space="preserve"> PAGEREF _Toc177113134 \h </w:instrText>
            </w:r>
            <w:r w:rsidR="00FC2261">
              <w:rPr>
                <w:noProof/>
                <w:webHidden/>
              </w:rPr>
              <w:fldChar w:fldCharType="separate"/>
            </w:r>
            <w:r w:rsidR="00FC2261">
              <w:rPr>
                <w:noProof/>
                <w:webHidden/>
              </w:rPr>
              <w:t>9</w:t>
            </w:r>
            <w:r w:rsidR="00FC2261">
              <w:rPr>
                <w:noProof/>
                <w:webHidden/>
              </w:rPr>
              <w:fldChar w:fldCharType="end"/>
            </w:r>
          </w:hyperlink>
        </w:p>
        <w:p w:rsidR="00286ABC" w14:paraId="68D12B58" w14:textId="77777777">
          <w:pPr>
            <w:pStyle w:val="TOC1"/>
            <w:rPr>
              <w:rFonts w:asciiTheme="minorHAnsi" w:eastAsiaTheme="minorEastAsia" w:hAnsiTheme="minorHAnsi"/>
              <w:noProof/>
              <w:kern w:val="2"/>
              <w:sz w:val="22"/>
              <w14:ligatures w14:val="standardContextual"/>
            </w:rPr>
          </w:pPr>
          <w:hyperlink w:anchor="_Toc177113135" w:history="1">
            <w:r w:rsidRPr="00A36B67" w:rsidR="00FC2261">
              <w:rPr>
                <w:rStyle w:val="Hyperlink"/>
                <w:noProof/>
              </w:rPr>
              <w:t>10.</w:t>
            </w:r>
            <w:r w:rsidR="00FC2261">
              <w:rPr>
                <w:rFonts w:asciiTheme="minorHAnsi" w:eastAsiaTheme="minorEastAsia" w:hAnsiTheme="minorHAnsi"/>
                <w:noProof/>
                <w:kern w:val="2"/>
                <w:sz w:val="22"/>
                <w14:ligatures w14:val="standardContextual"/>
              </w:rPr>
              <w:tab/>
            </w:r>
            <w:r w:rsidRPr="00A36B67" w:rsidR="00FC2261">
              <w:rPr>
                <w:rStyle w:val="Hyperlink"/>
                <w:noProof/>
              </w:rPr>
              <w:t>Protection of the Privacy and Confidentiality of Information Provided by Respondents</w:t>
            </w:r>
            <w:r w:rsidR="00FC2261">
              <w:rPr>
                <w:noProof/>
                <w:webHidden/>
              </w:rPr>
              <w:tab/>
            </w:r>
            <w:r w:rsidR="00FC2261">
              <w:rPr>
                <w:noProof/>
                <w:webHidden/>
              </w:rPr>
              <w:fldChar w:fldCharType="begin"/>
            </w:r>
            <w:r w:rsidR="00FC2261">
              <w:rPr>
                <w:noProof/>
                <w:webHidden/>
              </w:rPr>
              <w:instrText xml:space="preserve"> PAGEREF _Toc177113135 \h </w:instrText>
            </w:r>
            <w:r w:rsidR="00FC2261">
              <w:rPr>
                <w:noProof/>
                <w:webHidden/>
              </w:rPr>
              <w:fldChar w:fldCharType="separate"/>
            </w:r>
            <w:r w:rsidR="00FC2261">
              <w:rPr>
                <w:noProof/>
                <w:webHidden/>
              </w:rPr>
              <w:t>9</w:t>
            </w:r>
            <w:r w:rsidR="00FC2261">
              <w:rPr>
                <w:noProof/>
                <w:webHidden/>
              </w:rPr>
              <w:fldChar w:fldCharType="end"/>
            </w:r>
          </w:hyperlink>
        </w:p>
        <w:p w:rsidR="00286ABC" w14:paraId="3B78B16D" w14:textId="77777777">
          <w:pPr>
            <w:pStyle w:val="TOC1"/>
            <w:rPr>
              <w:rFonts w:asciiTheme="minorHAnsi" w:eastAsiaTheme="minorEastAsia" w:hAnsiTheme="minorHAnsi"/>
              <w:noProof/>
              <w:kern w:val="2"/>
              <w:sz w:val="22"/>
              <w14:ligatures w14:val="standardContextual"/>
            </w:rPr>
          </w:pPr>
          <w:hyperlink w:anchor="_Toc177113136" w:history="1">
            <w:r w:rsidRPr="00A36B67" w:rsidR="00FC2261">
              <w:rPr>
                <w:rStyle w:val="Hyperlink"/>
                <w:noProof/>
              </w:rPr>
              <w:t>11.</w:t>
            </w:r>
            <w:r w:rsidR="00FC2261">
              <w:rPr>
                <w:rFonts w:asciiTheme="minorHAnsi" w:eastAsiaTheme="minorEastAsia" w:hAnsiTheme="minorHAnsi"/>
                <w:noProof/>
                <w:kern w:val="2"/>
                <w:sz w:val="22"/>
                <w14:ligatures w14:val="standardContextual"/>
              </w:rPr>
              <w:tab/>
            </w:r>
            <w:r w:rsidRPr="00A36B67" w:rsidR="00FC2261">
              <w:rPr>
                <w:rStyle w:val="Hyperlink"/>
                <w:noProof/>
              </w:rPr>
              <w:t>Institutional Review Board (IRB) and Justification for Sensitive Questions</w:t>
            </w:r>
            <w:r w:rsidR="00FC2261">
              <w:rPr>
                <w:noProof/>
                <w:webHidden/>
              </w:rPr>
              <w:tab/>
            </w:r>
            <w:r w:rsidR="00FC2261">
              <w:rPr>
                <w:noProof/>
                <w:webHidden/>
              </w:rPr>
              <w:fldChar w:fldCharType="begin"/>
            </w:r>
            <w:r w:rsidR="00FC2261">
              <w:rPr>
                <w:noProof/>
                <w:webHidden/>
              </w:rPr>
              <w:instrText xml:space="preserve"> PAGEREF _Toc177113136 \h </w:instrText>
            </w:r>
            <w:r w:rsidR="00FC2261">
              <w:rPr>
                <w:noProof/>
                <w:webHidden/>
              </w:rPr>
              <w:fldChar w:fldCharType="separate"/>
            </w:r>
            <w:r w:rsidR="00FC2261">
              <w:rPr>
                <w:noProof/>
                <w:webHidden/>
              </w:rPr>
              <w:t>10</w:t>
            </w:r>
            <w:r w:rsidR="00FC2261">
              <w:rPr>
                <w:noProof/>
                <w:webHidden/>
              </w:rPr>
              <w:fldChar w:fldCharType="end"/>
            </w:r>
          </w:hyperlink>
        </w:p>
        <w:p w:rsidR="00286ABC" w14:paraId="203B7000" w14:textId="77777777">
          <w:pPr>
            <w:pStyle w:val="TOC1"/>
            <w:rPr>
              <w:rFonts w:asciiTheme="minorHAnsi" w:eastAsiaTheme="minorEastAsia" w:hAnsiTheme="minorHAnsi"/>
              <w:noProof/>
              <w:kern w:val="2"/>
              <w:sz w:val="22"/>
              <w14:ligatures w14:val="standardContextual"/>
            </w:rPr>
          </w:pPr>
          <w:hyperlink w:anchor="_Toc177113137" w:history="1">
            <w:r w:rsidRPr="00A36B67" w:rsidR="00FC2261">
              <w:rPr>
                <w:rStyle w:val="Hyperlink"/>
                <w:noProof/>
              </w:rPr>
              <w:t>12.</w:t>
            </w:r>
            <w:r w:rsidR="00FC2261">
              <w:rPr>
                <w:rFonts w:asciiTheme="minorHAnsi" w:eastAsiaTheme="minorEastAsia" w:hAnsiTheme="minorHAnsi"/>
                <w:noProof/>
                <w:kern w:val="2"/>
                <w:sz w:val="22"/>
                <w14:ligatures w14:val="standardContextual"/>
              </w:rPr>
              <w:tab/>
            </w:r>
            <w:r w:rsidRPr="00A36B67" w:rsidR="00FC2261">
              <w:rPr>
                <w:rStyle w:val="Hyperlink"/>
                <w:noProof/>
              </w:rPr>
              <w:t>Estimates of Annualized Burden Hours and Costs</w:t>
            </w:r>
            <w:r w:rsidR="00FC2261">
              <w:rPr>
                <w:noProof/>
                <w:webHidden/>
              </w:rPr>
              <w:tab/>
            </w:r>
            <w:r w:rsidR="00FC2261">
              <w:rPr>
                <w:noProof/>
                <w:webHidden/>
              </w:rPr>
              <w:fldChar w:fldCharType="begin"/>
            </w:r>
            <w:r w:rsidR="00FC2261">
              <w:rPr>
                <w:noProof/>
                <w:webHidden/>
              </w:rPr>
              <w:instrText xml:space="preserve"> PAGEREF _Toc177113137 \h </w:instrText>
            </w:r>
            <w:r w:rsidR="00FC2261">
              <w:rPr>
                <w:noProof/>
                <w:webHidden/>
              </w:rPr>
              <w:fldChar w:fldCharType="separate"/>
            </w:r>
            <w:r w:rsidR="00FC2261">
              <w:rPr>
                <w:noProof/>
                <w:webHidden/>
              </w:rPr>
              <w:t>10</w:t>
            </w:r>
            <w:r w:rsidR="00FC2261">
              <w:rPr>
                <w:noProof/>
                <w:webHidden/>
              </w:rPr>
              <w:fldChar w:fldCharType="end"/>
            </w:r>
          </w:hyperlink>
        </w:p>
        <w:p w:rsidR="00286ABC" w14:paraId="23447BD4" w14:textId="77777777">
          <w:pPr>
            <w:pStyle w:val="TOC1"/>
            <w:rPr>
              <w:rFonts w:asciiTheme="minorHAnsi" w:eastAsiaTheme="minorEastAsia" w:hAnsiTheme="minorHAnsi"/>
              <w:noProof/>
              <w:kern w:val="2"/>
              <w:sz w:val="22"/>
              <w14:ligatures w14:val="standardContextual"/>
            </w:rPr>
          </w:pPr>
          <w:hyperlink w:anchor="_Toc177113138" w:history="1">
            <w:r w:rsidRPr="00A36B67" w:rsidR="00FC2261">
              <w:rPr>
                <w:rStyle w:val="Hyperlink"/>
                <w:noProof/>
              </w:rPr>
              <w:t>13.</w:t>
            </w:r>
            <w:r w:rsidR="00FC2261">
              <w:rPr>
                <w:rFonts w:asciiTheme="minorHAnsi" w:eastAsiaTheme="minorEastAsia" w:hAnsiTheme="minorHAnsi"/>
                <w:noProof/>
                <w:kern w:val="2"/>
                <w:sz w:val="22"/>
                <w14:ligatures w14:val="standardContextual"/>
              </w:rPr>
              <w:tab/>
            </w:r>
            <w:r w:rsidRPr="00A36B67" w:rsidR="00FC2261">
              <w:rPr>
                <w:rStyle w:val="Hyperlink"/>
                <w:noProof/>
              </w:rPr>
              <w:t>Estimates of Other Total Annual Cost Burden to Respondents or Record Keepers</w:t>
            </w:r>
            <w:r w:rsidR="00FC2261">
              <w:rPr>
                <w:noProof/>
                <w:webHidden/>
              </w:rPr>
              <w:tab/>
            </w:r>
            <w:r w:rsidR="00FC2261">
              <w:rPr>
                <w:noProof/>
                <w:webHidden/>
              </w:rPr>
              <w:fldChar w:fldCharType="begin"/>
            </w:r>
            <w:r w:rsidR="00FC2261">
              <w:rPr>
                <w:noProof/>
                <w:webHidden/>
              </w:rPr>
              <w:instrText xml:space="preserve"> PAGEREF _Toc177113138 \h </w:instrText>
            </w:r>
            <w:r w:rsidR="00FC2261">
              <w:rPr>
                <w:noProof/>
                <w:webHidden/>
              </w:rPr>
              <w:fldChar w:fldCharType="separate"/>
            </w:r>
            <w:r w:rsidR="00FC2261">
              <w:rPr>
                <w:noProof/>
                <w:webHidden/>
              </w:rPr>
              <w:t>13</w:t>
            </w:r>
            <w:r w:rsidR="00FC2261">
              <w:rPr>
                <w:noProof/>
                <w:webHidden/>
              </w:rPr>
              <w:fldChar w:fldCharType="end"/>
            </w:r>
          </w:hyperlink>
        </w:p>
        <w:p w:rsidR="00286ABC" w14:paraId="154F46F7" w14:textId="77777777">
          <w:pPr>
            <w:pStyle w:val="TOC1"/>
            <w:rPr>
              <w:rFonts w:asciiTheme="minorHAnsi" w:eastAsiaTheme="minorEastAsia" w:hAnsiTheme="minorHAnsi"/>
              <w:noProof/>
              <w:kern w:val="2"/>
              <w:sz w:val="22"/>
              <w14:ligatures w14:val="standardContextual"/>
            </w:rPr>
          </w:pPr>
          <w:hyperlink w:anchor="_Toc177113139" w:history="1">
            <w:r w:rsidRPr="00A36B67" w:rsidR="00FC2261">
              <w:rPr>
                <w:rStyle w:val="Hyperlink"/>
                <w:noProof/>
              </w:rPr>
              <w:t>14.</w:t>
            </w:r>
            <w:r w:rsidR="00FC2261">
              <w:rPr>
                <w:rFonts w:asciiTheme="minorHAnsi" w:eastAsiaTheme="minorEastAsia" w:hAnsiTheme="minorHAnsi"/>
                <w:noProof/>
                <w:kern w:val="2"/>
                <w:sz w:val="22"/>
                <w14:ligatures w14:val="standardContextual"/>
              </w:rPr>
              <w:tab/>
            </w:r>
            <w:r w:rsidRPr="00A36B67" w:rsidR="00FC2261">
              <w:rPr>
                <w:rStyle w:val="Hyperlink"/>
                <w:noProof/>
              </w:rPr>
              <w:t>Annualized Cost to the Government</w:t>
            </w:r>
            <w:r w:rsidR="00FC2261">
              <w:rPr>
                <w:noProof/>
                <w:webHidden/>
              </w:rPr>
              <w:tab/>
            </w:r>
            <w:r w:rsidR="00FC2261">
              <w:rPr>
                <w:noProof/>
                <w:webHidden/>
              </w:rPr>
              <w:fldChar w:fldCharType="begin"/>
            </w:r>
            <w:r w:rsidR="00FC2261">
              <w:rPr>
                <w:noProof/>
                <w:webHidden/>
              </w:rPr>
              <w:instrText xml:space="preserve"> PAGEREF _Toc177113139 \h </w:instrText>
            </w:r>
            <w:r w:rsidR="00FC2261">
              <w:rPr>
                <w:noProof/>
                <w:webHidden/>
              </w:rPr>
              <w:fldChar w:fldCharType="separate"/>
            </w:r>
            <w:r w:rsidR="00FC2261">
              <w:rPr>
                <w:noProof/>
                <w:webHidden/>
              </w:rPr>
              <w:t>13</w:t>
            </w:r>
            <w:r w:rsidR="00FC2261">
              <w:rPr>
                <w:noProof/>
                <w:webHidden/>
              </w:rPr>
              <w:fldChar w:fldCharType="end"/>
            </w:r>
          </w:hyperlink>
        </w:p>
        <w:p w:rsidR="00286ABC" w14:paraId="1D622821" w14:textId="77777777">
          <w:pPr>
            <w:pStyle w:val="TOC1"/>
            <w:rPr>
              <w:rFonts w:asciiTheme="minorHAnsi" w:eastAsiaTheme="minorEastAsia" w:hAnsiTheme="minorHAnsi"/>
              <w:noProof/>
              <w:kern w:val="2"/>
              <w:sz w:val="22"/>
              <w14:ligatures w14:val="standardContextual"/>
            </w:rPr>
          </w:pPr>
          <w:hyperlink w:anchor="_Toc177113140" w:history="1">
            <w:r w:rsidRPr="00A36B67" w:rsidR="00FC2261">
              <w:rPr>
                <w:rStyle w:val="Hyperlink"/>
                <w:noProof/>
              </w:rPr>
              <w:t>15.</w:t>
            </w:r>
            <w:r w:rsidR="00FC2261">
              <w:rPr>
                <w:rFonts w:asciiTheme="minorHAnsi" w:eastAsiaTheme="minorEastAsia" w:hAnsiTheme="minorHAnsi"/>
                <w:noProof/>
                <w:kern w:val="2"/>
                <w:sz w:val="22"/>
                <w14:ligatures w14:val="standardContextual"/>
              </w:rPr>
              <w:tab/>
            </w:r>
            <w:r w:rsidRPr="00A36B67" w:rsidR="00FC2261">
              <w:rPr>
                <w:rStyle w:val="Hyperlink"/>
                <w:noProof/>
              </w:rPr>
              <w:t>Explanation for Program Changes or Adjustments</w:t>
            </w:r>
            <w:r w:rsidR="00FC2261">
              <w:rPr>
                <w:noProof/>
                <w:webHidden/>
              </w:rPr>
              <w:tab/>
            </w:r>
            <w:r w:rsidR="00FC2261">
              <w:rPr>
                <w:noProof/>
                <w:webHidden/>
              </w:rPr>
              <w:fldChar w:fldCharType="begin"/>
            </w:r>
            <w:r w:rsidR="00FC2261">
              <w:rPr>
                <w:noProof/>
                <w:webHidden/>
              </w:rPr>
              <w:instrText xml:space="preserve"> PAGEREF _Toc177113140 \h </w:instrText>
            </w:r>
            <w:r w:rsidR="00FC2261">
              <w:rPr>
                <w:noProof/>
                <w:webHidden/>
              </w:rPr>
              <w:fldChar w:fldCharType="separate"/>
            </w:r>
            <w:r w:rsidR="00FC2261">
              <w:rPr>
                <w:noProof/>
                <w:webHidden/>
              </w:rPr>
              <w:t>14</w:t>
            </w:r>
            <w:r w:rsidR="00FC2261">
              <w:rPr>
                <w:noProof/>
                <w:webHidden/>
              </w:rPr>
              <w:fldChar w:fldCharType="end"/>
            </w:r>
          </w:hyperlink>
        </w:p>
        <w:p w:rsidR="00286ABC" w14:paraId="59AA4EE1" w14:textId="77777777">
          <w:pPr>
            <w:pStyle w:val="TOC1"/>
            <w:rPr>
              <w:rFonts w:asciiTheme="minorHAnsi" w:eastAsiaTheme="minorEastAsia" w:hAnsiTheme="minorHAnsi"/>
              <w:noProof/>
              <w:kern w:val="2"/>
              <w:sz w:val="22"/>
              <w14:ligatures w14:val="standardContextual"/>
            </w:rPr>
          </w:pPr>
          <w:hyperlink w:anchor="_Toc177113141" w:history="1">
            <w:r w:rsidRPr="00A36B67" w:rsidR="00FC2261">
              <w:rPr>
                <w:rStyle w:val="Hyperlink"/>
                <w:noProof/>
              </w:rPr>
              <w:t>16.</w:t>
            </w:r>
            <w:r w:rsidR="00FC2261">
              <w:rPr>
                <w:rFonts w:asciiTheme="minorHAnsi" w:eastAsiaTheme="minorEastAsia" w:hAnsiTheme="minorHAnsi"/>
                <w:noProof/>
                <w:kern w:val="2"/>
                <w:sz w:val="22"/>
                <w14:ligatures w14:val="standardContextual"/>
              </w:rPr>
              <w:tab/>
            </w:r>
            <w:r w:rsidRPr="00A36B67" w:rsidR="00FC2261">
              <w:rPr>
                <w:rStyle w:val="Hyperlink"/>
                <w:noProof/>
              </w:rPr>
              <w:t>Plans for Tabulation and Publication and Project Time Schedule</w:t>
            </w:r>
            <w:r w:rsidR="00FC2261">
              <w:rPr>
                <w:noProof/>
                <w:webHidden/>
              </w:rPr>
              <w:tab/>
            </w:r>
            <w:r w:rsidR="00FC2261">
              <w:rPr>
                <w:noProof/>
                <w:webHidden/>
              </w:rPr>
              <w:fldChar w:fldCharType="begin"/>
            </w:r>
            <w:r w:rsidR="00FC2261">
              <w:rPr>
                <w:noProof/>
                <w:webHidden/>
              </w:rPr>
              <w:instrText xml:space="preserve"> PAGEREF _Toc177113141 \h </w:instrText>
            </w:r>
            <w:r w:rsidR="00FC2261">
              <w:rPr>
                <w:noProof/>
                <w:webHidden/>
              </w:rPr>
              <w:fldChar w:fldCharType="separate"/>
            </w:r>
            <w:r w:rsidR="00FC2261">
              <w:rPr>
                <w:noProof/>
                <w:webHidden/>
              </w:rPr>
              <w:t>14</w:t>
            </w:r>
            <w:r w:rsidR="00FC2261">
              <w:rPr>
                <w:noProof/>
                <w:webHidden/>
              </w:rPr>
              <w:fldChar w:fldCharType="end"/>
            </w:r>
          </w:hyperlink>
        </w:p>
        <w:p w:rsidR="00286ABC" w14:paraId="75A10638" w14:textId="77777777">
          <w:pPr>
            <w:pStyle w:val="TOC1"/>
            <w:rPr>
              <w:rFonts w:asciiTheme="minorHAnsi" w:eastAsiaTheme="minorEastAsia" w:hAnsiTheme="minorHAnsi"/>
              <w:noProof/>
              <w:kern w:val="2"/>
              <w:sz w:val="22"/>
              <w14:ligatures w14:val="standardContextual"/>
            </w:rPr>
          </w:pPr>
          <w:hyperlink w:anchor="_Toc177113142" w:history="1">
            <w:r w:rsidRPr="00A36B67" w:rsidR="00FC2261">
              <w:rPr>
                <w:rStyle w:val="Hyperlink"/>
                <w:noProof/>
              </w:rPr>
              <w:t>17.</w:t>
            </w:r>
            <w:r w:rsidR="00FC2261">
              <w:rPr>
                <w:rFonts w:asciiTheme="minorHAnsi" w:eastAsiaTheme="minorEastAsia" w:hAnsiTheme="minorHAnsi"/>
                <w:noProof/>
                <w:kern w:val="2"/>
                <w:sz w:val="22"/>
                <w14:ligatures w14:val="standardContextual"/>
              </w:rPr>
              <w:tab/>
            </w:r>
            <w:r w:rsidRPr="00A36B67" w:rsidR="00FC2261">
              <w:rPr>
                <w:rStyle w:val="Hyperlink"/>
                <w:noProof/>
              </w:rPr>
              <w:t>Reason(s) Display of OMB Expiration Date is Inappropriate</w:t>
            </w:r>
            <w:r w:rsidR="00FC2261">
              <w:rPr>
                <w:noProof/>
                <w:webHidden/>
              </w:rPr>
              <w:tab/>
            </w:r>
            <w:r w:rsidR="00FC2261">
              <w:rPr>
                <w:noProof/>
                <w:webHidden/>
              </w:rPr>
              <w:fldChar w:fldCharType="begin"/>
            </w:r>
            <w:r w:rsidR="00FC2261">
              <w:rPr>
                <w:noProof/>
                <w:webHidden/>
              </w:rPr>
              <w:instrText xml:space="preserve"> PAGEREF _Toc177113142 \h </w:instrText>
            </w:r>
            <w:r w:rsidR="00FC2261">
              <w:rPr>
                <w:noProof/>
                <w:webHidden/>
              </w:rPr>
              <w:fldChar w:fldCharType="separate"/>
            </w:r>
            <w:r w:rsidR="00FC2261">
              <w:rPr>
                <w:noProof/>
                <w:webHidden/>
              </w:rPr>
              <w:t>14</w:t>
            </w:r>
            <w:r w:rsidR="00FC2261">
              <w:rPr>
                <w:noProof/>
                <w:webHidden/>
              </w:rPr>
              <w:fldChar w:fldCharType="end"/>
            </w:r>
          </w:hyperlink>
        </w:p>
        <w:p w:rsidR="00286ABC" w14:paraId="3D78958B" w14:textId="77777777">
          <w:pPr>
            <w:pStyle w:val="TOC1"/>
            <w:rPr>
              <w:rFonts w:asciiTheme="minorHAnsi" w:eastAsiaTheme="minorEastAsia" w:hAnsiTheme="minorHAnsi"/>
              <w:noProof/>
              <w:kern w:val="2"/>
              <w:sz w:val="22"/>
              <w14:ligatures w14:val="standardContextual"/>
            </w:rPr>
          </w:pPr>
          <w:hyperlink w:anchor="_Toc177113143" w:history="1">
            <w:r w:rsidRPr="00A36B67" w:rsidR="00FC2261">
              <w:rPr>
                <w:rStyle w:val="Hyperlink"/>
                <w:noProof/>
              </w:rPr>
              <w:t>18.</w:t>
            </w:r>
            <w:r w:rsidR="00FC2261">
              <w:rPr>
                <w:rFonts w:asciiTheme="minorHAnsi" w:eastAsiaTheme="minorEastAsia" w:hAnsiTheme="minorHAnsi"/>
                <w:noProof/>
                <w:kern w:val="2"/>
                <w:sz w:val="22"/>
                <w14:ligatures w14:val="standardContextual"/>
              </w:rPr>
              <w:tab/>
            </w:r>
            <w:r w:rsidRPr="00A36B67" w:rsidR="00FC2261">
              <w:rPr>
                <w:rStyle w:val="Hyperlink"/>
                <w:noProof/>
              </w:rPr>
              <w:t>Exceptions to Certification for Paperwork Reduction Act Submissions</w:t>
            </w:r>
            <w:r w:rsidR="00FC2261">
              <w:rPr>
                <w:noProof/>
                <w:webHidden/>
              </w:rPr>
              <w:tab/>
            </w:r>
            <w:r w:rsidR="00FC2261">
              <w:rPr>
                <w:noProof/>
                <w:webHidden/>
              </w:rPr>
              <w:fldChar w:fldCharType="begin"/>
            </w:r>
            <w:r w:rsidR="00FC2261">
              <w:rPr>
                <w:noProof/>
                <w:webHidden/>
              </w:rPr>
              <w:instrText xml:space="preserve"> PAGEREF _Toc177113143 \h </w:instrText>
            </w:r>
            <w:r w:rsidR="00FC2261">
              <w:rPr>
                <w:noProof/>
                <w:webHidden/>
              </w:rPr>
              <w:fldChar w:fldCharType="separate"/>
            </w:r>
            <w:r w:rsidR="00FC2261">
              <w:rPr>
                <w:noProof/>
                <w:webHidden/>
              </w:rPr>
              <w:t>14</w:t>
            </w:r>
            <w:r w:rsidR="00FC2261">
              <w:rPr>
                <w:noProof/>
                <w:webHidden/>
              </w:rPr>
              <w:fldChar w:fldCharType="end"/>
            </w:r>
          </w:hyperlink>
        </w:p>
        <w:p w:rsidR="00286ABC" w14:paraId="560DD16F" w14:textId="77777777">
          <w:pPr>
            <w:pStyle w:val="TOC1"/>
            <w:rPr>
              <w:rFonts w:asciiTheme="minorHAnsi" w:eastAsiaTheme="minorEastAsia" w:hAnsiTheme="minorHAnsi"/>
              <w:noProof/>
              <w:kern w:val="2"/>
              <w:sz w:val="22"/>
              <w14:ligatures w14:val="standardContextual"/>
            </w:rPr>
          </w:pPr>
          <w:hyperlink w:anchor="_Toc177113144" w:history="1">
            <w:r w:rsidRPr="00A36B67" w:rsidR="00FC2261">
              <w:rPr>
                <w:rStyle w:val="Hyperlink"/>
                <w:noProof/>
              </w:rPr>
              <w:t>Attachments</w:t>
            </w:r>
            <w:r w:rsidR="00FC2261">
              <w:rPr>
                <w:noProof/>
                <w:webHidden/>
              </w:rPr>
              <w:tab/>
            </w:r>
            <w:r w:rsidR="00FC2261">
              <w:rPr>
                <w:noProof/>
                <w:webHidden/>
              </w:rPr>
              <w:fldChar w:fldCharType="begin"/>
            </w:r>
            <w:r w:rsidR="00FC2261">
              <w:rPr>
                <w:noProof/>
                <w:webHidden/>
              </w:rPr>
              <w:instrText xml:space="preserve"> PAGEREF _Toc177113144 \h </w:instrText>
            </w:r>
            <w:r w:rsidR="00FC2261">
              <w:rPr>
                <w:noProof/>
                <w:webHidden/>
              </w:rPr>
              <w:fldChar w:fldCharType="separate"/>
            </w:r>
            <w:r w:rsidR="00FC2261">
              <w:rPr>
                <w:noProof/>
                <w:webHidden/>
              </w:rPr>
              <w:t>15</w:t>
            </w:r>
            <w:r w:rsidR="00FC2261">
              <w:rPr>
                <w:noProof/>
                <w:webHidden/>
              </w:rPr>
              <w:fldChar w:fldCharType="end"/>
            </w:r>
          </w:hyperlink>
        </w:p>
        <w:p w:rsidR="004A13E8" w14:paraId="6B28644A" w14:textId="77777777">
          <w:r>
            <w:rPr>
              <w:b/>
              <w:bCs/>
              <w:noProof/>
            </w:rPr>
            <w:fldChar w:fldCharType="end"/>
          </w:r>
        </w:p>
      </w:sdtContent>
    </w:sdt>
    <w:p w:rsidR="004A13E8" w14:paraId="079C6A57" w14:textId="77777777">
      <w:r>
        <w:br w:type="page"/>
      </w:r>
    </w:p>
    <w:p w:rsidR="004A13E8" w:rsidP="004A13E8" w14:paraId="16A83E09" w14:textId="77777777">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685800</wp:posOffset>
                </wp:positionV>
                <wp:extent cx="6477000" cy="4572000"/>
                <wp:effectExtent l="0" t="0" r="19050" b="19050"/>
                <wp:wrapTight wrapText="bothSides">
                  <wp:wrapPolygon>
                    <wp:start x="0" y="0"/>
                    <wp:lineTo x="0" y="21600"/>
                    <wp:lineTo x="21600" y="2160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4572000"/>
                        </a:xfrm>
                        <a:prstGeom prst="rect">
                          <a:avLst/>
                        </a:prstGeom>
                        <a:solidFill>
                          <a:srgbClr val="FFFFFF"/>
                        </a:solidFill>
                        <a:ln w="9525">
                          <a:solidFill>
                            <a:srgbClr val="000000"/>
                          </a:solidFill>
                          <a:miter lim="800000"/>
                          <a:headEnd/>
                          <a:tailEnd/>
                        </a:ln>
                      </wps:spPr>
                      <wps:txbx>
                        <w:txbxContent>
                          <w:p w:rsidR="00F32A12" w:rsidRPr="00C97748" w:rsidP="00F32A12" w14:textId="21B3FFF5">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w:t>
                            </w:r>
                            <w:r w:rsidRPr="00F8782D">
                              <w:rPr>
                                <w:noProof/>
                              </w:rPr>
                              <w:t xml:space="preserve">ICR are designed to (1) increase the overall attainment of CDC’s NHSN </w:t>
                            </w:r>
                            <w:r w:rsidR="00697633">
                              <w:rPr>
                                <w:noProof/>
                              </w:rPr>
                              <w:t>healthcare-associated infection (</w:t>
                            </w:r>
                            <w:r w:rsidRPr="00F8782D">
                              <w:rPr>
                                <w:noProof/>
                              </w:rPr>
                              <w:t>HAI</w:t>
                            </w:r>
                            <w:r w:rsidR="00697633">
                              <w:rPr>
                                <w:noProof/>
                              </w:rPr>
                              <w:t>)</w:t>
                            </w:r>
                            <w:r w:rsidRPr="00F8782D">
                              <w:rPr>
                                <w:noProof/>
                              </w:rPr>
                              <w:t xml:space="preserve">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the proposed</w:t>
                            </w:r>
                            <w:r w:rsidR="006A1232">
                              <w:t xml:space="preserve">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textId="48F01462">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w:t>
                            </w:r>
                            <w:r w:rsidR="001B688F">
                              <w:t>CDC provides</w:t>
                            </w:r>
                            <w:r w:rsidRPr="00B36EB2">
                              <w:t xml:space="preserve"> state agencies, at their request, </w:t>
                            </w:r>
                            <w:r w:rsidRPr="00B36EB2" w:rsidR="00636DB9">
                              <w:t xml:space="preserve">facility </w:t>
                            </w:r>
                            <w:r w:rsidR="001B688F">
                              <w:t>level</w:t>
                            </w:r>
                            <w:r w:rsidRPr="00B36EB2">
                              <w:t xml:space="preserve"> </w:t>
                            </w:r>
                            <w:r w:rsidR="001B688F">
                              <w:t xml:space="preserve">data </w:t>
                            </w:r>
                            <w:r w:rsidRPr="00B36EB2">
                              <w:t>for surveillance, prevention, or mandated public reporting.</w:t>
                            </w:r>
                          </w:p>
                          <w:p w:rsidR="00F32A12" w:rsidRPr="005B5E58" w:rsidP="00F32A12"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F32A12" w:rsidRPr="00B36EB2" w:rsidP="00F32A12" w14:textId="7978FC91">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10"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rsidR="00697633">
                              <w:t>are</w:t>
                            </w:r>
                            <w:r w:rsidRPr="00B36EB2" w:rsidR="00697633">
                              <w:t xml:space="preserve"> </w:t>
                            </w:r>
                            <w:r w:rsidRPr="00B36EB2">
                              <w:t>published in peer-reviewed journals and presented at scientific and professional meetings</w:t>
                            </w:r>
                            <w:r>
                              <w:t xml:space="preserve"> and conferences annually</w:t>
                            </w:r>
                            <w:r w:rsidRPr="00B36EB2">
                              <w:t>.</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5in;margin-top:54pt;margin-left:0;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F32A12" w:rsidRPr="00C97748" w:rsidP="00F32A12" w14:paraId="0FD1F248" w14:textId="21B3FFF5">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w:t>
                      </w:r>
                      <w:r w:rsidRPr="00F8782D">
                        <w:rPr>
                          <w:noProof/>
                        </w:rPr>
                        <w:t xml:space="preserve">ICR are designed to (1) increase the overall attainment of CDC’s NHSN </w:t>
                      </w:r>
                      <w:r w:rsidR="00697633">
                        <w:rPr>
                          <w:noProof/>
                        </w:rPr>
                        <w:t>healthcare-associated infection (</w:t>
                      </w:r>
                      <w:r w:rsidRPr="00F8782D">
                        <w:rPr>
                          <w:noProof/>
                        </w:rPr>
                        <w:t>HAI</w:t>
                      </w:r>
                      <w:r w:rsidR="00697633">
                        <w:rPr>
                          <w:noProof/>
                        </w:rPr>
                        <w:t>)</w:t>
                      </w:r>
                      <w:r w:rsidRPr="00F8782D">
                        <w:rPr>
                          <w:noProof/>
                        </w:rPr>
                        <w:t xml:space="preserve">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the proposed</w:t>
                      </w:r>
                      <w:r w:rsidR="006A1232">
                        <w:t xml:space="preserve">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paraId="04486E74" w14:textId="48F01462">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w:t>
                      </w:r>
                      <w:r w:rsidR="001B688F">
                        <w:t>CDC provides</w:t>
                      </w:r>
                      <w:r w:rsidRPr="00B36EB2">
                        <w:t xml:space="preserve"> state agencies, at their request, </w:t>
                      </w:r>
                      <w:r w:rsidRPr="00B36EB2" w:rsidR="00636DB9">
                        <w:t xml:space="preserve">facility </w:t>
                      </w:r>
                      <w:r w:rsidR="001B688F">
                        <w:t>level</w:t>
                      </w:r>
                      <w:r w:rsidRPr="00B36EB2">
                        <w:t xml:space="preserve"> </w:t>
                      </w:r>
                      <w:r w:rsidR="001B688F">
                        <w:t xml:space="preserve">data </w:t>
                      </w:r>
                      <w:r w:rsidRPr="00B36EB2">
                        <w:t>for surveillance, prevention, or mandated public reporting.</w:t>
                      </w:r>
                    </w:p>
                    <w:p w:rsidR="00F32A12" w:rsidRPr="005B5E58" w:rsidP="00F32A12" w14:paraId="69C217C1"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paraId="5616291E"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F32A12" w:rsidRPr="00B36EB2" w:rsidP="00F32A12" w14:paraId="2B345438" w14:textId="7978FC91">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10"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rsidR="00697633">
                        <w:t>are</w:t>
                      </w:r>
                      <w:r w:rsidRPr="00B36EB2" w:rsidR="00697633">
                        <w:t xml:space="preserve"> </w:t>
                      </w:r>
                      <w:r w:rsidRPr="00B36EB2">
                        <w:t>published in peer-reviewed journals and presented at scientific and professional meetings</w:t>
                      </w:r>
                      <w:r>
                        <w:t xml:space="preserve"> and conferences annually</w:t>
                      </w:r>
                      <w:r w:rsidRPr="00B36EB2">
                        <w:t>.</w:t>
                      </w:r>
                    </w:p>
                    <w:p w:rsidR="004A13E8" w:rsidP="004A13E8" w14:paraId="118FA68A" w14:textId="77777777"/>
                  </w:txbxContent>
                </v:textbox>
                <w10:wrap type="tight"/>
              </v:shape>
            </w:pict>
          </mc:Fallback>
        </mc:AlternateContent>
      </w:r>
    </w:p>
    <w:p w:rsidR="004A13E8" w:rsidP="004A13E8" w14:paraId="4F609C1C" w14:textId="77777777">
      <w:pPr>
        <w:pStyle w:val="Heading1"/>
      </w:pPr>
      <w:bookmarkStart w:id="2" w:name="_Toc177113126"/>
      <w:r w:rsidRPr="004A13E8">
        <w:t>Circumstances Making the Collection of Information Necessary</w:t>
      </w:r>
      <w:bookmarkEnd w:id="2"/>
    </w:p>
    <w:p w:rsidR="00210728" w:rsidRPr="007A1476" w:rsidP="00636DB9" w14:paraId="4851CAE5" w14:textId="77777777">
      <w:pPr>
        <w:rPr>
          <w:color w:val="000000" w:themeColor="text1"/>
          <w:u w:val="single"/>
        </w:rPr>
      </w:pPr>
      <w:r>
        <w:rPr>
          <w:u w:val="single"/>
        </w:rPr>
        <w:t>Overview</w:t>
      </w:r>
    </w:p>
    <w:p w:rsidR="007B3A38" w:rsidRPr="009057F7" w:rsidP="00653333" w14:paraId="04E17C2D" w14:textId="77777777">
      <w:pPr>
        <w:autoSpaceDE w:val="0"/>
        <w:autoSpaceDN w:val="0"/>
        <w:adjustRightInd w:val="0"/>
        <w:spacing w:after="0"/>
        <w:rPr>
          <w:rFonts w:cs="Times New Roman"/>
          <w:szCs w:val="24"/>
        </w:rPr>
      </w:pPr>
      <w:r w:rsidRPr="009057F7">
        <w:rPr>
          <w:rFonts w:cs="Times New Roman"/>
          <w:szCs w:val="24"/>
        </w:rPr>
        <w:t xml:space="preserve">The Centers for Disease Control and Prevention (CDC) is requesting a 3-year approval for revisions made to OMB Control No. 0920-0666 for the National Healthcare Safety Network (NHSN). </w:t>
      </w:r>
      <w:r w:rsidRPr="009057F7" w:rsidR="00D50DAA">
        <w:rPr>
          <w:rFonts w:cs="Times New Roman"/>
          <w:szCs w:val="24"/>
        </w:rPr>
        <w:t xml:space="preserve">Data collection was previously approved in </w:t>
      </w:r>
      <w:r w:rsidRPr="009057F7" w:rsidR="009057F7">
        <w:rPr>
          <w:rFonts w:cs="Times New Roman"/>
          <w:szCs w:val="24"/>
        </w:rPr>
        <w:t>December</w:t>
      </w:r>
      <w:r w:rsidRPr="009057F7" w:rsidR="00D50DAA">
        <w:rPr>
          <w:rFonts w:cs="Times New Roman"/>
          <w:szCs w:val="24"/>
        </w:rPr>
        <w:t xml:space="preserve"> 2023 for</w:t>
      </w:r>
      <w:r w:rsidRPr="009057F7" w:rsidR="00DA108D">
        <w:rPr>
          <w:rFonts w:cs="Times New Roman"/>
          <w:szCs w:val="24"/>
        </w:rPr>
        <w:t xml:space="preserve"> </w:t>
      </w:r>
      <w:r w:rsidRPr="009057F7" w:rsidR="009057F7">
        <w:rPr>
          <w:rFonts w:cs="Times New Roman"/>
          <w:szCs w:val="24"/>
        </w:rPr>
        <w:t xml:space="preserve">2,434,196 </w:t>
      </w:r>
      <w:r w:rsidRPr="009057F7" w:rsidR="00D50DAA">
        <w:rPr>
          <w:rFonts w:cs="Times New Roman"/>
          <w:szCs w:val="24"/>
        </w:rPr>
        <w:t xml:space="preserve">annual burden hours and is </w:t>
      </w:r>
      <w:r w:rsidRPr="009057F7">
        <w:rPr>
          <w:rFonts w:cs="Times New Roman"/>
          <w:szCs w:val="24"/>
        </w:rPr>
        <w:t xml:space="preserve">due to expire on </w:t>
      </w:r>
      <w:r w:rsidRPr="009057F7" w:rsidR="009057F7">
        <w:rPr>
          <w:rFonts w:cs="Times New Roman"/>
          <w:szCs w:val="24"/>
        </w:rPr>
        <w:t>December 31, 2026.</w:t>
      </w:r>
      <w:r w:rsidR="00D30350">
        <w:rPr>
          <w:rFonts w:cs="Times New Roman"/>
          <w:szCs w:val="24"/>
        </w:rPr>
        <w:t xml:space="preserve"> CDC NHSN reviewed all data collection forms in this </w:t>
      </w:r>
      <w:r w:rsidRPr="00286ABC" w:rsidR="00D30350">
        <w:rPr>
          <w:rFonts w:cs="Times New Roman"/>
          <w:szCs w:val="24"/>
        </w:rPr>
        <w:t xml:space="preserve">package. </w:t>
      </w:r>
      <w:r w:rsidRPr="00286ABC" w:rsidR="009057F7">
        <w:rPr>
          <w:rFonts w:cs="Times New Roman"/>
          <w:szCs w:val="24"/>
        </w:rPr>
        <w:t xml:space="preserve"> </w:t>
      </w:r>
      <w:r w:rsidRPr="00286ABC">
        <w:rPr>
          <w:rFonts w:cs="Times New Roman"/>
          <w:szCs w:val="24"/>
        </w:rPr>
        <w:t xml:space="preserve">The proposed changes in this new ICR includes revisions made to </w:t>
      </w:r>
      <w:bookmarkStart w:id="3" w:name="_Hlk147395274"/>
      <w:r w:rsidRPr="00286ABC" w:rsidR="00286ABC">
        <w:rPr>
          <w:rFonts w:cs="Times New Roman"/>
          <w:szCs w:val="24"/>
        </w:rPr>
        <w:t>74</w:t>
      </w:r>
      <w:r w:rsidRPr="00286ABC" w:rsidR="00D50DAA">
        <w:rPr>
          <w:rFonts w:cs="Times New Roman"/>
          <w:szCs w:val="24"/>
        </w:rPr>
        <w:t xml:space="preserve"> approved </w:t>
      </w:r>
      <w:r w:rsidRPr="00286ABC">
        <w:rPr>
          <w:rFonts w:cs="Times New Roman"/>
          <w:szCs w:val="24"/>
        </w:rPr>
        <w:t xml:space="preserve">NHSN data collection tools </w:t>
      </w:r>
      <w:r w:rsidRPr="00860179">
        <w:rPr>
          <w:rFonts w:cs="Times New Roman"/>
          <w:szCs w:val="24"/>
        </w:rPr>
        <w:t xml:space="preserve">and </w:t>
      </w:r>
      <w:r w:rsidRPr="00860179" w:rsidR="00286ABC">
        <w:rPr>
          <w:rFonts w:cs="Times New Roman"/>
          <w:szCs w:val="24"/>
        </w:rPr>
        <w:t>10</w:t>
      </w:r>
      <w:r w:rsidRPr="00860179" w:rsidR="00D50DAA">
        <w:rPr>
          <w:rFonts w:cs="Times New Roman"/>
          <w:szCs w:val="24"/>
        </w:rPr>
        <w:t xml:space="preserve"> </w:t>
      </w:r>
      <w:r w:rsidRPr="00860179">
        <w:rPr>
          <w:rFonts w:cs="Times New Roman"/>
          <w:szCs w:val="24"/>
        </w:rPr>
        <w:t>new form</w:t>
      </w:r>
      <w:r w:rsidRPr="00860179" w:rsidR="00995613">
        <w:rPr>
          <w:rFonts w:cs="Times New Roman"/>
          <w:szCs w:val="24"/>
        </w:rPr>
        <w:t>s</w:t>
      </w:r>
      <w:r w:rsidRPr="00860179" w:rsidR="00286ABC">
        <w:rPr>
          <w:rFonts w:cs="Times New Roman"/>
          <w:szCs w:val="24"/>
        </w:rPr>
        <w:t>, for a total of 84 forms in this package</w:t>
      </w:r>
      <w:r w:rsidRPr="00860179" w:rsidR="00D50DAA">
        <w:rPr>
          <w:rFonts w:cs="Times New Roman"/>
          <w:szCs w:val="24"/>
        </w:rPr>
        <w:t xml:space="preserve">.  CDC requests OMB approval for an estimated </w:t>
      </w:r>
      <w:r w:rsidRPr="00860179" w:rsidR="00860179">
        <w:rPr>
          <w:rFonts w:cs="Times New Roman"/>
          <w:szCs w:val="24"/>
        </w:rPr>
        <w:t>4,</w:t>
      </w:r>
      <w:r w:rsidR="001504A7">
        <w:rPr>
          <w:rFonts w:cs="Times New Roman"/>
          <w:szCs w:val="24"/>
        </w:rPr>
        <w:t>398,109</w:t>
      </w:r>
      <w:r w:rsidRPr="00860179" w:rsidR="00860179">
        <w:rPr>
          <w:rFonts w:cs="Times New Roman"/>
          <w:szCs w:val="24"/>
        </w:rPr>
        <w:t xml:space="preserve"> </w:t>
      </w:r>
      <w:r w:rsidRPr="00860179" w:rsidR="00D50DAA">
        <w:rPr>
          <w:rFonts w:cs="Times New Roman"/>
          <w:szCs w:val="24"/>
        </w:rPr>
        <w:t xml:space="preserve">annual burden hours. </w:t>
      </w:r>
      <w:r w:rsidRPr="00860179" w:rsidR="00B336B3">
        <w:rPr>
          <w:rFonts w:cs="Times New Roman"/>
          <w:szCs w:val="24"/>
        </w:rPr>
        <w:t>This Revision ICR provides complete discussion and justification of all information collection plans.</w:t>
      </w:r>
    </w:p>
    <w:p w:rsidR="00831AFD" w:rsidP="00A12D17" w14:paraId="59657AAD" w14:textId="77777777">
      <w:pPr>
        <w:spacing w:after="0"/>
      </w:pPr>
    </w:p>
    <w:bookmarkEnd w:id="3"/>
    <w:p w:rsidR="004917B7" w:rsidP="00636DB9" w14:paraId="25201EC2" w14:textId="77777777">
      <w:pPr>
        <w:pStyle w:val="NoSpacing"/>
        <w:spacing w:after="200" w:line="276" w:lineRule="auto"/>
        <w:rPr>
          <w:u w:val="single"/>
        </w:rPr>
      </w:pPr>
      <w:r w:rsidRPr="00901147">
        <w:rPr>
          <w:u w:val="single"/>
        </w:rPr>
        <w:t>Background</w:t>
      </w:r>
    </w:p>
    <w:p w:rsidR="004917B7" w:rsidRPr="002B16D1" w:rsidP="00636DB9" w14:paraId="5C48BF22" w14:textId="77777777">
      <w:pPr>
        <w:pStyle w:val="NoSpacing"/>
        <w:spacing w:after="200" w:line="276" w:lineRule="auto"/>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t xml:space="preserve">During the early stages of its </w:t>
      </w:r>
      <w:r w:rsidRPr="00D007F4">
        <w:rPr>
          <w:noProof/>
        </w:rPr>
        <w:t>development</w:t>
      </w:r>
      <w:r>
        <w:rPr>
          <w:noProof/>
        </w:rPr>
        <w:t>,</w:t>
      </w:r>
      <w:r>
        <w:t xml:space="preserve"> </w:t>
      </w:r>
      <w:r w:rsidRPr="00B14976">
        <w:t xml:space="preserve">NHSN </w:t>
      </w:r>
      <w:r>
        <w:t xml:space="preserve">began as a </w:t>
      </w:r>
      <w:r w:rsidRPr="00B14976">
        <w:t>voluntary surveillance system in 2005 managed by DHQP</w:t>
      </w:r>
      <w:r w:rsidRPr="00CB7517">
        <w:rPr>
          <w:noProof/>
        </w:rPr>
        <w:t>.</w:t>
      </w:r>
      <w:r>
        <w:t xml:space="preserve"> </w:t>
      </w:r>
      <w:r>
        <w:rPr>
          <w:lang w:val="en"/>
        </w:rPr>
        <w:t xml:space="preserve">NHSN provides facilities, </w:t>
      </w:r>
      <w:r w:rsidR="009057F7">
        <w:rPr>
          <w:lang w:val="en"/>
        </w:rPr>
        <w:t xml:space="preserve">health departments, </w:t>
      </w:r>
      <w:r>
        <w:rPr>
          <w:lang w:val="en"/>
        </w:rPr>
        <w:t xml:space="preserve">states, regions, and the nation with data necessary to identify problem areas, measure the </w:t>
      </w:r>
      <w:r w:rsidRPr="00CB7517">
        <w:rPr>
          <w:noProof/>
          <w:lang w:val="en"/>
        </w:rPr>
        <w:t>progress</w:t>
      </w:r>
      <w:r>
        <w:rPr>
          <w:lang w:val="en"/>
        </w:rPr>
        <w:t xml:space="preserve"> of prevention efforts, and ultimately eliminate healthcare-associated infections (HAIs) nationwide. NHSN </w:t>
      </w:r>
      <w:r w:rsidR="009057F7">
        <w:rPr>
          <w:lang w:val="en"/>
        </w:rPr>
        <w:t xml:space="preserve">also </w:t>
      </w:r>
      <w:r>
        <w:rPr>
          <w:lang w:val="en"/>
        </w:rPr>
        <w:t xml:space="preserve">allows healthcare facilities to track blood safety errors and various </w:t>
      </w:r>
      <w:r w:rsidR="007B3A38">
        <w:rPr>
          <w:lang w:val="en"/>
        </w:rPr>
        <w:t>HAI</w:t>
      </w:r>
      <w:r>
        <w:rPr>
          <w:lang w:val="en"/>
        </w:rPr>
        <w:t xml:space="preserve"> prevention practice methods such as </w:t>
      </w:r>
      <w:r w:rsidRPr="009169EC">
        <w:rPr>
          <w:noProof/>
          <w:lang w:val="en"/>
        </w:rPr>
        <w:t>healthcare personnel influenza vaccine status</w:t>
      </w:r>
      <w:r>
        <w:rPr>
          <w:lang w:val="en"/>
        </w:rPr>
        <w:t xml:space="preserve"> and corresponding </w:t>
      </w:r>
      <w:r w:rsidRPr="00397AF3">
        <w:rPr>
          <w:lang w:val="en"/>
        </w:rPr>
        <w:t>infection control adherence rates.</w:t>
      </w:r>
      <w:r w:rsidRPr="002B16D1">
        <w:t xml:space="preserve"> </w:t>
      </w:r>
    </w:p>
    <w:p w:rsidR="004917B7" w:rsidRPr="000A4767" w:rsidP="00636DB9" w14:paraId="6DD96034" w14:textId="77777777">
      <w:r w:rsidRPr="00606705">
        <w:t xml:space="preserve">Enrollment in NHSN has continuously increased, with over </w:t>
      </w:r>
      <w:r w:rsidRPr="00BE2EAA" w:rsidR="007A7452">
        <w:t>37,000 actively</w:t>
      </w:r>
      <w:r w:rsidRPr="00BE2EAA">
        <w:t xml:space="preserve"> reporting healthcare facilities across the U.S. Of the total enrolled healthcare facilities, there are over 6,000 acute care facilities; 8,400 dialysis facilities; 600 long-term acute care facilities; 400 inpatient rehabilitation facilities; 800 inpatient psychiatric facilities; nearly 20,000 long-term care facilities; and 6,000 ambulatory surgery facilities.</w:t>
      </w:r>
      <w:r w:rsidRPr="00606705">
        <w:t xml:space="preserve"> NHSN </w:t>
      </w:r>
      <w:r w:rsidRPr="00606705">
        <w:rPr>
          <w:noProof/>
        </w:rPr>
        <w:t>currently has</w:t>
      </w:r>
      <w:r w:rsidRPr="00606705">
        <w:t xml:space="preserve"> </w:t>
      </w:r>
      <w:r w:rsidR="00173A22">
        <w:t>eight</w:t>
      </w:r>
      <w:r w:rsidRPr="00606705" w:rsidR="00173A22">
        <w:t xml:space="preserve"> </w:t>
      </w:r>
      <w:r w:rsidRPr="00606705">
        <w:t xml:space="preserve">components: </w:t>
      </w:r>
      <w:r w:rsidRPr="000A4767">
        <w:t>Patient Safety (PS), Healthcare Personnel Safety (HPS), Biovigilance (BV), Long-Term Care Facility (LTCF), Outpatient Procedure (OPC), Dialysis, Neonatal</w:t>
      </w:r>
      <w:r w:rsidRPr="000A4767" w:rsidR="00DA108D">
        <w:t>, and Medication Safety Component</w:t>
      </w:r>
      <w:r w:rsidRPr="000A4767">
        <w:t>.</w:t>
      </w:r>
      <w:r w:rsidRPr="000A4767">
        <w:rPr>
          <w:sz w:val="22"/>
        </w:rPr>
        <w:t xml:space="preserve"> </w:t>
      </w:r>
    </w:p>
    <w:p w:rsidR="0076106C" w:rsidP="00636DB9" w14:paraId="474C9776" w14:textId="77777777">
      <w:hyperlink w:anchor="_ENREF_1" w:tooltip="Shane, 2013 #101" w:history="1">
        <w:r w:rsidRPr="00F8782D" w:rsidR="00AA35BA">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sidR="00AA35BA">
          <w:rPr>
            <w:rStyle w:val="Hyperlink"/>
          </w:rPr>
          <w:instrText xml:space="preserve"> ADDIN EN.CITE </w:instrText>
        </w:r>
        <w:r w:rsidRPr="00F8782D" w:rsidR="00AA35BA">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sidR="00AA35BA">
          <w:rPr>
            <w:rStyle w:val="Hyperlink"/>
          </w:rPr>
          <w:instrText xml:space="preserve"> ADDIN EN.CITE.DATA </w:instrText>
        </w:r>
        <w:r>
          <w:rPr>
            <w:rStyle w:val="Hyperlink"/>
          </w:rPr>
          <w:fldChar w:fldCharType="separate"/>
        </w:r>
        <w:r w:rsidRPr="00F8782D" w:rsidR="00AA35BA">
          <w:rPr>
            <w:rStyle w:val="Hyperlink"/>
          </w:rPr>
          <w:fldChar w:fldCharType="end"/>
        </w:r>
        <w:r>
          <w:rPr>
            <w:rStyle w:val="Hyperlink"/>
          </w:rPr>
          <w:fldChar w:fldCharType="separate"/>
        </w:r>
        <w:r w:rsidRPr="00F8782D" w:rsidR="00AA35BA">
          <w:rPr>
            <w:rStyle w:val="Hyperlink"/>
          </w:rPr>
          <w:fldChar w:fldCharType="end"/>
        </w:r>
      </w:hyperlink>
      <w:r w:rsidR="00AA35BA">
        <w:t>D</w:t>
      </w:r>
      <w:r w:rsidRPr="00DE0BA1" w:rsidR="00AA35BA">
        <w:t xml:space="preserve">ata </w:t>
      </w:r>
      <w:r w:rsidRPr="00FE2A55" w:rsidR="00AA35BA">
        <w:rPr>
          <w:noProof/>
        </w:rPr>
        <w:t>reported</w:t>
      </w:r>
      <w:r w:rsidRPr="00DE0BA1" w:rsidR="00AA35BA">
        <w:t xml:space="preserve"> under the Patient Safety Component are used to determine the magnitude of the healthcare-associated adverse events </w:t>
      </w:r>
      <w:r w:rsidR="00AA35BA">
        <w:t>and</w:t>
      </w:r>
      <w:r w:rsidRPr="00DE0BA1" w:rsidR="00AA35BA">
        <w:t xml:space="preserve"> trends in the rates of the events, in the distribution of pathogens, and in the adherence to prevention practices</w:t>
      </w:r>
      <w:r w:rsidR="00AA35BA">
        <w:t>. Data will</w:t>
      </w:r>
      <w:r w:rsidRPr="00DE0BA1" w:rsidR="00AA35BA">
        <w:t xml:space="preserve"> </w:t>
      </w:r>
      <w:r w:rsidR="00AA35BA">
        <w:t xml:space="preserve">help </w:t>
      </w:r>
      <w:r w:rsidRPr="00DE0BA1" w:rsidR="00AA35BA">
        <w:t xml:space="preserve">detect changes in the epidemiology of adverse events resulting from new medical therapies and changing patient risks. Additionally, reported data </w:t>
      </w:r>
      <w:r w:rsidR="00AA35BA">
        <w:rPr>
          <w:noProof/>
        </w:rPr>
        <w:t>is</w:t>
      </w:r>
      <w:r w:rsidRPr="00DE0BA1" w:rsidR="00AA35BA">
        <w:t xml:space="preserve"> </w:t>
      </w:r>
      <w:r w:rsidRPr="00FE2A55" w:rsidR="00AA35BA">
        <w:rPr>
          <w:noProof/>
        </w:rPr>
        <w:t>be</w:t>
      </w:r>
      <w:r w:rsidR="00AA35BA">
        <w:rPr>
          <w:noProof/>
        </w:rPr>
        <w:t>ing</w:t>
      </w:r>
      <w:r w:rsidRPr="00DE0BA1" w:rsidR="00AA35BA">
        <w:t xml:space="preserve"> used to describe the epidemiology of antimicrobial use and resistance and to </w:t>
      </w:r>
      <w:r w:rsidR="00AA35BA">
        <w:t xml:space="preserve">better </w:t>
      </w:r>
      <w:r w:rsidRPr="00DE0BA1" w:rsidR="00AA35BA">
        <w:t xml:space="preserve">understand the relationship of antimicrobial therapy to this rising problem. </w:t>
      </w:r>
    </w:p>
    <w:p w:rsidR="008A1F19" w:rsidP="00636DB9" w14:paraId="605B6B59" w14:textId="77777777">
      <w:pPr>
        <w:rPr>
          <w:rFonts w:cs="Courier New"/>
        </w:rPr>
      </w:pPr>
      <w:r w:rsidRPr="00DE0BA1">
        <w:t>Under the Healthcare Perso</w:t>
      </w:r>
      <w:r>
        <w:t xml:space="preserve">nnel Safety Component, </w:t>
      </w:r>
      <w:r>
        <w:t>protocols</w:t>
      </w:r>
      <w:r w:rsidRPr="00DE0BA1">
        <w:t xml:space="preserve"> </w:t>
      </w:r>
      <w:r>
        <w:t xml:space="preserve">and </w:t>
      </w:r>
      <w:r w:rsidRPr="00DE0BA1">
        <w:t>data on events</w:t>
      </w:r>
      <w:r>
        <w:t>—</w:t>
      </w:r>
      <w:r w:rsidRPr="00DE0BA1">
        <w:t>both</w:t>
      </w:r>
      <w:r>
        <w:t xml:space="preserve"> </w:t>
      </w:r>
      <w:r w:rsidRPr="00DE0BA1">
        <w:t>positive and adverse</w:t>
      </w:r>
      <w:r>
        <w:t>—</w:t>
      </w:r>
      <w:r w:rsidRPr="00DE0BA1">
        <w:t>are</w:t>
      </w:r>
      <w:r>
        <w:t xml:space="preserve"> </w:t>
      </w:r>
      <w:r w:rsidRPr="00DE0BA1">
        <w:t>used to determine (1) the magnitude of adverse events in healthcare personnel</w:t>
      </w:r>
      <w:r>
        <w:t>,</w:t>
      </w:r>
      <w:r w:rsidRPr="00DE0BA1">
        <w:t xml:space="preserve"> and (2) compliance with immunization and sharps injuries safety guideline</w:t>
      </w:r>
      <w:r w:rsidRPr="008A53DE">
        <w:t>s.</w:t>
      </w:r>
      <w:r w:rsidRPr="008A53DE">
        <w:rPr>
          <w:rFonts w:cs="Courier New"/>
        </w:rPr>
        <w:t xml:space="preserve"> </w:t>
      </w:r>
    </w:p>
    <w:p w:rsidR="008A1F19" w:rsidP="00636DB9" w14:paraId="2E321B3C" w14:textId="77777777">
      <w:r w:rsidRPr="00DE0BA1">
        <w:t xml:space="preserve">Under the Biovigilance Component, data on adverse reactions and incidents associated with blood transfusions are </w:t>
      </w:r>
      <w:r>
        <w:t>reported and analyzed</w:t>
      </w:r>
      <w:r w:rsidRPr="00DE0BA1">
        <w:t xml:space="preserve"> to provide national estimates of ad</w:t>
      </w:r>
      <w:r>
        <w:t xml:space="preserve">verse reactions and incidents. </w:t>
      </w:r>
    </w:p>
    <w:p w:rsidR="004917B7" w:rsidP="00636DB9" w14:paraId="534BA7D5" w14:textId="77777777">
      <w:pPr>
        <w:rPr>
          <w:rFonts w:cs="Courier New"/>
        </w:rPr>
      </w:pPr>
      <w:r>
        <w:t>Under t</w:t>
      </w:r>
      <w:r w:rsidRPr="00DE0BA1">
        <w:t xml:space="preserve">he Long-Term Care </w:t>
      </w:r>
      <w:r w:rsidRPr="00075486">
        <w:rPr>
          <w:noProof/>
        </w:rPr>
        <w:t>Facility</w:t>
      </w:r>
      <w:r w:rsidRPr="00DE0BA1">
        <w:t xml:space="preserve"> Component</w:t>
      </w:r>
      <w:r w:rsidR="008A1F19">
        <w:t xml:space="preserve"> (LTCF)</w:t>
      </w:r>
      <w:r>
        <w:t>,</w:t>
      </w:r>
      <w:r w:rsidRPr="00DE0BA1">
        <w:t xml:space="preserve"> data </w:t>
      </w:r>
      <w:r>
        <w:t xml:space="preserve">is captured </w:t>
      </w:r>
      <w:r w:rsidRPr="00DE0BA1">
        <w:t>fr</w:t>
      </w:r>
      <w:r>
        <w:t xml:space="preserve">om skilled nursing facilities. </w:t>
      </w:r>
      <w:r w:rsidRPr="00DE0BA1">
        <w:t xml:space="preserve">Reporting methods </w:t>
      </w:r>
      <w:r>
        <w:t xml:space="preserve">under the LTCF component </w:t>
      </w:r>
      <w:r w:rsidRPr="00DE0BA1">
        <w:t xml:space="preserve">have been created by using forms from the </w:t>
      </w:r>
      <w:r>
        <w:t>PS</w:t>
      </w:r>
      <w:r w:rsidRPr="00DE0BA1">
        <w:t xml:space="preserve"> Component as a </w:t>
      </w:r>
      <w:r>
        <w:t>model</w:t>
      </w:r>
      <w:r w:rsidRPr="00DE0BA1">
        <w:t xml:space="preserve"> with modifications to specifically address the</w:t>
      </w:r>
      <w:r>
        <w:t xml:space="preserve"> specific</w:t>
      </w:r>
      <w:r w:rsidRPr="00DE0BA1">
        <w:t xml:space="preserve"> </w:t>
      </w:r>
      <w:r>
        <w:t>characteristics</w:t>
      </w:r>
      <w:r w:rsidRPr="00DE0BA1">
        <w:t xml:space="preserve"> of LTCF residents</w:t>
      </w:r>
      <w:r>
        <w:t xml:space="preserve"> and the unique data needs of these facilities reporting into NHSN</w:t>
      </w:r>
      <w:r>
        <w:rPr>
          <w:rFonts w:cs="Courier New"/>
        </w:rPr>
        <w:t>.</w:t>
      </w:r>
      <w:r w:rsidRPr="00C549E2">
        <w:rPr>
          <w:rFonts w:cs="Courier New"/>
        </w:rPr>
        <w:t xml:space="preserve"> </w:t>
      </w:r>
    </w:p>
    <w:p w:rsidR="00DA108D" w:rsidRPr="00894197" w:rsidP="00636DB9" w14:paraId="18728AD2" w14:textId="77777777">
      <w:pPr>
        <w:rPr>
          <w:rFonts w:cs="Times New Roman"/>
          <w:szCs w:val="24"/>
        </w:rPr>
      </w:pPr>
      <w:r w:rsidRPr="00C97748">
        <w:t>The Outpatient Procedure Component (OPC) gathers data on the impact of infections and outcomes related to operative procedures performed in Ambulatory Surgery Centers (</w:t>
      </w:r>
      <w:r w:rsidRPr="00C97748">
        <w:rPr>
          <w:noProof/>
        </w:rPr>
        <w:t>ASCs</w:t>
      </w:r>
      <w:r w:rsidRPr="00C97748">
        <w:t xml:space="preserve">). The OPC is used to monitor </w:t>
      </w:r>
      <w:r w:rsidRPr="00894197">
        <w:rPr>
          <w:rFonts w:cs="Times New Roman"/>
          <w:szCs w:val="24"/>
        </w:rPr>
        <w:t xml:space="preserve">two event types: Same Day Outcome Measures and Surgical Site Infections (SSIs). </w:t>
      </w:r>
    </w:p>
    <w:p w:rsidR="008A1F19" w:rsidRPr="00894197" w:rsidP="00636DB9" w14:paraId="7D44581A" w14:textId="77777777">
      <w:pPr>
        <w:rPr>
          <w:rFonts w:cs="Times New Roman"/>
          <w:szCs w:val="24"/>
        </w:rPr>
      </w:pPr>
      <w:r w:rsidRPr="00894197">
        <w:rPr>
          <w:rFonts w:cs="Times New Roman"/>
          <w:szCs w:val="24"/>
        </w:rPr>
        <w:t xml:space="preserve">The Dialysis Component offers a simplified user interface for dialysis users to streamline their data entry and analyses processes as well as provide options for expanding in the future to include dialysis surveillance in settings other than outpatient facilities. </w:t>
      </w:r>
    </w:p>
    <w:p w:rsidR="00894197" w:rsidRPr="00894197" w:rsidP="00636DB9" w14:paraId="41F4D807" w14:textId="77777777">
      <w:pPr>
        <w:rPr>
          <w:rFonts w:cs="Times New Roman"/>
          <w:szCs w:val="24"/>
        </w:rPr>
      </w:pPr>
      <w:r w:rsidRPr="00894197">
        <w:rPr>
          <w:rFonts w:cs="Times New Roman"/>
          <w:szCs w:val="24"/>
        </w:rPr>
        <w:t>The Neonatal Component includes one module, Late-Onset Sepsis/ Meningitis (LOS/MEN). This module will track late-onset sepsis and meningitis events in very low birthweight neonates housed in Level II/III, Level III, and Level IV nursery locations.</w:t>
      </w:r>
    </w:p>
    <w:p w:rsidR="00DA108D" w:rsidRPr="00894197" w:rsidP="00636DB9" w14:paraId="691064AC" w14:textId="77777777">
      <w:pPr>
        <w:rPr>
          <w:rFonts w:cs="Times New Roman"/>
          <w:szCs w:val="24"/>
        </w:rPr>
      </w:pPr>
      <w:r w:rsidRPr="00894197">
        <w:rPr>
          <w:rFonts w:cs="Times New Roman"/>
          <w:color w:val="333333"/>
          <w:szCs w:val="24"/>
          <w:shd w:val="clear" w:color="auto" w:fill="FFFFFF"/>
        </w:rPr>
        <w:t>The Medication Safety Component tracks medication safety and adverse drug events (ADEs) that are among the most common causes of iatrogenic harm in U.S. hospitals.</w:t>
      </w:r>
    </w:p>
    <w:p w:rsidR="004917B7" w:rsidP="00636DB9" w14:paraId="34F31C69" w14:textId="797D7D98">
      <w:pPr>
        <w:pStyle w:val="NoSpacing"/>
        <w:spacing w:after="200" w:line="276" w:lineRule="auto"/>
      </w:pPr>
      <w:r w:rsidRPr="00530319">
        <w:t>NHSN has increasingly</w:t>
      </w:r>
      <w:r>
        <w:t xml:space="preserve"> served as the operating</w:t>
      </w:r>
      <w:r w:rsidRPr="00530319">
        <w:t xml:space="preserve"> system </w:t>
      </w:r>
      <w:r>
        <w:t xml:space="preserve">for HAI reporting </w:t>
      </w:r>
      <w:r w:rsidRPr="00530319">
        <w:t xml:space="preserve">compliance </w:t>
      </w:r>
      <w:r>
        <w:t>through</w:t>
      </w:r>
      <w:r w:rsidRPr="00530319">
        <w:t xml:space="preserve"> legislation established by </w:t>
      </w:r>
      <w:r>
        <w:t xml:space="preserve">the </w:t>
      </w:r>
      <w:r w:rsidRPr="00530319">
        <w:t xml:space="preserve">states. </w:t>
      </w:r>
      <w:r w:rsidRPr="00F56044">
        <w:t>As of March 2019, 36 states, the District of Columbia</w:t>
      </w:r>
      <w:r w:rsidR="00697633">
        <w:t>,</w:t>
      </w:r>
      <w:r w:rsidRPr="00F56044">
        <w:t xml:space="preserve"> and the City of Philadelphia, Pennsylvania have opted to use NHSN as their primary system for mandated reporting. Reporting compliance is completed by healthcare facilities in their respective jurisdictions, with emphasis on those states and municipalities acquiring varying consequences for failure to use NHSN. Additionally, healthcare facilities in five U.S. territories (Puerto Rico, American Samoa, the U.S. Virgin Islands, Guam, and the </w:t>
      </w:r>
      <w:r w:rsidRPr="00F56044">
        <w:rPr>
          <w:noProof/>
        </w:rPr>
        <w:t>Northern</w:t>
      </w:r>
      <w:r w:rsidRPr="00F56044">
        <w:t xml:space="preserve"> Mariana Islands) are voluntarily reporting to NHSN.</w:t>
      </w:r>
      <w:r w:rsidRPr="00530319">
        <w:t xml:space="preserve"> Additional territories are projected to follow with similar use of NHSN for reporting purposes.</w:t>
      </w:r>
      <w:r>
        <w:t xml:space="preserve"> </w:t>
      </w:r>
    </w:p>
    <w:p w:rsidR="004917B7" w:rsidRPr="00853098" w:rsidP="00636DB9" w14:paraId="6D95C0A2" w14:textId="77777777">
      <w:pPr>
        <w:pStyle w:val="NoSpacing"/>
        <w:spacing w:after="200" w:line="276" w:lineRule="auto"/>
      </w:pPr>
      <w:r w:rsidRPr="00853098">
        <w:t>NHSN</w:t>
      </w:r>
      <w:r>
        <w:t xml:space="preserve">’s data is used to aid </w:t>
      </w:r>
      <w:r>
        <w:rPr>
          <w:noProof/>
        </w:rPr>
        <w:t>in</w:t>
      </w:r>
      <w:r>
        <w:t xml:space="preserve"> the t</w:t>
      </w:r>
      <w:r w:rsidRPr="00853098">
        <w:t xml:space="preserve">racking of </w:t>
      </w:r>
      <w:r>
        <w:t>HAIs</w:t>
      </w:r>
      <w:r w:rsidRPr="00853098">
        <w:t xml:space="preserve"> and guide infection prevention activities</w:t>
      </w:r>
      <w:r>
        <w:t>/practices</w:t>
      </w:r>
      <w:r w:rsidRPr="00853098">
        <w:t xml:space="preserve"> that protect patients.  The Centers for Medicare and Medicaid Services (CMS) and other payers use these data to determine incentives for performance</w:t>
      </w:r>
      <w:r>
        <w:t xml:space="preserve"> at healthcare </w:t>
      </w:r>
      <w:r w:rsidRPr="00201EFD">
        <w:rPr>
          <w:noProof/>
        </w:rPr>
        <w:t>facil</w:t>
      </w:r>
      <w:r>
        <w:rPr>
          <w:noProof/>
        </w:rPr>
        <w:t>i</w:t>
      </w:r>
      <w:r w:rsidRPr="00201EFD">
        <w:rPr>
          <w:noProof/>
        </w:rPr>
        <w:t>ties</w:t>
      </w:r>
      <w:r>
        <w:t xml:space="preserve"> across the US and surrounding territories</w:t>
      </w:r>
      <w:r w:rsidRPr="00853098">
        <w:t>, and members of the public may use</w:t>
      </w:r>
      <w:r>
        <w:t xml:space="preserve"> some protected</w:t>
      </w:r>
      <w:r w:rsidRPr="00853098">
        <w:t xml:space="preserve"> data to </w:t>
      </w:r>
      <w:r>
        <w:t xml:space="preserve">inform their </w:t>
      </w:r>
      <w:r w:rsidRPr="00853098">
        <w:t>select</w:t>
      </w:r>
      <w:r>
        <w:t>ion</w:t>
      </w:r>
      <w:r w:rsidRPr="00853098">
        <w:t xml:space="preserve"> among available providers.  Each of these parties </w:t>
      </w:r>
      <w:r>
        <w:rPr>
          <w:noProof/>
        </w:rPr>
        <w:t xml:space="preserve">is </w:t>
      </w:r>
      <w:r w:rsidRPr="00201EFD">
        <w:rPr>
          <w:noProof/>
        </w:rPr>
        <w:t>depe</w:t>
      </w:r>
      <w:r>
        <w:rPr>
          <w:noProof/>
        </w:rPr>
        <w:t>n</w:t>
      </w:r>
      <w:r w:rsidRPr="00201EFD">
        <w:rPr>
          <w:noProof/>
        </w:rPr>
        <w:t>dent</w:t>
      </w:r>
      <w:r w:rsidRPr="00853098">
        <w:t xml:space="preserve"> on the completeness and accuracy of the data. CDC and CMS </w:t>
      </w:r>
      <w:r>
        <w:t xml:space="preserve">work closely and </w:t>
      </w:r>
      <w:r w:rsidRPr="00853098">
        <w:t xml:space="preserve">are fully committed to ensuring complete and accurate reporting, which </w:t>
      </w:r>
      <w:r>
        <w:t xml:space="preserve">are </w:t>
      </w:r>
      <w:r w:rsidRPr="00853098">
        <w:t>critical for protecting patients and guiding national, state, and local prevention priorities.  </w:t>
      </w:r>
    </w:p>
    <w:p w:rsidR="004917B7" w:rsidP="00636DB9" w14:paraId="250BF48C" w14:textId="77777777">
      <w:pPr>
        <w:pStyle w:val="NoSpacing"/>
        <w:spacing w:after="200" w:line="276" w:lineRule="auto"/>
      </w:pPr>
      <w:r w:rsidRPr="00C34A00">
        <w:t xml:space="preserve">CMS collects </w:t>
      </w:r>
      <w:r>
        <w:t xml:space="preserve">some </w:t>
      </w:r>
      <w:r w:rsidRPr="00C34A00">
        <w:rPr>
          <w:iCs/>
        </w:rPr>
        <w:t xml:space="preserve">HAI data and </w:t>
      </w:r>
      <w:r w:rsidRPr="00134496">
        <w:rPr>
          <w:iCs/>
          <w:noProof/>
        </w:rPr>
        <w:t>healthcare personnel influenza vaccination summary data</w:t>
      </w:r>
      <w:r w:rsidRPr="00FE2A55">
        <w:rPr>
          <w:iCs/>
          <w:noProof/>
        </w:rPr>
        <w:t>, which is done on</w:t>
      </w:r>
      <w:r w:rsidRPr="00C34A00">
        <w:t xml:space="preserve"> a voluntary basis as part of its Fee-for-Service Medicare quality reporting programs</w:t>
      </w:r>
      <w:r>
        <w:t>, while others may report data required by a federal mandate</w:t>
      </w:r>
      <w:r w:rsidRPr="00C34A00">
        <w:t>. Facilities that fail to report quality measure data are subject to partial payment reduction in the applicable Medicare Fee-for-Service payment system. </w:t>
      </w:r>
      <w:r w:rsidRPr="00C34A00">
        <w:rPr>
          <w:iCs/>
        </w:rPr>
        <w:t xml:space="preserve">CMS </w:t>
      </w:r>
      <w:r w:rsidRPr="00FE2A55">
        <w:rPr>
          <w:iCs/>
          <w:noProof/>
        </w:rPr>
        <w:t>link</w:t>
      </w:r>
      <w:r>
        <w:rPr>
          <w:iCs/>
          <w:noProof/>
        </w:rPr>
        <w:t xml:space="preserve">s </w:t>
      </w:r>
      <w:r w:rsidRPr="00FE2A55">
        <w:rPr>
          <w:iCs/>
          <w:noProof/>
        </w:rPr>
        <w:t>their quality</w:t>
      </w:r>
      <w:r w:rsidRPr="00C34A00">
        <w:rPr>
          <w:iCs/>
        </w:rPr>
        <w:t xml:space="preserve"> reporting to payment for Medicar</w:t>
      </w:r>
      <w:r w:rsidRPr="00A92C83">
        <w:rPr>
          <w:iCs/>
        </w:rPr>
        <w:t>e-eligible acute care hospitals</w:t>
      </w:r>
      <w:r w:rsidRPr="00C34A00">
        <w:rPr>
          <w:iCs/>
        </w:rPr>
        <w:t>, inpatient rehabilitation facilities, long-term acute care facilities, oncology hospitals, inpatient psychiatric facilities, dialysis facilities, and ambulatory s</w:t>
      </w:r>
      <w:r w:rsidRPr="00D83EBB">
        <w:rPr>
          <w:iCs/>
        </w:rPr>
        <w:t>urgery centers. </w:t>
      </w:r>
      <w:r w:rsidRPr="00C34A00">
        <w:rPr>
          <w:iCs/>
        </w:rPr>
        <w:t xml:space="preserve">Facilities report HAI data and </w:t>
      </w:r>
      <w:r w:rsidRPr="00134496">
        <w:rPr>
          <w:iCs/>
          <w:noProof/>
        </w:rPr>
        <w:t>healthcare personnel influenza vaccination summary data</w:t>
      </w:r>
      <w:r w:rsidRPr="00C34A00">
        <w:rPr>
          <w:iCs/>
        </w:rPr>
        <w:t xml:space="preserve"> to CMS via NHSN as part of CMS</w:t>
      </w:r>
      <w:r>
        <w:rPr>
          <w:iCs/>
        </w:rPr>
        <w:t>’s</w:t>
      </w:r>
      <w:r w:rsidRPr="00C34A00">
        <w:rPr>
          <w:iCs/>
        </w:rPr>
        <w:t xml:space="preserve"> quality reporting </w:t>
      </w:r>
      <w:r w:rsidRPr="00C34A00">
        <w:rPr>
          <w:iCs/>
        </w:rPr>
        <w:t>programs to receive full payment.</w:t>
      </w:r>
      <w:r w:rsidRPr="00A92C83">
        <w:t xml:space="preserve"> </w:t>
      </w:r>
      <w:r w:rsidRPr="00B14976">
        <w:t>Still, many healthcare facilities, even in states with</w:t>
      </w:r>
      <w:r>
        <w:t>out</w:t>
      </w:r>
      <w:r w:rsidRPr="00B14976">
        <w:t xml:space="preserve"> </w:t>
      </w:r>
      <w:r>
        <w:t>HAI reporting legislation</w:t>
      </w:r>
      <w:r w:rsidRPr="00B14976">
        <w:t xml:space="preserve">, submit </w:t>
      </w:r>
      <w:r>
        <w:t>limited</w:t>
      </w:r>
      <w:r w:rsidRPr="00B14976">
        <w:t xml:space="preserve"> HAI data to NHSN voluntarily. </w:t>
      </w:r>
    </w:p>
    <w:p w:rsidR="004917B7" w:rsidP="00636DB9" w14:paraId="56B175B3" w14:textId="77777777">
      <w:pPr>
        <w:pStyle w:val="NoSpacing"/>
        <w:spacing w:after="200" w:line="276" w:lineRule="auto"/>
        <w:rPr>
          <w:i/>
        </w:rPr>
      </w:pPr>
      <w:r w:rsidRPr="00853098">
        <w:t>NHSN’s data collection updates continue to support the incentive programs managed by CMS.  For example, survey questions support requirements for CMS’</w:t>
      </w:r>
      <w:r w:rsidR="00210728">
        <w:t>s</w:t>
      </w:r>
      <w:r w:rsidRPr="00853098">
        <w:t xml:space="preserve"> quality reporting programs</w:t>
      </w:r>
      <w:r w:rsidRPr="00DB5059">
        <w:t xml:space="preserve">.  </w:t>
      </w:r>
      <w:r w:rsidRPr="00C97748">
        <w:t xml:space="preserve">Additionally, CDC has collaborated with CMS on a voluntary National Nursing Home Quality Collaborative, which focuses on recruiting nursing homes to report HAI data to NHSN and to retain their continued participation. This project has resulted in a significant increase in long-term care facilities reporting to NHSN.  </w:t>
      </w:r>
    </w:p>
    <w:p w:rsidR="00C578E2" w:rsidP="00D55EE4" w14:paraId="70FD41DF" w14:textId="77777777">
      <w:pPr>
        <w:pStyle w:val="NoSpacing"/>
        <w:spacing w:after="200" w:line="276" w:lineRule="auto"/>
        <w:rPr>
          <w:i/>
        </w:rPr>
      </w:pPr>
      <w:r w:rsidRPr="00E12590">
        <w:t xml:space="preserve">The NHSN is currently comprised of </w:t>
      </w:r>
      <w:r w:rsidRPr="00E12590" w:rsidR="00DE2740">
        <w:t>8</w:t>
      </w:r>
      <w:r w:rsidRPr="00E12590" w:rsidR="00E12590">
        <w:t>4</w:t>
      </w:r>
      <w:r w:rsidRPr="00E12590">
        <w:t xml:space="preserve"> information collection forms</w:t>
      </w:r>
      <w:r w:rsidRPr="00E12590" w:rsidR="003B2250">
        <w:t xml:space="preserve"> that</w:t>
      </w:r>
      <w:r w:rsidRPr="00E12590">
        <w:t xml:space="preserve"> may be updated</w:t>
      </w:r>
      <w:r w:rsidRPr="00E12590" w:rsidR="003B2250">
        <w:t xml:space="preserve"> over time</w:t>
      </w:r>
      <w:r w:rsidRPr="00E12590">
        <w:t xml:space="preserve"> </w:t>
      </w:r>
      <w:r w:rsidRPr="00E12590" w:rsidR="003B2250">
        <w:t>to</w:t>
      </w:r>
      <w:r w:rsidR="003B2250">
        <w:t xml:space="preserve"> improve HAI surveillance and inform public health action</w:t>
      </w:r>
      <w:r>
        <w:t xml:space="preserve">. </w:t>
      </w:r>
      <w:r w:rsidRPr="004137CA" w:rsidR="008A1F19">
        <w:t>Th</w:t>
      </w:r>
      <w:r w:rsidR="008A1F19">
        <w:t>e</w:t>
      </w:r>
      <w:r w:rsidRPr="004137CA" w:rsidR="008A1F19">
        <w:t xml:space="preserve"> collection of information </w:t>
      </w:r>
      <w:r w:rsidRPr="00FE2A55" w:rsidR="008A1F19">
        <w:rPr>
          <w:noProof/>
        </w:rPr>
        <w:t>is authorized</w:t>
      </w:r>
      <w:r w:rsidRPr="004137CA" w:rsidR="008A1F19">
        <w:t xml:space="preserve"> by the Public Health Service Act (42 USC 242b, 242k, and 242m (d))</w:t>
      </w:r>
      <w:r w:rsidRPr="00201EFD" w:rsidR="008A1F19">
        <w:rPr>
          <w:i/>
        </w:rPr>
        <w:t>, (Attachment A</w:t>
      </w:r>
      <w:r w:rsidR="008A1F19">
        <w:rPr>
          <w:i/>
        </w:rPr>
        <w:t>1-A3</w:t>
      </w:r>
      <w:r w:rsidRPr="00201EFD" w:rsidR="008A1F19">
        <w:rPr>
          <w:i/>
        </w:rPr>
        <w:t>).</w:t>
      </w:r>
    </w:p>
    <w:p w:rsidR="004917B7" w:rsidP="004917B7" w14:paraId="3ED4ECCA" w14:textId="77777777">
      <w:pPr>
        <w:pStyle w:val="NoSpacing"/>
        <w:ind w:firstLine="720"/>
        <w:rPr>
          <w:i/>
        </w:rPr>
      </w:pPr>
    </w:p>
    <w:p w:rsidR="004A13E8" w:rsidP="004A13E8" w14:paraId="098CE710" w14:textId="77777777">
      <w:pPr>
        <w:pStyle w:val="Heading1"/>
      </w:pPr>
      <w:bookmarkStart w:id="4" w:name="_Toc177113127"/>
      <w:r>
        <w:t>Purpose and Use of Information Collection</w:t>
      </w:r>
      <w:bookmarkEnd w:id="4"/>
    </w:p>
    <w:p w:rsidR="004917B7" w:rsidRPr="00B36EB2" w:rsidP="007A1476" w14:paraId="7D8916F1" w14:textId="77777777">
      <w:pPr>
        <w:pStyle w:val="NoSpacing"/>
        <w:spacing w:after="240" w:line="276" w:lineRule="auto"/>
      </w:pPr>
      <w:r w:rsidRPr="00B36EB2">
        <w:t xml:space="preserve">The data collected under OMB Control No. 0920-0666 </w:t>
      </w:r>
      <w:r w:rsidRPr="00134496">
        <w:rPr>
          <w:noProof/>
        </w:rPr>
        <w:t>are used</w:t>
      </w:r>
      <w:r w:rsidRPr="00B36EB2">
        <w:t xml:space="preserve"> for</w:t>
      </w:r>
      <w:r>
        <w:t xml:space="preserve"> the following purposes</w:t>
      </w:r>
      <w:r w:rsidRPr="00B36EB2">
        <w:t>:</w:t>
      </w:r>
    </w:p>
    <w:p w:rsidR="004917B7" w:rsidRPr="00B36EB2" w:rsidP="009057F7" w14:paraId="0F421C5B" w14:textId="77777777">
      <w:pPr>
        <w:pStyle w:val="NoSpacing"/>
        <w:numPr>
          <w:ilvl w:val="0"/>
          <w:numId w:val="4"/>
        </w:numPr>
        <w:spacing w:after="80" w:line="276" w:lineRule="auto"/>
        <w:ind w:left="720"/>
      </w:pPr>
      <w:r w:rsidRPr="00B36EB2">
        <w:t xml:space="preserve">Estimation of the magnitude of healthcare-associated infections (HAIs) </w:t>
      </w:r>
    </w:p>
    <w:p w:rsidR="004917B7" w:rsidRPr="00EA5936" w:rsidP="009057F7" w14:paraId="76468BD3" w14:textId="77777777">
      <w:pPr>
        <w:pStyle w:val="NoSpacing"/>
        <w:numPr>
          <w:ilvl w:val="0"/>
          <w:numId w:val="4"/>
        </w:numPr>
        <w:spacing w:after="80" w:line="276" w:lineRule="auto"/>
        <w:ind w:left="720"/>
      </w:pPr>
      <w:r w:rsidRPr="00EA5936">
        <w:t xml:space="preserve">Monitoring of HAI trends </w:t>
      </w:r>
      <w:r w:rsidRPr="00EA5936">
        <w:rPr>
          <w:lang w:val="en"/>
        </w:rPr>
        <w:t xml:space="preserve">to identify problem areas and measure the </w:t>
      </w:r>
      <w:r w:rsidRPr="00EA5936">
        <w:rPr>
          <w:noProof/>
          <w:lang w:val="en"/>
        </w:rPr>
        <w:t>progress</w:t>
      </w:r>
      <w:r w:rsidRPr="00EA5936">
        <w:rPr>
          <w:lang w:val="en"/>
        </w:rPr>
        <w:t xml:space="preserve"> of prevention efforts.</w:t>
      </w:r>
    </w:p>
    <w:p w:rsidR="004917B7" w:rsidRPr="00B36EB2" w:rsidP="009057F7" w14:paraId="0B6F0369" w14:textId="77777777">
      <w:pPr>
        <w:pStyle w:val="NoSpacing"/>
        <w:numPr>
          <w:ilvl w:val="0"/>
          <w:numId w:val="4"/>
        </w:numPr>
        <w:spacing w:after="80" w:line="276" w:lineRule="auto"/>
        <w:ind w:left="720"/>
      </w:pPr>
      <w:r w:rsidRPr="00B36EB2">
        <w:t>Facilitation of inter</w:t>
      </w:r>
      <w:r>
        <w:t>-</w:t>
      </w:r>
      <w:r w:rsidRPr="00B36EB2">
        <w:t>facility and intra</w:t>
      </w:r>
      <w:r>
        <w:t>-</w:t>
      </w:r>
      <w:r w:rsidRPr="00B36EB2">
        <w:t xml:space="preserve">facility comparisons with risk-adjusted data that can </w:t>
      </w:r>
      <w:r w:rsidRPr="00134496">
        <w:rPr>
          <w:noProof/>
        </w:rPr>
        <w:t>be used</w:t>
      </w:r>
      <w:r w:rsidRPr="00B36EB2">
        <w:t xml:space="preserve"> for local</w:t>
      </w:r>
      <w:r>
        <w:t xml:space="preserve"> quality improvement activities.</w:t>
      </w:r>
    </w:p>
    <w:p w:rsidR="004917B7" w:rsidRPr="00B36EB2" w:rsidP="009057F7" w14:paraId="3CE27A08" w14:textId="77777777">
      <w:pPr>
        <w:pStyle w:val="NoSpacing"/>
        <w:numPr>
          <w:ilvl w:val="0"/>
          <w:numId w:val="4"/>
        </w:numPr>
        <w:spacing w:after="80" w:line="276" w:lineRule="auto"/>
        <w:ind w:left="720"/>
      </w:pPr>
      <w:r w:rsidRPr="00B36EB2">
        <w:t>Assistance to facilities in developing surveillance and analysis methods that permit timely recognition of patient safety problems and prompt intervention with appropriate measures.</w:t>
      </w:r>
    </w:p>
    <w:p w:rsidR="004917B7" w:rsidRPr="00B36EB2" w:rsidP="009057F7" w14:paraId="57706929" w14:textId="77777777">
      <w:pPr>
        <w:pStyle w:val="NoSpacing"/>
        <w:numPr>
          <w:ilvl w:val="0"/>
          <w:numId w:val="4"/>
        </w:numPr>
        <w:spacing w:after="80" w:line="276" w:lineRule="auto"/>
        <w:ind w:left="720"/>
      </w:pPr>
      <w:r w:rsidRPr="00B36EB2">
        <w:t xml:space="preserve">Development of clinical quality measures that can </w:t>
      </w:r>
      <w:r w:rsidRPr="00134496">
        <w:rPr>
          <w:noProof/>
        </w:rPr>
        <w:t>be used</w:t>
      </w:r>
      <w:r w:rsidRPr="00B36EB2">
        <w:t xml:space="preserve"> as </w:t>
      </w:r>
      <w:r>
        <w:t xml:space="preserve">a </w:t>
      </w:r>
      <w:r w:rsidRPr="00B36EB2">
        <w:t>benchmark for healthcare facilities</w:t>
      </w:r>
      <w:r>
        <w:t xml:space="preserve"> reporting data to NHSN</w:t>
      </w:r>
      <w:r w:rsidRPr="00B36EB2">
        <w:t xml:space="preserve"> to measure their </w:t>
      </w:r>
      <w:r w:rsidRPr="00134496">
        <w:rPr>
          <w:noProof/>
        </w:rPr>
        <w:t>own</w:t>
      </w:r>
      <w:r w:rsidRPr="00B36EB2">
        <w:t xml:space="preserve"> performance</w:t>
      </w:r>
      <w:r>
        <w:t xml:space="preserve">. </w:t>
      </w:r>
      <w:r w:rsidRPr="00A555E4">
        <w:rPr>
          <w:noProof/>
        </w:rPr>
        <w:t>One</w:t>
      </w:r>
      <w:r>
        <w:t xml:space="preserve"> of the goals is to </w:t>
      </w:r>
      <w:r w:rsidRPr="00B36EB2">
        <w:t>eventually—as a result</w:t>
      </w:r>
      <w:r>
        <w:t xml:space="preserve">, </w:t>
      </w:r>
      <w:r w:rsidRPr="00B36EB2">
        <w:t>measure experience</w:t>
      </w:r>
      <w:r>
        <w:t>,</w:t>
      </w:r>
      <w:r w:rsidRPr="00B36EB2">
        <w:t xml:space="preserve"> </w:t>
      </w:r>
      <w:r w:rsidRPr="00A555E4">
        <w:rPr>
          <w:noProof/>
        </w:rPr>
        <w:t>and</w:t>
      </w:r>
      <w:r w:rsidRPr="00B36EB2">
        <w:t xml:space="preserve"> measure enhancements or other changes as needed—as summary statistics that can be publicly reported for multiple healthcare facilities and serve as metrics for externally evaluating their care and incentivizing quality and patient safety.</w:t>
      </w:r>
    </w:p>
    <w:p w:rsidR="004917B7" w:rsidRPr="00B36EB2" w:rsidP="009057F7" w14:paraId="0E7F2516" w14:textId="77777777">
      <w:pPr>
        <w:pStyle w:val="NoSpacing"/>
        <w:numPr>
          <w:ilvl w:val="0"/>
          <w:numId w:val="4"/>
        </w:numPr>
        <w:spacing w:after="80" w:line="276" w:lineRule="auto"/>
        <w:ind w:left="720"/>
      </w:pPr>
      <w:r w:rsidRPr="00B36EB2">
        <w:t xml:space="preserve">Comply with legal requirements – including but not limited to state or federal laws, regulations, or other requirements – for mandatory reporting of healthcare facility-specific adverse event, prevention practice adherence, and other public health data. </w:t>
      </w:r>
    </w:p>
    <w:p w:rsidR="004917B7" w:rsidRPr="00B36EB2" w:rsidP="009057F7" w14:paraId="3EBE72A4" w14:textId="77777777">
      <w:pPr>
        <w:pStyle w:val="NoSpacing"/>
        <w:numPr>
          <w:ilvl w:val="0"/>
          <w:numId w:val="4"/>
        </w:numPr>
        <w:spacing w:after="80" w:line="276" w:lineRule="auto"/>
        <w:ind w:left="720"/>
      </w:pPr>
      <w:r w:rsidRPr="00B36EB2">
        <w:t xml:space="preserve">Enable healthcare facilities to report HAI and prevention practice adherence data via NHSN to the Centers for Medicare and Medicaid Services (CMS) in fulfillment of CMS’s quality measurement reporting programs including those data. </w:t>
      </w:r>
    </w:p>
    <w:p w:rsidR="004917B7" w:rsidRPr="00B36EB2" w:rsidP="009057F7" w14:paraId="2B40D984" w14:textId="77777777">
      <w:pPr>
        <w:pStyle w:val="NoSpacing"/>
        <w:numPr>
          <w:ilvl w:val="0"/>
          <w:numId w:val="4"/>
        </w:numPr>
        <w:spacing w:after="80" w:line="276" w:lineRule="auto"/>
        <w:ind w:left="720"/>
      </w:pPr>
      <w:r w:rsidRPr="00B36EB2">
        <w:t xml:space="preserve">Provide state and local </w:t>
      </w:r>
      <w:r>
        <w:t>health departments</w:t>
      </w:r>
      <w:r w:rsidRPr="00B36EB2">
        <w:t xml:space="preserve"> with information that identifies the healthcare facilities in their state that participate in NHSN.</w:t>
      </w:r>
    </w:p>
    <w:p w:rsidR="004917B7" w:rsidP="009057F7" w14:paraId="71E571EB" w14:textId="77777777">
      <w:pPr>
        <w:pStyle w:val="NoSpacing"/>
        <w:numPr>
          <w:ilvl w:val="0"/>
          <w:numId w:val="4"/>
        </w:numPr>
        <w:spacing w:after="80" w:line="276" w:lineRule="auto"/>
        <w:ind w:left="720"/>
      </w:pPr>
      <w:r w:rsidRPr="00B36EB2">
        <w:t xml:space="preserve">Provide to state and local agencies, at their request, </w:t>
      </w:r>
      <w:r w:rsidRPr="00B36EB2" w:rsidR="007A7452">
        <w:t>facility specific</w:t>
      </w:r>
      <w:r w:rsidRPr="00B36EB2">
        <w:t xml:space="preserve">, NHSN patient safety component and healthcare personnel safety component adverse event and prevention practice adherence data for surveillance, prevention, </w:t>
      </w:r>
      <w:r w:rsidRPr="008B3028">
        <w:rPr>
          <w:noProof/>
        </w:rPr>
        <w:t>and/or</w:t>
      </w:r>
      <w:r w:rsidRPr="00B36EB2">
        <w:t xml:space="preserve"> mandatory public reporting.</w:t>
      </w:r>
    </w:p>
    <w:p w:rsidR="004917B7" w:rsidRPr="00B36EB2" w:rsidP="009057F7" w14:paraId="0A5043D4" w14:textId="77777777">
      <w:pPr>
        <w:pStyle w:val="NoSpacing"/>
        <w:spacing w:line="276" w:lineRule="auto"/>
        <w:ind w:left="990"/>
      </w:pPr>
    </w:p>
    <w:p w:rsidR="004917B7" w:rsidRPr="00B36EB2" w:rsidP="000760E1" w14:paraId="4446CE71" w14:textId="77777777">
      <w:pPr>
        <w:pStyle w:val="NoSpacing"/>
        <w:spacing w:after="200" w:line="276" w:lineRule="auto"/>
      </w:pPr>
      <w:r w:rsidRPr="00B36EB2">
        <w:t xml:space="preserve">NHSN is used to determine the magnitude of various healthcare-associated adverse events and trends in the rates of these events among patients and healthcare personnel with similar risks or exposures. The healthcare institutions participating in NHSN are required to collect data </w:t>
      </w:r>
      <w:r>
        <w:t xml:space="preserve">regularly and </w:t>
      </w:r>
      <w:r w:rsidRPr="00A555E4">
        <w:rPr>
          <w:noProof/>
        </w:rPr>
        <w:t>report</w:t>
      </w:r>
      <w:r>
        <w:rPr>
          <w:noProof/>
        </w:rPr>
        <w:t xml:space="preserve"> </w:t>
      </w:r>
      <w:r w:rsidRPr="00A555E4">
        <w:rPr>
          <w:noProof/>
        </w:rPr>
        <w:t>them</w:t>
      </w:r>
      <w:r w:rsidRPr="00B36EB2">
        <w:t xml:space="preserve"> monthly, seasonally, or </w:t>
      </w:r>
      <w:r>
        <w:t>annually</w:t>
      </w:r>
      <w:r w:rsidRPr="00B36EB2">
        <w:t xml:space="preserve"> to CDC based on the specific data element </w:t>
      </w:r>
      <w:r w:rsidRPr="00134496">
        <w:rPr>
          <w:noProof/>
        </w:rPr>
        <w:t>being reported</w:t>
      </w:r>
      <w:r w:rsidRPr="00B36EB2">
        <w:t xml:space="preserve">. NHSN provides facilities with risk-adjusted data that can </w:t>
      </w:r>
      <w:r w:rsidRPr="00134496">
        <w:rPr>
          <w:noProof/>
        </w:rPr>
        <w:t>be used</w:t>
      </w:r>
      <w:r w:rsidRPr="00B36EB2">
        <w:t xml:space="preserve"> for inter-facility comparisons and local quality improvement activities. CDC also assists facilities in developing surveillance and analysis methods that permit timely recognition of patient and healthcare personnel safety problems and prompt intervention with appropriate measures. Finally, facilities can conduct collaborative research with NHSN member facilities. For example, facilities can describe the epidemiology of emerging HAIs and pathogens, assess the importance of potential risk factors, further characterize HAI pathogens and their mechanism of resistance, and evaluate alternative surveillance and prevention strategies. In aggregate, CDC analyzes and publishes surveillance data annually to estimate and characterize the national burden </w:t>
      </w:r>
      <w:r w:rsidRPr="00B36EB2">
        <w:t xml:space="preserve">of healthcare-associated infections. These publications can be accessed here: </w:t>
      </w:r>
      <w:hyperlink r:id="rId11" w:history="1">
        <w:r w:rsidRPr="009224A4">
          <w:rPr>
            <w:rStyle w:val="Hyperlink"/>
          </w:rPr>
          <w:t>https://www.cdc.gov/nhsn/dataStat.html</w:t>
        </w:r>
      </w:hyperlink>
      <w:r w:rsidRPr="00B36EB2">
        <w:t xml:space="preserve">. </w:t>
      </w:r>
    </w:p>
    <w:p w:rsidR="004A13E8" w:rsidP="0043326A" w14:paraId="6B6AA841" w14:textId="77777777">
      <w:r w:rsidRPr="00B36EB2">
        <w:t xml:space="preserve">Further, CDC DHQP </w:t>
      </w:r>
      <w:r w:rsidRPr="00A56E01">
        <w:rPr>
          <w:noProof/>
        </w:rPr>
        <w:t>is actively engaged</w:t>
      </w:r>
      <w:r w:rsidRPr="00B36EB2">
        <w:t xml:space="preserve"> with the CMS Center for Clinical Standards and Quality (CCSQ) in working to reduce </w:t>
      </w:r>
      <w:r w:rsidRPr="00A555E4">
        <w:rPr>
          <w:noProof/>
        </w:rPr>
        <w:t>healthcare</w:t>
      </w:r>
      <w:r>
        <w:rPr>
          <w:noProof/>
        </w:rPr>
        <w:t>-</w:t>
      </w:r>
      <w:r w:rsidRPr="00A555E4">
        <w:rPr>
          <w:noProof/>
        </w:rPr>
        <w:t>associated</w:t>
      </w:r>
      <w:r w:rsidRPr="00B36EB2">
        <w:t xml:space="preserve"> infections and improve the quality of care within U</w:t>
      </w:r>
      <w:r>
        <w:t>.</w:t>
      </w:r>
      <w:r w:rsidRPr="00B36EB2">
        <w:t>S</w:t>
      </w:r>
      <w:r>
        <w:t>.</w:t>
      </w:r>
      <w:r w:rsidRPr="00B36EB2">
        <w:t xml:space="preserve"> healthcare facilities. Suggested revisions and enhancements for NHSN definitions and surveillance criteria </w:t>
      </w:r>
      <w:r w:rsidRPr="00134496">
        <w:rPr>
          <w:noProof/>
        </w:rPr>
        <w:t>were received</w:t>
      </w:r>
      <w:r w:rsidRPr="00B36EB2">
        <w:t xml:space="preserve"> from external partners such as CMS CCSQ, the Healthcare Infection Control Practices Advisory Committee (HICPAC), and the Infectious Diseases Society of America (IDSA)</w:t>
      </w:r>
      <w:r>
        <w:t xml:space="preserve">. The revisions, which are proposed to NHSN by external partners, are further </w:t>
      </w:r>
      <w:r w:rsidRPr="00B36EB2">
        <w:t>evaluated</w:t>
      </w:r>
      <w:r>
        <w:t xml:space="preserve">, developed, and vetted </w:t>
      </w:r>
      <w:r w:rsidRPr="00B36EB2">
        <w:t>by internal CDC NHSN subject matter experts</w:t>
      </w:r>
      <w:r>
        <w:t xml:space="preserve">. </w:t>
      </w:r>
      <w:r w:rsidRPr="00B36EB2">
        <w:t xml:space="preserve">Prior to CMS CCSQ adopting a new NHSN measure for requirement in a CMS Quality Reporting Program (QRP), they require </w:t>
      </w:r>
      <w:r w:rsidR="008A1F19">
        <w:t xml:space="preserve">that </w:t>
      </w:r>
      <w:r w:rsidRPr="00B36EB2">
        <w:t>the</w:t>
      </w:r>
      <w:r>
        <w:t xml:space="preserve"> proposed</w:t>
      </w:r>
      <w:r w:rsidRPr="00B36EB2">
        <w:t xml:space="preserve"> measure </w:t>
      </w:r>
      <w:r w:rsidRPr="00134496">
        <w:rPr>
          <w:noProof/>
        </w:rPr>
        <w:t>is endorsed</w:t>
      </w:r>
      <w:r w:rsidRPr="00B36EB2">
        <w:t xml:space="preserve"> by </w:t>
      </w:r>
      <w:r w:rsidR="008A1F19">
        <w:t>a CMS consensus-based entity (CBE)</w:t>
      </w:r>
      <w:r w:rsidR="00826D86">
        <w:t xml:space="preserve">; CBE endorsed measures are considered the gold standard for quality measurement. </w:t>
      </w:r>
      <w:r w:rsidRPr="00B36EB2">
        <w:t xml:space="preserve">Further, changes to the number of respondents and responses per respondent for NHSN forms are directly related to the expansion of CMS QRPs. </w:t>
      </w:r>
      <w:bookmarkStart w:id="5" w:name="_Toc177113128"/>
      <w:r>
        <w:t>Use of Improved Information Technology and Burden Reduction</w:t>
      </w:r>
      <w:bookmarkEnd w:id="5"/>
    </w:p>
    <w:p w:rsidR="00D33DDC" w:rsidP="00D33DDC" w14:paraId="5C68069E" w14:textId="47DC412C">
      <w:pPr>
        <w:pStyle w:val="Heading1"/>
      </w:pPr>
      <w:r>
        <w:t>Use of Improved Information Technology and Burden Reduction</w:t>
      </w:r>
    </w:p>
    <w:p w:rsidR="00D33DDC" w:rsidRPr="00B36EB2" w:rsidP="00D33DDC" w14:paraId="1DD2BA1C" w14:textId="77777777">
      <w:pPr>
        <w:pStyle w:val="NoSpacing"/>
        <w:spacing w:after="200" w:line="276" w:lineRule="auto"/>
      </w:pPr>
      <w:r w:rsidRPr="00B36EB2">
        <w:t xml:space="preserve">As stated in previous submissions to OMB, 100% of the data for NHSN </w:t>
      </w:r>
      <w:r w:rsidRPr="00134496">
        <w:rPr>
          <w:noProof/>
        </w:rPr>
        <w:t>are collected</w:t>
      </w:r>
      <w:r w:rsidRPr="00B36EB2">
        <w:t xml:space="preserve"> via a secure internet application. Only the minimum amount of information necessary for data </w:t>
      </w:r>
      <w:r>
        <w:t xml:space="preserve">collection is </w:t>
      </w:r>
      <w:r w:rsidRPr="00371D80">
        <w:rPr>
          <w:noProof/>
        </w:rPr>
        <w:t>requested</w:t>
      </w:r>
      <w:r w:rsidRPr="00B36EB2">
        <w:t xml:space="preserve">. Institutions that participate in NHSN are required to have a computer and Internet Service Provider (ISP), and they must provide the salaries of the data collectors and data entry personnel. These expenses would not exceed what </w:t>
      </w:r>
      <w:r w:rsidRPr="00134496">
        <w:rPr>
          <w:noProof/>
        </w:rPr>
        <w:t>is normally expended</w:t>
      </w:r>
      <w:r w:rsidRPr="00B36EB2">
        <w:t xml:space="preserve"> for a typical </w:t>
      </w:r>
      <w:r w:rsidRPr="00134496">
        <w:rPr>
          <w:noProof/>
        </w:rPr>
        <w:t>healthcare facility infection surveillance program</w:t>
      </w:r>
      <w:r w:rsidRPr="00B36EB2">
        <w:t xml:space="preserve">. While the paper forms </w:t>
      </w:r>
      <w:r w:rsidRPr="00134496">
        <w:rPr>
          <w:noProof/>
        </w:rPr>
        <w:t>are provided</w:t>
      </w:r>
      <w:r w:rsidRPr="00B36EB2">
        <w:t xml:space="preserve"> for data collection, facilities are not required to use them for entry of data into NHSN.</w:t>
      </w:r>
      <w:r w:rsidRPr="00351E09">
        <w:t xml:space="preserve"> </w:t>
      </w:r>
      <w:r w:rsidRPr="00EA5936">
        <w:t>There is no manual entry available to users for the new neonatal component.  Both numerator and denominator data will be imported into the Clinical Document Architecture (CDA) via electronic data transfer. This will allow users to obtain data submitted via CDA and focus on prevention activities within their respective hospitals or facilities.</w:t>
      </w:r>
    </w:p>
    <w:p w:rsidR="00D33DDC" w:rsidRPr="00B36EB2" w:rsidP="00D33DDC" w14:paraId="383A8E6D" w14:textId="77777777">
      <w:pPr>
        <w:pStyle w:val="NoSpacing"/>
        <w:spacing w:after="200" w:line="276" w:lineRule="auto"/>
      </w:pPr>
      <w:r w:rsidRPr="00B36EB2">
        <w:t xml:space="preserve">Clinical Document Architecture (CDA) is a Health Level 7 (HL7) standard that provides </w:t>
      </w:r>
      <w:r w:rsidRPr="00A555E4">
        <w:rPr>
          <w:noProof/>
        </w:rPr>
        <w:t>technical</w:t>
      </w:r>
      <w:r w:rsidRPr="00B36EB2">
        <w:t xml:space="preserve"> specifications for </w:t>
      </w:r>
      <w:r>
        <w:rPr>
          <w:noProof/>
        </w:rPr>
        <w:t>electronic formatting</w:t>
      </w:r>
      <w:r w:rsidRPr="00B36EB2">
        <w:t xml:space="preserve"> documents </w:t>
      </w:r>
      <w:r w:rsidRPr="00371D80">
        <w:rPr>
          <w:noProof/>
        </w:rPr>
        <w:t>for</w:t>
      </w:r>
      <w:r w:rsidRPr="00B36EB2">
        <w:t xml:space="preserve"> </w:t>
      </w:r>
      <w:r w:rsidRPr="00075486">
        <w:rPr>
          <w:noProof/>
        </w:rPr>
        <w:t>interoperable</w:t>
      </w:r>
      <w:r w:rsidRPr="00B36EB2">
        <w:t xml:space="preserve"> data exchange and re-use. Currently, NHSN </w:t>
      </w:r>
      <w:r>
        <w:rPr>
          <w:noProof/>
        </w:rPr>
        <w:t>can</w:t>
      </w:r>
      <w:r w:rsidRPr="00B36EB2">
        <w:t xml:space="preserve"> accept data for the following event types/summary data via CDA:</w:t>
      </w:r>
    </w:p>
    <w:p w:rsidR="00D33DDC" w:rsidRPr="00B36EB2" w:rsidP="00D33DDC" w14:paraId="3976C5AA" w14:textId="77777777">
      <w:pPr>
        <w:pStyle w:val="NoSpacing"/>
        <w:numPr>
          <w:ilvl w:val="0"/>
          <w:numId w:val="5"/>
        </w:numPr>
        <w:spacing w:after="80"/>
        <w:ind w:left="720"/>
      </w:pPr>
      <w:r w:rsidRPr="00B36EB2">
        <w:t>Central line-associated bloodstream infections (CLABSI)</w:t>
      </w:r>
    </w:p>
    <w:p w:rsidR="00D33DDC" w:rsidRPr="00B36EB2" w:rsidP="00D33DDC" w14:paraId="1C89CAF9" w14:textId="77777777">
      <w:pPr>
        <w:pStyle w:val="NoSpacing"/>
        <w:numPr>
          <w:ilvl w:val="0"/>
          <w:numId w:val="5"/>
        </w:numPr>
        <w:spacing w:after="80"/>
        <w:ind w:left="720"/>
      </w:pPr>
      <w:r w:rsidRPr="00B36EB2">
        <w:t>Catheter-associated urinary tract infections (CAUTI)</w:t>
      </w:r>
    </w:p>
    <w:p w:rsidR="00D33DDC" w:rsidRPr="00B36EB2" w:rsidP="00D33DDC" w14:paraId="6D3C7F7B" w14:textId="77777777">
      <w:pPr>
        <w:pStyle w:val="NoSpacing"/>
        <w:numPr>
          <w:ilvl w:val="0"/>
          <w:numId w:val="5"/>
        </w:numPr>
        <w:spacing w:after="80"/>
        <w:ind w:left="720"/>
      </w:pPr>
      <w:r w:rsidRPr="00B36EB2">
        <w:t>Central line insertion practices (CLIP)</w:t>
      </w:r>
    </w:p>
    <w:p w:rsidR="00D33DDC" w:rsidRPr="00B36EB2" w:rsidP="00D33DDC" w14:paraId="44F38765" w14:textId="77777777">
      <w:pPr>
        <w:pStyle w:val="NoSpacing"/>
        <w:numPr>
          <w:ilvl w:val="0"/>
          <w:numId w:val="5"/>
        </w:numPr>
        <w:spacing w:after="80"/>
        <w:ind w:left="720"/>
      </w:pPr>
      <w:r w:rsidRPr="00B36EB2">
        <w:t>Surgical site infections (SSI)</w:t>
      </w:r>
    </w:p>
    <w:p w:rsidR="00D33DDC" w:rsidRPr="00B36EB2" w:rsidP="00D33DDC" w14:paraId="4D9E1551" w14:textId="77777777">
      <w:pPr>
        <w:pStyle w:val="NoSpacing"/>
        <w:numPr>
          <w:ilvl w:val="0"/>
          <w:numId w:val="5"/>
        </w:numPr>
        <w:spacing w:after="80"/>
        <w:ind w:left="720"/>
      </w:pPr>
      <w:r w:rsidRPr="00B36EB2">
        <w:t>Laboratory-identified (</w:t>
      </w:r>
      <w:r w:rsidRPr="00B36EB2">
        <w:t>LabID</w:t>
      </w:r>
      <w:r w:rsidRPr="00B36EB2">
        <w:t>) events</w:t>
      </w:r>
    </w:p>
    <w:p w:rsidR="00D33DDC" w:rsidRPr="00B36EB2" w:rsidP="00D33DDC" w14:paraId="44A4A648" w14:textId="77777777">
      <w:pPr>
        <w:pStyle w:val="NoSpacing"/>
        <w:numPr>
          <w:ilvl w:val="0"/>
          <w:numId w:val="5"/>
        </w:numPr>
        <w:spacing w:after="80"/>
        <w:ind w:left="720"/>
      </w:pPr>
      <w:r w:rsidRPr="00B36EB2">
        <w:t>Summary data for Intensive Care Units (ICU)/Other Locations (not NICU and SCA)</w:t>
      </w:r>
    </w:p>
    <w:p w:rsidR="00D33DDC" w:rsidRPr="00B36EB2" w:rsidP="00D33DDC" w14:paraId="7B8BFA89" w14:textId="77777777">
      <w:pPr>
        <w:pStyle w:val="NoSpacing"/>
        <w:numPr>
          <w:ilvl w:val="0"/>
          <w:numId w:val="5"/>
        </w:numPr>
        <w:spacing w:after="80"/>
        <w:ind w:left="720"/>
      </w:pPr>
      <w:r w:rsidRPr="00B36EB2">
        <w:t>Summary data for Neonatal Intensive Care Units (NICU)</w:t>
      </w:r>
    </w:p>
    <w:p w:rsidR="00D33DDC" w:rsidRPr="00B36EB2" w:rsidP="00D33DDC" w14:paraId="44174691" w14:textId="77777777">
      <w:pPr>
        <w:pStyle w:val="NoSpacing"/>
        <w:numPr>
          <w:ilvl w:val="0"/>
          <w:numId w:val="5"/>
        </w:numPr>
        <w:spacing w:after="80"/>
        <w:ind w:left="720"/>
      </w:pPr>
      <w:r w:rsidRPr="00B36EB2">
        <w:t>Summary data for Specialty Care Areas (SCA)</w:t>
      </w:r>
    </w:p>
    <w:p w:rsidR="00D33DDC" w:rsidRPr="00B36EB2" w:rsidP="00D33DDC" w14:paraId="4BFAF8A0" w14:textId="77777777">
      <w:pPr>
        <w:pStyle w:val="NoSpacing"/>
        <w:numPr>
          <w:ilvl w:val="0"/>
          <w:numId w:val="5"/>
        </w:numPr>
        <w:spacing w:after="80"/>
        <w:ind w:left="720"/>
      </w:pPr>
      <w:r w:rsidRPr="00B36EB2">
        <w:t>Surgical procedures</w:t>
      </w:r>
    </w:p>
    <w:p w:rsidR="00D33DDC" w:rsidRPr="00B36EB2" w:rsidP="00D33DDC" w14:paraId="7620E4B1" w14:textId="77777777">
      <w:pPr>
        <w:pStyle w:val="NoSpacing"/>
        <w:numPr>
          <w:ilvl w:val="0"/>
          <w:numId w:val="5"/>
        </w:numPr>
        <w:spacing w:after="80"/>
        <w:ind w:left="720"/>
      </w:pPr>
      <w:r w:rsidRPr="00B36EB2">
        <w:t>MDRO and CDI Prevention Process and Outcome Measures Monthly Monitoring</w:t>
      </w:r>
    </w:p>
    <w:p w:rsidR="00D33DDC" w:rsidP="00D33DDC" w14:paraId="66F260F2" w14:textId="77777777">
      <w:pPr>
        <w:pStyle w:val="NoSpacing"/>
        <w:numPr>
          <w:ilvl w:val="0"/>
          <w:numId w:val="5"/>
        </w:numPr>
        <w:spacing w:after="80"/>
        <w:ind w:left="720"/>
      </w:pPr>
      <w:r w:rsidRPr="00B36EB2">
        <w:t>Antimicrobial use (AU)</w:t>
      </w:r>
    </w:p>
    <w:p w:rsidR="00D33DDC" w:rsidRPr="00B36EB2" w:rsidP="00D33DDC" w14:paraId="7B7E0D7C" w14:textId="77777777">
      <w:pPr>
        <w:pStyle w:val="NoSpacing"/>
        <w:numPr>
          <w:ilvl w:val="0"/>
          <w:numId w:val="5"/>
        </w:numPr>
        <w:spacing w:after="80"/>
        <w:ind w:left="720"/>
      </w:pPr>
      <w:r w:rsidRPr="00B36EB2">
        <w:t>Antimicrobial resistance events (AR)</w:t>
      </w:r>
    </w:p>
    <w:p w:rsidR="00D33DDC" w:rsidRPr="00B36EB2" w:rsidP="00D33DDC" w14:paraId="2DD84BA1" w14:textId="77777777">
      <w:pPr>
        <w:pStyle w:val="NoSpacing"/>
        <w:numPr>
          <w:ilvl w:val="0"/>
          <w:numId w:val="5"/>
        </w:numPr>
        <w:spacing w:after="80"/>
        <w:ind w:left="720"/>
      </w:pPr>
      <w:r w:rsidRPr="00B36EB2">
        <w:t>Antimicrobial resistance (AR) summary data</w:t>
      </w:r>
    </w:p>
    <w:p w:rsidR="00D33DDC" w:rsidRPr="00B36EB2" w:rsidP="00D33DDC" w14:paraId="5DDA2372" w14:textId="77777777">
      <w:pPr>
        <w:pStyle w:val="NoSpacing"/>
        <w:numPr>
          <w:ilvl w:val="0"/>
          <w:numId w:val="5"/>
        </w:numPr>
        <w:spacing w:after="80"/>
        <w:ind w:left="720"/>
      </w:pPr>
      <w:r w:rsidRPr="00B36EB2">
        <w:t>Dialysis events</w:t>
      </w:r>
    </w:p>
    <w:p w:rsidR="00D33DDC" w:rsidRPr="00770E08" w:rsidP="00D33DDC" w14:paraId="148EC2F4" w14:textId="77777777">
      <w:pPr>
        <w:pStyle w:val="NoSpacing"/>
        <w:numPr>
          <w:ilvl w:val="0"/>
          <w:numId w:val="5"/>
        </w:numPr>
        <w:spacing w:after="80"/>
        <w:ind w:left="720"/>
      </w:pPr>
      <w:r w:rsidRPr="00770E08">
        <w:t>Dialysis summary data</w:t>
      </w:r>
    </w:p>
    <w:p w:rsidR="00D33DDC" w:rsidP="00D33DDC" w14:paraId="43D9CBC1" w14:textId="77777777">
      <w:pPr>
        <w:pStyle w:val="NoSpacing"/>
        <w:numPr>
          <w:ilvl w:val="0"/>
          <w:numId w:val="5"/>
        </w:numPr>
        <w:spacing w:after="80"/>
        <w:ind w:left="720"/>
      </w:pPr>
      <w:r w:rsidRPr="00770E08">
        <w:t>Late-onset sepsis/ Meningitis (LOS/MEN) data electronically via CDA</w:t>
      </w:r>
    </w:p>
    <w:p w:rsidR="00D33DDC" w:rsidP="00D33DDC" w14:paraId="156A7F09" w14:textId="77777777">
      <w:pPr>
        <w:pStyle w:val="NoSpacing"/>
        <w:spacing w:after="80"/>
        <w:ind w:left="720"/>
      </w:pPr>
    </w:p>
    <w:p w:rsidR="00D33DDC" w:rsidP="00D33DDC" w14:paraId="31984088" w14:textId="77777777">
      <w:pPr>
        <w:rPr>
          <w:rStyle w:val="eop"/>
          <w:rFonts w:cs="Times New Roman"/>
          <w:szCs w:val="24"/>
          <w:shd w:val="clear" w:color="auto" w:fill="FFFFFF"/>
        </w:rPr>
      </w:pPr>
      <w:r>
        <w:rPr>
          <w:rFonts w:cs="Times New Roman"/>
        </w:rPr>
        <w:t xml:space="preserve">In alignment with CDC’s Data Modernization Initiative, NHSN is developing a new approach to the collection of surveillance data for healthcare safety with the goal to </w:t>
      </w:r>
      <w:r w:rsidRPr="00CF2D02">
        <w:rPr>
          <w:rFonts w:cs="Times New Roman"/>
        </w:rPr>
        <w:t>m</w:t>
      </w:r>
      <w:r w:rsidRPr="00366A6A">
        <w:rPr>
          <w:rFonts w:cs="Times New Roman"/>
        </w:rPr>
        <w:t>inimize reporting burden of facilities and providers</w:t>
      </w:r>
      <w:r>
        <w:rPr>
          <w:rFonts w:cs="Times New Roman"/>
        </w:rPr>
        <w:t xml:space="preserve">. To that end, NHSN is designing and developing new fully electronic definitions for healthcare-acquired events that adopt </w:t>
      </w:r>
      <w:r w:rsidRPr="00366A6A">
        <w:rPr>
          <w:rFonts w:cs="Times New Roman"/>
        </w:rPr>
        <w:t>new healthcare data exchange standards</w:t>
      </w:r>
      <w:r>
        <w:rPr>
          <w:rFonts w:cs="Times New Roman"/>
          <w:b/>
          <w:bCs/>
        </w:rPr>
        <w:t xml:space="preserve"> (</w:t>
      </w:r>
      <w:r w:rsidRPr="00366A6A">
        <w:rPr>
          <w:rFonts w:cs="Times New Roman"/>
        </w:rPr>
        <w:t>Fast Healthcare Interoperability Resources</w:t>
      </w:r>
      <w:r>
        <w:rPr>
          <w:rFonts w:cs="Times New Roman"/>
        </w:rPr>
        <w:t xml:space="preserve"> i.e. </w:t>
      </w:r>
      <w:r w:rsidRPr="00366A6A">
        <w:rPr>
          <w:rFonts w:cs="Times New Roman"/>
        </w:rPr>
        <w:t>FHIR)</w:t>
      </w:r>
      <w:r>
        <w:rPr>
          <w:rFonts w:cs="Times New Roman"/>
        </w:rPr>
        <w:t xml:space="preserve"> that will be collected via new collection methods (</w:t>
      </w:r>
      <w:r>
        <w:rPr>
          <w:rFonts w:cs="Times New Roman"/>
        </w:rPr>
        <w:t>NHSNLink</w:t>
      </w:r>
      <w:r>
        <w:rPr>
          <w:rFonts w:cs="Times New Roman"/>
        </w:rPr>
        <w:t xml:space="preserve">). </w:t>
      </w:r>
      <w:r>
        <w:rPr>
          <w:rFonts w:cs="Times New Roman"/>
        </w:rPr>
        <w:t xml:space="preserve">This new model is based on submission of FHIR bundles that contain up to 18 unique FHIR resources (such as Patient and Encounter) which contain specific FHIR data elements that can be used to </w:t>
      </w:r>
      <w:r w:rsidRPr="00453F8F">
        <w:rPr>
          <w:rFonts w:cs="Times New Roman"/>
        </w:rPr>
        <w:t>calculate metrics and provide patient-level risk adjustment. With this single stream of data, metrics for multiple healthcare associated events can be calculated</w:t>
      </w:r>
      <w:r>
        <w:rPr>
          <w:rFonts w:cs="Times New Roman"/>
        </w:rPr>
        <w:t xml:space="preserve">. </w:t>
      </w:r>
      <w:r w:rsidRPr="00572E96">
        <w:rPr>
          <w:rFonts w:cs="Times New Roman"/>
        </w:rPr>
        <w:t xml:space="preserve">Because </w:t>
      </w:r>
      <w:r>
        <w:rPr>
          <w:rFonts w:cs="Times New Roman"/>
        </w:rPr>
        <w:t xml:space="preserve">of the shift to </w:t>
      </w:r>
      <w:r w:rsidRPr="00366A6A">
        <w:rPr>
          <w:rFonts w:cs="Times New Roman"/>
        </w:rPr>
        <w:t>new healthcare data exchange standards</w:t>
      </w:r>
      <w:r>
        <w:rPr>
          <w:rFonts w:cs="Times New Roman"/>
        </w:rPr>
        <w:t xml:space="preserve"> (FHIR) and fully electronic definitions for metrics, FHIR measures will require very little human time to input answers to a traditional form. </w:t>
      </w:r>
      <w:r w:rsidRPr="00BE2EAA">
        <w:rPr>
          <w:rFonts w:cs="Times New Roman"/>
        </w:rPr>
        <w:t xml:space="preserve">FHIR is not fully </w:t>
      </w:r>
      <w:r w:rsidRPr="00BE2EAA">
        <w:rPr>
          <w:rFonts w:cs="Times New Roman"/>
        </w:rPr>
        <w:t>implemented, but</w:t>
      </w:r>
      <w:r w:rsidRPr="00BE2EAA">
        <w:rPr>
          <w:rFonts w:cs="Times New Roman"/>
        </w:rPr>
        <w:t xml:space="preserve"> will be effective for the following measures Respiratory Pathogens Surveillance, </w:t>
      </w:r>
      <w:r w:rsidRPr="00BE2EAA">
        <w:rPr>
          <w:rStyle w:val="normaltextrun"/>
          <w:rFonts w:cs="Times New Roman"/>
          <w:szCs w:val="24"/>
          <w:shd w:val="clear" w:color="auto" w:fill="FFFFFF"/>
        </w:rPr>
        <w:t>Hospital-Onset Bacteremia &amp; Fungemia (HOB), Healthcare facility-onset, antibiotic-Treated Clostridiodes difficile Infection (HT-CDI),</w:t>
      </w:r>
      <w:r w:rsidRPr="00BE2EAA">
        <w:rPr>
          <w:rStyle w:val="eop"/>
          <w:rFonts w:cs="Times New Roman"/>
          <w:szCs w:val="24"/>
          <w:shd w:val="clear" w:color="auto" w:fill="FFFFFF"/>
        </w:rPr>
        <w:t> Venous Thromboembolism (VTE), Adult Sepsis, Non-Ventilator Associated Pneumonia (NVAP), Late Onset Sepsis Meningitis (LOSMEN), Hypoglycemia (Hypo), Hospital Acute Kidney Injury (HAKI), and Opioid Related Adverse Event (ORAE).</w:t>
      </w:r>
      <w:r>
        <w:rPr>
          <w:rStyle w:val="eop"/>
          <w:rFonts w:cs="Times New Roman"/>
          <w:szCs w:val="24"/>
          <w:shd w:val="clear" w:color="auto" w:fill="FFFFFF"/>
        </w:rPr>
        <w:t xml:space="preserve"> </w:t>
      </w:r>
    </w:p>
    <w:p w:rsidR="004A13E8" w:rsidP="004A13E8" w14:paraId="79AFB458" w14:textId="77777777">
      <w:pPr>
        <w:pStyle w:val="Heading1"/>
      </w:pPr>
      <w:bookmarkStart w:id="6" w:name="_Toc177113129"/>
      <w:r>
        <w:t>Efforts to Identify Duplication and Use of Similar Information</w:t>
      </w:r>
      <w:bookmarkEnd w:id="6"/>
    </w:p>
    <w:p w:rsidR="006B11EC" w:rsidRPr="00B36EB2" w:rsidP="006B11EC" w14:paraId="64A68FC0" w14:textId="77777777">
      <w:pPr>
        <w:rPr>
          <w:shd w:val="clear" w:color="auto" w:fill="FFFF00"/>
        </w:rPr>
      </w:pPr>
      <w:r w:rsidRPr="00B36EB2">
        <w:t xml:space="preserve">NHSN is the only modern national system that collects surveillance data on healthcare-associated infections, </w:t>
      </w:r>
      <w:r w:rsidRPr="00134496">
        <w:rPr>
          <w:noProof/>
        </w:rPr>
        <w:t>infection prevention process measure data</w:t>
      </w:r>
      <w:r w:rsidRPr="00B36EB2">
        <w:t>, data on healthcare personnel safety measures such as blood and body fluid exposures and vaccination practices, and adverse events related to the transfusion of blood and blood products.</w:t>
      </w:r>
    </w:p>
    <w:p w:rsidR="003B2FB4" w:rsidRPr="000A4767" w:rsidP="003B2FB4" w14:paraId="64E59549" w14:textId="77777777">
      <w:pPr>
        <w:rPr>
          <w:rFonts w:cs="Times New Roman"/>
        </w:rPr>
      </w:pPr>
      <w:r w:rsidRPr="00B36EB2">
        <w:t xml:space="preserve">There are other organizations within the Department of Health and Human Services (HHS) (e.g., Patient Safety Task Force, the Health Resources and Services Administration, the Agency for Healthcare Research and Quality, </w:t>
      </w:r>
      <w:r>
        <w:t xml:space="preserve">and </w:t>
      </w:r>
      <w:r w:rsidRPr="000A4767">
        <w:rPr>
          <w:rFonts w:cs="Times New Roman"/>
        </w:rPr>
        <w:t>the Centers for Medicare and Medicaid Services) that work to improve patient safety and healthcare outcomes. In many cases, these agencies use the information generated from the NHSN to support their mission, and currently, the data collections do not overlap.</w:t>
      </w:r>
    </w:p>
    <w:p w:rsidR="000A4767" w:rsidP="00653333" w14:paraId="569CF7DF" w14:textId="77777777">
      <w:pPr>
        <w:pStyle w:val="Default"/>
        <w:spacing w:line="276" w:lineRule="auto"/>
        <w:rPr>
          <w:rFonts w:ascii="Times New Roman" w:hAnsi="Times New Roman" w:cs="Times New Roman"/>
        </w:rPr>
      </w:pPr>
      <w:r w:rsidRPr="000A4767">
        <w:rPr>
          <w:rFonts w:ascii="Times New Roman" w:hAnsi="Times New Roman" w:cs="Times New Roman"/>
        </w:rPr>
        <w:t xml:space="preserve">For the data collection of Billing Code Data: 837I Upload, data received from this collection will be </w:t>
      </w:r>
      <w:r w:rsidRPr="000A4767">
        <w:rPr>
          <w:rFonts w:ascii="Times New Roman" w:hAnsi="Times New Roman" w:cs="Times New Roman"/>
        </w:rPr>
        <w:t>similar to</w:t>
      </w:r>
      <w:r w:rsidRPr="000A4767">
        <w:rPr>
          <w:rFonts w:ascii="Times New Roman" w:hAnsi="Times New Roman" w:cs="Times New Roman"/>
        </w:rPr>
        <w:t xml:space="preserve"> data collected by CMS</w:t>
      </w:r>
      <w:r w:rsidRPr="000A4767" w:rsidR="00F04D10">
        <w:rPr>
          <w:rFonts w:ascii="Times New Roman" w:hAnsi="Times New Roman" w:cs="Times New Roman"/>
        </w:rPr>
        <w:t xml:space="preserve"> (UB-04 CMS-1450 form </w:t>
      </w:r>
      <w:r w:rsidRPr="000A4767" w:rsidR="0032573F">
        <w:rPr>
          <w:rFonts w:ascii="Times New Roman" w:hAnsi="Times New Roman" w:cs="Times New Roman"/>
        </w:rPr>
        <w:t xml:space="preserve">approved under </w:t>
      </w:r>
      <w:r w:rsidRPr="000A4767" w:rsidR="00F04D10">
        <w:rPr>
          <w:rFonts w:ascii="Times New Roman" w:hAnsi="Times New Roman" w:cs="Times New Roman"/>
        </w:rPr>
        <w:t xml:space="preserve">OMB </w:t>
      </w:r>
      <w:r w:rsidRPr="000A4767" w:rsidR="0032573F">
        <w:rPr>
          <w:rFonts w:ascii="Times New Roman" w:hAnsi="Times New Roman" w:cs="Times New Roman"/>
        </w:rPr>
        <w:t xml:space="preserve">Control </w:t>
      </w:r>
      <w:r w:rsidRPr="000A4767" w:rsidR="00F04D10">
        <w:rPr>
          <w:rFonts w:ascii="Times New Roman" w:hAnsi="Times New Roman" w:cs="Times New Roman"/>
        </w:rPr>
        <w:t>N</w:t>
      </w:r>
      <w:r w:rsidRPr="000A4767" w:rsidR="0032573F">
        <w:rPr>
          <w:rFonts w:ascii="Times New Roman" w:hAnsi="Times New Roman" w:cs="Times New Roman"/>
        </w:rPr>
        <w:t>o</w:t>
      </w:r>
      <w:r w:rsidRPr="000A4767" w:rsidR="00F04D10">
        <w:rPr>
          <w:rFonts w:ascii="Times New Roman" w:hAnsi="Times New Roman" w:cs="Times New Roman"/>
        </w:rPr>
        <w:t>. 0938-0997)</w:t>
      </w:r>
      <w:r w:rsidRPr="000A4767">
        <w:rPr>
          <w:rFonts w:ascii="Times New Roman" w:hAnsi="Times New Roman" w:cs="Times New Roman"/>
        </w:rPr>
        <w:t>, however, CDC NHSN will receive additional respondents as CMS data is only collected on Medicare patients and the CDC NHSN data will be collected for all patients.</w:t>
      </w:r>
    </w:p>
    <w:p w:rsidR="00BA4045" w:rsidRPr="000A4767" w:rsidP="000A4767" w14:paraId="5EDE047F" w14:textId="77777777">
      <w:pPr>
        <w:pStyle w:val="Default"/>
        <w:rPr>
          <w:rFonts w:ascii="Times New Roman" w:hAnsi="Times New Roman" w:cs="Times New Roman"/>
        </w:rPr>
      </w:pPr>
      <w:r w:rsidRPr="000A4767">
        <w:rPr>
          <w:rFonts w:ascii="Times New Roman" w:hAnsi="Times New Roman" w:cs="Times New Roman"/>
        </w:rPr>
        <w:t xml:space="preserve">  </w:t>
      </w:r>
    </w:p>
    <w:p w:rsidR="00DC57CC" w:rsidP="004A13E8" w14:paraId="065F57DA" w14:textId="77777777">
      <w:pPr>
        <w:pStyle w:val="Heading1"/>
      </w:pPr>
      <w:bookmarkStart w:id="7" w:name="_Toc177113130"/>
      <w:r>
        <w:t>Impact on Small Businesses or Other Small Entities</w:t>
      </w:r>
      <w:bookmarkEnd w:id="7"/>
    </w:p>
    <w:p w:rsidR="006B11EC" w:rsidP="006B11EC" w14:paraId="12BA0643" w14:textId="77777777">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There are several vendors, some of which may be considered small businesses, which sell data management tools with similar capabilities as NHSN. However, since NHSN is a voluntary system, facilities are free to choose a vendor product over NHSN. </w:t>
      </w:r>
      <w:r>
        <w:t>E</w:t>
      </w:r>
      <w:r w:rsidRPr="00B36EB2">
        <w:t>xception</w:t>
      </w:r>
      <w:r>
        <w:t>s</w:t>
      </w:r>
      <w:r w:rsidRPr="00B36EB2">
        <w:t xml:space="preserve"> </w:t>
      </w:r>
      <w:r>
        <w:t>are</w:t>
      </w:r>
      <w:r w:rsidRPr="00B36EB2">
        <w:t xml:space="preserve"> </w:t>
      </w:r>
      <w:r>
        <w:t>with</w:t>
      </w:r>
      <w:r w:rsidRPr="00B36EB2">
        <w:t>in those states that have mandated the use of NHSN</w:t>
      </w:r>
      <w:r>
        <w:t>. Mandates are required to help participants meet</w:t>
      </w:r>
      <w:r w:rsidRPr="00B36EB2">
        <w:t xml:space="preserve"> their public reporting laws in fa</w:t>
      </w:r>
      <w:r>
        <w:t>cilities that participate in the following programs listed below.</w:t>
      </w:r>
      <w:r w:rsidRPr="00826D86" w:rsidR="00826D86">
        <w:t xml:space="preserve"> </w:t>
      </w:r>
      <w:r w:rsidRPr="00B36EB2" w:rsidR="00826D86">
        <w:t xml:space="preserve">However, </w:t>
      </w:r>
      <w:r w:rsidRPr="00134496" w:rsidR="00826D86">
        <w:rPr>
          <w:noProof/>
        </w:rPr>
        <w:t>in order to</w:t>
      </w:r>
      <w:r w:rsidRPr="00B36EB2" w:rsidR="00826D86">
        <w:t xml:space="preserve"> minimize any negative impact on vendors (i.e., loss of potential market share); CDC actively assists all vendors with facility data submission into NHSN.</w:t>
      </w:r>
    </w:p>
    <w:p w:rsidR="006B11EC" w:rsidP="006B11EC" w14:paraId="058EF76F"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Hospital Inpatient Quality Reporting Program</w:t>
      </w:r>
      <w:r>
        <w:t xml:space="preserve"> (IQR)</w:t>
      </w:r>
    </w:p>
    <w:p w:rsidR="006B11EC" w:rsidP="006B11EC" w14:paraId="58B70E8D"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CMS Prospective Payment System (PPS) </w:t>
      </w:r>
    </w:p>
    <w:p w:rsidR="006B11EC" w:rsidP="006B11EC" w14:paraId="01B61E07"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End-stage </w:t>
      </w:r>
      <w:r w:rsidRPr="00B36EB2" w:rsidR="007A7452">
        <w:t xml:space="preserve">renal disease </w:t>
      </w:r>
      <w:r w:rsidRPr="00B36EB2">
        <w:t xml:space="preserve"> (ESRD) Quality Incentive Program</w:t>
      </w:r>
      <w:r>
        <w:t xml:space="preserve"> (QIP)</w:t>
      </w:r>
    </w:p>
    <w:p w:rsidR="006B11EC" w:rsidP="006B11EC" w14:paraId="42AAAE1C"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Inpatient Rehabilitation Faci</w:t>
      </w:r>
      <w:r>
        <w:t>lity Quality Reporting Program (IRFQR)</w:t>
      </w:r>
    </w:p>
    <w:p w:rsidR="00826D86" w:rsidP="00826D86" w14:paraId="28E65186" w14:textId="77777777">
      <w:pPr>
        <w:pStyle w:val="ListParagraph"/>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4A13E8" w:rsidP="004A13E8" w14:paraId="26D25AFF" w14:textId="77777777">
      <w:pPr>
        <w:pStyle w:val="Heading1"/>
      </w:pPr>
      <w:bookmarkStart w:id="8" w:name="_Toc177113131"/>
      <w:r>
        <w:t>Consequences of Collecting the Information Less Frequently</w:t>
      </w:r>
      <w:bookmarkEnd w:id="8"/>
    </w:p>
    <w:p w:rsidR="001523DF" w:rsidRPr="001523DF" w:rsidP="001523DF" w14:paraId="6EF9AFE4" w14:textId="77777777">
      <w:r w:rsidRPr="00B36EB2">
        <w:t xml:space="preserve">Many adverse events associated with healthcare, such as HAIs, occur in both endemic and epidemic patterns. It is in the best interest of the healthcare institution to conduct routine prospective surveillance in an ongoing manner to identify trends in endemic rates as well as outbreaks so that potential problems may </w:t>
      </w:r>
      <w:r w:rsidRPr="00134496">
        <w:rPr>
          <w:noProof/>
        </w:rPr>
        <w:t>be identified</w:t>
      </w:r>
      <w:r w:rsidRPr="00B36EB2">
        <w:t xml:space="preserve"> </w:t>
      </w:r>
      <w:r w:rsidRPr="00134496">
        <w:rPr>
          <w:noProof/>
        </w:rPr>
        <w:t>in a timely manner</w:t>
      </w:r>
      <w:r w:rsidRPr="00B36EB2">
        <w:t xml:space="preserve"> and appropriate measures instituted to minimize the number of affected patients or healthcare personnel. Collecting the data sporadically or less often than required by NHSN could potentially place patients at risk. </w:t>
      </w:r>
      <w:r w:rsidRPr="00134496">
        <w:rPr>
          <w:noProof/>
        </w:rPr>
        <w:t>In addition</w:t>
      </w:r>
      <w:r w:rsidRPr="00B36EB2">
        <w:t xml:space="preserve">, CMS and state mandates require monthly reporting of HAI data via NHSN. </w:t>
      </w:r>
    </w:p>
    <w:p w:rsidR="004A13E8" w:rsidP="004A13E8" w14:paraId="7BDDB410" w14:textId="77777777">
      <w:pPr>
        <w:pStyle w:val="Heading1"/>
      </w:pPr>
      <w:bookmarkStart w:id="9" w:name="_Toc177113132"/>
      <w:bookmarkStart w:id="10" w:name="_Hlk185321741"/>
      <w:r>
        <w:t>Special Circumstances Relating to the Guidelines of 5 CFR 1320.5</w:t>
      </w:r>
      <w:bookmarkEnd w:id="9"/>
    </w:p>
    <w:p w:rsidR="00455C03" w:rsidP="00455C03" w14:paraId="0351BBEF" w14:textId="77777777">
      <w:r>
        <w:t xml:space="preserve">The healthcare institutions participating in NHSN are required to collect data in an ongoing manner and report them monthly to the CDC. Such a schedule will not cause undue burden in most facilities, since data are usually collected daily or at least several times per week, and denominator data are tallied </w:t>
      </w:r>
      <w:r>
        <w:t>monthly. The data are usually entered into the computer at least monthly for a facility’s analysis. Given these practices, it is advantageous to CDC to maintain a monthly reporting frequency. In NHSN, once the data are entered into the internet-based application, they are transmitted electronically to CDC with no additional data preparation.</w:t>
      </w:r>
    </w:p>
    <w:p w:rsidR="00455C03" w:rsidP="00455C03" w14:paraId="71A36583" w14:textId="77777777">
      <w:r>
        <w:t>The majority of</w:t>
      </w:r>
      <w:r>
        <w:t xml:space="preserve"> facilities active in NHSN are participating in CMS reporting programs for specific infection types. In 2011, the CMS’ Hospital Inpatient Quality Reporting (HIQR) began for all acute care facilities with intensive care units. Further, in 2013, the CMS HIQR expanded its requirements to include reporting of facility-wide inpatient (</w:t>
      </w:r>
      <w:r>
        <w:t>FacWideIN</w:t>
      </w:r>
      <w:r>
        <w:t>) Methicillin-Resistant Staphylococcus aureus (MRSA) blood specimen (Bacteremia) laboratory-identified (</w:t>
      </w:r>
      <w:r>
        <w:t>LabID</w:t>
      </w:r>
      <w:r>
        <w:t>) event data, facility-wide Inpatient (</w:t>
      </w:r>
      <w:r>
        <w:t>FacWideIN</w:t>
      </w:r>
      <w:r>
        <w:t>) Clostridium difficile infection (CDI) laboratory-identified (</w:t>
      </w:r>
      <w:r>
        <w:t>LabID</w:t>
      </w:r>
      <w:r>
        <w:t xml:space="preserve">) event data, and healthcare personnel (HCP) Influenza vaccination data. As very few acute care facilities opt out of these additional CMS reporting requirements, NHSN data </w:t>
      </w:r>
      <w:r w:rsidR="000A4767">
        <w:t>are</w:t>
      </w:r>
      <w:r>
        <w:t xml:space="preserve"> generalizable to all U.S. acute care facilities. </w:t>
      </w:r>
    </w:p>
    <w:p w:rsidR="00455C03" w:rsidP="00455C03" w14:paraId="247A3A72" w14:textId="77777777">
      <w:r>
        <w:t xml:space="preserve">In 2012, CMS ESRD Quality Incentive Program was implemented for all dialysis facilities, therefore dialysis event data </w:t>
      </w:r>
      <w:r w:rsidR="000A4767">
        <w:t>are</w:t>
      </w:r>
      <w:r>
        <w:t xml:space="preserve"> generalizable to all outpatient dialysis facilities. Furthermore, CLABSI and CAUTI data from long-term acute care facilities, and CAUTI data from inpatient rehabilitation facilities are considered generalizable to those facility and infection types as CMS reporting programs for those facility types went into effect in October 2012. </w:t>
      </w:r>
    </w:p>
    <w:p w:rsidR="004A13E8" w:rsidP="00455C03" w14:paraId="0020E888" w14:textId="77777777">
      <w:r>
        <w:t>As part of the national COVID-19 response, CMS began requiring that all nursing homes report counts of COVID-19 cases and deaths among nursing home residents and personnel to NHSN.  The data is used by CDC, the White House Coronavirus Task Force, and by CMS to respond to the pandemic.  There are additionally plans for the data to be publicly displayed on a CMS website.  (</w:t>
      </w:r>
      <w:hyperlink r:id="rId12" w:history="1">
        <w:r w:rsidRPr="0086053A">
          <w:rPr>
            <w:rStyle w:val="Hyperlink"/>
          </w:rPr>
          <w:t>https://www.cms.gov/files/document/covid-medicare-and-medicaid-ifc2.pdf</w:t>
        </w:r>
      </w:hyperlink>
      <w:r>
        <w:t>.) Further, because NHSN membership is now open to any healthcare facility and is increasingly being used to satisfy mandated reporting requirements at both the federal and state levels, we expect that over time the results will be more representative of all healthcare facility and infection types.</w:t>
      </w:r>
    </w:p>
    <w:p w:rsidR="00D73EF0" w:rsidRPr="00120D6F" w:rsidP="00D73EF0" w14:paraId="29CB25E3" w14:textId="77777777">
      <w:pPr>
        <w:rPr>
          <w:rFonts w:cs="Times New Roman"/>
          <w:szCs w:val="24"/>
        </w:rPr>
      </w:pPr>
      <w:r w:rsidRPr="00120D6F">
        <w:rPr>
          <w:rFonts w:cs="Times New Roman"/>
          <w:szCs w:val="24"/>
        </w:rPr>
        <w:t>CDC/NHSN Justification for Sensitive Questions (Race, Ethnicity, and Gender Identity)</w:t>
      </w:r>
    </w:p>
    <w:p w:rsidR="00D73EF0" w:rsidRPr="00120D6F" w:rsidP="00D73EF0" w14:paraId="71792C62" w14:textId="77777777">
      <w:pPr>
        <w:rPr>
          <w:rFonts w:cs="Times New Roman"/>
          <w:szCs w:val="24"/>
        </w:rPr>
      </w:pPr>
      <w:r w:rsidRPr="00120D6F">
        <w:rPr>
          <w:rFonts w:cs="Times New Roman"/>
          <w:szCs w:val="24"/>
        </w:rPr>
        <w:t>NHSN collects secondary source data from healthcare facilities rather than primary source data directly from patients/individuals. Therefore, NHSN is limited to collecting only what Race, Ethnicity, and Gender Identity data that exist in the electronic health record (EHR) and is dependent on national data exchange standards to drive updates to the way the data are collected and made available for reporting to NHSN.</w:t>
      </w:r>
      <w:r w:rsidRPr="00CA6B4A">
        <w:t xml:space="preserve"> </w:t>
      </w:r>
      <w:r w:rsidRPr="00E76BE8">
        <w:t>NHSN worked with the Health Level Seven (HL7) Gender Harmony Project to u</w:t>
      </w:r>
      <w:r>
        <w:t>tilize</w:t>
      </w:r>
      <w:r w:rsidRPr="00E76BE8">
        <w:t xml:space="preserve"> the standardized terminology that is implemented in EHRs to minimize data collection burden on facilities</w:t>
      </w:r>
      <w:r>
        <w:t>. The NHSN Gender Identity response options are adapted from current Gender Identity USCDI Core value set published in Value Set Authority Center (VSAC) and utilized by EHR vendors for Clinical Document Architecture (CDA) submission of data.</w:t>
      </w:r>
      <w:r w:rsidRPr="00CA6B4A">
        <w:t xml:space="preserve"> </w:t>
      </w:r>
      <w:r>
        <w:t xml:space="preserve">CDC/NHSN continually works with the </w:t>
      </w:r>
      <w:r w:rsidRPr="00F06A0F">
        <w:t xml:space="preserve">HL7 </w:t>
      </w:r>
      <w:r>
        <w:t>organization, ONC, and EHR vendors to evolve the standards to</w:t>
      </w:r>
      <w:r w:rsidRPr="00F06A0F">
        <w:t xml:space="preserve"> incorporate recommended best practices for collection of </w:t>
      </w:r>
      <w:r>
        <w:t xml:space="preserve">data, including </w:t>
      </w:r>
      <w:r w:rsidRPr="00F06A0F">
        <w:t>Race</w:t>
      </w:r>
      <w:r>
        <w:t xml:space="preserve">, </w:t>
      </w:r>
      <w:r w:rsidRPr="00F06A0F">
        <w:t>Ethnicity</w:t>
      </w:r>
      <w:r>
        <w:t>,</w:t>
      </w:r>
      <w:r w:rsidRPr="00F06A0F">
        <w:t xml:space="preserve"> and Gender Identity data. However, until </w:t>
      </w:r>
      <w:r>
        <w:t xml:space="preserve">the OMB standards and best practices are adopted and implemented by </w:t>
      </w:r>
      <w:r w:rsidRPr="00F06A0F">
        <w:t>EHR vendors, NSHN is constrained by the data that is currently available</w:t>
      </w:r>
      <w:r>
        <w:t>, which includes Race and Ethnicity as separate data fields, and Gender Identity response options as listed.</w:t>
      </w:r>
    </w:p>
    <w:p w:rsidR="00D73EF0" w:rsidRPr="00120D6F" w:rsidP="00D73EF0" w14:paraId="50A8B146" w14:textId="77777777">
      <w:pPr>
        <w:rPr>
          <w:rFonts w:eastAsia="Times New Roman" w:cs="Times New Roman"/>
          <w:kern w:val="2"/>
          <w:szCs w:val="24"/>
          <w14:ligatures w14:val="standardContextual"/>
        </w:rPr>
      </w:pPr>
      <w:r w:rsidRPr="00120D6F">
        <w:rPr>
          <w:rFonts w:cs="Times New Roman"/>
          <w:szCs w:val="24"/>
        </w:rPr>
        <w:t xml:space="preserve">Certified EHR systems are required to comply with federal interoperability standards for health information technology. To minimize data collection burden on healthcare facilities, NHSN collects data for Race, Ethnicity, and Gender Identity in alignment with base Health Level Seven (HL7) and The Office of the National Coordinator for Health Information Technology (ONC) United States Core Data for Interoperability (USCDI) standardized terminology that is implemented in EHRs. </w:t>
      </w:r>
      <w:r w:rsidRPr="00120D6F">
        <w:rPr>
          <w:rFonts w:cs="Times New Roman"/>
          <w:kern w:val="2"/>
          <w:szCs w:val="24"/>
          <w14:ligatures w14:val="standardContextual"/>
        </w:rPr>
        <w:t>CDC NHSN is working to implement the new OMB guidance as soon as possible, but no later than the required date of March 28, 2029. NHSN is working with the Office of the National Coordinator (ONC) to update their standards to coincide with OMB’s directives, but this takes time to work through the process.  We are in the process of complying with the guidelines and data fields in the OMB packages with the first step being the addition of</w:t>
      </w:r>
      <w:r w:rsidRPr="00120D6F">
        <w:rPr>
          <w:rFonts w:eastAsia="Times New Roman" w:cs="Times New Roman"/>
          <w:kern w:val="2"/>
          <w:szCs w:val="24"/>
          <w14:ligatures w14:val="standardContextual"/>
        </w:rPr>
        <w:t xml:space="preserve"> MENA as a Race choice on the data collection forms.</w:t>
      </w:r>
      <w:r w:rsidRPr="00120D6F">
        <w:rPr>
          <w:rFonts w:cs="Times New Roman"/>
          <w:kern w:val="2"/>
          <w:szCs w:val="24"/>
          <w14:ligatures w14:val="standardContextual"/>
        </w:rPr>
        <w:t xml:space="preserve"> </w:t>
      </w:r>
      <w:r w:rsidRPr="00120D6F">
        <w:rPr>
          <w:rFonts w:eastAsia="Times New Roman" w:cs="Times New Roman"/>
          <w:kern w:val="2"/>
          <w:szCs w:val="24"/>
          <w14:ligatures w14:val="standardContextual"/>
        </w:rPr>
        <w:t xml:space="preserve">Due to NHSN’s heavy dependency on secondary source data (i.e., data collected within electronic health record [EHRs] vendors) we cannot collect data according to OMB guidance until EHR vendors comply with this </w:t>
      </w:r>
      <w:r w:rsidRPr="00120D6F">
        <w:rPr>
          <w:rFonts w:eastAsia="Times New Roman" w:cs="Times New Roman"/>
          <w:kern w:val="2"/>
          <w:szCs w:val="24"/>
          <w14:ligatures w14:val="standardContextual"/>
        </w:rPr>
        <w:t xml:space="preserve">directive.  </w:t>
      </w:r>
      <w:r w:rsidRPr="00120D6F">
        <w:rPr>
          <w:rFonts w:cs="Times New Roman"/>
          <w:kern w:val="2"/>
          <w:szCs w:val="24"/>
          <w14:ligatures w14:val="standardContextual"/>
        </w:rPr>
        <w:t xml:space="preserve">EHR vendors (e.g. Epic, Cerner) have until January 1, 2026, to meet Cures Act requirements, and implement the United States Core Data for Interoperability (USCDI) version 3, </w:t>
      </w:r>
      <w:r w:rsidRPr="00120D6F">
        <w:rPr>
          <w:rFonts w:eastAsia="Times New Roman" w:cs="Times New Roman"/>
          <w:szCs w:val="24"/>
        </w:rPr>
        <w:t>which includes CDC Race and Ethnicity Code Set Version 1.2 that complies with OMB guidance.</w:t>
      </w:r>
      <w:r w:rsidRPr="00120D6F">
        <w:rPr>
          <w:rFonts w:eastAsia="Times New Roman" w:cs="Times New Roman"/>
          <w:kern w:val="2"/>
          <w:szCs w:val="24"/>
          <w14:ligatures w14:val="standardContextual"/>
        </w:rPr>
        <w:t xml:space="preserve"> NHSN will continue to collect Race and Ethnicity data separately until such time when EHR vendors are able to align with OMB</w:t>
      </w:r>
      <w:r w:rsidRPr="00120D6F">
        <w:rPr>
          <w:rFonts w:cs="Times New Roman"/>
          <w:kern w:val="2"/>
          <w:szCs w:val="24"/>
          <w14:ligatures w14:val="standardContextual"/>
        </w:rPr>
        <w:t xml:space="preserve"> </w:t>
      </w:r>
      <w:r w:rsidRPr="00120D6F">
        <w:rPr>
          <w:rFonts w:eastAsia="Times New Roman" w:cs="Times New Roman"/>
          <w:kern w:val="2"/>
          <w:szCs w:val="24"/>
          <w14:ligatures w14:val="standardContextual"/>
        </w:rPr>
        <w:t>guidance. NHSN</w:t>
      </w:r>
      <w:r w:rsidRPr="00120D6F">
        <w:rPr>
          <w:rFonts w:cs="Times New Roman"/>
          <w:kern w:val="2"/>
          <w:szCs w:val="24"/>
          <w14:ligatures w14:val="standardContextual"/>
        </w:rPr>
        <w:t xml:space="preserve">’s target is to update data collection forms to comply with the OMB directive by January 1, 2026. </w:t>
      </w:r>
    </w:p>
    <w:p w:rsidR="00D73EF0" w:rsidRPr="00CA6B4A" w:rsidP="00D73EF0" w14:paraId="72A5A610" w14:textId="77777777">
      <w:pPr>
        <w:shd w:val="clear" w:color="auto" w:fill="FFFFFF"/>
        <w:spacing w:after="120" w:line="330" w:lineRule="atLeast"/>
        <w:rPr>
          <w:rFonts w:eastAsia="Times New Roman" w:cs="Times New Roman"/>
          <w:spacing w:val="2"/>
          <w:szCs w:val="24"/>
        </w:rPr>
      </w:pPr>
      <w:r w:rsidRPr="003925C3">
        <w:rPr>
          <w:rFonts w:eastAsia="Times New Roman"/>
        </w:rPr>
        <w:t>USCDI Core represents a standardized set of health data elements defined by the Office of the National Coordinator (ONC) for interoperability</w:t>
      </w:r>
      <w:r w:rsidRPr="003925C3">
        <w:rPr>
          <w:rFonts w:eastAsia="Times New Roman" w:cstheme="minorHAnsi"/>
          <w:spacing w:val="2"/>
        </w:rPr>
        <w:t>.  This is a set of essential health data elements that should be included when exchanging patient information electronically, ensuring a minimum level of data is always available across different systems. </w:t>
      </w:r>
      <w:r w:rsidRPr="003925C3">
        <w:rPr>
          <w:rFonts w:eastAsia="Times New Roman"/>
        </w:rPr>
        <w:t xml:space="preserve">VSAC (Value Set Authority Center) is a repository for public value sets of standardized codes used to define clinical concepts. </w:t>
      </w:r>
      <w:r w:rsidRPr="74749DDC">
        <w:rPr>
          <w:rFonts w:eastAsia="Times New Roman"/>
          <w:spacing w:val="2"/>
        </w:rPr>
        <w:t xml:space="preserve"> Provided by the National Library of Medicine, in collaboration with </w:t>
      </w:r>
      <w:r w:rsidRPr="691FF8C7">
        <w:rPr>
          <w:rFonts w:eastAsia="Times New Roman"/>
        </w:rPr>
        <w:t>the Office of the National Coordinator for Health Information Technology (ONC) and Centers for Medicare &amp; Medicaid Services (CMS),</w:t>
      </w:r>
      <w:r w:rsidRPr="74749DDC">
        <w:rPr>
          <w:rFonts w:eastAsia="Times New Roman"/>
          <w:spacing w:val="2"/>
        </w:rPr>
        <w:t xml:space="preserve"> VSAC is a repository where sets of standardized clinical codes (from standard clinical terminologies like SNOMED CT, LOINC) are stored and curated, allowing for consistent interpretation of data elements,</w:t>
      </w:r>
      <w:r w:rsidRPr="0E416F55">
        <w:rPr>
          <w:rFonts w:eastAsia="Times New Roman"/>
          <w:spacing w:val="2"/>
        </w:rPr>
        <w:t xml:space="preserve"> which supports effective and </w:t>
      </w:r>
      <w:r w:rsidRPr="7C5C45D3">
        <w:rPr>
          <w:rFonts w:eastAsia="Times New Roman"/>
          <w:spacing w:val="2"/>
        </w:rPr>
        <w:t>interoperable health information (data) exchange</w:t>
      </w:r>
      <w:r w:rsidRPr="0E416F55">
        <w:rPr>
          <w:rFonts w:eastAsia="Times New Roman"/>
          <w:spacing w:val="2"/>
        </w:rPr>
        <w:t>.</w:t>
      </w:r>
      <w:r w:rsidRPr="74749DDC">
        <w:rPr>
          <w:rFonts w:eastAsia="Times New Roman"/>
          <w:spacing w:val="2"/>
        </w:rPr>
        <w:t> </w:t>
      </w:r>
      <w:r w:rsidRPr="003925C3">
        <w:rPr>
          <w:rFonts w:eastAsia="Times New Roman"/>
        </w:rPr>
        <w:t xml:space="preserve">CDA (Clinical Document Architecture) is a </w:t>
      </w:r>
      <w:r w:rsidRPr="00CA6B4A">
        <w:rPr>
          <w:rFonts w:eastAsia="Times New Roman" w:cs="Times New Roman"/>
          <w:szCs w:val="24"/>
        </w:rPr>
        <w:t>standardized format for structuring and exchanging clinical documents</w:t>
      </w:r>
      <w:r w:rsidRPr="00CA6B4A">
        <w:rPr>
          <w:rFonts w:eastAsia="Times New Roman" w:cs="Times New Roman"/>
          <w:spacing w:val="2"/>
          <w:szCs w:val="24"/>
        </w:rPr>
        <w:t>, like progress notes or discharge summaries, ensuring that the data elements (defined by USCDI and coded using VSAC) are presented in a consistent and organized manner when exchanged between healthcare providers. EHR vendors utilize CDA to electronically transmit data to the NHSN.</w:t>
      </w:r>
    </w:p>
    <w:p w:rsidR="00D73EF0" w:rsidRPr="00CA6B4A" w:rsidP="00D73EF0" w14:paraId="57E0B9A2" w14:textId="77777777">
      <w:pPr>
        <w:shd w:val="clear" w:color="auto" w:fill="FFFFFF" w:themeFill="background1"/>
        <w:spacing w:after="160" w:line="240" w:lineRule="auto"/>
        <w:rPr>
          <w:rFonts w:eastAsia="Times New Roman" w:cs="Times New Roman"/>
          <w:szCs w:val="24"/>
        </w:rPr>
      </w:pPr>
      <w:r w:rsidRPr="00CA6B4A">
        <w:rPr>
          <w:rFonts w:eastAsia="Times New Roman" w:cs="Times New Roman"/>
          <w:szCs w:val="24"/>
        </w:rPr>
        <w:t>USCDI, VSAC, and CDA work together to ensure consistent and meaningful exchange of patient health information across different healthcare systems and public health entities; essentially, USCDI specifies the core data needed, VSAC provides the standardized codes to represent these data, and CDA provides the structure to package and transmit the data. </w:t>
      </w:r>
    </w:p>
    <w:p w:rsidR="00D73EF0" w:rsidRPr="00CA6B4A" w:rsidP="00D73EF0" w14:paraId="633E6593" w14:textId="77777777">
      <w:pPr>
        <w:spacing w:after="160" w:line="259" w:lineRule="auto"/>
        <w:rPr>
          <w:rFonts w:cs="Times New Roman"/>
          <w:kern w:val="2"/>
          <w:szCs w:val="24"/>
          <w:shd w:val="clear" w:color="auto" w:fill="FFFFFF"/>
          <w14:ligatures w14:val="standardContextual"/>
        </w:rPr>
      </w:pPr>
      <w:r w:rsidRPr="00CA6B4A">
        <w:rPr>
          <w:rFonts w:cs="Times New Roman"/>
          <w:kern w:val="2"/>
          <w:szCs w:val="24"/>
          <w:shd w:val="clear" w:color="auto" w:fill="FCFDFD"/>
          <w14:ligatures w14:val="standardContextual"/>
        </w:rPr>
        <w:t>VSAC is a repository and authoring tool for public value sets created by external programs. Value sets are lists of codes and corresponding terms, from </w:t>
      </w:r>
      <w:hyperlink r:id="rId13" w:tgtFrame="_blank" w:history="1">
        <w:r w:rsidRPr="00CA6B4A">
          <w:rPr>
            <w:rFonts w:cs="Times New Roman"/>
            <w:kern w:val="2"/>
            <w:szCs w:val="24"/>
            <w:u w:val="single"/>
            <w:shd w:val="clear" w:color="auto" w:fill="FCFDFD"/>
            <w14:ligatures w14:val="standardContextual"/>
          </w:rPr>
          <w:t>NLM-hosted standard clinical vocabularies</w:t>
        </w:r>
      </w:hyperlink>
      <w:r w:rsidRPr="00CA6B4A">
        <w:rPr>
          <w:rFonts w:cs="Times New Roman"/>
          <w:kern w:val="2"/>
          <w:szCs w:val="24"/>
          <w:shd w:val="clear" w:color="auto" w:fill="FCFDFD"/>
          <w14:ligatures w14:val="standardContextual"/>
        </w:rPr>
        <w:t xml:space="preserve"> (such as SNOMED CT®, </w:t>
      </w:r>
      <w:r w:rsidRPr="00CA6B4A">
        <w:rPr>
          <w:rFonts w:cs="Times New Roman"/>
          <w:kern w:val="2"/>
          <w:szCs w:val="24"/>
          <w:shd w:val="clear" w:color="auto" w:fill="FCFDFD"/>
          <w14:ligatures w14:val="standardContextual"/>
        </w:rPr>
        <w:t>RxNorm</w:t>
      </w:r>
      <w:r w:rsidRPr="00CA6B4A">
        <w:rPr>
          <w:rFonts w:cs="Times New Roman"/>
          <w:kern w:val="2"/>
          <w:szCs w:val="24"/>
          <w:shd w:val="clear" w:color="auto" w:fill="FCFDFD"/>
          <w14:ligatures w14:val="standardContextual"/>
        </w:rPr>
        <w:t>, LOINC® and others), that define clinical concepts to support effective and interoperable health information exchange. The VSAC</w:t>
      </w:r>
      <w:r w:rsidRPr="00CA6B4A">
        <w:rPr>
          <w:rFonts w:cs="Times New Roman"/>
          <w:kern w:val="2"/>
          <w:szCs w:val="24"/>
          <w:shd w:val="clear" w:color="auto" w:fill="FCFDFD"/>
          <w14:ligatures w14:val="standardContextual"/>
        </w:rPr>
        <w:t xml:space="preserve"> </w:t>
      </w:r>
      <w:r w:rsidRPr="00CA6B4A">
        <w:rPr>
          <w:rFonts w:cs="Times New Roman"/>
          <w:kern w:val="2"/>
          <w:szCs w:val="24"/>
          <w:shd w:val="clear" w:color="auto" w:fill="FCFDFD"/>
          <w14:ligatures w14:val="standardContextual"/>
        </w:rPr>
        <w:t>provides downloadable access to all official versions of value sets specified by the Centers for Medicare &amp; Medicaid Services (CMS) electronic Clinical Quality Measures (</w:t>
      </w:r>
      <w:r w:rsidRPr="00CA6B4A">
        <w:rPr>
          <w:rFonts w:cs="Times New Roman"/>
          <w:kern w:val="2"/>
          <w:szCs w:val="24"/>
          <w:shd w:val="clear" w:color="auto" w:fill="FCFDFD"/>
          <w14:ligatures w14:val="standardContextual"/>
        </w:rPr>
        <w:t>eCQMs</w:t>
      </w:r>
      <w:r w:rsidRPr="00CA6B4A">
        <w:rPr>
          <w:rFonts w:cs="Times New Roman"/>
          <w:kern w:val="2"/>
          <w:szCs w:val="24"/>
          <w:shd w:val="clear" w:color="auto" w:fill="FCFDFD"/>
          <w14:ligatures w14:val="standardContextual"/>
        </w:rPr>
        <w:t xml:space="preserve">). The VSAC </w:t>
      </w:r>
      <w:r w:rsidRPr="00CA6B4A">
        <w:rPr>
          <w:rFonts w:cs="Times New Roman"/>
          <w:kern w:val="2"/>
          <w:szCs w:val="24"/>
          <w:u w:val="single"/>
          <w:shd w:val="clear" w:color="auto" w:fill="FCFDFD"/>
          <w14:ligatures w14:val="standardContextual"/>
        </w:rPr>
        <w:t>does not</w:t>
      </w:r>
      <w:r w:rsidRPr="00CA6B4A">
        <w:rPr>
          <w:rFonts w:cs="Times New Roman"/>
          <w:kern w:val="2"/>
          <w:szCs w:val="24"/>
          <w:shd w:val="clear" w:color="auto" w:fill="FCFDFD"/>
          <w14:ligatures w14:val="standardContextual"/>
        </w:rPr>
        <w:t xml:space="preserve"> create value set content and requires a license to obtain access to the value sets</w:t>
      </w:r>
      <w:r w:rsidRPr="00CA6B4A">
        <w:rPr>
          <w:rFonts w:cs="Times New Roman"/>
          <w:kern w:val="2"/>
          <w:szCs w:val="24"/>
          <w:shd w:val="clear" w:color="auto" w:fill="FCFDFD"/>
          <w14:ligatures w14:val="standardContextual"/>
        </w:rPr>
        <w:t>.</w:t>
      </w:r>
      <w:r w:rsidRPr="00CA6B4A">
        <w:rPr>
          <w:rFonts w:cs="Times New Roman"/>
          <w:kern w:val="2"/>
          <w:szCs w:val="24"/>
          <w:shd w:val="clear" w:color="auto" w:fill="FCFDFD"/>
          <w14:ligatures w14:val="standardContextual"/>
        </w:rPr>
        <w:t xml:space="preserve"> For information on CMS </w:t>
      </w:r>
      <w:r w:rsidRPr="00CA6B4A">
        <w:rPr>
          <w:rFonts w:cs="Times New Roman"/>
          <w:kern w:val="2"/>
          <w:szCs w:val="24"/>
          <w:shd w:val="clear" w:color="auto" w:fill="FCFDFD"/>
          <w14:ligatures w14:val="standardContextual"/>
        </w:rPr>
        <w:t>eCQMs</w:t>
      </w:r>
      <w:r w:rsidRPr="00CA6B4A">
        <w:rPr>
          <w:rFonts w:cs="Times New Roman"/>
          <w:kern w:val="2"/>
          <w:szCs w:val="24"/>
          <w:shd w:val="clear" w:color="auto" w:fill="FCFDFD"/>
          <w14:ligatures w14:val="standardContextual"/>
        </w:rPr>
        <w:t>, visit the </w:t>
      </w:r>
      <w:hyperlink r:id="rId14" w:tgtFrame="_blank" w:history="1">
        <w:r w:rsidRPr="00CA6B4A">
          <w:rPr>
            <w:rFonts w:cs="Times New Roman"/>
            <w:kern w:val="2"/>
            <w:szCs w:val="24"/>
            <w:u w:val="single"/>
            <w:shd w:val="clear" w:color="auto" w:fill="FCFDFD"/>
            <w14:ligatures w14:val="standardContextual"/>
          </w:rPr>
          <w:t>eCQI Resource Center</w:t>
        </w:r>
      </w:hyperlink>
      <w:r w:rsidRPr="00CA6B4A">
        <w:rPr>
          <w:rFonts w:cs="Times New Roman"/>
          <w:kern w:val="2"/>
          <w:szCs w:val="24"/>
          <w:shd w:val="clear" w:color="auto" w:fill="FCFDFD"/>
          <w14:ligatures w14:val="standardContextual"/>
        </w:rPr>
        <w:t>. The VSAC is provided by the National Library of Medicine (NLM), in collaboration with the Office of the National Coordinator for Health Information Technology (ONC) and CMS.</w:t>
      </w:r>
      <w:r w:rsidRPr="00CA6B4A">
        <w:rPr>
          <w:rFonts w:cs="Times New Roman"/>
          <w:kern w:val="2"/>
          <w:szCs w:val="24"/>
          <w14:ligatures w14:val="standardContextual"/>
        </w:rPr>
        <w:t xml:space="preserve"> </w:t>
      </w:r>
      <w:hyperlink r:id="rId15" w:history="1">
        <w:r w:rsidRPr="00CA6B4A">
          <w:rPr>
            <w:rFonts w:cs="Times New Roman"/>
            <w:kern w:val="2"/>
            <w:szCs w:val="24"/>
            <w:u w:val="single"/>
            <w:shd w:val="clear" w:color="auto" w:fill="FCFDFD"/>
            <w14:ligatures w14:val="standardContextual"/>
          </w:rPr>
          <w:t>https://vsac.nlm.nih.gov/</w:t>
        </w:r>
      </w:hyperlink>
      <w:r w:rsidRPr="00CA6B4A">
        <w:rPr>
          <w:rFonts w:cs="Times New Roman"/>
          <w:kern w:val="2"/>
          <w:szCs w:val="24"/>
          <w:u w:val="single"/>
          <w:shd w:val="clear" w:color="auto" w:fill="FCFDFD"/>
          <w14:ligatures w14:val="standardContextual"/>
        </w:rPr>
        <w:t xml:space="preserve">. </w:t>
      </w:r>
      <w:r w:rsidRPr="00CA6B4A">
        <w:rPr>
          <w:rFonts w:cs="Times New Roman"/>
          <w:kern w:val="2"/>
          <w:szCs w:val="24"/>
          <w:shd w:val="clear" w:color="auto" w:fill="FFFFFF"/>
          <w14:ligatures w14:val="standardContextual"/>
        </w:rPr>
        <w:t xml:space="preserve"> </w:t>
      </w:r>
    </w:p>
    <w:p w:rsidR="00D73EF0" w:rsidRPr="00CA6B4A" w:rsidP="00D73EF0" w14:paraId="6BCB9D8E" w14:textId="77777777">
      <w:pPr>
        <w:shd w:val="clear" w:color="auto" w:fill="FFFFFF" w:themeFill="background1"/>
        <w:spacing w:after="0" w:line="330" w:lineRule="atLeast"/>
        <w:rPr>
          <w:rFonts w:eastAsia="Times New Roman" w:cs="Times New Roman"/>
          <w:spacing w:val="2"/>
          <w:szCs w:val="24"/>
        </w:rPr>
      </w:pPr>
      <w:r w:rsidRPr="00CA6B4A">
        <w:rPr>
          <w:rFonts w:eastAsia="Times New Roman" w:cs="Times New Roman"/>
          <w:spacing w:val="2"/>
          <w:szCs w:val="24"/>
        </w:rPr>
        <w:t>Reference websites</w:t>
      </w:r>
    </w:p>
    <w:p w:rsidR="00D73EF0" w:rsidRPr="00CA6B4A" w:rsidP="00D73EF0" w14:paraId="7D6832AA" w14:textId="77777777">
      <w:pPr>
        <w:spacing w:after="0" w:line="259" w:lineRule="auto"/>
        <w:rPr>
          <w:rFonts w:cs="Times New Roman"/>
          <w:kern w:val="2"/>
          <w:szCs w:val="24"/>
          <w14:ligatures w14:val="standardContextual"/>
        </w:rPr>
      </w:pPr>
      <w:r w:rsidRPr="00CA6B4A">
        <w:rPr>
          <w:rFonts w:cs="Times New Roman"/>
          <w:kern w:val="2"/>
          <w:szCs w:val="24"/>
          <w14:ligatures w14:val="standardContextual"/>
        </w:rPr>
        <w:t>HealthIT.gov</w:t>
      </w:r>
      <w:r>
        <w:rPr>
          <w:rFonts w:cs="Times New Roman"/>
          <w:kern w:val="2"/>
          <w:szCs w:val="24"/>
          <w14:ligatures w14:val="standardContextual"/>
        </w:rPr>
        <w:t xml:space="preserve"> Interoperability Standards Platform </w:t>
      </w:r>
    </w:p>
    <w:p w:rsidR="00D73EF0" w:rsidRPr="00CA6B4A" w:rsidP="00D73EF0" w14:paraId="216C9B1F" w14:textId="77777777">
      <w:pPr>
        <w:spacing w:after="0" w:line="259" w:lineRule="auto"/>
        <w:rPr>
          <w:rFonts w:cs="Times New Roman"/>
          <w:color w:val="0000FF" w:themeColor="hyperlink"/>
          <w:kern w:val="2"/>
          <w:szCs w:val="24"/>
          <w:u w:val="single"/>
          <w14:ligatures w14:val="standardContextual"/>
        </w:rPr>
      </w:pPr>
      <w:hyperlink r:id="rId16" w:history="1">
        <w:r w:rsidRPr="00CA6B4A">
          <w:rPr>
            <w:rStyle w:val="Hyperlink"/>
            <w:rFonts w:cs="Times New Roman"/>
            <w:kern w:val="2"/>
            <w:szCs w:val="24"/>
            <w14:ligatures w14:val="standardContextual"/>
          </w:rPr>
          <w:t>https://www.healthit.gov/isp/uscdi-data-class/patient-demographicsinformation#uscdi-v2</w:t>
        </w:r>
      </w:hyperlink>
    </w:p>
    <w:p w:rsidR="00D73EF0" w:rsidRPr="00CA6B4A" w:rsidP="00D73EF0" w14:paraId="5E87B55F" w14:textId="77777777">
      <w:pPr>
        <w:spacing w:after="0" w:line="259" w:lineRule="auto"/>
        <w:rPr>
          <w:rFonts w:cs="Times New Roman"/>
          <w:color w:val="1B1B1B"/>
          <w:kern w:val="2"/>
          <w:szCs w:val="24"/>
          <w14:ligatures w14:val="standardContextual"/>
        </w:rPr>
      </w:pPr>
      <w:hyperlink r:id="rId17">
        <w:r w:rsidRPr="00CA6B4A">
          <w:rPr>
            <w:rFonts w:cs="Times New Roman"/>
            <w:color w:val="0000FF" w:themeColor="hyperlink"/>
            <w:kern w:val="2"/>
            <w:szCs w:val="24"/>
            <w:u w:val="single"/>
            <w14:ligatures w14:val="standardContextual"/>
          </w:rPr>
          <w:t>https://www.healthit.gov/isp/representing-patient-gender-identity</w:t>
        </w:r>
      </w:hyperlink>
    </w:p>
    <w:p w:rsidR="00D73EF0" w:rsidP="00D73EF0" w14:paraId="1745F7CC" w14:textId="77777777">
      <w:pPr>
        <w:shd w:val="clear" w:color="auto" w:fill="FFFFFF" w:themeFill="background1"/>
        <w:spacing w:after="0" w:line="330" w:lineRule="atLeast"/>
      </w:pPr>
      <w:hyperlink r:id="rId18" w:history="1">
        <w:r w:rsidRPr="00CA6B4A">
          <w:rPr>
            <w:color w:val="0000FF"/>
            <w:u w:val="single"/>
          </w:rPr>
          <w:t>Representing Patient Race and Ethnicity | Interoperability Standards Platform (ISP)</w:t>
        </w:r>
      </w:hyperlink>
    </w:p>
    <w:p w:rsidR="00D73EF0" w:rsidRPr="00CA6B4A" w:rsidP="00D73EF0" w14:paraId="52B29DBF" w14:textId="77777777">
      <w:pPr>
        <w:shd w:val="clear" w:color="auto" w:fill="FFFFFF" w:themeFill="background1"/>
        <w:spacing w:after="0" w:line="330" w:lineRule="atLeast"/>
        <w:rPr>
          <w:rFonts w:eastAsia="Times New Roman" w:cs="Times New Roman"/>
          <w:color w:val="FF0000"/>
          <w:spacing w:val="2"/>
          <w:szCs w:val="24"/>
        </w:rPr>
      </w:pPr>
    </w:p>
    <w:p w:rsidR="004A13E8" w:rsidP="004A13E8" w14:paraId="499159B1" w14:textId="77777777">
      <w:pPr>
        <w:pStyle w:val="Heading1"/>
      </w:pPr>
      <w:bookmarkStart w:id="11" w:name="_Toc177113133"/>
      <w:bookmarkEnd w:id="10"/>
      <w:r>
        <w:t>Comments in Response to the Federal Register Notice and Efforts to Consult Outside the Agency</w:t>
      </w:r>
      <w:bookmarkEnd w:id="11"/>
    </w:p>
    <w:p w:rsidR="004E04BA" w:rsidRPr="00113D93" w:rsidP="007A1476" w14:paraId="682AA5DA" w14:textId="77777777">
      <w:pPr>
        <w:ind w:left="720" w:hanging="360"/>
        <w:rPr>
          <w:rFonts w:cs="Times New Roman"/>
          <w:szCs w:val="24"/>
        </w:rPr>
      </w:pPr>
      <w:r>
        <w:t>A.</w:t>
      </w:r>
      <w:r>
        <w:tab/>
      </w:r>
      <w:r w:rsidRPr="00417A7F" w:rsidR="00455C03">
        <w:rPr>
          <w:rFonts w:cs="Times New Roman"/>
          <w:szCs w:val="24"/>
        </w:rPr>
        <w:t xml:space="preserve">A 60-day Federal Register Notice was published in the </w:t>
      </w:r>
      <w:r w:rsidRPr="00417A7F" w:rsidR="00455C03">
        <w:rPr>
          <w:rFonts w:cs="Times New Roman"/>
          <w:i/>
          <w:szCs w:val="24"/>
        </w:rPr>
        <w:t xml:space="preserve">Federal Register </w:t>
      </w:r>
      <w:r w:rsidRPr="00417A7F" w:rsidR="00455C03">
        <w:rPr>
          <w:rFonts w:cs="Times New Roman"/>
          <w:szCs w:val="24"/>
        </w:rPr>
        <w:t xml:space="preserve">on </w:t>
      </w:r>
      <w:r w:rsidRPr="00417A7F">
        <w:rPr>
          <w:rFonts w:cs="Times New Roman"/>
          <w:szCs w:val="24"/>
        </w:rPr>
        <w:t>A</w:t>
      </w:r>
      <w:r w:rsidRPr="00417A7F" w:rsidR="0045065C">
        <w:rPr>
          <w:rFonts w:cs="Times New Roman"/>
          <w:szCs w:val="24"/>
        </w:rPr>
        <w:t>pril 23, 2024</w:t>
      </w:r>
      <w:r w:rsidRPr="00417A7F" w:rsidR="00455C03">
        <w:rPr>
          <w:rFonts w:cs="Times New Roman"/>
          <w:szCs w:val="24"/>
        </w:rPr>
        <w:t xml:space="preserve">, </w:t>
      </w:r>
      <w:r w:rsidRPr="00417A7F" w:rsidR="00113D93">
        <w:rPr>
          <w:rFonts w:cs="Times New Roman"/>
          <w:szCs w:val="24"/>
        </w:rPr>
        <w:t>Vol. 8</w:t>
      </w:r>
      <w:r w:rsidRPr="00417A7F" w:rsidR="0045065C">
        <w:rPr>
          <w:rFonts w:cs="Times New Roman"/>
          <w:szCs w:val="24"/>
        </w:rPr>
        <w:t>9</w:t>
      </w:r>
      <w:r w:rsidRPr="00417A7F" w:rsidR="00113D93">
        <w:rPr>
          <w:rFonts w:cs="Times New Roman"/>
          <w:szCs w:val="24"/>
        </w:rPr>
        <w:t xml:space="preserve">, No. </w:t>
      </w:r>
      <w:r w:rsidRPr="00417A7F" w:rsidR="0045065C">
        <w:rPr>
          <w:rFonts w:cs="Times New Roman"/>
          <w:szCs w:val="24"/>
        </w:rPr>
        <w:t>79</w:t>
      </w:r>
      <w:r w:rsidRPr="00417A7F" w:rsidR="00113D93">
        <w:rPr>
          <w:rFonts w:cs="Times New Roman"/>
          <w:szCs w:val="24"/>
        </w:rPr>
        <w:t>,</w:t>
      </w:r>
      <w:r w:rsidRPr="00417A7F" w:rsidR="00455C03">
        <w:rPr>
          <w:rFonts w:cs="Times New Roman"/>
          <w:szCs w:val="24"/>
        </w:rPr>
        <w:t xml:space="preserve"> </w:t>
      </w:r>
      <w:r w:rsidRPr="00417A7F" w:rsidR="00826D86">
        <w:t xml:space="preserve">pp. </w:t>
      </w:r>
      <w:r w:rsidRPr="00417A7F" w:rsidR="0045065C">
        <w:t>30367-30370</w:t>
      </w:r>
      <w:r w:rsidRPr="00417A7F" w:rsidR="00826D86">
        <w:t xml:space="preserve"> </w:t>
      </w:r>
      <w:r w:rsidRPr="00417A7F" w:rsidR="00826D86">
        <w:rPr>
          <w:rFonts w:cs="Times New Roman"/>
          <w:szCs w:val="24"/>
        </w:rPr>
        <w:t>-</w:t>
      </w:r>
      <w:r w:rsidRPr="00417A7F" w:rsidR="00455C03">
        <w:rPr>
          <w:rFonts w:cs="Times New Roman"/>
          <w:szCs w:val="24"/>
        </w:rPr>
        <w:t xml:space="preserve"> (Attachment B). CDC received</w:t>
      </w:r>
      <w:r w:rsidRPr="00417A7F" w:rsidR="0045065C">
        <w:rPr>
          <w:rFonts w:cs="Times New Roman"/>
          <w:szCs w:val="24"/>
        </w:rPr>
        <w:t xml:space="preserve"> two</w:t>
      </w:r>
      <w:r w:rsidRPr="00417A7F" w:rsidR="00D2088F">
        <w:rPr>
          <w:rFonts w:cs="Times New Roman"/>
          <w:szCs w:val="24"/>
        </w:rPr>
        <w:t xml:space="preserve"> public </w:t>
      </w:r>
      <w:r w:rsidRPr="00417A7F" w:rsidR="00417A7F">
        <w:rPr>
          <w:rFonts w:cs="Times New Roman"/>
          <w:szCs w:val="24"/>
        </w:rPr>
        <w:t>comments</w:t>
      </w:r>
      <w:r w:rsidRPr="00417A7F" w:rsidR="00D2088F">
        <w:rPr>
          <w:rFonts w:cs="Times New Roman"/>
          <w:szCs w:val="24"/>
        </w:rPr>
        <w:t xml:space="preserve"> </w:t>
      </w:r>
      <w:r w:rsidRPr="00417A7F" w:rsidR="00455C03">
        <w:rPr>
          <w:rFonts w:cs="Times New Roman"/>
          <w:szCs w:val="24"/>
        </w:rPr>
        <w:t>related to this notic</w:t>
      </w:r>
      <w:r w:rsidRPr="00417A7F" w:rsidR="00D2088F">
        <w:rPr>
          <w:rFonts w:cs="Times New Roman"/>
          <w:szCs w:val="24"/>
        </w:rPr>
        <w:t>e</w:t>
      </w:r>
      <w:r w:rsidRPr="00417A7F" w:rsidR="00682367">
        <w:rPr>
          <w:rFonts w:cs="Times New Roman"/>
          <w:szCs w:val="24"/>
        </w:rPr>
        <w:t xml:space="preserve"> (Attachment B1</w:t>
      </w:r>
      <w:r w:rsidR="00C86632">
        <w:rPr>
          <w:rFonts w:cs="Times New Roman"/>
          <w:szCs w:val="24"/>
        </w:rPr>
        <w:t>-B2</w:t>
      </w:r>
      <w:r w:rsidRPr="00417A7F" w:rsidR="00682367">
        <w:rPr>
          <w:rFonts w:cs="Times New Roman"/>
          <w:szCs w:val="24"/>
        </w:rPr>
        <w:t>)</w:t>
      </w:r>
      <w:r w:rsidRPr="00417A7F" w:rsidR="00455C03">
        <w:rPr>
          <w:rFonts w:cs="Times New Roman"/>
          <w:szCs w:val="24"/>
        </w:rPr>
        <w:t>.</w:t>
      </w:r>
      <w:r w:rsidRPr="00417A7F" w:rsidR="00D2088F">
        <w:rPr>
          <w:rFonts w:cs="Times New Roman"/>
          <w:szCs w:val="24"/>
        </w:rPr>
        <w:t xml:space="preserve"> </w:t>
      </w:r>
      <w:r w:rsidRPr="00417A7F" w:rsidR="00417A7F">
        <w:rPr>
          <w:rFonts w:cs="Times New Roman"/>
          <w:szCs w:val="24"/>
        </w:rPr>
        <w:t xml:space="preserve">One comment was non-substantive as it related to COVID-19, which is not within scope for this package.  The </w:t>
      </w:r>
      <w:r w:rsidRPr="00417A7F" w:rsidR="00D2088F">
        <w:rPr>
          <w:rFonts w:cs="Times New Roman"/>
          <w:szCs w:val="24"/>
        </w:rPr>
        <w:t xml:space="preserve">commenter did not provide their contact information, so we are unable to </w:t>
      </w:r>
      <w:r w:rsidRPr="00417A7F" w:rsidR="00DE2740">
        <w:rPr>
          <w:rFonts w:cs="Times New Roman"/>
          <w:szCs w:val="24"/>
        </w:rPr>
        <w:t>respond.</w:t>
      </w:r>
      <w:r w:rsidR="00DE2740">
        <w:rPr>
          <w:rFonts w:cs="Times New Roman"/>
          <w:szCs w:val="24"/>
        </w:rPr>
        <w:t xml:space="preserve"> </w:t>
      </w:r>
      <w:r w:rsidRPr="00113D93" w:rsidR="00455C03">
        <w:rPr>
          <w:rFonts w:cs="Times New Roman"/>
          <w:b/>
          <w:bCs/>
          <w:szCs w:val="24"/>
        </w:rPr>
        <w:t xml:space="preserve"> </w:t>
      </w:r>
      <w:r w:rsidRPr="00E11BF6" w:rsidR="00ED799D">
        <w:rPr>
          <w:rFonts w:cs="Times New Roman"/>
          <w:szCs w:val="24"/>
        </w:rPr>
        <w:t>NHSN replied to the</w:t>
      </w:r>
      <w:r w:rsidRPr="00E11BF6" w:rsidR="00ED799D">
        <w:rPr>
          <w:rFonts w:cs="Times New Roman"/>
          <w:b/>
          <w:bCs/>
          <w:szCs w:val="24"/>
        </w:rPr>
        <w:t xml:space="preserve"> </w:t>
      </w:r>
      <w:r w:rsidRPr="00417A7F" w:rsidR="00ED799D">
        <w:rPr>
          <w:rFonts w:cs="Times New Roman"/>
          <w:szCs w:val="24"/>
        </w:rPr>
        <w:t>second commentor</w:t>
      </w:r>
      <w:r w:rsidR="00ED799D">
        <w:rPr>
          <w:rFonts w:cs="Times New Roman"/>
          <w:szCs w:val="24"/>
        </w:rPr>
        <w:t xml:space="preserve"> (Attachment B3)</w:t>
      </w:r>
      <w:r w:rsidR="00417A7F">
        <w:rPr>
          <w:rFonts w:cs="Times New Roman"/>
          <w:szCs w:val="24"/>
        </w:rPr>
        <w:t xml:space="preserve">. </w:t>
      </w:r>
    </w:p>
    <w:p w:rsidR="00455C03" w:rsidRPr="00B36EB2" w:rsidP="007A1476" w14:paraId="47299222" w14:textId="77777777">
      <w:pPr>
        <w:ind w:left="720" w:hanging="360"/>
      </w:pPr>
      <w:r>
        <w:t>B.</w:t>
      </w:r>
      <w:r w:rsidR="004E04BA">
        <w:tab/>
      </w:r>
      <w:r w:rsidRPr="00B36EB2">
        <w:t xml:space="preserve">The Healthcare Infection Control Practices Advisory Committee (HICPAC) provides advice and guidance to the CDC Director and the Director of NCEZID regarding strategies for surveillance, prevention, and control of adverse events associated with healthcare in the United States. Committee members represent experts in the field of infection control. They </w:t>
      </w:r>
      <w:r w:rsidRPr="00134496">
        <w:rPr>
          <w:noProof/>
        </w:rPr>
        <w:t>are kept</w:t>
      </w:r>
      <w:r w:rsidRPr="00B36EB2">
        <w:t xml:space="preserve"> abreast of NHSN methodologies and results, and proposed studies related to NHSN. The committee has the </w:t>
      </w:r>
      <w:r w:rsidRPr="00B36EB2">
        <w:t xml:space="preserve">authority to make recommendations on the conduct of the surveillance systems and studies by DHQP. </w:t>
      </w:r>
    </w:p>
    <w:p w:rsidR="00455C03" w:rsidRPr="00B36EB2" w:rsidP="00455C03" w14:paraId="20D7F872" w14:textId="77777777">
      <w:r w:rsidRPr="00B36EB2">
        <w:t>Further, participating NHSN facilities are invited to make suggestions on how NHSN can help them more effectively use their own and national surveillance data. Many of the surveillance personnel in participating institutions are experts in the field of preventing adverse events such as hospital-associated infections and have extensive experience in the field. CDC personnel are available on a priority basis by e-mail to NHSN users. Member meetings for NHSN users are held each year in conjunction with annual professional meetings such as the International Conference of the Association for Professionals in Infection Control and Epidemiology (APIC) and the International Conference on Healthcare-Associated Infections.</w:t>
      </w:r>
    </w:p>
    <w:p w:rsidR="00455C03" w:rsidRPr="00B36EB2" w:rsidP="00455C03" w14:paraId="1862FBF1" w14:textId="77777777">
      <w:r>
        <w:rPr>
          <w:noProof/>
        </w:rPr>
        <w:t>Also</w:t>
      </w:r>
      <w:r w:rsidRPr="00B36EB2">
        <w:t>, DHQP actively interfaces with CMS and</w:t>
      </w:r>
      <w:r>
        <w:t xml:space="preserve"> </w:t>
      </w:r>
      <w:r w:rsidRPr="00830777">
        <w:t>Agency for Healthcare Research and Quality</w:t>
      </w:r>
      <w:r w:rsidRPr="00B36EB2">
        <w:t xml:space="preserve"> </w:t>
      </w:r>
      <w:r>
        <w:t>(</w:t>
      </w:r>
      <w:r w:rsidRPr="00B36EB2">
        <w:t>AHRQ</w:t>
      </w:r>
      <w:r>
        <w:t>)</w:t>
      </w:r>
      <w:r w:rsidRPr="00B36EB2">
        <w:t xml:space="preserve"> as well as state</w:t>
      </w:r>
      <w:r>
        <w:t xml:space="preserve"> and local</w:t>
      </w:r>
      <w:r w:rsidRPr="00B36EB2">
        <w:t xml:space="preserve"> health departments to ensure adequate but minimal data collection as well as effective data sharing mechanisms to meet the purposes and surveillance needs of each agency using NHSN to operationalize HAI reporting mandates.</w:t>
      </w:r>
    </w:p>
    <w:p w:rsidR="004A13E8" w:rsidP="004A13E8" w14:paraId="28680DD1" w14:textId="77777777">
      <w:pPr>
        <w:pStyle w:val="Heading1"/>
      </w:pPr>
      <w:bookmarkStart w:id="12" w:name="_Toc177113134"/>
      <w:r>
        <w:t>Explanation of Any Payment or Gift to Respondents</w:t>
      </w:r>
      <w:bookmarkEnd w:id="12"/>
    </w:p>
    <w:p w:rsidR="004A13E8" w:rsidP="004A13E8" w14:paraId="3AE6C66B" w14:textId="77777777">
      <w:r>
        <w:t xml:space="preserve">No monetary incentive is provided to NHSN participants. </w:t>
      </w:r>
    </w:p>
    <w:p w:rsidR="004A13E8" w:rsidP="004A13E8" w14:paraId="4256D941" w14:textId="77777777">
      <w:pPr>
        <w:pStyle w:val="Heading1"/>
      </w:pPr>
      <w:bookmarkStart w:id="13" w:name="_Toc177113135"/>
      <w:r>
        <w:t>Protection of the Privacy and Confidentiality of Information Provided by Respondents</w:t>
      </w:r>
      <w:bookmarkEnd w:id="13"/>
    </w:p>
    <w:p w:rsidR="00455C03" w:rsidP="00455C03" w14:paraId="18D9590C" w14:textId="77777777">
      <w:r>
        <w:t>This submission has been reviewed by NCEZID who determined that the Privacy Act does not apply</w:t>
      </w:r>
      <w:r w:rsidR="003C7BBA">
        <w:t xml:space="preserve"> </w:t>
      </w:r>
      <w:r w:rsidR="003C7BBA">
        <w:rPr>
          <w:rFonts w:eastAsia="Times New Roman"/>
        </w:rPr>
        <w:t>and that</w:t>
      </w:r>
      <w:r w:rsidR="003C7BBA">
        <w:t xml:space="preserve"> </w:t>
      </w:r>
      <w:r w:rsidR="003C7BBA">
        <w:rPr>
          <w:rFonts w:eastAsia="Times New Roman"/>
        </w:rPr>
        <w:t>there are no changes to the Privacy aspects of this package</w:t>
      </w:r>
      <w:r>
        <w:t>. The CDC Office of General Counsel (OGC) has also determined that the Privacy Act does not apply to this data collection. The CDC OGC believes that NHSN, as it is currently being utilized by CDC,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can retrieve data by personal identifier, CDC does not, as a matter of practice or policy, retrieve data in this way.  Specifically, the primary practice and policy of CDC regarding NHSN data are to retrieve data by the name of the hospital or another non-personal identifier, not an individual patient, for surveillance and public health purposes. Furthermore, patient identifiers are not necessary for NHSN to operate, and the CDC does not regularly or even frequently use patient names to obtain information about these individuals."</w:t>
      </w:r>
    </w:p>
    <w:p w:rsidR="00455C03" w:rsidP="00455C03" w14:paraId="6539F14E" w14:textId="77777777">
      <w:r>
        <w:t>An Assurance of Confidentiality is granted for all data collected under NHSN. NHSN’s Assurance of Confidentiality, states the following.</w:t>
      </w:r>
    </w:p>
    <w:p w:rsidR="00455C03" w:rsidRPr="00455C03" w:rsidP="00455C03" w14:paraId="7AEB3644" w14:textId="77777777">
      <w:pPr>
        <w:pStyle w:val="Quote"/>
      </w:pPr>
      <w:r w:rsidRPr="00455C03">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55C03" w:rsidP="00455C03" w14:paraId="2C8DD55A" w14:textId="77777777">
      <w:r>
        <w:t>See Attachment</w:t>
      </w:r>
      <w:r w:rsidR="00D4132A">
        <w:t>s</w:t>
      </w:r>
      <w:r>
        <w:t xml:space="preserve"> </w:t>
      </w:r>
      <w:r w:rsidR="00D50C2D">
        <w:t>F</w:t>
      </w:r>
      <w:r>
        <w:t>1</w:t>
      </w:r>
      <w:r w:rsidR="007A49E9">
        <w:t xml:space="preserve"> </w:t>
      </w:r>
      <w:r w:rsidR="006D5E4A">
        <w:t>and</w:t>
      </w:r>
      <w:r w:rsidR="007A49E9">
        <w:t xml:space="preserve"> </w:t>
      </w:r>
      <w:r w:rsidR="00D50C2D">
        <w:t>F</w:t>
      </w:r>
      <w:r w:rsidR="006D5E4A">
        <w:t>2</w:t>
      </w:r>
      <w:r>
        <w:t xml:space="preserve">. </w:t>
      </w:r>
    </w:p>
    <w:p w:rsidR="00455C03" w:rsidP="00455C03" w14:paraId="583EA0E8" w14:textId="77777777">
      <w:r>
        <w:t xml:space="preserve">The use of NHSN is both voluntary and mandated. State legislatures and some local health departments have mandated the use of NHSN for public reporting of HAIs by healthcare facilities in their jurisdiction. </w:t>
      </w:r>
    </w:p>
    <w:p w:rsidR="00455C03" w:rsidP="00455C03" w14:paraId="75AFBB7F" w14:textId="77777777">
      <w:r>
        <w:t>While the Privacy Act is not applicable, in accordance with the stringent safeguarding that must be in place for 308(d) assurance of confidentiality protected projects, all the safeguarding measures described in previous Section A.10 are still in effect. These include the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455C03" w:rsidP="00455C03" w14:paraId="71B8E175" w14:textId="77777777">
      <w: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p>
    <w:p w:rsidR="00455C03" w:rsidP="00455C03" w14:paraId="5CAE3C1D" w14:textId="77777777">
      <w:r>
        <w:t xml:space="preserve">The surveillance data is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a hard-copy data collection forms and later </w:t>
      </w:r>
      <w:r>
        <w:t>entered into</w:t>
      </w:r>
      <w:r>
        <w:t xml:space="preserve"> the NHSN via a web interface. However, approximately 7,500 NHSN facilities submit data electronically directly from a vendor system using Clinical Document Architecture (CDA). </w:t>
      </w:r>
    </w:p>
    <w:p w:rsidR="001F122B" w:rsidP="00653333" w14:paraId="2BF8D6DB" w14:textId="0804ECF9">
      <w:pPr>
        <w:spacing w:after="0"/>
        <w:textAlignment w:val="baseline"/>
      </w:pPr>
      <w:r>
        <w:t>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or b) analyze risk factors related to the event data being collected (e.g., date of birth and gender). Data are reported to the CDC, and CDC aggregates the data for national surveillance and public health practice evaluation purposes</w:t>
      </w:r>
      <w:r w:rsidR="0043326A">
        <w:t xml:space="preserve">. </w:t>
      </w:r>
      <w:bookmarkStart w:id="14" w:name="_Hlk159502648"/>
      <w:r w:rsidRPr="00203EB1">
        <w:t>Data will be kept private to the extent allowed by law.</w:t>
      </w:r>
      <w:bookmarkEnd w:id="14"/>
    </w:p>
    <w:p w:rsidR="00653333" w:rsidP="00653333" w14:paraId="6857A2FB" w14:textId="77777777">
      <w:pPr>
        <w:spacing w:after="0"/>
        <w:textAlignment w:val="baseline"/>
      </w:pPr>
    </w:p>
    <w:p w:rsidR="00F56C86" w:rsidRPr="004A13E8" w:rsidP="00CD2AA4" w14:paraId="04575013" w14:textId="77777777">
      <w:r>
        <w:t xml:space="preserve">A signed Privacy Impact Assessment is included with this submission (Attachment </w:t>
      </w:r>
      <w:r w:rsidR="00D50C2D">
        <w:t>G</w:t>
      </w:r>
      <w:r w:rsidR="007D4D68">
        <w:t>1-G3</w:t>
      </w:r>
      <w:r>
        <w:t xml:space="preserve">). </w:t>
      </w:r>
    </w:p>
    <w:p w:rsidR="004A13E8" w:rsidP="004A13E8" w14:paraId="24A7AB71" w14:textId="77777777">
      <w:pPr>
        <w:pStyle w:val="Heading1"/>
      </w:pPr>
      <w:bookmarkStart w:id="15" w:name="_Toc177113136"/>
      <w:r>
        <w:t>Institutional Review Board (IRB) and Justification for Sensitive Questions</w:t>
      </w:r>
      <w:bookmarkEnd w:id="15"/>
    </w:p>
    <w:p w:rsidR="004A13E8" w:rsidP="004A13E8" w14:paraId="4F68CCEA" w14:textId="77777777">
      <w:pPr>
        <w:rPr>
          <w:u w:val="single"/>
        </w:rPr>
      </w:pPr>
      <w:r>
        <w:rPr>
          <w:u w:val="single"/>
        </w:rPr>
        <w:t>Institutional Review Board (IRB)</w:t>
      </w:r>
    </w:p>
    <w:p w:rsidR="00A67086" w:rsidRPr="004A13E8" w:rsidP="004A13E8" w14:paraId="028A1610" w14:textId="77777777">
      <w:r w:rsidRPr="00B36EB2">
        <w:t xml:space="preserve">For the participating healthcare institutions, data </w:t>
      </w:r>
      <w:r w:rsidRPr="00134496">
        <w:rPr>
          <w:noProof/>
        </w:rPr>
        <w:t>are collected</w:t>
      </w:r>
      <w:r w:rsidRPr="00B36EB2">
        <w:t xml:space="preserve"> in this system </w:t>
      </w:r>
      <w:r w:rsidRPr="00134496">
        <w:rPr>
          <w:noProof/>
        </w:rPr>
        <w:t>for the purposes of</w:t>
      </w:r>
      <w:r w:rsidRPr="00B36EB2">
        <w:t xml:space="preserve"> local surveillance and program evaluation. DHQP aggregates the data for national surveillance and public health practice evaluation purposes. No primary research will </w:t>
      </w:r>
      <w:r w:rsidRPr="00134496">
        <w:rPr>
          <w:noProof/>
        </w:rPr>
        <w:t>be conducted</w:t>
      </w:r>
      <w:r w:rsidRPr="00B36EB2">
        <w:t xml:space="preserve"> as part of this data collection effort, and no patient consent forms will </w:t>
      </w:r>
      <w:r w:rsidRPr="00134496">
        <w:rPr>
          <w:noProof/>
        </w:rPr>
        <w:t>be used</w:t>
      </w:r>
      <w:r w:rsidRPr="00B36EB2">
        <w:t>. Although this is not a research project, this Protocol was submitted for ethical review to the CDC Institutional Review Board (IRB) and was approved (Protocol #4062, exp. 05/18/05.) The most recent request for amendment and continuation was approved on 08/29/06 and expired on 05/18/07. Subsequently, in consultation with NCEZID senior staff, the program was advised that the activities of the NHSN are surveillance and evaluation of public health practice</w:t>
      </w:r>
      <w:r w:rsidR="00E74B69">
        <w:t xml:space="preserve"> (Attachment </w:t>
      </w:r>
      <w:r w:rsidR="0013753E">
        <w:t>E</w:t>
      </w:r>
      <w:r w:rsidR="00E74B69">
        <w:t>3)</w:t>
      </w:r>
      <w:r w:rsidRPr="00B36EB2">
        <w:t>, and that IRB review is no longer required</w:t>
      </w:r>
      <w:r w:rsidRPr="00134496">
        <w:rPr>
          <w:noProof/>
        </w:rPr>
        <w:t>, therefore</w:t>
      </w:r>
      <w:r w:rsidRPr="00B36EB2">
        <w:t xml:space="preserve"> the protocol has been closed (Attachment </w:t>
      </w:r>
      <w:r w:rsidR="0013753E">
        <w:t>E</w:t>
      </w:r>
      <w:r w:rsidR="00795DD7">
        <w:t xml:space="preserve">1, </w:t>
      </w:r>
      <w:r w:rsidR="0013753E">
        <w:t>E</w:t>
      </w:r>
      <w:r w:rsidR="00795DD7">
        <w:t>2</w:t>
      </w:r>
      <w:r w:rsidRPr="00B36EB2">
        <w:t>).</w:t>
      </w:r>
      <w:r w:rsidRPr="003C7BBA" w:rsidR="003C7BBA">
        <w:t xml:space="preserve"> </w:t>
      </w:r>
      <w:r w:rsidR="003C7BBA">
        <w:t>There have been no changes to the project related to a research determination.</w:t>
      </w:r>
    </w:p>
    <w:p w:rsidR="004A13E8" w:rsidRPr="0005699B" w:rsidP="004A13E8" w14:paraId="067D0A41" w14:textId="77777777">
      <w:r>
        <w:rPr>
          <w:u w:val="single"/>
        </w:rPr>
        <w:t>Justification for Sensitive Questions</w:t>
      </w:r>
    </w:p>
    <w:p w:rsidR="0005699B" w:rsidRPr="0005699B" w:rsidP="004A13E8" w14:paraId="05FF1A10" w14:textId="77777777">
      <w:r w:rsidRPr="00B36EB2">
        <w:t xml:space="preserve">The reporting of adverse events associated with healthcare can be sensitive unless the institution </w:t>
      </w:r>
      <w:r w:rsidRPr="00134496">
        <w:rPr>
          <w:noProof/>
        </w:rPr>
        <w:t>is assured</w:t>
      </w:r>
      <w:r w:rsidRPr="00B36EB2">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r>
        <w:t xml:space="preserve">. </w:t>
      </w:r>
    </w:p>
    <w:p w:rsidR="004A13E8" w:rsidP="004A13E8" w14:paraId="269795FF" w14:textId="77777777">
      <w:pPr>
        <w:pStyle w:val="Heading1"/>
      </w:pPr>
      <w:bookmarkStart w:id="16" w:name="_Toc177113137"/>
      <w:r>
        <w:t>Estimates of Annualized Burden Hours and Costs</w:t>
      </w:r>
      <w:bookmarkEnd w:id="16"/>
    </w:p>
    <w:p w:rsidR="00D301CC" w:rsidP="009B0947" w14:paraId="20621914" w14:textId="77777777">
      <w:r w:rsidRPr="00D301CC">
        <w:t>The tables below provide the burden hours and cost estimates for the proposed NHSN data collection tools.</w:t>
      </w:r>
    </w:p>
    <w:p w:rsidR="00C553B7" w:rsidP="009B0947" w14:paraId="6E68E51C" w14:textId="77777777">
      <w:r>
        <w:t>A. Estimated Annualized Burden Hours</w:t>
      </w:r>
    </w:p>
    <w:p w:rsidR="00004E24" w:rsidP="00D55EE4" w14:paraId="492A6300" w14:textId="77777777">
      <w:r w:rsidRPr="00795DD7">
        <w:t xml:space="preserve">The tables below provide the burden hours and cost estimates for the proposed NHSN data collection tools.  Completion of the NHSN data collection tools </w:t>
      </w:r>
      <w:r w:rsidRPr="00795DD7" w:rsidR="007A7452">
        <w:t>is</w:t>
      </w:r>
      <w:r w:rsidRPr="00795DD7">
        <w:t xml:space="preserve"> required for participation in NHSN, </w:t>
      </w:r>
      <w:r w:rsidRPr="00795DD7">
        <w:t>participation in a CMS reporting program, or to fulfill state or local reporting mandates. To estimate annualized burden hours and costs, the number of respondents is first determined by the number of facilities that report to NHSN by component and includes projected growth or reductions in facilities reporting during the ICR period.  For forms that are required for participation in NHSN or a CMS reporting program, CDC calculates burden based on a 100 percent response rate, whereas an estimated response rate less than 100 percent is calculated for those forms that are voluntary or optional.  CDC then considers the burden associated with surveillance, data entry, analysis, and validation to determine the amount of time required for each form to be considered complete.  Annual labor rates reported by the U.S. Department of Labor are used to calculate the annual burden costs based on the hourly rate of pay for health professionals most qualified to complete NHSN data submission.</w:t>
      </w:r>
    </w:p>
    <w:p w:rsidR="008669A6" w:rsidP="002E1ECE" w14:paraId="7A24CC57" w14:textId="77777777">
      <w:pPr>
        <w:autoSpaceDE w:val="0"/>
        <w:autoSpaceDN w:val="0"/>
        <w:adjustRightInd w:val="0"/>
        <w:spacing w:after="0" w:line="240" w:lineRule="auto"/>
        <w:rPr>
          <w:b/>
          <w:bCs/>
          <w:color w:val="000000" w:themeColor="text1"/>
        </w:rPr>
      </w:pPr>
      <w:r w:rsidRPr="003A1DD7">
        <w:rPr>
          <w:rFonts w:cs="Times New Roman"/>
          <w:szCs w:val="24"/>
        </w:rPr>
        <w:t xml:space="preserve">The proposed changes in this new ICR includes revisions made to </w:t>
      </w:r>
      <w:r w:rsidRPr="003A1DD7" w:rsidR="00FC57F7">
        <w:rPr>
          <w:rFonts w:cs="Times New Roman"/>
          <w:szCs w:val="24"/>
        </w:rPr>
        <w:t>74</w:t>
      </w:r>
      <w:r w:rsidRPr="003A1DD7">
        <w:rPr>
          <w:rFonts w:cs="Times New Roman"/>
          <w:szCs w:val="24"/>
        </w:rPr>
        <w:t xml:space="preserve"> approved NHSN data collection tools and </w:t>
      </w:r>
      <w:r w:rsidRPr="003A1DD7" w:rsidR="00FC57F7">
        <w:rPr>
          <w:rFonts w:cs="Times New Roman"/>
          <w:szCs w:val="24"/>
        </w:rPr>
        <w:t>10</w:t>
      </w:r>
      <w:r w:rsidRPr="003A1DD7">
        <w:rPr>
          <w:rFonts w:cs="Times New Roman"/>
          <w:szCs w:val="24"/>
        </w:rPr>
        <w:t xml:space="preserve"> new form</w:t>
      </w:r>
      <w:r w:rsidRPr="003A1DD7" w:rsidR="00080C0D">
        <w:rPr>
          <w:rFonts w:cs="Times New Roman"/>
          <w:szCs w:val="24"/>
        </w:rPr>
        <w:t>s</w:t>
      </w:r>
      <w:r w:rsidRPr="003A1DD7">
        <w:rPr>
          <w:rFonts w:cs="Times New Roman"/>
          <w:szCs w:val="24"/>
        </w:rPr>
        <w:t xml:space="preserve">, </w:t>
      </w:r>
      <w:r w:rsidRPr="003A1DD7">
        <w:rPr>
          <w:color w:val="000000" w:themeColor="text1"/>
        </w:rPr>
        <w:t>for a total of 8</w:t>
      </w:r>
      <w:r w:rsidRPr="003A1DD7" w:rsidR="00FC57F7">
        <w:rPr>
          <w:color w:val="000000" w:themeColor="text1"/>
        </w:rPr>
        <w:t>4</w:t>
      </w:r>
      <w:r w:rsidRPr="003A1DD7">
        <w:rPr>
          <w:color w:val="000000" w:themeColor="text1"/>
        </w:rPr>
        <w:t xml:space="preserve"> proposed data collection forms</w:t>
      </w:r>
      <w:r w:rsidRPr="003A1DD7">
        <w:rPr>
          <w:rFonts w:cs="Times New Roman"/>
          <w:szCs w:val="24"/>
        </w:rPr>
        <w:t xml:space="preserve">, with a total estimated annual burden of </w:t>
      </w:r>
      <w:r w:rsidRPr="003A1DD7" w:rsidR="00FC57F7">
        <w:rPr>
          <w:rFonts w:cs="Times New Roman"/>
          <w:szCs w:val="24"/>
        </w:rPr>
        <w:t>4,</w:t>
      </w:r>
      <w:r w:rsidRPr="003A1DD7" w:rsidR="003A1DD7">
        <w:rPr>
          <w:rFonts w:cs="Times New Roman"/>
          <w:szCs w:val="24"/>
        </w:rPr>
        <w:t>39</w:t>
      </w:r>
      <w:r w:rsidR="00477619">
        <w:rPr>
          <w:rFonts w:cs="Times New Roman"/>
          <w:szCs w:val="24"/>
        </w:rPr>
        <w:t>7,234</w:t>
      </w:r>
      <w:r w:rsidRPr="003A1DD7" w:rsidR="00FC57F7">
        <w:rPr>
          <w:rFonts w:cs="Times New Roman"/>
          <w:szCs w:val="24"/>
        </w:rPr>
        <w:t xml:space="preserve"> </w:t>
      </w:r>
      <w:r w:rsidRPr="003A1DD7" w:rsidR="00333BE7">
        <w:rPr>
          <w:rStyle w:val="CommentReference"/>
        </w:rPr>
        <w:t xml:space="preserve"> </w:t>
      </w:r>
      <w:r w:rsidRPr="003A1DD7" w:rsidR="00333BE7">
        <w:rPr>
          <w:rStyle w:val="CommentReference"/>
          <w:sz w:val="24"/>
          <w:szCs w:val="24"/>
        </w:rPr>
        <w:t>h</w:t>
      </w:r>
      <w:r w:rsidRPr="003A1DD7">
        <w:rPr>
          <w:rFonts w:cs="Times New Roman"/>
          <w:szCs w:val="24"/>
        </w:rPr>
        <w:t>ours. There is no cost to respondents other than their time to participate.</w:t>
      </w:r>
      <w:r w:rsidRPr="003A1DD7">
        <w:t xml:space="preserve"> </w:t>
      </w:r>
      <w:r w:rsidRPr="003A1DD7" w:rsidR="00826D86">
        <w:rPr>
          <w:color w:val="000000" w:themeColor="text1"/>
        </w:rPr>
        <w:t xml:space="preserve">The total cost burden </w:t>
      </w:r>
      <w:r w:rsidRPr="003A1DD7" w:rsidR="00804AE6">
        <w:rPr>
          <w:color w:val="000000" w:themeColor="text1"/>
        </w:rPr>
        <w:t>will be</w:t>
      </w:r>
      <w:r w:rsidRPr="003A1DD7">
        <w:rPr>
          <w:color w:val="000000"/>
        </w:rPr>
        <w:t xml:space="preserve">  </w:t>
      </w:r>
      <w:r w:rsidRPr="003A1DD7" w:rsidR="00DE2740">
        <w:rPr>
          <w:color w:val="000000"/>
        </w:rPr>
        <w:t>$</w:t>
      </w:r>
      <w:r w:rsidRPr="003A1DD7" w:rsidR="00FC57F7">
        <w:rPr>
          <w:color w:val="000000"/>
        </w:rPr>
        <w:t>2</w:t>
      </w:r>
      <w:r w:rsidRPr="003A1DD7" w:rsidR="003A1DD7">
        <w:rPr>
          <w:color w:val="000000"/>
        </w:rPr>
        <w:t>57,145,705</w:t>
      </w:r>
      <w:r w:rsidRPr="003A1DD7" w:rsidR="00DE2740">
        <w:rPr>
          <w:color w:val="000000"/>
        </w:rPr>
        <w:t xml:space="preserve">. </w:t>
      </w:r>
      <w:r w:rsidRPr="003A1DD7">
        <w:t>The burden table below shows the effect of the additional changes requested by CDC.</w:t>
      </w:r>
      <w:r w:rsidRPr="00FC57F7" w:rsidR="00826D86">
        <w:rPr>
          <w:b/>
          <w:bCs/>
          <w:color w:val="000000" w:themeColor="text1"/>
        </w:rPr>
        <w:t xml:space="preserve">  </w:t>
      </w:r>
    </w:p>
    <w:p w:rsidR="0043326A" w:rsidP="002E1ECE" w14:paraId="70C02189" w14:textId="77777777">
      <w:pPr>
        <w:autoSpaceDE w:val="0"/>
        <w:autoSpaceDN w:val="0"/>
        <w:adjustRightInd w:val="0"/>
        <w:spacing w:after="0" w:line="240" w:lineRule="auto"/>
        <w:rPr>
          <w:b/>
          <w:bCs/>
          <w:color w:val="000000" w:themeColor="text1"/>
        </w:rPr>
      </w:pPr>
    </w:p>
    <w:p w:rsidR="002E1ECE" w:rsidRPr="002E1ECE" w:rsidP="002E1ECE" w14:paraId="15D36F65" w14:textId="77777777">
      <w:pPr>
        <w:autoSpaceDE w:val="0"/>
        <w:autoSpaceDN w:val="0"/>
        <w:adjustRightInd w:val="0"/>
        <w:spacing w:after="0" w:line="240" w:lineRule="auto"/>
        <w:rPr>
          <w:b/>
          <w:bCs/>
          <w:color w:val="000000" w:themeColor="text1"/>
        </w:rPr>
      </w:pPr>
    </w:p>
    <w:p w:rsidR="00D21C18" w:rsidP="00D21C18" w14:paraId="6B653B73" w14:textId="77777777">
      <w:pPr>
        <w:spacing w:before="240"/>
      </w:pPr>
      <w:r>
        <w:t xml:space="preserve">B. Estimated Annualized Burden Costs </w:t>
      </w:r>
    </w:p>
    <w:p w:rsidR="008669A6" w:rsidP="00D21C18" w14:paraId="25A688BD" w14:textId="77777777">
      <w:pPr>
        <w:spacing w:before="240"/>
      </w:pPr>
      <w:r w:rsidRPr="00907BD4">
        <w:t xml:space="preserve">The average salary of the professional discipline expected to perform surveillance </w:t>
      </w:r>
      <w:r>
        <w:t>is</w:t>
      </w:r>
      <w:r w:rsidRPr="00907BD4">
        <w:t xml:space="preserve"> used in the calculations of burden and is based on data from the Department of Labor, Bureau of Labor &amp; Statistics, 20</w:t>
      </w:r>
      <w:r>
        <w:t>2</w:t>
      </w:r>
      <w:r w:rsidR="00134775">
        <w:t>3</w:t>
      </w:r>
      <w:r>
        <w:t xml:space="preserve"> (latest available)</w:t>
      </w:r>
      <w:r w:rsidRPr="00907BD4">
        <w:t xml:space="preserve">. Those most likely to complete this surveillance are health practitioners at a mid (50th percentile average wage) or senior (75th percentile average wage) level. That personnel and their estimated hourly wages are shown below. </w:t>
      </w:r>
    </w:p>
    <w:tbl>
      <w:tblPr>
        <w:tblpPr w:leftFromText="180" w:rightFromText="180" w:vertAnchor="text" w:horzAnchor="margin" w:tblpY="-1"/>
        <w:tblW w:w="10345" w:type="dxa"/>
        <w:tblBorders>
          <w:top w:val="single" w:sz="4" w:space="0" w:color="auto"/>
          <w:left w:val="single" w:sz="4" w:space="0" w:color="auto"/>
          <w:right w:val="single" w:sz="4" w:space="0" w:color="auto"/>
          <w:insideH w:val="dotted" w:sz="4" w:space="0" w:color="auto"/>
        </w:tblBorders>
        <w:tblLook w:val="04A0"/>
      </w:tblPr>
      <w:tblGrid>
        <w:gridCol w:w="6925"/>
        <w:gridCol w:w="2250"/>
        <w:gridCol w:w="1170"/>
      </w:tblGrid>
      <w:tr w14:paraId="0E83D2A9" w14:textId="77777777" w:rsidTr="00AB6A84">
        <w:tblPrEx>
          <w:tblW w:w="10345" w:type="dxa"/>
          <w:tblBorders>
            <w:top w:val="single" w:sz="4" w:space="0" w:color="auto"/>
            <w:left w:val="single" w:sz="4" w:space="0" w:color="auto"/>
            <w:right w:val="single" w:sz="4" w:space="0" w:color="auto"/>
            <w:insideH w:val="dotted" w:sz="4" w:space="0" w:color="auto"/>
          </w:tblBorders>
          <w:tblLook w:val="04A0"/>
        </w:tblPrEx>
        <w:trPr>
          <w:trHeight w:val="218"/>
        </w:trPr>
        <w:tc>
          <w:tcPr>
            <w:tcW w:w="10345" w:type="dxa"/>
            <w:gridSpan w:val="3"/>
            <w:tcBorders>
              <w:top w:val="single" w:sz="4" w:space="0" w:color="auto"/>
              <w:bottom w:val="single" w:sz="4" w:space="0" w:color="auto"/>
            </w:tcBorders>
            <w:shd w:val="clear" w:color="auto" w:fill="auto"/>
            <w:noWrap/>
            <w:vAlign w:val="bottom"/>
            <w:hideMark/>
          </w:tcPr>
          <w:p w:rsidR="008669A6" w:rsidRPr="00B36EB2" w:rsidP="008669A6" w14:paraId="00D88C1D" w14:textId="77777777">
            <w:pPr>
              <w:spacing w:line="240" w:lineRule="auto"/>
              <w:rPr>
                <w:b/>
              </w:rPr>
            </w:pPr>
            <w:r>
              <w:rPr>
                <w:b/>
              </w:rPr>
              <w:t xml:space="preserve">May </w:t>
            </w:r>
            <w:r w:rsidRPr="00B36EB2">
              <w:rPr>
                <w:b/>
              </w:rPr>
              <w:t>20</w:t>
            </w:r>
            <w:r>
              <w:rPr>
                <w:b/>
              </w:rPr>
              <w:t>2</w:t>
            </w:r>
            <w:r w:rsidR="00AB6A84">
              <w:rPr>
                <w:b/>
              </w:rPr>
              <w:t>3</w:t>
            </w:r>
            <w:r w:rsidRPr="00B36EB2">
              <w:rPr>
                <w:b/>
              </w:rPr>
              <w:t xml:space="preserve"> Department of Labor Salary Estimates</w:t>
            </w:r>
          </w:p>
        </w:tc>
      </w:tr>
      <w:tr w14:paraId="14681824" w14:textId="77777777" w:rsidTr="00AB6A84">
        <w:tblPrEx>
          <w:tblW w:w="10345" w:type="dxa"/>
          <w:tblLook w:val="04A0"/>
        </w:tblPrEx>
        <w:trPr>
          <w:trHeight w:val="218"/>
        </w:trPr>
        <w:tc>
          <w:tcPr>
            <w:tcW w:w="6925" w:type="dxa"/>
            <w:tcBorders>
              <w:top w:val="single" w:sz="4" w:space="0" w:color="auto"/>
              <w:bottom w:val="dotted" w:sz="4" w:space="0" w:color="auto"/>
              <w:right w:val="dotted" w:sz="4" w:space="0" w:color="auto"/>
            </w:tcBorders>
            <w:shd w:val="clear" w:color="auto" w:fill="auto"/>
            <w:noWrap/>
            <w:vAlign w:val="bottom"/>
            <w:hideMark/>
          </w:tcPr>
          <w:p w:rsidR="008669A6" w:rsidRPr="00B36EB2" w:rsidP="008669A6" w14:paraId="7235519E" w14:textId="77777777">
            <w:pPr>
              <w:spacing w:line="240" w:lineRule="auto"/>
              <w:rPr>
                <w:b/>
              </w:rPr>
            </w:pPr>
            <w:r w:rsidRPr="00B36EB2">
              <w:rPr>
                <w:b/>
              </w:rPr>
              <w:t>Professional Labor Category</w:t>
            </w:r>
          </w:p>
        </w:tc>
        <w:tc>
          <w:tcPr>
            <w:tcW w:w="2250"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8669A6" w:rsidRPr="00B36EB2" w:rsidP="008669A6" w14:paraId="028916E5" w14:textId="77777777">
            <w:pPr>
              <w:spacing w:line="240" w:lineRule="auto"/>
              <w:rPr>
                <w:b/>
              </w:rPr>
            </w:pPr>
            <w:r w:rsidRPr="00B36EB2">
              <w:rPr>
                <w:b/>
              </w:rPr>
              <w:t>Percentile</w:t>
            </w:r>
          </w:p>
        </w:tc>
        <w:tc>
          <w:tcPr>
            <w:tcW w:w="1170" w:type="dxa"/>
            <w:tcBorders>
              <w:top w:val="single" w:sz="4" w:space="0" w:color="auto"/>
              <w:left w:val="dotted" w:sz="4" w:space="0" w:color="auto"/>
              <w:bottom w:val="dotted" w:sz="4" w:space="0" w:color="auto"/>
            </w:tcBorders>
            <w:shd w:val="clear" w:color="auto" w:fill="auto"/>
            <w:noWrap/>
            <w:vAlign w:val="bottom"/>
            <w:hideMark/>
          </w:tcPr>
          <w:p w:rsidR="008669A6" w:rsidRPr="00B36EB2" w:rsidP="008669A6" w14:paraId="60400E0E" w14:textId="77777777">
            <w:pPr>
              <w:spacing w:line="240" w:lineRule="auto"/>
              <w:jc w:val="right"/>
              <w:rPr>
                <w:b/>
              </w:rPr>
            </w:pPr>
            <w:r w:rsidRPr="00B36EB2">
              <w:rPr>
                <w:b/>
              </w:rPr>
              <w:t>Hourly Wage</w:t>
            </w:r>
          </w:p>
        </w:tc>
      </w:tr>
      <w:tr w14:paraId="270CC937"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tcPr>
          <w:p w:rsidR="008669A6" w:rsidRPr="00AB6A84" w:rsidP="008669A6" w14:paraId="7872DA84" w14:textId="77777777">
            <w:pPr>
              <w:spacing w:line="240" w:lineRule="auto"/>
            </w:pPr>
            <w:r w:rsidRPr="00AB6A84">
              <w:t>Microbiologist (IP)</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3B76A1" w:rsidP="008669A6" w14:paraId="6935F80E" w14:textId="77777777">
            <w:pPr>
              <w:spacing w:line="240" w:lineRule="auto"/>
            </w:pPr>
            <w:r w:rsidRPr="003B76A1">
              <w:t>75th</w:t>
            </w:r>
          </w:p>
        </w:tc>
        <w:tc>
          <w:tcPr>
            <w:tcW w:w="1170" w:type="dxa"/>
            <w:tcBorders>
              <w:top w:val="dotted" w:sz="4" w:space="0" w:color="auto"/>
              <w:left w:val="dotted" w:sz="4" w:space="0" w:color="auto"/>
              <w:bottom w:val="dotted" w:sz="4" w:space="0" w:color="auto"/>
            </w:tcBorders>
            <w:shd w:val="clear" w:color="auto" w:fill="auto"/>
            <w:noWrap/>
            <w:vAlign w:val="bottom"/>
          </w:tcPr>
          <w:p w:rsidR="008669A6" w:rsidRPr="00347174" w:rsidP="008669A6" w14:paraId="567A25E6" w14:textId="77777777">
            <w:pPr>
              <w:spacing w:line="240" w:lineRule="auto"/>
              <w:jc w:val="right"/>
              <w:rPr>
                <w:highlight w:val="yellow"/>
              </w:rPr>
            </w:pPr>
            <w:r w:rsidRPr="00347174">
              <w:rPr>
                <w:highlight w:val="yellow"/>
              </w:rPr>
              <w:t>$</w:t>
            </w:r>
            <w:r w:rsidR="00C1673B">
              <w:rPr>
                <w:highlight w:val="yellow"/>
              </w:rPr>
              <w:t>58.60</w:t>
            </w:r>
            <w:r w:rsidRPr="00347174">
              <w:rPr>
                <w:highlight w:val="yellow"/>
              </w:rPr>
              <w:t xml:space="preserve"> </w:t>
            </w:r>
          </w:p>
        </w:tc>
      </w:tr>
      <w:tr w14:paraId="764234BB"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tcPr>
          <w:p w:rsidR="008669A6" w:rsidRPr="00AB6A84" w:rsidP="008669A6" w14:paraId="30900299" w14:textId="77777777">
            <w:pPr>
              <w:spacing w:line="240" w:lineRule="auto"/>
            </w:pPr>
            <w:r w:rsidRPr="00AB6A84">
              <w:t>Clinical Laboratory Technologists and Technicians</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3B76A1" w:rsidP="008669A6" w14:paraId="1FC0633A" w14:textId="77777777">
            <w:pPr>
              <w:spacing w:line="240" w:lineRule="auto"/>
            </w:pPr>
            <w:r w:rsidRPr="003B76A1">
              <w:t>75th</w:t>
            </w:r>
          </w:p>
        </w:tc>
        <w:tc>
          <w:tcPr>
            <w:tcW w:w="1170" w:type="dxa"/>
            <w:tcBorders>
              <w:top w:val="dotted" w:sz="4" w:space="0" w:color="auto"/>
              <w:left w:val="dotted" w:sz="4" w:space="0" w:color="auto"/>
              <w:bottom w:val="dotted" w:sz="4" w:space="0" w:color="auto"/>
            </w:tcBorders>
            <w:shd w:val="clear" w:color="auto" w:fill="auto"/>
            <w:noWrap/>
            <w:vAlign w:val="bottom"/>
          </w:tcPr>
          <w:p w:rsidR="008669A6" w:rsidRPr="00347174" w:rsidP="008669A6" w14:paraId="32AB7207" w14:textId="77777777">
            <w:pPr>
              <w:spacing w:line="240" w:lineRule="auto"/>
              <w:jc w:val="right"/>
              <w:rPr>
                <w:highlight w:val="yellow"/>
              </w:rPr>
            </w:pPr>
            <w:r w:rsidRPr="00347174">
              <w:rPr>
                <w:highlight w:val="yellow"/>
              </w:rPr>
              <w:t>$3</w:t>
            </w:r>
            <w:r w:rsidR="00C1673B">
              <w:rPr>
                <w:highlight w:val="yellow"/>
              </w:rPr>
              <w:t>8</w:t>
            </w:r>
            <w:r w:rsidRPr="00347174">
              <w:rPr>
                <w:highlight w:val="yellow"/>
              </w:rPr>
              <w:t>.</w:t>
            </w:r>
            <w:r w:rsidR="00C1673B">
              <w:rPr>
                <w:highlight w:val="yellow"/>
              </w:rPr>
              <w:t>81</w:t>
            </w:r>
          </w:p>
        </w:tc>
      </w:tr>
      <w:tr w14:paraId="287F5770"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hideMark/>
          </w:tcPr>
          <w:p w:rsidR="008669A6" w:rsidRPr="00AB6A84" w:rsidP="008669A6" w14:paraId="64EDE0FE" w14:textId="77777777">
            <w:pPr>
              <w:spacing w:line="240" w:lineRule="auto"/>
            </w:pPr>
            <w:r w:rsidRPr="00AB6A84">
              <w:t xml:space="preserve">Pharmacist </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669A6" w:rsidRPr="003B76A1" w:rsidP="008669A6" w14:paraId="14DD623E" w14:textId="77777777">
            <w:pPr>
              <w:spacing w:line="240" w:lineRule="auto"/>
            </w:pPr>
            <w:r w:rsidRPr="003B76A1">
              <w:t>50th</w:t>
            </w:r>
          </w:p>
        </w:tc>
        <w:tc>
          <w:tcPr>
            <w:tcW w:w="1170" w:type="dxa"/>
            <w:tcBorders>
              <w:top w:val="dotted" w:sz="4" w:space="0" w:color="auto"/>
              <w:left w:val="dotted" w:sz="4" w:space="0" w:color="auto"/>
              <w:bottom w:val="dotted" w:sz="4" w:space="0" w:color="auto"/>
            </w:tcBorders>
            <w:shd w:val="clear" w:color="auto" w:fill="auto"/>
            <w:noWrap/>
            <w:vAlign w:val="bottom"/>
            <w:hideMark/>
          </w:tcPr>
          <w:p w:rsidR="008669A6" w:rsidRPr="00347174" w:rsidP="008669A6" w14:paraId="0C0EA291" w14:textId="77777777">
            <w:pPr>
              <w:spacing w:line="240" w:lineRule="auto"/>
              <w:jc w:val="right"/>
              <w:rPr>
                <w:highlight w:val="yellow"/>
              </w:rPr>
            </w:pPr>
            <w:r w:rsidRPr="00347174">
              <w:rPr>
                <w:highlight w:val="yellow"/>
              </w:rPr>
              <w:t xml:space="preserve">  $</w:t>
            </w:r>
            <w:r w:rsidR="00AB6A84">
              <w:rPr>
                <w:highlight w:val="yellow"/>
              </w:rPr>
              <w:t>69.36</w:t>
            </w:r>
            <w:r w:rsidRPr="00347174">
              <w:rPr>
                <w:highlight w:val="yellow"/>
              </w:rPr>
              <w:t xml:space="preserve"> </w:t>
            </w:r>
          </w:p>
        </w:tc>
      </w:tr>
      <w:tr w14:paraId="6ED186CF"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hideMark/>
          </w:tcPr>
          <w:p w:rsidR="008669A6" w:rsidRPr="00851B20" w:rsidP="008669A6" w14:paraId="384A3775" w14:textId="77777777">
            <w:pPr>
              <w:spacing w:line="240" w:lineRule="auto"/>
            </w:pPr>
            <w:r w:rsidRPr="00851B20">
              <w:t>Registered Nurse (RN)</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669A6" w:rsidRPr="003B76A1" w:rsidP="008669A6" w14:paraId="123E6031" w14:textId="77777777">
            <w:pPr>
              <w:spacing w:line="240" w:lineRule="auto"/>
            </w:pPr>
            <w:r w:rsidRPr="003B76A1">
              <w:t>50th</w:t>
            </w:r>
          </w:p>
        </w:tc>
        <w:tc>
          <w:tcPr>
            <w:tcW w:w="1170" w:type="dxa"/>
            <w:tcBorders>
              <w:top w:val="dotted" w:sz="4" w:space="0" w:color="auto"/>
              <w:left w:val="dotted" w:sz="4" w:space="0" w:color="auto"/>
              <w:bottom w:val="dotted" w:sz="4" w:space="0" w:color="auto"/>
            </w:tcBorders>
            <w:shd w:val="clear" w:color="auto" w:fill="auto"/>
            <w:noWrap/>
            <w:vAlign w:val="bottom"/>
            <w:hideMark/>
          </w:tcPr>
          <w:p w:rsidR="008669A6" w:rsidRPr="00347174" w:rsidP="008669A6" w14:paraId="7DFD05B9" w14:textId="77777777">
            <w:pPr>
              <w:spacing w:line="240" w:lineRule="auto"/>
              <w:jc w:val="right"/>
              <w:rPr>
                <w:highlight w:val="yellow"/>
              </w:rPr>
            </w:pPr>
            <w:r w:rsidRPr="00347174">
              <w:rPr>
                <w:highlight w:val="yellow"/>
              </w:rPr>
              <w:t>$</w:t>
            </w:r>
            <w:r w:rsidR="00AB6A84">
              <w:rPr>
                <w:highlight w:val="yellow"/>
              </w:rPr>
              <w:t>46.55</w:t>
            </w:r>
            <w:r w:rsidRPr="00347174">
              <w:rPr>
                <w:highlight w:val="yellow"/>
              </w:rPr>
              <w:t xml:space="preserve"> </w:t>
            </w:r>
          </w:p>
        </w:tc>
      </w:tr>
      <w:tr w14:paraId="7523C5AB" w14:textId="77777777" w:rsidTr="00AB6A84">
        <w:tblPrEx>
          <w:tblW w:w="10345" w:type="dxa"/>
          <w:tblLook w:val="04A0"/>
        </w:tblPrEx>
        <w:trPr>
          <w:trHeight w:val="218"/>
        </w:trPr>
        <w:tc>
          <w:tcPr>
            <w:tcW w:w="6925" w:type="dxa"/>
            <w:tcBorders>
              <w:top w:val="dotted" w:sz="4" w:space="0" w:color="auto"/>
              <w:bottom w:val="dotted" w:sz="4" w:space="0" w:color="auto"/>
              <w:right w:val="dotted" w:sz="4" w:space="0" w:color="auto"/>
            </w:tcBorders>
            <w:shd w:val="clear" w:color="auto" w:fill="auto"/>
            <w:noWrap/>
            <w:vAlign w:val="bottom"/>
          </w:tcPr>
          <w:p w:rsidR="008669A6" w:rsidRPr="00AB6A84" w:rsidP="008669A6" w14:paraId="772DB619" w14:textId="77777777">
            <w:pPr>
              <w:spacing w:line="240" w:lineRule="auto"/>
            </w:pPr>
            <w:r w:rsidRPr="00AB6A84">
              <w:t>Epidemiologists</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3B76A1" w:rsidP="008669A6" w14:paraId="2FAFC383" w14:textId="77777777">
            <w:pPr>
              <w:spacing w:line="240" w:lineRule="auto"/>
            </w:pPr>
            <w:r w:rsidRPr="003B76A1">
              <w:t>50th</w:t>
            </w:r>
          </w:p>
        </w:tc>
        <w:tc>
          <w:tcPr>
            <w:tcW w:w="1170" w:type="dxa"/>
            <w:tcBorders>
              <w:top w:val="dotted" w:sz="4" w:space="0" w:color="auto"/>
              <w:left w:val="dotted" w:sz="4" w:space="0" w:color="auto"/>
              <w:bottom w:val="dotted" w:sz="4" w:space="0" w:color="auto"/>
            </w:tcBorders>
            <w:shd w:val="clear" w:color="auto" w:fill="auto"/>
            <w:noWrap/>
            <w:vAlign w:val="bottom"/>
          </w:tcPr>
          <w:p w:rsidR="008669A6" w:rsidRPr="00347174" w:rsidP="008669A6" w14:paraId="04EC37C2" w14:textId="77777777">
            <w:pPr>
              <w:spacing w:line="240" w:lineRule="auto"/>
              <w:jc w:val="right"/>
              <w:rPr>
                <w:highlight w:val="yellow"/>
              </w:rPr>
            </w:pPr>
            <w:r w:rsidRPr="00347174">
              <w:rPr>
                <w:highlight w:val="yellow"/>
              </w:rPr>
              <w:t>$</w:t>
            </w:r>
            <w:r w:rsidR="00AB6A84">
              <w:rPr>
                <w:highlight w:val="yellow"/>
              </w:rPr>
              <w:t>50.85</w:t>
            </w:r>
          </w:p>
        </w:tc>
      </w:tr>
      <w:tr w14:paraId="2D854BE9" w14:textId="77777777" w:rsidTr="00AB6A84">
        <w:tblPrEx>
          <w:tblW w:w="10345" w:type="dxa"/>
          <w:tblLook w:val="04A0"/>
        </w:tblPrEx>
        <w:trPr>
          <w:trHeight w:val="218"/>
        </w:trPr>
        <w:tc>
          <w:tcPr>
            <w:tcW w:w="6925" w:type="dxa"/>
            <w:tcBorders>
              <w:top w:val="dotted" w:sz="4" w:space="0" w:color="auto"/>
              <w:left w:val="single" w:sz="4" w:space="0" w:color="auto"/>
              <w:bottom w:val="dotted" w:sz="4" w:space="0" w:color="auto"/>
              <w:right w:val="dotted" w:sz="4" w:space="0" w:color="auto"/>
            </w:tcBorders>
            <w:shd w:val="clear" w:color="auto" w:fill="auto"/>
            <w:noWrap/>
            <w:vAlign w:val="bottom"/>
          </w:tcPr>
          <w:p w:rsidR="00226BB3" w:rsidRPr="00AB6A84" w:rsidP="00226BB3" w14:paraId="78633A29" w14:textId="77777777">
            <w:pPr>
              <w:spacing w:line="240" w:lineRule="auto"/>
              <w:rPr>
                <w:highlight w:val="yellow"/>
              </w:rPr>
            </w:pPr>
            <w:r w:rsidRPr="00AB6A84">
              <w:t xml:space="preserve">Information Technologists </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226BB3" w:rsidRPr="003B76A1" w:rsidP="00226BB3" w14:paraId="11BB3FA4" w14:textId="77777777">
            <w:pPr>
              <w:spacing w:line="240" w:lineRule="auto"/>
            </w:pPr>
            <w:r w:rsidRPr="003B76A1">
              <w:t>50th</w:t>
            </w:r>
          </w:p>
        </w:tc>
        <w:tc>
          <w:tcPr>
            <w:tcW w:w="11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226BB3" w:rsidRPr="00347174" w:rsidP="00226BB3" w14:paraId="57853D16" w14:textId="77777777">
            <w:pPr>
              <w:spacing w:line="240" w:lineRule="auto"/>
              <w:jc w:val="right"/>
              <w:rPr>
                <w:highlight w:val="yellow"/>
              </w:rPr>
            </w:pPr>
            <w:r w:rsidRPr="00347174">
              <w:rPr>
                <w:highlight w:val="yellow"/>
              </w:rPr>
              <w:t xml:space="preserve"> $</w:t>
            </w:r>
            <w:r>
              <w:rPr>
                <w:highlight w:val="yellow"/>
              </w:rPr>
              <w:t>5</w:t>
            </w:r>
            <w:r w:rsidR="00AB6A84">
              <w:rPr>
                <w:highlight w:val="yellow"/>
              </w:rPr>
              <w:t>6.50</w:t>
            </w:r>
          </w:p>
        </w:tc>
      </w:tr>
      <w:tr w14:paraId="27864DF2" w14:textId="77777777" w:rsidTr="00AB6A84">
        <w:tblPrEx>
          <w:tblW w:w="10345" w:type="dxa"/>
          <w:tblLook w:val="04A0"/>
        </w:tblPrEx>
        <w:trPr>
          <w:trHeight w:val="218"/>
        </w:trPr>
        <w:tc>
          <w:tcPr>
            <w:tcW w:w="6925" w:type="dxa"/>
            <w:tcBorders>
              <w:top w:val="dotted" w:sz="4" w:space="0" w:color="auto"/>
              <w:left w:val="single" w:sz="4" w:space="0" w:color="auto"/>
              <w:bottom w:val="dotted" w:sz="4" w:space="0" w:color="auto"/>
              <w:right w:val="dotted" w:sz="4" w:space="0" w:color="auto"/>
            </w:tcBorders>
            <w:shd w:val="clear" w:color="auto" w:fill="auto"/>
            <w:noWrap/>
            <w:vAlign w:val="bottom"/>
          </w:tcPr>
          <w:p w:rsidR="00AB6A84" w:rsidRPr="00AB6A84" w:rsidP="00226BB3" w14:paraId="6DBDF818" w14:textId="77777777">
            <w:pPr>
              <w:spacing w:line="240" w:lineRule="auto"/>
            </w:pPr>
            <w:r w:rsidRPr="00AB6A84">
              <w:t>Occupational Health and Safety Specialists</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AB6A84" w:rsidRPr="003B76A1" w:rsidP="00226BB3" w14:paraId="2BE39161" w14:textId="77777777">
            <w:pPr>
              <w:spacing w:line="240" w:lineRule="auto"/>
            </w:pPr>
            <w:r>
              <w:t>50th</w:t>
            </w:r>
          </w:p>
        </w:tc>
        <w:tc>
          <w:tcPr>
            <w:tcW w:w="11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AB6A84" w:rsidRPr="00347174" w:rsidP="00226BB3" w14:paraId="544CF600" w14:textId="77777777">
            <w:pPr>
              <w:spacing w:line="240" w:lineRule="auto"/>
              <w:jc w:val="right"/>
              <w:rPr>
                <w:highlight w:val="yellow"/>
              </w:rPr>
            </w:pPr>
            <w:r>
              <w:rPr>
                <w:highlight w:val="yellow"/>
              </w:rPr>
              <w:t>$46.60</w:t>
            </w:r>
          </w:p>
        </w:tc>
      </w:tr>
      <w:tr w14:paraId="17179415" w14:textId="77777777" w:rsidTr="00AB6A84">
        <w:tblPrEx>
          <w:tblW w:w="10345" w:type="dxa"/>
          <w:tblLook w:val="04A0"/>
        </w:tblPrEx>
        <w:trPr>
          <w:trHeight w:val="218"/>
        </w:trPr>
        <w:tc>
          <w:tcPr>
            <w:tcW w:w="6925" w:type="dxa"/>
            <w:tcBorders>
              <w:top w:val="dotted" w:sz="4" w:space="0" w:color="auto"/>
              <w:left w:val="single" w:sz="4" w:space="0" w:color="auto"/>
              <w:bottom w:val="dotted" w:sz="4" w:space="0" w:color="auto"/>
              <w:right w:val="dotted" w:sz="4" w:space="0" w:color="auto"/>
            </w:tcBorders>
            <w:shd w:val="clear" w:color="auto" w:fill="auto"/>
            <w:noWrap/>
            <w:vAlign w:val="bottom"/>
          </w:tcPr>
          <w:p w:rsidR="00915F17" w:rsidRPr="00AB6A84" w:rsidP="00226BB3" w14:paraId="6668FEA0" w14:textId="77777777">
            <w:pPr>
              <w:spacing w:line="240" w:lineRule="auto"/>
            </w:pPr>
            <w:r w:rsidRPr="00CB6801">
              <w:rPr>
                <w:highlight w:val="yellow"/>
              </w:rPr>
              <w:t>Facility Managers</w:t>
            </w:r>
            <w:r>
              <w:t xml:space="preserve"> </w:t>
            </w:r>
          </w:p>
        </w:tc>
        <w:tc>
          <w:tcPr>
            <w:tcW w:w="2250" w:type="dxa"/>
            <w:tcBorders>
              <w:top w:val="dotted" w:sz="4" w:space="0" w:color="auto"/>
              <w:left w:val="dotted" w:sz="4" w:space="0" w:color="auto"/>
              <w:bottom w:val="dotted" w:sz="4" w:space="0" w:color="auto"/>
              <w:right w:val="dotted" w:sz="4" w:space="0" w:color="auto"/>
            </w:tcBorders>
            <w:shd w:val="clear" w:color="auto" w:fill="auto"/>
            <w:noWrap/>
            <w:vAlign w:val="bottom"/>
          </w:tcPr>
          <w:p w:rsidR="00915F17" w:rsidP="00226BB3" w14:paraId="64FD256D" w14:textId="77777777">
            <w:pPr>
              <w:spacing w:line="240" w:lineRule="auto"/>
            </w:pPr>
            <w:r>
              <w:t>50</w:t>
            </w:r>
            <w:r w:rsidRPr="00915F17">
              <w:rPr>
                <w:vertAlign w:val="superscript"/>
              </w:rPr>
              <w:t>th</w:t>
            </w:r>
            <w:r>
              <w:t xml:space="preserve"> </w:t>
            </w:r>
          </w:p>
        </w:tc>
        <w:tc>
          <w:tcPr>
            <w:tcW w:w="11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915F17" w:rsidP="00226BB3" w14:paraId="5E91B69D" w14:textId="77777777">
            <w:pPr>
              <w:spacing w:line="240" w:lineRule="auto"/>
              <w:jc w:val="right"/>
              <w:rPr>
                <w:highlight w:val="yellow"/>
              </w:rPr>
            </w:pPr>
            <w:r>
              <w:rPr>
                <w:highlight w:val="yellow"/>
              </w:rPr>
              <w:t>$52.69</w:t>
            </w:r>
          </w:p>
        </w:tc>
      </w:tr>
    </w:tbl>
    <w:p w:rsidR="00BA5552" w:rsidP="00B60AB0" w14:paraId="7E98A472" w14:textId="77777777">
      <w:pPr>
        <w:rPr>
          <w:rStyle w:val="Hyperlink"/>
          <w:sz w:val="18"/>
          <w:szCs w:val="18"/>
        </w:rPr>
      </w:pPr>
      <w:hyperlink r:id="rId19" w:anchor="/indOcc/Multiple%20occupations%20for%20one%20industry" w:history="1">
        <w:r w:rsidR="00D21C18">
          <w:rPr>
            <w:rStyle w:val="Hyperlink"/>
            <w:sz w:val="18"/>
            <w:szCs w:val="18"/>
          </w:rPr>
          <w:t>Occupational Employment and Wage Statistics (bls.gov)</w:t>
        </w:r>
      </w:hyperlink>
      <w:r w:rsidR="00D21C18">
        <w:rPr>
          <w:sz w:val="18"/>
          <w:szCs w:val="18"/>
        </w:rPr>
        <w:t xml:space="preserve">. </w:t>
      </w:r>
      <w:r w:rsidR="00D21C18">
        <w:rPr>
          <w:rStyle w:val="Hyperlink"/>
          <w:sz w:val="18"/>
          <w:szCs w:val="18"/>
        </w:rPr>
        <w:t xml:space="preserve">Accessed: </w:t>
      </w:r>
      <w:r w:rsidR="00AB6A84">
        <w:rPr>
          <w:rStyle w:val="Hyperlink"/>
          <w:sz w:val="18"/>
          <w:szCs w:val="18"/>
        </w:rPr>
        <w:t>7</w:t>
      </w:r>
      <w:r w:rsidR="00D21C18">
        <w:rPr>
          <w:rStyle w:val="Hyperlink"/>
          <w:sz w:val="18"/>
          <w:szCs w:val="18"/>
        </w:rPr>
        <w:t>/</w:t>
      </w:r>
      <w:r w:rsidR="00AB6A84">
        <w:rPr>
          <w:rStyle w:val="Hyperlink"/>
          <w:sz w:val="18"/>
          <w:szCs w:val="18"/>
        </w:rPr>
        <w:t>1</w:t>
      </w:r>
      <w:r w:rsidR="00D21C18">
        <w:rPr>
          <w:rStyle w:val="Hyperlink"/>
          <w:sz w:val="18"/>
          <w:szCs w:val="18"/>
        </w:rPr>
        <w:t>2/202</w:t>
      </w:r>
      <w:r w:rsidR="00AB6A84">
        <w:rPr>
          <w:rStyle w:val="Hyperlink"/>
          <w:sz w:val="18"/>
          <w:szCs w:val="18"/>
        </w:rPr>
        <w:t>4</w:t>
      </w:r>
      <w:r w:rsidR="00D21C18">
        <w:rPr>
          <w:rStyle w:val="Hyperlink"/>
          <w:sz w:val="18"/>
          <w:szCs w:val="18"/>
        </w:rPr>
        <w:t xml:space="preserve">. </w:t>
      </w:r>
    </w:p>
    <w:p w:rsidR="00A349E0" w:rsidP="00B60AB0" w14:paraId="40E999CF" w14:textId="77777777">
      <w:pPr>
        <w:rPr>
          <w:rStyle w:val="Hyperlink"/>
          <w:sz w:val="18"/>
          <w:szCs w:val="18"/>
        </w:rPr>
      </w:pPr>
    </w:p>
    <w:p w:rsidR="00A349E0" w:rsidP="00A349E0" w14:paraId="5CBE5F5B" w14:textId="77777777">
      <w:pPr>
        <w:spacing w:after="0"/>
        <w:rPr>
          <w:b/>
          <w:sz w:val="16"/>
          <w:szCs w:val="16"/>
          <w:u w:val="single"/>
        </w:rPr>
      </w:pPr>
      <w:r>
        <w:rPr>
          <w:b/>
          <w:sz w:val="16"/>
          <w:szCs w:val="16"/>
          <w:u w:val="single"/>
        </w:rPr>
        <w:t>CMS Program Definitions:</w:t>
      </w:r>
    </w:p>
    <w:p w:rsidR="00A349E0" w:rsidP="00A349E0" w14:paraId="0E5D1900" w14:textId="77777777">
      <w:pPr>
        <w:spacing w:after="0"/>
        <w:rPr>
          <w:sz w:val="16"/>
          <w:szCs w:val="16"/>
        </w:rPr>
      </w:pPr>
      <w:r>
        <w:rPr>
          <w:sz w:val="16"/>
          <w:szCs w:val="16"/>
        </w:rPr>
        <w:t>End-Stage Renal Disease (ESRD) Quality Incentive Program (QIP) - ESRD QIP</w:t>
      </w:r>
    </w:p>
    <w:p w:rsidR="00A349E0" w:rsidP="00A349E0" w14:paraId="2494E0E8" w14:textId="77777777">
      <w:pPr>
        <w:spacing w:after="0"/>
        <w:rPr>
          <w:sz w:val="16"/>
          <w:szCs w:val="16"/>
        </w:rPr>
      </w:pPr>
      <w:r>
        <w:rPr>
          <w:sz w:val="16"/>
          <w:szCs w:val="16"/>
        </w:rPr>
        <w:t>Hospital Inpatient Quality Reporting Program - IQR</w:t>
      </w:r>
    </w:p>
    <w:p w:rsidR="00A349E0" w:rsidP="00A349E0" w14:paraId="7E84D7D4" w14:textId="77777777">
      <w:pPr>
        <w:spacing w:after="0"/>
        <w:rPr>
          <w:sz w:val="16"/>
          <w:szCs w:val="16"/>
        </w:rPr>
      </w:pPr>
      <w:r>
        <w:rPr>
          <w:sz w:val="16"/>
          <w:szCs w:val="16"/>
        </w:rPr>
        <w:t>Hospital Outpatient Quality Reporting Program - OQR</w:t>
      </w:r>
    </w:p>
    <w:p w:rsidR="00A349E0" w:rsidP="00A349E0" w14:paraId="4958DF05" w14:textId="77777777">
      <w:pPr>
        <w:spacing w:after="0"/>
        <w:rPr>
          <w:sz w:val="16"/>
          <w:szCs w:val="16"/>
        </w:rPr>
      </w:pPr>
      <w:r>
        <w:rPr>
          <w:noProof/>
          <w:sz w:val="16"/>
          <w:szCs w:val="16"/>
        </w:rPr>
        <w:t>Long-Term</w:t>
      </w:r>
      <w:r>
        <w:rPr>
          <w:sz w:val="16"/>
          <w:szCs w:val="16"/>
        </w:rPr>
        <w:t xml:space="preserve"> Care Hospital* Quality Reporting Program - LTCHQR</w:t>
      </w:r>
    </w:p>
    <w:p w:rsidR="00A349E0" w:rsidP="00A349E0" w14:paraId="71709828" w14:textId="77777777">
      <w:pPr>
        <w:spacing w:after="0"/>
        <w:rPr>
          <w:sz w:val="16"/>
          <w:szCs w:val="16"/>
        </w:rPr>
      </w:pPr>
      <w:r>
        <w:rPr>
          <w:sz w:val="16"/>
          <w:szCs w:val="16"/>
        </w:rPr>
        <w:t>Meaningful Use Stage 3- MU3</w:t>
      </w:r>
    </w:p>
    <w:p w:rsidR="00A349E0" w:rsidP="00A349E0" w14:paraId="078A3277" w14:textId="77777777">
      <w:pPr>
        <w:spacing w:after="0"/>
        <w:rPr>
          <w:sz w:val="16"/>
          <w:szCs w:val="16"/>
        </w:rPr>
      </w:pPr>
      <w:r>
        <w:rPr>
          <w:sz w:val="16"/>
          <w:szCs w:val="16"/>
        </w:rPr>
        <w:t>Inpatient Rehabilitation Facility Quality Reporting Program - IRFQR</w:t>
      </w:r>
    </w:p>
    <w:p w:rsidR="00A349E0" w:rsidP="00A349E0" w14:paraId="5BBEC37D" w14:textId="77777777">
      <w:pPr>
        <w:spacing w:after="0"/>
        <w:rPr>
          <w:sz w:val="16"/>
          <w:szCs w:val="16"/>
        </w:rPr>
      </w:pPr>
      <w:r>
        <w:rPr>
          <w:sz w:val="16"/>
          <w:szCs w:val="16"/>
        </w:rPr>
        <w:t>Ambulatory Surgery Centers Quality Reporting Program - ASCQR</w:t>
      </w:r>
    </w:p>
    <w:p w:rsidR="00A349E0" w:rsidP="00A349E0" w14:paraId="405E7E75" w14:textId="77777777">
      <w:pPr>
        <w:spacing w:after="0"/>
        <w:rPr>
          <w:sz w:val="16"/>
          <w:szCs w:val="16"/>
        </w:rPr>
      </w:pPr>
      <w:r>
        <w:rPr>
          <w:sz w:val="16"/>
          <w:szCs w:val="16"/>
        </w:rPr>
        <w:t xml:space="preserve">PPS-Exempt Cancer </w:t>
      </w:r>
      <w:r>
        <w:rPr>
          <w:noProof/>
          <w:sz w:val="16"/>
          <w:szCs w:val="16"/>
        </w:rPr>
        <w:t>Hospita</w:t>
      </w:r>
      <w:r>
        <w:rPr>
          <w:sz w:val="16"/>
          <w:szCs w:val="16"/>
        </w:rPr>
        <w:t>l Quality Reporting Program - PCHQR</w:t>
      </w:r>
    </w:p>
    <w:p w:rsidR="00A349E0" w:rsidP="00A349E0" w14:paraId="04262580" w14:textId="77777777">
      <w:pPr>
        <w:spacing w:after="0"/>
        <w:rPr>
          <w:sz w:val="22"/>
        </w:rPr>
      </w:pPr>
      <w:r>
        <w:rPr>
          <w:sz w:val="16"/>
          <w:szCs w:val="16"/>
        </w:rPr>
        <w:t>Inpatient Psychiatric Facility Quality Reporting Program - IPFQR</w:t>
      </w:r>
    </w:p>
    <w:p w:rsidR="00A349E0" w:rsidRPr="00B60AB0" w:rsidP="00B60AB0" w14:paraId="46794E8E" w14:textId="77777777">
      <w:pPr>
        <w:rPr>
          <w:color w:val="0000FF" w:themeColor="hyperlink"/>
          <w:sz w:val="18"/>
          <w:szCs w:val="18"/>
          <w:u w:val="single"/>
        </w:rPr>
      </w:pPr>
    </w:p>
    <w:p w:rsidR="00B60AB0" w:rsidP="00BA5552" w14:paraId="36C77A20" w14:textId="77777777">
      <w:pPr>
        <w:rPr>
          <w:sz w:val="18"/>
          <w:szCs w:val="16"/>
        </w:rPr>
      </w:pPr>
    </w:p>
    <w:p w:rsidR="00B60AB0" w:rsidP="00BA5552" w14:paraId="1DA4DD9E" w14:textId="77777777">
      <w:pPr>
        <w:rPr>
          <w:sz w:val="18"/>
          <w:szCs w:val="16"/>
        </w:rPr>
      </w:pPr>
    </w:p>
    <w:p w:rsidR="00B60AB0" w:rsidP="00BA5552" w14:paraId="58D6AE85" w14:textId="77777777">
      <w:pPr>
        <w:rPr>
          <w:sz w:val="18"/>
          <w:szCs w:val="16"/>
        </w:rPr>
      </w:pPr>
    </w:p>
    <w:p w:rsidR="00B60AB0" w:rsidP="00BA5552" w14:paraId="3EF20007" w14:textId="77777777">
      <w:pPr>
        <w:rPr>
          <w:sz w:val="18"/>
          <w:szCs w:val="16"/>
        </w:rPr>
      </w:pPr>
    </w:p>
    <w:p w:rsidR="00B60AB0" w:rsidP="00BA5552" w14:paraId="64F7F2F8" w14:textId="77777777">
      <w:pPr>
        <w:rPr>
          <w:sz w:val="18"/>
          <w:szCs w:val="16"/>
        </w:rPr>
      </w:pPr>
    </w:p>
    <w:p w:rsidR="00B60AB0" w:rsidP="00BA5552" w14:paraId="1730F98D" w14:textId="77777777">
      <w:pPr>
        <w:rPr>
          <w:sz w:val="18"/>
          <w:szCs w:val="16"/>
        </w:rPr>
      </w:pPr>
    </w:p>
    <w:p w:rsidR="00B60AB0" w:rsidRPr="00BA5552" w:rsidP="00BA5552" w14:paraId="4CE24773" w14:textId="77777777">
      <w:pPr>
        <w:rPr>
          <w:sz w:val="18"/>
          <w:szCs w:val="16"/>
        </w:rPr>
        <w:sectPr w:rsidSect="00B60AB0">
          <w:footerReference w:type="default" r:id="rId20"/>
          <w:type w:val="continuous"/>
          <w:pgSz w:w="12240" w:h="20160" w:code="5"/>
          <w:pgMar w:top="1080" w:right="1080" w:bottom="1080" w:left="1080" w:header="720" w:footer="720" w:gutter="0"/>
          <w:cols w:space="720"/>
          <w:docGrid w:linePitch="360"/>
        </w:sectPr>
      </w:pPr>
    </w:p>
    <w:tbl>
      <w:tblPr>
        <w:tblW w:w="17259" w:type="dxa"/>
        <w:tblLook w:val="04A0"/>
      </w:tblPr>
      <w:tblGrid>
        <w:gridCol w:w="396"/>
        <w:gridCol w:w="4733"/>
        <w:gridCol w:w="1197"/>
        <w:gridCol w:w="1127"/>
        <w:gridCol w:w="2627"/>
        <w:gridCol w:w="1440"/>
        <w:gridCol w:w="1080"/>
        <w:gridCol w:w="1980"/>
        <w:gridCol w:w="2679"/>
      </w:tblGrid>
      <w:tr w14:paraId="5FC41E03" w14:textId="77777777" w:rsidTr="00A349E0">
        <w:tblPrEx>
          <w:tblW w:w="17259" w:type="dxa"/>
          <w:tblLook w:val="04A0"/>
        </w:tblPrEx>
        <w:trPr>
          <w:trHeight w:val="230"/>
        </w:trPr>
        <w:tc>
          <w:tcPr>
            <w:tcW w:w="396" w:type="dxa"/>
            <w:tcBorders>
              <w:top w:val="nil"/>
              <w:left w:val="nil"/>
              <w:bottom w:val="nil"/>
              <w:right w:val="nil"/>
            </w:tcBorders>
            <w:shd w:val="clear" w:color="000000" w:fill="FFFFFF"/>
            <w:noWrap/>
            <w:vAlign w:val="bottom"/>
            <w:hideMark/>
          </w:tcPr>
          <w:p w:rsidR="00E26583" w:rsidRPr="00E26583" w:rsidP="00E26583" w14:paraId="1FDBED9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16863" w:type="dxa"/>
            <w:gridSpan w:val="8"/>
            <w:tcBorders>
              <w:top w:val="single" w:sz="4" w:space="0" w:color="auto"/>
              <w:left w:val="single" w:sz="4" w:space="0" w:color="auto"/>
              <w:bottom w:val="single" w:sz="4" w:space="0" w:color="auto"/>
              <w:right w:val="single" w:sz="4" w:space="0" w:color="auto"/>
            </w:tcBorders>
            <w:shd w:val="clear" w:color="000000" w:fill="B4C6E7"/>
            <w:vAlign w:val="center"/>
            <w:hideMark/>
          </w:tcPr>
          <w:p w:rsidR="00E26583" w:rsidRPr="00E26583" w:rsidP="00E26583" w14:paraId="533628B2" w14:textId="77777777">
            <w:pPr>
              <w:spacing w:after="0" w:line="240" w:lineRule="auto"/>
              <w:jc w:val="center"/>
              <w:rPr>
                <w:rFonts w:eastAsia="Times New Roman" w:cs="Times New Roman"/>
                <w:b/>
                <w:bCs/>
                <w:color w:val="000000"/>
                <w:sz w:val="32"/>
                <w:szCs w:val="32"/>
              </w:rPr>
            </w:pPr>
            <w:r w:rsidRPr="00E26583">
              <w:rPr>
                <w:rFonts w:eastAsia="Times New Roman" w:cs="Times New Roman"/>
                <w:b/>
                <w:bCs/>
                <w:color w:val="000000"/>
                <w:sz w:val="32"/>
                <w:szCs w:val="32"/>
              </w:rPr>
              <w:t xml:space="preserve">Estimated Annualized Burden Hours and Cost </w:t>
            </w:r>
          </w:p>
        </w:tc>
      </w:tr>
      <w:tr w14:paraId="3A5DEC38" w14:textId="77777777" w:rsidTr="00A349E0">
        <w:tblPrEx>
          <w:tblW w:w="17259" w:type="dxa"/>
          <w:tblLook w:val="04A0"/>
        </w:tblPrEx>
        <w:trPr>
          <w:trHeight w:val="1610"/>
        </w:trPr>
        <w:tc>
          <w:tcPr>
            <w:tcW w:w="396" w:type="dxa"/>
            <w:tcBorders>
              <w:top w:val="nil"/>
              <w:left w:val="nil"/>
              <w:bottom w:val="nil"/>
              <w:right w:val="nil"/>
            </w:tcBorders>
            <w:shd w:val="clear" w:color="000000" w:fill="FFFFFF"/>
            <w:noWrap/>
            <w:vAlign w:val="bottom"/>
            <w:hideMark/>
          </w:tcPr>
          <w:p w:rsidR="00E26583" w:rsidRPr="00E26583" w:rsidP="00E26583" w14:paraId="01C041C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single" w:sz="4" w:space="0" w:color="auto"/>
              <w:bottom w:val="single" w:sz="4" w:space="0" w:color="auto"/>
              <w:right w:val="single" w:sz="4" w:space="0" w:color="auto"/>
            </w:tcBorders>
            <w:shd w:val="clear" w:color="000000" w:fill="B4C6E7"/>
            <w:vAlign w:val="center"/>
            <w:hideMark/>
          </w:tcPr>
          <w:p w:rsidR="00E26583" w:rsidRPr="00E26583" w:rsidP="00E26583" w14:paraId="47A7CC87" w14:textId="77777777">
            <w:pPr>
              <w:spacing w:after="0" w:line="240" w:lineRule="auto"/>
              <w:jc w:val="center"/>
              <w:rPr>
                <w:rFonts w:eastAsia="Times New Roman" w:cs="Times New Roman"/>
                <w:b/>
                <w:bCs/>
                <w:sz w:val="18"/>
                <w:szCs w:val="18"/>
              </w:rPr>
            </w:pPr>
            <w:r w:rsidRPr="00E26583">
              <w:rPr>
                <w:rFonts w:eastAsia="Times New Roman" w:cs="Times New Roman"/>
                <w:b/>
                <w:bCs/>
                <w:sz w:val="18"/>
                <w:szCs w:val="18"/>
              </w:rPr>
              <w:t>Form Number &amp; Name</w:t>
            </w:r>
          </w:p>
        </w:tc>
        <w:tc>
          <w:tcPr>
            <w:tcW w:w="1197" w:type="dxa"/>
            <w:tcBorders>
              <w:top w:val="nil"/>
              <w:left w:val="nil"/>
              <w:bottom w:val="single" w:sz="4" w:space="0" w:color="auto"/>
              <w:right w:val="single" w:sz="4" w:space="0" w:color="auto"/>
            </w:tcBorders>
            <w:shd w:val="clear" w:color="000000" w:fill="B4C6E7"/>
            <w:vAlign w:val="center"/>
            <w:hideMark/>
          </w:tcPr>
          <w:p w:rsidR="00E26583" w:rsidRPr="00E26583" w:rsidP="00E26583" w14:paraId="0B5E2619"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No. of Respondents</w:t>
            </w:r>
          </w:p>
        </w:tc>
        <w:tc>
          <w:tcPr>
            <w:tcW w:w="1127" w:type="dxa"/>
            <w:tcBorders>
              <w:top w:val="nil"/>
              <w:left w:val="nil"/>
              <w:bottom w:val="single" w:sz="4" w:space="0" w:color="auto"/>
              <w:right w:val="single" w:sz="4" w:space="0" w:color="auto"/>
            </w:tcBorders>
            <w:shd w:val="clear" w:color="000000" w:fill="B4C6E7"/>
            <w:vAlign w:val="center"/>
            <w:hideMark/>
          </w:tcPr>
          <w:p w:rsidR="00E26583" w:rsidRPr="00E26583" w:rsidP="00E26583" w14:paraId="35E84966"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No. of Responses per Respondent</w:t>
            </w:r>
          </w:p>
        </w:tc>
        <w:tc>
          <w:tcPr>
            <w:tcW w:w="2627" w:type="dxa"/>
            <w:tcBorders>
              <w:top w:val="nil"/>
              <w:left w:val="nil"/>
              <w:bottom w:val="single" w:sz="4" w:space="0" w:color="auto"/>
              <w:right w:val="single" w:sz="4" w:space="0" w:color="auto"/>
            </w:tcBorders>
            <w:shd w:val="clear" w:color="000000" w:fill="B4C6E7"/>
            <w:vAlign w:val="center"/>
            <w:hideMark/>
          </w:tcPr>
          <w:p w:rsidR="00E26583" w:rsidRPr="00E26583" w:rsidP="00E26583" w14:paraId="2B54B05D"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Avg. Burden per Response (Min./Hour 60)</w:t>
            </w:r>
          </w:p>
        </w:tc>
        <w:tc>
          <w:tcPr>
            <w:tcW w:w="1440" w:type="dxa"/>
            <w:tcBorders>
              <w:top w:val="nil"/>
              <w:left w:val="nil"/>
              <w:bottom w:val="single" w:sz="4" w:space="0" w:color="auto"/>
              <w:right w:val="single" w:sz="4" w:space="0" w:color="auto"/>
            </w:tcBorders>
            <w:shd w:val="clear" w:color="000000" w:fill="B4C6E7"/>
            <w:vAlign w:val="center"/>
            <w:hideMark/>
          </w:tcPr>
          <w:p w:rsidR="00E26583" w:rsidRPr="00E26583" w:rsidP="00E26583" w14:paraId="6AFE9F3F"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Total Burden (Hours)</w:t>
            </w:r>
          </w:p>
        </w:tc>
        <w:tc>
          <w:tcPr>
            <w:tcW w:w="1080" w:type="dxa"/>
            <w:tcBorders>
              <w:top w:val="nil"/>
              <w:left w:val="nil"/>
              <w:bottom w:val="single" w:sz="4" w:space="0" w:color="auto"/>
              <w:right w:val="single" w:sz="4" w:space="0" w:color="auto"/>
            </w:tcBorders>
            <w:shd w:val="clear" w:color="000000" w:fill="B4C6E7"/>
            <w:vAlign w:val="center"/>
            <w:hideMark/>
          </w:tcPr>
          <w:p w:rsidR="00E26583" w:rsidRPr="00E26583" w:rsidP="00E26583" w14:paraId="45302E52"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Hourly Wage Rate</w:t>
            </w:r>
          </w:p>
        </w:tc>
        <w:tc>
          <w:tcPr>
            <w:tcW w:w="1980" w:type="dxa"/>
            <w:tcBorders>
              <w:top w:val="nil"/>
              <w:left w:val="nil"/>
              <w:bottom w:val="single" w:sz="4" w:space="0" w:color="auto"/>
              <w:right w:val="single" w:sz="4" w:space="0" w:color="auto"/>
            </w:tcBorders>
            <w:shd w:val="clear" w:color="000000" w:fill="B4C6E7"/>
            <w:vAlign w:val="center"/>
            <w:hideMark/>
          </w:tcPr>
          <w:p w:rsidR="00E26583" w:rsidRPr="00E26583" w:rsidP="00E26583" w14:paraId="646DD222"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Total Respondent Cost</w:t>
            </w:r>
          </w:p>
        </w:tc>
        <w:tc>
          <w:tcPr>
            <w:tcW w:w="2679" w:type="dxa"/>
            <w:tcBorders>
              <w:top w:val="nil"/>
              <w:left w:val="nil"/>
              <w:bottom w:val="single" w:sz="4" w:space="0" w:color="auto"/>
              <w:right w:val="single" w:sz="4" w:space="0" w:color="auto"/>
            </w:tcBorders>
            <w:shd w:val="clear" w:color="000000" w:fill="B4C6E7"/>
            <w:vAlign w:val="center"/>
            <w:hideMark/>
          </w:tcPr>
          <w:p w:rsidR="00E26583" w:rsidRPr="00E26583" w:rsidP="00E26583" w14:paraId="64235417"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Type of Respondents</w:t>
            </w:r>
          </w:p>
        </w:tc>
      </w:tr>
      <w:tr w14:paraId="7A712DA3" w14:textId="77777777" w:rsidTr="00A349E0">
        <w:tblPrEx>
          <w:tblW w:w="17259" w:type="dxa"/>
          <w:tblLook w:val="04A0"/>
        </w:tblPrEx>
        <w:trPr>
          <w:trHeight w:val="230"/>
        </w:trPr>
        <w:tc>
          <w:tcPr>
            <w:tcW w:w="3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403BEF7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65EA13D" w14:textId="77777777">
            <w:pPr>
              <w:spacing w:after="0" w:line="240" w:lineRule="auto"/>
              <w:rPr>
                <w:rFonts w:eastAsia="Times New Roman" w:cs="Times New Roman"/>
                <w:sz w:val="18"/>
                <w:szCs w:val="18"/>
              </w:rPr>
            </w:pPr>
            <w:r w:rsidRPr="00E26583">
              <w:rPr>
                <w:rFonts w:eastAsia="Times New Roman" w:cs="Times New Roman"/>
                <w:sz w:val="18"/>
                <w:szCs w:val="18"/>
              </w:rPr>
              <w:t>57.100 NHSN Registration Form</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75C886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3EA098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47C2A4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A6FB6E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167</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AC850B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1CE9C4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$9,786</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7E4D66E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8B22076"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2F0CD4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4B013CB8" w14:textId="77777777">
            <w:pPr>
              <w:spacing w:after="0" w:line="240" w:lineRule="auto"/>
              <w:rPr>
                <w:rFonts w:eastAsia="Times New Roman" w:cs="Times New Roman"/>
                <w:sz w:val="18"/>
                <w:szCs w:val="18"/>
              </w:rPr>
            </w:pPr>
            <w:r w:rsidRPr="00E26583">
              <w:rPr>
                <w:rFonts w:eastAsia="Times New Roman" w:cs="Times New Roman"/>
                <w:sz w:val="18"/>
                <w:szCs w:val="18"/>
              </w:rPr>
              <w:t>57.101 Facility Contact Information</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98343B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BC8F03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6B50F3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5B151CD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333</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3FFA9C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2225E4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$19,514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4B87180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0337D9D9"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049406C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w:t>
            </w:r>
          </w:p>
        </w:tc>
        <w:tc>
          <w:tcPr>
            <w:tcW w:w="4733" w:type="dxa"/>
            <w:tcBorders>
              <w:top w:val="nil"/>
              <w:left w:val="nil"/>
              <w:bottom w:val="nil"/>
              <w:right w:val="nil"/>
            </w:tcBorders>
            <w:shd w:val="clear" w:color="000000" w:fill="FFFF00"/>
            <w:noWrap/>
            <w:vAlign w:val="bottom"/>
            <w:hideMark/>
          </w:tcPr>
          <w:p w:rsidR="00E26583" w:rsidRPr="00E26583" w:rsidP="00E26583" w14:paraId="3DD45403" w14:textId="77777777">
            <w:pPr>
              <w:spacing w:after="0" w:line="240" w:lineRule="auto"/>
              <w:rPr>
                <w:rFonts w:eastAsia="Times New Roman" w:cs="Times New Roman"/>
                <w:color w:val="000000"/>
                <w:sz w:val="18"/>
                <w:szCs w:val="18"/>
              </w:rPr>
            </w:pPr>
            <w:r w:rsidRPr="00E26583">
              <w:rPr>
                <w:rFonts w:eastAsia="Times New Roman" w:cs="Times New Roman"/>
                <w:color w:val="000000"/>
                <w:sz w:val="18"/>
                <w:szCs w:val="18"/>
              </w:rPr>
              <w:t>57.102 NHSN Help Desk Customer Satisfaction Survey</w:t>
            </w:r>
          </w:p>
        </w:tc>
        <w:tc>
          <w:tcPr>
            <w:tcW w:w="1197" w:type="dxa"/>
            <w:tcBorders>
              <w:top w:val="nil"/>
              <w:left w:val="single" w:sz="4" w:space="0" w:color="auto"/>
              <w:bottom w:val="single" w:sz="4" w:space="0" w:color="auto"/>
              <w:right w:val="single" w:sz="4" w:space="0" w:color="auto"/>
            </w:tcBorders>
            <w:shd w:val="clear" w:color="000000" w:fill="FFFF00"/>
            <w:noWrap/>
            <w:vAlign w:val="center"/>
            <w:hideMark/>
          </w:tcPr>
          <w:p w:rsidR="00E26583" w:rsidRPr="00E26583" w:rsidP="00E26583" w14:paraId="15A7C38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26,400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004834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82D435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B7C2BF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880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5AF0BF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76A611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$51,568</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471B73D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95D878F"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10AD0C0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w:t>
            </w:r>
          </w:p>
        </w:tc>
        <w:tc>
          <w:tcPr>
            <w:tcW w:w="4733" w:type="dxa"/>
            <w:tcBorders>
              <w:top w:val="single" w:sz="4" w:space="0" w:color="auto"/>
              <w:left w:val="nil"/>
              <w:bottom w:val="single" w:sz="4" w:space="0" w:color="auto"/>
              <w:right w:val="single" w:sz="4" w:space="0" w:color="auto"/>
            </w:tcBorders>
            <w:shd w:val="clear" w:color="000000" w:fill="FFFFFF"/>
            <w:vAlign w:val="center"/>
            <w:hideMark/>
          </w:tcPr>
          <w:p w:rsidR="00E26583" w:rsidRPr="00E26583" w:rsidP="00E26583" w14:paraId="59B38392" w14:textId="77777777">
            <w:pPr>
              <w:spacing w:after="0" w:line="240" w:lineRule="auto"/>
              <w:rPr>
                <w:rFonts w:eastAsia="Times New Roman" w:cs="Times New Roman"/>
                <w:sz w:val="18"/>
                <w:szCs w:val="18"/>
              </w:rPr>
            </w:pPr>
            <w:r w:rsidRPr="00E26583">
              <w:rPr>
                <w:rFonts w:eastAsia="Times New Roman" w:cs="Times New Roman"/>
                <w:sz w:val="18"/>
                <w:szCs w:val="18"/>
              </w:rPr>
              <w:t>57.103 Patient Safety Component--Annual Hospital Survey</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6CB61C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5,400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53725AF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519A45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137</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3C307F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12330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C16089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455667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$722,538</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1B48F7F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693EDEDB"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7426681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00733C55" w14:textId="77777777">
            <w:pPr>
              <w:spacing w:after="0" w:line="240" w:lineRule="auto"/>
              <w:rPr>
                <w:rFonts w:eastAsia="Times New Roman" w:cs="Times New Roman"/>
                <w:sz w:val="18"/>
                <w:szCs w:val="18"/>
              </w:rPr>
            </w:pPr>
            <w:r w:rsidRPr="00E26583">
              <w:rPr>
                <w:rFonts w:eastAsia="Times New Roman" w:cs="Times New Roman"/>
                <w:sz w:val="18"/>
                <w:szCs w:val="18"/>
              </w:rPr>
              <w:t>57.104 NHSN Facility Administrator Change Request Form</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5FDE289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8C762D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428F7A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2B1980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67</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22361D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26D98F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$3,926</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01926BD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1736B0E"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2BF85EA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72545C4C" w14:textId="77777777">
            <w:pPr>
              <w:spacing w:after="0" w:line="240" w:lineRule="auto"/>
              <w:rPr>
                <w:rFonts w:eastAsia="Times New Roman" w:cs="Times New Roman"/>
                <w:sz w:val="18"/>
                <w:szCs w:val="18"/>
              </w:rPr>
            </w:pPr>
            <w:r w:rsidRPr="00E26583">
              <w:rPr>
                <w:rFonts w:eastAsia="Times New Roman" w:cs="Times New Roman"/>
                <w:sz w:val="18"/>
                <w:szCs w:val="18"/>
              </w:rPr>
              <w:t>57.105 Group Contact Information</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965C6D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0893FD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C62842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A759C3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83</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CF7038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$50.85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B4E73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$4,221</w:t>
            </w:r>
          </w:p>
        </w:tc>
        <w:tc>
          <w:tcPr>
            <w:tcW w:w="2679" w:type="dxa"/>
            <w:tcBorders>
              <w:top w:val="nil"/>
              <w:left w:val="nil"/>
              <w:bottom w:val="single" w:sz="4" w:space="0" w:color="auto"/>
              <w:right w:val="single" w:sz="4" w:space="0" w:color="auto"/>
            </w:tcBorders>
            <w:shd w:val="clear" w:color="000000" w:fill="FFFFFF"/>
            <w:vAlign w:val="center"/>
            <w:hideMark/>
          </w:tcPr>
          <w:p w:rsidR="00E26583" w:rsidRPr="00E26583" w:rsidP="00E26583" w14:paraId="2B9FEDD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Epidemiologists</w:t>
            </w:r>
          </w:p>
        </w:tc>
      </w:tr>
      <w:tr w14:paraId="45B00CE2"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33DEC2C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03E39CE6" w14:textId="77777777">
            <w:pPr>
              <w:spacing w:after="0" w:line="240" w:lineRule="auto"/>
              <w:rPr>
                <w:rFonts w:eastAsia="Times New Roman" w:cs="Times New Roman"/>
                <w:sz w:val="18"/>
                <w:szCs w:val="18"/>
              </w:rPr>
            </w:pPr>
            <w:r w:rsidRPr="00E26583">
              <w:rPr>
                <w:rFonts w:eastAsia="Times New Roman" w:cs="Times New Roman"/>
                <w:sz w:val="18"/>
                <w:szCs w:val="18"/>
              </w:rPr>
              <w:t>57.106 Patient Safety Monthly Reporting Plan</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E06CB0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7,821</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5A8344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50EA1BA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0338E6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23463</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4EA591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D67804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$1,374,932</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06B0BF8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08DFCFF8"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0DEB237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10BBDB75" w14:textId="77777777">
            <w:pPr>
              <w:spacing w:after="0" w:line="240" w:lineRule="auto"/>
              <w:rPr>
                <w:rFonts w:eastAsia="Times New Roman" w:cs="Times New Roman"/>
                <w:sz w:val="18"/>
                <w:szCs w:val="18"/>
              </w:rPr>
            </w:pPr>
            <w:r w:rsidRPr="00E26583">
              <w:rPr>
                <w:rFonts w:eastAsia="Times New Roman" w:cs="Times New Roman"/>
                <w:sz w:val="18"/>
                <w:szCs w:val="18"/>
              </w:rPr>
              <w:t>57.108 Primary Bloodstream Infection (BSI)</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1DEC17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6,000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9B0C14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CF3B2D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42</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C2080C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50400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5F82AD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C8FE22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$2,953,440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46E2E10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7500F280"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0D3A0B5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06D14BC4" w14:textId="77777777">
            <w:pPr>
              <w:spacing w:after="0" w:line="240" w:lineRule="auto"/>
              <w:rPr>
                <w:rFonts w:eastAsia="Times New Roman" w:cs="Times New Roman"/>
                <w:sz w:val="18"/>
                <w:szCs w:val="18"/>
              </w:rPr>
            </w:pPr>
            <w:r w:rsidRPr="00E26583">
              <w:rPr>
                <w:rFonts w:eastAsia="Times New Roman" w:cs="Times New Roman"/>
                <w:sz w:val="18"/>
                <w:szCs w:val="18"/>
              </w:rPr>
              <w:t>57.111 Pneumonia (PNEU)</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654652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EB9B04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4ABB01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34</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98E38B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2040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022BBB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F874EC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$119,544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04E58A8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0FAB681"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406409F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8DE3CB0" w14:textId="77777777">
            <w:pPr>
              <w:spacing w:after="0" w:line="240" w:lineRule="auto"/>
              <w:rPr>
                <w:rFonts w:eastAsia="Times New Roman" w:cs="Times New Roman"/>
                <w:sz w:val="18"/>
                <w:szCs w:val="18"/>
              </w:rPr>
            </w:pPr>
            <w:r w:rsidRPr="00E26583">
              <w:rPr>
                <w:rFonts w:eastAsia="Times New Roman" w:cs="Times New Roman"/>
                <w:sz w:val="18"/>
                <w:szCs w:val="18"/>
              </w:rPr>
              <w:t>57.112 Ventilator-Associated Event (VAE)</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0CB197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5463</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A9D72F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54FCA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32</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11335D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23309</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904593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6DF2EA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$1,365,907</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1B0CB14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B55FCD1"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3D38636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374A5FE1" w14:textId="77777777">
            <w:pPr>
              <w:spacing w:after="0" w:line="240" w:lineRule="auto"/>
              <w:rPr>
                <w:rFonts w:eastAsia="Times New Roman" w:cs="Times New Roman"/>
                <w:sz w:val="18"/>
                <w:szCs w:val="18"/>
              </w:rPr>
            </w:pPr>
            <w:r w:rsidRPr="00E26583">
              <w:rPr>
                <w:rFonts w:eastAsia="Times New Roman" w:cs="Times New Roman"/>
                <w:sz w:val="18"/>
                <w:szCs w:val="18"/>
              </w:rPr>
              <w:t>57.113 Pediatric Ventilator-Associated Event (</w:t>
            </w:r>
            <w:r w:rsidRPr="00E26583">
              <w:rPr>
                <w:rFonts w:eastAsia="Times New Roman" w:cs="Times New Roman"/>
                <w:sz w:val="18"/>
                <w:szCs w:val="18"/>
              </w:rPr>
              <w:t>PedVAE</w:t>
            </w:r>
            <w:r w:rsidRPr="00E26583">
              <w:rPr>
                <w:rFonts w:eastAsia="Times New Roman" w:cs="Times New Roman"/>
                <w:sz w:val="18"/>
                <w:szCs w:val="18"/>
              </w:rPr>
              <w:t>)</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B4CFF1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334</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3E2488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B06427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34</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A30584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189</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BB834B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4CA8FB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$11,075</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29F9484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405084D0"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0CD0CCE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41514768" w14:textId="77777777">
            <w:pPr>
              <w:spacing w:after="0" w:line="240" w:lineRule="auto"/>
              <w:rPr>
                <w:rFonts w:eastAsia="Times New Roman" w:cs="Times New Roman"/>
                <w:sz w:val="18"/>
                <w:szCs w:val="18"/>
              </w:rPr>
            </w:pPr>
            <w:r w:rsidRPr="00E26583">
              <w:rPr>
                <w:rFonts w:eastAsia="Times New Roman" w:cs="Times New Roman"/>
                <w:sz w:val="18"/>
                <w:szCs w:val="18"/>
              </w:rPr>
              <w:t>57.114 Urinary Tract Infection (UTI)</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62D2EE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6000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E6E4B9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8576FC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24</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D67B92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28800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F36C5D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34FA2B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$1,687,680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112129E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052E5C9"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C0404D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713B824D" w14:textId="77777777">
            <w:pPr>
              <w:spacing w:after="0" w:line="240" w:lineRule="auto"/>
              <w:rPr>
                <w:rFonts w:eastAsia="Times New Roman" w:cs="Times New Roman"/>
                <w:sz w:val="18"/>
                <w:szCs w:val="18"/>
              </w:rPr>
            </w:pPr>
            <w:r w:rsidRPr="00E26583">
              <w:rPr>
                <w:rFonts w:eastAsia="Times New Roman" w:cs="Times New Roman"/>
                <w:sz w:val="18"/>
                <w:szCs w:val="18"/>
              </w:rPr>
              <w:t>57.115 Custom Event</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302B31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99D619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5B55E0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9E4342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35490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2B1128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E1FDF5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$2,079,714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37C8E05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21CBEBD"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77461FB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83CA00D" w14:textId="77777777">
            <w:pPr>
              <w:spacing w:after="0" w:line="240" w:lineRule="auto"/>
              <w:rPr>
                <w:rFonts w:eastAsia="Times New Roman" w:cs="Times New Roman"/>
                <w:sz w:val="18"/>
                <w:szCs w:val="18"/>
              </w:rPr>
            </w:pPr>
            <w:r w:rsidRPr="00E26583">
              <w:rPr>
                <w:rFonts w:eastAsia="Times New Roman" w:cs="Times New Roman"/>
                <w:sz w:val="18"/>
                <w:szCs w:val="18"/>
              </w:rPr>
              <w:t>57.116 Denominators for Neonatal Intensive Care Unit (NICU)</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8D4FF7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E58816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468D66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240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4F54D8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52800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1AB614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6BE92D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$3,094,080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7813291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7AEDC5E"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73CE088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422A7298" w14:textId="77777777">
            <w:pPr>
              <w:spacing w:after="0" w:line="240" w:lineRule="auto"/>
              <w:rPr>
                <w:rFonts w:eastAsia="Times New Roman" w:cs="Times New Roman"/>
                <w:sz w:val="18"/>
                <w:szCs w:val="18"/>
              </w:rPr>
            </w:pPr>
            <w:r w:rsidRPr="00E26583">
              <w:rPr>
                <w:rFonts w:eastAsia="Times New Roman" w:cs="Times New Roman"/>
                <w:sz w:val="18"/>
                <w:szCs w:val="18"/>
              </w:rPr>
              <w:t>57.117 Denominators for Specialty Care Area (SCA)/Oncology (ONC)</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17B10C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93E864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EB2BE7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A42BA0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CE822C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08AB34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$1,758,000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040BE72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6A7B1DC1"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A48D3E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06F5D88E" w14:textId="77777777">
            <w:pPr>
              <w:spacing w:after="0" w:line="240" w:lineRule="auto"/>
              <w:rPr>
                <w:rFonts w:eastAsia="Times New Roman" w:cs="Times New Roman"/>
                <w:sz w:val="18"/>
                <w:szCs w:val="18"/>
              </w:rPr>
            </w:pPr>
            <w:r w:rsidRPr="00E26583">
              <w:rPr>
                <w:rFonts w:eastAsia="Times New Roman" w:cs="Times New Roman"/>
                <w:sz w:val="18"/>
                <w:szCs w:val="18"/>
              </w:rPr>
              <w:t>57.118 Denominators for Intensive Care Unit (ICU)/Other locations (not NICU or SCA)</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081635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ECC59A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60</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097D76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C2F305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1650000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95E034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6B0588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$96,690,000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1641843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0964539"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1031702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17</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3A81F05" w14:textId="77777777">
            <w:pPr>
              <w:spacing w:after="0" w:line="240" w:lineRule="auto"/>
              <w:rPr>
                <w:rFonts w:eastAsia="Times New Roman" w:cs="Times New Roman"/>
                <w:sz w:val="18"/>
                <w:szCs w:val="18"/>
              </w:rPr>
            </w:pPr>
            <w:r w:rsidRPr="00E26583">
              <w:rPr>
                <w:rFonts w:eastAsia="Times New Roman" w:cs="Times New Roman"/>
                <w:sz w:val="18"/>
                <w:szCs w:val="18"/>
              </w:rPr>
              <w:t>57.120 Surgical Site Infection (SSI)</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3BAEC0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3,800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4FD303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02EA07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7CDE45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10640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0BCEC6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AC580A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$623,504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65E4AB8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7B4F85BF"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FEA5EF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0D4B1476" w14:textId="77777777">
            <w:pPr>
              <w:spacing w:after="0" w:line="240" w:lineRule="auto"/>
              <w:rPr>
                <w:rFonts w:eastAsia="Times New Roman" w:cs="Times New Roman"/>
                <w:sz w:val="18"/>
                <w:szCs w:val="18"/>
              </w:rPr>
            </w:pPr>
            <w:r w:rsidRPr="00E26583">
              <w:rPr>
                <w:rFonts w:eastAsia="Times New Roman" w:cs="Times New Roman"/>
                <w:sz w:val="18"/>
                <w:szCs w:val="18"/>
              </w:rPr>
              <w:t>57.121 Denominator for Procedure</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45CB2C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3,800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3437A2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EB2C9D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BF53CF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10640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A312BC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B69F70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$623,504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4B36405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04FFE40"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34CAF46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19</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690F3C14" w14:textId="77777777">
            <w:pPr>
              <w:spacing w:after="0" w:line="240" w:lineRule="auto"/>
              <w:rPr>
                <w:rFonts w:eastAsia="Times New Roman" w:cs="Times New Roman"/>
                <w:sz w:val="18"/>
                <w:szCs w:val="18"/>
              </w:rPr>
            </w:pPr>
            <w:r w:rsidRPr="00E26583">
              <w:rPr>
                <w:rFonts w:eastAsia="Times New Roman" w:cs="Times New Roman"/>
                <w:sz w:val="18"/>
                <w:szCs w:val="18"/>
              </w:rPr>
              <w:t>57.122 HAI Progress Report State Health Department Survey</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880C69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F4FB4A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FD3033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D2E97C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46</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F8104A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$50.85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39D762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$2,339</w:t>
            </w:r>
          </w:p>
        </w:tc>
        <w:tc>
          <w:tcPr>
            <w:tcW w:w="2679" w:type="dxa"/>
            <w:tcBorders>
              <w:top w:val="nil"/>
              <w:left w:val="nil"/>
              <w:bottom w:val="single" w:sz="4" w:space="0" w:color="auto"/>
              <w:right w:val="single" w:sz="4" w:space="0" w:color="auto"/>
            </w:tcBorders>
            <w:shd w:val="clear" w:color="000000" w:fill="FFFFFF"/>
            <w:vAlign w:val="center"/>
            <w:hideMark/>
          </w:tcPr>
          <w:p w:rsidR="00E26583" w:rsidRPr="00E26583" w:rsidP="00E26583" w14:paraId="3ACB9CE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Epidemiologists</w:t>
            </w:r>
          </w:p>
        </w:tc>
      </w:tr>
      <w:tr w14:paraId="4AA9F042"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07D9A20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p>
        </w:tc>
        <w:tc>
          <w:tcPr>
            <w:tcW w:w="4733" w:type="dxa"/>
            <w:tcBorders>
              <w:top w:val="nil"/>
              <w:left w:val="nil"/>
              <w:bottom w:val="single" w:sz="4" w:space="0" w:color="auto"/>
              <w:right w:val="single" w:sz="4" w:space="0" w:color="auto"/>
            </w:tcBorders>
            <w:shd w:val="clear" w:color="000000" w:fill="FFFF00"/>
            <w:vAlign w:val="center"/>
            <w:hideMark/>
          </w:tcPr>
          <w:p w:rsidR="00E26583" w:rsidRPr="00E26583" w:rsidP="00E26583" w14:paraId="432A035E" w14:textId="77777777">
            <w:pPr>
              <w:spacing w:after="0" w:line="240" w:lineRule="auto"/>
              <w:rPr>
                <w:rFonts w:eastAsia="Times New Roman" w:cs="Times New Roman"/>
                <w:sz w:val="18"/>
                <w:szCs w:val="18"/>
              </w:rPr>
            </w:pPr>
            <w:r w:rsidRPr="00E26583">
              <w:rPr>
                <w:rFonts w:eastAsia="Times New Roman" w:cs="Times New Roman"/>
                <w:sz w:val="18"/>
                <w:szCs w:val="18"/>
              </w:rPr>
              <w:t>57.123 Antimicrobial Use and Resistance (AUR)-Microbiology Data Electronic Upload Specification Tables-Initial Set-up</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DD00DA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2200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1A8BE1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190A2C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4800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4C1E8B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176000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E0A6DE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$69.36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1272F8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$12,207,360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37581EF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Pharmacist </w:t>
            </w:r>
          </w:p>
        </w:tc>
      </w:tr>
      <w:tr w14:paraId="3B504F50" w14:textId="77777777" w:rsidTr="00A349E0">
        <w:tblPrEx>
          <w:tblW w:w="17259" w:type="dxa"/>
          <w:tblLook w:val="04A0"/>
        </w:tblPrEx>
        <w:trPr>
          <w:trHeight w:val="69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7472E2B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00"/>
            <w:vAlign w:val="center"/>
            <w:hideMark/>
          </w:tcPr>
          <w:p w:rsidR="00E26583" w:rsidRPr="00E26583" w:rsidP="00E26583" w14:paraId="7670CFBC"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57.123 Antimicrobial Use and Resistance (AUR)-Microbiology Data Electronic Upload Specification Tables-Yearly Maintenance </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0DE5B4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3300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D618A7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20ABE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135F7A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13200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E69F9B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$69.36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29E931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$915,552</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487E961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Pharmacist </w:t>
            </w:r>
          </w:p>
        </w:tc>
      </w:tr>
      <w:tr w14:paraId="5DE2D8E1"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12FF85E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6FC1DB71"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57.123 Antimicrobial Use and Resistance (AUR)-Microbiology Data Electronic Upload Specification Tables-Monthly </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B0C72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77FCA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C833EC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20D49B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2D0D1A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$69.36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008096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$381,480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3F5C959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Pharmacist </w:t>
            </w:r>
          </w:p>
        </w:tc>
      </w:tr>
      <w:tr w14:paraId="79F824DF"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2A71D9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21</w:t>
            </w:r>
          </w:p>
        </w:tc>
        <w:tc>
          <w:tcPr>
            <w:tcW w:w="4733" w:type="dxa"/>
            <w:tcBorders>
              <w:top w:val="nil"/>
              <w:left w:val="nil"/>
              <w:bottom w:val="single" w:sz="4" w:space="0" w:color="auto"/>
              <w:right w:val="single" w:sz="4" w:space="0" w:color="auto"/>
            </w:tcBorders>
            <w:shd w:val="clear" w:color="000000" w:fill="FFFF00"/>
            <w:vAlign w:val="center"/>
            <w:hideMark/>
          </w:tcPr>
          <w:p w:rsidR="00E26583" w:rsidRPr="00E26583" w:rsidP="00E26583" w14:paraId="4026C1E8" w14:textId="77777777">
            <w:pPr>
              <w:spacing w:after="0" w:line="240" w:lineRule="auto"/>
              <w:rPr>
                <w:rFonts w:eastAsia="Times New Roman" w:cs="Times New Roman"/>
                <w:sz w:val="18"/>
                <w:szCs w:val="18"/>
              </w:rPr>
            </w:pPr>
            <w:r w:rsidRPr="00E26583">
              <w:rPr>
                <w:rFonts w:eastAsia="Times New Roman" w:cs="Times New Roman"/>
                <w:sz w:val="18"/>
                <w:szCs w:val="18"/>
              </w:rPr>
              <w:t>57.124 Antimicrobial Use and Resistance (AUR)-Pharmacy Data Electronic Upload Specification Tables-Initial Set-up</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9E9C6E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87FB1A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5CE4C0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2400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6484B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60000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E73A0F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$69.36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4F1FD0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$4,161,600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1284568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Pharmacist </w:t>
            </w:r>
          </w:p>
        </w:tc>
      </w:tr>
      <w:tr w14:paraId="593255C2" w14:textId="77777777" w:rsidTr="00A349E0">
        <w:tblPrEx>
          <w:tblW w:w="17259" w:type="dxa"/>
          <w:tblLook w:val="04A0"/>
        </w:tblPrEx>
        <w:trPr>
          <w:trHeight w:val="69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3FAB892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00"/>
            <w:vAlign w:val="center"/>
            <w:hideMark/>
          </w:tcPr>
          <w:p w:rsidR="00E26583" w:rsidRPr="00E26583" w:rsidP="00E26583" w14:paraId="32BA8174" w14:textId="77777777">
            <w:pPr>
              <w:spacing w:after="0" w:line="240" w:lineRule="auto"/>
              <w:rPr>
                <w:rFonts w:eastAsia="Times New Roman" w:cs="Times New Roman"/>
                <w:sz w:val="18"/>
                <w:szCs w:val="18"/>
              </w:rPr>
            </w:pPr>
            <w:r w:rsidRPr="00E26583">
              <w:rPr>
                <w:rFonts w:eastAsia="Times New Roman" w:cs="Times New Roman"/>
                <w:sz w:val="18"/>
                <w:szCs w:val="18"/>
              </w:rPr>
              <w:t>57.124 Antimicrobial Use and Resistance (AUR)-Pharmacy Data Electronic Upload Specification Tables-Yearly Maintenance</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8050D8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4,000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4E45AA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7762FA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C0FE17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8000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849F92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$69.36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8E86CB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$554,880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379E912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Pharmacist </w:t>
            </w:r>
          </w:p>
        </w:tc>
      </w:tr>
      <w:tr w14:paraId="65F5C42D"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7B10EB3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31C5A7F"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57.124 Antimicrobial Use and Resistance (AUR)-Pharmacy Data Electronic Upload Specification Tables-Monthly </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1C898E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79F66F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93D9AF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B6E33D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DC8567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$69.36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9A9FA7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$381,480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48FB263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Pharmacist </w:t>
            </w:r>
          </w:p>
        </w:tc>
      </w:tr>
      <w:tr w14:paraId="61E4971B"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2073D50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22</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16C04FDA" w14:textId="77777777">
            <w:pPr>
              <w:spacing w:after="0" w:line="240" w:lineRule="auto"/>
              <w:rPr>
                <w:rFonts w:eastAsia="Times New Roman" w:cs="Times New Roman"/>
                <w:sz w:val="18"/>
                <w:szCs w:val="18"/>
              </w:rPr>
            </w:pPr>
            <w:r w:rsidRPr="00E26583">
              <w:rPr>
                <w:rFonts w:eastAsia="Times New Roman" w:cs="Times New Roman"/>
                <w:sz w:val="18"/>
                <w:szCs w:val="18"/>
              </w:rPr>
              <w:t>57.125 Central Line Insertion Practices Adherence Monitoring</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AC41DA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0B2B07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213</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228976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26</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A46146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46150</w:t>
            </w:r>
          </w:p>
        </w:tc>
        <w:tc>
          <w:tcPr>
            <w:tcW w:w="108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D89969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$39.54 </w:t>
            </w:r>
          </w:p>
        </w:tc>
        <w:tc>
          <w:tcPr>
            <w:tcW w:w="198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2643E7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$1,824,771 </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7ABDE41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B14F373"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1985C2C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3B8CEE5B" w14:textId="77777777">
            <w:pPr>
              <w:spacing w:after="0" w:line="240" w:lineRule="auto"/>
              <w:rPr>
                <w:rFonts w:eastAsia="Times New Roman" w:cs="Times New Roman"/>
                <w:sz w:val="18"/>
                <w:szCs w:val="18"/>
              </w:rPr>
            </w:pPr>
            <w:r w:rsidRPr="00E26583">
              <w:rPr>
                <w:rFonts w:eastAsia="Times New Roman" w:cs="Times New Roman"/>
                <w:sz w:val="18"/>
                <w:szCs w:val="18"/>
              </w:rPr>
              <w:t>57.126 MDRO or CDI Infection Form</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8A0F22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720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176748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860EE8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34</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9AC881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4896</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AECBCE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718DE9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$286,906</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7020F2F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20DC7356"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2DCC4BD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24</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1186080B"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57.127 MDRO and CDI Prevention Process and Outcome Measures Monthly Monitoring </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5DEF436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EFA4D4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29</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3730B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F7B303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39875</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3F6511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B91399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$2,336,675</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2D5B411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DC77FC2"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4441604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25</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1B16E91F" w14:textId="77777777">
            <w:pPr>
              <w:spacing w:after="0" w:line="240" w:lineRule="auto"/>
              <w:rPr>
                <w:rFonts w:eastAsia="Times New Roman" w:cs="Times New Roman"/>
                <w:sz w:val="18"/>
                <w:szCs w:val="18"/>
              </w:rPr>
            </w:pPr>
            <w:r w:rsidRPr="00E26583">
              <w:rPr>
                <w:rFonts w:eastAsia="Times New Roman" w:cs="Times New Roman"/>
                <w:sz w:val="18"/>
                <w:szCs w:val="18"/>
              </w:rPr>
              <w:t>57.128 Laboratory-identified MDRO or CDI Event</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58FA0AA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4800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B76771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AC3747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24</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757BB2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23040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BB4347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B4D9CE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$1,350,144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1B887A4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80D99BC"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497D156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26</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EAA3D9F" w14:textId="77777777">
            <w:pPr>
              <w:spacing w:after="0" w:line="240" w:lineRule="auto"/>
              <w:rPr>
                <w:rFonts w:eastAsia="Times New Roman" w:cs="Times New Roman"/>
                <w:sz w:val="18"/>
                <w:szCs w:val="18"/>
              </w:rPr>
            </w:pPr>
            <w:r w:rsidRPr="00E26583">
              <w:rPr>
                <w:rFonts w:eastAsia="Times New Roman" w:cs="Times New Roman"/>
                <w:sz w:val="18"/>
                <w:szCs w:val="18"/>
              </w:rPr>
              <w:t>57.129 Adult Sepsis</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40AE19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07E309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41B8BB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28</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FCBCA6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280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82123A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A6224D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$16,408</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022B73F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CB0FAA4"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1CCF9F9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27</w:t>
            </w:r>
          </w:p>
        </w:tc>
        <w:tc>
          <w:tcPr>
            <w:tcW w:w="4733" w:type="dxa"/>
            <w:tcBorders>
              <w:top w:val="nil"/>
              <w:left w:val="nil"/>
              <w:bottom w:val="single" w:sz="4" w:space="0" w:color="auto"/>
              <w:right w:val="single" w:sz="4" w:space="0" w:color="auto"/>
            </w:tcBorders>
            <w:shd w:val="clear" w:color="000000" w:fill="FFFF00"/>
            <w:vAlign w:val="center"/>
            <w:hideMark/>
          </w:tcPr>
          <w:p w:rsidR="00E26583" w:rsidRPr="00E26583" w:rsidP="00E26583" w14:paraId="64290EC2"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57.130 Pathogens of High Consequence </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628123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3650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A4F13A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365</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6B2DC4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6B9FA2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666125</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7BF240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AD6FE3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w:t>
            </w:r>
            <w:r w:rsidR="003A1DD7">
              <w:rPr>
                <w:rFonts w:eastAsia="Times New Roman" w:cs="Times New Roman"/>
                <w:color w:val="000000"/>
                <w:sz w:val="18"/>
                <w:szCs w:val="18"/>
              </w:rPr>
              <w:t>39,034,925</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04E412C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A6C1037" w14:textId="77777777" w:rsidTr="00A349E0">
        <w:tblPrEx>
          <w:tblW w:w="17259" w:type="dxa"/>
          <w:tblLook w:val="04A0"/>
        </w:tblPrEx>
        <w:trPr>
          <w:trHeight w:val="69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C8C2EB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28</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8E8BA62" w14:textId="77777777">
            <w:pPr>
              <w:spacing w:after="0" w:line="240" w:lineRule="auto"/>
              <w:rPr>
                <w:rFonts w:eastAsia="Times New Roman" w:cs="Times New Roman"/>
                <w:sz w:val="18"/>
                <w:szCs w:val="18"/>
              </w:rPr>
            </w:pPr>
            <w:r w:rsidRPr="00E26583">
              <w:rPr>
                <w:rFonts w:eastAsia="Times New Roman" w:cs="Times New Roman"/>
                <w:sz w:val="18"/>
                <w:szCs w:val="18"/>
              </w:rPr>
              <w:t>57.132 Patient Safety Component Digital Measure Reporting Plan (HOB, HT-CDI, VTE, Adult Sepsis, RPS, NVAP)-IT Initial Set up</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343195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030135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1</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F62F0C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1620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1BD06F3"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148500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BC0525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C23F168" w14:textId="77777777">
            <w:pPr>
              <w:spacing w:after="0" w:line="240" w:lineRule="auto"/>
              <w:jc w:val="center"/>
              <w:rPr>
                <w:rFonts w:eastAsia="Times New Roman" w:cs="Times New Roman"/>
                <w:b/>
                <w:bCs/>
                <w:color w:val="000000"/>
                <w:sz w:val="18"/>
                <w:szCs w:val="18"/>
              </w:rPr>
            </w:pPr>
            <w:r w:rsidRPr="00E26583">
              <w:rPr>
                <w:rFonts w:eastAsia="Times New Roman" w:cs="Times New Roman"/>
                <w:b/>
                <w:bCs/>
                <w:color w:val="000000"/>
                <w:sz w:val="18"/>
                <w:szCs w:val="18"/>
              </w:rPr>
              <w:t>$8,390,250</w:t>
            </w:r>
          </w:p>
        </w:tc>
        <w:tc>
          <w:tcPr>
            <w:tcW w:w="2679" w:type="dxa"/>
            <w:tcBorders>
              <w:top w:val="nil"/>
              <w:left w:val="nil"/>
              <w:bottom w:val="single" w:sz="4" w:space="0" w:color="auto"/>
              <w:right w:val="single" w:sz="4" w:space="0" w:color="auto"/>
            </w:tcBorders>
            <w:shd w:val="clear" w:color="000000" w:fill="FFFFFF"/>
            <w:vAlign w:val="center"/>
            <w:hideMark/>
          </w:tcPr>
          <w:p w:rsidR="00E26583" w:rsidRPr="00E26583" w:rsidP="00E26583" w14:paraId="49F0EAC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2CD619D3" w14:textId="77777777" w:rsidTr="00A349E0">
        <w:tblPrEx>
          <w:tblW w:w="17259" w:type="dxa"/>
          <w:tblLook w:val="04A0"/>
        </w:tblPrEx>
        <w:trPr>
          <w:trHeight w:val="69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5EB6D6B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2758D273" w14:textId="77777777">
            <w:pPr>
              <w:spacing w:after="0" w:line="240" w:lineRule="auto"/>
              <w:rPr>
                <w:rFonts w:eastAsia="Times New Roman" w:cs="Times New Roman"/>
                <w:sz w:val="18"/>
                <w:szCs w:val="18"/>
              </w:rPr>
            </w:pPr>
            <w:r w:rsidRPr="00E26583">
              <w:rPr>
                <w:rFonts w:eastAsia="Times New Roman" w:cs="Times New Roman"/>
                <w:sz w:val="18"/>
                <w:szCs w:val="18"/>
              </w:rPr>
              <w:t>57.132 Patient Safety Component Digital Measure Reporting Plan (HOB, HT-CDI, VTE, Adult Sepsis, RPS, NVAP)-IT Yearly Maintenance</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58E4BB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EFA647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6ED3F0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1200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69733C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110000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1A9288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184FD2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$6,215,000</w:t>
            </w:r>
          </w:p>
        </w:tc>
        <w:tc>
          <w:tcPr>
            <w:tcW w:w="2679" w:type="dxa"/>
            <w:tcBorders>
              <w:top w:val="nil"/>
              <w:left w:val="nil"/>
              <w:bottom w:val="single" w:sz="4" w:space="0" w:color="auto"/>
              <w:right w:val="single" w:sz="4" w:space="0" w:color="auto"/>
            </w:tcBorders>
            <w:shd w:val="clear" w:color="000000" w:fill="FFFFFF"/>
            <w:vAlign w:val="center"/>
            <w:hideMark/>
          </w:tcPr>
          <w:p w:rsidR="00E26583" w:rsidRPr="00E26583" w:rsidP="00E26583" w14:paraId="25F1159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537FABD8" w14:textId="77777777" w:rsidTr="00A349E0">
        <w:tblPrEx>
          <w:tblW w:w="17259" w:type="dxa"/>
          <w:tblLook w:val="04A0"/>
        </w:tblPrEx>
        <w:trPr>
          <w:trHeight w:val="69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2CA9709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nil"/>
              <w:right w:val="nil"/>
            </w:tcBorders>
            <w:shd w:val="clear" w:color="000000" w:fill="FFFFFF"/>
            <w:vAlign w:val="bottom"/>
            <w:hideMark/>
          </w:tcPr>
          <w:p w:rsidR="00E26583" w:rsidRPr="00E26583" w:rsidP="00E26583" w14:paraId="7B505E5D" w14:textId="77777777">
            <w:pPr>
              <w:spacing w:after="0" w:line="240" w:lineRule="auto"/>
              <w:rPr>
                <w:rFonts w:eastAsia="Times New Roman" w:cs="Times New Roman"/>
                <w:color w:val="000000"/>
                <w:sz w:val="18"/>
                <w:szCs w:val="18"/>
              </w:rPr>
            </w:pPr>
            <w:r w:rsidRPr="00E26583">
              <w:rPr>
                <w:rFonts w:eastAsia="Times New Roman" w:cs="Times New Roman"/>
                <w:color w:val="000000"/>
                <w:sz w:val="18"/>
                <w:szCs w:val="18"/>
              </w:rPr>
              <w:t>57.132 Patient Safety Component Digital Measure Reporting Plan (HOB, HT-CDI, VTE, Adult Sepsis, RPS, NVAP)-Infection Preventionist</w:t>
            </w:r>
          </w:p>
        </w:tc>
        <w:tc>
          <w:tcPr>
            <w:tcW w:w="1197" w:type="dxa"/>
            <w:tcBorders>
              <w:top w:val="nil"/>
              <w:left w:val="single" w:sz="4" w:space="0" w:color="auto"/>
              <w:bottom w:val="single" w:sz="4" w:space="0" w:color="auto"/>
              <w:right w:val="single" w:sz="4" w:space="0" w:color="auto"/>
            </w:tcBorders>
            <w:shd w:val="clear" w:color="000000" w:fill="FFFFFF"/>
            <w:noWrap/>
            <w:vAlign w:val="center"/>
            <w:hideMark/>
          </w:tcPr>
          <w:p w:rsidR="00E26583" w:rsidRPr="00E26583" w:rsidP="00E26583" w14:paraId="5541010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9D080D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EECA80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7F602A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3667</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3D0CE2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C80C5C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w:t>
            </w:r>
            <w:r w:rsidR="003A1DD7">
              <w:rPr>
                <w:rFonts w:eastAsia="Times New Roman" w:cs="Times New Roman"/>
                <w:color w:val="000000"/>
                <w:sz w:val="18"/>
                <w:szCs w:val="18"/>
              </w:rPr>
              <w:t>214,886</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1330D59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E8D6F48"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3F0661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single" w:sz="4" w:space="0" w:color="auto"/>
              <w:left w:val="nil"/>
              <w:bottom w:val="single" w:sz="4" w:space="0" w:color="auto"/>
              <w:right w:val="single" w:sz="4" w:space="0" w:color="auto"/>
            </w:tcBorders>
            <w:shd w:val="clear" w:color="000000" w:fill="FFFFFF"/>
            <w:vAlign w:val="center"/>
            <w:hideMark/>
          </w:tcPr>
          <w:p w:rsidR="00E26583" w:rsidRPr="00E26583" w:rsidP="00E26583" w14:paraId="188889E6" w14:textId="77777777">
            <w:pPr>
              <w:spacing w:after="0" w:line="240" w:lineRule="auto"/>
              <w:rPr>
                <w:rFonts w:eastAsia="Times New Roman" w:cs="Times New Roman"/>
                <w:sz w:val="18"/>
                <w:szCs w:val="18"/>
              </w:rPr>
            </w:pPr>
            <w:r w:rsidRPr="00E26583">
              <w:rPr>
                <w:rFonts w:eastAsia="Times New Roman" w:cs="Times New Roman"/>
                <w:sz w:val="18"/>
                <w:szCs w:val="18"/>
              </w:rPr>
              <w:t>57.132 Patient Safety Digital Reporting Plan (RPS CSV)</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91EE95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1EB601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365</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7DD21AE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005E49B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66917</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C3E9D7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92BA99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$3,921,336</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2B16A38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24501BB7"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32F2D7D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29</w:t>
            </w:r>
          </w:p>
        </w:tc>
        <w:tc>
          <w:tcPr>
            <w:tcW w:w="4733" w:type="dxa"/>
            <w:tcBorders>
              <w:top w:val="nil"/>
              <w:left w:val="nil"/>
              <w:bottom w:val="single" w:sz="4" w:space="0" w:color="auto"/>
              <w:right w:val="single" w:sz="4" w:space="0" w:color="auto"/>
            </w:tcBorders>
            <w:shd w:val="clear" w:color="000000" w:fill="FFFF00"/>
            <w:vAlign w:val="center"/>
            <w:hideMark/>
          </w:tcPr>
          <w:p w:rsidR="00E26583" w:rsidRPr="00E26583" w:rsidP="00E26583" w14:paraId="294E9C1C"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57.133 Patient Safety Attestation </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7C7AB9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3500</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20DF23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C12946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FD329F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583</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2FF170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F23E12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$34,164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7E808A8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60D4F0D6"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304402E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3C2F9C47" w14:textId="77777777">
            <w:pPr>
              <w:spacing w:after="0" w:line="240" w:lineRule="auto"/>
              <w:rPr>
                <w:rFonts w:eastAsia="Times New Roman" w:cs="Times New Roman"/>
                <w:sz w:val="18"/>
                <w:szCs w:val="18"/>
              </w:rPr>
            </w:pPr>
            <w:r w:rsidRPr="00E26583">
              <w:rPr>
                <w:rFonts w:eastAsia="Times New Roman" w:cs="Times New Roman"/>
                <w:sz w:val="18"/>
                <w:szCs w:val="18"/>
              </w:rPr>
              <w:t>57.137 Long-Term Care Facility Component – Annual Facility Survey</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98B132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6,270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76AA45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12EBFE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135</w:t>
            </w:r>
            <w:r w:rsidR="00C5312F">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9839EE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14108</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975174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C0A100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$826,729</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29168AB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8B9AF61"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42837D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31</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75F2A40B" w14:textId="77777777">
            <w:pPr>
              <w:spacing w:after="0" w:line="240" w:lineRule="auto"/>
              <w:rPr>
                <w:rFonts w:eastAsia="Times New Roman" w:cs="Times New Roman"/>
                <w:sz w:val="18"/>
                <w:szCs w:val="18"/>
              </w:rPr>
            </w:pPr>
            <w:r w:rsidRPr="00E26583">
              <w:rPr>
                <w:rFonts w:eastAsia="Times New Roman" w:cs="Times New Roman"/>
                <w:sz w:val="18"/>
                <w:szCs w:val="18"/>
              </w:rPr>
              <w:t>57.138 Laboratory-identified MDRO or CDI Event for LTCF</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88C26A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286</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3B34A1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24</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02EB04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A2D255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2631</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0FDCE5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3E120F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$154,177</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5EB9CB5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C6641AC"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2689E49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32</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13146D13" w14:textId="77777777">
            <w:pPr>
              <w:spacing w:after="0" w:line="240" w:lineRule="auto"/>
              <w:rPr>
                <w:rFonts w:eastAsia="Times New Roman" w:cs="Times New Roman"/>
                <w:sz w:val="18"/>
                <w:szCs w:val="18"/>
              </w:rPr>
            </w:pPr>
            <w:r w:rsidRPr="00E26583">
              <w:rPr>
                <w:rFonts w:eastAsia="Times New Roman" w:cs="Times New Roman"/>
                <w:sz w:val="18"/>
                <w:szCs w:val="18"/>
              </w:rPr>
              <w:t>57.139 MDRO and CDI Prevention Process Measures Monthly Monitoring for LTCF</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1A9260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738</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125AAC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D143C0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C50905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1476</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9BD6C3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2ED25F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$86,494</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5ED6401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026F8C2D"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59F2499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33</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3EFED59D" w14:textId="77777777">
            <w:pPr>
              <w:spacing w:after="0" w:line="240" w:lineRule="auto"/>
              <w:rPr>
                <w:rFonts w:eastAsia="Times New Roman" w:cs="Times New Roman"/>
                <w:sz w:val="18"/>
                <w:szCs w:val="18"/>
              </w:rPr>
            </w:pPr>
            <w:r w:rsidRPr="00E26583">
              <w:rPr>
                <w:rFonts w:eastAsia="Times New Roman" w:cs="Times New Roman"/>
                <w:sz w:val="18"/>
                <w:szCs w:val="18"/>
              </w:rPr>
              <w:t>57.140 Urinary Tract Infection (UTI) for LTCF</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155D01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373</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41DA77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24</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0AEBCF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38</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A948B8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5670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FB88EA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646999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$332,262</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5D7F947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6EC3E6B"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0C613FE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34</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09DCC162" w14:textId="77777777">
            <w:pPr>
              <w:spacing w:after="0" w:line="240" w:lineRule="auto"/>
              <w:rPr>
                <w:rFonts w:eastAsia="Times New Roman" w:cs="Times New Roman"/>
                <w:sz w:val="18"/>
                <w:szCs w:val="18"/>
              </w:rPr>
            </w:pPr>
            <w:r w:rsidRPr="00E26583">
              <w:rPr>
                <w:rFonts w:eastAsia="Times New Roman" w:cs="Times New Roman"/>
                <w:sz w:val="18"/>
                <w:szCs w:val="18"/>
              </w:rPr>
              <w:t>57.141 Monthly Reporting Plan for LTCF</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4F395D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546</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FC96F5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DC0718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AD058F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546</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5F16DB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A0B06F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$31,996</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6416BA0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45D25C01"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4023637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35</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28ABA8D8" w14:textId="77777777">
            <w:pPr>
              <w:spacing w:after="0" w:line="240" w:lineRule="auto"/>
              <w:rPr>
                <w:rFonts w:eastAsia="Times New Roman" w:cs="Times New Roman"/>
                <w:sz w:val="18"/>
                <w:szCs w:val="18"/>
              </w:rPr>
            </w:pPr>
            <w:r w:rsidRPr="00E26583">
              <w:rPr>
                <w:rFonts w:eastAsia="Times New Roman" w:cs="Times New Roman"/>
                <w:sz w:val="18"/>
                <w:szCs w:val="18"/>
              </w:rPr>
              <w:t>57.142 Denominators for LTCF Locations</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C792D6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724</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FD088F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E23217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35</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4C7420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5068</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B3D973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4DEA5B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$296,985</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6C88592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29C0F48F"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32207CF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2367BB98" w14:textId="77777777">
            <w:pPr>
              <w:spacing w:after="0" w:line="240" w:lineRule="auto"/>
              <w:rPr>
                <w:rFonts w:eastAsia="Times New Roman" w:cs="Times New Roman"/>
                <w:sz w:val="18"/>
                <w:szCs w:val="18"/>
              </w:rPr>
            </w:pPr>
            <w:r w:rsidRPr="00E26583">
              <w:rPr>
                <w:rFonts w:eastAsia="Times New Roman" w:cs="Times New Roman"/>
                <w:sz w:val="18"/>
                <w:szCs w:val="18"/>
              </w:rPr>
              <w:t>57.143 Prevention Process Measures Monthly Monitoring for LTCF</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D948D3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434</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26FA260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59203C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DA8DC3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434</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213FBE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13B4687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$25,432</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0B17C3D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23AD2FDD"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6A72E98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37</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557639EF" w14:textId="77777777">
            <w:pPr>
              <w:spacing w:after="0" w:line="240" w:lineRule="auto"/>
              <w:rPr>
                <w:rFonts w:eastAsia="Times New Roman" w:cs="Times New Roman"/>
                <w:sz w:val="18"/>
                <w:szCs w:val="18"/>
              </w:rPr>
            </w:pPr>
            <w:r w:rsidRPr="00E26583">
              <w:rPr>
                <w:rFonts w:eastAsia="Times New Roman" w:cs="Times New Roman"/>
                <w:sz w:val="18"/>
                <w:szCs w:val="18"/>
              </w:rPr>
              <w:t>57.145 Long Term Care Antimicrobial Use (LTC-AU) Module CDA</w:t>
            </w:r>
          </w:p>
        </w:tc>
        <w:tc>
          <w:tcPr>
            <w:tcW w:w="119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39967C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16,500</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1F2E407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C6BD78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6038BFD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16500</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C23AA5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F4A974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$966,900</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6B9A90A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2AEB4791"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4612043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38</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3C392832" w14:textId="77777777">
            <w:pPr>
              <w:spacing w:after="0" w:line="240" w:lineRule="auto"/>
              <w:rPr>
                <w:rFonts w:eastAsia="Times New Roman" w:cs="Times New Roman"/>
                <w:sz w:val="18"/>
                <w:szCs w:val="18"/>
              </w:rPr>
            </w:pPr>
            <w:r w:rsidRPr="00E26583">
              <w:rPr>
                <w:rFonts w:eastAsia="Times New Roman" w:cs="Times New Roman"/>
                <w:sz w:val="18"/>
                <w:szCs w:val="18"/>
              </w:rPr>
              <w:t>57.150 LTAC Annual Survey</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77C7DB0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395</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492BA09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9BBDDE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102</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73BB63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672</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8CB102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137D21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$39,379</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35842E2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4AC88673"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1F253E6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72D795C9" w14:textId="77777777">
            <w:pPr>
              <w:spacing w:after="0" w:line="240" w:lineRule="auto"/>
              <w:rPr>
                <w:rFonts w:eastAsia="Times New Roman" w:cs="Times New Roman"/>
                <w:sz w:val="18"/>
                <w:szCs w:val="18"/>
              </w:rPr>
            </w:pPr>
            <w:r w:rsidRPr="00E26583">
              <w:rPr>
                <w:rFonts w:eastAsia="Times New Roman" w:cs="Times New Roman"/>
                <w:sz w:val="18"/>
                <w:szCs w:val="18"/>
              </w:rPr>
              <w:t>57.151 Rehab Annual Survey</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539A2BD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395</w:t>
            </w:r>
          </w:p>
        </w:tc>
        <w:tc>
          <w:tcPr>
            <w:tcW w:w="11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5C90BFA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38146C3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102</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289377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672</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521281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440B069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$39,379</w:t>
            </w:r>
          </w:p>
        </w:tc>
        <w:tc>
          <w:tcPr>
            <w:tcW w:w="2679" w:type="dxa"/>
            <w:tcBorders>
              <w:top w:val="nil"/>
              <w:left w:val="nil"/>
              <w:bottom w:val="single" w:sz="4" w:space="0" w:color="auto"/>
              <w:right w:val="single" w:sz="4" w:space="0" w:color="auto"/>
            </w:tcBorders>
            <w:shd w:val="clear" w:color="000000" w:fill="FFFF00"/>
            <w:vAlign w:val="center"/>
            <w:hideMark/>
          </w:tcPr>
          <w:p w:rsidR="00E26583" w:rsidRPr="00E26583" w:rsidP="00E26583" w14:paraId="7608CDB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407B5D0"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E26583" w:rsidRPr="00E26583" w:rsidP="00E26583" w14:paraId="09DAC09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40</w:t>
            </w:r>
          </w:p>
        </w:tc>
        <w:tc>
          <w:tcPr>
            <w:tcW w:w="4733" w:type="dxa"/>
            <w:tcBorders>
              <w:top w:val="nil"/>
              <w:left w:val="nil"/>
              <w:bottom w:val="single" w:sz="4" w:space="0" w:color="auto"/>
              <w:right w:val="single" w:sz="4" w:space="0" w:color="auto"/>
            </w:tcBorders>
            <w:shd w:val="clear" w:color="000000" w:fill="FFFFFF"/>
            <w:vAlign w:val="center"/>
            <w:hideMark/>
          </w:tcPr>
          <w:p w:rsidR="00E26583" w:rsidRPr="00E26583" w:rsidP="00E26583" w14:paraId="281C5B3F" w14:textId="77777777">
            <w:pPr>
              <w:spacing w:after="0" w:line="240" w:lineRule="auto"/>
              <w:rPr>
                <w:rFonts w:eastAsia="Times New Roman" w:cs="Times New Roman"/>
                <w:sz w:val="18"/>
                <w:szCs w:val="18"/>
              </w:rPr>
            </w:pPr>
            <w:r w:rsidRPr="00E26583">
              <w:rPr>
                <w:rFonts w:eastAsia="Times New Roman" w:cs="Times New Roman"/>
                <w:sz w:val="18"/>
                <w:szCs w:val="18"/>
              </w:rPr>
              <w:t>57.211 Weekly Healthcare Personnel Influenza Vaccination Cumulative Summary for Non-Long-Term Care Facilities</w:t>
            </w:r>
            <w:r w:rsidR="00202151">
              <w:rPr>
                <w:rFonts w:eastAsia="Times New Roman" w:cs="Times New Roman"/>
                <w:sz w:val="18"/>
                <w:szCs w:val="18"/>
              </w:rPr>
              <w:t>-Manual</w:t>
            </w:r>
          </w:p>
        </w:tc>
        <w:tc>
          <w:tcPr>
            <w:tcW w:w="119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2E53E4D"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117</w:t>
            </w:r>
          </w:p>
        </w:tc>
        <w:tc>
          <w:tcPr>
            <w:tcW w:w="1127"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F93F594"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E26583" w:rsidRPr="00E26583" w:rsidP="00E26583" w14:paraId="3A40EDEE"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25</w:t>
            </w:r>
            <w:r w:rsidR="00ED324C">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67F4A205"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585</w:t>
            </w:r>
          </w:p>
        </w:tc>
        <w:tc>
          <w:tcPr>
            <w:tcW w:w="10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2EF87C8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$46.60 </w:t>
            </w:r>
          </w:p>
        </w:tc>
        <w:tc>
          <w:tcPr>
            <w:tcW w:w="1980" w:type="dxa"/>
            <w:tcBorders>
              <w:top w:val="nil"/>
              <w:left w:val="nil"/>
              <w:bottom w:val="single" w:sz="4" w:space="0" w:color="auto"/>
              <w:right w:val="single" w:sz="4" w:space="0" w:color="auto"/>
            </w:tcBorders>
            <w:shd w:val="clear" w:color="000000" w:fill="FFFF00"/>
            <w:noWrap/>
            <w:vAlign w:val="center"/>
            <w:hideMark/>
          </w:tcPr>
          <w:p w:rsidR="00E26583" w:rsidRPr="00E26583" w:rsidP="00E26583" w14:paraId="0DCCF67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r w:rsidR="00202151">
              <w:rPr>
                <w:rFonts w:eastAsia="Times New Roman" w:cs="Times New Roman"/>
                <w:color w:val="000000"/>
                <w:sz w:val="18"/>
                <w:szCs w:val="18"/>
              </w:rPr>
              <w:t>7,261</w:t>
            </w:r>
          </w:p>
        </w:tc>
        <w:tc>
          <w:tcPr>
            <w:tcW w:w="2679" w:type="dxa"/>
            <w:tcBorders>
              <w:top w:val="nil"/>
              <w:left w:val="nil"/>
              <w:bottom w:val="single" w:sz="4" w:space="0" w:color="auto"/>
              <w:right w:val="single" w:sz="4" w:space="0" w:color="auto"/>
            </w:tcBorders>
            <w:shd w:val="clear" w:color="000000" w:fill="FFFFFF"/>
            <w:vAlign w:val="center"/>
            <w:hideMark/>
          </w:tcPr>
          <w:p w:rsidR="00E26583" w:rsidRPr="00E26583" w:rsidP="00E26583" w14:paraId="0B1732E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Occupational Health RN/Specialist</w:t>
            </w:r>
          </w:p>
        </w:tc>
      </w:tr>
      <w:tr w14:paraId="475FB139" w14:textId="77777777" w:rsidTr="00465F54">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tcPr>
          <w:p w:rsidR="00202151" w:rsidRPr="00E26583" w:rsidP="00202151" w14:paraId="06D69866" w14:textId="77777777">
            <w:pPr>
              <w:spacing w:after="0" w:line="240" w:lineRule="auto"/>
              <w:jc w:val="center"/>
              <w:rPr>
                <w:rFonts w:eastAsia="Times New Roman" w:cs="Times New Roman"/>
                <w:color w:val="000000"/>
                <w:sz w:val="18"/>
                <w:szCs w:val="18"/>
              </w:rPr>
            </w:pPr>
          </w:p>
        </w:tc>
        <w:tc>
          <w:tcPr>
            <w:tcW w:w="4733" w:type="dxa"/>
            <w:tcBorders>
              <w:top w:val="nil"/>
              <w:left w:val="nil"/>
              <w:bottom w:val="single" w:sz="4" w:space="0" w:color="auto"/>
              <w:right w:val="single" w:sz="4" w:space="0" w:color="auto"/>
            </w:tcBorders>
            <w:shd w:val="clear" w:color="auto" w:fill="FFFF00"/>
            <w:vAlign w:val="center"/>
          </w:tcPr>
          <w:p w:rsidR="00202151" w:rsidRPr="00E26583" w:rsidP="00202151" w14:paraId="71A13E7E" w14:textId="77777777">
            <w:pPr>
              <w:spacing w:after="0" w:line="240" w:lineRule="auto"/>
              <w:rPr>
                <w:rFonts w:eastAsia="Times New Roman" w:cs="Times New Roman"/>
                <w:sz w:val="18"/>
                <w:szCs w:val="18"/>
              </w:rPr>
            </w:pPr>
            <w:r w:rsidRPr="00E26583">
              <w:rPr>
                <w:rFonts w:eastAsia="Times New Roman" w:cs="Times New Roman"/>
                <w:sz w:val="18"/>
                <w:szCs w:val="18"/>
              </w:rPr>
              <w:t>57.211 Weekly Healthcare Personnel Influenza Vaccination Cumulative Summary for Non-Long-Term Care Facilities</w:t>
            </w:r>
            <w:r>
              <w:rPr>
                <w:rFonts w:eastAsia="Times New Roman" w:cs="Times New Roman"/>
                <w:sz w:val="18"/>
                <w:szCs w:val="18"/>
              </w:rPr>
              <w:t>-.CSV</w:t>
            </w:r>
          </w:p>
        </w:tc>
        <w:tc>
          <w:tcPr>
            <w:tcW w:w="1197" w:type="dxa"/>
            <w:tcBorders>
              <w:top w:val="nil"/>
              <w:left w:val="nil"/>
              <w:bottom w:val="single" w:sz="4" w:space="0" w:color="auto"/>
              <w:right w:val="single" w:sz="4" w:space="0" w:color="auto"/>
            </w:tcBorders>
            <w:shd w:val="clear" w:color="auto" w:fill="FFFF00"/>
            <w:noWrap/>
            <w:vAlign w:val="center"/>
          </w:tcPr>
          <w:p w:rsidR="00202151" w:rsidRPr="00E26583" w:rsidP="00202151" w14:paraId="51E765E1"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3080</w:t>
            </w:r>
          </w:p>
        </w:tc>
        <w:tc>
          <w:tcPr>
            <w:tcW w:w="1127" w:type="dxa"/>
            <w:tcBorders>
              <w:top w:val="nil"/>
              <w:left w:val="nil"/>
              <w:bottom w:val="single" w:sz="4" w:space="0" w:color="auto"/>
              <w:right w:val="single" w:sz="4" w:space="0" w:color="auto"/>
            </w:tcBorders>
            <w:shd w:val="clear" w:color="auto" w:fill="FFFF00"/>
            <w:noWrap/>
            <w:vAlign w:val="center"/>
          </w:tcPr>
          <w:p w:rsidR="00202151" w:rsidRPr="00E26583" w:rsidP="00202151" w14:paraId="353C3730"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auto" w:fill="FFFF00"/>
            <w:noWrap/>
            <w:vAlign w:val="center"/>
          </w:tcPr>
          <w:p w:rsidR="00202151" w:rsidRPr="00E26583" w:rsidP="00202151" w14:paraId="621E0D18"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20/60</w:t>
            </w:r>
          </w:p>
        </w:tc>
        <w:tc>
          <w:tcPr>
            <w:tcW w:w="1440" w:type="dxa"/>
            <w:tcBorders>
              <w:top w:val="nil"/>
              <w:left w:val="nil"/>
              <w:bottom w:val="single" w:sz="4" w:space="0" w:color="auto"/>
              <w:right w:val="single" w:sz="4" w:space="0" w:color="auto"/>
            </w:tcBorders>
            <w:shd w:val="clear" w:color="auto" w:fill="FFFF00"/>
            <w:noWrap/>
            <w:vAlign w:val="center"/>
          </w:tcPr>
          <w:p w:rsidR="00202151" w:rsidRPr="00E26583" w:rsidP="00031EB3" w14:paraId="35E937B2" w14:textId="77777777">
            <w:pPr>
              <w:spacing w:after="0" w:line="240" w:lineRule="auto"/>
              <w:rPr>
                <w:rFonts w:eastAsia="Times New Roman" w:cs="Times New Roman"/>
                <w:color w:val="000000"/>
                <w:sz w:val="18"/>
                <w:szCs w:val="18"/>
              </w:rPr>
            </w:pPr>
            <w:r>
              <w:rPr>
                <w:rFonts w:eastAsia="Times New Roman" w:cs="Times New Roman"/>
                <w:color w:val="000000"/>
                <w:sz w:val="18"/>
                <w:szCs w:val="18"/>
              </w:rPr>
              <w:t>12320</w:t>
            </w:r>
          </w:p>
        </w:tc>
        <w:tc>
          <w:tcPr>
            <w:tcW w:w="1080" w:type="dxa"/>
            <w:tcBorders>
              <w:top w:val="nil"/>
              <w:left w:val="nil"/>
              <w:bottom w:val="single" w:sz="4" w:space="0" w:color="auto"/>
              <w:right w:val="single" w:sz="4" w:space="0" w:color="auto"/>
            </w:tcBorders>
            <w:shd w:val="clear" w:color="auto" w:fill="FFFF00"/>
            <w:noWrap/>
            <w:vAlign w:val="center"/>
          </w:tcPr>
          <w:p w:rsidR="00202151" w:rsidRPr="00E26583" w:rsidP="00202151" w14:paraId="4F0A89AB"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$46.60</w:t>
            </w:r>
          </w:p>
        </w:tc>
        <w:tc>
          <w:tcPr>
            <w:tcW w:w="1980" w:type="dxa"/>
            <w:tcBorders>
              <w:top w:val="nil"/>
              <w:left w:val="nil"/>
              <w:bottom w:val="single" w:sz="4" w:space="0" w:color="auto"/>
              <w:right w:val="single" w:sz="4" w:space="0" w:color="auto"/>
            </w:tcBorders>
            <w:shd w:val="clear" w:color="auto" w:fill="FFFF00"/>
            <w:noWrap/>
            <w:vAlign w:val="center"/>
          </w:tcPr>
          <w:p w:rsidR="00202151" w:rsidRPr="00E26583" w:rsidP="00202151" w14:paraId="62505570"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$574,112</w:t>
            </w:r>
          </w:p>
        </w:tc>
        <w:tc>
          <w:tcPr>
            <w:tcW w:w="2679" w:type="dxa"/>
            <w:tcBorders>
              <w:top w:val="nil"/>
              <w:left w:val="nil"/>
              <w:bottom w:val="single" w:sz="4" w:space="0" w:color="auto"/>
              <w:right w:val="single" w:sz="4" w:space="0" w:color="auto"/>
            </w:tcBorders>
            <w:shd w:val="clear" w:color="auto" w:fill="FFFF00"/>
            <w:vAlign w:val="center"/>
          </w:tcPr>
          <w:p w:rsidR="00202151" w:rsidRPr="00E26583" w:rsidP="00202151" w14:paraId="3EEA8E3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Occupational Health RN/Specialist</w:t>
            </w:r>
          </w:p>
        </w:tc>
      </w:tr>
      <w:tr w14:paraId="748C973B"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D1EA33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41</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B69123B" w14:textId="77777777">
            <w:pPr>
              <w:spacing w:after="0" w:line="240" w:lineRule="auto"/>
              <w:rPr>
                <w:rFonts w:eastAsia="Times New Roman" w:cs="Times New Roman"/>
                <w:sz w:val="18"/>
                <w:szCs w:val="18"/>
              </w:rPr>
            </w:pPr>
            <w:r w:rsidRPr="00E26583">
              <w:rPr>
                <w:rFonts w:eastAsia="Times New Roman" w:cs="Times New Roman"/>
                <w:sz w:val="18"/>
                <w:szCs w:val="18"/>
              </w:rPr>
              <w:t>57.214 Annual Healthcare Personnel Influenza Vaccination Summary</w:t>
            </w:r>
            <w:r>
              <w:rPr>
                <w:rFonts w:eastAsia="Times New Roman" w:cs="Times New Roman"/>
                <w:sz w:val="18"/>
                <w:szCs w:val="18"/>
              </w:rPr>
              <w:t xml:space="preserve">-Manual </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8ED4EA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22,000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2F03C9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0551E68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205387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44000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D54C16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$46.60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78CED9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$2,050,400</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44831A1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Occupational Health RN/Specialist</w:t>
            </w:r>
          </w:p>
        </w:tc>
      </w:tr>
      <w:tr w14:paraId="476FC665" w14:textId="77777777" w:rsidTr="007A391E">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tcPr>
          <w:p w:rsidR="00202151" w:rsidRPr="00E26583" w:rsidP="00202151" w14:paraId="50929916" w14:textId="77777777">
            <w:pPr>
              <w:spacing w:after="0" w:line="240" w:lineRule="auto"/>
              <w:jc w:val="center"/>
              <w:rPr>
                <w:rFonts w:eastAsia="Times New Roman" w:cs="Times New Roman"/>
                <w:color w:val="000000"/>
                <w:sz w:val="18"/>
                <w:szCs w:val="18"/>
              </w:rPr>
            </w:pPr>
          </w:p>
        </w:tc>
        <w:tc>
          <w:tcPr>
            <w:tcW w:w="4733" w:type="dxa"/>
            <w:tcBorders>
              <w:top w:val="nil"/>
              <w:left w:val="nil"/>
              <w:bottom w:val="single" w:sz="4" w:space="0" w:color="auto"/>
              <w:right w:val="single" w:sz="4" w:space="0" w:color="auto"/>
            </w:tcBorders>
            <w:shd w:val="clear" w:color="auto" w:fill="FFFF00"/>
            <w:vAlign w:val="center"/>
          </w:tcPr>
          <w:p w:rsidR="00202151" w:rsidRPr="00E26583" w:rsidP="00202151" w14:paraId="2307B524" w14:textId="77777777">
            <w:pPr>
              <w:spacing w:after="0" w:line="240" w:lineRule="auto"/>
              <w:rPr>
                <w:rFonts w:eastAsia="Times New Roman" w:cs="Times New Roman"/>
                <w:sz w:val="18"/>
                <w:szCs w:val="18"/>
              </w:rPr>
            </w:pPr>
            <w:r w:rsidRPr="00FE7A0A">
              <w:rPr>
                <w:rFonts w:eastAsia="Times New Roman" w:cs="Times New Roman"/>
                <w:sz w:val="18"/>
                <w:szCs w:val="18"/>
                <w:highlight w:val="yellow"/>
              </w:rPr>
              <w:t>57.214 Annual Healthcare Personnel Influenza Vaccination Summary-.CSV</w:t>
            </w:r>
          </w:p>
        </w:tc>
        <w:tc>
          <w:tcPr>
            <w:tcW w:w="1197" w:type="dxa"/>
            <w:tcBorders>
              <w:top w:val="nil"/>
              <w:left w:val="nil"/>
              <w:bottom w:val="single" w:sz="4" w:space="0" w:color="auto"/>
              <w:right w:val="single" w:sz="4" w:space="0" w:color="auto"/>
            </w:tcBorders>
            <w:shd w:val="clear" w:color="000000" w:fill="FFFF00"/>
            <w:noWrap/>
            <w:vAlign w:val="center"/>
          </w:tcPr>
          <w:p w:rsidR="00202151" w:rsidRPr="00E26583" w:rsidP="00202151" w14:paraId="79BCD8E0"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1920</w:t>
            </w:r>
          </w:p>
        </w:tc>
        <w:tc>
          <w:tcPr>
            <w:tcW w:w="1127" w:type="dxa"/>
            <w:tcBorders>
              <w:top w:val="nil"/>
              <w:left w:val="nil"/>
              <w:bottom w:val="single" w:sz="4" w:space="0" w:color="auto"/>
              <w:right w:val="single" w:sz="4" w:space="0" w:color="auto"/>
            </w:tcBorders>
            <w:shd w:val="clear" w:color="auto" w:fill="FFFF00"/>
            <w:noWrap/>
            <w:vAlign w:val="center"/>
          </w:tcPr>
          <w:p w:rsidR="00202151" w:rsidRPr="00FE7A0A" w:rsidP="00202151" w14:paraId="5CD90F6C" w14:textId="77777777">
            <w:pPr>
              <w:spacing w:after="0" w:line="240" w:lineRule="auto"/>
              <w:jc w:val="center"/>
              <w:rPr>
                <w:rFonts w:eastAsia="Times New Roman" w:cs="Times New Roman"/>
                <w:color w:val="000000"/>
                <w:sz w:val="18"/>
                <w:szCs w:val="18"/>
                <w:highlight w:val="yellow"/>
              </w:rPr>
            </w:pPr>
            <w:r w:rsidRPr="00FE7A0A">
              <w:rPr>
                <w:rFonts w:eastAsia="Times New Roman" w:cs="Times New Roman"/>
                <w:color w:val="000000"/>
                <w:sz w:val="18"/>
                <w:szCs w:val="18"/>
                <w:highlight w:val="yellow"/>
              </w:rPr>
              <w:t>1</w:t>
            </w:r>
          </w:p>
        </w:tc>
        <w:tc>
          <w:tcPr>
            <w:tcW w:w="2627" w:type="dxa"/>
            <w:tcBorders>
              <w:top w:val="nil"/>
              <w:left w:val="nil"/>
              <w:bottom w:val="single" w:sz="4" w:space="0" w:color="auto"/>
              <w:right w:val="single" w:sz="4" w:space="0" w:color="auto"/>
            </w:tcBorders>
            <w:shd w:val="clear" w:color="auto" w:fill="FFFF00"/>
            <w:noWrap/>
            <w:vAlign w:val="center"/>
          </w:tcPr>
          <w:p w:rsidR="00202151" w:rsidRPr="00FE7A0A" w:rsidP="00202151" w14:paraId="0E317A6E" w14:textId="77777777">
            <w:pPr>
              <w:spacing w:after="0" w:line="240" w:lineRule="auto"/>
              <w:jc w:val="center"/>
              <w:rPr>
                <w:rFonts w:eastAsia="Times New Roman" w:cs="Times New Roman"/>
                <w:color w:val="000000"/>
                <w:sz w:val="18"/>
                <w:szCs w:val="18"/>
                <w:highlight w:val="yellow"/>
              </w:rPr>
            </w:pPr>
            <w:r w:rsidRPr="00FE7A0A">
              <w:rPr>
                <w:rFonts w:eastAsia="Times New Roman" w:cs="Times New Roman"/>
                <w:color w:val="000000"/>
                <w:sz w:val="18"/>
                <w:szCs w:val="18"/>
                <w:highlight w:val="yellow"/>
              </w:rPr>
              <w:t>55/60</w:t>
            </w:r>
          </w:p>
        </w:tc>
        <w:tc>
          <w:tcPr>
            <w:tcW w:w="1440" w:type="dxa"/>
            <w:tcBorders>
              <w:top w:val="nil"/>
              <w:left w:val="nil"/>
              <w:bottom w:val="single" w:sz="4" w:space="0" w:color="auto"/>
              <w:right w:val="single" w:sz="4" w:space="0" w:color="auto"/>
            </w:tcBorders>
            <w:shd w:val="clear" w:color="000000" w:fill="FFFF00"/>
            <w:noWrap/>
            <w:vAlign w:val="center"/>
          </w:tcPr>
          <w:p w:rsidR="00202151" w:rsidRPr="00FE7A0A" w:rsidP="00202151" w14:paraId="1B32796C" w14:textId="77777777">
            <w:pPr>
              <w:spacing w:after="0" w:line="240" w:lineRule="auto"/>
              <w:jc w:val="center"/>
              <w:rPr>
                <w:rFonts w:eastAsia="Times New Roman" w:cs="Times New Roman"/>
                <w:color w:val="000000"/>
                <w:sz w:val="18"/>
                <w:szCs w:val="18"/>
                <w:highlight w:val="yellow"/>
              </w:rPr>
            </w:pPr>
            <w:r w:rsidRPr="00FE7A0A">
              <w:rPr>
                <w:rFonts w:eastAsia="Times New Roman" w:cs="Times New Roman"/>
                <w:color w:val="000000"/>
                <w:sz w:val="18"/>
                <w:szCs w:val="18"/>
                <w:highlight w:val="yellow"/>
              </w:rPr>
              <w:t>1760</w:t>
            </w:r>
          </w:p>
        </w:tc>
        <w:tc>
          <w:tcPr>
            <w:tcW w:w="1080" w:type="dxa"/>
            <w:tcBorders>
              <w:top w:val="nil"/>
              <w:left w:val="nil"/>
              <w:bottom w:val="single" w:sz="4" w:space="0" w:color="auto"/>
              <w:right w:val="single" w:sz="4" w:space="0" w:color="auto"/>
            </w:tcBorders>
            <w:shd w:val="clear" w:color="000000" w:fill="FFFF00"/>
            <w:noWrap/>
            <w:vAlign w:val="center"/>
          </w:tcPr>
          <w:p w:rsidR="00202151" w:rsidRPr="00FE7A0A" w:rsidP="00202151" w14:paraId="7A68E532" w14:textId="77777777">
            <w:pPr>
              <w:spacing w:after="0" w:line="240" w:lineRule="auto"/>
              <w:jc w:val="center"/>
              <w:rPr>
                <w:rFonts w:eastAsia="Times New Roman" w:cs="Times New Roman"/>
                <w:color w:val="000000"/>
                <w:sz w:val="18"/>
                <w:szCs w:val="18"/>
                <w:highlight w:val="yellow"/>
              </w:rPr>
            </w:pPr>
            <w:r w:rsidRPr="00FE7A0A">
              <w:rPr>
                <w:rFonts w:eastAsia="Times New Roman" w:cs="Times New Roman"/>
                <w:color w:val="000000"/>
                <w:sz w:val="18"/>
                <w:szCs w:val="18"/>
                <w:highlight w:val="yellow"/>
              </w:rPr>
              <w:t>$46.60</w:t>
            </w:r>
          </w:p>
        </w:tc>
        <w:tc>
          <w:tcPr>
            <w:tcW w:w="1980" w:type="dxa"/>
            <w:tcBorders>
              <w:top w:val="nil"/>
              <w:left w:val="nil"/>
              <w:bottom w:val="single" w:sz="4" w:space="0" w:color="auto"/>
              <w:right w:val="single" w:sz="4" w:space="0" w:color="auto"/>
            </w:tcBorders>
            <w:shd w:val="clear" w:color="000000" w:fill="FFFF00"/>
            <w:noWrap/>
            <w:vAlign w:val="center"/>
          </w:tcPr>
          <w:p w:rsidR="00202151" w:rsidRPr="00FE7A0A" w:rsidP="00202151" w14:paraId="252D9B83" w14:textId="77777777">
            <w:pPr>
              <w:spacing w:after="0" w:line="240" w:lineRule="auto"/>
              <w:jc w:val="center"/>
              <w:rPr>
                <w:rFonts w:eastAsia="Times New Roman" w:cs="Times New Roman"/>
                <w:color w:val="000000"/>
                <w:sz w:val="18"/>
                <w:szCs w:val="18"/>
                <w:highlight w:val="yellow"/>
              </w:rPr>
            </w:pPr>
            <w:r w:rsidRPr="00FE7A0A">
              <w:rPr>
                <w:rFonts w:eastAsia="Times New Roman" w:cs="Times New Roman"/>
                <w:color w:val="000000"/>
                <w:sz w:val="18"/>
                <w:szCs w:val="18"/>
                <w:highlight w:val="yellow"/>
              </w:rPr>
              <w:t>$82,016</w:t>
            </w:r>
          </w:p>
        </w:tc>
        <w:tc>
          <w:tcPr>
            <w:tcW w:w="2679" w:type="dxa"/>
            <w:tcBorders>
              <w:top w:val="nil"/>
              <w:left w:val="nil"/>
              <w:bottom w:val="single" w:sz="4" w:space="0" w:color="auto"/>
              <w:right w:val="single" w:sz="4" w:space="0" w:color="auto"/>
            </w:tcBorders>
            <w:shd w:val="clear" w:color="auto" w:fill="FFFF00"/>
            <w:vAlign w:val="center"/>
          </w:tcPr>
          <w:p w:rsidR="00202151" w:rsidRPr="00FE7A0A" w:rsidP="00202151" w14:paraId="61B3BD3D" w14:textId="77777777">
            <w:pPr>
              <w:spacing w:after="0" w:line="240" w:lineRule="auto"/>
              <w:jc w:val="center"/>
              <w:rPr>
                <w:rFonts w:eastAsia="Times New Roman" w:cs="Times New Roman"/>
                <w:color w:val="000000"/>
                <w:sz w:val="18"/>
                <w:szCs w:val="18"/>
                <w:highlight w:val="yellow"/>
              </w:rPr>
            </w:pPr>
            <w:r w:rsidRPr="00FE7A0A">
              <w:rPr>
                <w:rFonts w:eastAsia="Times New Roman" w:cs="Times New Roman"/>
                <w:color w:val="000000"/>
                <w:sz w:val="18"/>
                <w:szCs w:val="18"/>
                <w:highlight w:val="yellow"/>
              </w:rPr>
              <w:t>Occupational Health RN/Specialist</w:t>
            </w:r>
          </w:p>
        </w:tc>
      </w:tr>
      <w:tr w14:paraId="31300F29"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61AE67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42</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7108FC0F" w14:textId="77777777">
            <w:pPr>
              <w:spacing w:after="0" w:line="240" w:lineRule="auto"/>
              <w:rPr>
                <w:rFonts w:eastAsia="Times New Roman" w:cs="Times New Roman"/>
                <w:sz w:val="18"/>
                <w:szCs w:val="18"/>
              </w:rPr>
            </w:pPr>
            <w:r w:rsidRPr="00E26583">
              <w:rPr>
                <w:rFonts w:eastAsia="Times New Roman" w:cs="Times New Roman"/>
                <w:sz w:val="18"/>
                <w:szCs w:val="18"/>
              </w:rPr>
              <w:t>57.215 Seasonal Survey on Influenza Vaccination Programs for Healthcare Personnel</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0BAC39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15,426</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7ED256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FBFF1A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1A74D5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11570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A4F73A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$46.60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5148E1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$539,162</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209C8F3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Occupational Health RN/Specialist</w:t>
            </w:r>
          </w:p>
        </w:tc>
      </w:tr>
      <w:tr w14:paraId="2118735C"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1BC25A9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43</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0A1B42DF" w14:textId="77777777">
            <w:pPr>
              <w:spacing w:after="0" w:line="240" w:lineRule="auto"/>
              <w:rPr>
                <w:rFonts w:eastAsia="Times New Roman" w:cs="Times New Roman"/>
                <w:sz w:val="18"/>
                <w:szCs w:val="18"/>
              </w:rPr>
            </w:pPr>
            <w:r w:rsidRPr="00E26583">
              <w:rPr>
                <w:rFonts w:eastAsia="Times New Roman" w:cs="Times New Roman"/>
                <w:sz w:val="18"/>
                <w:szCs w:val="18"/>
              </w:rPr>
              <w:t>57.300 Hemovigilance Module Annual Survey</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2E10A3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63</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E51ADB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E8243C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86</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6703F7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B401F0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5F27AF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$3,493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6263935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4B77DEF3"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420E427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44</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381902AF" w14:textId="77777777">
            <w:pPr>
              <w:spacing w:after="0" w:line="240" w:lineRule="auto"/>
              <w:rPr>
                <w:rFonts w:eastAsia="Times New Roman" w:cs="Times New Roman"/>
                <w:sz w:val="18"/>
                <w:szCs w:val="18"/>
              </w:rPr>
            </w:pPr>
            <w:r w:rsidRPr="00E26583">
              <w:rPr>
                <w:rFonts w:eastAsia="Times New Roman" w:cs="Times New Roman"/>
                <w:sz w:val="18"/>
                <w:szCs w:val="18"/>
              </w:rPr>
              <w:t>57.301 Hemovigilance Module Monthly Reporting Plan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288CE8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108</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5684B3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D1B4B7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B2AC1B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22</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25646C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2E5E3B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$854</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285E79E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141F2CAE"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50B0DB0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45</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2BD08C91" w14:textId="77777777">
            <w:pPr>
              <w:spacing w:after="0" w:line="240" w:lineRule="auto"/>
              <w:rPr>
                <w:rFonts w:eastAsia="Times New Roman" w:cs="Times New Roman"/>
                <w:sz w:val="18"/>
                <w:szCs w:val="18"/>
              </w:rPr>
            </w:pPr>
            <w:r w:rsidRPr="00E26583">
              <w:rPr>
                <w:rFonts w:eastAsia="Times New Roman" w:cs="Times New Roman"/>
                <w:sz w:val="18"/>
                <w:szCs w:val="18"/>
              </w:rPr>
              <w:t>57.302 Hemovigilance Module Monthly Incident Summary</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AAD606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858456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D6C6A1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32F127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54</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FE3D00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1B02E8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$2,096</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5EF5BB4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20A2C3C2"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0B01C01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46</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D321022" w14:textId="77777777">
            <w:pPr>
              <w:spacing w:after="0" w:line="240" w:lineRule="auto"/>
              <w:rPr>
                <w:rFonts w:eastAsia="Times New Roman" w:cs="Times New Roman"/>
                <w:sz w:val="18"/>
                <w:szCs w:val="18"/>
              </w:rPr>
            </w:pPr>
            <w:r w:rsidRPr="00E26583">
              <w:rPr>
                <w:rFonts w:eastAsia="Times New Roman" w:cs="Times New Roman"/>
                <w:sz w:val="18"/>
                <w:szCs w:val="18"/>
              </w:rPr>
              <w:t>57.303 Hemovigilance Module Monthly Reporting Denominators</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4A1DEE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102</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0F091F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81B9E7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69B4C3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1428</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EC7C60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104D1B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$55,421</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00ED09E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52365108"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1F3CAA3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47</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755AE2EC" w14:textId="77777777">
            <w:pPr>
              <w:spacing w:after="0" w:line="240" w:lineRule="auto"/>
              <w:rPr>
                <w:rFonts w:eastAsia="Times New Roman" w:cs="Times New Roman"/>
                <w:sz w:val="18"/>
                <w:szCs w:val="18"/>
              </w:rPr>
            </w:pPr>
            <w:r w:rsidRPr="00E26583">
              <w:rPr>
                <w:rFonts w:eastAsia="Times New Roman" w:cs="Times New Roman"/>
                <w:sz w:val="18"/>
                <w:szCs w:val="18"/>
              </w:rPr>
              <w:t>57.305 Hemovigilance Incident</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AC05F4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112DE8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77</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BEF0D4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CDD0D6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167</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758C91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428586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$6,481</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7AD4D68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533E1814"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08CF7A0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48</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1A89E58B" w14:textId="77777777">
            <w:pPr>
              <w:spacing w:after="0" w:line="240" w:lineRule="auto"/>
              <w:rPr>
                <w:rFonts w:eastAsia="Times New Roman" w:cs="Times New Roman"/>
                <w:sz w:val="18"/>
                <w:szCs w:val="18"/>
              </w:rPr>
            </w:pPr>
            <w:r w:rsidRPr="00E26583">
              <w:rPr>
                <w:rFonts w:eastAsia="Times New Roman" w:cs="Times New Roman"/>
                <w:sz w:val="18"/>
                <w:szCs w:val="18"/>
              </w:rPr>
              <w:t>57.306 Hemovigilance Module Annual Survey - Non-acute care facility</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737CE6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2F6152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595EA1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342FA8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B91FC6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A8C38A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$466</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6066650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3169B299"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102E980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49</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6689FE95" w14:textId="77777777">
            <w:pPr>
              <w:spacing w:after="0" w:line="240" w:lineRule="auto"/>
              <w:rPr>
                <w:rFonts w:eastAsia="Times New Roman" w:cs="Times New Roman"/>
                <w:sz w:val="18"/>
                <w:szCs w:val="18"/>
              </w:rPr>
            </w:pPr>
            <w:r w:rsidRPr="00E26583">
              <w:rPr>
                <w:rFonts w:eastAsia="Times New Roman" w:cs="Times New Roman"/>
                <w:sz w:val="18"/>
                <w:szCs w:val="18"/>
              </w:rPr>
              <w:t>57.307 Hemovigilance Adverse Reaction - Acute Hemolytic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6F8780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520FBC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D6808B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22</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B222A6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8C1321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6AB8E8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5E8863C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654DDEC6"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EF56C7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684F5671" w14:textId="77777777">
            <w:pPr>
              <w:spacing w:after="0" w:line="240" w:lineRule="auto"/>
              <w:rPr>
                <w:rFonts w:eastAsia="Times New Roman" w:cs="Times New Roman"/>
                <w:sz w:val="18"/>
                <w:szCs w:val="18"/>
              </w:rPr>
            </w:pPr>
            <w:r w:rsidRPr="00E26583">
              <w:rPr>
                <w:rFonts w:eastAsia="Times New Roman" w:cs="Times New Roman"/>
                <w:sz w:val="18"/>
                <w:szCs w:val="18"/>
              </w:rPr>
              <w:t>57.308 Hemovigilance Adverse Reaction - Allergic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6B409E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3EC255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560D58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22</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EEC062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202</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FB5519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A083A5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$7,840</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58B2FAD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614884BB"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768358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51</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73D9A56C" w14:textId="77777777">
            <w:pPr>
              <w:spacing w:after="0" w:line="240" w:lineRule="auto"/>
              <w:rPr>
                <w:rFonts w:eastAsia="Times New Roman" w:cs="Times New Roman"/>
                <w:sz w:val="18"/>
                <w:szCs w:val="18"/>
              </w:rPr>
            </w:pPr>
            <w:r w:rsidRPr="00E26583">
              <w:rPr>
                <w:rFonts w:eastAsia="Times New Roman" w:cs="Times New Roman"/>
                <w:sz w:val="18"/>
                <w:szCs w:val="18"/>
              </w:rPr>
              <w:t>57.309 Hemovigilance Adverse Reaction - Delayed Hemolytic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FAC215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987B8E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6CC8B7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00E69F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404ACA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260872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2C2D4F5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7D97E868"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618DD8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52</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72F6D3C9" w14:textId="77777777">
            <w:pPr>
              <w:spacing w:after="0" w:line="240" w:lineRule="auto"/>
              <w:rPr>
                <w:rFonts w:eastAsia="Times New Roman" w:cs="Times New Roman"/>
                <w:sz w:val="18"/>
                <w:szCs w:val="18"/>
              </w:rPr>
            </w:pPr>
            <w:r w:rsidRPr="00E26583">
              <w:rPr>
                <w:rFonts w:eastAsia="Times New Roman" w:cs="Times New Roman"/>
                <w:sz w:val="18"/>
                <w:szCs w:val="18"/>
              </w:rPr>
              <w:t>57.310 Hemovigilance Adverse Reaction - Delayed Serologic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227C72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19</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B0EC8E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13E1B3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6A5E60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32</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576F32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F5B4A7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$1,242</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1C4426F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6B037693"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47BBE8B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53</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0EDAEBE1" w14:textId="77777777">
            <w:pPr>
              <w:spacing w:after="0" w:line="240" w:lineRule="auto"/>
              <w:rPr>
                <w:rFonts w:eastAsia="Times New Roman" w:cs="Times New Roman"/>
                <w:sz w:val="18"/>
                <w:szCs w:val="18"/>
              </w:rPr>
            </w:pPr>
            <w:r w:rsidRPr="00E26583">
              <w:rPr>
                <w:rFonts w:eastAsia="Times New Roman" w:cs="Times New Roman"/>
                <w:sz w:val="18"/>
                <w:szCs w:val="18"/>
              </w:rPr>
              <w:t>57.311 Hemovigilance Adverse Reaction - Febrile Non-hemolytic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F97C9D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85</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D27124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EF5DBA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8F9759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368</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5219B8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557F97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$14,282</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7B0ADE6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5AA95B32"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EE8DF2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54</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46C6082D" w14:textId="77777777">
            <w:pPr>
              <w:spacing w:after="0" w:line="240" w:lineRule="auto"/>
              <w:rPr>
                <w:rFonts w:eastAsia="Times New Roman" w:cs="Times New Roman"/>
                <w:sz w:val="18"/>
                <w:szCs w:val="18"/>
              </w:rPr>
            </w:pPr>
            <w:r w:rsidRPr="00E26583">
              <w:rPr>
                <w:rFonts w:eastAsia="Times New Roman" w:cs="Times New Roman"/>
                <w:sz w:val="18"/>
                <w:szCs w:val="18"/>
              </w:rPr>
              <w:t>57.312 Hemovigilance Adverse Reaction - Hypotensive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6348FE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98227F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1437F9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583071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EB4F16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E9CC3C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$893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6F102D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594DE0F1"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E1C644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1240E7B2" w14:textId="77777777">
            <w:pPr>
              <w:spacing w:after="0" w:line="240" w:lineRule="auto"/>
              <w:rPr>
                <w:rFonts w:eastAsia="Times New Roman" w:cs="Times New Roman"/>
                <w:sz w:val="18"/>
                <w:szCs w:val="18"/>
              </w:rPr>
            </w:pPr>
            <w:r w:rsidRPr="00E26583">
              <w:rPr>
                <w:rFonts w:eastAsia="Times New Roman" w:cs="Times New Roman"/>
                <w:sz w:val="18"/>
                <w:szCs w:val="18"/>
              </w:rPr>
              <w:t>57.313 Hemovigilance Adverse Reaction – Infection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F05459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84BBF5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CF7843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E98A44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0E3E1C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1599E5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661BF33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74F35F8A"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1BBB54B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7CACEDA7" w14:textId="77777777">
            <w:pPr>
              <w:spacing w:after="0" w:line="240" w:lineRule="auto"/>
              <w:rPr>
                <w:rFonts w:eastAsia="Times New Roman" w:cs="Times New Roman"/>
                <w:sz w:val="18"/>
                <w:szCs w:val="18"/>
              </w:rPr>
            </w:pPr>
            <w:r w:rsidRPr="00E26583">
              <w:rPr>
                <w:rFonts w:eastAsia="Times New Roman" w:cs="Times New Roman"/>
                <w:sz w:val="18"/>
                <w:szCs w:val="18"/>
              </w:rPr>
              <w:t>57.314 Hemovigilance Adverse Reaction - Post Transfusion Purpura</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1261A54"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DCCC95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45479E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7D64DD8"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3751BA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EB2BAC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49B30C8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05447299"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7A5378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57</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8511754" w14:textId="77777777">
            <w:pPr>
              <w:spacing w:after="0" w:line="240" w:lineRule="auto"/>
              <w:rPr>
                <w:rFonts w:eastAsia="Times New Roman" w:cs="Times New Roman"/>
                <w:sz w:val="18"/>
                <w:szCs w:val="18"/>
              </w:rPr>
            </w:pPr>
            <w:r w:rsidRPr="00E26583">
              <w:rPr>
                <w:rFonts w:eastAsia="Times New Roman" w:cs="Times New Roman"/>
                <w:sz w:val="18"/>
                <w:szCs w:val="18"/>
              </w:rPr>
              <w:t>57.315 Hemovigilance Adverse Reaction - Transfusion Associated Dyspnea</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9F8DC1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B1F36E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789A3F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663299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53F8C4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1F5546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$699</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5BB336A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37310C56"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DED077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58</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79441653" w14:textId="77777777">
            <w:pPr>
              <w:spacing w:after="0" w:line="240" w:lineRule="auto"/>
              <w:rPr>
                <w:rFonts w:eastAsia="Times New Roman" w:cs="Times New Roman"/>
                <w:sz w:val="18"/>
                <w:szCs w:val="18"/>
              </w:rPr>
            </w:pPr>
            <w:r w:rsidRPr="00E26583">
              <w:rPr>
                <w:rFonts w:eastAsia="Times New Roman" w:cs="Times New Roman"/>
                <w:sz w:val="18"/>
                <w:szCs w:val="18"/>
              </w:rPr>
              <w:t>57.316 Hemovigilance Adverse Reaction - Transfusion Associated Graft vs. Host Disease</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41973E6"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F80213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187DD1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43A1446"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328957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6FC21B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31A58D7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71AE8E69"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6FB30D9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59</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431E4016" w14:textId="77777777">
            <w:pPr>
              <w:spacing w:after="0" w:line="240" w:lineRule="auto"/>
              <w:rPr>
                <w:rFonts w:eastAsia="Times New Roman" w:cs="Times New Roman"/>
                <w:sz w:val="18"/>
                <w:szCs w:val="18"/>
              </w:rPr>
            </w:pPr>
            <w:r w:rsidRPr="00E26583">
              <w:rPr>
                <w:rFonts w:eastAsia="Times New Roman" w:cs="Times New Roman"/>
                <w:sz w:val="18"/>
                <w:szCs w:val="18"/>
              </w:rPr>
              <w:t>57.317 Hemovigilance Adverse Reaction - Transfusion Related Acute Lung Injury</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A8D762A"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2</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FFB11D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DE8EE4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C09ECF6" w14:textId="77777777">
            <w:pPr>
              <w:spacing w:after="0" w:line="240" w:lineRule="auto"/>
              <w:jc w:val="center"/>
              <w:rPr>
                <w:rFonts w:eastAsia="Times New Roman" w:cs="Times New Roman"/>
                <w:color w:val="000000"/>
                <w:sz w:val="18"/>
                <w:szCs w:val="18"/>
              </w:rPr>
            </w:pPr>
            <w:r>
              <w:rPr>
                <w:rFonts w:eastAsia="Times New Roman" w:cs="Times New Roman"/>
                <w:color w:val="000000"/>
                <w:sz w:val="18"/>
                <w:szCs w:val="18"/>
              </w:rPr>
              <w:t>1</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3D48B2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BEC609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56435F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40F7DBDB"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509A363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60</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47200280" w14:textId="77777777">
            <w:pPr>
              <w:spacing w:after="0" w:line="240" w:lineRule="auto"/>
              <w:rPr>
                <w:rFonts w:eastAsia="Times New Roman" w:cs="Times New Roman"/>
                <w:sz w:val="18"/>
                <w:szCs w:val="18"/>
              </w:rPr>
            </w:pPr>
            <w:r w:rsidRPr="00E26583">
              <w:rPr>
                <w:rFonts w:eastAsia="Times New Roman" w:cs="Times New Roman"/>
                <w:sz w:val="18"/>
                <w:szCs w:val="18"/>
              </w:rPr>
              <w:t>57.318 Hemovigilance Adverse Reaction - Transfusion Associated Circulatory Overload</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20CCCC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017E34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F77DCF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21</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4658B7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6A4E90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F8C178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$2,173</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0C70083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39CFE322"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FBA2B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61</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2411E73E" w14:textId="77777777">
            <w:pPr>
              <w:spacing w:after="0" w:line="240" w:lineRule="auto"/>
              <w:rPr>
                <w:rFonts w:eastAsia="Times New Roman" w:cs="Times New Roman"/>
                <w:sz w:val="18"/>
                <w:szCs w:val="18"/>
              </w:rPr>
            </w:pPr>
            <w:r w:rsidRPr="00E26583">
              <w:rPr>
                <w:rFonts w:eastAsia="Times New Roman" w:cs="Times New Roman"/>
                <w:sz w:val="18"/>
                <w:szCs w:val="18"/>
              </w:rPr>
              <w:t>57.319 Hemovigilance Adverse Reaction - Unknown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DE0E97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868B5E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416F93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063A9D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A7693E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2153B7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$582</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0396588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2667C1FA"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74964F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62</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5B39DC4" w14:textId="77777777">
            <w:pPr>
              <w:spacing w:after="0" w:line="240" w:lineRule="auto"/>
              <w:rPr>
                <w:rFonts w:eastAsia="Times New Roman" w:cs="Times New Roman"/>
                <w:sz w:val="18"/>
                <w:szCs w:val="18"/>
              </w:rPr>
            </w:pPr>
            <w:r w:rsidRPr="00E26583">
              <w:rPr>
                <w:rFonts w:eastAsia="Times New Roman" w:cs="Times New Roman"/>
                <w:sz w:val="18"/>
                <w:szCs w:val="18"/>
              </w:rPr>
              <w:t>57.320 Hemovigilance Adverse Reaction - Other Transfusion Reaction</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6B8450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63D6C7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D78122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25CA5E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7564D6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$38.81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4E5A17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$1,514</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386F71A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Medical/Clinical Laboratory Technologist</w:t>
            </w:r>
          </w:p>
        </w:tc>
      </w:tr>
      <w:tr w14:paraId="3F5D1A97"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58951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63</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2FF6AF78" w14:textId="77777777">
            <w:pPr>
              <w:spacing w:after="0" w:line="240" w:lineRule="auto"/>
              <w:rPr>
                <w:rFonts w:eastAsia="Times New Roman" w:cs="Times New Roman"/>
                <w:sz w:val="18"/>
                <w:szCs w:val="18"/>
              </w:rPr>
            </w:pPr>
            <w:r w:rsidRPr="00E26583">
              <w:rPr>
                <w:rFonts w:eastAsia="Times New Roman" w:cs="Times New Roman"/>
                <w:sz w:val="18"/>
                <w:szCs w:val="18"/>
              </w:rPr>
              <w:t>57.400 Outpatient Procedure Component — Annual Ambulatory Surgery Center Survey</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5B6695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350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1F3BA7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E4475B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0364C03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58</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B2E52B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B294AA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$3,399</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0A216CF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7C08FBE"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1D1DFC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64</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1B83D095" w14:textId="77777777">
            <w:pPr>
              <w:spacing w:after="0" w:line="240" w:lineRule="auto"/>
              <w:rPr>
                <w:rFonts w:eastAsia="Times New Roman" w:cs="Times New Roman"/>
                <w:sz w:val="18"/>
                <w:szCs w:val="18"/>
              </w:rPr>
            </w:pPr>
            <w:r w:rsidRPr="00E26583">
              <w:rPr>
                <w:rFonts w:eastAsia="Times New Roman" w:cs="Times New Roman"/>
                <w:sz w:val="18"/>
                <w:szCs w:val="18"/>
              </w:rPr>
              <w:t>57.401 Outpatient Procedure Component - Monthly Reporting Plan</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AE5A99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350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7A7C7F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AAE4A5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B667A4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56E59C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577DD0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$41,020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1267EB7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02C716C2"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157344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65</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397C7F59"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57.402 Outpatient Procedure Component Same Day Outcome Measures </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82E5C2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592812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070F97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43</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91E938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50EB1A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FC34D6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$2,110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127DE50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54FBC4C"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AC0B73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66</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3E418F4D"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57.403 Outpatient Procedure Component - Denominators for Same Day Outcome Measures </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423510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09E8E53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400</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6AD6CA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62F2DE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6667</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B0180F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3BE43F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$390,686</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15428E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395E746"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4EF77EF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67</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07CE648F"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57.404 Outpatient Procedure Component - SSI Denominator </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3F4767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471E67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100</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0A302E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23</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8B4119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11500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F12CED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F965F9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$673,900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56DE920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AFD8445"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18D6272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68</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6AA8918D" w14:textId="77777777">
            <w:pPr>
              <w:spacing w:after="0" w:line="240" w:lineRule="auto"/>
              <w:rPr>
                <w:rFonts w:eastAsia="Times New Roman" w:cs="Times New Roman"/>
                <w:sz w:val="18"/>
                <w:szCs w:val="18"/>
              </w:rPr>
            </w:pPr>
            <w:r w:rsidRPr="00E26583">
              <w:rPr>
                <w:rFonts w:eastAsia="Times New Roman" w:cs="Times New Roman"/>
                <w:sz w:val="18"/>
                <w:szCs w:val="18"/>
              </w:rPr>
              <w:t>57.405 Outpatient Procedure Component - Surgical Site (SSI) Event</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FE4C9A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718058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F99A07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3AD5EC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7200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D18D91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D4C61E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$421,920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4654B70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066A0D20"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AC81BE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69</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9E3B979" w14:textId="77777777">
            <w:pPr>
              <w:spacing w:after="0" w:line="240" w:lineRule="auto"/>
              <w:rPr>
                <w:rFonts w:eastAsia="Times New Roman" w:cs="Times New Roman"/>
                <w:sz w:val="18"/>
                <w:szCs w:val="18"/>
              </w:rPr>
            </w:pPr>
            <w:r w:rsidRPr="00E26583">
              <w:rPr>
                <w:rFonts w:eastAsia="Times New Roman" w:cs="Times New Roman"/>
                <w:sz w:val="18"/>
                <w:szCs w:val="18"/>
              </w:rPr>
              <w:t>57.408 Monthly Survey Patient Days &amp; Nurse Staffing</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04F2C2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85D9BC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A2ED3D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181230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150000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22910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C65BDA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$8,790,000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362A0E0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7F3A64B"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D86368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70</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10E6B1D6" w14:textId="77777777">
            <w:pPr>
              <w:spacing w:after="0" w:line="240" w:lineRule="auto"/>
              <w:rPr>
                <w:rFonts w:eastAsia="Times New Roman" w:cs="Times New Roman"/>
                <w:sz w:val="18"/>
                <w:szCs w:val="18"/>
              </w:rPr>
            </w:pPr>
            <w:r w:rsidRPr="00E26583">
              <w:rPr>
                <w:rFonts w:eastAsia="Times New Roman" w:cs="Times New Roman"/>
                <w:sz w:val="18"/>
                <w:szCs w:val="18"/>
              </w:rPr>
              <w:t>57.500 Outpatient Dialysis Center Practices Survey</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D411B9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6900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5CC0FD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088E74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F1C5FE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17250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E98496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345EE5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$1,010,850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7CD5FA6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226FFD46"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193F6EA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71</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3185BE1D" w14:textId="77777777">
            <w:pPr>
              <w:spacing w:after="0" w:line="240" w:lineRule="auto"/>
              <w:rPr>
                <w:rFonts w:eastAsia="Times New Roman" w:cs="Times New Roman"/>
                <w:sz w:val="18"/>
                <w:szCs w:val="18"/>
              </w:rPr>
            </w:pPr>
            <w:r w:rsidRPr="00E26583">
              <w:rPr>
                <w:rFonts w:eastAsia="Times New Roman" w:cs="Times New Roman"/>
                <w:sz w:val="18"/>
                <w:szCs w:val="18"/>
              </w:rPr>
              <w:t>57.501 Dialysis Monthly Reporting Plan</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2DB1B2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7400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AAD7EF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CED5EE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95E266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7400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BF3DB2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52BB85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$433,640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494CCD6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08F31694"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D5423A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72</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FE85A24" w14:textId="77777777">
            <w:pPr>
              <w:spacing w:after="0" w:line="240" w:lineRule="auto"/>
              <w:rPr>
                <w:rFonts w:eastAsia="Times New Roman" w:cs="Times New Roman"/>
                <w:sz w:val="18"/>
                <w:szCs w:val="18"/>
              </w:rPr>
            </w:pPr>
            <w:r w:rsidRPr="00E26583">
              <w:rPr>
                <w:rFonts w:eastAsia="Times New Roman" w:cs="Times New Roman"/>
                <w:sz w:val="18"/>
                <w:szCs w:val="18"/>
              </w:rPr>
              <w:t>57.502 Dialysis Event</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FD6F1D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7400</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407B77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7172B3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EE20A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185000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0B477C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66355D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$10,841,000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7BE12FC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555B7E1D"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0B5D63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73</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0AE92EB8" w14:textId="77777777">
            <w:pPr>
              <w:spacing w:after="0" w:line="240" w:lineRule="auto"/>
              <w:rPr>
                <w:rFonts w:eastAsia="Times New Roman" w:cs="Times New Roman"/>
                <w:sz w:val="18"/>
                <w:szCs w:val="18"/>
              </w:rPr>
            </w:pPr>
            <w:r w:rsidRPr="00E26583">
              <w:rPr>
                <w:rFonts w:eastAsia="Times New Roman" w:cs="Times New Roman"/>
                <w:sz w:val="18"/>
                <w:szCs w:val="18"/>
              </w:rPr>
              <w:t>57.503 Denominator for Outpatient Dialysis</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EB1F7D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7400</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C7D2F3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98961D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67A6D1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14800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1B8B16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579806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$867,280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7140933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6703CFC"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2020B1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74</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1370EC38" w14:textId="77777777">
            <w:pPr>
              <w:spacing w:after="0" w:line="240" w:lineRule="auto"/>
              <w:rPr>
                <w:rFonts w:eastAsia="Times New Roman" w:cs="Times New Roman"/>
                <w:sz w:val="18"/>
                <w:szCs w:val="18"/>
              </w:rPr>
            </w:pPr>
            <w:r w:rsidRPr="00E26583">
              <w:rPr>
                <w:rFonts w:eastAsia="Times New Roman" w:cs="Times New Roman"/>
                <w:sz w:val="18"/>
                <w:szCs w:val="18"/>
              </w:rPr>
              <w:t>57.504 Prevention Process Measures Monthly Monitoring for Dialysis</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E22D8E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1730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9E8682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3F1077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0B87C3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20760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082C42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3AC6C3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$1,216,536</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38BFF03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FBA0245"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0AE06DC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75</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EE16501" w14:textId="77777777">
            <w:pPr>
              <w:spacing w:after="0" w:line="240" w:lineRule="auto"/>
              <w:rPr>
                <w:rFonts w:eastAsia="Times New Roman" w:cs="Times New Roman"/>
                <w:sz w:val="18"/>
                <w:szCs w:val="18"/>
              </w:rPr>
            </w:pPr>
            <w:r w:rsidRPr="00E26583">
              <w:rPr>
                <w:rFonts w:eastAsia="Times New Roman" w:cs="Times New Roman"/>
                <w:sz w:val="18"/>
                <w:szCs w:val="18"/>
              </w:rPr>
              <w:t>57.507 Home Dialysis Center Practices Survey </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7ECCA2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2141E8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8E2D04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05DA52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596</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3950C1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7FE19D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$34,926</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4A32F3A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629EF079"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DF5D82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76</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1B72F84A" w14:textId="77777777">
            <w:pPr>
              <w:spacing w:after="0" w:line="240" w:lineRule="auto"/>
              <w:rPr>
                <w:rFonts w:eastAsia="Times New Roman" w:cs="Times New Roman"/>
                <w:sz w:val="18"/>
                <w:szCs w:val="18"/>
              </w:rPr>
            </w:pPr>
            <w:r w:rsidRPr="00E26583">
              <w:rPr>
                <w:rFonts w:eastAsia="Times New Roman" w:cs="Times New Roman"/>
                <w:sz w:val="18"/>
                <w:szCs w:val="18"/>
              </w:rPr>
              <w:t>57.600 Neonatal Component FHIR Measure-Late Onset Sepsis Meningitis (LOSMEN) Module-IT Initial Set up</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4ABDC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031BF7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1</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F8A1BD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05B774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148500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FFAB22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F91958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$8,390,250</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5F23271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6288D381"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067C335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65CB55B8" w14:textId="77777777">
            <w:pPr>
              <w:spacing w:after="0" w:line="240" w:lineRule="auto"/>
              <w:rPr>
                <w:rFonts w:eastAsia="Times New Roman" w:cs="Times New Roman"/>
                <w:sz w:val="18"/>
                <w:szCs w:val="18"/>
              </w:rPr>
            </w:pPr>
            <w:r w:rsidRPr="00E26583">
              <w:rPr>
                <w:rFonts w:eastAsia="Times New Roman" w:cs="Times New Roman"/>
                <w:sz w:val="18"/>
                <w:szCs w:val="18"/>
              </w:rPr>
              <w:t>57.600 Neonatal Component FHIR Measure-Late Onset Sepsis Meningitis (LOSMEN) Module-IT Yearly Maintenance</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4A4530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F111B1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E481C8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1200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F7AB66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110000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1B4DED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2D5D23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$6,215,000</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3FEF833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2EA6ABFE"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626DA8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0B9923CA" w14:textId="77777777">
            <w:pPr>
              <w:spacing w:after="0" w:line="240" w:lineRule="auto"/>
              <w:rPr>
                <w:rFonts w:eastAsia="Times New Roman" w:cs="Times New Roman"/>
                <w:sz w:val="18"/>
                <w:szCs w:val="18"/>
              </w:rPr>
            </w:pPr>
            <w:r w:rsidRPr="00E26583">
              <w:rPr>
                <w:rFonts w:eastAsia="Times New Roman" w:cs="Times New Roman"/>
                <w:sz w:val="18"/>
                <w:szCs w:val="18"/>
              </w:rPr>
              <w:t>57.600 Neonatal Component FHIR Measure-Late Onset Sepsis Meningitis (LOSMEN) Module-Infection Preventionist</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0CFEB43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254151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0EBA0A4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228B6A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3300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EF430B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8FD7C4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$193,380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6F947DB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24E95A76" w14:textId="77777777" w:rsidTr="00A349E0">
        <w:tblPrEx>
          <w:tblW w:w="17259" w:type="dxa"/>
          <w:tblLook w:val="04A0"/>
        </w:tblPrEx>
        <w:trPr>
          <w:trHeight w:val="69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4B210E3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4E2AE66A" w14:textId="77777777">
            <w:pPr>
              <w:spacing w:after="0" w:line="240" w:lineRule="auto"/>
              <w:rPr>
                <w:rFonts w:eastAsia="Times New Roman" w:cs="Times New Roman"/>
                <w:sz w:val="18"/>
                <w:szCs w:val="18"/>
              </w:rPr>
            </w:pPr>
            <w:r w:rsidRPr="00E26583">
              <w:rPr>
                <w:rFonts w:eastAsia="Times New Roman" w:cs="Times New Roman"/>
                <w:sz w:val="18"/>
                <w:szCs w:val="18"/>
              </w:rPr>
              <w:t>57.600 Neonatal Component Late Onset Sepsis Meningitis (LOSMEN) Module CDA Data Collection-Infection Preventionist</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ED63E3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C1D5EF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DD09F7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782767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2200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30886B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9258E5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$128,920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10D3B59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A209C62" w14:textId="77777777" w:rsidTr="00A349E0">
        <w:tblPrEx>
          <w:tblW w:w="17259" w:type="dxa"/>
          <w:tblLook w:val="04A0"/>
        </w:tblPrEx>
        <w:trPr>
          <w:trHeight w:val="69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740321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77</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64CE724C" w14:textId="77777777">
            <w:pPr>
              <w:spacing w:after="0" w:line="240" w:lineRule="auto"/>
              <w:rPr>
                <w:rFonts w:eastAsia="Times New Roman" w:cs="Times New Roman"/>
                <w:sz w:val="18"/>
                <w:szCs w:val="18"/>
              </w:rPr>
            </w:pPr>
            <w:r w:rsidRPr="00E26583">
              <w:rPr>
                <w:rFonts w:eastAsia="Times New Roman" w:cs="Times New Roman"/>
                <w:sz w:val="18"/>
                <w:szCs w:val="18"/>
              </w:rPr>
              <w:t>57.601 Late Onset Sepsis/ Meningitis Denominator Form: Late Onset Sepsis/ Meningitis Denominator Form:  Data Table for monthly electronic upload</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F03B48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C32C1D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242500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5052C5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282822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3C82B1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$8,790</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312A2D8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1A25A78B"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101C325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78</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24C52707" w14:textId="77777777">
            <w:pPr>
              <w:spacing w:after="0" w:line="240" w:lineRule="auto"/>
              <w:rPr>
                <w:rFonts w:eastAsia="Times New Roman" w:cs="Times New Roman"/>
                <w:sz w:val="18"/>
                <w:szCs w:val="18"/>
              </w:rPr>
            </w:pPr>
            <w:r w:rsidRPr="00E26583">
              <w:rPr>
                <w:rFonts w:eastAsia="Times New Roman" w:cs="Times New Roman"/>
                <w:sz w:val="18"/>
                <w:szCs w:val="18"/>
              </w:rPr>
              <w:t>57.602  Late Onset Sepsis/ Meningitis Event Form: Data Table for Monthly Electronic Upload</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3A76FA1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0164B67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FB9E8D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A25B37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362557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E74F8F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$10,548</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587EF90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3F3BB0AA"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19932F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79</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5D454C21" w14:textId="77777777">
            <w:pPr>
              <w:spacing w:after="0" w:line="240" w:lineRule="auto"/>
              <w:rPr>
                <w:rFonts w:eastAsia="Times New Roman" w:cs="Times New Roman"/>
                <w:sz w:val="18"/>
                <w:szCs w:val="18"/>
              </w:rPr>
            </w:pPr>
            <w:r w:rsidRPr="00E26583">
              <w:rPr>
                <w:rFonts w:eastAsia="Times New Roman" w:cs="Times New Roman"/>
                <w:sz w:val="18"/>
                <w:szCs w:val="18"/>
              </w:rPr>
              <w:t>57.700 Medication Safety-Digital Measure Reporting Plan (HYPO, HAKI, ORAE) -IT Initial Set up</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686676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D38C27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1</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5891AF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27DD018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148500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49052B6"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FC1F29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$8,390,250</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1E83BEC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45BE7662"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6FF53CB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2E26A227" w14:textId="77777777">
            <w:pPr>
              <w:spacing w:after="0" w:line="240" w:lineRule="auto"/>
              <w:rPr>
                <w:rFonts w:eastAsia="Times New Roman" w:cs="Times New Roman"/>
                <w:sz w:val="18"/>
                <w:szCs w:val="18"/>
              </w:rPr>
            </w:pPr>
            <w:r w:rsidRPr="00E26583">
              <w:rPr>
                <w:rFonts w:eastAsia="Times New Roman" w:cs="Times New Roman"/>
                <w:sz w:val="18"/>
                <w:szCs w:val="18"/>
              </w:rPr>
              <w:t>57.700 Medication Safety-Digital Measure Reporting Plan (HYPO, HAKI, ORAE) -IT Yearly Maintenance</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B27873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67B02A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8227B7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1200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DE67AA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110000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DFC92B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D9550E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$6,215,000</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044E2A6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2AE64E95" w14:textId="77777777" w:rsidTr="00A349E0">
        <w:tblPrEx>
          <w:tblW w:w="17259" w:type="dxa"/>
          <w:tblLook w:val="04A0"/>
        </w:tblPrEx>
        <w:trPr>
          <w:trHeight w:val="46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6D05ED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72D29A98" w14:textId="77777777">
            <w:pPr>
              <w:spacing w:after="0" w:line="240" w:lineRule="auto"/>
              <w:rPr>
                <w:rFonts w:eastAsia="Times New Roman" w:cs="Times New Roman"/>
                <w:sz w:val="18"/>
                <w:szCs w:val="18"/>
              </w:rPr>
            </w:pPr>
            <w:r w:rsidRPr="00E26583">
              <w:rPr>
                <w:rFonts w:eastAsia="Times New Roman" w:cs="Times New Roman"/>
                <w:sz w:val="18"/>
                <w:szCs w:val="18"/>
              </w:rPr>
              <w:t>57.700 Medication Safety-Digital Measure Reporting Plan (HYPO, HAKI, ORAE)-Infection Preventionist</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481A02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BEA81A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E7C394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EAD7A2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3667</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03440FF"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FAE693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$214,886</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7106BF5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676711C0"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606180F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80</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179D97F1" w14:textId="77777777">
            <w:pPr>
              <w:spacing w:after="0" w:line="240" w:lineRule="auto"/>
              <w:rPr>
                <w:rFonts w:eastAsia="Times New Roman" w:cs="Times New Roman"/>
                <w:sz w:val="18"/>
                <w:szCs w:val="18"/>
              </w:rPr>
            </w:pPr>
            <w:r w:rsidRPr="00E26583">
              <w:rPr>
                <w:rFonts w:eastAsia="Times New Roman" w:cs="Times New Roman"/>
                <w:sz w:val="18"/>
                <w:szCs w:val="18"/>
              </w:rPr>
              <w:t>57.701 Glycemic Control Module-HYPO Annual Survey </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3DAB6F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48AA075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DE82D6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F22CD5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52C6549"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$58.60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33683D3"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$1,758</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6D6C1B7A"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Infection Preventionist/Microbiologist</w:t>
            </w:r>
          </w:p>
        </w:tc>
      </w:tr>
      <w:tr w14:paraId="0D9A7658"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820EB7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81</w:t>
            </w:r>
          </w:p>
        </w:tc>
        <w:tc>
          <w:tcPr>
            <w:tcW w:w="4733" w:type="dxa"/>
            <w:tcBorders>
              <w:top w:val="nil"/>
              <w:left w:val="nil"/>
              <w:bottom w:val="single" w:sz="4" w:space="0" w:color="auto"/>
              <w:right w:val="single" w:sz="4" w:space="0" w:color="auto"/>
            </w:tcBorders>
            <w:shd w:val="clear" w:color="000000" w:fill="FFFFFF"/>
            <w:vAlign w:val="center"/>
            <w:hideMark/>
          </w:tcPr>
          <w:p w:rsidR="00202151" w:rsidRPr="00E26583" w:rsidP="00202151" w14:paraId="21F5D93F" w14:textId="77777777">
            <w:pPr>
              <w:spacing w:after="0" w:line="240" w:lineRule="auto"/>
              <w:rPr>
                <w:rFonts w:eastAsia="Times New Roman" w:cs="Times New Roman"/>
                <w:sz w:val="18"/>
                <w:szCs w:val="18"/>
              </w:rPr>
            </w:pPr>
            <w:r w:rsidRPr="00E26583">
              <w:rPr>
                <w:rFonts w:eastAsia="Times New Roman" w:cs="Times New Roman"/>
                <w:sz w:val="18"/>
                <w:szCs w:val="18"/>
              </w:rPr>
              <w:t>57.800 Billing Code Data: 837I Upload </w:t>
            </w:r>
          </w:p>
        </w:tc>
        <w:tc>
          <w:tcPr>
            <w:tcW w:w="119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6F9C158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5500</w:t>
            </w:r>
          </w:p>
        </w:tc>
        <w:tc>
          <w:tcPr>
            <w:tcW w:w="11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51F305D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w:t>
            </w:r>
          </w:p>
        </w:tc>
        <w:tc>
          <w:tcPr>
            <w:tcW w:w="2627"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733386E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FF"/>
            <w:noWrap/>
            <w:vAlign w:val="center"/>
            <w:hideMark/>
          </w:tcPr>
          <w:p w:rsidR="00202151" w:rsidRPr="00E26583" w:rsidP="00202151" w14:paraId="1ACC4E67"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1833</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AE8754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$46.55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2E8C11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$85,326</w:t>
            </w:r>
          </w:p>
        </w:tc>
        <w:tc>
          <w:tcPr>
            <w:tcW w:w="2679" w:type="dxa"/>
            <w:tcBorders>
              <w:top w:val="nil"/>
              <w:left w:val="nil"/>
              <w:bottom w:val="single" w:sz="4" w:space="0" w:color="auto"/>
              <w:right w:val="single" w:sz="4" w:space="0" w:color="auto"/>
            </w:tcBorders>
            <w:shd w:val="clear" w:color="000000" w:fill="FFFFFF"/>
            <w:vAlign w:val="center"/>
            <w:hideMark/>
          </w:tcPr>
          <w:p w:rsidR="00202151" w:rsidRPr="00E26583" w:rsidP="00202151" w14:paraId="2643AEE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Registered Nurse</w:t>
            </w:r>
          </w:p>
        </w:tc>
      </w:tr>
      <w:tr w14:paraId="3CA85282"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79BAC2F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82</w:t>
            </w:r>
          </w:p>
        </w:tc>
        <w:tc>
          <w:tcPr>
            <w:tcW w:w="4733" w:type="dxa"/>
            <w:tcBorders>
              <w:top w:val="nil"/>
              <w:left w:val="nil"/>
              <w:bottom w:val="single" w:sz="4" w:space="0" w:color="auto"/>
              <w:right w:val="single" w:sz="4" w:space="0" w:color="auto"/>
            </w:tcBorders>
            <w:shd w:val="clear" w:color="000000" w:fill="FFFF00"/>
            <w:noWrap/>
            <w:vAlign w:val="bottom"/>
            <w:hideMark/>
          </w:tcPr>
          <w:p w:rsidR="00202151" w:rsidRPr="00E26583" w:rsidP="00202151" w14:paraId="0CD58181" w14:textId="77777777">
            <w:pPr>
              <w:spacing w:after="0" w:line="240" w:lineRule="auto"/>
              <w:rPr>
                <w:rFonts w:eastAsia="Times New Roman" w:cs="Times New Roman"/>
                <w:sz w:val="18"/>
                <w:szCs w:val="18"/>
              </w:rPr>
            </w:pPr>
            <w:r w:rsidRPr="00E26583">
              <w:rPr>
                <w:rFonts w:eastAsia="Times New Roman" w:cs="Times New Roman"/>
                <w:sz w:val="18"/>
                <w:szCs w:val="18"/>
              </w:rPr>
              <w:t>57.801 External Validation Summary Report</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5D5DF5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8E616A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DFEC21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1685DD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10</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2BE411F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$50.85 </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792E27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$509</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0905C02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Epidemiologist </w:t>
            </w:r>
          </w:p>
        </w:tc>
      </w:tr>
      <w:tr w14:paraId="2E8EBE76"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207218A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83</w:t>
            </w:r>
          </w:p>
        </w:tc>
        <w:tc>
          <w:tcPr>
            <w:tcW w:w="4733" w:type="dxa"/>
            <w:tcBorders>
              <w:top w:val="nil"/>
              <w:left w:val="nil"/>
              <w:bottom w:val="single" w:sz="4" w:space="0" w:color="auto"/>
              <w:right w:val="single" w:sz="4" w:space="0" w:color="auto"/>
            </w:tcBorders>
            <w:shd w:val="clear" w:color="000000" w:fill="FFFF00"/>
            <w:vAlign w:val="center"/>
            <w:hideMark/>
          </w:tcPr>
          <w:p w:rsidR="00202151" w:rsidRPr="00E26583" w:rsidP="00202151" w14:paraId="54276BF8"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57.802 Bed Capacity-IT Initial Set Up </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0765EBA1"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25</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C0D2D7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09728D8"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20</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5206B9D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715337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33654B4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$452</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5006C3B4"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78EFDD90" w14:textId="77777777" w:rsidTr="00A349E0">
        <w:tblPrEx>
          <w:tblW w:w="17259" w:type="dxa"/>
          <w:tblLook w:val="04A0"/>
        </w:tblPrEx>
        <w:trPr>
          <w:trHeight w:val="230"/>
        </w:trPr>
        <w:tc>
          <w:tcPr>
            <w:tcW w:w="396" w:type="dxa"/>
            <w:tcBorders>
              <w:top w:val="nil"/>
              <w:left w:val="single" w:sz="4" w:space="0" w:color="auto"/>
              <w:bottom w:val="single" w:sz="4" w:space="0" w:color="auto"/>
              <w:right w:val="single" w:sz="4" w:space="0" w:color="auto"/>
            </w:tcBorders>
            <w:shd w:val="clear" w:color="000000" w:fill="FFFFFF"/>
            <w:noWrap/>
            <w:vAlign w:val="bottom"/>
            <w:hideMark/>
          </w:tcPr>
          <w:p w:rsidR="00202151" w:rsidRPr="00E26583" w:rsidP="00202151" w14:paraId="352D883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84</w:t>
            </w:r>
          </w:p>
        </w:tc>
        <w:tc>
          <w:tcPr>
            <w:tcW w:w="4733" w:type="dxa"/>
            <w:tcBorders>
              <w:top w:val="nil"/>
              <w:left w:val="nil"/>
              <w:bottom w:val="single" w:sz="4" w:space="0" w:color="auto"/>
              <w:right w:val="single" w:sz="4" w:space="0" w:color="auto"/>
            </w:tcBorders>
            <w:shd w:val="clear" w:color="000000" w:fill="FFFF00"/>
            <w:vAlign w:val="center"/>
            <w:hideMark/>
          </w:tcPr>
          <w:p w:rsidR="00202151" w:rsidRPr="00E26583" w:rsidP="00202151" w14:paraId="2ECE72AE" w14:textId="77777777">
            <w:pPr>
              <w:spacing w:after="0" w:line="240" w:lineRule="auto"/>
              <w:rPr>
                <w:rFonts w:eastAsia="Times New Roman" w:cs="Times New Roman"/>
                <w:sz w:val="18"/>
                <w:szCs w:val="18"/>
              </w:rPr>
            </w:pPr>
            <w:r w:rsidRPr="00E26583">
              <w:rPr>
                <w:rFonts w:eastAsia="Times New Roman" w:cs="Times New Roman"/>
                <w:sz w:val="18"/>
                <w:szCs w:val="18"/>
              </w:rPr>
              <w:t xml:space="preserve">57.803 All Hazards </w:t>
            </w:r>
          </w:p>
        </w:tc>
        <w:tc>
          <w:tcPr>
            <w:tcW w:w="119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1123D80"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540</w:t>
            </w:r>
          </w:p>
        </w:tc>
        <w:tc>
          <w:tcPr>
            <w:tcW w:w="11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73CE2B7E"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365</w:t>
            </w:r>
          </w:p>
        </w:tc>
        <w:tc>
          <w:tcPr>
            <w:tcW w:w="2627"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4767725D"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w:t>
            </w:r>
            <w:r>
              <w:rPr>
                <w:rFonts w:eastAsia="Times New Roman" w:cs="Times New Roman"/>
                <w:color w:val="000000"/>
                <w:sz w:val="18"/>
                <w:szCs w:val="18"/>
              </w:rPr>
              <w:t>/60</w:t>
            </w:r>
          </w:p>
        </w:tc>
        <w:tc>
          <w:tcPr>
            <w:tcW w:w="144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69B41B5"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16425</w:t>
            </w:r>
          </w:p>
        </w:tc>
        <w:tc>
          <w:tcPr>
            <w:tcW w:w="10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6D34BA7B"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56.50</w:t>
            </w:r>
          </w:p>
        </w:tc>
        <w:tc>
          <w:tcPr>
            <w:tcW w:w="1980" w:type="dxa"/>
            <w:tcBorders>
              <w:top w:val="nil"/>
              <w:left w:val="nil"/>
              <w:bottom w:val="single" w:sz="4" w:space="0" w:color="auto"/>
              <w:right w:val="single" w:sz="4" w:space="0" w:color="auto"/>
            </w:tcBorders>
            <w:shd w:val="clear" w:color="000000" w:fill="FFFF00"/>
            <w:noWrap/>
            <w:vAlign w:val="center"/>
            <w:hideMark/>
          </w:tcPr>
          <w:p w:rsidR="00202151" w:rsidRPr="00E26583" w:rsidP="00202151" w14:paraId="1AE2F8F2"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$928,013</w:t>
            </w:r>
          </w:p>
        </w:tc>
        <w:tc>
          <w:tcPr>
            <w:tcW w:w="2679" w:type="dxa"/>
            <w:tcBorders>
              <w:top w:val="nil"/>
              <w:left w:val="nil"/>
              <w:bottom w:val="single" w:sz="4" w:space="0" w:color="auto"/>
              <w:right w:val="single" w:sz="4" w:space="0" w:color="auto"/>
            </w:tcBorders>
            <w:shd w:val="clear" w:color="000000" w:fill="FFFF00"/>
            <w:vAlign w:val="center"/>
            <w:hideMark/>
          </w:tcPr>
          <w:p w:rsidR="00202151" w:rsidRPr="00E26583" w:rsidP="00202151" w14:paraId="107523EC" w14:textId="77777777">
            <w:pPr>
              <w:spacing w:after="0" w:line="240" w:lineRule="auto"/>
              <w:jc w:val="center"/>
              <w:rPr>
                <w:rFonts w:eastAsia="Times New Roman" w:cs="Times New Roman"/>
                <w:color w:val="000000"/>
                <w:sz w:val="18"/>
                <w:szCs w:val="18"/>
              </w:rPr>
            </w:pPr>
            <w:r w:rsidRPr="00E26583">
              <w:rPr>
                <w:rFonts w:eastAsia="Times New Roman" w:cs="Times New Roman"/>
                <w:color w:val="000000"/>
                <w:sz w:val="18"/>
                <w:szCs w:val="18"/>
              </w:rPr>
              <w:t xml:space="preserve">Information Technology </w:t>
            </w:r>
          </w:p>
        </w:tc>
      </w:tr>
      <w:tr w14:paraId="56BAAAD6" w14:textId="77777777" w:rsidTr="00A349E0">
        <w:tblPrEx>
          <w:tblW w:w="17259" w:type="dxa"/>
          <w:tblLook w:val="04A0"/>
        </w:tblPrEx>
        <w:trPr>
          <w:trHeight w:val="230"/>
        </w:trPr>
        <w:tc>
          <w:tcPr>
            <w:tcW w:w="17259" w:type="dxa"/>
            <w:gridSpan w:val="9"/>
            <w:tcBorders>
              <w:top w:val="nil"/>
              <w:left w:val="single" w:sz="4" w:space="0" w:color="auto"/>
              <w:bottom w:val="single" w:sz="4" w:space="0" w:color="auto"/>
              <w:right w:val="single" w:sz="4" w:space="0" w:color="auto"/>
            </w:tcBorders>
            <w:shd w:val="clear" w:color="000000" w:fill="FFFFFF"/>
            <w:noWrap/>
            <w:vAlign w:val="bottom"/>
          </w:tcPr>
          <w:p w:rsidR="00202151" w:rsidRPr="00593208" w:rsidP="00202151" w14:paraId="2513CC6F" w14:textId="77777777">
            <w:pPr>
              <w:numPr>
                <w:ilvl w:val="0"/>
                <w:numId w:val="25"/>
              </w:numPr>
              <w:contextualSpacing/>
              <w:rPr>
                <w:sz w:val="18"/>
                <w:szCs w:val="16"/>
              </w:rPr>
            </w:pPr>
            <w:r w:rsidRPr="00B60AB0">
              <w:rPr>
                <w:sz w:val="18"/>
                <w:szCs w:val="16"/>
              </w:rPr>
              <w:t xml:space="preserve">Items highlighted in yellow denote updates from the last submission. </w:t>
            </w:r>
          </w:p>
          <w:p w:rsidR="00202151" w:rsidRPr="00EB5A39" w:rsidP="00202151" w14:paraId="03968031" w14:textId="77777777">
            <w:pPr>
              <w:spacing w:after="0" w:line="240" w:lineRule="auto"/>
              <w:ind w:left="10080"/>
              <w:jc w:val="center"/>
              <w:rPr>
                <w:rFonts w:eastAsia="Times New Roman" w:cs="Times New Roman"/>
                <w:b/>
                <w:bCs/>
                <w:color w:val="000000"/>
                <w:sz w:val="28"/>
                <w:szCs w:val="28"/>
                <w:highlight w:val="yellow"/>
              </w:rPr>
            </w:pPr>
            <w:r w:rsidRPr="00EB5A39">
              <w:rPr>
                <w:rFonts w:eastAsia="Times New Roman" w:cs="Times New Roman"/>
                <w:b/>
                <w:bCs/>
                <w:color w:val="000000"/>
                <w:sz w:val="28"/>
                <w:szCs w:val="28"/>
                <w:highlight w:val="yellow"/>
              </w:rPr>
              <w:t>Total Estimated Annual Burden (Hours) – 4,</w:t>
            </w:r>
            <w:r w:rsidRPr="00EB5A39" w:rsidR="001504A7">
              <w:rPr>
                <w:rFonts w:eastAsia="Times New Roman" w:cs="Times New Roman"/>
                <w:b/>
                <w:bCs/>
                <w:color w:val="000000"/>
                <w:sz w:val="28"/>
                <w:szCs w:val="28"/>
                <w:highlight w:val="yellow"/>
              </w:rPr>
              <w:t>39</w:t>
            </w:r>
            <w:r w:rsidR="00477619">
              <w:rPr>
                <w:rFonts w:eastAsia="Times New Roman" w:cs="Times New Roman"/>
                <w:b/>
                <w:bCs/>
                <w:color w:val="000000"/>
                <w:sz w:val="28"/>
                <w:szCs w:val="28"/>
                <w:highlight w:val="yellow"/>
              </w:rPr>
              <w:t>7,234</w:t>
            </w:r>
          </w:p>
          <w:p w:rsidR="00202151" w:rsidRPr="00E26583" w:rsidP="00202151" w14:paraId="3FC07E50" w14:textId="77777777">
            <w:pPr>
              <w:spacing w:after="0" w:line="240" w:lineRule="auto"/>
              <w:ind w:left="7920"/>
              <w:jc w:val="center"/>
              <w:rPr>
                <w:rFonts w:eastAsia="Times New Roman" w:cs="Times New Roman"/>
                <w:color w:val="000000"/>
                <w:sz w:val="18"/>
                <w:szCs w:val="18"/>
              </w:rPr>
            </w:pPr>
            <w:r w:rsidRPr="00EB5A39">
              <w:rPr>
                <w:rFonts w:eastAsia="Times New Roman" w:cs="Times New Roman"/>
                <w:b/>
                <w:bCs/>
                <w:color w:val="000000"/>
                <w:sz w:val="28"/>
                <w:szCs w:val="28"/>
                <w:highlight w:val="yellow"/>
              </w:rPr>
              <w:t xml:space="preserve">   Total Estimated Cost - $</w:t>
            </w:r>
            <w:r w:rsidRPr="003A1DD7">
              <w:rPr>
                <w:rFonts w:eastAsia="Times New Roman" w:cs="Times New Roman"/>
                <w:b/>
                <w:bCs/>
                <w:color w:val="000000"/>
                <w:sz w:val="28"/>
                <w:szCs w:val="28"/>
                <w:highlight w:val="yellow"/>
              </w:rPr>
              <w:t>2</w:t>
            </w:r>
            <w:r w:rsidRPr="003A1DD7" w:rsidR="003A1DD7">
              <w:rPr>
                <w:rFonts w:eastAsia="Times New Roman" w:cs="Times New Roman"/>
                <w:b/>
                <w:bCs/>
                <w:color w:val="000000"/>
                <w:sz w:val="28"/>
                <w:szCs w:val="28"/>
                <w:highlight w:val="yellow"/>
              </w:rPr>
              <w:t>57,145,705</w:t>
            </w:r>
          </w:p>
        </w:tc>
      </w:tr>
    </w:tbl>
    <w:p w:rsidR="00B60AB0" w:rsidRPr="00593208" w:rsidP="00D36AD8" w14:paraId="5238C389" w14:textId="77777777">
      <w:pPr>
        <w:rPr>
          <w:sz w:val="16"/>
          <w:szCs w:val="16"/>
        </w:rPr>
        <w:sectPr w:rsidSect="00B60AB0">
          <w:footerReference w:type="default" r:id="rId21"/>
          <w:pgSz w:w="20160" w:h="12240" w:orient="landscape" w:code="5"/>
          <w:pgMar w:top="1080" w:right="1080" w:bottom="1080" w:left="1080" w:header="720" w:footer="720" w:gutter="0"/>
          <w:cols w:space="720"/>
          <w:docGrid w:linePitch="360"/>
        </w:sectPr>
      </w:pPr>
    </w:p>
    <w:p w:rsidR="004A13E8" w:rsidP="0025156B" w14:paraId="66B238E8" w14:textId="77777777">
      <w:pPr>
        <w:pStyle w:val="Heading1"/>
        <w:spacing w:before="240"/>
      </w:pPr>
      <w:bookmarkStart w:id="17" w:name="_Toc177113138"/>
      <w:r>
        <w:t>Estimates of Other Total Annual Cost Burden to Respondents or Record Keepers</w:t>
      </w:r>
      <w:bookmarkEnd w:id="17"/>
    </w:p>
    <w:p w:rsidR="004A13E8" w:rsidRPr="004A13E8" w:rsidP="004A13E8" w14:paraId="5E3E09D3" w14:textId="77777777">
      <w:r w:rsidRPr="008668E8">
        <w:t xml:space="preserve">There is no change in the estimates of the annual cost burden to respondents. Capital and start-up cost: Healthcare institutions participating in NHSN are responsible for choosing the specific computer brand and model to purchase. Minimum system requirements are as follows:  3 GHz processor – Intel Pentium IV or AMD K6/Athlon/Duron family or compatible processor; 512 MB of RAM; sound card; speakers or headphones; hard disk minimum 40 GB; Microsoft Internet Explorer 7 or higher; 17” Super VGA (800 X 600) or higher resolution video adaptor and monitor; Windows XP, Windows 2000, Windows Vista, or Windows 7 Operating system; laser printer; high-speed internet access &gt;200 </w:t>
      </w:r>
      <w:r w:rsidRPr="008668E8">
        <w:t>Kbs</w:t>
      </w:r>
      <w:r w:rsidRPr="008668E8">
        <w:t xml:space="preserve"> (e.g., T1, cable, DSL or ADSL); and e-mail account.  It is expected that most institutions will have met or exceeded these recommendations for other business purposes. Recurring costs: Healthcare facilities participating in NHSN must have access to high-speed Internet, which most have for other business purposes. No other recurring costs are anticipated. </w:t>
      </w:r>
    </w:p>
    <w:p w:rsidR="004A13E8" w:rsidP="004A13E8" w14:paraId="0D0BD2ED" w14:textId="77777777">
      <w:pPr>
        <w:pStyle w:val="Heading1"/>
      </w:pPr>
      <w:bookmarkStart w:id="18" w:name="_Toc177113139"/>
      <w:r>
        <w:t>Annualized Cost to the Government</w:t>
      </w:r>
      <w:bookmarkEnd w:id="18"/>
    </w:p>
    <w:p w:rsidR="0077452A" w14:paraId="19A77776" w14:textId="77777777">
      <w:pPr>
        <w:rPr>
          <w:b/>
          <w:bCs/>
        </w:rPr>
      </w:pPr>
      <w:r w:rsidRPr="008668E8">
        <w:t xml:space="preserve">A total of 127 FTE/contractor personnel are actively involved in the enhancement and maintenance of NHSN. The estimated cost to the government of this OMB revision of NHSN is based on expenses incurred in the following categories: personnel and programming contracts.  The items and their costs relevant to the proposed modifications to NHSN are shown in the table below. </w:t>
      </w:r>
      <w:r w:rsidRPr="00F34A92">
        <w:t>The total cost to the government in 202</w:t>
      </w:r>
      <w:r w:rsidRPr="00F34A92" w:rsidR="009D20D9">
        <w:t>4</w:t>
      </w:r>
      <w:r w:rsidRPr="00F34A92">
        <w:t xml:space="preserve"> is estimated to be </w:t>
      </w:r>
      <w:r w:rsidRPr="00F34A92">
        <w:rPr>
          <w:b/>
          <w:bCs/>
        </w:rPr>
        <w:t>$</w:t>
      </w:r>
      <w:r w:rsidRPr="00F34A92" w:rsidR="009D20D9">
        <w:rPr>
          <w:b/>
          <w:bCs/>
        </w:rPr>
        <w:t>49,992,135</w:t>
      </w:r>
      <w:r w:rsidRPr="00F34A92" w:rsidR="00922F77">
        <w:rPr>
          <w:b/>
          <w:bCs/>
        </w:rPr>
        <w:t>.</w:t>
      </w:r>
      <w:r w:rsidRPr="008668E8">
        <w:t xml:space="preserve"> </w:t>
      </w:r>
    </w:p>
    <w:p w:rsidR="00FE0398" w:rsidP="00FE0398" w14:paraId="489EA788" w14:textId="77777777">
      <w:pPr>
        <w:rPr>
          <w:b/>
          <w:bCs/>
        </w:rPr>
      </w:pPr>
      <w:bookmarkStart w:id="19" w:name="_Hlk144290482"/>
      <w:r w:rsidRPr="00CD37E2">
        <w:rPr>
          <w:b/>
          <w:bCs/>
        </w:rPr>
        <w:t>NHSN Estimated Annual Cost to the Government</w:t>
      </w:r>
    </w:p>
    <w:tbl>
      <w:tblPr>
        <w:tblW w:w="10098" w:type="dxa"/>
        <w:tblCellMar>
          <w:left w:w="0" w:type="dxa"/>
          <w:right w:w="0" w:type="dxa"/>
        </w:tblCellMar>
        <w:tblLook w:val="04A0"/>
      </w:tblPr>
      <w:tblGrid>
        <w:gridCol w:w="1818"/>
        <w:gridCol w:w="3330"/>
        <w:gridCol w:w="2250"/>
        <w:gridCol w:w="2700"/>
      </w:tblGrid>
      <w:tr w14:paraId="579395B9" w14:textId="77777777" w:rsidTr="009D20D9">
        <w:tblPrEx>
          <w:tblW w:w="10098" w:type="dxa"/>
          <w:tblCellMar>
            <w:left w:w="0" w:type="dxa"/>
            <w:right w:w="0" w:type="dxa"/>
          </w:tblCellMar>
          <w:tblLook w:val="04A0"/>
        </w:tblPrEx>
        <w:trPr>
          <w:tblHeader/>
        </w:trPr>
        <w:tc>
          <w:tcPr>
            <w:tcW w:w="1818" w:type="dxa"/>
            <w:tcBorders>
              <w:top w:val="single" w:sz="8" w:space="0" w:color="auto"/>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098DF90E" w14:textId="77777777">
            <w:pPr>
              <w:pStyle w:val="xmsonospacing"/>
              <w:spacing w:line="276" w:lineRule="auto"/>
            </w:pPr>
            <w:r w:rsidRPr="00B60AB0">
              <w:rPr>
                <w:b/>
                <w:bCs/>
              </w:rPr>
              <w:t>Expense Item</w:t>
            </w:r>
          </w:p>
        </w:tc>
        <w:tc>
          <w:tcPr>
            <w:tcW w:w="5580" w:type="dxa"/>
            <w:gridSpan w:val="2"/>
            <w:tcBorders>
              <w:top w:val="single" w:sz="8" w:space="0" w:color="auto"/>
              <w:left w:val="nil"/>
              <w:bottom w:val="single" w:sz="8" w:space="0" w:color="auto"/>
              <w:right w:val="dotted" w:sz="8" w:space="0" w:color="auto"/>
            </w:tcBorders>
            <w:tcMar>
              <w:top w:w="0" w:type="dxa"/>
              <w:left w:w="108" w:type="dxa"/>
              <w:bottom w:w="0" w:type="dxa"/>
              <w:right w:w="108" w:type="dxa"/>
            </w:tcMar>
            <w:hideMark/>
          </w:tcPr>
          <w:p w:rsidR="009D20D9" w:rsidRPr="00B60AB0" w14:paraId="2698501A" w14:textId="77777777">
            <w:pPr>
              <w:pStyle w:val="xmsonospacing"/>
              <w:spacing w:line="276" w:lineRule="auto"/>
            </w:pPr>
            <w:r w:rsidRPr="00B60AB0">
              <w:rPr>
                <w:b/>
                <w:bCs/>
              </w:rPr>
              <w:t>Description</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20D9" w:rsidRPr="00B60AB0" w14:paraId="3C45A9E5" w14:textId="77777777">
            <w:pPr>
              <w:pStyle w:val="xmsonospacing"/>
              <w:spacing w:line="276" w:lineRule="auto"/>
            </w:pPr>
            <w:r w:rsidRPr="00B60AB0">
              <w:rPr>
                <w:b/>
                <w:bCs/>
              </w:rPr>
              <w:t>Estimated Annual Cost</w:t>
            </w:r>
          </w:p>
        </w:tc>
      </w:tr>
      <w:tr w14:paraId="3B800D46" w14:textId="77777777" w:rsidTr="009D20D9">
        <w:tblPrEx>
          <w:tblW w:w="10098" w:type="dxa"/>
          <w:tblCellMar>
            <w:left w:w="0" w:type="dxa"/>
            <w:right w:w="0" w:type="dxa"/>
          </w:tblCellMar>
          <w:tblLook w:val="04A0"/>
        </w:tblPrEx>
        <w:trPr>
          <w:trHeight w:val="530"/>
        </w:trPr>
        <w:tc>
          <w:tcPr>
            <w:tcW w:w="181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9D20D9" w:rsidRPr="00B60AB0" w14:paraId="53E3CAC0" w14:textId="77777777">
            <w:pPr>
              <w:pStyle w:val="xmsonospacing"/>
              <w:spacing w:line="276" w:lineRule="auto"/>
            </w:pPr>
            <w:r w:rsidRPr="00B60AB0">
              <w:t>Personnel</w:t>
            </w:r>
          </w:p>
        </w:tc>
        <w:tc>
          <w:tcPr>
            <w:tcW w:w="5580"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D20D9" w:rsidRPr="00B60AB0" w14:paraId="64E5FAD8" w14:textId="77777777">
            <w:pPr>
              <w:pStyle w:val="xmsonospacing"/>
              <w:spacing w:line="276" w:lineRule="auto"/>
            </w:pPr>
            <w:r w:rsidRPr="00B60AB0">
              <w:t>The personnel categories and their FTE contributions are as follows:</w:t>
            </w:r>
          </w:p>
        </w:tc>
        <w:tc>
          <w:tcPr>
            <w:tcW w:w="2700" w:type="dxa"/>
            <w:tcBorders>
              <w:top w:val="nil"/>
              <w:left w:val="nil"/>
              <w:bottom w:val="dotted" w:sz="8" w:space="0" w:color="auto"/>
              <w:right w:val="single" w:sz="8" w:space="0" w:color="auto"/>
            </w:tcBorders>
            <w:tcMar>
              <w:top w:w="0" w:type="dxa"/>
              <w:left w:w="108" w:type="dxa"/>
              <w:bottom w:w="0" w:type="dxa"/>
              <w:right w:w="108" w:type="dxa"/>
            </w:tcMar>
            <w:hideMark/>
          </w:tcPr>
          <w:p w:rsidR="009D20D9" w:rsidRPr="00B60AB0" w14:paraId="65D51B2A" w14:textId="77777777">
            <w:pPr>
              <w:pStyle w:val="xmsonormal"/>
              <w:rPr>
                <w:rFonts w:ascii="Times New Roman" w:hAnsi="Times New Roman" w:cs="Times New Roman"/>
                <w:sz w:val="24"/>
                <w:szCs w:val="24"/>
              </w:rPr>
            </w:pPr>
            <w:r w:rsidRPr="00B60AB0">
              <w:rPr>
                <w:rFonts w:ascii="Times New Roman" w:hAnsi="Times New Roman" w:cs="Times New Roman"/>
                <w:sz w:val="24"/>
                <w:szCs w:val="24"/>
              </w:rPr>
              <w:t>FTE annual compensation in FY2024 will be $6,595,430</w:t>
            </w:r>
          </w:p>
        </w:tc>
      </w:tr>
      <w:tr w14:paraId="72F07E1F" w14:textId="77777777" w:rsidTr="009D20D9">
        <w:tblPrEx>
          <w:tblW w:w="10098" w:type="dxa"/>
          <w:tblCellMar>
            <w:left w:w="0" w:type="dxa"/>
            <w:right w:w="0" w:type="dxa"/>
          </w:tblCellMar>
          <w:tblLook w:val="04A0"/>
        </w:tblPrEx>
        <w:trPr>
          <w:trHeight w:val="512"/>
        </w:trPr>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3A8A094D" w14:textId="77777777">
            <w:pPr>
              <w:pStyle w:val="xmsonospacing"/>
              <w:spacing w:line="276" w:lineRule="auto"/>
              <w:ind w:firstLine="720"/>
            </w:pPr>
            <w:r w:rsidRPr="00B60AB0">
              <w:t> </w:t>
            </w:r>
          </w:p>
        </w:tc>
        <w:tc>
          <w:tcPr>
            <w:tcW w:w="3330" w:type="dxa"/>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5C93A4C4" w14:textId="77777777">
            <w:pPr>
              <w:pStyle w:val="xmsonospacing"/>
              <w:spacing w:line="276" w:lineRule="auto"/>
            </w:pPr>
            <w:r w:rsidRPr="00B60AB0">
              <w:t>Supervisory Medical Officer</w:t>
            </w:r>
          </w:p>
          <w:p w:rsidR="009D20D9" w:rsidRPr="00B60AB0" w14:paraId="2724CC38" w14:textId="77777777">
            <w:pPr>
              <w:pStyle w:val="xmsonospacing"/>
              <w:spacing w:line="276" w:lineRule="auto"/>
            </w:pPr>
            <w:r w:rsidRPr="00B60AB0">
              <w:t>Business Support Specialist</w:t>
            </w:r>
          </w:p>
          <w:p w:rsidR="009D20D9" w:rsidRPr="00B60AB0" w14:paraId="49BB5217" w14:textId="77777777">
            <w:pPr>
              <w:pStyle w:val="xmsonospacing"/>
              <w:spacing w:line="276" w:lineRule="auto"/>
            </w:pPr>
            <w:r w:rsidRPr="00B60AB0">
              <w:t>IT Specialist</w:t>
            </w:r>
          </w:p>
          <w:p w:rsidR="009D20D9" w:rsidRPr="00B60AB0" w14:paraId="32491CB7" w14:textId="77777777">
            <w:pPr>
              <w:pStyle w:val="xmsonospacing"/>
              <w:spacing w:line="276" w:lineRule="auto"/>
            </w:pPr>
            <w:r w:rsidRPr="00B60AB0">
              <w:t>IT Project Manager</w:t>
            </w:r>
          </w:p>
          <w:p w:rsidR="009D20D9" w:rsidRPr="00B60AB0" w14:paraId="39DF6296" w14:textId="77777777">
            <w:pPr>
              <w:pStyle w:val="xmsonospacing"/>
              <w:spacing w:line="276" w:lineRule="auto"/>
            </w:pPr>
            <w:r w:rsidRPr="00B60AB0">
              <w:t>Medical Epidemiologist</w:t>
            </w:r>
          </w:p>
          <w:p w:rsidR="009D20D9" w:rsidRPr="00B60AB0" w14:paraId="49D5E09E" w14:textId="77777777">
            <w:pPr>
              <w:pStyle w:val="xmsonospacing"/>
              <w:spacing w:line="276" w:lineRule="auto"/>
            </w:pPr>
            <w:r w:rsidRPr="00B60AB0">
              <w:t>Statistician</w:t>
            </w:r>
          </w:p>
          <w:p w:rsidR="009D20D9" w:rsidRPr="00B60AB0" w14:paraId="2D16FC38" w14:textId="77777777">
            <w:pPr>
              <w:pStyle w:val="xmsonospacing"/>
              <w:spacing w:line="276" w:lineRule="auto"/>
            </w:pPr>
            <w:r w:rsidRPr="00B60AB0">
              <w:t>Epidemiologist</w:t>
            </w:r>
          </w:p>
          <w:p w:rsidR="009D20D9" w:rsidRPr="00B60AB0" w14:paraId="65D6BC9E" w14:textId="77777777">
            <w:pPr>
              <w:pStyle w:val="xmsonospacing"/>
              <w:spacing w:line="276" w:lineRule="auto"/>
            </w:pPr>
            <w:r w:rsidRPr="00B60AB0">
              <w:t xml:space="preserve">Health Scientist </w:t>
            </w:r>
          </w:p>
          <w:p w:rsidR="009D20D9" w:rsidRPr="00B60AB0" w14:paraId="7A0EF627" w14:textId="77777777">
            <w:pPr>
              <w:pStyle w:val="xmsonospacing"/>
              <w:spacing w:line="276" w:lineRule="auto"/>
            </w:pPr>
            <w:r w:rsidRPr="00B60AB0">
              <w:t>Nurse Consultant</w:t>
            </w:r>
          </w:p>
          <w:p w:rsidR="009D20D9" w:rsidRPr="00B60AB0" w14:paraId="2B062091" w14:textId="77777777">
            <w:pPr>
              <w:pStyle w:val="xmsonospacing"/>
              <w:spacing w:line="276" w:lineRule="auto"/>
            </w:pPr>
            <w:r w:rsidRPr="00B60AB0">
              <w:t>Public Health Analyst</w:t>
            </w:r>
          </w:p>
          <w:p w:rsidR="009D20D9" w:rsidRPr="00B60AB0" w14:paraId="251C31D2" w14:textId="77777777">
            <w:pPr>
              <w:pStyle w:val="xmsonospacing"/>
              <w:spacing w:line="276" w:lineRule="auto"/>
            </w:pPr>
            <w:r w:rsidRPr="00B60AB0">
              <w:t>Senior Service Fellow</w:t>
            </w:r>
            <w:r w:rsidRPr="00B60AB0">
              <w:rPr>
                <w:b/>
                <w:bCs/>
              </w:rPr>
              <w:t> </w:t>
            </w:r>
          </w:p>
          <w:p w:rsidR="009D20D9" w:rsidRPr="00B60AB0" w14:paraId="45B00248" w14:textId="77777777">
            <w:pPr>
              <w:pStyle w:val="xmsonospacing"/>
              <w:spacing w:line="276" w:lineRule="auto"/>
            </w:pPr>
            <w:r w:rsidRPr="00B60AB0">
              <w:t>Public Health Informatics Fellow</w:t>
            </w:r>
          </w:p>
        </w:tc>
        <w:tc>
          <w:tcPr>
            <w:tcW w:w="2250" w:type="dxa"/>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0C545874" w14:textId="77777777">
            <w:pPr>
              <w:pStyle w:val="xmsonospacing"/>
              <w:spacing w:line="276" w:lineRule="auto"/>
              <w:ind w:firstLine="720"/>
            </w:pPr>
            <w:r w:rsidRPr="00B60AB0">
              <w:t>1</w:t>
            </w:r>
          </w:p>
          <w:p w:rsidR="009D20D9" w:rsidRPr="00B60AB0" w14:paraId="1AD21AE2" w14:textId="77777777">
            <w:pPr>
              <w:pStyle w:val="xmsonospacing"/>
              <w:spacing w:line="276" w:lineRule="auto"/>
              <w:ind w:firstLine="720"/>
            </w:pPr>
            <w:r w:rsidRPr="00B60AB0">
              <w:t>1</w:t>
            </w:r>
          </w:p>
          <w:p w:rsidR="009D20D9" w:rsidRPr="00B60AB0" w14:paraId="095E012F" w14:textId="77777777">
            <w:pPr>
              <w:pStyle w:val="xmsonospacing"/>
              <w:spacing w:line="276" w:lineRule="auto"/>
              <w:ind w:firstLine="720"/>
            </w:pPr>
            <w:r w:rsidRPr="00B60AB0">
              <w:t>1</w:t>
            </w:r>
          </w:p>
          <w:p w:rsidR="009D20D9" w:rsidRPr="00B60AB0" w14:paraId="76601A93" w14:textId="77777777">
            <w:pPr>
              <w:pStyle w:val="xmsonospacing"/>
              <w:spacing w:line="276" w:lineRule="auto"/>
              <w:ind w:firstLine="720"/>
            </w:pPr>
            <w:r w:rsidRPr="00B60AB0">
              <w:t>1</w:t>
            </w:r>
          </w:p>
          <w:p w:rsidR="009D20D9" w:rsidRPr="00B60AB0" w14:paraId="5FE86393" w14:textId="77777777">
            <w:pPr>
              <w:pStyle w:val="xmsonospacing"/>
              <w:spacing w:line="276" w:lineRule="auto"/>
              <w:ind w:firstLine="720"/>
            </w:pPr>
            <w:r w:rsidRPr="00B60AB0">
              <w:t>1</w:t>
            </w:r>
          </w:p>
          <w:p w:rsidR="009D20D9" w:rsidRPr="00B60AB0" w14:paraId="7140E713" w14:textId="77777777">
            <w:pPr>
              <w:pStyle w:val="xmsonospacing"/>
              <w:spacing w:line="276" w:lineRule="auto"/>
              <w:ind w:firstLine="720"/>
            </w:pPr>
            <w:r w:rsidRPr="00B60AB0">
              <w:t>1</w:t>
            </w:r>
          </w:p>
          <w:p w:rsidR="009D20D9" w:rsidRPr="00B60AB0" w14:paraId="61EDBA96" w14:textId="77777777">
            <w:pPr>
              <w:pStyle w:val="xmsonospacing"/>
              <w:spacing w:line="276" w:lineRule="auto"/>
              <w:ind w:firstLine="720"/>
            </w:pPr>
            <w:r w:rsidRPr="00B60AB0">
              <w:t>1</w:t>
            </w:r>
          </w:p>
          <w:p w:rsidR="009D20D9" w:rsidRPr="00B60AB0" w14:paraId="781C01E7" w14:textId="77777777">
            <w:pPr>
              <w:pStyle w:val="xmsonospacing"/>
              <w:spacing w:line="276" w:lineRule="auto"/>
              <w:ind w:firstLine="720"/>
            </w:pPr>
            <w:r w:rsidRPr="00B60AB0">
              <w:t>11</w:t>
            </w:r>
          </w:p>
          <w:p w:rsidR="009D20D9" w:rsidRPr="00B60AB0" w14:paraId="6581ECF5" w14:textId="77777777">
            <w:pPr>
              <w:pStyle w:val="xmsonospacing"/>
              <w:spacing w:line="276" w:lineRule="auto"/>
              <w:ind w:firstLine="720"/>
            </w:pPr>
            <w:r w:rsidRPr="00B60AB0">
              <w:t>8</w:t>
            </w:r>
          </w:p>
          <w:p w:rsidR="009D20D9" w:rsidRPr="00B60AB0" w14:paraId="446C5E87" w14:textId="77777777">
            <w:pPr>
              <w:pStyle w:val="xmsonospacing"/>
              <w:spacing w:line="276" w:lineRule="auto"/>
            </w:pPr>
            <w:r w:rsidRPr="00B60AB0">
              <w:t>             2</w:t>
            </w:r>
          </w:p>
          <w:p w:rsidR="009D20D9" w:rsidRPr="00B60AB0" w14:paraId="0C732DA0" w14:textId="77777777">
            <w:pPr>
              <w:pStyle w:val="xmsonospacing"/>
              <w:spacing w:line="276" w:lineRule="auto"/>
              <w:ind w:firstLine="720"/>
            </w:pPr>
            <w:r w:rsidRPr="00B60AB0">
              <w:t xml:space="preserve"> 3 </w:t>
            </w:r>
          </w:p>
          <w:p w:rsidR="009D20D9" w:rsidRPr="00B60AB0" w14:paraId="39A9F8AA" w14:textId="77777777">
            <w:pPr>
              <w:pStyle w:val="xmsonospacing"/>
              <w:spacing w:line="276" w:lineRule="auto"/>
            </w:pPr>
            <w:r w:rsidRPr="00B60AB0">
              <w:t>             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B60AB0" w14:paraId="48B56BAC" w14:textId="77777777">
            <w:pPr>
              <w:pStyle w:val="xmsonospacing"/>
              <w:spacing w:line="276" w:lineRule="auto"/>
              <w:ind w:firstLine="720"/>
            </w:pPr>
            <w:r w:rsidRPr="00B60AB0">
              <w:t> </w:t>
            </w:r>
          </w:p>
        </w:tc>
      </w:tr>
      <w:tr w14:paraId="08460457" w14:textId="77777777" w:rsidTr="009D20D9">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0F2366E6" w14:textId="77777777">
            <w:pPr>
              <w:pStyle w:val="xmsonospacing"/>
              <w:spacing w:line="276" w:lineRule="auto"/>
            </w:pPr>
            <w:r w:rsidRPr="00B60AB0">
              <w:t>Programming contracts</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5C2F2DF1" w14:textId="77777777">
            <w:pPr>
              <w:pStyle w:val="xmsonospacing"/>
              <w:spacing w:line="276" w:lineRule="auto"/>
            </w:pPr>
            <w:r w:rsidRPr="00B60AB0">
              <w:t>Design, develop, and deploy enhancements to NHSN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B60AB0" w14:paraId="19024CB9" w14:textId="77777777">
            <w:pPr>
              <w:pStyle w:val="xmsonospacing"/>
              <w:spacing w:line="276" w:lineRule="auto"/>
              <w:ind w:firstLine="720"/>
            </w:pPr>
            <w:r w:rsidRPr="00B60AB0">
              <w:t>$43,396,705</w:t>
            </w:r>
          </w:p>
        </w:tc>
      </w:tr>
      <w:tr w14:paraId="63EF0EB4" w14:textId="77777777" w:rsidTr="009D20D9">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B60AB0" w14:paraId="01213AC0" w14:textId="77777777">
            <w:pPr>
              <w:pStyle w:val="xmsonospacing"/>
              <w:spacing w:line="276" w:lineRule="auto"/>
              <w:ind w:firstLine="720"/>
            </w:pPr>
            <w:r w:rsidRPr="00B60AB0">
              <w:rPr>
                <w:b/>
                <w:bCs/>
              </w:rPr>
              <w:t>Total</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9D20D9" w:rsidRPr="00B60AB0" w14:paraId="72D7939D" w14:textId="77777777">
            <w:pPr>
              <w:pStyle w:val="xmsonospacing"/>
              <w:spacing w:line="276" w:lineRule="auto"/>
              <w:ind w:firstLine="720"/>
            </w:pPr>
            <w:r w:rsidRPr="00B60AB0">
              <w:rPr>
                <w:b/>
                <w:bCs/>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B60AB0" w14:paraId="5346F342" w14:textId="77777777">
            <w:pPr>
              <w:pStyle w:val="xmsonospacing"/>
              <w:spacing w:line="276" w:lineRule="auto"/>
              <w:ind w:firstLine="720"/>
            </w:pPr>
            <w:r w:rsidRPr="00B60AB0">
              <w:rPr>
                <w:b/>
                <w:bCs/>
              </w:rPr>
              <w:t>$49,992,135</w:t>
            </w:r>
          </w:p>
        </w:tc>
      </w:tr>
    </w:tbl>
    <w:p w:rsidR="006D0FBF" w:rsidP="00B11B72" w14:paraId="65140686" w14:textId="77777777">
      <w:pPr>
        <w:pStyle w:val="Heading1"/>
      </w:pPr>
      <w:bookmarkStart w:id="20" w:name="_Toc177113140"/>
      <w:bookmarkEnd w:id="19"/>
      <w:r>
        <w:t>Explanation for Program Changes or Adjustments</w:t>
      </w:r>
      <w:bookmarkEnd w:id="20"/>
    </w:p>
    <w:p w:rsidR="00B11B72" w:rsidRPr="00B11B72" w:rsidP="00B11B72" w14:paraId="4C4B3B8A" w14:textId="77777777">
      <w:r>
        <w:t xml:space="preserve">See </w:t>
      </w:r>
      <w:r w:rsidR="00CA06C4">
        <w:t>A</w:t>
      </w:r>
      <w:r>
        <w:t>ttachment</w:t>
      </w:r>
      <w:r w:rsidR="00F87D8F">
        <w:t>s</w:t>
      </w:r>
      <w:r>
        <w:t xml:space="preserve"> </w:t>
      </w:r>
      <w:r w:rsidR="00A348AE">
        <w:t>D</w:t>
      </w:r>
      <w:r w:rsidR="00F87D8F">
        <w:t>1-D2</w:t>
      </w:r>
      <w:r>
        <w:t xml:space="preserve">. </w:t>
      </w:r>
      <w:r w:rsidR="0043326A">
        <w:t xml:space="preserve">D1 includes a summary of the changes to the data collection forms and D2 includes more detailed itemized changes to forms. </w:t>
      </w:r>
    </w:p>
    <w:p w:rsidR="004A13E8" w:rsidP="00B11B72" w14:paraId="7D37F672" w14:textId="77777777">
      <w:pPr>
        <w:pStyle w:val="Heading1"/>
      </w:pPr>
      <w:bookmarkStart w:id="21" w:name="_Toc177113141"/>
      <w:r>
        <w:t>Plans for Tabulation and Publication and Project Time Schedule</w:t>
      </w:r>
      <w:bookmarkEnd w:id="21"/>
    </w:p>
    <w:p w:rsidR="008B10D3" w:rsidRPr="00B36EB2" w:rsidP="008B10D3" w14:paraId="66F66108" w14:textId="7777777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NHSN is an ongoing data collection system and as such does not have an annual timeline. The data are reported on a continuous basis by participating institutions and aggregated by CDC into a national database that </w:t>
      </w:r>
      <w:r w:rsidRPr="00C97748">
        <w:rPr>
          <w:noProof/>
        </w:rPr>
        <w:t>is analyzed</w:t>
      </w:r>
      <w:r w:rsidRPr="00B36EB2">
        <w:t xml:space="preserve"> for two main purposes: to describe the epidemiology of healthcare-associated adverse events, and to provide comparative data for populations with similar risks. Comparative data can be used by participating and by non-participating </w:t>
      </w:r>
      <w:r w:rsidRPr="00622F49">
        <w:rPr>
          <w:noProof/>
        </w:rPr>
        <w:t>healthcare</w:t>
      </w:r>
      <w:r w:rsidRPr="00B36EB2">
        <w:t xml:space="preserve"> institutions that collect their data using NHSN methodology.</w:t>
      </w:r>
    </w:p>
    <w:p w:rsidR="008F1415" w:rsidRPr="008F1415" w:rsidP="008B10D3" w14:paraId="14F56639" w14:textId="77777777">
      <w:r w:rsidRPr="00B36EB2">
        <w:t xml:space="preserve">The reporting institutions will be able to access their data at any time and analyze them through the internet interface. Reports containing aggregated data will be produced annually and posted on the NHSN website, </w:t>
      </w:r>
      <w:hyperlink r:id="rId22" w:history="1">
        <w:r w:rsidRPr="00B36EB2">
          <w:rPr>
            <w:rStyle w:val="Hyperlink"/>
          </w:rPr>
          <w:t>http://www.cdc.gov/nhsn</w:t>
        </w:r>
      </w:hyperlink>
      <w:r w:rsidRPr="00B36EB2">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B36EB2">
        <w:rPr>
          <w:b/>
          <w:bCs/>
        </w:rPr>
        <w:t xml:space="preserve"> </w:t>
      </w:r>
      <w:r w:rsidRPr="00B36EB2">
        <w:rPr>
          <w:bCs/>
        </w:rPr>
        <w:t xml:space="preserve">plans for tabulation, publication, nor the </w:t>
      </w:r>
      <w:r w:rsidRPr="00371D80">
        <w:rPr>
          <w:bCs/>
          <w:noProof/>
        </w:rPr>
        <w:t>schedule</w:t>
      </w:r>
      <w:r w:rsidRPr="00B36EB2">
        <w:rPr>
          <w:bCs/>
        </w:rPr>
        <w:t>.</w:t>
      </w:r>
      <w:r>
        <w:t xml:space="preserve"> </w:t>
      </w:r>
    </w:p>
    <w:p w:rsidR="004A13E8" w:rsidP="0025156B" w14:paraId="255F44EB" w14:textId="77777777">
      <w:pPr>
        <w:pStyle w:val="Heading1"/>
        <w:spacing w:before="240"/>
      </w:pPr>
      <w:bookmarkStart w:id="22" w:name="_Toc177113142"/>
      <w:r>
        <w:t>Reason(s) Display of OMB Expiration Date is Inappropriate</w:t>
      </w:r>
      <w:bookmarkEnd w:id="22"/>
    </w:p>
    <w:p w:rsidR="004A13E8" w:rsidRPr="004A13E8" w:rsidP="004A13E8" w14:paraId="52E3A54A" w14:textId="77777777">
      <w:r>
        <w:t>The display of the OMB Expiration date is not inappropriate.</w:t>
      </w:r>
    </w:p>
    <w:p w:rsidR="004A13E8" w:rsidP="004A13E8" w14:paraId="0248F163" w14:textId="77777777">
      <w:pPr>
        <w:pStyle w:val="Heading1"/>
      </w:pPr>
      <w:bookmarkStart w:id="23" w:name="_Toc177113143"/>
      <w:r>
        <w:t>Exceptions to Certification for Paperwork Reduction Act Submissions</w:t>
      </w:r>
      <w:bookmarkEnd w:id="23"/>
    </w:p>
    <w:p w:rsidR="0001531B" w:rsidP="00E136EC" w14:paraId="43610CDA" w14:textId="77777777">
      <w:r>
        <w:t>There are no exceptions to the certification.</w:t>
      </w:r>
    </w:p>
    <w:p w:rsidR="00CE4649" w:rsidP="00E136EC" w14:paraId="7D36CF46" w14:textId="77777777"/>
    <w:p w:rsidR="00CE4649" w:rsidP="00E136EC" w14:paraId="3ABABD98" w14:textId="77777777"/>
    <w:p w:rsidR="00CE4649" w:rsidP="00E136EC" w14:paraId="29085227" w14:textId="77777777"/>
    <w:p w:rsidR="00CE4649" w:rsidP="00E136EC" w14:paraId="3F446527" w14:textId="77777777"/>
    <w:p w:rsidR="00CE4649" w:rsidP="00E136EC" w14:paraId="3DE971D8" w14:textId="77777777"/>
    <w:p w:rsidR="00CE4649" w:rsidP="00E136EC" w14:paraId="3FC13BCB" w14:textId="77777777"/>
    <w:p w:rsidR="00CE4649" w:rsidP="00E136EC" w14:paraId="731FA9CB" w14:textId="77777777"/>
    <w:p w:rsidR="00CE4649" w:rsidP="00E136EC" w14:paraId="20C1C2CA" w14:textId="77777777"/>
    <w:p w:rsidR="00CE4649" w:rsidP="00E136EC" w14:paraId="445A848B" w14:textId="77777777"/>
    <w:p w:rsidR="00CE4649" w:rsidP="00E136EC" w14:paraId="5F9B9512" w14:textId="77777777"/>
    <w:p w:rsidR="004A13E8" w:rsidRPr="0060357F" w:rsidP="004A13E8" w14:paraId="6EB2C5CD" w14:textId="77777777">
      <w:pPr>
        <w:pStyle w:val="Heading1"/>
        <w:numPr>
          <w:ilvl w:val="0"/>
          <w:numId w:val="0"/>
        </w:numPr>
      </w:pPr>
      <w:bookmarkStart w:id="24" w:name="_Toc177113144"/>
      <w:r w:rsidRPr="0060357F">
        <w:t>Attachments</w:t>
      </w:r>
      <w:bookmarkEnd w:id="24"/>
    </w:p>
    <w:p w:rsidR="00EB1E05" w:rsidRPr="00C5158F" w:rsidP="00EB1E05" w14:paraId="5B5B49C0" w14:textId="77777777">
      <w:pPr>
        <w:pStyle w:val="ListParagraph"/>
        <w:numPr>
          <w:ilvl w:val="0"/>
          <w:numId w:val="3"/>
        </w:numPr>
        <w:spacing w:after="0" w:line="240" w:lineRule="auto"/>
        <w:rPr>
          <w:rFonts w:cs="Times New Roman"/>
          <w:bCs/>
          <w:szCs w:val="24"/>
        </w:rPr>
      </w:pPr>
      <w:r w:rsidRPr="00C5158F">
        <w:rPr>
          <w:rFonts w:cs="Times New Roman"/>
          <w:bCs/>
          <w:szCs w:val="24"/>
        </w:rPr>
        <w:t>Authorizing Legislation (The Public Health Service Act)</w:t>
      </w:r>
    </w:p>
    <w:p w:rsidR="00EB1E05" w:rsidRPr="00C5158F" w:rsidP="00EB1E05" w14:paraId="58292364" w14:textId="77777777">
      <w:pPr>
        <w:pStyle w:val="ListParagraph"/>
        <w:numPr>
          <w:ilvl w:val="1"/>
          <w:numId w:val="3"/>
        </w:numPr>
        <w:spacing w:after="0" w:line="240" w:lineRule="auto"/>
        <w:rPr>
          <w:rFonts w:cs="Times New Roman"/>
          <w:bCs/>
          <w:szCs w:val="24"/>
        </w:rPr>
      </w:pPr>
      <w:r w:rsidRPr="00C5158F">
        <w:rPr>
          <w:rFonts w:cs="Times New Roman"/>
          <w:bCs/>
          <w:szCs w:val="24"/>
        </w:rPr>
        <w:t>42 USC 242b</w:t>
      </w:r>
    </w:p>
    <w:p w:rsidR="00EB1E05" w:rsidRPr="00C5158F" w:rsidP="00EB1E05" w14:paraId="3D3F8899" w14:textId="77777777">
      <w:pPr>
        <w:pStyle w:val="ListParagraph"/>
        <w:numPr>
          <w:ilvl w:val="1"/>
          <w:numId w:val="3"/>
        </w:numPr>
        <w:spacing w:after="0" w:line="240" w:lineRule="auto"/>
        <w:rPr>
          <w:rFonts w:cs="Times New Roman"/>
          <w:bCs/>
          <w:szCs w:val="24"/>
        </w:rPr>
      </w:pPr>
      <w:r w:rsidRPr="00C5158F">
        <w:rPr>
          <w:rFonts w:cs="Times New Roman"/>
          <w:bCs/>
          <w:szCs w:val="24"/>
        </w:rPr>
        <w:t>42 USC 242k</w:t>
      </w:r>
    </w:p>
    <w:p w:rsidR="00EB1E05" w:rsidRPr="00C5158F" w:rsidP="00EB1E05" w14:paraId="4968242E" w14:textId="77777777">
      <w:pPr>
        <w:pStyle w:val="ListParagraph"/>
        <w:numPr>
          <w:ilvl w:val="1"/>
          <w:numId w:val="3"/>
        </w:numPr>
        <w:spacing w:after="0" w:line="240" w:lineRule="auto"/>
        <w:rPr>
          <w:rFonts w:cs="Times New Roman"/>
          <w:bCs/>
          <w:szCs w:val="24"/>
        </w:rPr>
      </w:pPr>
      <w:r w:rsidRPr="00C5158F">
        <w:rPr>
          <w:rFonts w:cs="Times New Roman"/>
          <w:bCs/>
          <w:szCs w:val="24"/>
        </w:rPr>
        <w:t>42 USC 242m</w:t>
      </w:r>
    </w:p>
    <w:p w:rsidR="00EB1E05" w:rsidRPr="00EB1E05" w:rsidP="0060357F" w14:paraId="3B40E74E" w14:textId="77777777">
      <w:pPr>
        <w:spacing w:after="0" w:line="240" w:lineRule="auto"/>
        <w:rPr>
          <w:rFonts w:cs="Times New Roman"/>
          <w:bCs/>
          <w:szCs w:val="24"/>
        </w:rPr>
      </w:pPr>
    </w:p>
    <w:p w:rsidR="00517F2F" w:rsidP="00517F2F" w14:paraId="43F67912" w14:textId="77777777">
      <w:pPr>
        <w:pStyle w:val="ListParagraph"/>
        <w:numPr>
          <w:ilvl w:val="0"/>
          <w:numId w:val="3"/>
        </w:numPr>
        <w:spacing w:after="0" w:line="240" w:lineRule="auto"/>
        <w:rPr>
          <w:rFonts w:cs="Times New Roman"/>
          <w:bCs/>
          <w:szCs w:val="24"/>
        </w:rPr>
      </w:pPr>
      <w:r w:rsidRPr="00C5158F">
        <w:rPr>
          <w:rFonts w:cs="Times New Roman"/>
          <w:bCs/>
          <w:szCs w:val="24"/>
        </w:rPr>
        <w:t>Published 60-day Federal Register</w:t>
      </w:r>
    </w:p>
    <w:p w:rsidR="00EB1E05" w:rsidP="0060357F" w14:paraId="618F8A4B" w14:textId="77777777">
      <w:pPr>
        <w:pStyle w:val="ListParagraph"/>
        <w:numPr>
          <w:ilvl w:val="1"/>
          <w:numId w:val="3"/>
        </w:numPr>
        <w:spacing w:after="0" w:line="240" w:lineRule="auto"/>
        <w:rPr>
          <w:rFonts w:cs="Times New Roman"/>
          <w:bCs/>
          <w:szCs w:val="24"/>
        </w:rPr>
      </w:pPr>
      <w:r>
        <w:rPr>
          <w:rFonts w:cs="Times New Roman"/>
          <w:bCs/>
          <w:szCs w:val="24"/>
        </w:rPr>
        <w:t xml:space="preserve">Public Comment </w:t>
      </w:r>
      <w:r w:rsidR="00207460">
        <w:rPr>
          <w:rFonts w:cs="Times New Roman"/>
          <w:bCs/>
          <w:szCs w:val="24"/>
        </w:rPr>
        <w:t>#1</w:t>
      </w:r>
    </w:p>
    <w:p w:rsidR="00207460" w:rsidRPr="00C5158F" w:rsidP="0060357F" w14:paraId="5AB94885" w14:textId="77777777">
      <w:pPr>
        <w:pStyle w:val="ListParagraph"/>
        <w:numPr>
          <w:ilvl w:val="1"/>
          <w:numId w:val="3"/>
        </w:numPr>
        <w:spacing w:after="0" w:line="240" w:lineRule="auto"/>
        <w:rPr>
          <w:rFonts w:cs="Times New Roman"/>
          <w:bCs/>
          <w:szCs w:val="24"/>
        </w:rPr>
      </w:pPr>
      <w:r>
        <w:rPr>
          <w:rFonts w:cs="Times New Roman"/>
          <w:bCs/>
          <w:szCs w:val="24"/>
        </w:rPr>
        <w:t>Public Comment #2</w:t>
      </w:r>
    </w:p>
    <w:p w:rsidR="0060357F" w:rsidRPr="0060357F" w:rsidP="0060357F" w14:paraId="111FF807" w14:textId="77777777">
      <w:pPr>
        <w:spacing w:after="0" w:line="240" w:lineRule="auto"/>
        <w:rPr>
          <w:rFonts w:cs="Times New Roman"/>
          <w:szCs w:val="24"/>
        </w:rPr>
      </w:pPr>
    </w:p>
    <w:p w:rsidR="0060357F" w:rsidRPr="00530164" w:rsidP="0060357F" w14:paraId="127AD2A1" w14:textId="77777777">
      <w:pPr>
        <w:pStyle w:val="ListParagraph"/>
        <w:numPr>
          <w:ilvl w:val="0"/>
          <w:numId w:val="3"/>
        </w:numPr>
        <w:spacing w:after="0" w:line="240" w:lineRule="auto"/>
        <w:ind w:left="630"/>
        <w:rPr>
          <w:rFonts w:cs="Times New Roman"/>
          <w:szCs w:val="24"/>
        </w:rPr>
      </w:pPr>
      <w:r w:rsidRPr="00530164">
        <w:rPr>
          <w:rFonts w:cs="Times New Roman"/>
          <w:szCs w:val="24"/>
        </w:rPr>
        <w:t>NHSN Forms Submitted for Approval</w:t>
      </w:r>
    </w:p>
    <w:p w:rsidR="0060357F" w:rsidRPr="00530164" w:rsidP="0060357F" w14:paraId="0CEF12CE" w14:textId="77777777">
      <w:pPr>
        <w:spacing w:after="0" w:line="240" w:lineRule="auto"/>
        <w:rPr>
          <w:rFonts w:cs="Times New Roman"/>
          <w:szCs w:val="24"/>
        </w:rPr>
      </w:pPr>
    </w:p>
    <w:p w:rsidR="00575892" w:rsidP="000E6815" w14:paraId="4AB111AC" w14:textId="77777777">
      <w:pPr>
        <w:pStyle w:val="ListParagraph"/>
        <w:numPr>
          <w:ilvl w:val="0"/>
          <w:numId w:val="3"/>
        </w:numPr>
        <w:spacing w:after="0" w:line="240" w:lineRule="auto"/>
        <w:ind w:left="630"/>
        <w:rPr>
          <w:rFonts w:cs="Times New Roman"/>
          <w:szCs w:val="24"/>
        </w:rPr>
      </w:pPr>
      <w:r>
        <w:rPr>
          <w:rFonts w:cs="Times New Roman"/>
          <w:szCs w:val="24"/>
        </w:rPr>
        <w:t xml:space="preserve">Explanation for Program Changes or Adjustments </w:t>
      </w:r>
    </w:p>
    <w:p w:rsidR="0060357F" w:rsidRPr="00530164" w:rsidP="0060357F" w14:paraId="05FFCD1A" w14:textId="77777777">
      <w:pPr>
        <w:spacing w:after="0" w:line="240" w:lineRule="auto"/>
        <w:rPr>
          <w:rFonts w:cs="Times New Roman"/>
          <w:szCs w:val="24"/>
        </w:rPr>
      </w:pPr>
    </w:p>
    <w:p w:rsidR="0060357F" w:rsidRPr="00530164" w:rsidP="0060357F" w14:paraId="416C1B36" w14:textId="77777777">
      <w:pPr>
        <w:pStyle w:val="ListParagraph"/>
        <w:numPr>
          <w:ilvl w:val="0"/>
          <w:numId w:val="3"/>
        </w:numPr>
        <w:spacing w:after="0" w:line="240" w:lineRule="auto"/>
        <w:ind w:left="630"/>
        <w:rPr>
          <w:rFonts w:cs="Times New Roman"/>
          <w:szCs w:val="24"/>
        </w:rPr>
      </w:pPr>
      <w:r w:rsidRPr="00530164">
        <w:rPr>
          <w:rFonts w:cs="Times New Roman"/>
          <w:szCs w:val="24"/>
        </w:rPr>
        <w:t>Notice of IRB Closure</w:t>
      </w:r>
    </w:p>
    <w:p w:rsidR="0060357F" w:rsidRPr="00530164" w:rsidP="0060357F" w14:paraId="6B5CCC5E" w14:textId="77777777">
      <w:pPr>
        <w:pStyle w:val="ListParagraph"/>
        <w:numPr>
          <w:ilvl w:val="1"/>
          <w:numId w:val="3"/>
        </w:numPr>
        <w:spacing w:after="0" w:line="240" w:lineRule="auto"/>
        <w:rPr>
          <w:rFonts w:cs="Times New Roman"/>
          <w:szCs w:val="24"/>
        </w:rPr>
      </w:pPr>
      <w:r w:rsidRPr="00530164">
        <w:rPr>
          <w:rFonts w:cs="Times New Roman"/>
          <w:szCs w:val="24"/>
        </w:rPr>
        <w:t>Closure of NHSN IRB Protocol</w:t>
      </w:r>
    </w:p>
    <w:p w:rsidR="0060357F" w:rsidP="0060357F" w14:paraId="6219259C" w14:textId="77777777">
      <w:pPr>
        <w:pStyle w:val="ListParagraph"/>
        <w:numPr>
          <w:ilvl w:val="1"/>
          <w:numId w:val="3"/>
        </w:numPr>
        <w:spacing w:after="0" w:line="240" w:lineRule="auto"/>
        <w:rPr>
          <w:rFonts w:cs="Times New Roman"/>
          <w:szCs w:val="24"/>
        </w:rPr>
      </w:pPr>
      <w:r w:rsidRPr="00530164">
        <w:rPr>
          <w:rFonts w:cs="Times New Roman"/>
          <w:szCs w:val="24"/>
        </w:rPr>
        <w:t>NHSN - Report of End of Human Research Review 0.1253</w:t>
      </w:r>
    </w:p>
    <w:p w:rsidR="00826D13" w:rsidRPr="00530164" w:rsidP="0060357F" w14:paraId="79C4CE6D" w14:textId="77777777">
      <w:pPr>
        <w:pStyle w:val="ListParagraph"/>
        <w:numPr>
          <w:ilvl w:val="1"/>
          <w:numId w:val="3"/>
        </w:numPr>
        <w:spacing w:after="0" w:line="240" w:lineRule="auto"/>
        <w:rPr>
          <w:rFonts w:cs="Times New Roman"/>
          <w:szCs w:val="24"/>
        </w:rPr>
      </w:pPr>
      <w:r>
        <w:rPr>
          <w:rFonts w:cs="Times New Roman"/>
          <w:szCs w:val="24"/>
        </w:rPr>
        <w:t xml:space="preserve">Human Subjects Determination </w:t>
      </w:r>
    </w:p>
    <w:p w:rsidR="0060357F" w:rsidRPr="00530164" w:rsidP="0060357F" w14:paraId="0E301600" w14:textId="77777777">
      <w:pPr>
        <w:spacing w:after="0" w:line="240" w:lineRule="auto"/>
        <w:rPr>
          <w:rFonts w:cs="Times New Roman"/>
          <w:szCs w:val="24"/>
        </w:rPr>
      </w:pPr>
    </w:p>
    <w:p w:rsidR="0060357F" w:rsidP="0060357F" w14:paraId="65C8AEC7" w14:textId="77777777">
      <w:pPr>
        <w:pStyle w:val="ListParagraph"/>
        <w:numPr>
          <w:ilvl w:val="0"/>
          <w:numId w:val="3"/>
        </w:numPr>
        <w:spacing w:after="0" w:line="240" w:lineRule="auto"/>
        <w:ind w:left="630"/>
        <w:rPr>
          <w:rFonts w:cs="Times New Roman"/>
          <w:szCs w:val="24"/>
        </w:rPr>
      </w:pPr>
      <w:r w:rsidRPr="00530164">
        <w:rPr>
          <w:rFonts w:cs="Times New Roman"/>
          <w:szCs w:val="24"/>
        </w:rPr>
        <w:t>NHSN Assurance of Confidentiality Documentation</w:t>
      </w:r>
    </w:p>
    <w:p w:rsidR="0060357F" w:rsidP="0060357F" w14:paraId="5EE5EBA5" w14:textId="77777777">
      <w:pPr>
        <w:pStyle w:val="ListParagraph"/>
        <w:numPr>
          <w:ilvl w:val="1"/>
          <w:numId w:val="3"/>
        </w:numPr>
        <w:spacing w:after="0" w:line="240" w:lineRule="auto"/>
        <w:contextualSpacing w:val="0"/>
        <w:rPr>
          <w:rFonts w:eastAsia="Times New Roman"/>
          <w:sz w:val="22"/>
        </w:rPr>
      </w:pPr>
      <w:r>
        <w:rPr>
          <w:rFonts w:eastAsia="Times New Roman"/>
        </w:rPr>
        <w:t>NHSN final version of 308(d) Amend/Extension</w:t>
      </w:r>
    </w:p>
    <w:p w:rsidR="0060357F" w:rsidP="0060357F" w14:paraId="358E139A" w14:textId="77777777">
      <w:pPr>
        <w:pStyle w:val="ListParagraph"/>
        <w:numPr>
          <w:ilvl w:val="1"/>
          <w:numId w:val="3"/>
        </w:numPr>
        <w:spacing w:after="0" w:line="240" w:lineRule="auto"/>
        <w:contextualSpacing w:val="0"/>
        <w:rPr>
          <w:rFonts w:eastAsia="Times New Roman"/>
        </w:rPr>
      </w:pPr>
      <w:r>
        <w:rPr>
          <w:rFonts w:eastAsia="Times New Roman"/>
        </w:rPr>
        <w:t>NHSN memo requesting extension/</w:t>
      </w:r>
      <w:r>
        <w:rPr>
          <w:rFonts w:eastAsia="Times New Roman"/>
        </w:rPr>
        <w:t>amendment</w:t>
      </w:r>
    </w:p>
    <w:p w:rsidR="0060357F" w:rsidRPr="008C00BC" w:rsidP="0060357F" w14:paraId="2692BBAF" w14:textId="77777777">
      <w:pPr>
        <w:spacing w:after="0" w:line="240" w:lineRule="auto"/>
        <w:rPr>
          <w:rFonts w:cs="Times New Roman"/>
          <w:szCs w:val="24"/>
        </w:rPr>
      </w:pPr>
    </w:p>
    <w:p w:rsidR="0060357F" w:rsidP="0060357F" w14:paraId="66370003" w14:textId="77777777">
      <w:pPr>
        <w:numPr>
          <w:ilvl w:val="0"/>
          <w:numId w:val="3"/>
        </w:numPr>
        <w:spacing w:after="0" w:line="259" w:lineRule="auto"/>
        <w:ind w:left="630"/>
        <w:rPr>
          <w:rFonts w:cs="Times New Roman"/>
          <w:szCs w:val="24"/>
        </w:rPr>
      </w:pPr>
      <w:r w:rsidRPr="00AE1F3C">
        <w:rPr>
          <w:rFonts w:cs="Times New Roman"/>
          <w:szCs w:val="24"/>
        </w:rPr>
        <w:t>Privacy Impact Assessment</w:t>
      </w:r>
    </w:p>
    <w:p w:rsidR="0060357F" w:rsidP="0060357F" w14:paraId="67087251" w14:textId="77777777">
      <w:pPr>
        <w:spacing w:after="0" w:line="259" w:lineRule="auto"/>
        <w:ind w:left="720"/>
        <w:rPr>
          <w:rFonts w:cs="Times New Roman"/>
          <w:szCs w:val="24"/>
        </w:rPr>
      </w:pPr>
    </w:p>
    <w:p w:rsidR="00587BD4" w:rsidRPr="00A348AE" w:rsidP="000E6815" w14:paraId="4A167799" w14:textId="77777777">
      <w:pPr>
        <w:spacing w:after="0" w:line="259" w:lineRule="auto"/>
        <w:rPr>
          <w:rFonts w:cs="Times New Roman"/>
          <w:bCs/>
          <w:szCs w:val="24"/>
        </w:rPr>
      </w:pPr>
    </w:p>
    <w:sectPr w:rsidSect="00B60AB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66677997" w14:textId="77777777">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2AB08A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1743538"/>
      <w:docPartObj>
        <w:docPartGallery w:val="Page Numbers (Bottom of Page)"/>
        <w:docPartUnique/>
      </w:docPartObj>
    </w:sdtPr>
    <w:sdtEndPr>
      <w:rPr>
        <w:noProof/>
      </w:rPr>
    </w:sdtEndPr>
    <w:sdtContent>
      <w:p w:rsidR="00B60AB0" w14:paraId="6DEBFC29"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60AB0" w14:paraId="1135934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A33"/>
    <w:multiLevelType w:val="hybridMultilevel"/>
    <w:tmpl w:val="8B6A08E2"/>
    <w:lvl w:ilvl="0">
      <w:start w:val="1"/>
      <w:numFmt w:val="bullet"/>
      <w:lvlText w:val=""/>
      <w:lvlJc w:val="left"/>
      <w:pPr>
        <w:ind w:left="90" w:hanging="360"/>
      </w:pPr>
      <w:rPr>
        <w:rFonts w:ascii="Symbol" w:hAnsi="Symbol" w:hint="default"/>
        <w:color w:val="auto"/>
      </w:rPr>
    </w:lvl>
    <w:lvl w:ilvl="1">
      <w:start w:val="1"/>
      <w:numFmt w:val="bullet"/>
      <w:lvlText w:val=""/>
      <w:lvlJc w:val="left"/>
      <w:pPr>
        <w:tabs>
          <w:tab w:val="num" w:pos="810"/>
        </w:tabs>
        <w:ind w:left="810" w:hanging="360"/>
      </w:pPr>
      <w:rPr>
        <w:rFonts w:ascii="Symbol" w:hAnsi="Symbol" w:hint="default"/>
      </w:rPr>
    </w:lvl>
    <w:lvl w:ilvl="2">
      <w:start w:val="1"/>
      <w:numFmt w:val="decimal"/>
      <w:lvlText w:val="%3."/>
      <w:lvlJc w:val="left"/>
      <w:pPr>
        <w:tabs>
          <w:tab w:val="num" w:pos="1530"/>
        </w:tabs>
        <w:ind w:left="1530" w:hanging="360"/>
      </w:pPr>
    </w:lvl>
    <w:lvl w:ilvl="3">
      <w:start w:val="1"/>
      <w:numFmt w:val="decimal"/>
      <w:lvlText w:val="%4."/>
      <w:lvlJc w:val="left"/>
      <w:pPr>
        <w:tabs>
          <w:tab w:val="num" w:pos="2250"/>
        </w:tabs>
        <w:ind w:left="2250" w:hanging="360"/>
      </w:pPr>
    </w:lvl>
    <w:lvl w:ilvl="4">
      <w:start w:val="1"/>
      <w:numFmt w:val="decimal"/>
      <w:lvlText w:val="%5."/>
      <w:lvlJc w:val="left"/>
      <w:pPr>
        <w:tabs>
          <w:tab w:val="num" w:pos="2970"/>
        </w:tabs>
        <w:ind w:left="2970" w:hanging="360"/>
      </w:pPr>
    </w:lvl>
    <w:lvl w:ilvl="5">
      <w:start w:val="1"/>
      <w:numFmt w:val="decimal"/>
      <w:lvlText w:val="%6."/>
      <w:lvlJc w:val="left"/>
      <w:pPr>
        <w:tabs>
          <w:tab w:val="num" w:pos="3690"/>
        </w:tabs>
        <w:ind w:left="3690" w:hanging="360"/>
      </w:pPr>
    </w:lvl>
    <w:lvl w:ilvl="6">
      <w:start w:val="1"/>
      <w:numFmt w:val="decimal"/>
      <w:lvlText w:val="%7."/>
      <w:lvlJc w:val="left"/>
      <w:pPr>
        <w:tabs>
          <w:tab w:val="num" w:pos="4410"/>
        </w:tabs>
        <w:ind w:left="4410" w:hanging="360"/>
      </w:pPr>
    </w:lvl>
    <w:lvl w:ilvl="7">
      <w:start w:val="1"/>
      <w:numFmt w:val="decimal"/>
      <w:lvlText w:val="%8."/>
      <w:lvlJc w:val="left"/>
      <w:pPr>
        <w:tabs>
          <w:tab w:val="num" w:pos="5130"/>
        </w:tabs>
        <w:ind w:left="5130" w:hanging="360"/>
      </w:pPr>
    </w:lvl>
    <w:lvl w:ilvl="8">
      <w:start w:val="1"/>
      <w:numFmt w:val="decimal"/>
      <w:lvlText w:val="%9."/>
      <w:lvlJc w:val="left"/>
      <w:pPr>
        <w:tabs>
          <w:tab w:val="num" w:pos="5850"/>
        </w:tabs>
        <w:ind w:left="5850" w:hanging="360"/>
      </w:pPr>
    </w:lvl>
  </w:abstractNum>
  <w:abstractNum w:abstractNumId="1">
    <w:nsid w:val="078F387C"/>
    <w:multiLevelType w:val="hybridMultilevel"/>
    <w:tmpl w:val="6248BE5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8B92F61"/>
    <w:multiLevelType w:val="hybridMultilevel"/>
    <w:tmpl w:val="BC6C3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030447"/>
    <w:multiLevelType w:val="hybridMultilevel"/>
    <w:tmpl w:val="693A3D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9E7954"/>
    <w:multiLevelType w:val="hybridMultilevel"/>
    <w:tmpl w:val="DA5A6C9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9612D8C"/>
    <w:multiLevelType w:val="hybridMultilevel"/>
    <w:tmpl w:val="02B8A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C22A9F"/>
    <w:multiLevelType w:val="hybridMultilevel"/>
    <w:tmpl w:val="0576E4D6"/>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8E32FA"/>
    <w:multiLevelType w:val="hybridMultilevel"/>
    <w:tmpl w:val="B2B44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2E24AF"/>
    <w:multiLevelType w:val="hybridMultilevel"/>
    <w:tmpl w:val="FFE0E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141EF5"/>
    <w:multiLevelType w:val="hybridMultilevel"/>
    <w:tmpl w:val="E9F288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1832B9"/>
    <w:multiLevelType w:val="hybridMultilevel"/>
    <w:tmpl w:val="39747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9D0024"/>
    <w:multiLevelType w:val="hybridMultilevel"/>
    <w:tmpl w:val="2B5CD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610C02"/>
    <w:multiLevelType w:val="hybridMultilevel"/>
    <w:tmpl w:val="D6F4F00A"/>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4">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5A694B"/>
    <w:multiLevelType w:val="hybridMultilevel"/>
    <w:tmpl w:val="47DE66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594AD5"/>
    <w:multiLevelType w:val="hybridMultilevel"/>
    <w:tmpl w:val="053655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9C5750"/>
    <w:multiLevelType w:val="hybridMultilevel"/>
    <w:tmpl w:val="C63A5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9D623F"/>
    <w:multiLevelType w:val="hybridMultilevel"/>
    <w:tmpl w:val="B6AA0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FD53677"/>
    <w:multiLevelType w:val="hybridMultilevel"/>
    <w:tmpl w:val="60F86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0B20BB"/>
    <w:multiLevelType w:val="multilevel"/>
    <w:tmpl w:val="77543CDA"/>
    <w:lvl w:ilvl="0">
      <w:start w:val="1"/>
      <w:numFmt w:val="bullet"/>
      <w:lvlText w:val=""/>
      <w:lvlJc w:val="left"/>
      <w:pPr>
        <w:tabs>
          <w:tab w:val="num" w:pos="720"/>
        </w:tabs>
        <w:ind w:left="720" w:hanging="360"/>
      </w:pPr>
      <w:rPr>
        <w:rFonts w:ascii="Symbol" w:hAnsi="Symbol" w:hint="default"/>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8357C98"/>
    <w:multiLevelType w:val="hybridMultilevel"/>
    <w:tmpl w:val="53A8EB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DF65B0"/>
    <w:multiLevelType w:val="hybridMultilevel"/>
    <w:tmpl w:val="230CD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7B670C"/>
    <w:multiLevelType w:val="hybridMultilevel"/>
    <w:tmpl w:val="0FD83D02"/>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50136C"/>
    <w:multiLevelType w:val="hybridMultilevel"/>
    <w:tmpl w:val="AC4A10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5683869">
    <w:abstractNumId w:val="25"/>
  </w:num>
  <w:num w:numId="2" w16cid:durableId="2075737745">
    <w:abstractNumId w:val="14"/>
  </w:num>
  <w:num w:numId="3" w16cid:durableId="360473032">
    <w:abstractNumId w:val="24"/>
  </w:num>
  <w:num w:numId="4" w16cid:durableId="1540438487">
    <w:abstractNumId w:val="0"/>
  </w:num>
  <w:num w:numId="5" w16cid:durableId="595795424">
    <w:abstractNumId w:val="13"/>
  </w:num>
  <w:num w:numId="6" w16cid:durableId="1066489241">
    <w:abstractNumId w:val="11"/>
  </w:num>
  <w:num w:numId="7" w16cid:durableId="1364283951">
    <w:abstractNumId w:val="1"/>
  </w:num>
  <w:num w:numId="8" w16cid:durableId="652955163">
    <w:abstractNumId w:val="26"/>
  </w:num>
  <w:num w:numId="9" w16cid:durableId="1381587484">
    <w:abstractNumId w:val="6"/>
  </w:num>
  <w:num w:numId="10" w16cid:durableId="725764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50526">
    <w:abstractNumId w:val="12"/>
  </w:num>
  <w:num w:numId="12" w16cid:durableId="1921676380">
    <w:abstractNumId w:val="8"/>
  </w:num>
  <w:num w:numId="13" w16cid:durableId="378752376">
    <w:abstractNumId w:val="3"/>
  </w:num>
  <w:num w:numId="14" w16cid:durableId="1914967128">
    <w:abstractNumId w:val="10"/>
  </w:num>
  <w:num w:numId="15" w16cid:durableId="1616866434">
    <w:abstractNumId w:val="21"/>
  </w:num>
  <w:num w:numId="16" w16cid:durableId="1174733219">
    <w:abstractNumId w:val="9"/>
  </w:num>
  <w:num w:numId="17" w16cid:durableId="697580936">
    <w:abstractNumId w:val="23"/>
  </w:num>
  <w:num w:numId="18" w16cid:durableId="785778470">
    <w:abstractNumId w:val="20"/>
  </w:num>
  <w:num w:numId="19" w16cid:durableId="338581366">
    <w:abstractNumId w:val="16"/>
  </w:num>
  <w:num w:numId="20" w16cid:durableId="1365250494">
    <w:abstractNumId w:val="15"/>
  </w:num>
  <w:num w:numId="21" w16cid:durableId="1408266168">
    <w:abstractNumId w:val="4"/>
  </w:num>
  <w:num w:numId="22" w16cid:durableId="1780493360">
    <w:abstractNumId w:val="17"/>
  </w:num>
  <w:num w:numId="23" w16cid:durableId="204952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1895208">
    <w:abstractNumId w:val="2"/>
  </w:num>
  <w:num w:numId="25" w16cid:durableId="1288008231">
    <w:abstractNumId w:val="22"/>
  </w:num>
  <w:num w:numId="26" w16cid:durableId="1773741179">
    <w:abstractNumId w:val="18"/>
  </w:num>
  <w:num w:numId="27" w16cid:durableId="358162141">
    <w:abstractNumId w:val="14"/>
  </w:num>
  <w:num w:numId="28" w16cid:durableId="1445003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2970"/>
    <w:rsid w:val="000034ED"/>
    <w:rsid w:val="00004208"/>
    <w:rsid w:val="000042EA"/>
    <w:rsid w:val="00004E24"/>
    <w:rsid w:val="000050F2"/>
    <w:rsid w:val="0000656E"/>
    <w:rsid w:val="0000755B"/>
    <w:rsid w:val="000111D2"/>
    <w:rsid w:val="00011484"/>
    <w:rsid w:val="00012328"/>
    <w:rsid w:val="0001262A"/>
    <w:rsid w:val="0001531B"/>
    <w:rsid w:val="00015C1E"/>
    <w:rsid w:val="00015CE1"/>
    <w:rsid w:val="00031EB3"/>
    <w:rsid w:val="00032776"/>
    <w:rsid w:val="00036180"/>
    <w:rsid w:val="000457C6"/>
    <w:rsid w:val="00051D57"/>
    <w:rsid w:val="0005213B"/>
    <w:rsid w:val="00052CBB"/>
    <w:rsid w:val="00053112"/>
    <w:rsid w:val="00054AAC"/>
    <w:rsid w:val="0005699B"/>
    <w:rsid w:val="00063195"/>
    <w:rsid w:val="00075486"/>
    <w:rsid w:val="000760E1"/>
    <w:rsid w:val="00076149"/>
    <w:rsid w:val="00077A77"/>
    <w:rsid w:val="00080820"/>
    <w:rsid w:val="00080C0D"/>
    <w:rsid w:val="000A2415"/>
    <w:rsid w:val="000A2CED"/>
    <w:rsid w:val="000A4767"/>
    <w:rsid w:val="000A49E7"/>
    <w:rsid w:val="000A7074"/>
    <w:rsid w:val="000B40C9"/>
    <w:rsid w:val="000B46EB"/>
    <w:rsid w:val="000B59B3"/>
    <w:rsid w:val="000C0642"/>
    <w:rsid w:val="000C1760"/>
    <w:rsid w:val="000C3EC1"/>
    <w:rsid w:val="000C502D"/>
    <w:rsid w:val="000D0F2E"/>
    <w:rsid w:val="000D4FE2"/>
    <w:rsid w:val="000D5643"/>
    <w:rsid w:val="000E04FA"/>
    <w:rsid w:val="000E2927"/>
    <w:rsid w:val="000E2CBA"/>
    <w:rsid w:val="000E6815"/>
    <w:rsid w:val="000F64C2"/>
    <w:rsid w:val="000F6D65"/>
    <w:rsid w:val="00102441"/>
    <w:rsid w:val="0010340E"/>
    <w:rsid w:val="001056D1"/>
    <w:rsid w:val="00111969"/>
    <w:rsid w:val="00113D93"/>
    <w:rsid w:val="0011788C"/>
    <w:rsid w:val="00117E4D"/>
    <w:rsid w:val="00120D6F"/>
    <w:rsid w:val="001211FB"/>
    <w:rsid w:val="00124128"/>
    <w:rsid w:val="0012428D"/>
    <w:rsid w:val="00132F12"/>
    <w:rsid w:val="00134496"/>
    <w:rsid w:val="00134775"/>
    <w:rsid w:val="0013753E"/>
    <w:rsid w:val="00137590"/>
    <w:rsid w:val="00137F7E"/>
    <w:rsid w:val="00146280"/>
    <w:rsid w:val="001504A7"/>
    <w:rsid w:val="00151FA3"/>
    <w:rsid w:val="001523DF"/>
    <w:rsid w:val="00152D62"/>
    <w:rsid w:val="00163EF1"/>
    <w:rsid w:val="001640C4"/>
    <w:rsid w:val="00164535"/>
    <w:rsid w:val="001661FD"/>
    <w:rsid w:val="001666E6"/>
    <w:rsid w:val="00170F21"/>
    <w:rsid w:val="00172218"/>
    <w:rsid w:val="00173A22"/>
    <w:rsid w:val="00174EC3"/>
    <w:rsid w:val="00181DB5"/>
    <w:rsid w:val="001828D0"/>
    <w:rsid w:val="00183B97"/>
    <w:rsid w:val="00186F23"/>
    <w:rsid w:val="00191AD3"/>
    <w:rsid w:val="00193ACB"/>
    <w:rsid w:val="001941BA"/>
    <w:rsid w:val="001968E9"/>
    <w:rsid w:val="00197C8E"/>
    <w:rsid w:val="001A0EA5"/>
    <w:rsid w:val="001A2F8B"/>
    <w:rsid w:val="001A3B26"/>
    <w:rsid w:val="001A4565"/>
    <w:rsid w:val="001A58BE"/>
    <w:rsid w:val="001B050F"/>
    <w:rsid w:val="001B0A71"/>
    <w:rsid w:val="001B23E1"/>
    <w:rsid w:val="001B25EF"/>
    <w:rsid w:val="001B688F"/>
    <w:rsid w:val="001C0156"/>
    <w:rsid w:val="001C2855"/>
    <w:rsid w:val="001C30D4"/>
    <w:rsid w:val="001C6DDA"/>
    <w:rsid w:val="001D0345"/>
    <w:rsid w:val="001D2E96"/>
    <w:rsid w:val="001D54D5"/>
    <w:rsid w:val="001E08A8"/>
    <w:rsid w:val="001E0CD5"/>
    <w:rsid w:val="001E7AD7"/>
    <w:rsid w:val="001F122B"/>
    <w:rsid w:val="001F2849"/>
    <w:rsid w:val="001F522F"/>
    <w:rsid w:val="001F63CB"/>
    <w:rsid w:val="001F7B5D"/>
    <w:rsid w:val="00200C8D"/>
    <w:rsid w:val="00200D07"/>
    <w:rsid w:val="00201EFD"/>
    <w:rsid w:val="00202151"/>
    <w:rsid w:val="00203EB1"/>
    <w:rsid w:val="00204DA6"/>
    <w:rsid w:val="00206058"/>
    <w:rsid w:val="00207460"/>
    <w:rsid w:val="00207DFE"/>
    <w:rsid w:val="00210728"/>
    <w:rsid w:val="00212FDE"/>
    <w:rsid w:val="00220D7D"/>
    <w:rsid w:val="00223E8D"/>
    <w:rsid w:val="002249D7"/>
    <w:rsid w:val="00225A75"/>
    <w:rsid w:val="00226BB3"/>
    <w:rsid w:val="002319E4"/>
    <w:rsid w:val="0023482F"/>
    <w:rsid w:val="00237BB7"/>
    <w:rsid w:val="002441B9"/>
    <w:rsid w:val="00244FF3"/>
    <w:rsid w:val="00250523"/>
    <w:rsid w:val="0025156B"/>
    <w:rsid w:val="00252E6F"/>
    <w:rsid w:val="002540ED"/>
    <w:rsid w:val="002544E5"/>
    <w:rsid w:val="00254FAC"/>
    <w:rsid w:val="00255D45"/>
    <w:rsid w:val="0025697B"/>
    <w:rsid w:val="00256DBF"/>
    <w:rsid w:val="00257EBC"/>
    <w:rsid w:val="002629D5"/>
    <w:rsid w:val="002643CF"/>
    <w:rsid w:val="002772CA"/>
    <w:rsid w:val="002844AE"/>
    <w:rsid w:val="002854D4"/>
    <w:rsid w:val="00286ABC"/>
    <w:rsid w:val="00287736"/>
    <w:rsid w:val="002918A0"/>
    <w:rsid w:val="00295612"/>
    <w:rsid w:val="00297FB0"/>
    <w:rsid w:val="002A157C"/>
    <w:rsid w:val="002A15BE"/>
    <w:rsid w:val="002A16EC"/>
    <w:rsid w:val="002B026D"/>
    <w:rsid w:val="002B16D1"/>
    <w:rsid w:val="002B565C"/>
    <w:rsid w:val="002B7999"/>
    <w:rsid w:val="002C0D92"/>
    <w:rsid w:val="002C35DF"/>
    <w:rsid w:val="002D1270"/>
    <w:rsid w:val="002D21E1"/>
    <w:rsid w:val="002D2535"/>
    <w:rsid w:val="002E1211"/>
    <w:rsid w:val="002E1835"/>
    <w:rsid w:val="002E1ECE"/>
    <w:rsid w:val="002E3CE9"/>
    <w:rsid w:val="002E4AC3"/>
    <w:rsid w:val="002E6E62"/>
    <w:rsid w:val="002E6F81"/>
    <w:rsid w:val="002F1B39"/>
    <w:rsid w:val="002F4755"/>
    <w:rsid w:val="002F5C99"/>
    <w:rsid w:val="0030201A"/>
    <w:rsid w:val="00304BBB"/>
    <w:rsid w:val="00304C6C"/>
    <w:rsid w:val="00304E68"/>
    <w:rsid w:val="003143A0"/>
    <w:rsid w:val="00315DE4"/>
    <w:rsid w:val="00317437"/>
    <w:rsid w:val="003244B8"/>
    <w:rsid w:val="0032573F"/>
    <w:rsid w:val="00326EDB"/>
    <w:rsid w:val="00330C9F"/>
    <w:rsid w:val="00333724"/>
    <w:rsid w:val="00333BE7"/>
    <w:rsid w:val="00335A3E"/>
    <w:rsid w:val="003403EB"/>
    <w:rsid w:val="0034064D"/>
    <w:rsid w:val="003419B3"/>
    <w:rsid w:val="00347174"/>
    <w:rsid w:val="003502A6"/>
    <w:rsid w:val="00350670"/>
    <w:rsid w:val="00351E09"/>
    <w:rsid w:val="00353249"/>
    <w:rsid w:val="003579D5"/>
    <w:rsid w:val="003615DD"/>
    <w:rsid w:val="0036205E"/>
    <w:rsid w:val="00363542"/>
    <w:rsid w:val="00366A6A"/>
    <w:rsid w:val="0037034C"/>
    <w:rsid w:val="0037136B"/>
    <w:rsid w:val="00371D80"/>
    <w:rsid w:val="003767B8"/>
    <w:rsid w:val="00376A75"/>
    <w:rsid w:val="00376DC2"/>
    <w:rsid w:val="00380663"/>
    <w:rsid w:val="003819CB"/>
    <w:rsid w:val="0038427A"/>
    <w:rsid w:val="003876B5"/>
    <w:rsid w:val="003925C3"/>
    <w:rsid w:val="00392D2C"/>
    <w:rsid w:val="003939F8"/>
    <w:rsid w:val="00396A99"/>
    <w:rsid w:val="00397A41"/>
    <w:rsid w:val="00397AF3"/>
    <w:rsid w:val="00397E03"/>
    <w:rsid w:val="00397E74"/>
    <w:rsid w:val="003A063A"/>
    <w:rsid w:val="003A1DD7"/>
    <w:rsid w:val="003A3C51"/>
    <w:rsid w:val="003B2250"/>
    <w:rsid w:val="003B2EDB"/>
    <w:rsid w:val="003B2FB4"/>
    <w:rsid w:val="003B6DF1"/>
    <w:rsid w:val="003B73C3"/>
    <w:rsid w:val="003B76A1"/>
    <w:rsid w:val="003C7BBA"/>
    <w:rsid w:val="003D1640"/>
    <w:rsid w:val="003D29AF"/>
    <w:rsid w:val="003D300A"/>
    <w:rsid w:val="003D49FC"/>
    <w:rsid w:val="003D5BD5"/>
    <w:rsid w:val="003E7C38"/>
    <w:rsid w:val="003F08D2"/>
    <w:rsid w:val="003F60CF"/>
    <w:rsid w:val="00402F5C"/>
    <w:rsid w:val="00403EB4"/>
    <w:rsid w:val="004050B0"/>
    <w:rsid w:val="004137CA"/>
    <w:rsid w:val="00413952"/>
    <w:rsid w:val="00414827"/>
    <w:rsid w:val="00417A7F"/>
    <w:rsid w:val="0042443F"/>
    <w:rsid w:val="0043009C"/>
    <w:rsid w:val="0043326A"/>
    <w:rsid w:val="00433FC7"/>
    <w:rsid w:val="0043440D"/>
    <w:rsid w:val="0043643F"/>
    <w:rsid w:val="00446A7C"/>
    <w:rsid w:val="00447033"/>
    <w:rsid w:val="0045065C"/>
    <w:rsid w:val="00451DAE"/>
    <w:rsid w:val="00452442"/>
    <w:rsid w:val="004527E1"/>
    <w:rsid w:val="00452B37"/>
    <w:rsid w:val="00453F8F"/>
    <w:rsid w:val="00454B1F"/>
    <w:rsid w:val="00455C03"/>
    <w:rsid w:val="00457614"/>
    <w:rsid w:val="00461F2D"/>
    <w:rsid w:val="004644AE"/>
    <w:rsid w:val="00465F54"/>
    <w:rsid w:val="00470A73"/>
    <w:rsid w:val="004710C9"/>
    <w:rsid w:val="004727F3"/>
    <w:rsid w:val="00474005"/>
    <w:rsid w:val="00476D10"/>
    <w:rsid w:val="00477619"/>
    <w:rsid w:val="004841D1"/>
    <w:rsid w:val="004917B7"/>
    <w:rsid w:val="004926D1"/>
    <w:rsid w:val="0049473B"/>
    <w:rsid w:val="004A0034"/>
    <w:rsid w:val="004A13E8"/>
    <w:rsid w:val="004A52D5"/>
    <w:rsid w:val="004A7539"/>
    <w:rsid w:val="004B2760"/>
    <w:rsid w:val="004B2AF4"/>
    <w:rsid w:val="004B2C75"/>
    <w:rsid w:val="004B42A4"/>
    <w:rsid w:val="004B58DF"/>
    <w:rsid w:val="004B7662"/>
    <w:rsid w:val="004B78F7"/>
    <w:rsid w:val="004C222D"/>
    <w:rsid w:val="004C24FD"/>
    <w:rsid w:val="004C5160"/>
    <w:rsid w:val="004C527C"/>
    <w:rsid w:val="004C6685"/>
    <w:rsid w:val="004D04EE"/>
    <w:rsid w:val="004D0CD2"/>
    <w:rsid w:val="004D2D72"/>
    <w:rsid w:val="004D3B9D"/>
    <w:rsid w:val="004D51C6"/>
    <w:rsid w:val="004D6052"/>
    <w:rsid w:val="004D7099"/>
    <w:rsid w:val="004E04BA"/>
    <w:rsid w:val="004E64A1"/>
    <w:rsid w:val="004E6982"/>
    <w:rsid w:val="004F37D8"/>
    <w:rsid w:val="004F5806"/>
    <w:rsid w:val="00500F6F"/>
    <w:rsid w:val="0050214D"/>
    <w:rsid w:val="00503EDA"/>
    <w:rsid w:val="00504320"/>
    <w:rsid w:val="00504DBB"/>
    <w:rsid w:val="00505448"/>
    <w:rsid w:val="00507D82"/>
    <w:rsid w:val="005146D9"/>
    <w:rsid w:val="00517F2F"/>
    <w:rsid w:val="005249FA"/>
    <w:rsid w:val="00526A0F"/>
    <w:rsid w:val="00530164"/>
    <w:rsid w:val="00530319"/>
    <w:rsid w:val="00532E65"/>
    <w:rsid w:val="005345A4"/>
    <w:rsid w:val="0053753A"/>
    <w:rsid w:val="00540E07"/>
    <w:rsid w:val="0054297A"/>
    <w:rsid w:val="00542C7F"/>
    <w:rsid w:val="0055341E"/>
    <w:rsid w:val="00556694"/>
    <w:rsid w:val="0056052A"/>
    <w:rsid w:val="00560C6E"/>
    <w:rsid w:val="005622D6"/>
    <w:rsid w:val="0056433D"/>
    <w:rsid w:val="005724AA"/>
    <w:rsid w:val="00572E96"/>
    <w:rsid w:val="00575892"/>
    <w:rsid w:val="0057752B"/>
    <w:rsid w:val="00580DF7"/>
    <w:rsid w:val="00581D40"/>
    <w:rsid w:val="00585354"/>
    <w:rsid w:val="00587BD4"/>
    <w:rsid w:val="0059071E"/>
    <w:rsid w:val="00593208"/>
    <w:rsid w:val="00595C60"/>
    <w:rsid w:val="00597A39"/>
    <w:rsid w:val="005A0031"/>
    <w:rsid w:val="005A0695"/>
    <w:rsid w:val="005A2C71"/>
    <w:rsid w:val="005A4675"/>
    <w:rsid w:val="005B5E58"/>
    <w:rsid w:val="005B7CE7"/>
    <w:rsid w:val="005C6431"/>
    <w:rsid w:val="005E2448"/>
    <w:rsid w:val="005F14CF"/>
    <w:rsid w:val="005F339F"/>
    <w:rsid w:val="005F77B1"/>
    <w:rsid w:val="00602E02"/>
    <w:rsid w:val="0060357F"/>
    <w:rsid w:val="00606705"/>
    <w:rsid w:val="006078C7"/>
    <w:rsid w:val="006202D0"/>
    <w:rsid w:val="006203DD"/>
    <w:rsid w:val="00622F49"/>
    <w:rsid w:val="00623A68"/>
    <w:rsid w:val="00625E0A"/>
    <w:rsid w:val="00630184"/>
    <w:rsid w:val="00630869"/>
    <w:rsid w:val="00634C52"/>
    <w:rsid w:val="0063692F"/>
    <w:rsid w:val="00636DB9"/>
    <w:rsid w:val="00641C4E"/>
    <w:rsid w:val="0065034B"/>
    <w:rsid w:val="00650377"/>
    <w:rsid w:val="00651FFA"/>
    <w:rsid w:val="00653333"/>
    <w:rsid w:val="00653FB3"/>
    <w:rsid w:val="00654439"/>
    <w:rsid w:val="006556DB"/>
    <w:rsid w:val="006577CE"/>
    <w:rsid w:val="006626DB"/>
    <w:rsid w:val="00666FAF"/>
    <w:rsid w:val="00671031"/>
    <w:rsid w:val="00674026"/>
    <w:rsid w:val="00680D13"/>
    <w:rsid w:val="00682367"/>
    <w:rsid w:val="00687F8C"/>
    <w:rsid w:val="0069058C"/>
    <w:rsid w:val="00690EBC"/>
    <w:rsid w:val="00697633"/>
    <w:rsid w:val="006976C4"/>
    <w:rsid w:val="006A062F"/>
    <w:rsid w:val="006A1232"/>
    <w:rsid w:val="006A1949"/>
    <w:rsid w:val="006A3FC6"/>
    <w:rsid w:val="006A45AB"/>
    <w:rsid w:val="006B11EC"/>
    <w:rsid w:val="006B409F"/>
    <w:rsid w:val="006B4237"/>
    <w:rsid w:val="006B4646"/>
    <w:rsid w:val="006C13A7"/>
    <w:rsid w:val="006C19BD"/>
    <w:rsid w:val="006C5221"/>
    <w:rsid w:val="006C5EED"/>
    <w:rsid w:val="006C6578"/>
    <w:rsid w:val="006C7BDF"/>
    <w:rsid w:val="006D0EF8"/>
    <w:rsid w:val="006D0FBF"/>
    <w:rsid w:val="006D36B8"/>
    <w:rsid w:val="006D5E4A"/>
    <w:rsid w:val="006E16D8"/>
    <w:rsid w:val="006E2D15"/>
    <w:rsid w:val="006F1F36"/>
    <w:rsid w:val="006F3DAC"/>
    <w:rsid w:val="006F4AE7"/>
    <w:rsid w:val="006F6560"/>
    <w:rsid w:val="00702D84"/>
    <w:rsid w:val="00703AA8"/>
    <w:rsid w:val="00704A1A"/>
    <w:rsid w:val="00706131"/>
    <w:rsid w:val="00711187"/>
    <w:rsid w:val="00711288"/>
    <w:rsid w:val="00713C81"/>
    <w:rsid w:val="00717847"/>
    <w:rsid w:val="00732914"/>
    <w:rsid w:val="007335B2"/>
    <w:rsid w:val="00734A0F"/>
    <w:rsid w:val="007354B0"/>
    <w:rsid w:val="00735B1E"/>
    <w:rsid w:val="0073760B"/>
    <w:rsid w:val="00737FF5"/>
    <w:rsid w:val="00743421"/>
    <w:rsid w:val="0074729B"/>
    <w:rsid w:val="00750FF8"/>
    <w:rsid w:val="007544E1"/>
    <w:rsid w:val="0076106C"/>
    <w:rsid w:val="00761C55"/>
    <w:rsid w:val="00766004"/>
    <w:rsid w:val="00766ACF"/>
    <w:rsid w:val="00766B83"/>
    <w:rsid w:val="00770E08"/>
    <w:rsid w:val="0077452A"/>
    <w:rsid w:val="00780DC1"/>
    <w:rsid w:val="00783345"/>
    <w:rsid w:val="00783CD7"/>
    <w:rsid w:val="007932E6"/>
    <w:rsid w:val="00793EA1"/>
    <w:rsid w:val="007951A5"/>
    <w:rsid w:val="00795DD7"/>
    <w:rsid w:val="007A1476"/>
    <w:rsid w:val="007A3477"/>
    <w:rsid w:val="007A391E"/>
    <w:rsid w:val="007A49E9"/>
    <w:rsid w:val="007A692C"/>
    <w:rsid w:val="007A6F32"/>
    <w:rsid w:val="007A7452"/>
    <w:rsid w:val="007A76C3"/>
    <w:rsid w:val="007B057B"/>
    <w:rsid w:val="007B0B4A"/>
    <w:rsid w:val="007B2C29"/>
    <w:rsid w:val="007B3A38"/>
    <w:rsid w:val="007B6E3B"/>
    <w:rsid w:val="007C0502"/>
    <w:rsid w:val="007C0F88"/>
    <w:rsid w:val="007D3E66"/>
    <w:rsid w:val="007D4D68"/>
    <w:rsid w:val="007E5AF6"/>
    <w:rsid w:val="007E69C2"/>
    <w:rsid w:val="007E772C"/>
    <w:rsid w:val="007F30E8"/>
    <w:rsid w:val="007F3D3D"/>
    <w:rsid w:val="007F46E9"/>
    <w:rsid w:val="007F510E"/>
    <w:rsid w:val="00800BA3"/>
    <w:rsid w:val="00803B21"/>
    <w:rsid w:val="00804AE6"/>
    <w:rsid w:val="00810B1F"/>
    <w:rsid w:val="0081549C"/>
    <w:rsid w:val="00815779"/>
    <w:rsid w:val="008175C0"/>
    <w:rsid w:val="0082140B"/>
    <w:rsid w:val="0082485F"/>
    <w:rsid w:val="00824F30"/>
    <w:rsid w:val="00826A4D"/>
    <w:rsid w:val="00826D13"/>
    <w:rsid w:val="00826D86"/>
    <w:rsid w:val="00827F0C"/>
    <w:rsid w:val="00830777"/>
    <w:rsid w:val="00831AFD"/>
    <w:rsid w:val="008365A1"/>
    <w:rsid w:val="008374D4"/>
    <w:rsid w:val="008417C5"/>
    <w:rsid w:val="00842468"/>
    <w:rsid w:val="00842AB3"/>
    <w:rsid w:val="00844D8D"/>
    <w:rsid w:val="00845BC2"/>
    <w:rsid w:val="00851B20"/>
    <w:rsid w:val="00853098"/>
    <w:rsid w:val="008531EF"/>
    <w:rsid w:val="00860179"/>
    <w:rsid w:val="0086053A"/>
    <w:rsid w:val="00861274"/>
    <w:rsid w:val="008664B7"/>
    <w:rsid w:val="00866573"/>
    <w:rsid w:val="008668E8"/>
    <w:rsid w:val="008669A6"/>
    <w:rsid w:val="00867256"/>
    <w:rsid w:val="008745A8"/>
    <w:rsid w:val="00876B8A"/>
    <w:rsid w:val="008842ED"/>
    <w:rsid w:val="00887C94"/>
    <w:rsid w:val="00894197"/>
    <w:rsid w:val="00896066"/>
    <w:rsid w:val="008A1F19"/>
    <w:rsid w:val="008A369D"/>
    <w:rsid w:val="008A3C11"/>
    <w:rsid w:val="008A4305"/>
    <w:rsid w:val="008A53DE"/>
    <w:rsid w:val="008A6438"/>
    <w:rsid w:val="008B0C06"/>
    <w:rsid w:val="008B10D3"/>
    <w:rsid w:val="008B2BD2"/>
    <w:rsid w:val="008B3028"/>
    <w:rsid w:val="008B51CA"/>
    <w:rsid w:val="008B5D54"/>
    <w:rsid w:val="008C00BC"/>
    <w:rsid w:val="008C2406"/>
    <w:rsid w:val="008C2A1E"/>
    <w:rsid w:val="008C4AE6"/>
    <w:rsid w:val="008C5403"/>
    <w:rsid w:val="008D1A72"/>
    <w:rsid w:val="008D27DE"/>
    <w:rsid w:val="008D37D5"/>
    <w:rsid w:val="008D5AEA"/>
    <w:rsid w:val="008E3B96"/>
    <w:rsid w:val="008E4107"/>
    <w:rsid w:val="008E41F8"/>
    <w:rsid w:val="008E6010"/>
    <w:rsid w:val="008F1415"/>
    <w:rsid w:val="008F2620"/>
    <w:rsid w:val="008F2CBB"/>
    <w:rsid w:val="00900246"/>
    <w:rsid w:val="00900F2C"/>
    <w:rsid w:val="00901147"/>
    <w:rsid w:val="00903736"/>
    <w:rsid w:val="00905052"/>
    <w:rsid w:val="009057F7"/>
    <w:rsid w:val="009064E6"/>
    <w:rsid w:val="00907BD4"/>
    <w:rsid w:val="00910A0F"/>
    <w:rsid w:val="0091128D"/>
    <w:rsid w:val="00911CE9"/>
    <w:rsid w:val="00913189"/>
    <w:rsid w:val="009150F8"/>
    <w:rsid w:val="00915F17"/>
    <w:rsid w:val="009169EC"/>
    <w:rsid w:val="00921CA2"/>
    <w:rsid w:val="009224A4"/>
    <w:rsid w:val="00922F77"/>
    <w:rsid w:val="00923201"/>
    <w:rsid w:val="0093011A"/>
    <w:rsid w:val="00930618"/>
    <w:rsid w:val="0093306E"/>
    <w:rsid w:val="00937D6B"/>
    <w:rsid w:val="00940F61"/>
    <w:rsid w:val="00943107"/>
    <w:rsid w:val="00947492"/>
    <w:rsid w:val="00957F2D"/>
    <w:rsid w:val="00963E7C"/>
    <w:rsid w:val="00973436"/>
    <w:rsid w:val="00976D6B"/>
    <w:rsid w:val="00980370"/>
    <w:rsid w:val="00980FD4"/>
    <w:rsid w:val="00981005"/>
    <w:rsid w:val="0098287C"/>
    <w:rsid w:val="00984FE5"/>
    <w:rsid w:val="009874C0"/>
    <w:rsid w:val="00992077"/>
    <w:rsid w:val="00995613"/>
    <w:rsid w:val="00995B54"/>
    <w:rsid w:val="00997D0E"/>
    <w:rsid w:val="00997F40"/>
    <w:rsid w:val="009A0DB6"/>
    <w:rsid w:val="009A611A"/>
    <w:rsid w:val="009A79E1"/>
    <w:rsid w:val="009A7B7E"/>
    <w:rsid w:val="009B0947"/>
    <w:rsid w:val="009B1329"/>
    <w:rsid w:val="009B461E"/>
    <w:rsid w:val="009B6836"/>
    <w:rsid w:val="009D20D9"/>
    <w:rsid w:val="009D3329"/>
    <w:rsid w:val="009D73FC"/>
    <w:rsid w:val="009E05D6"/>
    <w:rsid w:val="009E3915"/>
    <w:rsid w:val="009E39B4"/>
    <w:rsid w:val="009E62BD"/>
    <w:rsid w:val="009E6AE7"/>
    <w:rsid w:val="009E6D8F"/>
    <w:rsid w:val="009E7D64"/>
    <w:rsid w:val="009F7A1D"/>
    <w:rsid w:val="00A034DC"/>
    <w:rsid w:val="00A06496"/>
    <w:rsid w:val="00A06F41"/>
    <w:rsid w:val="00A07339"/>
    <w:rsid w:val="00A11193"/>
    <w:rsid w:val="00A12D17"/>
    <w:rsid w:val="00A17FEA"/>
    <w:rsid w:val="00A20D74"/>
    <w:rsid w:val="00A20ED3"/>
    <w:rsid w:val="00A214B2"/>
    <w:rsid w:val="00A348AE"/>
    <w:rsid w:val="00A349E0"/>
    <w:rsid w:val="00A35F80"/>
    <w:rsid w:val="00A360F2"/>
    <w:rsid w:val="00A36B67"/>
    <w:rsid w:val="00A41CA3"/>
    <w:rsid w:val="00A420A1"/>
    <w:rsid w:val="00A44095"/>
    <w:rsid w:val="00A447C4"/>
    <w:rsid w:val="00A45346"/>
    <w:rsid w:val="00A45988"/>
    <w:rsid w:val="00A46862"/>
    <w:rsid w:val="00A54F02"/>
    <w:rsid w:val="00A555E4"/>
    <w:rsid w:val="00A56E01"/>
    <w:rsid w:val="00A62080"/>
    <w:rsid w:val="00A67086"/>
    <w:rsid w:val="00A7323B"/>
    <w:rsid w:val="00A74A73"/>
    <w:rsid w:val="00A75382"/>
    <w:rsid w:val="00A80E55"/>
    <w:rsid w:val="00A8550E"/>
    <w:rsid w:val="00A856C7"/>
    <w:rsid w:val="00A86E84"/>
    <w:rsid w:val="00A87F9F"/>
    <w:rsid w:val="00A90755"/>
    <w:rsid w:val="00A9121F"/>
    <w:rsid w:val="00A92C83"/>
    <w:rsid w:val="00A9547A"/>
    <w:rsid w:val="00AA35BA"/>
    <w:rsid w:val="00AB1A51"/>
    <w:rsid w:val="00AB2B79"/>
    <w:rsid w:val="00AB2F5F"/>
    <w:rsid w:val="00AB538C"/>
    <w:rsid w:val="00AB5ACB"/>
    <w:rsid w:val="00AB5C7E"/>
    <w:rsid w:val="00AB6A84"/>
    <w:rsid w:val="00AB7216"/>
    <w:rsid w:val="00AC24D0"/>
    <w:rsid w:val="00AC465C"/>
    <w:rsid w:val="00AC4928"/>
    <w:rsid w:val="00AC54C6"/>
    <w:rsid w:val="00AD2996"/>
    <w:rsid w:val="00AD2F36"/>
    <w:rsid w:val="00AD4CD0"/>
    <w:rsid w:val="00AE071E"/>
    <w:rsid w:val="00AE1F3C"/>
    <w:rsid w:val="00AE24F7"/>
    <w:rsid w:val="00AE2FB2"/>
    <w:rsid w:val="00AE3BF0"/>
    <w:rsid w:val="00AE4AA7"/>
    <w:rsid w:val="00AE4CB7"/>
    <w:rsid w:val="00AF2C69"/>
    <w:rsid w:val="00B02CA1"/>
    <w:rsid w:val="00B04647"/>
    <w:rsid w:val="00B05B8B"/>
    <w:rsid w:val="00B11B72"/>
    <w:rsid w:val="00B14976"/>
    <w:rsid w:val="00B201A3"/>
    <w:rsid w:val="00B22201"/>
    <w:rsid w:val="00B22C5E"/>
    <w:rsid w:val="00B25A3E"/>
    <w:rsid w:val="00B277E9"/>
    <w:rsid w:val="00B279A3"/>
    <w:rsid w:val="00B27D3B"/>
    <w:rsid w:val="00B336B3"/>
    <w:rsid w:val="00B3473B"/>
    <w:rsid w:val="00B34FB8"/>
    <w:rsid w:val="00B35CA2"/>
    <w:rsid w:val="00B36EB2"/>
    <w:rsid w:val="00B36F6E"/>
    <w:rsid w:val="00B40A66"/>
    <w:rsid w:val="00B40FF0"/>
    <w:rsid w:val="00B41995"/>
    <w:rsid w:val="00B428B1"/>
    <w:rsid w:val="00B4747B"/>
    <w:rsid w:val="00B53D9D"/>
    <w:rsid w:val="00B55735"/>
    <w:rsid w:val="00B566DC"/>
    <w:rsid w:val="00B608AC"/>
    <w:rsid w:val="00B60AB0"/>
    <w:rsid w:val="00B60DA2"/>
    <w:rsid w:val="00B64B9E"/>
    <w:rsid w:val="00B669C6"/>
    <w:rsid w:val="00B7113C"/>
    <w:rsid w:val="00B72BAC"/>
    <w:rsid w:val="00B76C97"/>
    <w:rsid w:val="00B85017"/>
    <w:rsid w:val="00B91400"/>
    <w:rsid w:val="00BA3BE0"/>
    <w:rsid w:val="00BA3CA7"/>
    <w:rsid w:val="00BA4045"/>
    <w:rsid w:val="00BA5552"/>
    <w:rsid w:val="00BA6B1A"/>
    <w:rsid w:val="00BB0D7B"/>
    <w:rsid w:val="00BB3736"/>
    <w:rsid w:val="00BB6610"/>
    <w:rsid w:val="00BC2613"/>
    <w:rsid w:val="00BC3F9E"/>
    <w:rsid w:val="00BC4C1A"/>
    <w:rsid w:val="00BC7BBC"/>
    <w:rsid w:val="00BD1F4A"/>
    <w:rsid w:val="00BD282B"/>
    <w:rsid w:val="00BD4BED"/>
    <w:rsid w:val="00BD4D87"/>
    <w:rsid w:val="00BE2EAA"/>
    <w:rsid w:val="00BE5573"/>
    <w:rsid w:val="00BF1DC6"/>
    <w:rsid w:val="00BF3BC1"/>
    <w:rsid w:val="00BF516A"/>
    <w:rsid w:val="00C01D5F"/>
    <w:rsid w:val="00C01FED"/>
    <w:rsid w:val="00C03A87"/>
    <w:rsid w:val="00C055F1"/>
    <w:rsid w:val="00C057CE"/>
    <w:rsid w:val="00C06974"/>
    <w:rsid w:val="00C1673B"/>
    <w:rsid w:val="00C16FF2"/>
    <w:rsid w:val="00C20D92"/>
    <w:rsid w:val="00C2120A"/>
    <w:rsid w:val="00C23180"/>
    <w:rsid w:val="00C254D2"/>
    <w:rsid w:val="00C3200F"/>
    <w:rsid w:val="00C32217"/>
    <w:rsid w:val="00C32380"/>
    <w:rsid w:val="00C339E3"/>
    <w:rsid w:val="00C34A00"/>
    <w:rsid w:val="00C40C7B"/>
    <w:rsid w:val="00C441E8"/>
    <w:rsid w:val="00C44981"/>
    <w:rsid w:val="00C45FA7"/>
    <w:rsid w:val="00C460AF"/>
    <w:rsid w:val="00C466A9"/>
    <w:rsid w:val="00C46AE5"/>
    <w:rsid w:val="00C5158F"/>
    <w:rsid w:val="00C5312F"/>
    <w:rsid w:val="00C549E2"/>
    <w:rsid w:val="00C553B7"/>
    <w:rsid w:val="00C572E3"/>
    <w:rsid w:val="00C578E2"/>
    <w:rsid w:val="00C62B7F"/>
    <w:rsid w:val="00C64B69"/>
    <w:rsid w:val="00C72525"/>
    <w:rsid w:val="00C740AF"/>
    <w:rsid w:val="00C74724"/>
    <w:rsid w:val="00C83281"/>
    <w:rsid w:val="00C83662"/>
    <w:rsid w:val="00C84AF4"/>
    <w:rsid w:val="00C85577"/>
    <w:rsid w:val="00C85C8C"/>
    <w:rsid w:val="00C86632"/>
    <w:rsid w:val="00C86AC3"/>
    <w:rsid w:val="00C86ECE"/>
    <w:rsid w:val="00C90B13"/>
    <w:rsid w:val="00C95169"/>
    <w:rsid w:val="00C97748"/>
    <w:rsid w:val="00CA02BB"/>
    <w:rsid w:val="00CA06C4"/>
    <w:rsid w:val="00CA6B4A"/>
    <w:rsid w:val="00CA7E07"/>
    <w:rsid w:val="00CB2BD5"/>
    <w:rsid w:val="00CB5F67"/>
    <w:rsid w:val="00CB6801"/>
    <w:rsid w:val="00CB6F0D"/>
    <w:rsid w:val="00CB7517"/>
    <w:rsid w:val="00CB7898"/>
    <w:rsid w:val="00CC1CA9"/>
    <w:rsid w:val="00CC3E23"/>
    <w:rsid w:val="00CD14E9"/>
    <w:rsid w:val="00CD2AA4"/>
    <w:rsid w:val="00CD3094"/>
    <w:rsid w:val="00CD37E2"/>
    <w:rsid w:val="00CD4CA7"/>
    <w:rsid w:val="00CE1485"/>
    <w:rsid w:val="00CE3DA6"/>
    <w:rsid w:val="00CE4649"/>
    <w:rsid w:val="00CE6FB0"/>
    <w:rsid w:val="00CF2D02"/>
    <w:rsid w:val="00CF46CE"/>
    <w:rsid w:val="00CF4F0C"/>
    <w:rsid w:val="00CF4F43"/>
    <w:rsid w:val="00CF5643"/>
    <w:rsid w:val="00CF78B1"/>
    <w:rsid w:val="00D007F4"/>
    <w:rsid w:val="00D01156"/>
    <w:rsid w:val="00D01589"/>
    <w:rsid w:val="00D035D7"/>
    <w:rsid w:val="00D077DC"/>
    <w:rsid w:val="00D13EA1"/>
    <w:rsid w:val="00D14FBE"/>
    <w:rsid w:val="00D2088F"/>
    <w:rsid w:val="00D21C18"/>
    <w:rsid w:val="00D22714"/>
    <w:rsid w:val="00D264F6"/>
    <w:rsid w:val="00D2681A"/>
    <w:rsid w:val="00D26B2A"/>
    <w:rsid w:val="00D27707"/>
    <w:rsid w:val="00D301CC"/>
    <w:rsid w:val="00D30350"/>
    <w:rsid w:val="00D33DDC"/>
    <w:rsid w:val="00D35B31"/>
    <w:rsid w:val="00D36AD8"/>
    <w:rsid w:val="00D36CDF"/>
    <w:rsid w:val="00D4132A"/>
    <w:rsid w:val="00D42969"/>
    <w:rsid w:val="00D50C2D"/>
    <w:rsid w:val="00D50DAA"/>
    <w:rsid w:val="00D513B4"/>
    <w:rsid w:val="00D5165C"/>
    <w:rsid w:val="00D55EE4"/>
    <w:rsid w:val="00D56D40"/>
    <w:rsid w:val="00D62EF5"/>
    <w:rsid w:val="00D73EF0"/>
    <w:rsid w:val="00D76564"/>
    <w:rsid w:val="00D8151E"/>
    <w:rsid w:val="00D82B6C"/>
    <w:rsid w:val="00D82BBC"/>
    <w:rsid w:val="00D83EBB"/>
    <w:rsid w:val="00D8480A"/>
    <w:rsid w:val="00D862EC"/>
    <w:rsid w:val="00D86788"/>
    <w:rsid w:val="00D871A6"/>
    <w:rsid w:val="00D919EC"/>
    <w:rsid w:val="00D94CE6"/>
    <w:rsid w:val="00D952DF"/>
    <w:rsid w:val="00D97F2B"/>
    <w:rsid w:val="00DA108D"/>
    <w:rsid w:val="00DA4182"/>
    <w:rsid w:val="00DA63E0"/>
    <w:rsid w:val="00DB003A"/>
    <w:rsid w:val="00DB5059"/>
    <w:rsid w:val="00DC2894"/>
    <w:rsid w:val="00DC4DAC"/>
    <w:rsid w:val="00DC57CC"/>
    <w:rsid w:val="00DC74EE"/>
    <w:rsid w:val="00DD0C2B"/>
    <w:rsid w:val="00DD231B"/>
    <w:rsid w:val="00DD3061"/>
    <w:rsid w:val="00DD55EC"/>
    <w:rsid w:val="00DE0BA1"/>
    <w:rsid w:val="00DE2740"/>
    <w:rsid w:val="00DE31EE"/>
    <w:rsid w:val="00DE6171"/>
    <w:rsid w:val="00DE67E7"/>
    <w:rsid w:val="00DE7600"/>
    <w:rsid w:val="00E01E9D"/>
    <w:rsid w:val="00E04537"/>
    <w:rsid w:val="00E04757"/>
    <w:rsid w:val="00E1069F"/>
    <w:rsid w:val="00E107DC"/>
    <w:rsid w:val="00E11BF6"/>
    <w:rsid w:val="00E12590"/>
    <w:rsid w:val="00E1330B"/>
    <w:rsid w:val="00E136EC"/>
    <w:rsid w:val="00E140E6"/>
    <w:rsid w:val="00E15567"/>
    <w:rsid w:val="00E2086A"/>
    <w:rsid w:val="00E227D1"/>
    <w:rsid w:val="00E22A78"/>
    <w:rsid w:val="00E23896"/>
    <w:rsid w:val="00E25F95"/>
    <w:rsid w:val="00E26583"/>
    <w:rsid w:val="00E3253C"/>
    <w:rsid w:val="00E337C0"/>
    <w:rsid w:val="00E33803"/>
    <w:rsid w:val="00E37D3D"/>
    <w:rsid w:val="00E43CFA"/>
    <w:rsid w:val="00E50347"/>
    <w:rsid w:val="00E55778"/>
    <w:rsid w:val="00E6028E"/>
    <w:rsid w:val="00E604BB"/>
    <w:rsid w:val="00E638F8"/>
    <w:rsid w:val="00E6499A"/>
    <w:rsid w:val="00E65C41"/>
    <w:rsid w:val="00E67996"/>
    <w:rsid w:val="00E7297A"/>
    <w:rsid w:val="00E74B69"/>
    <w:rsid w:val="00E74BC6"/>
    <w:rsid w:val="00E76BE8"/>
    <w:rsid w:val="00E80D2C"/>
    <w:rsid w:val="00E817BF"/>
    <w:rsid w:val="00E81B67"/>
    <w:rsid w:val="00E81D7E"/>
    <w:rsid w:val="00E83A4F"/>
    <w:rsid w:val="00E8673B"/>
    <w:rsid w:val="00E920FA"/>
    <w:rsid w:val="00E92E0B"/>
    <w:rsid w:val="00E930CD"/>
    <w:rsid w:val="00E97632"/>
    <w:rsid w:val="00E97876"/>
    <w:rsid w:val="00EA5936"/>
    <w:rsid w:val="00EB1E05"/>
    <w:rsid w:val="00EB4A18"/>
    <w:rsid w:val="00EB5A39"/>
    <w:rsid w:val="00EC0B2B"/>
    <w:rsid w:val="00EC309D"/>
    <w:rsid w:val="00ED324C"/>
    <w:rsid w:val="00ED39BD"/>
    <w:rsid w:val="00ED4A52"/>
    <w:rsid w:val="00ED670D"/>
    <w:rsid w:val="00ED799D"/>
    <w:rsid w:val="00EE253C"/>
    <w:rsid w:val="00EE530C"/>
    <w:rsid w:val="00EE79D2"/>
    <w:rsid w:val="00EF7A7C"/>
    <w:rsid w:val="00EF7AD2"/>
    <w:rsid w:val="00F00226"/>
    <w:rsid w:val="00F01021"/>
    <w:rsid w:val="00F01673"/>
    <w:rsid w:val="00F04922"/>
    <w:rsid w:val="00F04D10"/>
    <w:rsid w:val="00F05224"/>
    <w:rsid w:val="00F057EB"/>
    <w:rsid w:val="00F06A0F"/>
    <w:rsid w:val="00F07C5F"/>
    <w:rsid w:val="00F164D5"/>
    <w:rsid w:val="00F2740B"/>
    <w:rsid w:val="00F316E2"/>
    <w:rsid w:val="00F32992"/>
    <w:rsid w:val="00F32A12"/>
    <w:rsid w:val="00F33E0D"/>
    <w:rsid w:val="00F349D0"/>
    <w:rsid w:val="00F34A92"/>
    <w:rsid w:val="00F3630B"/>
    <w:rsid w:val="00F40B89"/>
    <w:rsid w:val="00F5287D"/>
    <w:rsid w:val="00F533A9"/>
    <w:rsid w:val="00F5477D"/>
    <w:rsid w:val="00F548DB"/>
    <w:rsid w:val="00F56044"/>
    <w:rsid w:val="00F56B13"/>
    <w:rsid w:val="00F56C86"/>
    <w:rsid w:val="00F5736C"/>
    <w:rsid w:val="00F60461"/>
    <w:rsid w:val="00F633A5"/>
    <w:rsid w:val="00F751FC"/>
    <w:rsid w:val="00F7558A"/>
    <w:rsid w:val="00F76115"/>
    <w:rsid w:val="00F83150"/>
    <w:rsid w:val="00F86A15"/>
    <w:rsid w:val="00F8782D"/>
    <w:rsid w:val="00F87D8F"/>
    <w:rsid w:val="00F92ADA"/>
    <w:rsid w:val="00F93A89"/>
    <w:rsid w:val="00F97A11"/>
    <w:rsid w:val="00FA0298"/>
    <w:rsid w:val="00FA1E78"/>
    <w:rsid w:val="00FA38C8"/>
    <w:rsid w:val="00FA736E"/>
    <w:rsid w:val="00FA7A6E"/>
    <w:rsid w:val="00FB0BE6"/>
    <w:rsid w:val="00FB717E"/>
    <w:rsid w:val="00FC2261"/>
    <w:rsid w:val="00FC57F7"/>
    <w:rsid w:val="00FD02F1"/>
    <w:rsid w:val="00FD3F51"/>
    <w:rsid w:val="00FD4D84"/>
    <w:rsid w:val="00FE0398"/>
    <w:rsid w:val="00FE0DAE"/>
    <w:rsid w:val="00FE2A55"/>
    <w:rsid w:val="00FE2FAA"/>
    <w:rsid w:val="00FE7A0A"/>
    <w:rsid w:val="00FF1461"/>
    <w:rsid w:val="00FF338D"/>
    <w:rsid w:val="00FF40BC"/>
    <w:rsid w:val="00FF6706"/>
    <w:rsid w:val="0E416F55"/>
    <w:rsid w:val="22087829"/>
    <w:rsid w:val="691FF8C7"/>
    <w:rsid w:val="74749DDC"/>
    <w:rsid w:val="7C5C45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5C50EA"/>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CF5643"/>
    <w:pPr>
      <w:tabs>
        <w:tab w:val="left" w:pos="48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3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4917B7"/>
    <w:rPr>
      <w:rFonts w:ascii="Times New Roman" w:hAnsi="Times New Roman"/>
      <w:sz w:val="24"/>
    </w:rPr>
  </w:style>
  <w:style w:type="character" w:styleId="UnresolvedMention">
    <w:name w:val="Unresolved Mention"/>
    <w:basedOn w:val="DefaultParagraphFont"/>
    <w:uiPriority w:val="99"/>
    <w:semiHidden/>
    <w:unhideWhenUsed/>
    <w:rsid w:val="00455C03"/>
    <w:rPr>
      <w:color w:val="605E5C"/>
      <w:shd w:val="clear" w:color="auto" w:fill="E1DFDD"/>
    </w:rPr>
  </w:style>
  <w:style w:type="paragraph" w:styleId="Quote">
    <w:name w:val="Quote"/>
    <w:basedOn w:val="Normal"/>
    <w:next w:val="Normal"/>
    <w:link w:val="QuoteChar"/>
    <w:uiPriority w:val="29"/>
    <w:qFormat/>
    <w:rsid w:val="00455C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5C03"/>
    <w:rPr>
      <w:rFonts w:ascii="Times New Roman" w:hAnsi="Times New Roman"/>
      <w:i/>
      <w:iCs/>
      <w:color w:val="404040" w:themeColor="text1" w:themeTint="BF"/>
      <w:sz w:val="24"/>
    </w:rPr>
  </w:style>
  <w:style w:type="table" w:customStyle="1" w:styleId="TableGrid1">
    <w:name w:val="Table Grid1"/>
    <w:basedOn w:val="TableNormal"/>
    <w:next w:val="TableGrid"/>
    <w:uiPriority w:val="59"/>
    <w:rsid w:val="00625E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43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02D84"/>
    <w:rPr>
      <w:vertAlign w:val="superscript"/>
    </w:rPr>
  </w:style>
  <w:style w:type="character" w:styleId="CommentReference">
    <w:name w:val="annotation reference"/>
    <w:basedOn w:val="DefaultParagraphFont"/>
    <w:uiPriority w:val="99"/>
    <w:semiHidden/>
    <w:unhideWhenUsed/>
    <w:rsid w:val="00711288"/>
    <w:rPr>
      <w:sz w:val="16"/>
      <w:szCs w:val="16"/>
    </w:rPr>
  </w:style>
  <w:style w:type="paragraph" w:styleId="CommentText">
    <w:name w:val="annotation text"/>
    <w:basedOn w:val="Normal"/>
    <w:link w:val="CommentTextChar"/>
    <w:uiPriority w:val="99"/>
    <w:unhideWhenUsed/>
    <w:rsid w:val="00711288"/>
    <w:pPr>
      <w:spacing w:line="240" w:lineRule="auto"/>
    </w:pPr>
    <w:rPr>
      <w:sz w:val="20"/>
      <w:szCs w:val="20"/>
    </w:rPr>
  </w:style>
  <w:style w:type="character" w:customStyle="1" w:styleId="CommentTextChar">
    <w:name w:val="Comment Text Char"/>
    <w:basedOn w:val="DefaultParagraphFont"/>
    <w:link w:val="CommentText"/>
    <w:uiPriority w:val="99"/>
    <w:rsid w:val="007112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1288"/>
    <w:rPr>
      <w:b/>
      <w:bCs/>
    </w:rPr>
  </w:style>
  <w:style w:type="character" w:customStyle="1" w:styleId="CommentSubjectChar">
    <w:name w:val="Comment Subject Char"/>
    <w:basedOn w:val="CommentTextChar"/>
    <w:link w:val="CommentSubject"/>
    <w:uiPriority w:val="99"/>
    <w:semiHidden/>
    <w:rsid w:val="00711288"/>
    <w:rPr>
      <w:rFonts w:ascii="Times New Roman" w:hAnsi="Times New Roman"/>
      <w:b/>
      <w:bCs/>
      <w:sz w:val="20"/>
      <w:szCs w:val="20"/>
    </w:rPr>
  </w:style>
  <w:style w:type="paragraph" w:styleId="Revision">
    <w:name w:val="Revision"/>
    <w:hidden/>
    <w:uiPriority w:val="99"/>
    <w:semiHidden/>
    <w:rsid w:val="00A12D17"/>
    <w:pPr>
      <w:spacing w:after="0" w:line="240" w:lineRule="auto"/>
    </w:pPr>
    <w:rPr>
      <w:rFonts w:ascii="Times New Roman" w:hAnsi="Times New Roman"/>
      <w:sz w:val="24"/>
    </w:rPr>
  </w:style>
  <w:style w:type="paragraph" w:customStyle="1" w:styleId="paragraph">
    <w:name w:val="paragraph"/>
    <w:basedOn w:val="Normal"/>
    <w:rsid w:val="00113D93"/>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13D93"/>
  </w:style>
  <w:style w:type="table" w:customStyle="1" w:styleId="TableGrid11">
    <w:name w:val="Table Grid11"/>
    <w:basedOn w:val="TableNormal"/>
    <w:next w:val="TableGrid"/>
    <w:uiPriority w:val="59"/>
    <w:rsid w:val="00A20ED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0F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5477D"/>
  </w:style>
  <w:style w:type="paragraph" w:customStyle="1" w:styleId="Default">
    <w:name w:val="Default"/>
    <w:basedOn w:val="Normal"/>
    <w:rsid w:val="00973436"/>
    <w:pPr>
      <w:autoSpaceDE w:val="0"/>
      <w:autoSpaceDN w:val="0"/>
      <w:spacing w:after="0" w:line="240" w:lineRule="auto"/>
    </w:pPr>
    <w:rPr>
      <w:rFonts w:ascii="ITC Franklin Gothic Std Book" w:hAnsi="ITC Franklin Gothic Std Book" w:cs="Calibri"/>
      <w:color w:val="000000"/>
      <w:szCs w:val="24"/>
    </w:rPr>
  </w:style>
  <w:style w:type="paragraph" w:customStyle="1" w:styleId="xmsonormal">
    <w:name w:val="x_msonormal"/>
    <w:basedOn w:val="Normal"/>
    <w:rsid w:val="009D20D9"/>
    <w:pPr>
      <w:spacing w:after="0" w:line="240" w:lineRule="auto"/>
    </w:pPr>
    <w:rPr>
      <w:rFonts w:ascii="Calibri" w:hAnsi="Calibri" w:cs="Calibri"/>
      <w:sz w:val="22"/>
    </w:rPr>
  </w:style>
  <w:style w:type="paragraph" w:customStyle="1" w:styleId="xmsonospacing">
    <w:name w:val="x_msonospacing"/>
    <w:basedOn w:val="Normal"/>
    <w:rsid w:val="009D20D9"/>
    <w:pPr>
      <w:spacing w:after="0" w:line="240" w:lineRule="auto"/>
    </w:pPr>
    <w:rPr>
      <w:rFonts w:cs="Times New Roman"/>
      <w:szCs w:val="24"/>
    </w:rPr>
  </w:style>
  <w:style w:type="numbering" w:customStyle="1" w:styleId="NoList1">
    <w:name w:val="No List1"/>
    <w:next w:val="NoList"/>
    <w:uiPriority w:val="99"/>
    <w:semiHidden/>
    <w:unhideWhenUsed/>
    <w:rsid w:val="002C0D92"/>
  </w:style>
  <w:style w:type="paragraph" w:customStyle="1" w:styleId="msonormal">
    <w:name w:val="msonormal"/>
    <w:basedOn w:val="Normal"/>
    <w:rsid w:val="002C0D92"/>
    <w:pPr>
      <w:spacing w:before="100" w:beforeAutospacing="1" w:after="100" w:afterAutospacing="1" w:line="240" w:lineRule="auto"/>
    </w:pPr>
    <w:rPr>
      <w:rFonts w:eastAsia="Times New Roman" w:cs="Times New Roman"/>
      <w:szCs w:val="24"/>
    </w:rPr>
  </w:style>
  <w:style w:type="paragraph" w:customStyle="1" w:styleId="xl65">
    <w:name w:val="xl65"/>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66">
    <w:name w:val="xl66"/>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rPr>
  </w:style>
  <w:style w:type="paragraph" w:customStyle="1" w:styleId="xl67">
    <w:name w:val="xl67"/>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68">
    <w:name w:val="xl68"/>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69">
    <w:name w:val="xl69"/>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70">
    <w:name w:val="xl70"/>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71">
    <w:name w:val="xl71"/>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72">
    <w:name w:val="xl72"/>
    <w:basedOn w:val="Normal"/>
    <w:rsid w:val="002C0D92"/>
    <w:pPr>
      <w:spacing w:before="100" w:beforeAutospacing="1" w:after="100" w:afterAutospacing="1" w:line="240" w:lineRule="auto"/>
    </w:pPr>
    <w:rPr>
      <w:rFonts w:eastAsia="Times New Roman" w:cs="Times New Roman"/>
      <w:b/>
      <w:bCs/>
      <w:sz w:val="18"/>
      <w:szCs w:val="18"/>
    </w:rPr>
  </w:style>
  <w:style w:type="paragraph" w:customStyle="1" w:styleId="xl73">
    <w:name w:val="xl73"/>
    <w:basedOn w:val="Normal"/>
    <w:rsid w:val="002C0D92"/>
    <w:pPr>
      <w:spacing w:before="100" w:beforeAutospacing="1" w:after="100" w:afterAutospacing="1" w:line="240" w:lineRule="auto"/>
    </w:pPr>
    <w:rPr>
      <w:rFonts w:eastAsia="Times New Roman" w:cs="Times New Roman"/>
      <w:sz w:val="18"/>
      <w:szCs w:val="18"/>
    </w:rPr>
  </w:style>
  <w:style w:type="paragraph" w:customStyle="1" w:styleId="xl74">
    <w:name w:val="xl74"/>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18"/>
      <w:szCs w:val="18"/>
    </w:rPr>
  </w:style>
  <w:style w:type="paragraph" w:customStyle="1" w:styleId="xl75">
    <w:name w:val="xl75"/>
    <w:basedOn w:val="Normal"/>
    <w:rsid w:val="002C0D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76">
    <w:name w:val="xl76"/>
    <w:basedOn w:val="Normal"/>
    <w:rsid w:val="002C0D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77">
    <w:name w:val="xl77"/>
    <w:basedOn w:val="Normal"/>
    <w:rsid w:val="002C0D92"/>
    <w:pPr>
      <w:spacing w:before="100" w:beforeAutospacing="1" w:after="100" w:afterAutospacing="1" w:line="240" w:lineRule="auto"/>
    </w:pPr>
    <w:rPr>
      <w:rFonts w:eastAsia="Times New Roman" w:cs="Times New Roman"/>
      <w:sz w:val="18"/>
      <w:szCs w:val="18"/>
    </w:rPr>
  </w:style>
  <w:style w:type="paragraph" w:customStyle="1" w:styleId="xl78">
    <w:name w:val="xl78"/>
    <w:basedOn w:val="Normal"/>
    <w:rsid w:val="002C0D92"/>
    <w:pPr>
      <w:spacing w:before="100" w:beforeAutospacing="1" w:after="100" w:afterAutospacing="1" w:line="240" w:lineRule="auto"/>
      <w:jc w:val="center"/>
    </w:pPr>
    <w:rPr>
      <w:rFonts w:eastAsia="Times New Roman" w:cs="Times New Roman"/>
      <w:sz w:val="18"/>
      <w:szCs w:val="18"/>
    </w:rPr>
  </w:style>
  <w:style w:type="paragraph" w:customStyle="1" w:styleId="xl79">
    <w:name w:val="xl79"/>
    <w:basedOn w:val="Normal"/>
    <w:rsid w:val="002C0D92"/>
    <w:pPr>
      <w:spacing w:before="100" w:beforeAutospacing="1" w:after="100" w:afterAutospacing="1" w:line="240" w:lineRule="auto"/>
      <w:jc w:val="center"/>
    </w:pPr>
    <w:rPr>
      <w:rFonts w:eastAsia="Times New Roman" w:cs="Times New Roman"/>
      <w:sz w:val="18"/>
      <w:szCs w:val="18"/>
    </w:rPr>
  </w:style>
  <w:style w:type="paragraph" w:customStyle="1" w:styleId="xl80">
    <w:name w:val="xl80"/>
    <w:basedOn w:val="Normal"/>
    <w:rsid w:val="002C0D92"/>
    <w:pP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1">
    <w:name w:val="xl81"/>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2">
    <w:name w:val="xl82"/>
    <w:basedOn w:val="Normal"/>
    <w:rsid w:val="002C0D92"/>
    <w:pP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3">
    <w:name w:val="xl83"/>
    <w:basedOn w:val="Normal"/>
    <w:rsid w:val="002C0D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4">
    <w:name w:val="xl84"/>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5">
    <w:name w:val="xl85"/>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86">
    <w:name w:val="xl86"/>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7">
    <w:name w:val="xl87"/>
    <w:basedOn w:val="Normal"/>
    <w:rsid w:val="002C0D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18"/>
      <w:szCs w:val="18"/>
    </w:rPr>
  </w:style>
  <w:style w:type="paragraph" w:customStyle="1" w:styleId="xl88">
    <w:name w:val="xl88"/>
    <w:basedOn w:val="Normal"/>
    <w:rsid w:val="002C0D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18"/>
      <w:szCs w:val="18"/>
    </w:rPr>
  </w:style>
  <w:style w:type="paragraph" w:customStyle="1" w:styleId="xl89">
    <w:name w:val="xl89"/>
    <w:basedOn w:val="Normal"/>
    <w:rsid w:val="002C0D92"/>
    <w:pPr>
      <w:spacing w:before="100" w:beforeAutospacing="1" w:after="100" w:afterAutospacing="1" w:line="240" w:lineRule="auto"/>
      <w:jc w:val="center"/>
    </w:pPr>
    <w:rPr>
      <w:rFonts w:eastAsia="Times New Roman" w:cs="Times New Roman"/>
      <w:b/>
      <w:bCs/>
      <w:sz w:val="18"/>
      <w:szCs w:val="18"/>
    </w:rPr>
  </w:style>
  <w:style w:type="paragraph" w:customStyle="1" w:styleId="pf0">
    <w:name w:val="pf0"/>
    <w:basedOn w:val="Normal"/>
    <w:rsid w:val="004C6685"/>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4C6685"/>
    <w:rPr>
      <w:rFonts w:ascii="Segoe UI" w:hAnsi="Segoe UI" w:cs="Segoe UI" w:hint="default"/>
      <w:sz w:val="18"/>
      <w:szCs w:val="18"/>
    </w:rPr>
  </w:style>
  <w:style w:type="paragraph" w:customStyle="1" w:styleId="font5">
    <w:name w:val="font5"/>
    <w:basedOn w:val="Normal"/>
    <w:rsid w:val="00E2086A"/>
    <w:pPr>
      <w:spacing w:before="100" w:beforeAutospacing="1" w:after="100" w:afterAutospacing="1" w:line="240" w:lineRule="auto"/>
    </w:pPr>
    <w:rPr>
      <w:rFonts w:eastAsia="Times New Roman" w:cs="Times New Roman"/>
      <w:color w:val="000000"/>
      <w:szCs w:val="24"/>
    </w:rPr>
  </w:style>
  <w:style w:type="paragraph" w:customStyle="1" w:styleId="xl90">
    <w:name w:val="xl90"/>
    <w:basedOn w:val="Normal"/>
    <w:rsid w:val="00E2086A"/>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1">
    <w:name w:val="xl91"/>
    <w:basedOn w:val="Normal"/>
    <w:rsid w:val="00E208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92">
    <w:name w:val="xl92"/>
    <w:basedOn w:val="Normal"/>
    <w:rsid w:val="00E208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s="Times New Roman"/>
      <w:b/>
      <w:bCs/>
      <w:color w:val="000000"/>
      <w:szCs w:val="24"/>
    </w:rPr>
  </w:style>
  <w:style w:type="paragraph" w:customStyle="1" w:styleId="xl93">
    <w:name w:val="xl93"/>
    <w:basedOn w:val="Normal"/>
    <w:rsid w:val="00E2086A"/>
    <w:pPr>
      <w:spacing w:before="100" w:beforeAutospacing="1" w:after="100" w:afterAutospacing="1" w:line="240" w:lineRule="auto"/>
    </w:pPr>
    <w:rPr>
      <w:rFonts w:eastAsia="Times New Roman" w:cs="Times New Roman"/>
      <w:szCs w:val="24"/>
    </w:rPr>
  </w:style>
  <w:style w:type="paragraph" w:customStyle="1" w:styleId="xl94">
    <w:name w:val="xl94"/>
    <w:basedOn w:val="Normal"/>
    <w:rsid w:val="0038066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95">
    <w:name w:val="xl95"/>
    <w:basedOn w:val="Normal"/>
    <w:rsid w:val="0038066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character" w:customStyle="1" w:styleId="contextualspellingandgrammarerror">
    <w:name w:val="contextualspellingandgrammarerror"/>
    <w:basedOn w:val="DefaultParagraphFont"/>
    <w:rsid w:val="00183B97"/>
  </w:style>
  <w:style w:type="character" w:customStyle="1" w:styleId="spellingerror">
    <w:name w:val="spellingerror"/>
    <w:basedOn w:val="DefaultParagraphFont"/>
    <w:rsid w:val="00183B97"/>
  </w:style>
  <w:style w:type="character" w:customStyle="1" w:styleId="advancedproofingissue">
    <w:name w:val="advancedproofingissue"/>
    <w:basedOn w:val="DefaultParagraphFont"/>
    <w:rsid w:val="00183B97"/>
  </w:style>
  <w:style w:type="paragraph" w:customStyle="1" w:styleId="xl96">
    <w:name w:val="xl96"/>
    <w:basedOn w:val="Normal"/>
    <w:rsid w:val="00E26583"/>
    <w:pPr>
      <w:spacing w:before="100" w:beforeAutospacing="1" w:after="100" w:afterAutospacing="1" w:line="240" w:lineRule="auto"/>
      <w:jc w:val="center"/>
    </w:pPr>
    <w:rPr>
      <w:rFonts w:eastAsia="Times New Roman" w:cs="Times New Roman"/>
      <w:b/>
      <w:bCs/>
      <w:sz w:val="18"/>
      <w:szCs w:val="18"/>
    </w:rPr>
  </w:style>
  <w:style w:type="paragraph" w:customStyle="1" w:styleId="xl97">
    <w:name w:val="xl97"/>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98">
    <w:name w:val="xl98"/>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99">
    <w:name w:val="xl99"/>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100">
    <w:name w:val="xl100"/>
    <w:basedOn w:val="Normal"/>
    <w:rsid w:val="00E26583"/>
    <w:pPr>
      <w:spacing w:before="100" w:beforeAutospacing="1" w:after="100" w:afterAutospacing="1" w:line="240" w:lineRule="auto"/>
    </w:pPr>
    <w:rPr>
      <w:rFonts w:eastAsia="Times New Roman" w:cs="Times New Roman"/>
      <w:sz w:val="18"/>
      <w:szCs w:val="18"/>
    </w:rPr>
  </w:style>
  <w:style w:type="paragraph" w:customStyle="1" w:styleId="xl101">
    <w:name w:val="xl101"/>
    <w:basedOn w:val="Normal"/>
    <w:rsid w:val="00E26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02">
    <w:name w:val="xl102"/>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03">
    <w:name w:val="xl103"/>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18"/>
      <w:szCs w:val="18"/>
    </w:rPr>
  </w:style>
  <w:style w:type="paragraph" w:customStyle="1" w:styleId="xl104">
    <w:name w:val="xl104"/>
    <w:basedOn w:val="Normal"/>
    <w:rsid w:val="00E2658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05">
    <w:name w:val="xl105"/>
    <w:basedOn w:val="Normal"/>
    <w:rsid w:val="00E26583"/>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106">
    <w:name w:val="xl106"/>
    <w:basedOn w:val="Normal"/>
    <w:rsid w:val="00E26583"/>
    <w:pPr>
      <w:shd w:val="clear" w:color="000000" w:fill="FFFFFF"/>
      <w:spacing w:before="100" w:beforeAutospacing="1" w:after="100" w:afterAutospacing="1" w:line="240" w:lineRule="auto"/>
    </w:pPr>
    <w:rPr>
      <w:rFonts w:eastAsia="Times New Roman" w:cs="Times New Roman"/>
      <w:sz w:val="18"/>
      <w:szCs w:val="18"/>
    </w:rPr>
  </w:style>
  <w:style w:type="paragraph" w:customStyle="1" w:styleId="xl107">
    <w:name w:val="xl107"/>
    <w:basedOn w:val="Normal"/>
    <w:rsid w:val="00E26583"/>
    <w:pPr>
      <w:shd w:val="clear" w:color="000000" w:fill="FFFF00"/>
      <w:spacing w:before="100" w:beforeAutospacing="1" w:after="100" w:afterAutospacing="1" w:line="240" w:lineRule="auto"/>
    </w:pPr>
    <w:rPr>
      <w:rFonts w:eastAsia="Times New Roman" w:cs="Times New Roman"/>
      <w:sz w:val="18"/>
      <w:szCs w:val="18"/>
    </w:rPr>
  </w:style>
  <w:style w:type="paragraph" w:customStyle="1" w:styleId="xl108">
    <w:name w:val="xl108"/>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109">
    <w:name w:val="xl109"/>
    <w:basedOn w:val="Normal"/>
    <w:rsid w:val="00E265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110">
    <w:name w:val="xl110"/>
    <w:basedOn w:val="Normal"/>
    <w:rsid w:val="00E26583"/>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eastAsia="Times New Roman" w:cs="Times New Roman"/>
      <w:b/>
      <w:bCs/>
      <w:color w:val="000000"/>
      <w:sz w:val="18"/>
      <w:szCs w:val="18"/>
    </w:rPr>
  </w:style>
  <w:style w:type="paragraph" w:customStyle="1" w:styleId="xl111">
    <w:name w:val="xl111"/>
    <w:basedOn w:val="Normal"/>
    <w:rsid w:val="00E26583"/>
    <w:pPr>
      <w:shd w:val="clear" w:color="000000" w:fill="FFFFFF"/>
      <w:spacing w:before="100" w:beforeAutospacing="1" w:after="100" w:afterAutospacing="1" w:line="240" w:lineRule="auto"/>
    </w:pPr>
    <w:rPr>
      <w:rFonts w:eastAsia="Times New Roman" w:cs="Times New Roman"/>
      <w:b/>
      <w:bCs/>
      <w:color w:val="000000"/>
      <w:sz w:val="18"/>
      <w:szCs w:val="18"/>
    </w:rPr>
  </w:style>
  <w:style w:type="paragraph" w:customStyle="1" w:styleId="xl112">
    <w:name w:val="xl112"/>
    <w:basedOn w:val="Normal"/>
    <w:rsid w:val="00E26583"/>
    <w:pP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13">
    <w:name w:val="xl113"/>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4">
    <w:name w:val="xl114"/>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5">
    <w:name w:val="xl115"/>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6">
    <w:name w:val="xl116"/>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7">
    <w:name w:val="xl117"/>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118">
    <w:name w:val="xl118"/>
    <w:basedOn w:val="Normal"/>
    <w:rsid w:val="00E26583"/>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hsn" TargetMode="External" /><Relationship Id="rId11" Type="http://schemas.openxmlformats.org/officeDocument/2006/relationships/hyperlink" Target="https://www.cdc.gov/nhsn/dataStat.html" TargetMode="External" /><Relationship Id="rId12" Type="http://schemas.openxmlformats.org/officeDocument/2006/relationships/hyperlink" Target="https://www.cms.gov/files/document/covid-medicare-and-medicaid-ifc2.pdf" TargetMode="External" /><Relationship Id="rId13" Type="http://schemas.openxmlformats.org/officeDocument/2006/relationships/hyperlink" Target="https://www.nlm.nih.gov/vsac/support/authorguidelines/code-systems.html" TargetMode="External" /><Relationship Id="rId14" Type="http://schemas.openxmlformats.org/officeDocument/2006/relationships/hyperlink" Target="https://ecqi.healthit.gov/" TargetMode="External" /><Relationship Id="rId15" Type="http://schemas.openxmlformats.org/officeDocument/2006/relationships/hyperlink" Target="https://vsac.nlm.nih.gov/" TargetMode="External" /><Relationship Id="rId16" Type="http://schemas.openxmlformats.org/officeDocument/2006/relationships/hyperlink" Target="https://www.healthit.gov/isp/uscdi-data-class/patient-demographicsinformation#uscdi-v2" TargetMode="External" /><Relationship Id="rId17" Type="http://schemas.openxmlformats.org/officeDocument/2006/relationships/hyperlink" Target="https://www.healthit.gov/isp/representing-patient-gender-identity" TargetMode="External" /><Relationship Id="rId18" Type="http://schemas.openxmlformats.org/officeDocument/2006/relationships/hyperlink" Target="https://www.healthit.gov/isp/representing-patient-race-and-ethnicity" TargetMode="External" /><Relationship Id="rId19" Type="http://schemas.openxmlformats.org/officeDocument/2006/relationships/hyperlink" Target="https://data.bls.gov/oes/"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yperlink" Target="http://www.cdc.gov/nhsn"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ujb1@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PFY6PPX2AYTS-421255892-27</_dlc_DocId>
    <_dlc_DocIdUrl xmlns="81daf041-c113-401c-bf82-107f5d396711">
      <Url>https://esp.cdc.gov/sites/ncezid/OD/policy/PRA/_layouts/15/DocIdRedir.aspx?ID=PFY6PPX2AYTS-421255892-27</Url>
      <Description>PFY6PPX2AYTS-421255892-27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customXml/itemProps2.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5.xml><?xml version="1.0" encoding="utf-8"?>
<ds:datastoreItem xmlns:ds="http://schemas.openxmlformats.org/officeDocument/2006/customXml" ds:itemID="{647A4B34-4E41-4C0D-9BF6-BFA927D5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9245</Words>
  <Characters>52698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(CDC/OD/OS)</cp:lastModifiedBy>
  <cp:revision>3</cp:revision>
  <cp:lastPrinted>2023-04-10T19:18:00Z</cp:lastPrinted>
  <dcterms:created xsi:type="dcterms:W3CDTF">2024-12-19T13:18:00Z</dcterms:created>
  <dcterms:modified xsi:type="dcterms:W3CDTF">2024-12-19T13:26:00Z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GrammarlyDocumentId">
    <vt:lpwstr>634d1ebc8fb7f690347ba8114c0c2f8634946cebb10e971a44fa5f0989e06d4d</vt:lpwstr>
  </property>
  <property fmtid="{D5CDD505-2E9C-101B-9397-08002B2CF9AE}" pid="4" name="MSIP_Label_7b94a7b8-f06c-4dfe-bdcc-9b548fd58c31_ActionId">
    <vt:lpwstr>b333de2f-ddfa-4c39-ae5d-122677d75656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2022-12-06T18:42:47Z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