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C4D" w:rsidP="007323C8" w14:paraId="41DC02CD"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7323C8" w:rsidRPr="00047685" w:rsidP="007323C8" w14:paraId="306448B7"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A</w:t>
      </w:r>
      <w:r w:rsidRPr="00047685">
        <w:rPr>
          <w:b/>
          <w:bCs/>
        </w:rPr>
        <w:t>ssisted Reproductive Technology (ART) Program Reporting System</w:t>
      </w:r>
    </w:p>
    <w:p w:rsidR="007323C8" w:rsidRPr="00047685" w:rsidP="007323C8" w14:paraId="124670F2"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947B94" w:rsidP="007323C8" w14:paraId="7F09ED2F" w14:textId="77777777">
      <w:pPr>
        <w:widowControl/>
        <w:tabs>
          <w:tab w:val="left" w:pos="0"/>
          <w:tab w:val="center" w:pos="4680"/>
          <w:tab w:val="left" w:pos="5040"/>
          <w:tab w:val="left" w:pos="5760"/>
          <w:tab w:val="left" w:pos="6480"/>
          <w:tab w:val="left" w:pos="7200"/>
          <w:tab w:val="left" w:pos="7920"/>
          <w:tab w:val="left" w:pos="8640"/>
          <w:tab w:val="left" w:pos="9360"/>
        </w:tabs>
        <w:jc w:val="center"/>
        <w:rPr>
          <w:bCs/>
        </w:rPr>
      </w:pPr>
    </w:p>
    <w:p w:rsidR="007323C8" w:rsidRPr="00CD7EEB" w:rsidP="007323C8" w14:paraId="3367ACF0" w14:textId="1AD52C1C">
      <w:pPr>
        <w:widowControl/>
        <w:tabs>
          <w:tab w:val="left" w:pos="0"/>
          <w:tab w:val="center" w:pos="4680"/>
          <w:tab w:val="left" w:pos="5040"/>
          <w:tab w:val="left" w:pos="5760"/>
          <w:tab w:val="left" w:pos="6480"/>
          <w:tab w:val="left" w:pos="7200"/>
          <w:tab w:val="left" w:pos="7920"/>
          <w:tab w:val="left" w:pos="8640"/>
          <w:tab w:val="left" w:pos="9360"/>
        </w:tabs>
        <w:jc w:val="center"/>
        <w:rPr>
          <w:bCs/>
        </w:rPr>
      </w:pPr>
      <w:r w:rsidRPr="00CD7EEB">
        <w:rPr>
          <w:bCs/>
        </w:rPr>
        <w:t>OMB Control Number 0920-0556</w:t>
      </w:r>
    </w:p>
    <w:p w:rsidR="007323C8" w:rsidP="007323C8" w14:paraId="2B622F6E"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7323C8" w:rsidRPr="002B2FE7" w:rsidP="007323C8" w14:paraId="70C26A4C" w14:textId="18745B4C">
      <w:pPr>
        <w:widowControl/>
        <w:tabs>
          <w:tab w:val="left" w:pos="0"/>
          <w:tab w:val="center" w:pos="4680"/>
          <w:tab w:val="left" w:pos="5040"/>
          <w:tab w:val="left" w:pos="5760"/>
          <w:tab w:val="left" w:pos="6480"/>
          <w:tab w:val="left" w:pos="7200"/>
          <w:tab w:val="left" w:pos="7920"/>
          <w:tab w:val="left" w:pos="8640"/>
          <w:tab w:val="left" w:pos="9360"/>
        </w:tabs>
        <w:jc w:val="center"/>
        <w:rPr>
          <w:bCs/>
        </w:rPr>
      </w:pPr>
      <w:r>
        <w:rPr>
          <w:bCs/>
        </w:rPr>
        <w:t>Revision</w:t>
      </w:r>
      <w:r w:rsidRPr="002B2FE7">
        <w:rPr>
          <w:bCs/>
        </w:rPr>
        <w:t xml:space="preserve"> </w:t>
      </w:r>
      <w:r w:rsidRPr="002B2FE7">
        <w:rPr>
          <w:bCs/>
        </w:rPr>
        <w:t xml:space="preserve">Request </w:t>
      </w:r>
    </w:p>
    <w:p w:rsidR="007323C8" w:rsidRPr="00047685" w:rsidP="007323C8" w14:paraId="6D74CF8E"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7323C8" w:rsidRPr="00047685" w:rsidP="007323C8" w14:paraId="354B74CC"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Supporting Statement: </w:t>
      </w:r>
      <w:r w:rsidRPr="00047685">
        <w:rPr>
          <w:b/>
          <w:bCs/>
        </w:rPr>
        <w:t xml:space="preserve">Part </w:t>
      </w:r>
      <w:r>
        <w:rPr>
          <w:b/>
          <w:bCs/>
        </w:rPr>
        <w:t>B</w:t>
      </w:r>
    </w:p>
    <w:p w:rsidR="007323C8" w:rsidRPr="00047685" w:rsidP="007323C8" w14:paraId="2ACC737A"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P="00CB7F12" w14:paraId="0076E019"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P="00CB7F12" w14:paraId="6B7FCB36"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P="00CB7F12" w14:paraId="20A3D64C"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P="00CB7F12" w14:paraId="4860F468"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P="00CB7F12" w14:paraId="4A8D089B"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P="00CB7F12" w14:paraId="1F8FFF72"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2B2FE7" w:rsidP="002F1312" w14:paraId="724789C9" w14:textId="0C449587">
      <w:pPr>
        <w:widowControl/>
        <w:tabs>
          <w:tab w:val="left" w:pos="0"/>
          <w:tab w:val="center" w:pos="4680"/>
          <w:tab w:val="left" w:pos="5040"/>
          <w:tab w:val="left" w:pos="5760"/>
          <w:tab w:val="left" w:pos="6480"/>
          <w:tab w:val="left" w:pos="7200"/>
          <w:tab w:val="left" w:pos="7920"/>
          <w:tab w:val="left" w:pos="8640"/>
          <w:tab w:val="left" w:pos="9360"/>
        </w:tabs>
        <w:jc w:val="center"/>
        <w:rPr>
          <w:bCs/>
        </w:rPr>
      </w:pPr>
      <w:r>
        <w:rPr>
          <w:bCs/>
        </w:rPr>
        <w:t>November 4</w:t>
      </w:r>
      <w:r w:rsidRPr="00E2524E" w:rsidR="002D03B9">
        <w:rPr>
          <w:bCs/>
        </w:rPr>
        <w:t>, 20</w:t>
      </w:r>
      <w:r w:rsidRPr="00E2524E" w:rsidR="00C957E2">
        <w:rPr>
          <w:bCs/>
        </w:rPr>
        <w:t>2</w:t>
      </w:r>
      <w:r w:rsidRPr="00E2524E" w:rsidR="000366BD">
        <w:rPr>
          <w:bCs/>
        </w:rPr>
        <w:t>4</w:t>
      </w:r>
    </w:p>
    <w:p w:rsidR="005971CD" w:rsidRPr="00047685" w:rsidP="00CB7F12" w14:paraId="3D7DC7E6"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P="00CB7F12" w14:paraId="1D6AA157"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P="00CB7F12" w14:paraId="1EBC57D5"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P="00CB7F12" w14:paraId="3A8235F6"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P="00CB7F12" w14:paraId="305CDEF5"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P="00CB7F12" w14:paraId="75E22681" w14:textId="004015F3">
      <w:pPr>
        <w:widowControl/>
        <w:tabs>
          <w:tab w:val="left" w:pos="0"/>
          <w:tab w:val="center" w:pos="4680"/>
          <w:tab w:val="left" w:pos="5040"/>
          <w:tab w:val="left" w:pos="5760"/>
          <w:tab w:val="left" w:pos="6480"/>
          <w:tab w:val="left" w:pos="7200"/>
          <w:tab w:val="left" w:pos="7920"/>
          <w:tab w:val="left" w:pos="8640"/>
          <w:tab w:val="left" w:pos="9360"/>
        </w:tabs>
        <w:rPr>
          <w:b/>
          <w:bCs/>
        </w:rPr>
      </w:pPr>
    </w:p>
    <w:p w:rsidR="00BA4E91" w:rsidP="00CB7F12" w14:paraId="3596CD71" w14:textId="58FECC92">
      <w:pPr>
        <w:widowControl/>
        <w:tabs>
          <w:tab w:val="left" w:pos="0"/>
          <w:tab w:val="center" w:pos="4680"/>
          <w:tab w:val="left" w:pos="5040"/>
          <w:tab w:val="left" w:pos="5760"/>
          <w:tab w:val="left" w:pos="6480"/>
          <w:tab w:val="left" w:pos="7200"/>
          <w:tab w:val="left" w:pos="7920"/>
          <w:tab w:val="left" w:pos="8640"/>
          <w:tab w:val="left" w:pos="9360"/>
        </w:tabs>
        <w:rPr>
          <w:b/>
          <w:bCs/>
        </w:rPr>
      </w:pPr>
    </w:p>
    <w:p w:rsidR="00BA4E91" w:rsidP="00CB7F12" w14:paraId="41FAE4BE" w14:textId="730E0B44">
      <w:pPr>
        <w:widowControl/>
        <w:tabs>
          <w:tab w:val="left" w:pos="0"/>
          <w:tab w:val="center" w:pos="4680"/>
          <w:tab w:val="left" w:pos="5040"/>
          <w:tab w:val="left" w:pos="5760"/>
          <w:tab w:val="left" w:pos="6480"/>
          <w:tab w:val="left" w:pos="7200"/>
          <w:tab w:val="left" w:pos="7920"/>
          <w:tab w:val="left" w:pos="8640"/>
          <w:tab w:val="left" w:pos="9360"/>
        </w:tabs>
        <w:rPr>
          <w:b/>
          <w:bCs/>
        </w:rPr>
      </w:pPr>
    </w:p>
    <w:p w:rsidR="00E45F6C" w:rsidP="002B2FE7" w14:paraId="314E2F11" w14:textId="0AFA8797">
      <w:pPr>
        <w:widowControl/>
        <w:tabs>
          <w:tab w:val="left" w:pos="0"/>
          <w:tab w:val="center" w:pos="4680"/>
          <w:tab w:val="left" w:pos="5040"/>
          <w:tab w:val="left" w:pos="5760"/>
          <w:tab w:val="left" w:pos="6480"/>
          <w:tab w:val="left" w:pos="7200"/>
          <w:tab w:val="left" w:pos="7920"/>
          <w:tab w:val="left" w:pos="8640"/>
          <w:tab w:val="left" w:pos="9360"/>
        </w:tabs>
        <w:rPr>
          <w:b/>
          <w:bCs/>
        </w:rPr>
      </w:pPr>
      <w:r>
        <w:rPr>
          <w:b/>
          <w:bCs/>
        </w:rPr>
        <w:t>Contact:</w:t>
      </w:r>
    </w:p>
    <w:p w:rsidR="00E71A19" w:rsidP="00E71A19" w14:paraId="003EBD06" w14:textId="77777777">
      <w:pPr>
        <w:rPr>
          <w:sz w:val="22"/>
          <w:szCs w:val="22"/>
        </w:rPr>
      </w:pPr>
      <w:r>
        <w:t>Dmitry Kissin, MD, MPH</w:t>
      </w:r>
    </w:p>
    <w:p w:rsidR="00E71A19" w:rsidP="00E71A19" w14:paraId="01E63792" w14:textId="77777777">
      <w:r>
        <w:t>Telephone: 770-488-6408</w:t>
      </w:r>
    </w:p>
    <w:p w:rsidR="00E71A19" w:rsidP="00E71A19" w14:paraId="77EE8BD7" w14:textId="41CE4679">
      <w:r>
        <w:t xml:space="preserve">Email: </w:t>
      </w:r>
      <w:hyperlink r:id="rId4" w:history="1">
        <w:r w:rsidRPr="00F70C53" w:rsidR="005555EA">
          <w:rPr>
            <w:rStyle w:val="Hyperlink"/>
          </w:rPr>
          <w:t>dtk3@cdc.gov</w:t>
        </w:r>
      </w:hyperlink>
    </w:p>
    <w:p w:rsidR="005971CD" w:rsidRPr="002B2FE7" w:rsidP="002B2FE7" w14:paraId="4D5291DF" w14:textId="77777777">
      <w:pPr>
        <w:widowControl/>
        <w:tabs>
          <w:tab w:val="left" w:pos="0"/>
          <w:tab w:val="center" w:pos="4680"/>
          <w:tab w:val="left" w:pos="5040"/>
          <w:tab w:val="left" w:pos="5760"/>
          <w:tab w:val="left" w:pos="6480"/>
          <w:tab w:val="left" w:pos="7200"/>
          <w:tab w:val="left" w:pos="7920"/>
          <w:tab w:val="left" w:pos="8640"/>
          <w:tab w:val="left" w:pos="9360"/>
        </w:tabs>
        <w:rPr>
          <w:bCs/>
        </w:rPr>
      </w:pPr>
      <w:r w:rsidRPr="002B2FE7">
        <w:rPr>
          <w:bCs/>
        </w:rPr>
        <w:t>Division of Reproductive Health</w:t>
      </w:r>
    </w:p>
    <w:p w:rsidR="005971CD" w:rsidRPr="002B2FE7" w:rsidP="002B2FE7" w14:paraId="73B2EB41" w14:textId="77777777">
      <w:pPr>
        <w:widowControl/>
        <w:tabs>
          <w:tab w:val="left" w:pos="0"/>
          <w:tab w:val="center" w:pos="4680"/>
          <w:tab w:val="left" w:pos="5040"/>
          <w:tab w:val="left" w:pos="5760"/>
          <w:tab w:val="left" w:pos="6480"/>
          <w:tab w:val="left" w:pos="7200"/>
          <w:tab w:val="left" w:pos="7920"/>
          <w:tab w:val="left" w:pos="8640"/>
          <w:tab w:val="left" w:pos="9360"/>
        </w:tabs>
        <w:rPr>
          <w:bCs/>
        </w:rPr>
      </w:pPr>
      <w:r w:rsidRPr="002B2FE7">
        <w:rPr>
          <w:bCs/>
        </w:rPr>
        <w:t>National Center for Chronic Disease Prevention and Health Promotion</w:t>
      </w:r>
    </w:p>
    <w:p w:rsidR="005971CD" w:rsidRPr="002B2FE7" w:rsidP="002B2FE7" w14:paraId="31F81540" w14:textId="77777777">
      <w:pPr>
        <w:widowControl/>
        <w:tabs>
          <w:tab w:val="left" w:pos="0"/>
          <w:tab w:val="center" w:pos="4680"/>
          <w:tab w:val="left" w:pos="5040"/>
          <w:tab w:val="left" w:pos="5760"/>
          <w:tab w:val="left" w:pos="6480"/>
          <w:tab w:val="left" w:pos="7200"/>
          <w:tab w:val="left" w:pos="7920"/>
          <w:tab w:val="left" w:pos="8640"/>
          <w:tab w:val="left" w:pos="9360"/>
        </w:tabs>
        <w:rPr>
          <w:bCs/>
        </w:rPr>
      </w:pPr>
      <w:r w:rsidRPr="002B2FE7">
        <w:rPr>
          <w:bCs/>
        </w:rPr>
        <w:t>Centers for Disease Control and Prevention</w:t>
      </w:r>
    </w:p>
    <w:p w:rsidR="005971CD" w:rsidRPr="002B2FE7" w:rsidP="002B2FE7" w14:paraId="1553FCD0" w14:textId="77777777">
      <w:pPr>
        <w:widowControl/>
        <w:tabs>
          <w:tab w:val="left" w:pos="0"/>
          <w:tab w:val="center" w:pos="4680"/>
          <w:tab w:val="left" w:pos="5040"/>
          <w:tab w:val="left" w:pos="5760"/>
          <w:tab w:val="left" w:pos="6480"/>
          <w:tab w:val="left" w:pos="7200"/>
          <w:tab w:val="left" w:pos="7920"/>
          <w:tab w:val="left" w:pos="8640"/>
          <w:tab w:val="left" w:pos="9360"/>
        </w:tabs>
        <w:rPr>
          <w:bCs/>
        </w:rPr>
      </w:pPr>
      <w:r w:rsidRPr="002B2FE7">
        <w:rPr>
          <w:bCs/>
        </w:rPr>
        <w:t>Atlanta, Georgia 30341</w:t>
      </w:r>
    </w:p>
    <w:p w:rsidR="005971CD" w:rsidRPr="002B2FE7" w:rsidP="00CB7F12" w14:paraId="521672C1" w14:textId="77777777">
      <w:pPr>
        <w:widowControl/>
        <w:tabs>
          <w:tab w:val="left" w:pos="0"/>
          <w:tab w:val="center" w:pos="4680"/>
          <w:tab w:val="left" w:pos="5040"/>
          <w:tab w:val="left" w:pos="5760"/>
          <w:tab w:val="left" w:pos="6480"/>
          <w:tab w:val="left" w:pos="7200"/>
          <w:tab w:val="left" w:pos="7920"/>
          <w:tab w:val="left" w:pos="8640"/>
          <w:tab w:val="left" w:pos="9360"/>
        </w:tabs>
        <w:rPr>
          <w:bCs/>
        </w:rPr>
      </w:pPr>
    </w:p>
    <w:p w:rsidR="005971CD" w:rsidP="00CB7F12" w14:paraId="423D42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rsidR="005971CD" w:rsidP="00CB7F12" w14:paraId="433F94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971CD" w:rsidP="00CB7F12" w14:paraId="792F67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of Contents</w:t>
      </w:r>
    </w:p>
    <w:p w:rsidR="005971CD" w:rsidP="00CB7F12" w14:paraId="2AA95E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913"/>
      </w:tblGrid>
      <w:tr w14:paraId="2FAA7217" w14:textId="77777777" w:rsidTr="00AA1F38">
        <w:tblPrEx>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555"/>
        </w:trPr>
        <w:tc>
          <w:tcPr>
            <w:tcW w:w="9913" w:type="dxa"/>
          </w:tcPr>
          <w:p w:rsidR="005971CD" w:rsidRPr="00047685" w:rsidP="00CB7F12" w14:paraId="3EA950C7" w14:textId="77777777">
            <w:pPr>
              <w:widowControl/>
              <w:tabs>
                <w:tab w:val="left" w:pos="0"/>
                <w:tab w:val="center" w:pos="4680"/>
                <w:tab w:val="left" w:pos="5040"/>
                <w:tab w:val="left" w:pos="5760"/>
                <w:tab w:val="left" w:pos="6480"/>
                <w:tab w:val="left" w:pos="7200"/>
                <w:tab w:val="left" w:pos="7920"/>
                <w:tab w:val="left" w:pos="8640"/>
                <w:tab w:val="left" w:pos="9360"/>
              </w:tabs>
              <w:rPr>
                <w:b/>
              </w:rPr>
            </w:pPr>
            <w:r w:rsidRPr="00047685">
              <w:rPr>
                <w:b/>
              </w:rPr>
              <w:t>B. Collections of Information Employing Statistical Methods</w:t>
            </w:r>
          </w:p>
          <w:p w:rsidR="005971CD" w:rsidRPr="00047685" w:rsidP="00CB7F12" w14:paraId="008CABE0" w14:textId="77777777">
            <w:pPr>
              <w:widowControl/>
              <w:tabs>
                <w:tab w:val="left" w:pos="0"/>
                <w:tab w:val="center" w:pos="4680"/>
                <w:tab w:val="left" w:pos="5040"/>
                <w:tab w:val="left" w:pos="5760"/>
                <w:tab w:val="left" w:pos="6480"/>
                <w:tab w:val="left" w:pos="7200"/>
                <w:tab w:val="left" w:pos="7920"/>
                <w:tab w:val="left" w:pos="8640"/>
                <w:tab w:val="left" w:pos="9360"/>
              </w:tabs>
              <w:rPr>
                <w:b/>
              </w:rPr>
            </w:pPr>
          </w:p>
        </w:tc>
      </w:tr>
      <w:tr w14:paraId="283D87C4" w14:textId="77777777" w:rsidTr="00AA1F38">
        <w:tblPrEx>
          <w:tblW w:w="9913" w:type="dxa"/>
          <w:tblLook w:val="01E0"/>
        </w:tblPrEx>
        <w:trPr>
          <w:trHeight w:val="270"/>
        </w:trPr>
        <w:tc>
          <w:tcPr>
            <w:tcW w:w="9913" w:type="dxa"/>
          </w:tcPr>
          <w:p w:rsidR="005971CD" w:rsidRPr="00047685" w:rsidP="00CB7F12" w14:paraId="38E79B4C"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Respondent Universe and Sampling Methods</w:t>
            </w:r>
          </w:p>
        </w:tc>
      </w:tr>
      <w:tr w14:paraId="7B764FEF" w14:textId="77777777" w:rsidTr="00AA1F38">
        <w:tblPrEx>
          <w:tblW w:w="9913" w:type="dxa"/>
          <w:tblLook w:val="01E0"/>
        </w:tblPrEx>
        <w:trPr>
          <w:trHeight w:val="285"/>
        </w:trPr>
        <w:tc>
          <w:tcPr>
            <w:tcW w:w="9913" w:type="dxa"/>
          </w:tcPr>
          <w:p w:rsidR="005971CD" w:rsidRPr="00047685" w:rsidP="00CB7F12" w14:paraId="5B8E4191"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Procedures for the Collection of Information</w:t>
            </w:r>
          </w:p>
        </w:tc>
      </w:tr>
      <w:tr w14:paraId="7157D11F" w14:textId="77777777" w:rsidTr="00AA1F38">
        <w:tblPrEx>
          <w:tblW w:w="9913" w:type="dxa"/>
          <w:tblLook w:val="01E0"/>
        </w:tblPrEx>
        <w:trPr>
          <w:trHeight w:val="270"/>
        </w:trPr>
        <w:tc>
          <w:tcPr>
            <w:tcW w:w="9913" w:type="dxa"/>
          </w:tcPr>
          <w:p w:rsidR="005971CD" w:rsidRPr="00047685" w:rsidP="00CB7F12" w14:paraId="04E5721F"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Methods to Maximize Response Rates and Deal with Non</w:t>
            </w:r>
            <w:r>
              <w:t>-</w:t>
            </w:r>
            <w:r w:rsidRPr="00047685">
              <w:t>response</w:t>
            </w:r>
          </w:p>
        </w:tc>
      </w:tr>
      <w:tr w14:paraId="4F54676D" w14:textId="77777777" w:rsidTr="00AA1F38">
        <w:tblPrEx>
          <w:tblW w:w="9913" w:type="dxa"/>
          <w:tblLook w:val="01E0"/>
        </w:tblPrEx>
        <w:trPr>
          <w:trHeight w:val="285"/>
        </w:trPr>
        <w:tc>
          <w:tcPr>
            <w:tcW w:w="9913" w:type="dxa"/>
          </w:tcPr>
          <w:p w:rsidR="005971CD" w:rsidRPr="00047685" w:rsidP="00CB7F12" w14:paraId="50FE8580"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Tests of Procedures or Methods to be Undertaken</w:t>
            </w:r>
          </w:p>
        </w:tc>
      </w:tr>
      <w:tr w14:paraId="3BA2B0A1" w14:textId="77777777" w:rsidTr="00AA1F38">
        <w:tblPrEx>
          <w:tblW w:w="9913" w:type="dxa"/>
          <w:tblLook w:val="01E0"/>
        </w:tblPrEx>
        <w:trPr>
          <w:trHeight w:val="270"/>
        </w:trPr>
        <w:tc>
          <w:tcPr>
            <w:tcW w:w="9913" w:type="dxa"/>
          </w:tcPr>
          <w:p w:rsidR="005971CD" w:rsidRPr="00047685" w:rsidP="00CB7F12" w14:paraId="741097F6"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left="360"/>
            </w:pPr>
            <w:r w:rsidRPr="00047685">
              <w:t>Individuals Consulted on Statistical Aspects and Individuals Collecting and/or Analyzing Data</w:t>
            </w:r>
          </w:p>
        </w:tc>
      </w:tr>
    </w:tbl>
    <w:p w:rsidR="00126939" w:rsidP="00CB7F12" w14:paraId="05F8BF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126939" w:rsidP="00CB7F12" w14:paraId="56742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126939" w:rsidP="00CB7F12" w14:paraId="1D9AA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126939" w14:paraId="0A231597" w14:textId="77777777">
      <w:pPr>
        <w:widowControl/>
        <w:autoSpaceDE/>
        <w:autoSpaceDN/>
        <w:adjustRightInd/>
        <w:rPr>
          <w:b/>
          <w:bCs/>
        </w:rPr>
      </w:pPr>
      <w:r>
        <w:rPr>
          <w:b/>
          <w:bCs/>
        </w:rPr>
        <w:br w:type="page"/>
      </w:r>
    </w:p>
    <w:p w:rsidR="00CE7DE2" w:rsidP="002B2FE7" w14:paraId="32631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List of Attachments</w:t>
      </w:r>
    </w:p>
    <w:p w:rsidR="00CE7DE2" w:rsidP="00CE7DE2" w14:paraId="34034F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CE7DE2" w:rsidP="00CE7DE2" w14:paraId="50F210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CE7DE2" w:rsidP="00CE7DE2" w14:paraId="7943412D" w14:textId="1CC8BC46">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sidRPr="005D3FF4">
        <w:rPr>
          <w:rFonts w:cs="Courier New"/>
          <w:b/>
          <w:bCs/>
        </w:rPr>
        <w:t>Attachments</w:t>
      </w:r>
    </w:p>
    <w:p w:rsidR="002B2FE7" w:rsidRPr="005D3FF4" w:rsidP="00CE7DE2" w14:paraId="5BEB7BA1" w14:textId="77777777">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p>
    <w:p w:rsidR="00CE7DE2" w:rsidP="00CE7DE2" w14:paraId="24284872"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 xml:space="preserve">Authorizing Legislation </w:t>
      </w:r>
    </w:p>
    <w:p w:rsidR="00CE7DE2" w:rsidP="00CE7DE2" w14:paraId="387002E0"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FCSRCA</w:t>
      </w:r>
    </w:p>
    <w:p w:rsidR="00CE7DE2" w:rsidRPr="000E4140" w:rsidP="00CE7DE2" w14:paraId="3C2B0D76"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Public Health Service Act</w:t>
      </w:r>
    </w:p>
    <w:p w:rsidR="00CE7DE2" w:rsidP="00CE7DE2" w14:paraId="5AB049A6"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Federal Register Notice</w:t>
      </w:r>
    </w:p>
    <w:p w:rsidR="00F4380C" w:rsidP="00F4380C" w14:paraId="5FCC5E0D" w14:textId="0958FC2A">
      <w:pPr>
        <w:pStyle w:val="ListParagraph"/>
        <w:numPr>
          <w:ilvl w:val="1"/>
          <w:numId w:val="2"/>
        </w:numPr>
        <w:rPr>
          <w:rFonts w:cs="Courier New"/>
          <w:bCs/>
        </w:rPr>
      </w:pPr>
      <w:r w:rsidRPr="00F4380C">
        <w:rPr>
          <w:rFonts w:cs="Courier New"/>
          <w:bCs/>
        </w:rPr>
        <w:t>60-Day Federal Register Notice</w:t>
      </w:r>
    </w:p>
    <w:p w:rsidR="004853DE" w:rsidRPr="00F4380C" w:rsidP="00F4380C" w14:paraId="7EA7B702" w14:textId="3B4B8251">
      <w:pPr>
        <w:pStyle w:val="ListParagraph"/>
        <w:numPr>
          <w:ilvl w:val="1"/>
          <w:numId w:val="2"/>
        </w:numPr>
        <w:rPr>
          <w:rFonts w:cs="Courier New"/>
          <w:bCs/>
        </w:rPr>
      </w:pPr>
      <w:r>
        <w:rPr>
          <w:rFonts w:cs="Courier New"/>
          <w:bCs/>
        </w:rPr>
        <w:t>Response to Public Comments</w:t>
      </w:r>
    </w:p>
    <w:p w:rsidR="00CE7DE2" w:rsidRPr="000E4140" w:rsidP="00CE7DE2" w14:paraId="62ED9D65"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National ART Surveillance System (NASS)</w:t>
      </w:r>
    </w:p>
    <w:p w:rsidR="00CE7DE2" w:rsidRPr="00345149" w:rsidP="00CE7DE2" w14:paraId="50BC21A1" w14:textId="7E3C8D06">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 xml:space="preserve">NASS </w:t>
      </w:r>
      <w:r w:rsidR="0066585A">
        <w:rPr>
          <w:rFonts w:cs="Courier New"/>
          <w:bCs/>
        </w:rPr>
        <w:t xml:space="preserve">Reporting </w:t>
      </w:r>
      <w:r w:rsidRPr="00345149">
        <w:rPr>
          <w:rFonts w:cs="Courier New"/>
          <w:bCs/>
        </w:rPr>
        <w:t xml:space="preserve">Screens </w:t>
      </w:r>
    </w:p>
    <w:p w:rsidR="00CE7DE2" w:rsidRPr="00345149" w:rsidP="00CE7DE2" w14:paraId="5C62F394" w14:textId="77777777">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 xml:space="preserve">NASS Annual Submission Instructions </w:t>
      </w:r>
      <w:r w:rsidRPr="00345149">
        <w:rPr>
          <w:rFonts w:cs="Courier New"/>
          <w:bCs/>
        </w:rPr>
        <w:tab/>
      </w:r>
    </w:p>
    <w:p w:rsidR="00CE7DE2" w:rsidRPr="00345149" w:rsidP="00CE7DE2" w14:paraId="5B2769A7" w14:textId="77777777">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NASS Users</w:t>
      </w:r>
      <w:r>
        <w:rPr>
          <w:rFonts w:cs="Courier New"/>
          <w:bCs/>
        </w:rPr>
        <w:t xml:space="preserve"> Guide</w:t>
      </w:r>
      <w:r w:rsidRPr="00345149">
        <w:rPr>
          <w:rFonts w:cs="Courier New"/>
          <w:bCs/>
        </w:rPr>
        <w:tab/>
      </w:r>
    </w:p>
    <w:p w:rsidR="00CE7DE2" w:rsidRPr="00345149" w:rsidP="00CE7DE2" w14:paraId="120D134C" w14:textId="77777777">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Feedback Form on ART Data Reporting</w:t>
      </w:r>
      <w:r>
        <w:rPr>
          <w:rFonts w:cs="Courier New"/>
          <w:bCs/>
        </w:rPr>
        <w:t xml:space="preserve"> </w:t>
      </w:r>
      <w:r w:rsidRPr="00345149">
        <w:rPr>
          <w:rFonts w:cs="Courier New"/>
          <w:bCs/>
        </w:rPr>
        <w:tab/>
      </w:r>
    </w:p>
    <w:p w:rsidR="00CE7DE2" w:rsidP="00CE7DE2" w14:paraId="1AAA061B"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Assisted Reproductive Technology Publications</w:t>
      </w:r>
    </w:p>
    <w:p w:rsidR="00CE7DE2" w:rsidP="00CE7DE2" w14:paraId="07B8F5D4"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w:t>
      </w:r>
    </w:p>
    <w:p w:rsidR="00CE7DE2" w:rsidP="00CE7DE2" w14:paraId="5DBB8C72"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Public Health Practice/Surveillance Determination</w:t>
      </w:r>
    </w:p>
    <w:p w:rsidR="00CE7DE2" w:rsidP="00CE7DE2" w14:paraId="7F07E7B9"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 Letter for Related Research</w:t>
      </w:r>
    </w:p>
    <w:p w:rsidR="00CE7DE2" w:rsidP="00CE7DE2" w14:paraId="6D519D24"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Privacy Act Determination</w:t>
      </w:r>
    </w:p>
    <w:p w:rsidR="00CE7DE2" w:rsidP="00CE7DE2" w14:paraId="6F064E82"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Assurance of Confidentiality Approval</w:t>
      </w:r>
    </w:p>
    <w:p w:rsidR="00CE7DE2" w:rsidP="00CE7DE2" w14:paraId="5FFEC8BC"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Non-Disclosure Agreement for CDC Employees</w:t>
      </w:r>
    </w:p>
    <w:p w:rsidR="00CE7DE2" w:rsidP="00CE7DE2" w14:paraId="4C67C9B6"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Non-Disclosure Agreement for </w:t>
      </w:r>
      <w:r w:rsidRPr="000E4140">
        <w:rPr>
          <w:rFonts w:cs="Courier New"/>
          <w:bCs/>
        </w:rPr>
        <w:t>Contractors</w:t>
      </w:r>
    </w:p>
    <w:p w:rsidR="00CE7DE2" w:rsidRPr="000E4140" w:rsidP="00CE7DE2" w14:paraId="44B216CB"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ART Validation Description</w:t>
      </w:r>
    </w:p>
    <w:p w:rsidR="00346141" w:rsidP="007A65BA" w14:paraId="6B5ED87E" w14:textId="36936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r w:rsidRPr="00330C1D">
        <w:rPr>
          <w:b/>
          <w:bCs/>
        </w:rPr>
        <w:t>B.  Collections of Information Employing Statistical Methods</w:t>
      </w:r>
    </w:p>
    <w:p w:rsidR="00CB7F12" w:rsidP="00CB7F12" w14:paraId="30A44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46141" w:rsidP="00CB7F12" w14:paraId="29901ADA" w14:textId="03228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0C1D">
        <w:rPr>
          <w:b/>
          <w:bCs/>
        </w:rPr>
        <w:t>1. Respondent Universe and Sampling Methods</w:t>
      </w:r>
    </w:p>
    <w:p w:rsidR="00CB7F12" w:rsidRPr="00330C1D" w:rsidP="00CB7F12" w14:paraId="1862DE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782D" w:rsidP="00C10BA1" w14:paraId="24112F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00112549">
        <w:t>he collection of</w:t>
      </w:r>
      <w:r w:rsidR="00535D8D">
        <w:t xml:space="preserve"> information from all</w:t>
      </w:r>
      <w:r w:rsidR="00112549">
        <w:t xml:space="preserve"> clinics</w:t>
      </w:r>
      <w:r w:rsidR="00535D8D">
        <w:t xml:space="preserve"> that provide </w:t>
      </w:r>
      <w:r w:rsidR="002722B3">
        <w:t>assisted reproductive technology (</w:t>
      </w:r>
      <w:r w:rsidR="00535D8D">
        <w:t>ART</w:t>
      </w:r>
      <w:r w:rsidR="002722B3">
        <w:t>)</w:t>
      </w:r>
      <w:r w:rsidR="00535D8D">
        <w:t xml:space="preserve"> services within the U.S. and its territories</w:t>
      </w:r>
      <w:r>
        <w:t xml:space="preserve"> is required by the 1992 </w:t>
      </w:r>
      <w:r>
        <w:rPr>
          <w:rFonts w:cs="Courier New"/>
          <w:bCs/>
        </w:rPr>
        <w:t>Fertility Clinic Success Rate and Certification Act (FCSRCA</w:t>
      </w:r>
      <w:r>
        <w:t>)</w:t>
      </w:r>
      <w:r w:rsidRPr="0094669E" w:rsidR="00112549">
        <w:t>.</w:t>
      </w:r>
      <w:r w:rsidR="00112549">
        <w:t xml:space="preserve"> </w:t>
      </w:r>
      <w:r>
        <w:t xml:space="preserve"> </w:t>
      </w:r>
      <w:r w:rsidR="002722B3">
        <w:t xml:space="preserve">A </w:t>
      </w:r>
      <w:r>
        <w:t xml:space="preserve">data collection contractor </w:t>
      </w:r>
      <w:r w:rsidRPr="00330C1D">
        <w:t xml:space="preserve">maintains an index of ART clinics known to be in operation </w:t>
      </w:r>
      <w:r>
        <w:t>each year</w:t>
      </w:r>
      <w:r w:rsidRPr="00330C1D">
        <w:t xml:space="preserve"> and track</w:t>
      </w:r>
      <w:r>
        <w:t>s</w:t>
      </w:r>
      <w:r w:rsidRPr="00330C1D">
        <w:t xml:space="preserve"> clinic reorganizations and closings.  It is the responsibility of the </w:t>
      </w:r>
      <w:r w:rsidR="002722B3">
        <w:t xml:space="preserve">clinic’s </w:t>
      </w:r>
      <w:r w:rsidRPr="00330C1D">
        <w:t xml:space="preserve">practice director to notify </w:t>
      </w:r>
      <w:r>
        <w:t xml:space="preserve">the contractor </w:t>
      </w:r>
      <w:r w:rsidRPr="00330C1D">
        <w:t>of the clinic</w:t>
      </w:r>
      <w:r>
        <w:t>’</w:t>
      </w:r>
      <w:r w:rsidRPr="00330C1D">
        <w:t xml:space="preserve">s existence and any changes in address, location, or key staff. </w:t>
      </w:r>
      <w:r>
        <w:t xml:space="preserve"> The contractor </w:t>
      </w:r>
      <w:r w:rsidRPr="00330C1D">
        <w:t>also follows</w:t>
      </w:r>
      <w:r>
        <w:t xml:space="preserve"> </w:t>
      </w:r>
      <w:r w:rsidRPr="00330C1D">
        <w:t xml:space="preserve">up reports of ART physicians or clinics </w:t>
      </w:r>
      <w:r w:rsidR="0037629C">
        <w:t xml:space="preserve">that are </w:t>
      </w:r>
      <w:r w:rsidRPr="00330C1D">
        <w:t xml:space="preserve">not on its list. </w:t>
      </w:r>
      <w:r>
        <w:t xml:space="preserve"> </w:t>
      </w:r>
      <w:r w:rsidRPr="00330C1D">
        <w:t xml:space="preserve">These reports generally originate from consumers looking for a particular clinic in the annual ART report.  </w:t>
      </w:r>
      <w:r>
        <w:t xml:space="preserve">Frequently, </w:t>
      </w:r>
      <w:r w:rsidRPr="00330C1D">
        <w:t>follow-up reveals that the c</w:t>
      </w:r>
      <w:r w:rsidR="00962630">
        <w:t xml:space="preserve">linic </w:t>
      </w:r>
      <w:r w:rsidR="002722B3">
        <w:t>o</w:t>
      </w:r>
      <w:r w:rsidR="00962630">
        <w:t>pened</w:t>
      </w:r>
      <w:r w:rsidR="002722B3">
        <w:t xml:space="preserve"> during the reporting year</w:t>
      </w:r>
      <w:r w:rsidR="00962630">
        <w:t xml:space="preserve">, </w:t>
      </w:r>
      <w:r w:rsidRPr="00330C1D">
        <w:t>and thus was not eligible for inclu</w:t>
      </w:r>
      <w:r w:rsidR="00962630">
        <w:t>sion in the previous ART report</w:t>
      </w:r>
      <w:r w:rsidRPr="00330C1D">
        <w:t>.</w:t>
      </w:r>
    </w:p>
    <w:p w:rsidR="00AC782D" w:rsidP="00C10BA1" w14:paraId="425661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2549" w:rsidP="00AC782D" w14:paraId="06D585B1" w14:textId="3B59E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20</w:t>
      </w:r>
      <w:r w:rsidR="008F6C58">
        <w:t>2</w:t>
      </w:r>
      <w:r w:rsidR="005C4509">
        <w:t>1</w:t>
      </w:r>
      <w:r>
        <w:t xml:space="preserve">, </w:t>
      </w:r>
      <w:r w:rsidR="008F6C58">
        <w:t xml:space="preserve">501 </w:t>
      </w:r>
      <w:r w:rsidRPr="00330C1D" w:rsidR="00346141">
        <w:t>clinics</w:t>
      </w:r>
      <w:r w:rsidR="00C65FDE">
        <w:t xml:space="preserve"> provided A</w:t>
      </w:r>
      <w:r w:rsidR="001241EA">
        <w:t>RT services and were subject to FCSRCA</w:t>
      </w:r>
      <w:r w:rsidR="00C65FDE">
        <w:t xml:space="preserve"> reporting requir</w:t>
      </w:r>
      <w:r w:rsidR="001241EA">
        <w:t>ements</w:t>
      </w:r>
      <w:r w:rsidR="00C65FDE">
        <w:t xml:space="preserve">. </w:t>
      </w:r>
      <w:r w:rsidRPr="00330C1D" w:rsidR="00346141">
        <w:t xml:space="preserve"> </w:t>
      </w:r>
      <w:r w:rsidR="00C65FDE">
        <w:t xml:space="preserve">Four hundred </w:t>
      </w:r>
      <w:r w:rsidR="008F6C58">
        <w:t>fif</w:t>
      </w:r>
      <w:r w:rsidR="00433D5E">
        <w:t>t</w:t>
      </w:r>
      <w:r w:rsidR="00832625">
        <w:t>y-</w:t>
      </w:r>
      <w:r w:rsidR="008F6C58">
        <w:t>three</w:t>
      </w:r>
      <w:r w:rsidR="00C65FDE">
        <w:t xml:space="preserve"> (</w:t>
      </w:r>
      <w:r w:rsidRPr="00AA1F38" w:rsidR="00346141">
        <w:t>4</w:t>
      </w:r>
      <w:r w:rsidR="00C957E2">
        <w:t>5</w:t>
      </w:r>
      <w:r w:rsidR="008F6C58">
        <w:t>3</w:t>
      </w:r>
      <w:r w:rsidR="00C65FDE">
        <w:t>)</w:t>
      </w:r>
      <w:r w:rsidRPr="00AA1F38" w:rsidR="00346141">
        <w:t xml:space="preserve"> clinics</w:t>
      </w:r>
      <w:r w:rsidRPr="00330C1D" w:rsidR="00346141">
        <w:t xml:space="preserve"> </w:t>
      </w:r>
      <w:r w:rsidR="00C65FDE">
        <w:t>submitted the required</w:t>
      </w:r>
      <w:r w:rsidRPr="00330C1D" w:rsidR="00346141">
        <w:t xml:space="preserve"> information</w:t>
      </w:r>
      <w:r>
        <w:t xml:space="preserve"> to CDC through</w:t>
      </w:r>
      <w:r w:rsidR="007D2E97">
        <w:t xml:space="preserve"> the </w:t>
      </w:r>
      <w:r w:rsidR="002722B3">
        <w:t>National ART Surveillance System (</w:t>
      </w:r>
      <w:r w:rsidR="007D2E97">
        <w:t>NASS</w:t>
      </w:r>
      <w:r w:rsidR="002722B3">
        <w:t>)</w:t>
      </w:r>
      <w:r w:rsidR="007D2E97">
        <w:t>.</w:t>
      </w:r>
      <w:r w:rsidRPr="00330C1D" w:rsidR="00346141">
        <w:t xml:space="preserve"> </w:t>
      </w:r>
      <w:r w:rsidR="00890E38">
        <w:t xml:space="preserve"> </w:t>
      </w:r>
      <w:r w:rsidR="00AF3288">
        <w:t>Forty-</w:t>
      </w:r>
      <w:r w:rsidR="00433D5E">
        <w:t xml:space="preserve">eight </w:t>
      </w:r>
      <w:r w:rsidR="00883804">
        <w:t>clinics (</w:t>
      </w:r>
      <w:r w:rsidR="00AF3288">
        <w:t>9</w:t>
      </w:r>
      <w:r w:rsidR="005C4509">
        <w:t>.</w:t>
      </w:r>
      <w:r w:rsidR="00433D5E">
        <w:t>6</w:t>
      </w:r>
      <w:r w:rsidRPr="00874217" w:rsidR="00346141">
        <w:t>%) did not report data</w:t>
      </w:r>
      <w:r w:rsidRPr="00330C1D" w:rsidR="00346141">
        <w:t>, despite the federal mandate</w:t>
      </w:r>
      <w:r>
        <w:t>,</w:t>
      </w:r>
      <w:r w:rsidRPr="00330C1D" w:rsidR="00346141">
        <w:t xml:space="preserve"> and were listed in </w:t>
      </w:r>
      <w:r w:rsidR="007D2E97">
        <w:t>CDC’s</w:t>
      </w:r>
      <w:r w:rsidRPr="00330C1D" w:rsidR="00346141">
        <w:t xml:space="preserve"> </w:t>
      </w:r>
      <w:r>
        <w:t xml:space="preserve">required </w:t>
      </w:r>
      <w:r w:rsidRPr="00330C1D" w:rsidR="00346141">
        <w:t xml:space="preserve">report </w:t>
      </w:r>
      <w:r w:rsidR="0037629C">
        <w:t xml:space="preserve">to Congress </w:t>
      </w:r>
      <w:r w:rsidRPr="00330C1D" w:rsidR="00346141">
        <w:t xml:space="preserve">as non-reporters </w:t>
      </w:r>
      <w:r>
        <w:t>(</w:t>
      </w:r>
      <w:r w:rsidRPr="00330C1D" w:rsidR="00346141">
        <w:t>the only consequence allowed under the law</w:t>
      </w:r>
      <w:r>
        <w:t>)</w:t>
      </w:r>
      <w:r w:rsidRPr="00330C1D" w:rsidR="00346141">
        <w:t>.</w:t>
      </w:r>
      <w:r w:rsidR="00AC782D">
        <w:t xml:space="preserve"> </w:t>
      </w:r>
      <w:r w:rsidR="00890E38">
        <w:t xml:space="preserve"> </w:t>
      </w:r>
      <w:r w:rsidR="00573290">
        <w:t xml:space="preserve">Based on </w:t>
      </w:r>
      <w:r w:rsidR="002722B3">
        <w:t xml:space="preserve">the </w:t>
      </w:r>
      <w:r w:rsidR="00B03CA5">
        <w:t>response rate</w:t>
      </w:r>
      <w:r w:rsidR="002722B3">
        <w:t>s</w:t>
      </w:r>
      <w:r w:rsidR="00B03CA5">
        <w:t xml:space="preserve"> during </w:t>
      </w:r>
      <w:r w:rsidR="00573290">
        <w:t>previous years of</w:t>
      </w:r>
      <w:r>
        <w:t xml:space="preserve"> </w:t>
      </w:r>
      <w:r w:rsidR="00B03CA5">
        <w:t>data collection</w:t>
      </w:r>
      <w:r>
        <w:t xml:space="preserve">, we have estimated </w:t>
      </w:r>
      <w:r w:rsidR="00B03CA5">
        <w:t>that 4</w:t>
      </w:r>
      <w:r w:rsidR="00AF3288">
        <w:t>5</w:t>
      </w:r>
      <w:r w:rsidR="00433D5E">
        <w:t>3</w:t>
      </w:r>
      <w:r w:rsidR="00B03CA5">
        <w:t xml:space="preserve"> clinics will serve as respondents </w:t>
      </w:r>
      <w:r>
        <w:t>f</w:t>
      </w:r>
      <w:r w:rsidR="00346141">
        <w:t xml:space="preserve">or the purpose of this </w:t>
      </w:r>
      <w:r w:rsidR="00DE6FFB">
        <w:t xml:space="preserve">OMB </w:t>
      </w:r>
      <w:r w:rsidR="00346141">
        <w:t>Information Collection Request</w:t>
      </w:r>
      <w:r w:rsidR="00DE6FFB">
        <w:t>.</w:t>
      </w:r>
      <w:r w:rsidRPr="0094669E" w:rsidR="00346141">
        <w:t xml:space="preserve"> </w:t>
      </w:r>
    </w:p>
    <w:p w:rsidR="00112549" w:rsidP="00112549" w14:paraId="48768E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42B5" w:rsidP="009436FE" w14:paraId="07495F5F" w14:textId="6EACA79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Friz Quadrata Std"/>
          <w:color w:val="000000"/>
          <w:sz w:val="23"/>
          <w:szCs w:val="23"/>
        </w:rPr>
      </w:pPr>
      <w:r>
        <w:t>Although sampling methods are not used to select respondents</w:t>
      </w:r>
      <w:r w:rsidR="001241EA">
        <w:t xml:space="preserve"> for the primary data collection, sampling methods are used to identify a </w:t>
      </w:r>
      <w:r w:rsidR="00832625">
        <w:t>limited number of respondents (5</w:t>
      </w:r>
      <w:r w:rsidR="001241EA">
        <w:t>-10% of clinics) for data validation.</w:t>
      </w:r>
      <w:r w:rsidR="008D7F4C">
        <w:t xml:space="preserve"> </w:t>
      </w:r>
      <w:r w:rsidR="00890E38">
        <w:t xml:space="preserve"> </w:t>
      </w:r>
      <w:r w:rsidRPr="00330C1D" w:rsidR="008D7F4C">
        <w:t xml:space="preserve">Once all the data </w:t>
      </w:r>
      <w:r w:rsidR="00351E74">
        <w:t xml:space="preserve">is </w:t>
      </w:r>
      <w:r w:rsidRPr="00330C1D" w:rsidR="00351E74">
        <w:t>reported</w:t>
      </w:r>
      <w:r w:rsidRPr="00330C1D" w:rsidR="008D7F4C">
        <w:t xml:space="preserve"> and </w:t>
      </w:r>
      <w:r w:rsidR="00351E74">
        <w:t>quality control measures implemented</w:t>
      </w:r>
      <w:r w:rsidR="008D7F4C">
        <w:t>,</w:t>
      </w:r>
      <w:r w:rsidRPr="00330C1D" w:rsidR="008D7F4C">
        <w:t xml:space="preserve"> a </w:t>
      </w:r>
      <w:r w:rsidR="00351E74">
        <w:t xml:space="preserve">random </w:t>
      </w:r>
      <w:r w:rsidRPr="00330C1D" w:rsidR="008D7F4C">
        <w:t>sample of reporti</w:t>
      </w:r>
      <w:r w:rsidR="00EA5AB2">
        <w:t xml:space="preserve">ng clinics are chosen for data </w:t>
      </w:r>
      <w:r w:rsidRPr="00330C1D" w:rsidR="008D7F4C">
        <w:t xml:space="preserve">validation site visits. </w:t>
      </w:r>
      <w:r w:rsidR="00890E38">
        <w:t xml:space="preserve"> </w:t>
      </w:r>
      <w:r w:rsidR="0004677C">
        <w:t xml:space="preserve">In consultation with </w:t>
      </w:r>
      <w:r w:rsidR="008D7F4C">
        <w:t>the contractor</w:t>
      </w:r>
      <w:r w:rsidR="0004677C">
        <w:t>, CDC</w:t>
      </w:r>
      <w:r w:rsidRPr="00330C1D" w:rsidR="008D7F4C">
        <w:t xml:space="preserve"> decide</w:t>
      </w:r>
      <w:r w:rsidR="0004677C">
        <w:t>s</w:t>
      </w:r>
      <w:r w:rsidRPr="00330C1D" w:rsidR="008D7F4C">
        <w:t xml:space="preserve"> upon the criteria for clinic selection each year in a</w:t>
      </w:r>
      <w:r w:rsidR="008D7F4C">
        <w:t>dvance of data collection (thus</w:t>
      </w:r>
      <w:r w:rsidRPr="00330C1D" w:rsidR="008D7F4C">
        <w:t xml:space="preserve"> ensuring that the criteria are not influenced by review of any clinic’s data). </w:t>
      </w:r>
      <w:r w:rsidR="009820B6">
        <w:t xml:space="preserve"> </w:t>
      </w:r>
      <w:r w:rsidRPr="00330C1D" w:rsidR="008D7F4C">
        <w:t xml:space="preserve">In general, most of the clinics are chosen using a simple random sampling scheme with weighting to reduce the likelihood that a clinic previously validated will be chosen again. </w:t>
      </w:r>
      <w:r w:rsidR="00890E38">
        <w:t xml:space="preserve"> </w:t>
      </w:r>
      <w:r w:rsidRPr="00330C1D" w:rsidR="00035157">
        <w:t xml:space="preserve">For each </w:t>
      </w:r>
      <w:r w:rsidR="00F5298B">
        <w:t xml:space="preserve">of 35 clinics </w:t>
      </w:r>
      <w:r w:rsidRPr="00330C1D" w:rsidR="00035157">
        <w:t>selected</w:t>
      </w:r>
      <w:r w:rsidR="00035157">
        <w:t xml:space="preserve"> for data validation</w:t>
      </w:r>
      <w:r w:rsidR="00351E74">
        <w:t xml:space="preserve"> in 20</w:t>
      </w:r>
      <w:r w:rsidR="00433D5E">
        <w:t>2</w:t>
      </w:r>
      <w:r w:rsidR="00B12620">
        <w:t>1</w:t>
      </w:r>
      <w:r w:rsidRPr="00330C1D" w:rsidR="00035157">
        <w:t xml:space="preserve">, </w:t>
      </w:r>
      <w:r w:rsidR="00FB74BB">
        <w:rPr>
          <w:rFonts w:cs="Friz Quadrata Std"/>
          <w:color w:val="000000"/>
          <w:sz w:val="23"/>
          <w:szCs w:val="23"/>
        </w:rPr>
        <w:t xml:space="preserve">the validated sample included up to </w:t>
      </w:r>
      <w:r>
        <w:rPr>
          <w:rFonts w:cs="Friz Quadrata Std"/>
          <w:color w:val="000000"/>
          <w:sz w:val="23"/>
          <w:szCs w:val="23"/>
        </w:rPr>
        <w:t>60</w:t>
      </w:r>
      <w:r w:rsidR="00FB74BB">
        <w:rPr>
          <w:rFonts w:cs="Friz Quadrata Std"/>
          <w:color w:val="000000"/>
          <w:sz w:val="23"/>
          <w:szCs w:val="23"/>
        </w:rPr>
        <w:t xml:space="preserve"> ART cycles </w:t>
      </w:r>
      <w:r w:rsidR="00A87E61">
        <w:rPr>
          <w:rFonts w:cs="Friz Quadrata Std"/>
          <w:color w:val="000000"/>
          <w:sz w:val="23"/>
          <w:szCs w:val="23"/>
        </w:rPr>
        <w:t xml:space="preserve">per clinic </w:t>
      </w:r>
      <w:r w:rsidR="007C747D">
        <w:rPr>
          <w:rFonts w:cs="Friz Quadrata Std"/>
          <w:color w:val="000000"/>
          <w:sz w:val="23"/>
          <w:szCs w:val="23"/>
        </w:rPr>
        <w:t xml:space="preserve">for full validation.  In addition, </w:t>
      </w:r>
      <w:r w:rsidR="00A87E61">
        <w:rPr>
          <w:rFonts w:cs="Friz Quadrata Std"/>
          <w:color w:val="000000"/>
          <w:sz w:val="23"/>
          <w:szCs w:val="23"/>
        </w:rPr>
        <w:t xml:space="preserve">the validation included </w:t>
      </w:r>
      <w:r w:rsidR="00FB74BB">
        <w:rPr>
          <w:rFonts w:cs="Friz Quadrata Std"/>
          <w:color w:val="000000"/>
          <w:sz w:val="23"/>
          <w:szCs w:val="23"/>
        </w:rPr>
        <w:t xml:space="preserve">up to </w:t>
      </w:r>
      <w:r>
        <w:rPr>
          <w:rFonts w:cs="Friz Quadrata Std"/>
          <w:color w:val="000000"/>
          <w:sz w:val="23"/>
          <w:szCs w:val="23"/>
        </w:rPr>
        <w:t xml:space="preserve">10 </w:t>
      </w:r>
      <w:r w:rsidR="002966BA">
        <w:rPr>
          <w:rFonts w:cs="Friz Quadrata Std"/>
          <w:color w:val="000000"/>
          <w:sz w:val="23"/>
          <w:szCs w:val="23"/>
        </w:rPr>
        <w:t xml:space="preserve">long term </w:t>
      </w:r>
      <w:r>
        <w:rPr>
          <w:rFonts w:cs="Friz Quadrata Std"/>
          <w:color w:val="000000"/>
          <w:sz w:val="23"/>
          <w:szCs w:val="23"/>
        </w:rPr>
        <w:t xml:space="preserve">banking cycles and </w:t>
      </w:r>
      <w:r w:rsidR="002966BA">
        <w:rPr>
          <w:rFonts w:cs="Friz Quadrata Std"/>
          <w:color w:val="000000"/>
          <w:sz w:val="23"/>
          <w:szCs w:val="23"/>
        </w:rPr>
        <w:t xml:space="preserve">10 </w:t>
      </w:r>
      <w:r w:rsidR="007C747D">
        <w:rPr>
          <w:rFonts w:cs="Friz Quadrata Std"/>
          <w:color w:val="000000"/>
          <w:sz w:val="23"/>
          <w:szCs w:val="23"/>
        </w:rPr>
        <w:t xml:space="preserve">additional cycles for partial validation.  </w:t>
      </w:r>
    </w:p>
    <w:p w:rsidR="00B12620" w:rsidP="009436FE" w14:paraId="24DC868C"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4289" w:rsidP="00CB7F12" w14:paraId="3B2263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46141" w:rsidP="00CB7F12" w14:paraId="315C93FC" w14:textId="00DFF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2. </w:t>
      </w:r>
      <w:r w:rsidRPr="00330C1D">
        <w:rPr>
          <w:b/>
          <w:bCs/>
        </w:rPr>
        <w:t>Procedures for the Collection of Information</w:t>
      </w:r>
    </w:p>
    <w:p w:rsidR="00FC5056" w:rsidP="00772414" w14:paraId="47A5E7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2414" w:rsidP="00125589" w14:paraId="42AD8D8E" w14:textId="14DF82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The current deadline for data submission is in December, </w:t>
      </w:r>
      <w:r w:rsidR="00D05209">
        <w:t xml:space="preserve">approximately </w:t>
      </w:r>
      <w:r w:rsidRPr="00330C1D">
        <w:t xml:space="preserve">one year </w:t>
      </w:r>
      <w:r>
        <w:t xml:space="preserve">after the year </w:t>
      </w:r>
      <w:r w:rsidR="00D05209">
        <w:t xml:space="preserve">in which </w:t>
      </w:r>
      <w:r>
        <w:t xml:space="preserve">the ART treatment was initiated.  </w:t>
      </w:r>
      <w:r w:rsidRPr="00330C1D">
        <w:t xml:space="preserve">For example, </w:t>
      </w:r>
      <w:r w:rsidR="00D05209">
        <w:t xml:space="preserve">ART </w:t>
      </w:r>
      <w:r w:rsidRPr="00330C1D">
        <w:t xml:space="preserve">cycles </w:t>
      </w:r>
      <w:r w:rsidR="00D05209">
        <w:t>initiated between January 1, 20</w:t>
      </w:r>
      <w:r w:rsidR="00433D5E">
        <w:t>20</w:t>
      </w:r>
      <w:r w:rsidR="00D05209">
        <w:t>, and</w:t>
      </w:r>
      <w:r w:rsidR="007002EA">
        <w:t xml:space="preserve"> December </w:t>
      </w:r>
      <w:r w:rsidR="00D05209">
        <w:t>31, 20</w:t>
      </w:r>
      <w:r w:rsidR="00433D5E">
        <w:t>20</w:t>
      </w:r>
      <w:r w:rsidR="00D05209">
        <w:t>, would be reported by</w:t>
      </w:r>
      <w:r w:rsidRPr="00330C1D">
        <w:t xml:space="preserve"> December 15, 20</w:t>
      </w:r>
      <w:r w:rsidR="00433D5E">
        <w:t>2</w:t>
      </w:r>
      <w:r w:rsidR="00C2272D">
        <w:t>1</w:t>
      </w:r>
      <w:r w:rsidRPr="00330C1D">
        <w:t xml:space="preserve">. </w:t>
      </w:r>
      <w:r w:rsidRPr="003A7B17" w:rsidR="00C2272D">
        <w:rPr>
          <w:rFonts w:cs="Courier New"/>
          <w:bCs/>
        </w:rPr>
        <w:t xml:space="preserve">This schedule allows sufficient time for all </w:t>
      </w:r>
      <w:r w:rsidR="00C2272D">
        <w:rPr>
          <w:rFonts w:cs="Courier New"/>
          <w:bCs/>
        </w:rPr>
        <w:t>ART pregnancies conceived in 20</w:t>
      </w:r>
      <w:r w:rsidR="00433D5E">
        <w:rPr>
          <w:rFonts w:cs="Courier New"/>
          <w:bCs/>
        </w:rPr>
        <w:t>20</w:t>
      </w:r>
      <w:r w:rsidRPr="003A7B17" w:rsidR="00C2272D">
        <w:rPr>
          <w:rFonts w:cs="Courier New"/>
          <w:bCs/>
        </w:rPr>
        <w:t xml:space="preserve"> to have reached completion, and for clinic personnel to compile </w:t>
      </w:r>
      <w:r w:rsidR="00C2272D">
        <w:rPr>
          <w:rFonts w:cs="Courier New"/>
          <w:bCs/>
        </w:rPr>
        <w:t>and report information about the ART cycles and outcomes</w:t>
      </w:r>
      <w:r w:rsidRPr="003A7B17" w:rsidR="00C2272D">
        <w:rPr>
          <w:rFonts w:cs="Courier New"/>
          <w:bCs/>
        </w:rPr>
        <w:t xml:space="preserve">.  </w:t>
      </w:r>
      <w:r w:rsidRPr="00330C1D" w:rsidR="00125589">
        <w:t>The medical director of each clinic is required to subm</w:t>
      </w:r>
      <w:r w:rsidR="00125589">
        <w:t xml:space="preserve">it the clinic data to </w:t>
      </w:r>
      <w:r w:rsidR="009F2473">
        <w:t>CDC</w:t>
      </w:r>
      <w:r w:rsidR="00125589">
        <w:t xml:space="preserve"> by the</w:t>
      </w:r>
      <w:r w:rsidRPr="00330C1D" w:rsidR="00125589">
        <w:t xml:space="preserve"> established deadline and to verify by signature that the data reported are accurate.</w:t>
      </w:r>
    </w:p>
    <w:p w:rsidR="00FC5056" w:rsidP="00CB7F12" w14:paraId="171C6B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25589" w:rsidP="00931A89" w14:paraId="3860BB44" w14:textId="5DA52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Each year before ART data collection begins, the contractor sends </w:t>
      </w:r>
      <w:r w:rsidR="003A16D0">
        <w:t xml:space="preserve">reporting </w:t>
      </w:r>
      <w:r w:rsidR="00931A89">
        <w:t xml:space="preserve">instructions </w:t>
      </w:r>
      <w:r w:rsidRPr="000344E8" w:rsidR="003A16D0">
        <w:rPr>
          <w:b/>
        </w:rPr>
        <w:t>(</w:t>
      </w:r>
      <w:r w:rsidRPr="00643C5D" w:rsidR="003A16D0">
        <w:rPr>
          <w:b/>
        </w:rPr>
        <w:t>Attachment</w:t>
      </w:r>
      <w:r w:rsidR="003A16D0">
        <w:rPr>
          <w:b/>
        </w:rPr>
        <w:t xml:space="preserve"> C</w:t>
      </w:r>
      <w:r w:rsidR="005C3BCA">
        <w:rPr>
          <w:b/>
        </w:rPr>
        <w:t>2</w:t>
      </w:r>
      <w:r w:rsidRPr="000344E8" w:rsidR="003A16D0">
        <w:rPr>
          <w:b/>
        </w:rPr>
        <w:t>)</w:t>
      </w:r>
      <w:r w:rsidRPr="00F01C98" w:rsidR="003A16D0">
        <w:t xml:space="preserve"> </w:t>
      </w:r>
      <w:r w:rsidR="003A16D0">
        <w:t>to all qualifying clinics.</w:t>
      </w:r>
      <w:r w:rsidRPr="00F01C98">
        <w:t xml:space="preserve"> </w:t>
      </w:r>
      <w:r w:rsidR="00890E38">
        <w:t xml:space="preserve"> </w:t>
      </w:r>
      <w:r w:rsidR="00931A89">
        <w:t>Each clinic also receives a NASS user</w:t>
      </w:r>
      <w:r w:rsidR="00930DE4">
        <w:t>s</w:t>
      </w:r>
      <w:r w:rsidR="007B0951">
        <w:t>’</w:t>
      </w:r>
      <w:r w:rsidR="00931A89">
        <w:t xml:space="preserve"> </w:t>
      </w:r>
      <w:r w:rsidR="00FC58A2">
        <w:t xml:space="preserve">guide </w:t>
      </w:r>
      <w:r w:rsidRPr="000344E8" w:rsidR="00931A89">
        <w:rPr>
          <w:b/>
        </w:rPr>
        <w:t>(</w:t>
      </w:r>
      <w:r w:rsidRPr="00643C5D" w:rsidR="00931A89">
        <w:rPr>
          <w:b/>
        </w:rPr>
        <w:t>Attachment</w:t>
      </w:r>
      <w:r w:rsidR="00931A89">
        <w:rPr>
          <w:b/>
        </w:rPr>
        <w:t xml:space="preserve"> </w:t>
      </w:r>
      <w:r w:rsidR="005C3BCA">
        <w:rPr>
          <w:b/>
        </w:rPr>
        <w:t>C3</w:t>
      </w:r>
      <w:r w:rsidRPr="000344E8" w:rsidR="00931A89">
        <w:rPr>
          <w:b/>
        </w:rPr>
        <w:t>)</w:t>
      </w:r>
      <w:r w:rsidR="00931A89">
        <w:t xml:space="preserve"> that contains</w:t>
      </w:r>
      <w:r w:rsidR="00930DE4">
        <w:t xml:space="preserve"> information about how to use</w:t>
      </w:r>
      <w:r w:rsidRPr="00F01C98">
        <w:t xml:space="preserve"> the NAS</w:t>
      </w:r>
      <w:r w:rsidR="00931A89">
        <w:t>S system and how to set up the</w:t>
      </w:r>
      <w:r w:rsidRPr="00F01C98">
        <w:t xml:space="preserve"> user IDs, passwords, and other security information</w:t>
      </w:r>
      <w:r>
        <w:t>.</w:t>
      </w:r>
    </w:p>
    <w:p w:rsidR="00772414" w:rsidP="00772414" w14:paraId="71FCFC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P="00772414" w14:paraId="115FD6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Clinics abstract data from clinic records and either enter their data into</w:t>
      </w:r>
      <w:r w:rsidR="007002EA">
        <w:t xml:space="preserve"> the web-based</w:t>
      </w:r>
      <w:r w:rsidRPr="00330C1D">
        <w:t xml:space="preserve"> NASS </w:t>
      </w:r>
      <w:r w:rsidR="007002EA">
        <w:t xml:space="preserve">interface, </w:t>
      </w:r>
      <w:r w:rsidRPr="00330C1D">
        <w:t>or extract data from other electronic medical record systems</w:t>
      </w:r>
      <w:r w:rsidR="007002EA">
        <w:t xml:space="preserve"> and transmit NASS-compatible electronic files</w:t>
      </w:r>
      <w:r w:rsidR="00930DE4">
        <w:t xml:space="preserve"> that can be imported</w:t>
      </w:r>
      <w:r w:rsidR="007002EA">
        <w:t xml:space="preserve"> </w:t>
      </w:r>
      <w:r w:rsidRPr="00330C1D">
        <w:t>into NASS</w:t>
      </w:r>
      <w:r w:rsidR="00DE6FFB">
        <w:t>.</w:t>
      </w:r>
      <w:r w:rsidR="00341439">
        <w:t xml:space="preserve">                                                  </w:t>
      </w:r>
      <w:r w:rsidRPr="00330C1D">
        <w:t xml:space="preserve">. </w:t>
      </w:r>
    </w:p>
    <w:p w:rsidR="00CB7F12" w:rsidRPr="00330C1D" w:rsidP="00CB7F12" w14:paraId="24BF2A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46141" w:rsidP="00FA3D8D" w14:paraId="54C65A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After the reporting deadline, </w:t>
      </w:r>
      <w:r>
        <w:t>the contractor</w:t>
      </w:r>
      <w:r w:rsidRPr="00330C1D">
        <w:t xml:space="preserve"> compiles the individual clinic data files and submits the national data</w:t>
      </w:r>
      <w:r>
        <w:t xml:space="preserve"> </w:t>
      </w:r>
      <w:r w:rsidRPr="00330C1D">
        <w:t xml:space="preserve">file to CDC. </w:t>
      </w:r>
      <w:r w:rsidR="00890E38">
        <w:t xml:space="preserve"> </w:t>
      </w:r>
      <w:r w:rsidRPr="00330C1D">
        <w:t xml:space="preserve">CDC and </w:t>
      </w:r>
      <w:r>
        <w:t xml:space="preserve">the data collection contractor </w:t>
      </w:r>
      <w:r w:rsidRPr="00330C1D">
        <w:t xml:space="preserve">work together to review the data and identify inconsistencies and logic errors. </w:t>
      </w:r>
      <w:r w:rsidR="00890E38">
        <w:t xml:space="preserve"> </w:t>
      </w:r>
      <w:r w:rsidRPr="00330C1D">
        <w:t xml:space="preserve">Clinics with errors for key data elements are asked to reconcile the discrepancies and submit updates to </w:t>
      </w:r>
      <w:r>
        <w:t>the contractor</w:t>
      </w:r>
      <w:r w:rsidRPr="00330C1D">
        <w:t xml:space="preserve">. </w:t>
      </w:r>
      <w:r w:rsidR="00890E38">
        <w:t xml:space="preserve"> </w:t>
      </w:r>
      <w:r>
        <w:t>Then, the contractor compiles</w:t>
      </w:r>
      <w:r w:rsidRPr="00330C1D">
        <w:t xml:space="preserve"> and submits the final national data set to CDC.  </w:t>
      </w:r>
      <w:r w:rsidRPr="00330C1D" w:rsidR="00255E2A">
        <w:t xml:space="preserve">In addition to data entry for each ART cycle, NASS includes programming that uses the cycle-level data to calculate key ART statistics for each clinic. </w:t>
      </w:r>
      <w:r w:rsidR="00890E38">
        <w:t xml:space="preserve"> </w:t>
      </w:r>
      <w:r w:rsidR="00255E2A">
        <w:t xml:space="preserve">The contractor </w:t>
      </w:r>
      <w:r w:rsidRPr="00330C1D" w:rsidR="00255E2A">
        <w:t>develops this programming in conjunction with CDC to ensure that these clinic-level statistics meet the needs of the fertility clinic tables section of the annual ART report.</w:t>
      </w:r>
      <w:r w:rsidR="00255E2A">
        <w:t xml:space="preserve"> </w:t>
      </w:r>
      <w:r w:rsidR="00890E38">
        <w:t xml:space="preserve"> </w:t>
      </w:r>
      <w:r w:rsidRPr="00330C1D" w:rsidR="00255E2A">
        <w:t xml:space="preserve">Once the national data set of individual ART cycles is finalized, </w:t>
      </w:r>
      <w:r w:rsidR="00255E2A">
        <w:t>the contractor</w:t>
      </w:r>
      <w:r w:rsidRPr="00330C1D" w:rsidR="00255E2A">
        <w:t xml:space="preserve"> additionally compiles an</w:t>
      </w:r>
      <w:r w:rsidRPr="00330C1D" w:rsidR="00255E2A">
        <w:rPr>
          <w:i/>
          <w:iCs/>
        </w:rPr>
        <w:t xml:space="preserve"> aggregate</w:t>
      </w:r>
      <w:r w:rsidRPr="00330C1D" w:rsidR="00255E2A">
        <w:t>-level data s</w:t>
      </w:r>
      <w:r w:rsidR="007D7E18">
        <w:t xml:space="preserve">et of clinic statistics (clinic table </w:t>
      </w:r>
      <w:r w:rsidRPr="00330C1D" w:rsidR="00255E2A">
        <w:t>data set) and submits this file to CDC.</w:t>
      </w:r>
    </w:p>
    <w:p w:rsidR="00731120" w:rsidP="00964F84" w14:paraId="587F90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1120" w:rsidRPr="00330C1D" w:rsidP="00731120" w14:paraId="30DFF1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Clinics that do not submit the required information </w:t>
      </w:r>
      <w:r w:rsidR="005F5AC5">
        <w:t>receive notification from both CDC and the data collection contractor</w:t>
      </w:r>
      <w:r w:rsidR="00890E38">
        <w:t xml:space="preserve"> in a letter outlining the reporting process</w:t>
      </w:r>
      <w:r w:rsidR="005F5AC5">
        <w:t xml:space="preserve">. </w:t>
      </w:r>
      <w:r w:rsidR="00890E38">
        <w:t xml:space="preserve"> </w:t>
      </w:r>
      <w:r w:rsidR="00C3441F">
        <w:t xml:space="preserve">Clinics </w:t>
      </w:r>
      <w:r w:rsidR="007B0951">
        <w:t xml:space="preserve">that do not submit their data by the deadline are informed that they will be listed in the ART Success Rates, National Summary and Fertility Clinic Report as non-reporters. </w:t>
      </w:r>
      <w:r w:rsidRPr="00330C1D">
        <w:t xml:space="preserve"> </w:t>
      </w:r>
    </w:p>
    <w:p w:rsidR="00731120" w:rsidP="00964F84" w14:paraId="1A40DC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0AC8" w:rsidP="009E0AC8" w14:paraId="454782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5B37A1">
        <w:rPr>
          <w:u w:val="single"/>
        </w:rPr>
        <w:t>Data Validation</w:t>
      </w:r>
      <w:r w:rsidRPr="005B37A1" w:rsidR="00987FA3">
        <w:rPr>
          <w:u w:val="single"/>
        </w:rPr>
        <w:t xml:space="preserve"> for a Subset of Clinics</w:t>
      </w:r>
    </w:p>
    <w:p w:rsidR="008D7F4C" w:rsidP="00722858" w14:paraId="635A81F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0AC8" w:rsidP="00722858" w14:paraId="2238DDB7" w14:textId="22D53B0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The data-validation process is mea</w:t>
      </w:r>
      <w:r w:rsidR="00035157">
        <w:t xml:space="preserve">nt to be primarily educational and </w:t>
      </w:r>
      <w:r w:rsidRPr="00330C1D">
        <w:t>to identify particular problem areas in the da</w:t>
      </w:r>
      <w:r w:rsidR="00255E2A">
        <w:t xml:space="preserve">ta </w:t>
      </w:r>
      <w:r w:rsidR="00035157">
        <w:t>collection process so</w:t>
      </w:r>
      <w:r w:rsidRPr="00330C1D">
        <w:t xml:space="preserve"> that they may </w:t>
      </w:r>
      <w:r w:rsidR="00035157">
        <w:t xml:space="preserve">be corrected in subsequent data </w:t>
      </w:r>
      <w:r w:rsidRPr="00330C1D">
        <w:t>collection cycles.</w:t>
      </w:r>
      <w:r w:rsidR="00255E2A">
        <w:t xml:space="preserve"> </w:t>
      </w:r>
      <w:r w:rsidR="00890E38">
        <w:t xml:space="preserve"> </w:t>
      </w:r>
      <w:r>
        <w:t xml:space="preserve">Contractor validation teams </w:t>
      </w:r>
      <w:r w:rsidRPr="00330C1D">
        <w:t xml:space="preserve">conduct </w:t>
      </w:r>
      <w:r>
        <w:t xml:space="preserve">the </w:t>
      </w:r>
      <w:r w:rsidRPr="00330C1D">
        <w:t xml:space="preserve">data validation </w:t>
      </w:r>
      <w:r>
        <w:t xml:space="preserve">site </w:t>
      </w:r>
      <w:r w:rsidRPr="00330C1D">
        <w:t>visits.  A CDC representative attend</w:t>
      </w:r>
      <w:r>
        <w:t>s</w:t>
      </w:r>
      <w:r w:rsidRPr="00330C1D">
        <w:t xml:space="preserve"> a portion of the visits to observe the process.  During the visits, the validation teams will compare data that were reported to </w:t>
      </w:r>
      <w:r w:rsidR="00832625">
        <w:t xml:space="preserve">NASS with </w:t>
      </w:r>
      <w:r>
        <w:t xml:space="preserve">the </w:t>
      </w:r>
      <w:r w:rsidRPr="00A41B3A" w:rsidR="00ED27C8">
        <w:rPr>
          <w:color w:val="000000" w:themeColor="text1"/>
        </w:rPr>
        <w:t>information abstracted from the patient’s medical record</w:t>
      </w:r>
      <w:r w:rsidRPr="00A41B3A" w:rsidR="00ED27C8">
        <w:rPr>
          <w:rFonts w:ascii="Helvetica" w:hAnsi="Helvetica"/>
          <w:color w:val="000000" w:themeColor="text1"/>
          <w:sz w:val="21"/>
          <w:szCs w:val="21"/>
        </w:rPr>
        <w:t xml:space="preserve"> (</w:t>
      </w:r>
      <w:r w:rsidRPr="00A41B3A" w:rsidR="00DF74CA">
        <w:rPr>
          <w:b/>
          <w:color w:val="000000" w:themeColor="text1"/>
        </w:rPr>
        <w:t xml:space="preserve">Attachment </w:t>
      </w:r>
      <w:r w:rsidRPr="00A41B3A" w:rsidR="00B66F21">
        <w:rPr>
          <w:b/>
          <w:color w:val="000000" w:themeColor="text1"/>
        </w:rPr>
        <w:t>H</w:t>
      </w:r>
      <w:r w:rsidRPr="006C6648" w:rsidR="00DF74CA">
        <w:rPr>
          <w:color w:val="000000" w:themeColor="text1"/>
        </w:rPr>
        <w:t>)</w:t>
      </w:r>
      <w:r w:rsidRPr="006C6648">
        <w:rPr>
          <w:color w:val="000000" w:themeColor="text1"/>
        </w:rPr>
        <w:t>.</w:t>
      </w:r>
      <w:r w:rsidRPr="00A41B3A">
        <w:rPr>
          <w:color w:val="000000" w:themeColor="text1"/>
        </w:rPr>
        <w:t xml:space="preserve">  Discrepancies will be noted on data validation forms; these forms will be forwarded to the contractor for data entry and analysis</w:t>
      </w:r>
      <w:r w:rsidRPr="00330C1D">
        <w:t xml:space="preserve">.  </w:t>
      </w:r>
      <w:r>
        <w:t xml:space="preserve">The contractor </w:t>
      </w:r>
      <w:r w:rsidRPr="00330C1D">
        <w:t>calculate</w:t>
      </w:r>
      <w:r>
        <w:t xml:space="preserve">s </w:t>
      </w:r>
      <w:r w:rsidRPr="00330C1D">
        <w:t xml:space="preserve">error rates within and across clinics and for each data item validated. </w:t>
      </w:r>
      <w:r w:rsidR="00890E38">
        <w:t xml:space="preserve"> </w:t>
      </w:r>
      <w:r w:rsidRPr="00330C1D">
        <w:t xml:space="preserve">CDC and </w:t>
      </w:r>
      <w:r>
        <w:t>the contractor</w:t>
      </w:r>
      <w:r w:rsidRPr="00330C1D">
        <w:t xml:space="preserve"> review these findings.</w:t>
      </w:r>
    </w:p>
    <w:p w:rsidR="009E0AC8" w:rsidRPr="00330C1D" w:rsidP="00722858" w14:paraId="7A9E680E"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72414" w:rsidP="00255E2A" w14:paraId="2A0AD23B" w14:textId="1B4DEF7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Within this context</w:t>
      </w:r>
      <w:r w:rsidR="00255E2A">
        <w:t>,</w:t>
      </w:r>
      <w:r w:rsidRPr="00330C1D">
        <w:t xml:space="preserve"> CDC and </w:t>
      </w:r>
      <w:r>
        <w:t>the contractor</w:t>
      </w:r>
      <w:r w:rsidRPr="00330C1D">
        <w:t xml:space="preserve"> may institute global changes to NASS on the basis of the validation findings and/or may contact individual clinics after validation to rev</w:t>
      </w:r>
      <w:r w:rsidR="00255E2A">
        <w:t xml:space="preserve">iew specific </w:t>
      </w:r>
      <w:r w:rsidR="00255E2A">
        <w:t>problems</w:t>
      </w:r>
      <w:r w:rsidRPr="00330C1D">
        <w:t>. In nearly all instances, validation results are not expected to affect a clinic</w:t>
      </w:r>
      <w:r w:rsidR="00930DE4">
        <w:t>’</w:t>
      </w:r>
      <w:r w:rsidRPr="00330C1D">
        <w:t>s status in the annual ART report.  However, in rare instances, validation may reveal an unacceptable error rate.  The prevailing consideration in deciding if a clinic</w:t>
      </w:r>
      <w:r w:rsidR="00255E2A">
        <w:t>’</w:t>
      </w:r>
      <w:r w:rsidRPr="00330C1D">
        <w:t>s data are unacceptable is</w:t>
      </w:r>
      <w:r w:rsidR="00F07832">
        <w:t xml:space="preserve"> determining if the </w:t>
      </w:r>
      <w:r w:rsidRPr="00330C1D">
        <w:t>validation findings suggest that publication of the clinic</w:t>
      </w:r>
      <w:r w:rsidR="00255E2A">
        <w:t>’</w:t>
      </w:r>
      <w:r w:rsidRPr="00330C1D">
        <w:t>s data as reported present a misleading account of that clinics true success rate</w:t>
      </w:r>
      <w:r w:rsidR="006C6648">
        <w:t>.</w:t>
      </w:r>
      <w:r w:rsidRPr="00330C1D">
        <w:t xml:space="preserve">  If such a situation arises, </w:t>
      </w:r>
      <w:r>
        <w:t>the contractor</w:t>
      </w:r>
      <w:r w:rsidRPr="00330C1D">
        <w:t xml:space="preserve"> and CDC may work with the clinic and allow for corrections in time for the publication of the annual report.  If timely corrections are not possible, the clinic may opt to remove its data from the annual report and be listed as a non-reporter.  To date, error rates for all clinics validated have been within acceptable limits.  Moreover, </w:t>
      </w:r>
      <w:r w:rsidR="00F07832">
        <w:t>most</w:t>
      </w:r>
      <w:r w:rsidRPr="00330C1D">
        <w:t xml:space="preserve"> errors identified have been minor, e.g.</w:t>
      </w:r>
      <w:r w:rsidR="00255E2A">
        <w:t>,</w:t>
      </w:r>
      <w:r w:rsidRPr="00330C1D">
        <w:t xml:space="preserve"> date mis-recorded by one or two days, and the impact of errors on the success rates reported has been estimated to be minimal. </w:t>
      </w:r>
      <w:r w:rsidRPr="00935E85" w:rsidR="00935E85">
        <w:t>CDC will remov</w:t>
      </w:r>
      <w:r w:rsidR="00935E85">
        <w:t>e</w:t>
      </w:r>
      <w:r w:rsidRPr="00935E85" w:rsidR="00935E85">
        <w:t xml:space="preserve"> a clinic’s reported success rates from annual ART reports if the clinic was selected for annual ART data validation but declined to participate</w:t>
      </w:r>
      <w:r w:rsidR="00935E85">
        <w:t>.</w:t>
      </w:r>
    </w:p>
    <w:p w:rsidR="00C14289" w:rsidRPr="00330C1D" w:rsidP="00CB7F12" w14:paraId="7C2FDF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46141" w:rsidRPr="00330C1D" w:rsidP="00CB7F12" w14:paraId="53A5ADB1" w14:textId="1039B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3.  Methods to Maximize Response Rates and Deal with Non-response</w:t>
      </w:r>
    </w:p>
    <w:p w:rsidR="00CB7F12" w:rsidP="00CB7F12" w14:paraId="16054D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034E" w:rsidRPr="0041427D" w:rsidP="00C7034E" w14:paraId="125393D2" w14:textId="333977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427D">
        <w:t xml:space="preserve">Efforts are made to maximize the response rate. </w:t>
      </w:r>
      <w:r w:rsidRPr="0041427D" w:rsidR="00D67434">
        <w:t xml:space="preserve"> </w:t>
      </w:r>
      <w:r w:rsidRPr="0041427D">
        <w:t xml:space="preserve">Clinics receive a letter outlining the reporting requirements, data submission timelines, and outcomes if data are not reported. </w:t>
      </w:r>
      <w:r w:rsidRPr="0041427D" w:rsidR="00890E38">
        <w:t xml:space="preserve"> </w:t>
      </w:r>
      <w:r w:rsidRPr="0041427D" w:rsidR="00346141">
        <w:t xml:space="preserve">All clinics known to be in operation throughout a given reporting year that fail to submit the required materials to the contractor by the required deadline are considered to </w:t>
      </w:r>
      <w:r w:rsidRPr="0041427D" w:rsidR="00F07832">
        <w:t xml:space="preserve">be </w:t>
      </w:r>
      <w:r w:rsidRPr="0041427D" w:rsidR="00346141">
        <w:rPr>
          <w:i/>
          <w:iCs/>
        </w:rPr>
        <w:t>not</w:t>
      </w:r>
      <w:r w:rsidRPr="0041427D" w:rsidR="00346141">
        <w:t xml:space="preserve"> in compliance with the federal reporting requirements of FCSRCA. These clinics are notified that they will be listed as non-reporting clinics in the annual ART report</w:t>
      </w:r>
      <w:r w:rsidRPr="0041427D" w:rsidR="00890E38">
        <w:t xml:space="preserve"> if the data are not submitted by the deadline</w:t>
      </w:r>
      <w:r w:rsidRPr="0041427D" w:rsidR="00346141">
        <w:t xml:space="preserve">.  </w:t>
      </w:r>
      <w:r w:rsidRPr="0041427D">
        <w:t>In addition, each non-reporting clinic will have an individual page with the clinic’s name but no ART data included as part of the clinic table section of the report, as well as on the CDC website, www.cdc.gov/ART.</w:t>
      </w:r>
    </w:p>
    <w:p w:rsidR="00C7034E" w:rsidP="00E25C5C" w14:paraId="717436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4289" w:rsidP="00CB7F12" w14:paraId="42B0D8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46141" w:rsidRPr="00330C1D" w:rsidP="00CB7F12" w14:paraId="157B6FA6" w14:textId="5552A4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4.  Tests of Procedures or Methods to be Undertaken</w:t>
      </w:r>
    </w:p>
    <w:p w:rsidR="00CB7F12" w:rsidP="00CB7F12" w14:paraId="3B76E7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46141" w:rsidP="006F0340" w14:paraId="5BAE5642" w14:textId="4B787B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Th</w:t>
      </w:r>
      <w:r>
        <w:t xml:space="preserve">e ART program reporting </w:t>
      </w:r>
      <w:r w:rsidRPr="00330C1D">
        <w:t xml:space="preserve">system has been in operation since 1989 and </w:t>
      </w:r>
      <w:r w:rsidR="002F17BA">
        <w:t>has been</w:t>
      </w:r>
      <w:r w:rsidRPr="00330C1D">
        <w:t xml:space="preserve"> revised </w:t>
      </w:r>
      <w:r>
        <w:t>based on the needs of CDC</w:t>
      </w:r>
      <w:r w:rsidR="00164611">
        <w:t xml:space="preserve"> </w:t>
      </w:r>
      <w:r w:rsidRPr="00330C1D">
        <w:t xml:space="preserve">and input from ART provider organizations such as </w:t>
      </w:r>
      <w:r w:rsidR="009133C6">
        <w:t xml:space="preserve">the </w:t>
      </w:r>
      <w:r w:rsidRPr="00F01C98" w:rsidR="009133C6">
        <w:t>American Society for Reproductive Medicine</w:t>
      </w:r>
      <w:r w:rsidR="009133C6">
        <w:t xml:space="preserve">, the </w:t>
      </w:r>
      <w:r w:rsidRPr="00F01C98" w:rsidR="00156D77">
        <w:t>Society for Assisted Reproductive Technology</w:t>
      </w:r>
      <w:r w:rsidR="009133C6">
        <w:t xml:space="preserve">, </w:t>
      </w:r>
      <w:r w:rsidRPr="00330C1D">
        <w:t xml:space="preserve">and national consumer organizations such as RESOLVE and The </w:t>
      </w:r>
      <w:r w:rsidR="0057178E">
        <w:t xml:space="preserve">Path2Parenthood </w:t>
      </w:r>
      <w:r w:rsidRPr="00330C1D">
        <w:t>Association.</w:t>
      </w:r>
      <w:r>
        <w:t xml:space="preserve">  </w:t>
      </w:r>
    </w:p>
    <w:p w:rsidR="00C14289" w:rsidP="00CB7F12" w14:paraId="4A3006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5A3001" w:rsidP="00CB7F12" w14:paraId="2F6900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br w:type="page"/>
      </w:r>
    </w:p>
    <w:p w:rsidR="00346141" w:rsidP="00CB7F12" w14:paraId="6A4EA5E1" w14:textId="63CAA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B37A1">
        <w:rPr>
          <w:b/>
          <w:bCs/>
        </w:rPr>
        <w:t>5.  Individuals Consulted on Statistical Aspects and Individuals Collecting and/or Analyzing Data</w:t>
      </w:r>
    </w:p>
    <w:p w:rsidR="00CB7F12" w:rsidP="00CB7F12" w14:paraId="663EAA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346141" w:rsidRPr="00EA3238" w:rsidP="00CB7F12" w14:paraId="0D2614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rPr>
          <w:bCs/>
        </w:rPr>
        <w:t>National ART Surveillance System designed by:</w:t>
      </w:r>
    </w:p>
    <w:p w:rsidR="00346141" w:rsidRPr="00EA3238" w:rsidP="00CB7F12" w14:paraId="08E3A2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Pr="00EA3238" w:rsidP="00CB7F12" w14:paraId="1FE104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217">
        <w:t>WESTAT</w:t>
      </w:r>
    </w:p>
    <w:p w:rsidR="00346141" w:rsidRPr="00EA3238" w:rsidP="00CB7F12" w14:paraId="16888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address">
        <w:smartTag w:uri="urn:schemas-microsoft-com:office:smarttags" w:element="Street">
          <w:r w:rsidRPr="00EA3238">
            <w:t>1650 Research Boulevard</w:t>
          </w:r>
        </w:smartTag>
      </w:smartTag>
    </w:p>
    <w:p w:rsidR="00346141" w:rsidRPr="00EA3238" w:rsidP="00CB7F12" w14:paraId="0F6D5A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rsidRPr="00EA3238">
            <w:t>Rockville</w:t>
          </w:r>
        </w:smartTag>
        <w:r w:rsidRPr="00EA3238">
          <w:t xml:space="preserve">, </w:t>
        </w:r>
        <w:smartTag w:uri="urn:schemas-microsoft-com:office:smarttags" w:element="State">
          <w:r w:rsidRPr="00EA3238">
            <w:t>Maryland</w:t>
          </w:r>
        </w:smartTag>
        <w:r w:rsidRPr="00EA3238">
          <w:t xml:space="preserve"> </w:t>
        </w:r>
        <w:smartTag w:uri="urn:schemas-microsoft-com:office:smarttags" w:element="PostalCode">
          <w:r w:rsidRPr="00EA3238">
            <w:t>20850-3195</w:t>
          </w:r>
        </w:smartTag>
      </w:smartTag>
    </w:p>
    <w:p w:rsidR="00346141" w:rsidRPr="00EA3238" w:rsidP="00CB7F12" w14:paraId="71479B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Tel: 301</w:t>
      </w:r>
      <w:r w:rsidR="00FD6955">
        <w:t>-</w:t>
      </w:r>
      <w:r w:rsidRPr="00EA3238">
        <w:t>251-1500</w:t>
      </w:r>
    </w:p>
    <w:p w:rsidR="00346141" w:rsidRPr="00EA3238" w:rsidP="00CB7F12" w14:paraId="631EF1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Fax: 301</w:t>
      </w:r>
      <w:r w:rsidR="00FD6955">
        <w:t>-</w:t>
      </w:r>
      <w:r w:rsidRPr="00EA3238">
        <w:t>294-2040</w:t>
      </w:r>
    </w:p>
    <w:p w:rsidR="000366BD" w:rsidRPr="00EA3238" w:rsidP="000366BD" w14:paraId="6CE24D0A" w14:textId="69469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Project Director:</w:t>
      </w:r>
      <w:r w:rsidRPr="00EA3238">
        <w:t xml:space="preserve"> </w:t>
      </w:r>
      <w:r>
        <w:t>Dritan Subashi</w:t>
      </w:r>
    </w:p>
    <w:p w:rsidR="00346141" w:rsidRPr="00EA3238" w:rsidP="00CB7F12" w14:paraId="27E32929" w14:textId="3BD12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Email: </w:t>
      </w:r>
      <w:hyperlink r:id="rId5" w:history="1">
        <w:r w:rsidRPr="00490F97" w:rsidR="00490F97">
          <w:rPr>
            <w:rStyle w:val="Hyperlink"/>
          </w:rPr>
          <w:t xml:space="preserve"> DritanSubashi@westat.com</w:t>
        </w:r>
      </w:hyperlink>
    </w:p>
    <w:p w:rsidR="00346141" w:rsidRPr="00EA3238" w:rsidP="00CB7F12" w14:paraId="50AEC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Pr="00EA3238" w:rsidP="00CB7F12" w14:paraId="5B4A6FAE" w14:textId="73882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Data </w:t>
      </w:r>
      <w:r>
        <w:t>collected from 20</w:t>
      </w:r>
      <w:r w:rsidR="0057178E">
        <w:t>16</w:t>
      </w:r>
      <w:r>
        <w:t>-20</w:t>
      </w:r>
      <w:r w:rsidR="0057178E">
        <w:t>19</w:t>
      </w:r>
      <w:r w:rsidRPr="00EA3238">
        <w:t xml:space="preserve"> by:</w:t>
      </w:r>
    </w:p>
    <w:p w:rsidR="00346141" w:rsidRPr="00EA3238" w:rsidP="00CB7F12" w14:paraId="51AB5D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Pr="00EA3238" w:rsidP="00CB7F12" w14:paraId="362052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217">
        <w:t>WESTAT</w:t>
      </w:r>
    </w:p>
    <w:p w:rsidR="00346141" w:rsidRPr="00EA3238" w:rsidP="00CB7F12" w14:paraId="10FEED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address">
        <w:smartTag w:uri="urn:schemas-microsoft-com:office:smarttags" w:element="Street">
          <w:r w:rsidRPr="00EA3238">
            <w:t>1650 Research Boulevard</w:t>
          </w:r>
        </w:smartTag>
      </w:smartTag>
    </w:p>
    <w:p w:rsidR="00346141" w:rsidRPr="00EA3238" w:rsidP="00CB7F12" w14:paraId="1EF032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rsidRPr="00EA3238">
            <w:t>Rockville</w:t>
          </w:r>
        </w:smartTag>
        <w:r w:rsidRPr="00EA3238">
          <w:t xml:space="preserve">, </w:t>
        </w:r>
        <w:smartTag w:uri="urn:schemas-microsoft-com:office:smarttags" w:element="State">
          <w:r w:rsidRPr="00EA3238">
            <w:t>Maryland</w:t>
          </w:r>
        </w:smartTag>
        <w:r w:rsidRPr="00EA3238">
          <w:t xml:space="preserve"> </w:t>
        </w:r>
        <w:smartTag w:uri="urn:schemas-microsoft-com:office:smarttags" w:element="PostalCode">
          <w:r w:rsidRPr="00EA3238">
            <w:t>20850-3195</w:t>
          </w:r>
        </w:smartTag>
      </w:smartTag>
    </w:p>
    <w:p w:rsidR="00346141" w:rsidRPr="00EA3238" w:rsidP="00CB7F12" w14:paraId="7FCF3F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Tel: 301</w:t>
      </w:r>
      <w:r w:rsidR="00FD6955">
        <w:t>-</w:t>
      </w:r>
      <w:r w:rsidRPr="00EA3238">
        <w:t>251-1500</w:t>
      </w:r>
    </w:p>
    <w:p w:rsidR="00346141" w:rsidRPr="00EA3238" w:rsidP="00CB7F12" w14:paraId="4CC334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Fax: 301</w:t>
      </w:r>
      <w:r w:rsidR="00FD6955">
        <w:t>-</w:t>
      </w:r>
      <w:r w:rsidRPr="00EA3238">
        <w:t>294-2040</w:t>
      </w:r>
    </w:p>
    <w:p w:rsidR="000366BD" w:rsidRPr="00EA3238" w:rsidP="00CB7F12" w14:paraId="1605532D" w14:textId="37869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Project Director:</w:t>
      </w:r>
      <w:r w:rsidR="004911A6">
        <w:t xml:space="preserve"> </w:t>
      </w:r>
      <w:r>
        <w:t>Rebecca Montalvan</w:t>
      </w:r>
      <w:r w:rsidRPr="00EA3238">
        <w:t xml:space="preserve"> </w:t>
      </w:r>
    </w:p>
    <w:p w:rsidR="00346141" w:rsidP="00CB7F12" w14:paraId="45084761" w14:textId="37FB3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Email: </w:t>
      </w:r>
      <w:hyperlink r:id="rId6" w:history="1">
        <w:r w:rsidRPr="008E2A35" w:rsidR="00490F97">
          <w:rPr>
            <w:rStyle w:val="Hyperlink"/>
          </w:rPr>
          <w:t xml:space="preserve"> RebeccaMontalvan</w:t>
        </w:r>
        <w:r w:rsidRPr="00490F97" w:rsidR="00490F97">
          <w:rPr>
            <w:rStyle w:val="Hyperlink"/>
          </w:rPr>
          <w:t>@westat.com</w:t>
        </w:r>
      </w:hyperlink>
    </w:p>
    <w:p w:rsidR="00346141" w:rsidP="00CB7F12" w14:paraId="69A722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P="00CB7F12" w14:paraId="4BD39B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A3238">
        <w:rPr>
          <w:bCs/>
        </w:rPr>
        <w:t>Data analyzed by:</w:t>
      </w:r>
    </w:p>
    <w:p w:rsidR="00346141" w:rsidP="00CB7F12" w14:paraId="10065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Assisted Reproductive Technology </w:t>
      </w:r>
      <w:r w:rsidR="00824F2C">
        <w:t xml:space="preserve">Surveillance and Research </w:t>
      </w:r>
      <w:r w:rsidRPr="00EA3238">
        <w:t xml:space="preserve">Team </w:t>
      </w:r>
    </w:p>
    <w:p w:rsidR="00947B94" w:rsidP="00CB7F12" w14:paraId="4F63F95F" w14:textId="3C1C5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Women’s Health and Fertility</w:t>
      </w:r>
      <w:r w:rsidR="002C049B">
        <w:t xml:space="preserve"> Branch</w:t>
      </w:r>
      <w:r w:rsidR="00E04520">
        <w:t xml:space="preserve"> </w:t>
      </w:r>
    </w:p>
    <w:p w:rsidR="00346141" w:rsidP="00CB7F12" w14:paraId="2D545DFD" w14:textId="3ADD1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Division of Reproductive Health</w:t>
      </w:r>
    </w:p>
    <w:p w:rsidR="00346141" w:rsidP="00CB7F12" w14:paraId="18A67C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rsidR="00346141" w:rsidP="00CB7F12" w14:paraId="4602AF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address">
        <w:smartTag w:uri="urn:schemas-microsoft-com:office:smarttags" w:element="Street">
          <w:r w:rsidRPr="00EA3238">
            <w:t>4770 Buford Highway, N.E.</w:t>
          </w:r>
        </w:smartTag>
      </w:smartTag>
    </w:p>
    <w:p w:rsidR="00346141" w:rsidP="00CB7F12" w14:paraId="70130D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rsidRPr="00EA3238">
            <w:t>Atlanta</w:t>
          </w:r>
        </w:smartTag>
        <w:r w:rsidRPr="00EA3238">
          <w:t xml:space="preserve">, </w:t>
        </w:r>
        <w:smartTag w:uri="urn:schemas-microsoft-com:office:smarttags" w:element="State">
          <w:r w:rsidRPr="00EA3238">
            <w:t>GA</w:t>
          </w:r>
        </w:smartTag>
        <w:r w:rsidRPr="00EA3238">
          <w:t xml:space="preserve">  </w:t>
        </w:r>
        <w:smartTag w:uri="urn:schemas-microsoft-com:office:smarttags" w:element="PostalCode">
          <w:r w:rsidRPr="00EA3238">
            <w:t>30341</w:t>
          </w:r>
        </w:smartTag>
      </w:smartTag>
    </w:p>
    <w:p w:rsidR="00346141" w:rsidP="00CB7F12" w14:paraId="25F3FF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Tel:  770</w:t>
      </w:r>
      <w:r w:rsidR="00FD6955">
        <w:t>-</w:t>
      </w:r>
      <w:r w:rsidRPr="00EA3238">
        <w:t>488-6370</w:t>
      </w:r>
    </w:p>
    <w:p w:rsidR="00346141" w:rsidRPr="00EA3238" w:rsidP="00CB7F12" w14:paraId="1C97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Fax: 770</w:t>
      </w:r>
      <w:r w:rsidR="00FD6955">
        <w:t>-</w:t>
      </w:r>
      <w:r w:rsidRPr="00EA3238">
        <w:t>488-6391</w:t>
      </w:r>
    </w:p>
    <w:p w:rsidR="00346141" w:rsidP="00CB7F12" w14:paraId="0ABD6BEE" w14:textId="26F388A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Project Officer: </w:t>
      </w:r>
      <w:r w:rsidR="000366BD">
        <w:t>Sarah Mardovich</w:t>
      </w:r>
    </w:p>
    <w:p w:rsidR="00346141" w:rsidP="00CB7F12" w14:paraId="1FE24F5F" w14:textId="11BAAD9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Email: </w:t>
      </w:r>
      <w:hyperlink r:id="rId7" w:history="1">
        <w:r w:rsidRPr="00CA00ED" w:rsidR="00CA00ED">
          <w:rPr>
            <w:rStyle w:val="Hyperlink"/>
          </w:rPr>
          <w:t>nfr8@cdc.gov</w:t>
        </w:r>
      </w:hyperlink>
    </w:p>
    <w:p w:rsidR="00346141" w:rsidRPr="00EA3238" w:rsidP="00CB7F12" w14:paraId="480BB50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16ADF" w:rsidP="00CB7F12" w14:paraId="042D566B" w14:textId="77777777"/>
    <w:sectPr w:rsidSect="003461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188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iz Quadrata Std">
    <w:altName w:val="Friz Quadrata St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52D" w:rsidP="00EE241F" w14:paraId="0066A9B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7652D" w:rsidP="00346141" w14:paraId="7D88A8E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52D" w:rsidP="00EE241F" w14:paraId="43ED07D2" w14:textId="79C3D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E88">
      <w:rPr>
        <w:rStyle w:val="PageNumber"/>
        <w:noProof/>
      </w:rPr>
      <w:t>7</w:t>
    </w:r>
    <w:r>
      <w:rPr>
        <w:rStyle w:val="PageNumber"/>
      </w:rPr>
      <w:fldChar w:fldCharType="end"/>
    </w:r>
  </w:p>
  <w:p w:rsidR="0027652D" w:rsidP="00346141" w14:paraId="7751DFF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288" w14:paraId="7CE05F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288" w14:paraId="66B884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288" w14:paraId="49687C0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288" w14:paraId="5B2664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C477BD"/>
    <w:multiLevelType w:val="hybridMultilevel"/>
    <w:tmpl w:val="31588E7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080" w:firstLine="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9B16933"/>
    <w:multiLevelType w:val="hybridMultilevel"/>
    <w:tmpl w:val="266A19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14951389">
    <w:abstractNumId w:val="1"/>
  </w:num>
  <w:num w:numId="2" w16cid:durableId="9275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41"/>
    <w:rsid w:val="0000370F"/>
    <w:rsid w:val="000060A4"/>
    <w:rsid w:val="00010C06"/>
    <w:rsid w:val="00013E90"/>
    <w:rsid w:val="000344E8"/>
    <w:rsid w:val="00035157"/>
    <w:rsid w:val="000366BD"/>
    <w:rsid w:val="00036C1F"/>
    <w:rsid w:val="000413F7"/>
    <w:rsid w:val="0004677C"/>
    <w:rsid w:val="00047685"/>
    <w:rsid w:val="0005341D"/>
    <w:rsid w:val="00061D25"/>
    <w:rsid w:val="0007042A"/>
    <w:rsid w:val="000827C3"/>
    <w:rsid w:val="00093D34"/>
    <w:rsid w:val="000C7A40"/>
    <w:rsid w:val="000D0665"/>
    <w:rsid w:val="000D218C"/>
    <w:rsid w:val="000D51CC"/>
    <w:rsid w:val="000E4140"/>
    <w:rsid w:val="000F2E92"/>
    <w:rsid w:val="00102F40"/>
    <w:rsid w:val="00112549"/>
    <w:rsid w:val="00121A00"/>
    <w:rsid w:val="001241EA"/>
    <w:rsid w:val="00125589"/>
    <w:rsid w:val="00126939"/>
    <w:rsid w:val="001553B3"/>
    <w:rsid w:val="00156D77"/>
    <w:rsid w:val="00164611"/>
    <w:rsid w:val="001A0595"/>
    <w:rsid w:val="001F1D12"/>
    <w:rsid w:val="00206B1B"/>
    <w:rsid w:val="00211B3B"/>
    <w:rsid w:val="00253650"/>
    <w:rsid w:val="00255E2A"/>
    <w:rsid w:val="002609B3"/>
    <w:rsid w:val="00263C76"/>
    <w:rsid w:val="002650F8"/>
    <w:rsid w:val="002722B3"/>
    <w:rsid w:val="00272B79"/>
    <w:rsid w:val="00272D9B"/>
    <w:rsid w:val="0027652D"/>
    <w:rsid w:val="00284CA2"/>
    <w:rsid w:val="002966BA"/>
    <w:rsid w:val="002A6B54"/>
    <w:rsid w:val="002B2FE7"/>
    <w:rsid w:val="002B609A"/>
    <w:rsid w:val="002B76C8"/>
    <w:rsid w:val="002C049B"/>
    <w:rsid w:val="002D03B9"/>
    <w:rsid w:val="002F1312"/>
    <w:rsid w:val="002F17BA"/>
    <w:rsid w:val="002F3E88"/>
    <w:rsid w:val="00306934"/>
    <w:rsid w:val="00330C1D"/>
    <w:rsid w:val="00341439"/>
    <w:rsid w:val="00344017"/>
    <w:rsid w:val="00345149"/>
    <w:rsid w:val="00346141"/>
    <w:rsid w:val="00351E74"/>
    <w:rsid w:val="0037629C"/>
    <w:rsid w:val="003873F0"/>
    <w:rsid w:val="003A16D0"/>
    <w:rsid w:val="003A7B17"/>
    <w:rsid w:val="003B36EB"/>
    <w:rsid w:val="004012C1"/>
    <w:rsid w:val="004016CC"/>
    <w:rsid w:val="00411D1B"/>
    <w:rsid w:val="0041427D"/>
    <w:rsid w:val="004179FA"/>
    <w:rsid w:val="00422E38"/>
    <w:rsid w:val="00427641"/>
    <w:rsid w:val="00433D5E"/>
    <w:rsid w:val="00446187"/>
    <w:rsid w:val="00455396"/>
    <w:rsid w:val="00455C4D"/>
    <w:rsid w:val="004563BF"/>
    <w:rsid w:val="0046248F"/>
    <w:rsid w:val="004747A3"/>
    <w:rsid w:val="004853DE"/>
    <w:rsid w:val="00490F97"/>
    <w:rsid w:val="004911A6"/>
    <w:rsid w:val="004918DA"/>
    <w:rsid w:val="004A252F"/>
    <w:rsid w:val="004A4650"/>
    <w:rsid w:val="004B0DCD"/>
    <w:rsid w:val="004B11CC"/>
    <w:rsid w:val="004C7516"/>
    <w:rsid w:val="004E637E"/>
    <w:rsid w:val="004F0980"/>
    <w:rsid w:val="004F5CDB"/>
    <w:rsid w:val="00500D29"/>
    <w:rsid w:val="00501A01"/>
    <w:rsid w:val="0051333A"/>
    <w:rsid w:val="00514304"/>
    <w:rsid w:val="00516E05"/>
    <w:rsid w:val="005218AB"/>
    <w:rsid w:val="00535D8D"/>
    <w:rsid w:val="00545B09"/>
    <w:rsid w:val="00551921"/>
    <w:rsid w:val="005555EA"/>
    <w:rsid w:val="0057178E"/>
    <w:rsid w:val="00573290"/>
    <w:rsid w:val="005971CD"/>
    <w:rsid w:val="005A3001"/>
    <w:rsid w:val="005A34FA"/>
    <w:rsid w:val="005B37A1"/>
    <w:rsid w:val="005C3AEE"/>
    <w:rsid w:val="005C3BCA"/>
    <w:rsid w:val="005C4509"/>
    <w:rsid w:val="005D3FF4"/>
    <w:rsid w:val="005D6EC8"/>
    <w:rsid w:val="005E46E7"/>
    <w:rsid w:val="005F508E"/>
    <w:rsid w:val="005F5AC5"/>
    <w:rsid w:val="00605F7B"/>
    <w:rsid w:val="0062273F"/>
    <w:rsid w:val="00627ABB"/>
    <w:rsid w:val="00631643"/>
    <w:rsid w:val="006438D3"/>
    <w:rsid w:val="00643C5D"/>
    <w:rsid w:val="00643ED3"/>
    <w:rsid w:val="00646A9D"/>
    <w:rsid w:val="006613EA"/>
    <w:rsid w:val="00661601"/>
    <w:rsid w:val="0066585A"/>
    <w:rsid w:val="00696826"/>
    <w:rsid w:val="006A7A36"/>
    <w:rsid w:val="006B4382"/>
    <w:rsid w:val="006C55A6"/>
    <w:rsid w:val="006C6648"/>
    <w:rsid w:val="006D0588"/>
    <w:rsid w:val="006D7E35"/>
    <w:rsid w:val="006F0340"/>
    <w:rsid w:val="007002EA"/>
    <w:rsid w:val="00716ADF"/>
    <w:rsid w:val="00722858"/>
    <w:rsid w:val="00731120"/>
    <w:rsid w:val="007323C8"/>
    <w:rsid w:val="00742C42"/>
    <w:rsid w:val="00747DB7"/>
    <w:rsid w:val="0075135B"/>
    <w:rsid w:val="00755DD0"/>
    <w:rsid w:val="007569F8"/>
    <w:rsid w:val="00761DAD"/>
    <w:rsid w:val="007671CB"/>
    <w:rsid w:val="00772414"/>
    <w:rsid w:val="00782800"/>
    <w:rsid w:val="007A0FEB"/>
    <w:rsid w:val="007A426E"/>
    <w:rsid w:val="007A65BA"/>
    <w:rsid w:val="007B0951"/>
    <w:rsid w:val="007B28BC"/>
    <w:rsid w:val="007B6100"/>
    <w:rsid w:val="007B7024"/>
    <w:rsid w:val="007C747D"/>
    <w:rsid w:val="007D2E97"/>
    <w:rsid w:val="007D3406"/>
    <w:rsid w:val="007D37B9"/>
    <w:rsid w:val="007D5B72"/>
    <w:rsid w:val="007D7E18"/>
    <w:rsid w:val="007E043D"/>
    <w:rsid w:val="007F3398"/>
    <w:rsid w:val="007F46EA"/>
    <w:rsid w:val="00823F53"/>
    <w:rsid w:val="00824F2C"/>
    <w:rsid w:val="00832625"/>
    <w:rsid w:val="0084004B"/>
    <w:rsid w:val="00874217"/>
    <w:rsid w:val="00877229"/>
    <w:rsid w:val="00883804"/>
    <w:rsid w:val="00885F58"/>
    <w:rsid w:val="00890E38"/>
    <w:rsid w:val="00892BC7"/>
    <w:rsid w:val="00895B3C"/>
    <w:rsid w:val="008C0106"/>
    <w:rsid w:val="008C3AB8"/>
    <w:rsid w:val="008D4FB0"/>
    <w:rsid w:val="008D7F4C"/>
    <w:rsid w:val="008E280C"/>
    <w:rsid w:val="008E2A35"/>
    <w:rsid w:val="008F6C58"/>
    <w:rsid w:val="009002AB"/>
    <w:rsid w:val="009133C6"/>
    <w:rsid w:val="0091500E"/>
    <w:rsid w:val="0092132E"/>
    <w:rsid w:val="00926576"/>
    <w:rsid w:val="00930DE4"/>
    <w:rsid w:val="00931A89"/>
    <w:rsid w:val="00935E85"/>
    <w:rsid w:val="00936A06"/>
    <w:rsid w:val="009436FE"/>
    <w:rsid w:val="0094669E"/>
    <w:rsid w:val="00947B94"/>
    <w:rsid w:val="00962630"/>
    <w:rsid w:val="00964F84"/>
    <w:rsid w:val="009677A8"/>
    <w:rsid w:val="009820B6"/>
    <w:rsid w:val="00987FA3"/>
    <w:rsid w:val="009951A1"/>
    <w:rsid w:val="009C682E"/>
    <w:rsid w:val="009C769E"/>
    <w:rsid w:val="009E0AC8"/>
    <w:rsid w:val="009E4B03"/>
    <w:rsid w:val="009E54AE"/>
    <w:rsid w:val="009F2473"/>
    <w:rsid w:val="009F4B8A"/>
    <w:rsid w:val="00A06444"/>
    <w:rsid w:val="00A13464"/>
    <w:rsid w:val="00A20597"/>
    <w:rsid w:val="00A230AD"/>
    <w:rsid w:val="00A4013E"/>
    <w:rsid w:val="00A41B3A"/>
    <w:rsid w:val="00A50433"/>
    <w:rsid w:val="00A50802"/>
    <w:rsid w:val="00A87E61"/>
    <w:rsid w:val="00A91566"/>
    <w:rsid w:val="00AA1F38"/>
    <w:rsid w:val="00AA5B36"/>
    <w:rsid w:val="00AB08EB"/>
    <w:rsid w:val="00AB531D"/>
    <w:rsid w:val="00AC3771"/>
    <w:rsid w:val="00AC3D0E"/>
    <w:rsid w:val="00AC782D"/>
    <w:rsid w:val="00AD165A"/>
    <w:rsid w:val="00AE5905"/>
    <w:rsid w:val="00AF3288"/>
    <w:rsid w:val="00B03CA5"/>
    <w:rsid w:val="00B12620"/>
    <w:rsid w:val="00B21A81"/>
    <w:rsid w:val="00B47F00"/>
    <w:rsid w:val="00B573F6"/>
    <w:rsid w:val="00B66F21"/>
    <w:rsid w:val="00B75E10"/>
    <w:rsid w:val="00B90DBD"/>
    <w:rsid w:val="00BA2974"/>
    <w:rsid w:val="00BA4E91"/>
    <w:rsid w:val="00BB0205"/>
    <w:rsid w:val="00BB2903"/>
    <w:rsid w:val="00BB5FD1"/>
    <w:rsid w:val="00BB72D1"/>
    <w:rsid w:val="00BD422E"/>
    <w:rsid w:val="00BF4FFA"/>
    <w:rsid w:val="00C06466"/>
    <w:rsid w:val="00C10BA1"/>
    <w:rsid w:val="00C12B64"/>
    <w:rsid w:val="00C14289"/>
    <w:rsid w:val="00C142B5"/>
    <w:rsid w:val="00C2272D"/>
    <w:rsid w:val="00C3441F"/>
    <w:rsid w:val="00C34D01"/>
    <w:rsid w:val="00C37B99"/>
    <w:rsid w:val="00C6387A"/>
    <w:rsid w:val="00C65FDE"/>
    <w:rsid w:val="00C7034E"/>
    <w:rsid w:val="00C7368B"/>
    <w:rsid w:val="00C9031D"/>
    <w:rsid w:val="00C917E8"/>
    <w:rsid w:val="00C957E2"/>
    <w:rsid w:val="00C96994"/>
    <w:rsid w:val="00C97233"/>
    <w:rsid w:val="00C97405"/>
    <w:rsid w:val="00CA00ED"/>
    <w:rsid w:val="00CB7F12"/>
    <w:rsid w:val="00CD73A7"/>
    <w:rsid w:val="00CD7EEB"/>
    <w:rsid w:val="00CE645F"/>
    <w:rsid w:val="00CE7DE2"/>
    <w:rsid w:val="00D00D38"/>
    <w:rsid w:val="00D01712"/>
    <w:rsid w:val="00D050CB"/>
    <w:rsid w:val="00D05209"/>
    <w:rsid w:val="00D22D45"/>
    <w:rsid w:val="00D3464F"/>
    <w:rsid w:val="00D361D4"/>
    <w:rsid w:val="00D366AF"/>
    <w:rsid w:val="00D47245"/>
    <w:rsid w:val="00D600F2"/>
    <w:rsid w:val="00D67434"/>
    <w:rsid w:val="00D72217"/>
    <w:rsid w:val="00D72666"/>
    <w:rsid w:val="00D95560"/>
    <w:rsid w:val="00DB0681"/>
    <w:rsid w:val="00DC592F"/>
    <w:rsid w:val="00DD5168"/>
    <w:rsid w:val="00DE6FFB"/>
    <w:rsid w:val="00DF74CA"/>
    <w:rsid w:val="00DF7FAC"/>
    <w:rsid w:val="00E025D1"/>
    <w:rsid w:val="00E04520"/>
    <w:rsid w:val="00E04634"/>
    <w:rsid w:val="00E20323"/>
    <w:rsid w:val="00E214D9"/>
    <w:rsid w:val="00E2171E"/>
    <w:rsid w:val="00E2524E"/>
    <w:rsid w:val="00E25C5C"/>
    <w:rsid w:val="00E45F6C"/>
    <w:rsid w:val="00E71A19"/>
    <w:rsid w:val="00E77123"/>
    <w:rsid w:val="00E964D5"/>
    <w:rsid w:val="00EA3238"/>
    <w:rsid w:val="00EA4770"/>
    <w:rsid w:val="00EA5AB2"/>
    <w:rsid w:val="00ED27C8"/>
    <w:rsid w:val="00EE241F"/>
    <w:rsid w:val="00F01C98"/>
    <w:rsid w:val="00F07832"/>
    <w:rsid w:val="00F1392B"/>
    <w:rsid w:val="00F33E16"/>
    <w:rsid w:val="00F4236B"/>
    <w:rsid w:val="00F4380C"/>
    <w:rsid w:val="00F521AF"/>
    <w:rsid w:val="00F5298B"/>
    <w:rsid w:val="00F5480B"/>
    <w:rsid w:val="00F6404B"/>
    <w:rsid w:val="00F6595D"/>
    <w:rsid w:val="00F70C53"/>
    <w:rsid w:val="00FA3D8D"/>
    <w:rsid w:val="00FA49CB"/>
    <w:rsid w:val="00FB74BB"/>
    <w:rsid w:val="00FC43B6"/>
    <w:rsid w:val="00FC5056"/>
    <w:rsid w:val="00FC58A2"/>
    <w:rsid w:val="00FD6955"/>
    <w:rsid w:val="00FE63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A215D0"/>
  <w15:docId w15:val="{C8FD120E-9724-40A8-9199-ADD76445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614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46141"/>
    <w:rPr>
      <w:color w:val="0000FF"/>
    </w:rPr>
  </w:style>
  <w:style w:type="character" w:styleId="CommentReference">
    <w:name w:val="annotation reference"/>
    <w:basedOn w:val="DefaultParagraphFont"/>
    <w:semiHidden/>
    <w:rsid w:val="00346141"/>
    <w:rPr>
      <w:sz w:val="16"/>
      <w:szCs w:val="16"/>
    </w:rPr>
  </w:style>
  <w:style w:type="paragraph" w:styleId="CommentText">
    <w:name w:val="annotation text"/>
    <w:basedOn w:val="Normal"/>
    <w:semiHidden/>
    <w:rsid w:val="00346141"/>
    <w:rPr>
      <w:sz w:val="20"/>
      <w:szCs w:val="20"/>
    </w:rPr>
  </w:style>
  <w:style w:type="paragraph" w:styleId="BalloonText">
    <w:name w:val="Balloon Text"/>
    <w:basedOn w:val="Normal"/>
    <w:semiHidden/>
    <w:rsid w:val="00346141"/>
    <w:rPr>
      <w:rFonts w:ascii="Tahoma" w:hAnsi="Tahoma" w:cs="Tahoma"/>
      <w:sz w:val="16"/>
      <w:szCs w:val="16"/>
    </w:rPr>
  </w:style>
  <w:style w:type="paragraph" w:styleId="Footer">
    <w:name w:val="footer"/>
    <w:basedOn w:val="Normal"/>
    <w:rsid w:val="00346141"/>
    <w:pPr>
      <w:tabs>
        <w:tab w:val="center" w:pos="4320"/>
        <w:tab w:val="right" w:pos="8640"/>
      </w:tabs>
    </w:pPr>
  </w:style>
  <w:style w:type="character" w:styleId="PageNumber">
    <w:name w:val="page number"/>
    <w:basedOn w:val="DefaultParagraphFont"/>
    <w:rsid w:val="00346141"/>
  </w:style>
  <w:style w:type="table" w:styleId="TableGrid">
    <w:name w:val="Table Grid"/>
    <w:basedOn w:val="TableNormal"/>
    <w:rsid w:val="00597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6B1B"/>
    <w:rPr>
      <w:b/>
      <w:bCs/>
    </w:rPr>
  </w:style>
  <w:style w:type="paragraph" w:styleId="Header">
    <w:name w:val="header"/>
    <w:basedOn w:val="Normal"/>
    <w:link w:val="HeaderChar"/>
    <w:rsid w:val="007569F8"/>
    <w:pPr>
      <w:tabs>
        <w:tab w:val="center" w:pos="4680"/>
        <w:tab w:val="right" w:pos="9360"/>
      </w:tabs>
    </w:pPr>
  </w:style>
  <w:style w:type="character" w:customStyle="1" w:styleId="HeaderChar">
    <w:name w:val="Header Char"/>
    <w:basedOn w:val="DefaultParagraphFont"/>
    <w:link w:val="Header"/>
    <w:rsid w:val="007569F8"/>
    <w:rPr>
      <w:sz w:val="24"/>
      <w:szCs w:val="24"/>
    </w:rPr>
  </w:style>
  <w:style w:type="paragraph" w:customStyle="1" w:styleId="Default">
    <w:name w:val="Default"/>
    <w:rsid w:val="00B1262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E7DE2"/>
    <w:pPr>
      <w:ind w:left="720"/>
      <w:contextualSpacing/>
    </w:pPr>
  </w:style>
  <w:style w:type="paragraph" w:styleId="Revision">
    <w:name w:val="Revision"/>
    <w:hidden/>
    <w:uiPriority w:val="99"/>
    <w:semiHidden/>
    <w:rsid w:val="000366BD"/>
    <w:rPr>
      <w:sz w:val="24"/>
      <w:szCs w:val="24"/>
    </w:rPr>
  </w:style>
  <w:style w:type="character" w:styleId="UnresolvedMention">
    <w:name w:val="Unresolved Mention"/>
    <w:basedOn w:val="DefaultParagraphFont"/>
    <w:uiPriority w:val="99"/>
    <w:semiHidden/>
    <w:unhideWhenUsed/>
    <w:rsid w:val="005555EA"/>
    <w:rPr>
      <w:color w:val="605E5C"/>
      <w:shd w:val="clear" w:color="auto" w:fill="E1DFDD"/>
    </w:rPr>
  </w:style>
  <w:style w:type="character" w:styleId="FollowedHyperlink">
    <w:name w:val="FollowedHyperlink"/>
    <w:basedOn w:val="DefaultParagraphFont"/>
    <w:semiHidden/>
    <w:unhideWhenUsed/>
    <w:rsid w:val="00490F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k3@cdc.gov" TargetMode="External" /><Relationship Id="rId5" Type="http://schemas.openxmlformats.org/officeDocument/2006/relationships/hyperlink" Target="mailto:%20DritanSubashi@westat.com" TargetMode="External" /><Relationship Id="rId6" Type="http://schemas.openxmlformats.org/officeDocument/2006/relationships/hyperlink" Target="mailto:%20RebeccaMontalvan@westat.com" TargetMode="External" /><Relationship Id="rId7" Type="http://schemas.openxmlformats.org/officeDocument/2006/relationships/hyperlink" Target="mailto:nfr8@cdc.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Assisted Reproductive Technology (ART) Program Reporting System</vt:lpstr>
    </vt:vector>
  </TitlesOfParts>
  <Company>Centers for Disease Control and Prevention</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Reproductive Technology (ART) Program Reporting System</dc:title>
  <dc:creator>ghs5</dc:creator>
  <cp:lastModifiedBy>Cox, Shanna (CDC/NCCDPHP/DRH)</cp:lastModifiedBy>
  <cp:revision>7</cp:revision>
  <cp:lastPrinted>2009-03-30T23:53:00Z</cp:lastPrinted>
  <dcterms:created xsi:type="dcterms:W3CDTF">2024-10-29T15:14:00Z</dcterms:created>
  <dcterms:modified xsi:type="dcterms:W3CDTF">2024-12-18T21:46:00Z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9d7e78f2-e4c9-4b4e-a3b4-63bdf7b637f1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2024-12-18T21:46:39Z</vt:lpwstr>
  </property>
  <property fmtid="{D5CDD505-2E9C-101B-9397-08002B2CF9AE}" pid="8" name="MSIP_Label_8af03ff0-41c5-4c41-b55e-fabb8fae94be_SiteId">
    <vt:lpwstr>9ce70869-60db-44fd-abe8-d2767077fc8f</vt:lpwstr>
  </property>
</Properties>
</file>