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54C1" w:rsidRPr="005B7090" w:rsidP="005254C1" w14:paraId="73A065AD" w14:textId="29BB46B5">
      <w:pPr>
        <w:spacing w:after="0" w:line="240" w:lineRule="auto"/>
        <w:rPr>
          <w:i/>
          <w:iCs/>
          <w:sz w:val="24"/>
        </w:rPr>
      </w:pPr>
      <w:r>
        <w:rPr>
          <w:sz w:val="24"/>
        </w:rPr>
        <w:t xml:space="preserve">November </w:t>
      </w:r>
      <w:r w:rsidR="006805DF">
        <w:rPr>
          <w:sz w:val="24"/>
        </w:rPr>
        <w:t>8</w:t>
      </w:r>
      <w:r w:rsidR="00D5276B">
        <w:rPr>
          <w:sz w:val="24"/>
        </w:rPr>
        <w:t>, 2024</w:t>
      </w:r>
    </w:p>
    <w:p w:rsidR="005254C1" w:rsidRPr="005B7090" w:rsidP="005254C1" w14:paraId="6B698BFD" w14:textId="77777777">
      <w:pPr>
        <w:spacing w:after="0" w:line="240" w:lineRule="auto"/>
        <w:rPr>
          <w:sz w:val="24"/>
        </w:rPr>
      </w:pPr>
    </w:p>
    <w:p w:rsidR="005254C1" w:rsidRPr="005B7090" w:rsidP="005254C1" w14:paraId="4B2C69B6" w14:textId="77777777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sz w:val="24"/>
        </w:rPr>
      </w:pPr>
      <w:bookmarkStart w:id="0" w:name="_Hlk13649631"/>
      <w:r w:rsidRPr="005B7090">
        <w:rPr>
          <w:sz w:val="24"/>
        </w:rPr>
        <w:t>TO:</w:t>
      </w:r>
      <w:r w:rsidRPr="005B7090">
        <w:rPr>
          <w:sz w:val="24"/>
        </w:rPr>
        <w:tab/>
      </w:r>
      <w:r w:rsidRPr="005B7090">
        <w:rPr>
          <w:sz w:val="24"/>
        </w:rPr>
        <w:tab/>
        <w:t>Office of Management and Budget (OMB)</w:t>
      </w:r>
    </w:p>
    <w:p w:rsidR="005254C1" w:rsidRPr="00BF55A4" w:rsidP="005254C1" w14:paraId="01E04E40" w14:textId="77777777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sz w:val="24"/>
          <w:szCs w:val="24"/>
        </w:rPr>
      </w:pPr>
    </w:p>
    <w:p w:rsidR="005254C1" w:rsidRPr="00BF55A4" w:rsidP="005254C1" w14:paraId="1526ACA4" w14:textId="77777777">
      <w:pPr>
        <w:spacing w:after="0" w:line="240" w:lineRule="auto"/>
        <w:rPr>
          <w:sz w:val="24"/>
          <w:szCs w:val="24"/>
        </w:rPr>
      </w:pPr>
      <w:r w:rsidRPr="00BF55A4">
        <w:rPr>
          <w:sz w:val="24"/>
          <w:szCs w:val="24"/>
        </w:rPr>
        <w:t>Through:</w:t>
      </w:r>
      <w:r w:rsidRPr="00BF55A4">
        <w:rPr>
          <w:sz w:val="24"/>
          <w:szCs w:val="24"/>
        </w:rPr>
        <w:tab/>
      </w:r>
      <w:r w:rsidRPr="006D7385" w:rsidR="006D7385">
        <w:rPr>
          <w:sz w:val="24"/>
          <w:szCs w:val="24"/>
        </w:rPr>
        <w:t>Reports Clearance Officer, DHHS</w:t>
      </w:r>
    </w:p>
    <w:p w:rsidR="005254C1" w:rsidRPr="00BF55A4" w:rsidP="005254C1" w14:paraId="07B9DCAF" w14:textId="77777777">
      <w:pPr>
        <w:spacing w:after="0" w:line="240" w:lineRule="auto"/>
        <w:rPr>
          <w:sz w:val="24"/>
          <w:szCs w:val="24"/>
        </w:rPr>
      </w:pPr>
      <w:r w:rsidRPr="00BF55A4">
        <w:rPr>
          <w:sz w:val="24"/>
          <w:szCs w:val="24"/>
        </w:rPr>
        <w:tab/>
      </w:r>
      <w:r w:rsidRPr="00BF55A4">
        <w:rPr>
          <w:sz w:val="24"/>
          <w:szCs w:val="24"/>
        </w:rPr>
        <w:tab/>
      </w:r>
      <w:r w:rsidRPr="00BF55A4" w:rsidR="00BF55A4">
        <w:rPr>
          <w:sz w:val="24"/>
          <w:szCs w:val="24"/>
        </w:rPr>
        <w:t xml:space="preserve">Mikia Currie, </w:t>
      </w:r>
      <w:r w:rsidRPr="00BF55A4">
        <w:rPr>
          <w:sz w:val="24"/>
          <w:szCs w:val="24"/>
        </w:rPr>
        <w:t xml:space="preserve">NIH </w:t>
      </w:r>
      <w:r w:rsidRPr="00BF55A4">
        <w:rPr>
          <w:sz w:val="24"/>
          <w:szCs w:val="24"/>
          <w:u w:val="single"/>
        </w:rPr>
        <w:t xml:space="preserve">      </w:t>
      </w:r>
    </w:p>
    <w:p w:rsidR="005254C1" w:rsidRPr="00BF55A4" w:rsidP="005254C1" w14:paraId="0053EC89" w14:textId="77777777">
      <w:pPr>
        <w:spacing w:after="0" w:line="240" w:lineRule="auto"/>
        <w:rPr>
          <w:sz w:val="24"/>
          <w:szCs w:val="24"/>
        </w:rPr>
      </w:pPr>
      <w:r w:rsidRPr="00BF55A4">
        <w:rPr>
          <w:sz w:val="24"/>
          <w:szCs w:val="24"/>
        </w:rPr>
        <w:tab/>
      </w:r>
      <w:r w:rsidRPr="00BF55A4">
        <w:rPr>
          <w:sz w:val="24"/>
          <w:szCs w:val="24"/>
        </w:rPr>
        <w:tab/>
      </w:r>
      <w:r w:rsidRPr="00BF55A4" w:rsidR="00BF55A4">
        <w:rPr>
          <w:sz w:val="24"/>
          <w:szCs w:val="24"/>
        </w:rPr>
        <w:t>Jennifer Guimond</w:t>
      </w:r>
      <w:r w:rsidRPr="00BF55A4">
        <w:rPr>
          <w:sz w:val="24"/>
          <w:szCs w:val="24"/>
        </w:rPr>
        <w:t xml:space="preserve">, </w:t>
      </w:r>
      <w:r w:rsidRPr="00BF55A4">
        <w:rPr>
          <w:iCs/>
          <w:sz w:val="24"/>
          <w:szCs w:val="24"/>
        </w:rPr>
        <w:t>NICHD</w:t>
      </w:r>
    </w:p>
    <w:bookmarkEnd w:id="0"/>
    <w:p w:rsidR="005254C1" w:rsidRPr="005B7090" w:rsidP="005254C1" w14:paraId="2EA5F7C5" w14:textId="77777777">
      <w:pPr>
        <w:spacing w:after="0" w:line="240" w:lineRule="auto"/>
        <w:rPr>
          <w:sz w:val="24"/>
        </w:rPr>
      </w:pPr>
    </w:p>
    <w:p w:rsidR="00BF55A4" w:rsidRPr="00A15AA3" w:rsidP="00BF55A4" w14:paraId="301F1CA8" w14:textId="00C16B54">
      <w:pPr>
        <w:spacing w:after="0" w:line="240" w:lineRule="auto"/>
        <w:rPr>
          <w:sz w:val="24"/>
        </w:rPr>
      </w:pPr>
      <w:r w:rsidRPr="005B7090">
        <w:rPr>
          <w:sz w:val="24"/>
        </w:rPr>
        <w:t>FROM:</w:t>
      </w:r>
      <w:r w:rsidRPr="005B7090">
        <w:rPr>
          <w:sz w:val="24"/>
        </w:rPr>
        <w:tab/>
      </w:r>
      <w:r w:rsidRPr="005B7090">
        <w:rPr>
          <w:sz w:val="24"/>
        </w:rPr>
        <w:tab/>
      </w:r>
      <w:r w:rsidRPr="00A15AA3" w:rsidR="00C262B7">
        <w:rPr>
          <w:sz w:val="24"/>
        </w:rPr>
        <w:t>Alison Cernich</w:t>
      </w:r>
    </w:p>
    <w:p w:rsidR="005254C1" w:rsidRPr="0034495C" w:rsidP="00D5276B" w14:paraId="4EE2D0B9" w14:textId="3E7B8DFE">
      <w:pPr>
        <w:spacing w:after="0" w:line="240" w:lineRule="auto"/>
        <w:rPr>
          <w:sz w:val="24"/>
        </w:rPr>
      </w:pPr>
      <w:r w:rsidRPr="00A15AA3">
        <w:rPr>
          <w:sz w:val="24"/>
        </w:rPr>
        <w:tab/>
      </w:r>
      <w:r w:rsidRPr="00A15AA3">
        <w:rPr>
          <w:sz w:val="24"/>
        </w:rPr>
        <w:tab/>
      </w:r>
      <w:r w:rsidRPr="00A15AA3" w:rsidR="0091428C">
        <w:rPr>
          <w:sz w:val="24"/>
        </w:rPr>
        <w:t>Deputy Director</w:t>
      </w:r>
      <w:r w:rsidR="00D5276B">
        <w:rPr>
          <w:sz w:val="24"/>
        </w:rPr>
        <w:t xml:space="preserve">, </w:t>
      </w:r>
      <w:r w:rsidRPr="00A15AA3" w:rsidR="001D6400">
        <w:rPr>
          <w:sz w:val="24"/>
        </w:rPr>
        <w:t>NICHD</w:t>
      </w:r>
    </w:p>
    <w:p w:rsidR="005254C1" w:rsidRPr="005B7090" w:rsidP="005254C1" w14:paraId="6E6E199A" w14:textId="77777777">
      <w:pPr>
        <w:spacing w:after="0" w:line="240" w:lineRule="auto"/>
        <w:ind w:left="720" w:firstLine="720"/>
        <w:rPr>
          <w:sz w:val="24"/>
        </w:rPr>
      </w:pPr>
    </w:p>
    <w:p w:rsidR="000732EC" w:rsidP="00F173C6" w14:paraId="74E3CDB2" w14:textId="60A67470">
      <w:pPr>
        <w:spacing w:after="0" w:line="240" w:lineRule="auto"/>
        <w:rPr>
          <w:sz w:val="24"/>
        </w:rPr>
      </w:pPr>
      <w:r w:rsidRPr="005B7090">
        <w:rPr>
          <w:sz w:val="24"/>
        </w:rPr>
        <w:t>SUBJECT:</w:t>
      </w:r>
      <w:r w:rsidRPr="005B7090">
        <w:rPr>
          <w:sz w:val="24"/>
        </w:rPr>
        <w:tab/>
        <w:t>Non-Substantive Change Request for 0925-</w:t>
      </w:r>
      <w:r w:rsidR="006B5C92">
        <w:rPr>
          <w:sz w:val="24"/>
        </w:rPr>
        <w:t>0744</w:t>
      </w:r>
      <w:r>
        <w:rPr>
          <w:sz w:val="24"/>
        </w:rPr>
        <w:t xml:space="preserve">, exp. </w:t>
      </w:r>
      <w:r w:rsidR="00056932">
        <w:rPr>
          <w:sz w:val="24"/>
        </w:rPr>
        <w:t>7/31/2027</w:t>
      </w:r>
    </w:p>
    <w:p w:rsidR="00F173C6" w:rsidP="000732EC" w14:paraId="06327E0C" w14:textId="2C5C8840">
      <w:pPr>
        <w:spacing w:after="0" w:line="240" w:lineRule="auto"/>
        <w:ind w:left="720" w:firstLine="720"/>
        <w:rPr>
          <w:sz w:val="24"/>
        </w:rPr>
      </w:pPr>
      <w:bookmarkStart w:id="1" w:name="_Hlk173746540"/>
      <w:r w:rsidRPr="00F173C6">
        <w:rPr>
          <w:sz w:val="24"/>
        </w:rPr>
        <w:t>Data and Specimen Hub (DASH)</w:t>
      </w:r>
      <w:bookmarkEnd w:id="1"/>
      <w:r w:rsidRPr="00F173C6">
        <w:rPr>
          <w:sz w:val="24"/>
        </w:rPr>
        <w:t xml:space="preserve"> (NICHD)</w:t>
      </w:r>
    </w:p>
    <w:p w:rsidR="00453A5A" w:rsidRPr="00F173C6" w:rsidP="000732EC" w14:paraId="28E16D7F" w14:textId="73EED219">
      <w:pPr>
        <w:spacing w:after="0" w:line="240" w:lineRule="auto"/>
        <w:ind w:left="720" w:firstLine="720"/>
        <w:rPr>
          <w:sz w:val="24"/>
        </w:rPr>
      </w:pPr>
      <w:hyperlink r:id="rId8" w:history="1">
        <w:r w:rsidRPr="0083222C">
          <w:rPr>
            <w:rStyle w:val="Hyperlink"/>
            <w:i/>
            <w:iCs/>
            <w:sz w:val="24"/>
          </w:rPr>
          <w:t>https://www.reginfo.gov/public/do/PRAViewICR?ref_nbr=202404-0925-001#</w:t>
        </w:r>
      </w:hyperlink>
    </w:p>
    <w:p w:rsidR="005254C1" w:rsidRPr="005B7090" w:rsidP="005254C1" w14:paraId="5D09D149" w14:textId="77777777">
      <w:pPr>
        <w:spacing w:after="0" w:line="240" w:lineRule="auto"/>
        <w:rPr>
          <w:sz w:val="24"/>
        </w:rPr>
      </w:pPr>
    </w:p>
    <w:p w:rsidR="00056932" w:rsidP="005254C1" w14:paraId="552C9461" w14:textId="364916C6">
      <w:pPr>
        <w:spacing w:after="0" w:line="240" w:lineRule="auto"/>
        <w:rPr>
          <w:rFonts w:cs="Calibri"/>
          <w:sz w:val="24"/>
        </w:rPr>
      </w:pPr>
      <w:r w:rsidRPr="00056932">
        <w:rPr>
          <w:rFonts w:cs="Calibri"/>
          <w:sz w:val="24"/>
        </w:rPr>
        <w:t>This is a request for OMB to approve a modification of</w:t>
      </w:r>
      <w:r w:rsidR="004147FC">
        <w:rPr>
          <w:rFonts w:cs="Calibri"/>
          <w:sz w:val="24"/>
        </w:rPr>
        <w:t xml:space="preserve"> the submission for</w:t>
      </w:r>
      <w:r w:rsidRPr="00056932">
        <w:rPr>
          <w:rFonts w:cs="Calibri"/>
          <w:sz w:val="24"/>
        </w:rPr>
        <w:t xml:space="preserve"> </w:t>
      </w:r>
      <w:r w:rsidR="00D5276B">
        <w:rPr>
          <w:rFonts w:cs="Calibri"/>
          <w:sz w:val="24"/>
        </w:rPr>
        <w:t xml:space="preserve">the NICHD </w:t>
      </w:r>
      <w:r w:rsidRPr="00056932">
        <w:rPr>
          <w:rFonts w:cs="Calibri"/>
          <w:sz w:val="24"/>
        </w:rPr>
        <w:t>Data and Specimen Hub (DASH)</w:t>
      </w:r>
      <w:r w:rsidRPr="00056932">
        <w:rPr>
          <w:rFonts w:cs="Calibri"/>
          <w:sz w:val="24"/>
        </w:rPr>
        <w:t xml:space="preserve">. </w:t>
      </w:r>
      <w:r w:rsidRPr="004147FC" w:rsidR="004147FC">
        <w:rPr>
          <w:rFonts w:cs="Calibri"/>
          <w:sz w:val="24"/>
        </w:rPr>
        <w:t>DASH has been established by NICHD as a data sharing mechanism for clinical research studies. It serves as a centralized resource for investigators to share and access de-identified study data funded by NICHD. DASH also serves as a portal for requesting biospecimens from select DASH studies.</w:t>
      </w:r>
      <w:r w:rsidR="000939F1">
        <w:rPr>
          <w:rFonts w:cs="Calibri"/>
          <w:sz w:val="24"/>
        </w:rPr>
        <w:t xml:space="preserve"> </w:t>
      </w:r>
      <w:r w:rsidR="00400439">
        <w:rPr>
          <w:rFonts w:cs="Calibri"/>
          <w:sz w:val="24"/>
        </w:rPr>
        <w:t xml:space="preserve">Researchers submit forms when registering to use DASH, uploading information to DASH, and requesting </w:t>
      </w:r>
      <w:r w:rsidR="00B30680">
        <w:rPr>
          <w:rFonts w:cs="Calibri"/>
          <w:sz w:val="24"/>
        </w:rPr>
        <w:t>data or biospecimens through DASH.</w:t>
      </w:r>
    </w:p>
    <w:p w:rsidR="00B30680" w:rsidP="005254C1" w14:paraId="2FACE3D0" w14:textId="77777777">
      <w:pPr>
        <w:spacing w:after="0" w:line="240" w:lineRule="auto"/>
        <w:rPr>
          <w:rFonts w:cs="Calibri"/>
          <w:sz w:val="24"/>
        </w:rPr>
      </w:pPr>
    </w:p>
    <w:p w:rsidR="006805DF" w:rsidP="005F16F2" w14:paraId="2029DB67" w14:textId="53BE2120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I</w:t>
      </w:r>
      <w:r w:rsidR="00436296">
        <w:rPr>
          <w:rFonts w:cs="Calibri"/>
          <w:sz w:val="24"/>
        </w:rPr>
        <w:t xml:space="preserve">nformation collection was intended to be </w:t>
      </w:r>
      <w:r w:rsidR="0062427F">
        <w:rPr>
          <w:rFonts w:cs="Calibri"/>
          <w:sz w:val="24"/>
        </w:rPr>
        <w:t>submitted</w:t>
      </w:r>
      <w:r w:rsidR="00436296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t</w:t>
      </w:r>
      <w:r w:rsidR="00845072">
        <w:rPr>
          <w:rFonts w:cs="Calibri"/>
          <w:sz w:val="24"/>
        </w:rPr>
        <w:t>hrough</w:t>
      </w:r>
      <w:r>
        <w:rPr>
          <w:rFonts w:cs="Calibri"/>
          <w:sz w:val="24"/>
        </w:rPr>
        <w:t xml:space="preserve"> the </w:t>
      </w:r>
      <w:r w:rsidR="00D5276B">
        <w:rPr>
          <w:rFonts w:cs="Calibri"/>
          <w:sz w:val="24"/>
        </w:rPr>
        <w:t xml:space="preserve">online </w:t>
      </w:r>
      <w:r>
        <w:rPr>
          <w:rFonts w:cs="Calibri"/>
          <w:sz w:val="24"/>
        </w:rPr>
        <w:t>DASH</w:t>
      </w:r>
      <w:r w:rsidR="0007428A">
        <w:rPr>
          <w:rFonts w:cs="Calibri"/>
          <w:sz w:val="24"/>
        </w:rPr>
        <w:t xml:space="preserve"> system</w:t>
      </w:r>
      <w:r w:rsidR="00436296">
        <w:rPr>
          <w:rFonts w:cs="Calibri"/>
          <w:sz w:val="24"/>
        </w:rPr>
        <w:t>. However, due to</w:t>
      </w:r>
      <w:r w:rsidR="00E05B22">
        <w:rPr>
          <w:rFonts w:cs="Calibri"/>
          <w:sz w:val="24"/>
        </w:rPr>
        <w:t xml:space="preserve"> a</w:t>
      </w:r>
      <w:r w:rsidR="00436296">
        <w:rPr>
          <w:rFonts w:cs="Calibri"/>
          <w:sz w:val="24"/>
        </w:rPr>
        <w:t xml:space="preserve"> technical limitation, </w:t>
      </w:r>
      <w:r w:rsidR="00B34A36">
        <w:rPr>
          <w:rFonts w:cs="Calibri"/>
          <w:sz w:val="24"/>
        </w:rPr>
        <w:t xml:space="preserve">some users will need to complete </w:t>
      </w:r>
      <w:r w:rsidRPr="00B34A36" w:rsidR="00B34A36">
        <w:rPr>
          <w:rFonts w:cs="Calibri"/>
          <w:sz w:val="24"/>
        </w:rPr>
        <w:t>Attachment A.2-5: NICHD DASH – Biospecimen Request</w:t>
      </w:r>
      <w:r w:rsidR="0007428A">
        <w:rPr>
          <w:rFonts w:cs="Calibri"/>
          <w:sz w:val="24"/>
        </w:rPr>
        <w:t xml:space="preserve"> as a fillable </w:t>
      </w:r>
      <w:r w:rsidR="005F16F2">
        <w:rPr>
          <w:rFonts w:cs="Calibri"/>
          <w:sz w:val="24"/>
        </w:rPr>
        <w:t>pdf</w:t>
      </w:r>
      <w:r w:rsidR="0007428A">
        <w:rPr>
          <w:rFonts w:cs="Calibri"/>
          <w:sz w:val="24"/>
        </w:rPr>
        <w:t xml:space="preserve"> form </w:t>
      </w:r>
      <w:r w:rsidR="00D5276B">
        <w:rPr>
          <w:rFonts w:cs="Calibri"/>
          <w:sz w:val="24"/>
        </w:rPr>
        <w:t xml:space="preserve">(titled the Manual Biospecimen Request </w:t>
      </w:r>
      <w:r w:rsidR="00DD040F">
        <w:rPr>
          <w:rFonts w:cs="Calibri"/>
          <w:sz w:val="24"/>
        </w:rPr>
        <w:t xml:space="preserve">Submission </w:t>
      </w:r>
      <w:r w:rsidR="00D5276B">
        <w:rPr>
          <w:rFonts w:cs="Calibri"/>
          <w:sz w:val="24"/>
        </w:rPr>
        <w:t xml:space="preserve">Form) </w:t>
      </w:r>
      <w:r w:rsidR="0007428A">
        <w:rPr>
          <w:rFonts w:cs="Calibri"/>
          <w:sz w:val="24"/>
        </w:rPr>
        <w:t xml:space="preserve">and </w:t>
      </w:r>
      <w:r w:rsidR="00373090">
        <w:rPr>
          <w:rFonts w:cs="Calibri"/>
          <w:sz w:val="24"/>
        </w:rPr>
        <w:t>submit</w:t>
      </w:r>
      <w:r w:rsidR="0007428A">
        <w:rPr>
          <w:rFonts w:cs="Calibri"/>
          <w:sz w:val="24"/>
        </w:rPr>
        <w:t xml:space="preserve"> it via </w:t>
      </w:r>
      <w:r w:rsidR="009A52B1">
        <w:rPr>
          <w:rFonts w:cs="Calibri"/>
          <w:sz w:val="24"/>
        </w:rPr>
        <w:t>email</w:t>
      </w:r>
      <w:r w:rsidR="00DD040F">
        <w:rPr>
          <w:rFonts w:cs="Calibri"/>
          <w:sz w:val="24"/>
        </w:rPr>
        <w:t xml:space="preserve"> instead of completing it online</w:t>
      </w:r>
      <w:r w:rsidR="009A52B1">
        <w:rPr>
          <w:rFonts w:cs="Calibri"/>
          <w:sz w:val="24"/>
        </w:rPr>
        <w:t xml:space="preserve">. </w:t>
      </w:r>
      <w:r w:rsidR="008B61EA">
        <w:rPr>
          <w:rFonts w:cs="Calibri"/>
          <w:sz w:val="24"/>
        </w:rPr>
        <w:t>DASH personnel will then review the information</w:t>
      </w:r>
      <w:r w:rsidR="00907D9B">
        <w:rPr>
          <w:rFonts w:cs="Calibri"/>
          <w:sz w:val="24"/>
        </w:rPr>
        <w:t xml:space="preserve"> and use it to create </w:t>
      </w:r>
      <w:r w:rsidR="00065330">
        <w:rPr>
          <w:rFonts w:cs="Calibri"/>
          <w:sz w:val="24"/>
        </w:rPr>
        <w:t xml:space="preserve">the final </w:t>
      </w:r>
      <w:r w:rsidR="00DD040F">
        <w:rPr>
          <w:rFonts w:cs="Calibri"/>
          <w:sz w:val="24"/>
        </w:rPr>
        <w:t>Biospecimen Request Form</w:t>
      </w:r>
      <w:r w:rsidR="00351889">
        <w:rPr>
          <w:rFonts w:cs="Calibri"/>
          <w:sz w:val="24"/>
        </w:rPr>
        <w:t>, which will be returned for</w:t>
      </w:r>
      <w:r w:rsidR="00065330">
        <w:rPr>
          <w:rFonts w:cs="Calibri"/>
          <w:sz w:val="24"/>
        </w:rPr>
        <w:t xml:space="preserve"> the </w:t>
      </w:r>
      <w:r w:rsidR="00040522">
        <w:rPr>
          <w:rFonts w:cs="Calibri"/>
          <w:sz w:val="24"/>
        </w:rPr>
        <w:t>submitter’s</w:t>
      </w:r>
      <w:r w:rsidR="00065330">
        <w:rPr>
          <w:rFonts w:cs="Calibri"/>
          <w:sz w:val="24"/>
        </w:rPr>
        <w:t xml:space="preserve"> signature. </w:t>
      </w:r>
      <w:r>
        <w:rPr>
          <w:rFonts w:cs="Calibri"/>
          <w:sz w:val="24"/>
        </w:rPr>
        <w:t>The</w:t>
      </w:r>
      <w:r w:rsidR="005F16F2">
        <w:rPr>
          <w:rFonts w:cs="Calibri"/>
          <w:sz w:val="24"/>
        </w:rPr>
        <w:t xml:space="preserve"> manual</w:t>
      </w:r>
      <w:r>
        <w:rPr>
          <w:rFonts w:cs="Calibri"/>
          <w:sz w:val="24"/>
        </w:rPr>
        <w:t xml:space="preserve"> form contains the same items</w:t>
      </w:r>
      <w:r w:rsidR="005F16F2">
        <w:rPr>
          <w:rFonts w:cs="Calibri"/>
          <w:sz w:val="24"/>
        </w:rPr>
        <w:t xml:space="preserve"> as the online form</w:t>
      </w:r>
      <w:r w:rsidR="00684C8F">
        <w:rPr>
          <w:rFonts w:cs="Calibri"/>
          <w:sz w:val="24"/>
        </w:rPr>
        <w:t xml:space="preserve"> </w:t>
      </w:r>
      <w:r w:rsidR="005F16F2">
        <w:rPr>
          <w:rFonts w:cs="Calibri"/>
          <w:sz w:val="24"/>
        </w:rPr>
        <w:t>with</w:t>
      </w:r>
      <w:r w:rsidRPr="0034495C" w:rsidR="0034495C">
        <w:rPr>
          <w:rFonts w:cs="Calibri"/>
          <w:sz w:val="24"/>
        </w:rPr>
        <w:t xml:space="preserve"> </w:t>
      </w:r>
      <w:r w:rsidR="00D5276B">
        <w:rPr>
          <w:rFonts w:cs="Calibri"/>
          <w:sz w:val="24"/>
        </w:rPr>
        <w:t>a few</w:t>
      </w:r>
      <w:r w:rsidRPr="0034495C" w:rsidR="0034495C">
        <w:rPr>
          <w:rFonts w:cs="Calibri"/>
          <w:sz w:val="24"/>
        </w:rPr>
        <w:t xml:space="preserve"> addition</w:t>
      </w:r>
      <w:r w:rsidR="00E05B22">
        <w:rPr>
          <w:rFonts w:cs="Calibri"/>
          <w:sz w:val="24"/>
        </w:rPr>
        <w:t>al field</w:t>
      </w:r>
      <w:r w:rsidR="00D5276B">
        <w:rPr>
          <w:rFonts w:cs="Calibri"/>
          <w:sz w:val="24"/>
        </w:rPr>
        <w:t>s</w:t>
      </w:r>
      <w:r w:rsidRPr="0034495C" w:rsidR="0034495C">
        <w:rPr>
          <w:rFonts w:cs="Calibri"/>
          <w:sz w:val="24"/>
        </w:rPr>
        <w:t xml:space="preserve"> that </w:t>
      </w:r>
      <w:r w:rsidR="00E05B22">
        <w:rPr>
          <w:rFonts w:cs="Calibri"/>
          <w:sz w:val="24"/>
        </w:rPr>
        <w:t xml:space="preserve">will </w:t>
      </w:r>
      <w:r w:rsidR="005F16F2">
        <w:rPr>
          <w:rFonts w:cs="Calibri"/>
          <w:sz w:val="24"/>
        </w:rPr>
        <w:t xml:space="preserve">need to be completed </w:t>
      </w:r>
      <w:r w:rsidR="00E05B22">
        <w:rPr>
          <w:rFonts w:cs="Calibri"/>
          <w:sz w:val="24"/>
        </w:rPr>
        <w:t>by users</w:t>
      </w:r>
      <w:r w:rsidR="000B1469">
        <w:rPr>
          <w:rFonts w:cs="Calibri"/>
          <w:sz w:val="24"/>
        </w:rPr>
        <w:t xml:space="preserve">.  </w:t>
      </w:r>
      <w:r w:rsidRPr="00EB5855" w:rsidR="00EB5855">
        <w:rPr>
          <w:rFonts w:cs="Calibri"/>
          <w:sz w:val="24"/>
        </w:rPr>
        <w:t xml:space="preserve">The additional fields are </w:t>
      </w:r>
      <w:r w:rsidR="00EB5855">
        <w:rPr>
          <w:rFonts w:cs="Calibri"/>
          <w:sz w:val="24"/>
        </w:rPr>
        <w:t xml:space="preserve">selection or </w:t>
      </w:r>
      <w:r w:rsidRPr="00EB5855" w:rsidR="00EB5855">
        <w:rPr>
          <w:rFonts w:cs="Calibri"/>
          <w:sz w:val="24"/>
        </w:rPr>
        <w:t>contact information that auto</w:t>
      </w:r>
      <w:r w:rsidR="00EB5855">
        <w:rPr>
          <w:rFonts w:cs="Calibri"/>
          <w:sz w:val="24"/>
        </w:rPr>
        <w:t xml:space="preserve">matically </w:t>
      </w:r>
      <w:r w:rsidRPr="00EB5855" w:rsidR="00EB5855">
        <w:rPr>
          <w:rFonts w:cs="Calibri"/>
          <w:sz w:val="24"/>
        </w:rPr>
        <w:t>populate</w:t>
      </w:r>
      <w:r w:rsidR="00EB5855">
        <w:rPr>
          <w:rFonts w:cs="Calibri"/>
          <w:sz w:val="24"/>
        </w:rPr>
        <w:t xml:space="preserve"> in the online form</w:t>
      </w:r>
      <w:r w:rsidRPr="00EB5855" w:rsidR="00EB5855">
        <w:rPr>
          <w:rFonts w:cs="Calibri"/>
          <w:sz w:val="24"/>
        </w:rPr>
        <w:t xml:space="preserve"> based on previous selections or from a users account.  </w:t>
      </w:r>
      <w:r w:rsidR="00B1605E">
        <w:rPr>
          <w:rFonts w:cs="Calibri"/>
          <w:sz w:val="24"/>
        </w:rPr>
        <w:t>These fields are</w:t>
      </w:r>
      <w:r w:rsidR="00017231">
        <w:rPr>
          <w:rFonts w:cs="Calibri"/>
          <w:sz w:val="24"/>
        </w:rPr>
        <w:t xml:space="preserve"> listed in the table on the following page and </w:t>
      </w:r>
      <w:r w:rsidR="007C376E">
        <w:rPr>
          <w:rFonts w:cs="Calibri"/>
          <w:sz w:val="24"/>
        </w:rPr>
        <w:t>indicated by a red arrow</w:t>
      </w:r>
      <w:r w:rsidR="00D5276B">
        <w:rPr>
          <w:rFonts w:cs="Calibri"/>
          <w:sz w:val="24"/>
        </w:rPr>
        <w:t xml:space="preserve"> in the attached Manual Biospecimen Request Form </w:t>
      </w:r>
      <w:r>
        <w:rPr>
          <w:rFonts w:cs="Calibri"/>
          <w:sz w:val="24"/>
        </w:rPr>
        <w:t>We have removed optional fields</w:t>
      </w:r>
      <w:r w:rsidR="00453A5A">
        <w:rPr>
          <w:rFonts w:cs="Calibri"/>
          <w:sz w:val="24"/>
        </w:rPr>
        <w:t xml:space="preserve"> that automatically populate in the online version</w:t>
      </w:r>
      <w:r>
        <w:rPr>
          <w:rFonts w:cs="Calibri"/>
          <w:sz w:val="24"/>
        </w:rPr>
        <w:t xml:space="preserve"> to reduce burden on the user</w:t>
      </w:r>
      <w:r w:rsidR="00C23F32">
        <w:rPr>
          <w:rFonts w:cs="Calibri"/>
          <w:sz w:val="24"/>
        </w:rPr>
        <w:t>.</w:t>
      </w:r>
      <w:r w:rsidR="009F564C">
        <w:rPr>
          <w:rFonts w:cs="Calibri"/>
          <w:sz w:val="24"/>
        </w:rPr>
        <w:t xml:space="preserve">  </w:t>
      </w:r>
    </w:p>
    <w:p w:rsidR="001C618F" w14:paraId="457BB661" w14:textId="5047B010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br w:type="page"/>
      </w:r>
    </w:p>
    <w:p w:rsidR="001C618F" w:rsidP="005F16F2" w14:paraId="693A2D67" w14:textId="77777777">
      <w:pPr>
        <w:spacing w:after="0" w:line="240" w:lineRule="auto"/>
        <w:rPr>
          <w:rFonts w:cs="Calibri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56"/>
        <w:gridCol w:w="3367"/>
        <w:gridCol w:w="3317"/>
      </w:tblGrid>
      <w:tr w14:paraId="2F93C99A" w14:textId="77777777" w:rsidTr="001C618F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8F" w:rsidRPr="0036260A" w:rsidP="004A58BE" w14:paraId="3DB532C8" w14:textId="05EB3904">
            <w:pPr>
              <w:spacing w:after="0" w:line="240" w:lineRule="auto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Field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222704A7" w14:textId="25DA2B20">
            <w:pPr>
              <w:spacing w:after="0" w:line="240" w:lineRule="auto"/>
              <w:rPr>
                <w:rFonts w:cs="Calibri"/>
                <w:b/>
                <w:bCs/>
                <w:sz w:val="24"/>
              </w:rPr>
            </w:pPr>
            <w:r w:rsidRPr="0036260A">
              <w:rPr>
                <w:rFonts w:cs="Calibri"/>
                <w:b/>
                <w:bCs/>
                <w:sz w:val="24"/>
              </w:rPr>
              <w:t>Online form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4DEA4632" w14:textId="77777777">
            <w:pPr>
              <w:spacing w:after="0" w:line="240" w:lineRule="auto"/>
              <w:rPr>
                <w:rFonts w:cs="Calibri"/>
                <w:b/>
                <w:bCs/>
                <w:sz w:val="24"/>
              </w:rPr>
            </w:pPr>
            <w:r w:rsidRPr="0036260A">
              <w:rPr>
                <w:rFonts w:cs="Calibri"/>
                <w:b/>
                <w:bCs/>
                <w:sz w:val="24"/>
              </w:rPr>
              <w:t>Manual form</w:t>
            </w:r>
          </w:p>
        </w:tc>
      </w:tr>
      <w:tr w14:paraId="13E2EB5B" w14:textId="77777777" w:rsidTr="001C61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8F" w:rsidRPr="0036260A" w:rsidP="004A58BE" w14:paraId="45F969A3" w14:textId="5EE43281">
            <w:pPr>
              <w:spacing w:after="0" w:line="240" w:lineRule="auto"/>
              <w:rPr>
                <w:rFonts w:cs="Calibri"/>
                <w:sz w:val="24"/>
              </w:rPr>
            </w:pPr>
            <w:r w:rsidRPr="00C767C6">
              <w:rPr>
                <w:rFonts w:cs="Calibri"/>
                <w:sz w:val="24"/>
              </w:rPr>
              <w:t>Requested Study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53A9DFD4" w14:textId="1FEF9A26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Users select a study from a catalog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36FC9B69" w14:textId="77777777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Users write in the name of the study</w:t>
            </w:r>
          </w:p>
        </w:tc>
      </w:tr>
      <w:tr w14:paraId="208B35C2" w14:textId="77777777" w:rsidTr="001C61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8F" w:rsidRPr="0036260A" w:rsidP="004A58BE" w14:paraId="37F0A5F5" w14:textId="07C70047">
            <w:pPr>
              <w:spacing w:after="0" w:line="240" w:lineRule="auto"/>
              <w:rPr>
                <w:rFonts w:cs="Calibri"/>
                <w:sz w:val="24"/>
              </w:rPr>
            </w:pPr>
            <w:r w:rsidRPr="006714DE">
              <w:rPr>
                <w:rFonts w:cs="Calibri"/>
                <w:sz w:val="24"/>
              </w:rPr>
              <w:t>Requester Information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036BBE3B" w14:textId="789CF1AE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User contact information is autopopulated based on the user’s account.  The user must review the information to make sure it is correct.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576D8B70" w14:textId="77777777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Users must fill in name, email address, job title/position, institution type, and institution address</w:t>
            </w:r>
          </w:p>
        </w:tc>
      </w:tr>
      <w:tr w14:paraId="1BD7F1FC" w14:textId="77777777" w:rsidTr="001C61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8F" w:rsidRPr="0036260A" w:rsidP="004A58BE" w14:paraId="3C5C7CBF" w14:textId="666F01B0">
            <w:pPr>
              <w:spacing w:after="0" w:line="240" w:lineRule="auto"/>
              <w:rPr>
                <w:rFonts w:cs="Calibri"/>
                <w:sz w:val="24"/>
              </w:rPr>
            </w:pPr>
            <w:r w:rsidRPr="006714DE">
              <w:rPr>
                <w:rFonts w:cs="Calibri"/>
                <w:sz w:val="24"/>
              </w:rPr>
              <w:t>Principal Investigator (P</w:t>
            </w:r>
            <w:r>
              <w:rPr>
                <w:rFonts w:cs="Calibri"/>
                <w:sz w:val="24"/>
              </w:rPr>
              <w:t>I</w:t>
            </w:r>
            <w:r w:rsidRPr="006714DE">
              <w:rPr>
                <w:rFonts w:cs="Calibri"/>
                <w:sz w:val="24"/>
              </w:rPr>
              <w:t>)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179A26CD" w14:textId="7CE6C690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PI can be selected from a drop down list.  The user must review the information to make sure it is correct.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0FCF395A" w14:textId="77777777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Users manually input PI name, email address, and title/position</w:t>
            </w:r>
          </w:p>
        </w:tc>
      </w:tr>
      <w:tr w14:paraId="33ACA822" w14:textId="77777777" w:rsidTr="001C61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8F" w:rsidRPr="0036260A" w:rsidP="004A58BE" w14:paraId="1B15D175" w14:textId="4C7AA17F">
            <w:pPr>
              <w:spacing w:after="0" w:line="240" w:lineRule="auto"/>
              <w:rPr>
                <w:rFonts w:cs="Calibri"/>
                <w:sz w:val="24"/>
              </w:rPr>
            </w:pPr>
            <w:r w:rsidRPr="006D5439">
              <w:rPr>
                <w:rFonts w:cs="Calibri"/>
                <w:sz w:val="24"/>
              </w:rPr>
              <w:t>Biospecimens Being Requested</w:t>
            </w:r>
          </w:p>
        </w:tc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466B248B" w14:textId="6B579C58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Biospecimens are selected from a catalog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18F" w:rsidRPr="0036260A" w:rsidP="004A58BE" w14:paraId="1765B3BA" w14:textId="77777777">
            <w:pPr>
              <w:spacing w:after="0" w:line="240" w:lineRule="auto"/>
              <w:rPr>
                <w:rFonts w:cs="Calibri"/>
                <w:sz w:val="24"/>
              </w:rPr>
            </w:pPr>
            <w:r w:rsidRPr="0036260A">
              <w:rPr>
                <w:rFonts w:cs="Calibri"/>
                <w:sz w:val="24"/>
              </w:rPr>
              <w:t>Users must list the specimen type, quantity needed, and amount needed</w:t>
            </w:r>
          </w:p>
        </w:tc>
      </w:tr>
    </w:tbl>
    <w:p w:rsidR="0036260A" w:rsidP="005F16F2" w14:paraId="14CAB842" w14:textId="77777777">
      <w:pPr>
        <w:spacing w:after="0" w:line="240" w:lineRule="auto"/>
        <w:rPr>
          <w:rFonts w:cs="Calibri"/>
          <w:sz w:val="24"/>
        </w:rPr>
      </w:pPr>
    </w:p>
    <w:p w:rsidR="00B30680" w:rsidRPr="0034495C" w:rsidP="005F16F2" w14:paraId="71E29073" w14:textId="238DEFA3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The “Biospecimens Being Requested” table deviates from the online version</w:t>
      </w:r>
      <w:r w:rsidR="006805DF">
        <w:rPr>
          <w:rFonts w:cs="Calibri"/>
          <w:sz w:val="24"/>
        </w:rPr>
        <w:t xml:space="preserve"> in appearance. In the manual form,</w:t>
      </w:r>
      <w:r>
        <w:rPr>
          <w:rFonts w:cs="Calibri"/>
          <w:sz w:val="24"/>
        </w:rPr>
        <w:t xml:space="preserve"> </w:t>
      </w:r>
      <w:r w:rsidR="006805DF">
        <w:rPr>
          <w:rFonts w:cs="Calibri"/>
          <w:sz w:val="24"/>
        </w:rPr>
        <w:t>users must manually request</w:t>
      </w:r>
      <w:r>
        <w:rPr>
          <w:rFonts w:cs="Calibri"/>
          <w:sz w:val="24"/>
        </w:rPr>
        <w:t xml:space="preserve"> specimens </w:t>
      </w:r>
      <w:r w:rsidR="006805DF">
        <w:rPr>
          <w:rFonts w:cs="Calibri"/>
          <w:sz w:val="24"/>
        </w:rPr>
        <w:t>while</w:t>
      </w:r>
      <w:r>
        <w:rPr>
          <w:rFonts w:cs="Calibri"/>
          <w:sz w:val="24"/>
        </w:rPr>
        <w:t xml:space="preserve"> the online version autopopulates a table with the selections the user makes prior to accessing this form. Most users will only populate one or two rows of this table.</w:t>
      </w:r>
      <w:r w:rsidR="003863A0">
        <w:rPr>
          <w:rFonts w:cs="Calibri"/>
          <w:sz w:val="24"/>
        </w:rPr>
        <w:t xml:space="preserve"> </w:t>
      </w:r>
      <w:r w:rsidR="005F16F2">
        <w:rPr>
          <w:rFonts w:cs="Calibri"/>
          <w:sz w:val="24"/>
        </w:rPr>
        <w:t xml:space="preserve">We have also added hover tooltips to the pdf form to help the user complete the manual form. </w:t>
      </w:r>
      <w:r w:rsidR="00E05B22">
        <w:rPr>
          <w:rFonts w:cs="Calibri"/>
          <w:sz w:val="24"/>
        </w:rPr>
        <w:t>Th</w:t>
      </w:r>
      <w:r w:rsidR="00D5276B">
        <w:rPr>
          <w:rFonts w:cs="Calibri"/>
          <w:sz w:val="24"/>
        </w:rPr>
        <w:t>ese</w:t>
      </w:r>
      <w:r w:rsidR="00E05B22">
        <w:rPr>
          <w:rFonts w:cs="Calibri"/>
          <w:sz w:val="24"/>
        </w:rPr>
        <w:t xml:space="preserve"> additional field</w:t>
      </w:r>
      <w:r w:rsidR="00D5276B">
        <w:rPr>
          <w:rFonts w:cs="Calibri"/>
          <w:sz w:val="24"/>
        </w:rPr>
        <w:t>s</w:t>
      </w:r>
      <w:r w:rsidR="00E05B22">
        <w:rPr>
          <w:rFonts w:cs="Calibri"/>
          <w:sz w:val="24"/>
        </w:rPr>
        <w:t xml:space="preserve"> </w:t>
      </w:r>
      <w:r w:rsidR="00D5276B">
        <w:rPr>
          <w:rFonts w:cs="Calibri"/>
          <w:sz w:val="24"/>
        </w:rPr>
        <w:t>are</w:t>
      </w:r>
      <w:r w:rsidR="00E05B22">
        <w:rPr>
          <w:rFonts w:cs="Calibri"/>
          <w:sz w:val="24"/>
        </w:rPr>
        <w:t xml:space="preserve"> not expected to</w:t>
      </w:r>
      <w:r w:rsidR="00D5276B">
        <w:rPr>
          <w:rFonts w:cs="Calibri"/>
          <w:sz w:val="24"/>
        </w:rPr>
        <w:t xml:space="preserve"> substantially</w:t>
      </w:r>
      <w:r w:rsidR="00E05B22">
        <w:rPr>
          <w:rFonts w:cs="Calibri"/>
          <w:sz w:val="24"/>
        </w:rPr>
        <w:t xml:space="preserve"> change the burden of completing the form</w:t>
      </w:r>
      <w:r w:rsidR="00D5276B">
        <w:rPr>
          <w:rFonts w:cs="Calibri"/>
          <w:sz w:val="24"/>
        </w:rPr>
        <w:t xml:space="preserve"> for users</w:t>
      </w:r>
      <w:r w:rsidR="00E05B22">
        <w:rPr>
          <w:rFonts w:cs="Calibri"/>
          <w:sz w:val="24"/>
        </w:rPr>
        <w:t>.</w:t>
      </w:r>
    </w:p>
    <w:p w:rsidR="00056932" w:rsidP="005254C1" w14:paraId="3A3B18F7" w14:textId="77777777">
      <w:pPr>
        <w:spacing w:after="0" w:line="240" w:lineRule="auto"/>
        <w:rPr>
          <w:i/>
          <w:sz w:val="24"/>
        </w:rPr>
      </w:pPr>
    </w:p>
    <w:sectPr w:rsidSect="00D5276B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23D3" w:rsidP="00214B6E" w14:paraId="2DFC37C1" w14:textId="527B5D8D">
    <w:pPr>
      <w:pStyle w:val="Header"/>
      <w:tabs>
        <w:tab w:val="clear" w:pos="9360"/>
      </w:tabs>
      <w:ind w:left="-630" w:right="-720"/>
    </w:pPr>
    <w:r w:rsidRPr="00D36C1C">
      <w:rPr>
        <w:noProof/>
      </w:rPr>
      <w:drawing>
        <wp:inline distT="0" distB="0" distL="0" distR="0">
          <wp:extent cx="6682740" cy="1181100"/>
          <wp:effectExtent l="0" t="0" r="0" b="0"/>
          <wp:docPr id="1" name="Picture 2" descr="NICHD formal letterhead H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NICHD formal letterhead HR2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274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3C0BD8"/>
    <w:multiLevelType w:val="hybridMultilevel"/>
    <w:tmpl w:val="288040B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442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37"/>
    <w:rsid w:val="00017231"/>
    <w:rsid w:val="00040522"/>
    <w:rsid w:val="00056932"/>
    <w:rsid w:val="00065330"/>
    <w:rsid w:val="000732EC"/>
    <w:rsid w:val="0007428A"/>
    <w:rsid w:val="000939F1"/>
    <w:rsid w:val="000B1469"/>
    <w:rsid w:val="00102632"/>
    <w:rsid w:val="00105B03"/>
    <w:rsid w:val="001C618F"/>
    <w:rsid w:val="001C6A27"/>
    <w:rsid w:val="001D6400"/>
    <w:rsid w:val="002112B1"/>
    <w:rsid w:val="00214B6E"/>
    <w:rsid w:val="00235BC9"/>
    <w:rsid w:val="002D4339"/>
    <w:rsid w:val="002E7E21"/>
    <w:rsid w:val="003265DF"/>
    <w:rsid w:val="0034495C"/>
    <w:rsid w:val="00351889"/>
    <w:rsid w:val="00354E4B"/>
    <w:rsid w:val="0036260A"/>
    <w:rsid w:val="00371CC4"/>
    <w:rsid w:val="00373090"/>
    <w:rsid w:val="00374977"/>
    <w:rsid w:val="003776B0"/>
    <w:rsid w:val="003863A0"/>
    <w:rsid w:val="003A37B2"/>
    <w:rsid w:val="003F175F"/>
    <w:rsid w:val="003F441F"/>
    <w:rsid w:val="00400439"/>
    <w:rsid w:val="004147FC"/>
    <w:rsid w:val="004350D7"/>
    <w:rsid w:val="00436296"/>
    <w:rsid w:val="00444322"/>
    <w:rsid w:val="00453A5A"/>
    <w:rsid w:val="004A58BE"/>
    <w:rsid w:val="004F4DAC"/>
    <w:rsid w:val="005254C1"/>
    <w:rsid w:val="005B7090"/>
    <w:rsid w:val="005E7558"/>
    <w:rsid w:val="005F16F2"/>
    <w:rsid w:val="0062427F"/>
    <w:rsid w:val="006714DE"/>
    <w:rsid w:val="006805DF"/>
    <w:rsid w:val="00684C8F"/>
    <w:rsid w:val="00686FCB"/>
    <w:rsid w:val="006B5C92"/>
    <w:rsid w:val="006D5439"/>
    <w:rsid w:val="006D7385"/>
    <w:rsid w:val="007105AF"/>
    <w:rsid w:val="00727039"/>
    <w:rsid w:val="0077689E"/>
    <w:rsid w:val="007B7715"/>
    <w:rsid w:val="007C376E"/>
    <w:rsid w:val="007D2803"/>
    <w:rsid w:val="0083222C"/>
    <w:rsid w:val="00845072"/>
    <w:rsid w:val="008B23D3"/>
    <w:rsid w:val="008B61EA"/>
    <w:rsid w:val="008C084C"/>
    <w:rsid w:val="00903C69"/>
    <w:rsid w:val="00907D9B"/>
    <w:rsid w:val="0091428C"/>
    <w:rsid w:val="00925402"/>
    <w:rsid w:val="009A52B1"/>
    <w:rsid w:val="009F564C"/>
    <w:rsid w:val="00A15AA3"/>
    <w:rsid w:val="00A25976"/>
    <w:rsid w:val="00A360B7"/>
    <w:rsid w:val="00A4566E"/>
    <w:rsid w:val="00A52B86"/>
    <w:rsid w:val="00A86047"/>
    <w:rsid w:val="00A97E79"/>
    <w:rsid w:val="00AB7D67"/>
    <w:rsid w:val="00AF0511"/>
    <w:rsid w:val="00B1605E"/>
    <w:rsid w:val="00B30680"/>
    <w:rsid w:val="00B3355D"/>
    <w:rsid w:val="00B34A36"/>
    <w:rsid w:val="00B93288"/>
    <w:rsid w:val="00B957B2"/>
    <w:rsid w:val="00BF55A4"/>
    <w:rsid w:val="00C12117"/>
    <w:rsid w:val="00C23F32"/>
    <w:rsid w:val="00C262B7"/>
    <w:rsid w:val="00C40D4F"/>
    <w:rsid w:val="00C55E37"/>
    <w:rsid w:val="00C561C3"/>
    <w:rsid w:val="00C767C6"/>
    <w:rsid w:val="00CB2023"/>
    <w:rsid w:val="00CC384B"/>
    <w:rsid w:val="00D11464"/>
    <w:rsid w:val="00D143BE"/>
    <w:rsid w:val="00D5276B"/>
    <w:rsid w:val="00DD040F"/>
    <w:rsid w:val="00E05B22"/>
    <w:rsid w:val="00E74702"/>
    <w:rsid w:val="00E822C8"/>
    <w:rsid w:val="00EA246E"/>
    <w:rsid w:val="00EB5855"/>
    <w:rsid w:val="00EC0DFD"/>
    <w:rsid w:val="00EC404C"/>
    <w:rsid w:val="00ED7F9F"/>
    <w:rsid w:val="00F173C6"/>
    <w:rsid w:val="00F73860"/>
    <w:rsid w:val="00F775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08C495"/>
  <w15:chartTrackingRefBased/>
  <w15:docId w15:val="{0E051A53-9212-406D-9E20-06E810E4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E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D3"/>
  </w:style>
  <w:style w:type="paragraph" w:styleId="Footer">
    <w:name w:val="footer"/>
    <w:basedOn w:val="Normal"/>
    <w:link w:val="FooterChar"/>
    <w:uiPriority w:val="99"/>
    <w:unhideWhenUsed/>
    <w:rsid w:val="008B2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D3"/>
  </w:style>
  <w:style w:type="character" w:styleId="FootnoteReference">
    <w:name w:val="footnote reference"/>
    <w:semiHidden/>
    <w:rsid w:val="005254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2B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B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7E21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53A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reginfo.gov/public/do/PRAViewICR?ref_nbr=202404-0925-001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29193-b200-4c79-89ad-5d963afec298">
      <Terms xmlns="http://schemas.microsoft.com/office/infopath/2007/PartnerControls"/>
    </lcf76f155ced4ddcb4097134ff3c332f>
    <TaxCatchAll xmlns="79d9c318-3622-4b6e-871a-06c30101b4a0" xsi:nil="true"/>
    <Date xmlns="50829193-b200-4c79-89ad-5d963afec2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8" ma:contentTypeDescription="Create a new document." ma:contentTypeScope="" ma:versionID="4e674de66f3c04073ac2394ba1201c75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eb90d096250d89fd238c6ba848e457e7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7d699a-ea44-4011-9829-5a7f5799e541}" ma:internalName="TaxCatchAll" ma:showField="CatchAllData" ma:web="79d9c318-3622-4b6e-871a-06c30101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26AB6C-D007-4C76-AB58-17818466517C}">
  <ds:schemaRefs>
    <ds:schemaRef ds:uri="http://schemas.microsoft.com/office/2006/metadata/properties"/>
    <ds:schemaRef ds:uri="http://schemas.microsoft.com/office/infopath/2007/PartnerControls"/>
    <ds:schemaRef ds:uri="50829193-b200-4c79-89ad-5d963afec298"/>
    <ds:schemaRef ds:uri="79d9c318-3622-4b6e-871a-06c30101b4a0"/>
  </ds:schemaRefs>
</ds:datastoreItem>
</file>

<file path=customXml/itemProps2.xml><?xml version="1.0" encoding="utf-8"?>
<ds:datastoreItem xmlns:ds="http://schemas.openxmlformats.org/officeDocument/2006/customXml" ds:itemID="{864A3863-1B56-4555-97D9-CE790588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865ED-4282-4C8E-8714-0F27BEEDA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B07C8-F179-4DC9-9071-E992240DEF46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NICHD Letterhead</vt:lpstr>
    </vt:vector>
  </TitlesOfParts>
  <Company>Woodbourne Solutions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NICHD Letterhead</dc:title>
  <dc:creator>Rich Luxenberg</dc:creator>
  <cp:lastModifiedBy>Currie, Mikia (NIH/OD) [E]</cp:lastModifiedBy>
  <cp:revision>2</cp:revision>
  <cp:lastPrinted>2008-04-07T21:37:00Z</cp:lastPrinted>
  <dcterms:created xsi:type="dcterms:W3CDTF">2024-12-10T17:54:00Z</dcterms:created>
  <dcterms:modified xsi:type="dcterms:W3CDTF">2024-12-10T17:54:00Z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Comments">
    <vt:lpwstr/>
  </property>
  <property fmtid="{D5CDD505-2E9C-101B-9397-08002B2CF9AE}" pid="4" name="ContentType">
    <vt:lpwstr>Page</vt:lpwstr>
  </property>
  <property fmtid="{D5CDD505-2E9C-101B-9397-08002B2CF9AE}" pid="5" name="ContentTypeId">
    <vt:lpwstr>0x010100E784B9CC49B786428001CD4420FBBE9B</vt:lpwstr>
  </property>
  <property fmtid="{D5CDD505-2E9C-101B-9397-08002B2CF9AE}" pid="6" name="display_urn:schemas-microsoft-com:office:office#Author">
    <vt:lpwstr>Fendrick, Peter (NIH/NICHD) [C]</vt:lpwstr>
  </property>
  <property fmtid="{D5CDD505-2E9C-101B-9397-08002B2CF9AE}" pid="7" name="display_urn:schemas-microsoft-com:office:office#Editor">
    <vt:lpwstr>Fendrick, Peter (NIH/NICHD) [C]</vt:lpwstr>
  </property>
  <property fmtid="{D5CDD505-2E9C-101B-9397-08002B2CF9AE}" pid="8" name="InsiderEffectiveDate">
    <vt:lpwstr>2002-07-16T00:00:00Z</vt:lpwstr>
  </property>
  <property fmtid="{D5CDD505-2E9C-101B-9397-08002B2CF9AE}" pid="9" name="InsiderKeywords">
    <vt:lpwstr>letterhead, nichd</vt:lpwstr>
  </property>
  <property fmtid="{D5CDD505-2E9C-101B-9397-08002B2CF9AE}" pid="10" name="InsiderLongSummary">
    <vt:lpwstr>NICHD Letterhead</vt:lpwstr>
  </property>
  <property fmtid="{D5CDD505-2E9C-101B-9397-08002B2CF9AE}" pid="11" name="InsiderMigrationURL">
    <vt:lpwstr>http://nichdmossinsidr/Forms/upload/NICHD Letterhead.doc</vt:lpwstr>
  </property>
  <property fmtid="{D5CDD505-2E9C-101B-9397-08002B2CF9AE}" pid="12" name="InsiderNotes">
    <vt:lpwstr/>
  </property>
  <property fmtid="{D5CDD505-2E9C-101B-9397-08002B2CF9AE}" pid="13" name="InsiderPageID">
    <vt:lpwstr/>
  </property>
  <property fmtid="{D5CDD505-2E9C-101B-9397-08002B2CF9AE}" pid="14" name="InsiderReviewedDate">
    <vt:lpwstr>2008-05-21T00:00:00Z</vt:lpwstr>
  </property>
  <property fmtid="{D5CDD505-2E9C-101B-9397-08002B2CF9AE}" pid="15" name="InsiderUpdateDate">
    <vt:lpwstr>2008-05-21T00:00:00Z</vt:lpwstr>
  </property>
  <property fmtid="{D5CDD505-2E9C-101B-9397-08002B2CF9AE}" pid="16" name="MediaServiceImageTags">
    <vt:lpwstr/>
  </property>
  <property fmtid="{D5CDD505-2E9C-101B-9397-08002B2CF9AE}" pid="17" name="MigrationSourceURL">
    <vt:lpwstr>http://nichdmossinsidr/Forms/upload/NICHD Letterhead.doc</vt:lpwstr>
  </property>
  <property fmtid="{D5CDD505-2E9C-101B-9397-08002B2CF9AE}" pid="18" name="Order">
    <vt:lpwstr>2000.00000000000</vt:lpwstr>
  </property>
  <property fmtid="{D5CDD505-2E9C-101B-9397-08002B2CF9AE}" pid="19" name="PublishingContact">
    <vt:lpwstr/>
  </property>
  <property fmtid="{D5CDD505-2E9C-101B-9397-08002B2CF9AE}" pid="20" name="PublishingContactEmail">
    <vt:lpwstr/>
  </property>
  <property fmtid="{D5CDD505-2E9C-101B-9397-08002B2CF9AE}" pid="21" name="PublishingContactName">
    <vt:lpwstr/>
  </property>
  <property fmtid="{D5CDD505-2E9C-101B-9397-08002B2CF9AE}" pid="22" name="PublishingContactPicture">
    <vt:lpwstr/>
  </property>
  <property fmtid="{D5CDD505-2E9C-101B-9397-08002B2CF9AE}" pid="23" name="PublishingExpirationDate">
    <vt:lpwstr/>
  </property>
  <property fmtid="{D5CDD505-2E9C-101B-9397-08002B2CF9AE}" pid="24" name="PublishingIsFurlPage">
    <vt:lpwstr/>
  </property>
  <property fmtid="{D5CDD505-2E9C-101B-9397-08002B2CF9AE}" pid="25" name="PublishingPageLayout">
    <vt:lpwstr/>
  </property>
  <property fmtid="{D5CDD505-2E9C-101B-9397-08002B2CF9AE}" pid="26" name="PublishingRollupImage">
    <vt:lpwstr/>
  </property>
  <property fmtid="{D5CDD505-2E9C-101B-9397-08002B2CF9AE}" pid="27" name="PublishingStartDate">
    <vt:lpwstr/>
  </property>
  <property fmtid="{D5CDD505-2E9C-101B-9397-08002B2CF9AE}" pid="28" name="PublishingVariationGroupID">
    <vt:lpwstr/>
  </property>
  <property fmtid="{D5CDD505-2E9C-101B-9397-08002B2CF9AE}" pid="29" name="PublishingVariationRelationshipLinkFieldID">
    <vt:lpwstr/>
  </property>
  <property fmtid="{D5CDD505-2E9C-101B-9397-08002B2CF9AE}" pid="30" name="RobotsNoIndex">
    <vt:lpwstr/>
  </property>
  <property fmtid="{D5CDD505-2E9C-101B-9397-08002B2CF9AE}" pid="31" name="SeoBrowserTitle">
    <vt:lpwstr/>
  </property>
  <property fmtid="{D5CDD505-2E9C-101B-9397-08002B2CF9AE}" pid="32" name="SeoKeywords">
    <vt:lpwstr/>
  </property>
  <property fmtid="{D5CDD505-2E9C-101B-9397-08002B2CF9AE}" pid="33" name="SeoMetaDescription">
    <vt:lpwstr/>
  </property>
  <property fmtid="{D5CDD505-2E9C-101B-9397-08002B2CF9AE}" pid="34" name="TemplateUrl">
    <vt:lpwstr/>
  </property>
  <property fmtid="{D5CDD505-2E9C-101B-9397-08002B2CF9AE}" pid="35" name="xd_ProgID">
    <vt:lpwstr/>
  </property>
  <property fmtid="{D5CDD505-2E9C-101B-9397-08002B2CF9AE}" pid="36" name="xd_Signature">
    <vt:lpwstr/>
  </property>
</Properties>
</file>