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8F7" w:rsidP="00E304A2" w14:paraId="443EF981" w14:textId="77777777">
      <w:pPr>
        <w:jc w:val="center"/>
        <w:rPr>
          <w:rFonts w:cs="Arial"/>
          <w:b/>
          <w:sz w:val="40"/>
          <w:szCs w:val="40"/>
        </w:rPr>
      </w:pPr>
    </w:p>
    <w:p w:rsidR="008618F7" w:rsidRPr="00CD4DD3" w:rsidP="00E304A2" w14:paraId="1DF429E9" w14:textId="2970D45E">
      <w:pPr>
        <w:jc w:val="center"/>
        <w:rPr>
          <w:sz w:val="40"/>
          <w:szCs w:val="40"/>
        </w:rPr>
      </w:pPr>
      <w:r>
        <w:rPr>
          <w:rFonts w:cs="Arial"/>
          <w:b/>
          <w:sz w:val="40"/>
          <w:szCs w:val="40"/>
        </w:rPr>
        <w:t>Performance and Evaluation Measurement System (PEMS)</w:t>
      </w:r>
    </w:p>
    <w:p w:rsidR="00E304A2" w:rsidP="00E304A2" w14:paraId="4E5B8FAD" w14:textId="77777777"/>
    <w:p w:rsidR="00E304A2" w:rsidP="00E304A2" w14:paraId="29A3B977" w14:textId="77777777"/>
    <w:p w:rsidR="00E304A2" w:rsidRPr="00CC6B56" w:rsidP="00E304A2" w14:paraId="090EC700" w14:textId="178E4E5D">
      <w:pPr>
        <w:jc w:val="center"/>
        <w:rPr>
          <w:b/>
          <w:sz w:val="44"/>
          <w:szCs w:val="44"/>
        </w:rPr>
      </w:pPr>
    </w:p>
    <w:p w:rsidR="00E304A2" w:rsidP="00E304A2" w14:paraId="16F50A64" w14:textId="77777777"/>
    <w:p w:rsidR="00E304A2" w:rsidRPr="00EB5D6D" w:rsidP="00E304A2" w14:paraId="519C6B6E" w14:textId="77777777"/>
    <w:p w:rsidR="00E304A2" w:rsidRPr="00EB5D6D" w:rsidP="00E304A2" w14:paraId="78D23146" w14:textId="77777777"/>
    <w:p w:rsidR="00E304A2" w:rsidRPr="00EB5D6D" w:rsidP="00E304A2" w14:paraId="32B95439" w14:textId="77777777">
      <w:pPr>
        <w:rPr>
          <w:rStyle w:val="CharacterStyle5"/>
          <w:b w:val="0"/>
          <w:bCs w:val="0"/>
          <w:spacing w:val="-5"/>
          <w:sz w:val="32"/>
          <w:szCs w:val="32"/>
        </w:rPr>
      </w:pPr>
    </w:p>
    <w:p w:rsidR="00E304A2" w:rsidP="00E304A2" w14:paraId="0AE0EA0C" w14:textId="5FF942D2">
      <w:pPr>
        <w:spacing w:line="276" w:lineRule="auto"/>
        <w:jc w:val="center"/>
        <w:rPr>
          <w:rStyle w:val="CharacterStyle5"/>
          <w:bCs w:val="0"/>
          <w:spacing w:val="-5"/>
          <w:szCs w:val="32"/>
        </w:rPr>
      </w:pPr>
      <w:r w:rsidRPr="00EB5D6D">
        <w:rPr>
          <w:rStyle w:val="CharacterStyle5"/>
          <w:bCs w:val="0"/>
          <w:spacing w:val="-5"/>
          <w:szCs w:val="32"/>
        </w:rPr>
        <w:t>Request for</w:t>
      </w:r>
      <w:r>
        <w:rPr>
          <w:rStyle w:val="CharacterStyle5"/>
          <w:bCs w:val="0"/>
          <w:spacing w:val="-5"/>
          <w:szCs w:val="32"/>
        </w:rPr>
        <w:t xml:space="preserve"> a </w:t>
      </w:r>
      <w:r w:rsidR="00601D5A">
        <w:rPr>
          <w:rStyle w:val="CharacterStyle5"/>
          <w:bCs w:val="0"/>
          <w:spacing w:val="-5"/>
          <w:szCs w:val="32"/>
        </w:rPr>
        <w:t>New</w:t>
      </w:r>
      <w:r>
        <w:rPr>
          <w:rStyle w:val="CharacterStyle5"/>
          <w:bCs w:val="0"/>
          <w:spacing w:val="-5"/>
          <w:szCs w:val="32"/>
        </w:rPr>
        <w:t xml:space="preserve"> Collection:  </w:t>
      </w:r>
      <w:r>
        <w:rPr>
          <w:rStyle w:val="CharacterStyle5"/>
          <w:bCs w:val="0"/>
          <w:spacing w:val="-5"/>
          <w:szCs w:val="32"/>
        </w:rPr>
        <w:br/>
      </w:r>
      <w:r>
        <w:rPr>
          <w:rStyle w:val="CharacterStyle5"/>
          <w:bCs w:val="0"/>
          <w:spacing w:val="-5"/>
          <w:szCs w:val="32"/>
        </w:rPr>
        <w:t>Control No</w:t>
      </w:r>
      <w:r w:rsidRPr="0087043B">
        <w:rPr>
          <w:rStyle w:val="CharacterStyle5"/>
          <w:bCs w:val="0"/>
          <w:spacing w:val="-5"/>
          <w:szCs w:val="32"/>
        </w:rPr>
        <w:t>:  0990-</w:t>
      </w:r>
      <w:r w:rsidR="003342DD">
        <w:rPr>
          <w:rStyle w:val="CharacterStyle5"/>
          <w:bCs w:val="0"/>
          <w:spacing w:val="-5"/>
          <w:szCs w:val="32"/>
        </w:rPr>
        <w:t>X</w:t>
      </w:r>
      <w:r w:rsidR="00601D5A">
        <w:rPr>
          <w:rStyle w:val="CharacterStyle5"/>
          <w:bCs w:val="0"/>
          <w:spacing w:val="-5"/>
          <w:szCs w:val="32"/>
        </w:rPr>
        <w:t>XXX</w:t>
      </w:r>
      <w:r>
        <w:rPr>
          <w:rStyle w:val="CharacterStyle5"/>
          <w:bCs w:val="0"/>
          <w:spacing w:val="-5"/>
          <w:szCs w:val="32"/>
        </w:rPr>
        <w:t xml:space="preserve">, </w:t>
      </w:r>
      <w:r w:rsidRPr="00E86823">
        <w:rPr>
          <w:rStyle w:val="CharacterStyle5"/>
          <w:bCs w:val="0"/>
          <w:spacing w:val="-5"/>
          <w:szCs w:val="32"/>
        </w:rPr>
        <w:t xml:space="preserve">Expiration </w:t>
      </w:r>
      <w:r w:rsidR="003342DD">
        <w:rPr>
          <w:rStyle w:val="CharacterStyle5"/>
          <w:bCs w:val="0"/>
          <w:spacing w:val="-5"/>
          <w:szCs w:val="32"/>
        </w:rPr>
        <w:t>9</w:t>
      </w:r>
      <w:r w:rsidRPr="00E86823" w:rsidR="00D50926">
        <w:rPr>
          <w:rStyle w:val="CharacterStyle5"/>
          <w:bCs w:val="0"/>
          <w:spacing w:val="-5"/>
          <w:szCs w:val="32"/>
        </w:rPr>
        <w:t>/</w:t>
      </w:r>
      <w:r w:rsidRPr="00E86823" w:rsidR="001903DC">
        <w:rPr>
          <w:rStyle w:val="CharacterStyle5"/>
          <w:bCs w:val="0"/>
          <w:spacing w:val="-5"/>
          <w:szCs w:val="32"/>
        </w:rPr>
        <w:t>3</w:t>
      </w:r>
      <w:r w:rsidR="003342DD">
        <w:rPr>
          <w:rStyle w:val="CharacterStyle5"/>
          <w:bCs w:val="0"/>
          <w:spacing w:val="-5"/>
          <w:szCs w:val="32"/>
        </w:rPr>
        <w:t>0</w:t>
      </w:r>
      <w:r w:rsidRPr="00E86823" w:rsidR="00D50926">
        <w:rPr>
          <w:rStyle w:val="CharacterStyle5"/>
          <w:bCs w:val="0"/>
          <w:spacing w:val="-5"/>
          <w:szCs w:val="32"/>
        </w:rPr>
        <w:t>/202</w:t>
      </w:r>
      <w:r w:rsidR="00601D5A">
        <w:rPr>
          <w:rStyle w:val="CharacterStyle5"/>
          <w:bCs w:val="0"/>
          <w:spacing w:val="-5"/>
          <w:szCs w:val="32"/>
        </w:rPr>
        <w:t>7</w:t>
      </w:r>
    </w:p>
    <w:p w:rsidR="00E304A2" w:rsidP="00E304A2" w14:paraId="717F91F1" w14:textId="77777777">
      <w:pPr>
        <w:spacing w:line="276" w:lineRule="auto"/>
        <w:jc w:val="center"/>
        <w:rPr>
          <w:rStyle w:val="CharacterStyle5"/>
          <w:bCs w:val="0"/>
          <w:spacing w:val="-5"/>
          <w:szCs w:val="32"/>
        </w:rPr>
      </w:pPr>
    </w:p>
    <w:p w:rsidR="00E304A2" w:rsidP="00E304A2" w14:paraId="460EC49C" w14:textId="77777777">
      <w:pPr>
        <w:spacing w:line="276" w:lineRule="auto"/>
        <w:jc w:val="center"/>
        <w:rPr>
          <w:rStyle w:val="CharacterStyle5"/>
          <w:bCs w:val="0"/>
          <w:spacing w:val="-5"/>
          <w:szCs w:val="32"/>
        </w:rPr>
      </w:pPr>
    </w:p>
    <w:p w:rsidR="00E304A2" w:rsidP="00E304A2" w14:paraId="3F996A77" w14:textId="77777777">
      <w:pPr>
        <w:spacing w:line="276" w:lineRule="auto"/>
        <w:jc w:val="center"/>
        <w:rPr>
          <w:rStyle w:val="CharacterStyle5"/>
          <w:bCs w:val="0"/>
          <w:spacing w:val="-5"/>
          <w:szCs w:val="32"/>
        </w:rPr>
      </w:pPr>
    </w:p>
    <w:p w:rsidR="00E304A2" w:rsidP="00A24527" w14:paraId="7B96303E" w14:textId="77777777">
      <w:pPr>
        <w:spacing w:line="276" w:lineRule="auto"/>
        <w:jc w:val="right"/>
        <w:rPr>
          <w:rStyle w:val="CharacterStyle5"/>
          <w:bCs w:val="0"/>
          <w:spacing w:val="-5"/>
          <w:szCs w:val="32"/>
        </w:rPr>
      </w:pPr>
    </w:p>
    <w:p w:rsidR="00E304A2" w:rsidP="00E304A2" w14:paraId="4BC5B2A2" w14:textId="77777777">
      <w:pPr>
        <w:spacing w:line="276" w:lineRule="auto"/>
        <w:jc w:val="center"/>
        <w:rPr>
          <w:rStyle w:val="CharacterStyle5"/>
          <w:bCs w:val="0"/>
          <w:spacing w:val="-5"/>
          <w:szCs w:val="32"/>
        </w:rPr>
      </w:pPr>
    </w:p>
    <w:p w:rsidR="00E304A2" w:rsidRPr="00CD4DD3" w:rsidP="00E304A2" w14:paraId="7A62D148" w14:textId="65BB5051">
      <w:pPr>
        <w:spacing w:line="276" w:lineRule="auto"/>
        <w:jc w:val="center"/>
        <w:rPr>
          <w:rStyle w:val="CharacterStyle5"/>
          <w:bCs w:val="0"/>
          <w:i/>
          <w:spacing w:val="42"/>
          <w:sz w:val="32"/>
          <w:szCs w:val="32"/>
        </w:rPr>
      </w:pPr>
      <w:r w:rsidRPr="00CD4DD3">
        <w:rPr>
          <w:rStyle w:val="CharacterStyle5"/>
          <w:bCs w:val="0"/>
          <w:i/>
          <w:spacing w:val="-5"/>
          <w:sz w:val="32"/>
          <w:szCs w:val="32"/>
        </w:rPr>
        <w:t xml:space="preserve">Supporting </w:t>
      </w:r>
      <w:r w:rsidRPr="00CD4DD3" w:rsidR="00A862FB">
        <w:rPr>
          <w:rStyle w:val="CharacterStyle5"/>
          <w:bCs w:val="0"/>
          <w:i/>
          <w:spacing w:val="-5"/>
          <w:sz w:val="32"/>
          <w:szCs w:val="32"/>
        </w:rPr>
        <w:t>Statement</w:t>
      </w:r>
      <w:r>
        <w:rPr>
          <w:rStyle w:val="CharacterStyle5"/>
          <w:bCs w:val="0"/>
          <w:i/>
          <w:spacing w:val="-5"/>
          <w:sz w:val="32"/>
          <w:szCs w:val="32"/>
        </w:rPr>
        <w:t xml:space="preserve"> A</w:t>
      </w:r>
    </w:p>
    <w:p w:rsidR="00E304A2" w:rsidRPr="00EB5D6D" w:rsidP="00E304A2" w14:paraId="3C03AE98" w14:textId="77777777">
      <w:pPr>
        <w:spacing w:line="276" w:lineRule="auto"/>
        <w:jc w:val="center"/>
        <w:rPr>
          <w:rStyle w:val="CharacterStyle5"/>
          <w:bCs w:val="0"/>
          <w:spacing w:val="42"/>
          <w:sz w:val="32"/>
          <w:szCs w:val="32"/>
        </w:rPr>
      </w:pPr>
      <w:r w:rsidRPr="00EB5D6D">
        <w:rPr>
          <w:rStyle w:val="CharacterStyle5"/>
          <w:bCs w:val="0"/>
          <w:spacing w:val="42"/>
          <w:sz w:val="32"/>
          <w:szCs w:val="32"/>
        </w:rPr>
        <w:br/>
      </w:r>
    </w:p>
    <w:p w:rsidR="00E304A2" w:rsidRPr="00EB5D6D" w:rsidP="00E304A2" w14:paraId="744DC55F" w14:textId="77777777">
      <w:pPr>
        <w:jc w:val="center"/>
        <w:rPr>
          <w:rStyle w:val="CharacterStyle5"/>
          <w:b w:val="0"/>
          <w:bCs w:val="0"/>
          <w:i/>
          <w:iCs/>
          <w:spacing w:val="61"/>
          <w:sz w:val="30"/>
          <w:szCs w:val="30"/>
        </w:rPr>
      </w:pPr>
    </w:p>
    <w:p w:rsidR="00E304A2" w:rsidRPr="00EB5D6D" w:rsidP="00E304A2" w14:paraId="6699CAA4" w14:textId="77777777">
      <w:pPr>
        <w:jc w:val="center"/>
      </w:pPr>
    </w:p>
    <w:p w:rsidR="00E304A2" w:rsidRPr="00EB5D6D" w:rsidP="00E304A2" w14:paraId="34FFDC9B" w14:textId="77777777">
      <w:pPr>
        <w:jc w:val="center"/>
        <w:rPr>
          <w:sz w:val="28"/>
          <w:szCs w:val="28"/>
        </w:rPr>
      </w:pPr>
    </w:p>
    <w:p w:rsidR="00E304A2" w:rsidRPr="00EB5D6D" w:rsidP="00E304A2" w14:paraId="56BEF6C8" w14:textId="77777777">
      <w:pPr>
        <w:jc w:val="center"/>
        <w:rPr>
          <w:sz w:val="28"/>
          <w:szCs w:val="28"/>
        </w:rPr>
      </w:pPr>
    </w:p>
    <w:p w:rsidR="00DA732D" w:rsidP="000275AE" w14:paraId="76E00460" w14:textId="277768DE">
      <w:pPr>
        <w:widowControl/>
        <w:autoSpaceDE/>
        <w:autoSpaceDN/>
        <w:adjustRightInd/>
        <w:spacing w:after="160" w:line="259" w:lineRule="auto"/>
        <w:jc w:val="center"/>
      </w:pPr>
      <w:r w:rsidRPr="1B426F15" w:rsidR="15E4A01D">
        <w:rPr>
          <w:sz w:val="28"/>
          <w:szCs w:val="28"/>
        </w:rPr>
        <w:t>December 9</w:t>
      </w:r>
      <w:r w:rsidRPr="1B426F15">
        <w:rPr>
          <w:sz w:val="28"/>
          <w:szCs w:val="28"/>
        </w:rPr>
        <w:t>, 2024</w:t>
      </w:r>
    </w:p>
    <w:p w:rsidR="00DA732D" w14:paraId="36898EAC" w14:textId="77777777">
      <w:pPr>
        <w:widowControl/>
        <w:autoSpaceDE/>
        <w:autoSpaceDN/>
        <w:adjustRightInd/>
        <w:spacing w:after="160" w:line="259" w:lineRule="auto"/>
      </w:pPr>
    </w:p>
    <w:p w:rsidR="00DA732D" w14:paraId="563334C0" w14:textId="77777777">
      <w:pPr>
        <w:widowControl/>
        <w:autoSpaceDE/>
        <w:autoSpaceDN/>
        <w:adjustRightInd/>
        <w:spacing w:after="160" w:line="259" w:lineRule="auto"/>
      </w:pPr>
    </w:p>
    <w:p w:rsidR="00DA732D" w:rsidRPr="00EB5D6D" w:rsidP="00DA732D" w14:paraId="057B828B" w14:textId="77777777">
      <w:pPr>
        <w:jc w:val="center"/>
        <w:rPr>
          <w:sz w:val="28"/>
          <w:szCs w:val="28"/>
        </w:rPr>
      </w:pPr>
      <w:r w:rsidRPr="00EB5D6D">
        <w:rPr>
          <w:sz w:val="28"/>
          <w:szCs w:val="28"/>
        </w:rPr>
        <w:t>Submitted by:</w:t>
      </w:r>
    </w:p>
    <w:p w:rsidR="00DA732D" w:rsidRPr="00EB5D6D" w:rsidP="00DA732D" w14:paraId="6E4BCB56" w14:textId="77777777">
      <w:pPr>
        <w:jc w:val="center"/>
        <w:rPr>
          <w:sz w:val="28"/>
          <w:szCs w:val="28"/>
        </w:rPr>
      </w:pPr>
    </w:p>
    <w:p w:rsidR="00DA732D" w:rsidP="00DA732D" w14:paraId="6CC48EF6" w14:textId="77777777">
      <w:pPr>
        <w:jc w:val="center"/>
        <w:rPr>
          <w:sz w:val="28"/>
          <w:szCs w:val="28"/>
        </w:rPr>
      </w:pPr>
      <w:r>
        <w:rPr>
          <w:sz w:val="28"/>
          <w:szCs w:val="28"/>
        </w:rPr>
        <w:t>US Department of Health and Human Services (HHS)</w:t>
      </w:r>
    </w:p>
    <w:p w:rsidR="00DA732D" w:rsidRPr="00EB5D6D" w:rsidP="00DA732D" w14:paraId="55B396C1" w14:textId="77777777">
      <w:pPr>
        <w:jc w:val="center"/>
        <w:rPr>
          <w:sz w:val="28"/>
          <w:szCs w:val="28"/>
        </w:rPr>
      </w:pPr>
      <w:r w:rsidRPr="00EB5D6D">
        <w:rPr>
          <w:sz w:val="28"/>
          <w:szCs w:val="28"/>
        </w:rPr>
        <w:t>Office of Minority Health</w:t>
      </w:r>
      <w:r>
        <w:rPr>
          <w:sz w:val="28"/>
          <w:szCs w:val="28"/>
        </w:rPr>
        <w:t xml:space="preserve"> (OMH)</w:t>
      </w:r>
    </w:p>
    <w:p w:rsidR="00DA732D" w:rsidRPr="00EB5D6D" w:rsidP="00DA732D" w14:paraId="65AB4CDE" w14:textId="5256435C">
      <w:pPr>
        <w:jc w:val="center"/>
        <w:rPr>
          <w:noProof/>
          <w:sz w:val="28"/>
          <w:szCs w:val="28"/>
        </w:rPr>
      </w:pPr>
      <w:r w:rsidRPr="00EB5D6D">
        <w:rPr>
          <w:noProof/>
          <w:sz w:val="28"/>
          <w:szCs w:val="28"/>
        </w:rPr>
        <w:t>1101 Woot</w:t>
      </w:r>
      <w:r>
        <w:rPr>
          <w:noProof/>
          <w:sz w:val="28"/>
          <w:szCs w:val="28"/>
        </w:rPr>
        <w:t>t</w:t>
      </w:r>
      <w:r w:rsidRPr="00EB5D6D">
        <w:rPr>
          <w:noProof/>
          <w:sz w:val="28"/>
          <w:szCs w:val="28"/>
        </w:rPr>
        <w:t xml:space="preserve">on Parkway, </w:t>
      </w:r>
      <w:r w:rsidR="00C74B3F">
        <w:rPr>
          <w:noProof/>
          <w:sz w:val="28"/>
          <w:szCs w:val="28"/>
        </w:rPr>
        <w:t>Plaza Level</w:t>
      </w:r>
    </w:p>
    <w:p w:rsidR="00DA732D" w:rsidRPr="00EB5D6D" w:rsidP="00DA732D" w14:paraId="77B0C9EB" w14:textId="77777777">
      <w:pPr>
        <w:jc w:val="center"/>
        <w:rPr>
          <w:noProof/>
          <w:sz w:val="28"/>
          <w:szCs w:val="28"/>
        </w:rPr>
      </w:pPr>
      <w:r w:rsidRPr="00EB5D6D">
        <w:rPr>
          <w:noProof/>
          <w:sz w:val="28"/>
          <w:szCs w:val="28"/>
        </w:rPr>
        <w:t>Rockville, MD 20852</w:t>
      </w:r>
    </w:p>
    <w:p w:rsidR="007F678A" w14:paraId="543F4471" w14:textId="7299F2E1">
      <w:pPr>
        <w:widowControl/>
        <w:autoSpaceDE/>
        <w:autoSpaceDN/>
        <w:adjustRightInd/>
        <w:spacing w:after="160" w:line="259" w:lineRule="auto"/>
      </w:pPr>
    </w:p>
    <w:p w:rsidR="00DA732D" w14:paraId="1A31777F" w14:textId="77777777">
      <w:pPr>
        <w:widowControl/>
        <w:autoSpaceDE/>
        <w:autoSpaceDN/>
        <w:adjustRightInd/>
        <w:spacing w:after="160" w:line="259" w:lineRule="auto"/>
      </w:pPr>
    </w:p>
    <w:p w:rsidR="007F678A" w:rsidRPr="00CC6B56" w:rsidP="007F678A" w14:paraId="76C211CF" w14:textId="77777777">
      <w:pPr>
        <w:pStyle w:val="TOCHeading"/>
        <w:jc w:val="center"/>
        <w:rPr>
          <w:rFonts w:ascii="Times New Roman" w:hAnsi="Times New Roman"/>
          <w:color w:val="auto"/>
          <w:sz w:val="36"/>
          <w:szCs w:val="36"/>
        </w:rPr>
      </w:pPr>
      <w:r w:rsidRPr="00CC6B56">
        <w:rPr>
          <w:rFonts w:ascii="Times New Roman" w:hAnsi="Times New Roman"/>
          <w:color w:val="auto"/>
          <w:sz w:val="36"/>
          <w:szCs w:val="36"/>
        </w:rPr>
        <w:t>Table of Contents</w:t>
      </w:r>
    </w:p>
    <w:p w:rsidR="007F678A" w:rsidP="007F678A" w14:paraId="0E3227C4" w14:textId="77777777"/>
    <w:p w:rsidR="007F678A" w:rsidRPr="00EC07F1" w:rsidP="007F678A" w14:paraId="352C3D88" w14:textId="77777777">
      <w:pPr>
        <w:pStyle w:val="TOC1"/>
      </w:pPr>
      <w:r>
        <w:t>A.</w:t>
      </w:r>
      <w:r>
        <w:tab/>
      </w:r>
      <w:r w:rsidRPr="00EC07F1">
        <w:t>Justification</w:t>
      </w:r>
    </w:p>
    <w:p w:rsidR="007F678A" w:rsidRPr="00EC07F1" w:rsidP="007F678A" w14:paraId="7D414E23" w14:textId="77777777">
      <w:pPr>
        <w:ind w:left="1800" w:hanging="720"/>
        <w:rPr>
          <w:sz w:val="24"/>
          <w:szCs w:val="24"/>
        </w:rPr>
      </w:pPr>
      <w:r w:rsidRPr="00EC07F1">
        <w:rPr>
          <w:sz w:val="24"/>
          <w:szCs w:val="24"/>
        </w:rPr>
        <w:t>A.1</w:t>
      </w:r>
      <w:r w:rsidRPr="00EC07F1">
        <w:rPr>
          <w:sz w:val="24"/>
          <w:szCs w:val="24"/>
        </w:rPr>
        <w:tab/>
      </w:r>
      <w:r>
        <w:rPr>
          <w:sz w:val="24"/>
          <w:szCs w:val="24"/>
        </w:rPr>
        <w:t>Circumstances Making the Collection of Information Necessary</w:t>
      </w:r>
    </w:p>
    <w:p w:rsidR="007F678A" w:rsidRPr="00EC07F1" w:rsidP="007F678A" w14:paraId="4D5F9CB6" w14:textId="77777777">
      <w:pPr>
        <w:ind w:left="1800" w:hanging="720"/>
        <w:rPr>
          <w:bCs/>
          <w:sz w:val="24"/>
          <w:szCs w:val="24"/>
        </w:rPr>
      </w:pPr>
      <w:r w:rsidRPr="00EC07F1">
        <w:rPr>
          <w:sz w:val="24"/>
          <w:szCs w:val="24"/>
        </w:rPr>
        <w:t>A.2</w:t>
      </w:r>
      <w:r w:rsidRPr="00EC07F1">
        <w:rPr>
          <w:sz w:val="24"/>
          <w:szCs w:val="24"/>
        </w:rPr>
        <w:tab/>
      </w:r>
      <w:r>
        <w:rPr>
          <w:sz w:val="24"/>
          <w:szCs w:val="24"/>
        </w:rPr>
        <w:t>Purpose and Use of Information Collection</w:t>
      </w:r>
    </w:p>
    <w:p w:rsidR="007F678A" w:rsidRPr="00EC07F1" w:rsidP="007F678A" w14:paraId="680BBFAA" w14:textId="77777777">
      <w:pPr>
        <w:tabs>
          <w:tab w:val="left" w:pos="1800"/>
        </w:tabs>
        <w:ind w:left="1800" w:hanging="720"/>
        <w:rPr>
          <w:sz w:val="24"/>
          <w:szCs w:val="24"/>
        </w:rPr>
      </w:pPr>
      <w:r w:rsidRPr="00EC07F1">
        <w:rPr>
          <w:sz w:val="24"/>
          <w:szCs w:val="24"/>
        </w:rPr>
        <w:t>A.3</w:t>
      </w:r>
      <w:r w:rsidRPr="00EC07F1">
        <w:rPr>
          <w:sz w:val="24"/>
          <w:szCs w:val="24"/>
        </w:rPr>
        <w:tab/>
      </w:r>
      <w:r>
        <w:rPr>
          <w:sz w:val="24"/>
          <w:szCs w:val="24"/>
        </w:rPr>
        <w:t>Use of Improved Information Technology and Burden Reduction</w:t>
      </w:r>
    </w:p>
    <w:p w:rsidR="007F678A" w:rsidRPr="00EC07F1" w:rsidP="007F678A" w14:paraId="25C4DCE3" w14:textId="77777777">
      <w:pPr>
        <w:tabs>
          <w:tab w:val="left" w:pos="1800"/>
        </w:tabs>
        <w:ind w:left="1800" w:hanging="720"/>
        <w:rPr>
          <w:sz w:val="24"/>
          <w:szCs w:val="24"/>
        </w:rPr>
      </w:pPr>
      <w:r w:rsidRPr="00EC07F1">
        <w:rPr>
          <w:sz w:val="24"/>
          <w:szCs w:val="24"/>
        </w:rPr>
        <w:t>A.4</w:t>
      </w:r>
      <w:r w:rsidRPr="00EC07F1">
        <w:rPr>
          <w:sz w:val="24"/>
          <w:szCs w:val="24"/>
        </w:rPr>
        <w:tab/>
      </w:r>
      <w:r>
        <w:rPr>
          <w:sz w:val="24"/>
          <w:szCs w:val="24"/>
        </w:rPr>
        <w:t>Efforts to Identify Duplication and Use of Similar Information</w:t>
      </w:r>
    </w:p>
    <w:p w:rsidR="007F678A" w:rsidRPr="00EC07F1" w:rsidP="007F678A" w14:paraId="0C5ABB2C" w14:textId="77777777">
      <w:pPr>
        <w:tabs>
          <w:tab w:val="left" w:pos="1800"/>
        </w:tabs>
        <w:ind w:left="1800" w:hanging="720"/>
        <w:rPr>
          <w:sz w:val="24"/>
          <w:szCs w:val="24"/>
        </w:rPr>
      </w:pPr>
      <w:r w:rsidRPr="00EC07F1">
        <w:rPr>
          <w:sz w:val="24"/>
          <w:szCs w:val="24"/>
        </w:rPr>
        <w:t>A.5</w:t>
      </w:r>
      <w:r w:rsidRPr="00EC07F1">
        <w:rPr>
          <w:sz w:val="24"/>
          <w:szCs w:val="24"/>
        </w:rPr>
        <w:tab/>
      </w:r>
      <w:r>
        <w:rPr>
          <w:sz w:val="24"/>
          <w:szCs w:val="24"/>
        </w:rPr>
        <w:t>Impact on Small Businesses or Other Small Entities</w:t>
      </w:r>
    </w:p>
    <w:p w:rsidR="007F678A" w:rsidRPr="00EC07F1" w:rsidP="007F678A" w14:paraId="0FCB3E23" w14:textId="77777777">
      <w:pPr>
        <w:tabs>
          <w:tab w:val="left" w:pos="1800"/>
        </w:tabs>
        <w:ind w:left="1800" w:hanging="720"/>
        <w:rPr>
          <w:sz w:val="24"/>
          <w:szCs w:val="24"/>
        </w:rPr>
      </w:pPr>
      <w:r w:rsidRPr="00EC07F1">
        <w:rPr>
          <w:sz w:val="24"/>
          <w:szCs w:val="24"/>
        </w:rPr>
        <w:t>A.6</w:t>
      </w:r>
      <w:r w:rsidRPr="00EC07F1">
        <w:rPr>
          <w:sz w:val="24"/>
          <w:szCs w:val="24"/>
        </w:rPr>
        <w:tab/>
      </w:r>
      <w:r>
        <w:rPr>
          <w:sz w:val="24"/>
          <w:szCs w:val="24"/>
        </w:rPr>
        <w:t>Consequences of Collecting the Information Less Frequently</w:t>
      </w:r>
    </w:p>
    <w:p w:rsidR="007F678A" w:rsidRPr="00EC07F1" w:rsidP="007F678A" w14:paraId="031B6C35" w14:textId="77777777">
      <w:pPr>
        <w:tabs>
          <w:tab w:val="left" w:pos="1800"/>
        </w:tabs>
        <w:ind w:left="1800" w:hanging="720"/>
        <w:rPr>
          <w:sz w:val="24"/>
          <w:szCs w:val="24"/>
        </w:rPr>
      </w:pPr>
      <w:r w:rsidRPr="00EC07F1">
        <w:rPr>
          <w:sz w:val="24"/>
          <w:szCs w:val="24"/>
        </w:rPr>
        <w:t>A.7</w:t>
      </w:r>
      <w:r w:rsidRPr="00EC07F1">
        <w:rPr>
          <w:sz w:val="24"/>
          <w:szCs w:val="24"/>
        </w:rPr>
        <w:tab/>
      </w:r>
      <w:r w:rsidRPr="00EC07F1">
        <w:rPr>
          <w:sz w:val="24"/>
          <w:szCs w:val="24"/>
        </w:rPr>
        <w:t>Special Circumstances</w:t>
      </w:r>
      <w:r>
        <w:rPr>
          <w:sz w:val="24"/>
          <w:szCs w:val="24"/>
        </w:rPr>
        <w:t xml:space="preserve"> Relating to the Guidelines of 5 CFR 1320.5</w:t>
      </w:r>
    </w:p>
    <w:p w:rsidR="007F678A" w:rsidRPr="00EC07F1" w:rsidP="007F678A" w14:paraId="4E12D62A" w14:textId="77777777">
      <w:pPr>
        <w:tabs>
          <w:tab w:val="left" w:pos="1800"/>
        </w:tabs>
        <w:ind w:left="1800" w:hanging="720"/>
        <w:rPr>
          <w:sz w:val="24"/>
          <w:szCs w:val="24"/>
        </w:rPr>
      </w:pPr>
      <w:r w:rsidRPr="00EC07F1">
        <w:rPr>
          <w:sz w:val="24"/>
          <w:szCs w:val="24"/>
        </w:rPr>
        <w:t>A.8</w:t>
      </w:r>
      <w:r w:rsidRPr="00EC07F1">
        <w:rPr>
          <w:sz w:val="24"/>
          <w:szCs w:val="24"/>
        </w:rPr>
        <w:tab/>
      </w:r>
      <w:r w:rsidRPr="00084317">
        <w:rPr>
          <w:sz w:val="24"/>
          <w:szCs w:val="24"/>
        </w:rPr>
        <w:t>Comments in Response to the Federal Register Notice/Outside Consultation</w:t>
      </w:r>
    </w:p>
    <w:p w:rsidR="007F678A" w:rsidRPr="00EC07F1" w:rsidP="007F678A" w14:paraId="43AEE9D8" w14:textId="77777777">
      <w:pPr>
        <w:tabs>
          <w:tab w:val="left" w:pos="1800"/>
        </w:tabs>
        <w:ind w:left="1800" w:hanging="720"/>
        <w:rPr>
          <w:sz w:val="24"/>
          <w:szCs w:val="24"/>
        </w:rPr>
      </w:pPr>
      <w:r w:rsidRPr="00EC07F1">
        <w:rPr>
          <w:sz w:val="24"/>
          <w:szCs w:val="24"/>
        </w:rPr>
        <w:t>A.9</w:t>
      </w:r>
      <w:r w:rsidRPr="00EC07F1">
        <w:rPr>
          <w:sz w:val="24"/>
          <w:szCs w:val="24"/>
        </w:rPr>
        <w:tab/>
      </w:r>
      <w:r>
        <w:rPr>
          <w:sz w:val="24"/>
          <w:szCs w:val="24"/>
        </w:rPr>
        <w:t xml:space="preserve">Explanation of any </w:t>
      </w:r>
      <w:r w:rsidRPr="00EC07F1">
        <w:rPr>
          <w:sz w:val="24"/>
          <w:szCs w:val="24"/>
        </w:rPr>
        <w:t>Payment/Gift to Respondents</w:t>
      </w:r>
    </w:p>
    <w:p w:rsidR="007F678A" w:rsidRPr="00EC07F1" w:rsidP="007F678A" w14:paraId="284DD31F" w14:textId="77777777">
      <w:pPr>
        <w:tabs>
          <w:tab w:val="left" w:pos="1800"/>
        </w:tabs>
        <w:ind w:left="1800" w:hanging="720"/>
        <w:rPr>
          <w:sz w:val="24"/>
          <w:szCs w:val="24"/>
        </w:rPr>
      </w:pPr>
      <w:r w:rsidRPr="00EC07F1">
        <w:rPr>
          <w:sz w:val="24"/>
          <w:szCs w:val="24"/>
        </w:rPr>
        <w:t>A.10</w:t>
      </w:r>
      <w:r w:rsidRPr="00EC07F1">
        <w:rPr>
          <w:sz w:val="24"/>
          <w:szCs w:val="24"/>
        </w:rPr>
        <w:tab/>
      </w:r>
      <w:r>
        <w:rPr>
          <w:sz w:val="24"/>
          <w:szCs w:val="24"/>
        </w:rPr>
        <w:t xml:space="preserve">Assurance of </w:t>
      </w:r>
      <w:r w:rsidRPr="00EC07F1">
        <w:rPr>
          <w:sz w:val="24"/>
          <w:szCs w:val="24"/>
        </w:rPr>
        <w:t>Confidentiality</w:t>
      </w:r>
      <w:r>
        <w:rPr>
          <w:sz w:val="24"/>
          <w:szCs w:val="24"/>
        </w:rPr>
        <w:t xml:space="preserve"> Provided to Respondents</w:t>
      </w:r>
    </w:p>
    <w:p w:rsidR="007F678A" w:rsidRPr="00EC07F1" w:rsidP="007F678A" w14:paraId="4CA902F5" w14:textId="77777777">
      <w:pPr>
        <w:tabs>
          <w:tab w:val="left" w:pos="1800"/>
        </w:tabs>
        <w:ind w:left="1800" w:hanging="720"/>
        <w:rPr>
          <w:sz w:val="24"/>
          <w:szCs w:val="24"/>
        </w:rPr>
      </w:pPr>
      <w:r w:rsidRPr="00EC07F1">
        <w:rPr>
          <w:sz w:val="24"/>
          <w:szCs w:val="24"/>
        </w:rPr>
        <w:t xml:space="preserve">A.11 </w:t>
      </w:r>
      <w:r w:rsidRPr="00EC07F1">
        <w:rPr>
          <w:sz w:val="24"/>
          <w:szCs w:val="24"/>
        </w:rPr>
        <w:tab/>
      </w:r>
      <w:r>
        <w:rPr>
          <w:sz w:val="24"/>
          <w:szCs w:val="24"/>
        </w:rPr>
        <w:t>Justification for Sensitive Questions</w:t>
      </w:r>
    </w:p>
    <w:p w:rsidR="007F678A" w:rsidRPr="00EC07F1" w:rsidP="007F678A" w14:paraId="0AE361C6" w14:textId="77777777">
      <w:pPr>
        <w:tabs>
          <w:tab w:val="left" w:pos="1800"/>
        </w:tabs>
        <w:ind w:left="1800" w:hanging="720"/>
        <w:rPr>
          <w:sz w:val="24"/>
          <w:szCs w:val="24"/>
        </w:rPr>
      </w:pPr>
      <w:r w:rsidRPr="00EC07F1">
        <w:rPr>
          <w:sz w:val="24"/>
          <w:szCs w:val="24"/>
        </w:rPr>
        <w:t>A.12</w:t>
      </w:r>
      <w:r w:rsidRPr="00EC07F1">
        <w:rPr>
          <w:sz w:val="24"/>
          <w:szCs w:val="24"/>
        </w:rPr>
        <w:tab/>
      </w:r>
      <w:r>
        <w:rPr>
          <w:sz w:val="24"/>
          <w:szCs w:val="24"/>
        </w:rPr>
        <w:t>Estimates of Annualized Hour and Cost Burden</w:t>
      </w:r>
    </w:p>
    <w:p w:rsidR="007F678A" w:rsidRPr="00EC07F1" w:rsidP="007F678A" w14:paraId="502AAA91" w14:textId="77777777">
      <w:pPr>
        <w:tabs>
          <w:tab w:val="left" w:pos="1800"/>
        </w:tabs>
        <w:ind w:left="1800" w:hanging="720"/>
        <w:rPr>
          <w:sz w:val="24"/>
          <w:szCs w:val="24"/>
        </w:rPr>
      </w:pPr>
      <w:r w:rsidRPr="00EC07F1">
        <w:rPr>
          <w:sz w:val="24"/>
          <w:szCs w:val="24"/>
        </w:rPr>
        <w:t>A.13</w:t>
      </w:r>
      <w:r w:rsidRPr="00EC07F1">
        <w:rPr>
          <w:sz w:val="24"/>
          <w:szCs w:val="24"/>
        </w:rPr>
        <w:tab/>
      </w:r>
      <w:r>
        <w:rPr>
          <w:sz w:val="24"/>
          <w:szCs w:val="24"/>
        </w:rPr>
        <w:t>Estimates of other Total Annual Cost Burden to Respondents or Recordkeepers/Capital Costs</w:t>
      </w:r>
      <w:r w:rsidRPr="00EC07F1">
        <w:rPr>
          <w:sz w:val="24"/>
          <w:szCs w:val="24"/>
        </w:rPr>
        <w:t>)</w:t>
      </w:r>
    </w:p>
    <w:p w:rsidR="007F678A" w:rsidRPr="00EC07F1" w:rsidP="007F678A" w14:paraId="0FDE5B04" w14:textId="77777777">
      <w:pPr>
        <w:tabs>
          <w:tab w:val="left" w:pos="1800"/>
        </w:tabs>
        <w:ind w:left="1800" w:hanging="720"/>
        <w:rPr>
          <w:sz w:val="24"/>
          <w:szCs w:val="24"/>
        </w:rPr>
      </w:pPr>
      <w:r w:rsidRPr="00EC07F1">
        <w:rPr>
          <w:sz w:val="24"/>
          <w:szCs w:val="24"/>
        </w:rPr>
        <w:t>A.14</w:t>
      </w:r>
      <w:r w:rsidRPr="00EC07F1">
        <w:rPr>
          <w:sz w:val="24"/>
          <w:szCs w:val="24"/>
        </w:rPr>
        <w:tab/>
      </w:r>
      <w:r>
        <w:rPr>
          <w:sz w:val="24"/>
          <w:szCs w:val="24"/>
        </w:rPr>
        <w:t xml:space="preserve">Annualized </w:t>
      </w:r>
      <w:r w:rsidRPr="00EC07F1">
        <w:rPr>
          <w:sz w:val="24"/>
          <w:szCs w:val="24"/>
        </w:rPr>
        <w:t>Cost to Federal Government</w:t>
      </w:r>
    </w:p>
    <w:p w:rsidR="007F678A" w:rsidRPr="00EC07F1" w:rsidP="007F678A" w14:paraId="60564FDD" w14:textId="77777777">
      <w:pPr>
        <w:tabs>
          <w:tab w:val="left" w:pos="1800"/>
        </w:tabs>
        <w:ind w:left="1800" w:hanging="720"/>
        <w:rPr>
          <w:sz w:val="24"/>
          <w:szCs w:val="24"/>
        </w:rPr>
      </w:pPr>
      <w:r w:rsidRPr="00EC07F1">
        <w:rPr>
          <w:sz w:val="24"/>
          <w:szCs w:val="24"/>
        </w:rPr>
        <w:t>A.15</w:t>
      </w:r>
      <w:r w:rsidRPr="00EC07F1">
        <w:rPr>
          <w:sz w:val="24"/>
          <w:szCs w:val="24"/>
        </w:rPr>
        <w:tab/>
      </w:r>
      <w:r>
        <w:rPr>
          <w:sz w:val="24"/>
          <w:szCs w:val="24"/>
        </w:rPr>
        <w:t xml:space="preserve">Explanation for </w:t>
      </w:r>
      <w:r w:rsidRPr="00EC07F1">
        <w:rPr>
          <w:sz w:val="24"/>
          <w:szCs w:val="24"/>
        </w:rPr>
        <w:t xml:space="preserve">Program </w:t>
      </w:r>
      <w:r>
        <w:rPr>
          <w:sz w:val="24"/>
          <w:szCs w:val="24"/>
        </w:rPr>
        <w:t xml:space="preserve">Changes </w:t>
      </w:r>
      <w:r w:rsidRPr="00EC07F1">
        <w:rPr>
          <w:sz w:val="24"/>
          <w:szCs w:val="24"/>
        </w:rPr>
        <w:t xml:space="preserve">or </w:t>
      </w:r>
      <w:r>
        <w:rPr>
          <w:sz w:val="24"/>
          <w:szCs w:val="24"/>
        </w:rPr>
        <w:t>Adjustments</w:t>
      </w:r>
    </w:p>
    <w:p w:rsidR="007F678A" w:rsidRPr="00EC07F1" w:rsidP="007F678A" w14:paraId="6A42BFF4" w14:textId="77777777">
      <w:pPr>
        <w:tabs>
          <w:tab w:val="left" w:pos="1800"/>
        </w:tabs>
        <w:ind w:left="1800" w:hanging="720"/>
        <w:rPr>
          <w:sz w:val="24"/>
          <w:szCs w:val="24"/>
        </w:rPr>
      </w:pPr>
      <w:r w:rsidRPr="00EC07F1">
        <w:rPr>
          <w:sz w:val="24"/>
          <w:szCs w:val="24"/>
        </w:rPr>
        <w:t>A.16</w:t>
      </w:r>
      <w:r w:rsidRPr="00EC07F1">
        <w:rPr>
          <w:sz w:val="24"/>
          <w:szCs w:val="24"/>
        </w:rPr>
        <w:tab/>
      </w:r>
      <w:r>
        <w:rPr>
          <w:sz w:val="24"/>
          <w:szCs w:val="24"/>
        </w:rPr>
        <w:t>Plans for Tabulation and Publication and Project Time Schedule</w:t>
      </w:r>
    </w:p>
    <w:p w:rsidR="007F678A" w:rsidRPr="00EC07F1" w:rsidP="007F678A" w14:paraId="1DCAD859" w14:textId="77777777">
      <w:pPr>
        <w:tabs>
          <w:tab w:val="left" w:pos="1800"/>
        </w:tabs>
        <w:ind w:left="1800" w:hanging="720"/>
        <w:rPr>
          <w:sz w:val="24"/>
          <w:szCs w:val="24"/>
        </w:rPr>
      </w:pPr>
      <w:r w:rsidRPr="00EC07F1">
        <w:rPr>
          <w:sz w:val="24"/>
          <w:szCs w:val="24"/>
        </w:rPr>
        <w:t>A.17</w:t>
      </w:r>
      <w:r w:rsidRPr="00EC07F1">
        <w:rPr>
          <w:sz w:val="24"/>
          <w:szCs w:val="24"/>
        </w:rPr>
        <w:tab/>
      </w:r>
      <w:r>
        <w:rPr>
          <w:sz w:val="24"/>
          <w:szCs w:val="24"/>
        </w:rPr>
        <w:t>Reason(s) Display of OMB Expiration Date is Inappropriate</w:t>
      </w:r>
    </w:p>
    <w:p w:rsidR="007F678A" w:rsidRPr="00EC07F1" w:rsidP="007F678A" w14:paraId="09DA869B" w14:textId="77777777">
      <w:pPr>
        <w:tabs>
          <w:tab w:val="left" w:pos="1800"/>
        </w:tabs>
        <w:ind w:left="1800" w:hanging="720"/>
        <w:rPr>
          <w:sz w:val="24"/>
          <w:szCs w:val="24"/>
        </w:rPr>
      </w:pPr>
      <w:r w:rsidRPr="00EC07F1">
        <w:rPr>
          <w:sz w:val="24"/>
          <w:szCs w:val="24"/>
        </w:rPr>
        <w:t>A.18</w:t>
      </w:r>
      <w:r w:rsidRPr="00EC07F1">
        <w:rPr>
          <w:sz w:val="24"/>
          <w:szCs w:val="24"/>
        </w:rPr>
        <w:tab/>
      </w:r>
      <w:r>
        <w:rPr>
          <w:sz w:val="24"/>
          <w:szCs w:val="24"/>
        </w:rPr>
        <w:t xml:space="preserve">Exceptions for </w:t>
      </w:r>
      <w:r w:rsidRPr="00EC07F1">
        <w:rPr>
          <w:sz w:val="24"/>
          <w:szCs w:val="24"/>
        </w:rPr>
        <w:t xml:space="preserve">Certification </w:t>
      </w:r>
      <w:r>
        <w:rPr>
          <w:sz w:val="24"/>
          <w:szCs w:val="24"/>
        </w:rPr>
        <w:t>for Paperwork Reduction Act Submissions</w:t>
      </w:r>
    </w:p>
    <w:p w:rsidR="00AC3B11" w:rsidP="00E304A2" w14:paraId="1F6AAB99" w14:textId="77777777"/>
    <w:p w:rsidR="007F678A" w:rsidP="00E304A2" w14:paraId="5A45C467" w14:textId="77777777"/>
    <w:p w:rsidR="007F678A" w:rsidRPr="007F678A" w:rsidP="007F678A" w14:paraId="418C899F" w14:textId="77777777">
      <w:pPr>
        <w:widowControl/>
        <w:tabs>
          <w:tab w:val="left" w:pos="720"/>
          <w:tab w:val="right" w:leader="dot" w:pos="9350"/>
        </w:tabs>
        <w:autoSpaceDE/>
        <w:autoSpaceDN/>
        <w:adjustRightInd/>
        <w:spacing w:before="180"/>
        <w:rPr>
          <w:b/>
          <w:sz w:val="24"/>
          <w:szCs w:val="24"/>
        </w:rPr>
      </w:pPr>
      <w:r w:rsidRPr="007F678A">
        <w:rPr>
          <w:b/>
          <w:noProof/>
          <w:sz w:val="24"/>
          <w:szCs w:val="24"/>
        </w:rPr>
        <w:t>Exhibits</w:t>
      </w:r>
    </w:p>
    <w:p w:rsidR="007F678A" w:rsidRPr="007F678A" w:rsidP="007F678A" w14:paraId="4788694F" w14:textId="77777777">
      <w:pPr>
        <w:pStyle w:val="ListParagraph"/>
        <w:widowControl/>
        <w:numPr>
          <w:ilvl w:val="0"/>
          <w:numId w:val="4"/>
        </w:numPr>
        <w:autoSpaceDE/>
        <w:autoSpaceDN/>
        <w:adjustRightInd/>
        <w:rPr>
          <w:sz w:val="24"/>
          <w:szCs w:val="24"/>
        </w:rPr>
      </w:pPr>
      <w:r w:rsidRPr="007F678A">
        <w:rPr>
          <w:sz w:val="24"/>
          <w:szCs w:val="24"/>
        </w:rPr>
        <w:t>Changes in Estimated Burden Hours</w:t>
      </w:r>
    </w:p>
    <w:p w:rsidR="007F678A" w:rsidRPr="007F678A" w:rsidP="007F678A" w14:paraId="573CDFA7" w14:textId="77777777">
      <w:pPr>
        <w:pStyle w:val="ListParagraph"/>
        <w:widowControl/>
        <w:numPr>
          <w:ilvl w:val="0"/>
          <w:numId w:val="4"/>
        </w:numPr>
        <w:autoSpaceDE/>
        <w:autoSpaceDN/>
        <w:adjustRightInd/>
        <w:rPr>
          <w:sz w:val="24"/>
          <w:szCs w:val="24"/>
        </w:rPr>
      </w:pPr>
      <w:r w:rsidRPr="007F678A">
        <w:rPr>
          <w:bCs/>
          <w:sz w:val="24"/>
          <w:szCs w:val="24"/>
        </w:rPr>
        <w:t>Estimated Annualized Burden Hours</w:t>
      </w:r>
    </w:p>
    <w:p w:rsidR="007F678A" w:rsidP="007F678A" w14:paraId="555CEF58" w14:textId="77777777">
      <w:pPr>
        <w:pStyle w:val="ListParagraph"/>
        <w:widowControl/>
        <w:numPr>
          <w:ilvl w:val="0"/>
          <w:numId w:val="4"/>
        </w:numPr>
        <w:autoSpaceDE/>
        <w:autoSpaceDN/>
        <w:adjustRightInd/>
        <w:rPr>
          <w:bCs/>
          <w:sz w:val="24"/>
          <w:szCs w:val="24"/>
        </w:rPr>
      </w:pPr>
      <w:r w:rsidRPr="007F678A">
        <w:rPr>
          <w:bCs/>
          <w:sz w:val="24"/>
          <w:szCs w:val="24"/>
        </w:rPr>
        <w:t>Costs to the Federal Government</w:t>
      </w:r>
    </w:p>
    <w:p w:rsidR="007F678A" w14:paraId="6956EF76" w14:textId="77777777">
      <w:pPr>
        <w:widowControl/>
        <w:autoSpaceDE/>
        <w:autoSpaceDN/>
        <w:adjustRightInd/>
        <w:spacing w:after="160" w:line="259" w:lineRule="auto"/>
        <w:rPr>
          <w:bCs/>
          <w:sz w:val="24"/>
          <w:szCs w:val="24"/>
        </w:rPr>
      </w:pPr>
      <w:r>
        <w:rPr>
          <w:bCs/>
          <w:sz w:val="24"/>
          <w:szCs w:val="24"/>
        </w:rPr>
        <w:br w:type="page"/>
      </w:r>
    </w:p>
    <w:p w:rsidR="00492D4E" w:rsidRPr="00492D4E" w:rsidP="00492D4E" w14:paraId="472D82AB" w14:textId="61B1FFE6">
      <w:pPr>
        <w:keepNext/>
        <w:widowControl/>
        <w:autoSpaceDE/>
        <w:autoSpaceDN/>
        <w:adjustRightInd/>
        <w:spacing w:after="180"/>
        <w:jc w:val="center"/>
        <w:outlineLvl w:val="0"/>
        <w:rPr>
          <w:b/>
          <w:bCs/>
          <w:kern w:val="32"/>
          <w:sz w:val="28"/>
          <w:szCs w:val="28"/>
          <w:lang w:val="x-none" w:eastAsia="x-none"/>
        </w:rPr>
      </w:pPr>
      <w:r w:rsidRPr="00492D4E">
        <w:rPr>
          <w:b/>
          <w:bCs/>
          <w:kern w:val="32"/>
          <w:sz w:val="28"/>
          <w:szCs w:val="28"/>
          <w:lang w:val="x-none" w:eastAsia="x-none"/>
        </w:rPr>
        <w:t>Supporting Statement for the OMH P</w:t>
      </w:r>
      <w:r w:rsidR="00340C5D">
        <w:rPr>
          <w:b/>
          <w:bCs/>
          <w:kern w:val="32"/>
          <w:sz w:val="28"/>
          <w:szCs w:val="28"/>
          <w:lang w:val="x-none" w:eastAsia="x-none"/>
        </w:rPr>
        <w:t>EMS</w:t>
      </w:r>
    </w:p>
    <w:p w:rsidR="00492D4E" w:rsidRPr="00492D4E" w:rsidP="00492D4E" w14:paraId="37FABD2D" w14:textId="70852DB3">
      <w:pPr>
        <w:widowControl/>
        <w:autoSpaceDE/>
        <w:autoSpaceDN/>
        <w:adjustRightInd/>
        <w:spacing w:after="240"/>
        <w:rPr>
          <w:sz w:val="24"/>
          <w:szCs w:val="24"/>
        </w:rPr>
      </w:pPr>
      <w:r w:rsidRPr="00492D4E">
        <w:rPr>
          <w:sz w:val="24"/>
          <w:szCs w:val="24"/>
        </w:rPr>
        <w:t xml:space="preserve">This request for Office of Management and Budget (OMB) clearance </w:t>
      </w:r>
      <w:r w:rsidR="00282AAF">
        <w:rPr>
          <w:sz w:val="24"/>
          <w:szCs w:val="24"/>
        </w:rPr>
        <w:t>for</w:t>
      </w:r>
      <w:r w:rsidR="000B47A8">
        <w:rPr>
          <w:sz w:val="24"/>
          <w:szCs w:val="24"/>
        </w:rPr>
        <w:t xml:space="preserve"> </w:t>
      </w:r>
      <w:r w:rsidR="004626A4">
        <w:rPr>
          <w:sz w:val="24"/>
          <w:szCs w:val="24"/>
        </w:rPr>
        <w:t xml:space="preserve">a new </w:t>
      </w:r>
      <w:r w:rsidR="00237CBB">
        <w:rPr>
          <w:sz w:val="24"/>
          <w:szCs w:val="24"/>
        </w:rPr>
        <w:t>information collection, Performance and Evaluation Measurement System (PEMS)</w:t>
      </w:r>
      <w:r w:rsidR="00FF6D34">
        <w:rPr>
          <w:sz w:val="24"/>
          <w:szCs w:val="24"/>
        </w:rPr>
        <w:t xml:space="preserve">, to collect data from </w:t>
      </w:r>
      <w:r w:rsidR="00F80856">
        <w:rPr>
          <w:sz w:val="24"/>
          <w:szCs w:val="24"/>
        </w:rPr>
        <w:t>Office of Minority Health (OMH) grant recipients</w:t>
      </w:r>
      <w:r w:rsidR="00237CBB">
        <w:rPr>
          <w:sz w:val="24"/>
          <w:szCs w:val="24"/>
        </w:rPr>
        <w:t xml:space="preserve">. </w:t>
      </w:r>
      <w:r w:rsidRPr="00492D4E" w:rsidR="00DA04E5">
        <w:rPr>
          <w:sz w:val="24"/>
          <w:szCs w:val="24"/>
        </w:rPr>
        <w:t>This data is used to monitor</w:t>
      </w:r>
      <w:r w:rsidR="009C68F9">
        <w:rPr>
          <w:sz w:val="24"/>
          <w:szCs w:val="24"/>
        </w:rPr>
        <w:t xml:space="preserve"> performance</w:t>
      </w:r>
      <w:r w:rsidRPr="00492D4E" w:rsidR="00DA04E5">
        <w:rPr>
          <w:sz w:val="24"/>
          <w:szCs w:val="24"/>
        </w:rPr>
        <w:t xml:space="preserve"> and promote evaluation of intervention effectiveness throughout the course of a funding period/cycle to ‘grow the science’ regarding ‘what works’ in minority health improvement and health disparities reduction. </w:t>
      </w:r>
      <w:r w:rsidR="00237CBB">
        <w:rPr>
          <w:sz w:val="24"/>
          <w:szCs w:val="24"/>
        </w:rPr>
        <w:t xml:space="preserve">This </w:t>
      </w:r>
      <w:r w:rsidR="009E5732">
        <w:rPr>
          <w:sz w:val="24"/>
          <w:szCs w:val="24"/>
        </w:rPr>
        <w:t>information collection</w:t>
      </w:r>
      <w:r w:rsidR="00237CBB">
        <w:rPr>
          <w:sz w:val="24"/>
          <w:szCs w:val="24"/>
        </w:rPr>
        <w:t xml:space="preserve"> includes two new web-based data collection tools: </w:t>
      </w:r>
      <w:r w:rsidR="005A5F4B">
        <w:rPr>
          <w:sz w:val="24"/>
          <w:szCs w:val="24"/>
        </w:rPr>
        <w:t>O</w:t>
      </w:r>
      <w:r w:rsidR="00237CBB">
        <w:rPr>
          <w:sz w:val="24"/>
          <w:szCs w:val="24"/>
        </w:rPr>
        <w:t xml:space="preserve">MH Performance Progress Report and Disparity Impact </w:t>
      </w:r>
      <w:r w:rsidR="00275B7F">
        <w:rPr>
          <w:sz w:val="24"/>
          <w:szCs w:val="24"/>
        </w:rPr>
        <w:t>Statement</w:t>
      </w:r>
      <w:r w:rsidR="000B47A8">
        <w:rPr>
          <w:sz w:val="24"/>
          <w:szCs w:val="24"/>
        </w:rPr>
        <w:t xml:space="preserve">. </w:t>
      </w:r>
      <w:r w:rsidR="00AF77EF">
        <w:rPr>
          <w:sz w:val="24"/>
          <w:szCs w:val="24"/>
        </w:rPr>
        <w:t xml:space="preserve">Recipients will </w:t>
      </w:r>
      <w:r w:rsidR="005512A4">
        <w:rPr>
          <w:sz w:val="24"/>
          <w:szCs w:val="24"/>
        </w:rPr>
        <w:t xml:space="preserve">submit </w:t>
      </w:r>
      <w:r w:rsidR="00D0431C">
        <w:rPr>
          <w:sz w:val="24"/>
          <w:szCs w:val="24"/>
        </w:rPr>
        <w:t>responses</w:t>
      </w:r>
      <w:r w:rsidR="005512A4">
        <w:rPr>
          <w:sz w:val="24"/>
          <w:szCs w:val="24"/>
        </w:rPr>
        <w:t xml:space="preserve"> for these tools through</w:t>
      </w:r>
      <w:r w:rsidR="00517DEE">
        <w:rPr>
          <w:sz w:val="24"/>
          <w:szCs w:val="24"/>
        </w:rPr>
        <w:t xml:space="preserve"> </w:t>
      </w:r>
      <w:r w:rsidR="00517DEE">
        <w:rPr>
          <w:sz w:val="24"/>
          <w:szCs w:val="24"/>
        </w:rPr>
        <w:t>GrantSolutio</w:t>
      </w:r>
      <w:r w:rsidR="00D5125F">
        <w:rPr>
          <w:sz w:val="24"/>
          <w:szCs w:val="24"/>
        </w:rPr>
        <w:t>n</w:t>
      </w:r>
      <w:r w:rsidR="00517DEE">
        <w:rPr>
          <w:sz w:val="24"/>
          <w:szCs w:val="24"/>
        </w:rPr>
        <w:t>s</w:t>
      </w:r>
      <w:r w:rsidR="00517DEE">
        <w:rPr>
          <w:sz w:val="24"/>
          <w:szCs w:val="24"/>
        </w:rPr>
        <w:t>, a web-based</w:t>
      </w:r>
      <w:r w:rsidR="005C66F4">
        <w:rPr>
          <w:sz w:val="24"/>
          <w:szCs w:val="24"/>
        </w:rPr>
        <w:t xml:space="preserve"> platform</w:t>
      </w:r>
      <w:r w:rsidR="00E4161B">
        <w:rPr>
          <w:sz w:val="24"/>
          <w:szCs w:val="24"/>
        </w:rPr>
        <w:t>.</w:t>
      </w:r>
      <w:r w:rsidR="000B47A8">
        <w:rPr>
          <w:sz w:val="24"/>
          <w:szCs w:val="24"/>
        </w:rPr>
        <w:t xml:space="preserve"> </w:t>
      </w:r>
      <w:r w:rsidRPr="0082478F" w:rsidR="0082478F">
        <w:rPr>
          <w:sz w:val="24"/>
          <w:szCs w:val="24"/>
        </w:rPr>
        <w:t>GrantSolutions</w:t>
      </w:r>
      <w:r w:rsidRPr="0082478F" w:rsidR="0082478F">
        <w:rPr>
          <w:sz w:val="24"/>
          <w:szCs w:val="24"/>
        </w:rPr>
        <w:t xml:space="preserve"> is password protected and access is limited to Authorized HHS Officials, and Grantee Principal Investigators and Project Directors.</w:t>
      </w:r>
      <w:r w:rsidR="0082478F">
        <w:rPr>
          <w:sz w:val="24"/>
          <w:szCs w:val="24"/>
        </w:rPr>
        <w:t xml:space="preserve"> </w:t>
      </w:r>
    </w:p>
    <w:p w:rsidR="00492D4E" w:rsidP="007F678A" w14:paraId="29384622" w14:textId="77777777">
      <w:pPr>
        <w:widowControl/>
        <w:tabs>
          <w:tab w:val="num" w:pos="540"/>
        </w:tabs>
        <w:autoSpaceDE/>
        <w:autoSpaceDN/>
        <w:adjustRightInd/>
        <w:ind w:left="540" w:hanging="540"/>
        <w:jc w:val="both"/>
        <w:rPr>
          <w:b/>
          <w:sz w:val="28"/>
          <w:szCs w:val="28"/>
        </w:rPr>
      </w:pPr>
    </w:p>
    <w:p w:rsidR="007F678A" w:rsidRPr="007F678A" w:rsidP="007F678A" w14:paraId="6EE75792" w14:textId="77777777">
      <w:pPr>
        <w:widowControl/>
        <w:tabs>
          <w:tab w:val="num" w:pos="540"/>
        </w:tabs>
        <w:autoSpaceDE/>
        <w:autoSpaceDN/>
        <w:adjustRightInd/>
        <w:ind w:left="540" w:hanging="540"/>
        <w:jc w:val="both"/>
        <w:rPr>
          <w:b/>
          <w:sz w:val="22"/>
          <w:szCs w:val="22"/>
        </w:rPr>
      </w:pPr>
      <w:r w:rsidRPr="007F678A">
        <w:rPr>
          <w:b/>
          <w:sz w:val="28"/>
          <w:szCs w:val="28"/>
        </w:rPr>
        <w:t>A.</w:t>
      </w:r>
      <w:r w:rsidRPr="007F678A">
        <w:rPr>
          <w:b/>
          <w:sz w:val="22"/>
          <w:szCs w:val="22"/>
        </w:rPr>
        <w:tab/>
      </w:r>
      <w:r w:rsidRPr="007F678A">
        <w:rPr>
          <w:b/>
          <w:sz w:val="28"/>
          <w:szCs w:val="28"/>
        </w:rPr>
        <w:t>JUSTIFICATION</w:t>
      </w:r>
    </w:p>
    <w:p w:rsidR="007F678A" w:rsidRPr="007F678A" w:rsidP="007F678A" w14:paraId="3C177858" w14:textId="77777777">
      <w:pPr>
        <w:pStyle w:val="Listheader"/>
      </w:pPr>
      <w:r w:rsidRPr="007F678A">
        <w:t>Circumstances Making the Collection of Information Necessary</w:t>
      </w:r>
    </w:p>
    <w:p w:rsidR="007F678A" w:rsidRPr="007F678A" w:rsidP="007F678A" w14:paraId="6B70AEFE" w14:textId="77777777">
      <w:pPr>
        <w:rPr>
          <w:sz w:val="24"/>
          <w:szCs w:val="24"/>
        </w:rPr>
      </w:pPr>
      <w:r w:rsidRPr="007F678A">
        <w:rPr>
          <w:sz w:val="24"/>
          <w:szCs w:val="24"/>
        </w:rPr>
        <w:t>In 1985, the Report of the Secretary's Task Force on Black and Minority Health, the first comprehensive national racial and ethnic minority health study published by the HHS, documented the wide disparity in health status between racial and ethnic minorities and Whites. Although the health of all Americans has continued to improve over two and a half decades since the Report was issued, racial and ethnic health disparities persist and, in some cases, are increasing. The persistence of such disparities suggests that current approaches and strategies are not producing the kinds of results needed to ensure that all Americans are able to achieve the same quality and years of healthy life, regardless of their demographic characteristics.</w:t>
      </w:r>
    </w:p>
    <w:p w:rsidR="007F678A" w:rsidRPr="007F678A" w:rsidP="007F678A" w14:paraId="5CF63D1C" w14:textId="77777777">
      <w:pPr>
        <w:rPr>
          <w:sz w:val="24"/>
          <w:szCs w:val="24"/>
        </w:rPr>
      </w:pPr>
    </w:p>
    <w:p w:rsidR="007F678A" w:rsidP="673044CC" w14:paraId="6D93384E" w14:textId="637F13A9">
      <w:pPr>
        <w:rPr>
          <w:sz w:val="24"/>
          <w:szCs w:val="24"/>
        </w:rPr>
      </w:pPr>
      <w:r w:rsidRPr="673044CC">
        <w:rPr>
          <w:sz w:val="24"/>
          <w:szCs w:val="24"/>
        </w:rPr>
        <w:t>Since its inception in 1985, OMH has been the organizational entity within HHS that coordinates Federal efforts to improve the health status of racial and ethnic minority populations. The office was established with the passage of the Disadvantaged Minority Health Improvement Act (P.L. 101-527) (</w:t>
      </w:r>
      <w:r w:rsidR="00604B62">
        <w:rPr>
          <w:b/>
          <w:bCs/>
          <w:sz w:val="24"/>
          <w:szCs w:val="24"/>
        </w:rPr>
        <w:t>Appendix</w:t>
      </w:r>
      <w:r w:rsidRPr="673044CC">
        <w:rPr>
          <w:b/>
          <w:bCs/>
          <w:sz w:val="24"/>
          <w:szCs w:val="24"/>
        </w:rPr>
        <w:t xml:space="preserve"> A</w:t>
      </w:r>
      <w:r w:rsidRPr="673044CC">
        <w:rPr>
          <w:sz w:val="24"/>
          <w:szCs w:val="24"/>
        </w:rPr>
        <w:t>) and given a broad mandate to advance efforts to improve minority health and address racial/ethnic disparities in health.  Under the Patient Protection and Affordable Care Act (P.L. 111-148) (</w:t>
      </w:r>
      <w:r w:rsidR="005745EC">
        <w:rPr>
          <w:b/>
          <w:bCs/>
          <w:sz w:val="24"/>
          <w:szCs w:val="24"/>
        </w:rPr>
        <w:t>Appendix</w:t>
      </w:r>
      <w:r w:rsidRPr="673044CC">
        <w:rPr>
          <w:b/>
          <w:bCs/>
          <w:sz w:val="24"/>
          <w:szCs w:val="24"/>
        </w:rPr>
        <w:t xml:space="preserve"> B</w:t>
      </w:r>
      <w:r w:rsidRPr="673044CC">
        <w:rPr>
          <w:sz w:val="24"/>
          <w:szCs w:val="24"/>
        </w:rPr>
        <w:t>) and the Health Care and Education Reconciliation Act (P.L. 111-152) (</w:t>
      </w:r>
      <w:r w:rsidR="005745EC">
        <w:rPr>
          <w:b/>
          <w:bCs/>
          <w:sz w:val="24"/>
          <w:szCs w:val="24"/>
        </w:rPr>
        <w:t>Appendix</w:t>
      </w:r>
      <w:r w:rsidRPr="673044CC" w:rsidR="673044CC">
        <w:rPr>
          <w:b/>
          <w:bCs/>
          <w:sz w:val="24"/>
          <w:szCs w:val="24"/>
        </w:rPr>
        <w:t xml:space="preserve"> C</w:t>
      </w:r>
      <w:r w:rsidRPr="673044CC">
        <w:rPr>
          <w:sz w:val="24"/>
          <w:szCs w:val="24"/>
        </w:rPr>
        <w:t xml:space="preserve">), the responsibility for OMH to “establish, implement, monitor, and evaluate short-range and long-range goals and objectives and oversee all other activities within the US Public Health Service that relate to disease prevention, health promotion, service delivery, and research concerning minority groups” was recodified.  </w:t>
      </w:r>
      <w:r w:rsidRPr="673044CC" w:rsidR="008959DC">
        <w:rPr>
          <w:sz w:val="24"/>
          <w:szCs w:val="24"/>
        </w:rPr>
        <w:t>To</w:t>
      </w:r>
      <w:r w:rsidRPr="673044CC">
        <w:rPr>
          <w:sz w:val="24"/>
          <w:szCs w:val="24"/>
        </w:rPr>
        <w:t xml:space="preserve"> achieve this broad mandate, OMH supports research, demonstrations and evaluations of new and innovative programs, and strategies and interventions that increase understanding of ways to improve the health of racial and ethnic minority communities and reduce the burden of disease, disability, and premature death that disparately impacts them.</w:t>
      </w:r>
    </w:p>
    <w:p w:rsidR="009053E3" w:rsidRPr="007F678A" w:rsidP="673044CC" w14:paraId="20933AC2" w14:textId="77777777"/>
    <w:p w:rsidR="007F678A" w:rsidP="002E0B11" w14:paraId="62142552" w14:textId="45A7870C">
      <w:pPr>
        <w:widowControl/>
        <w:autoSpaceDE/>
        <w:autoSpaceDN/>
        <w:adjustRightInd/>
        <w:spacing w:after="240"/>
        <w:rPr>
          <w:spacing w:val="-2"/>
          <w:sz w:val="24"/>
          <w:szCs w:val="24"/>
        </w:rPr>
      </w:pPr>
      <w:r w:rsidRPr="000A4DAD">
        <w:rPr>
          <w:spacing w:val="-2"/>
          <w:sz w:val="24"/>
          <w:szCs w:val="24"/>
        </w:rPr>
        <w:t xml:space="preserve">The proposed information collection activity will allow OMH to collect grant management and performance data and disparity impact information for all OMH-funded projects. The clearance is needed to support data collection using </w:t>
      </w:r>
      <w:r w:rsidRPr="000A4DAD">
        <w:rPr>
          <w:spacing w:val="-2"/>
          <w:sz w:val="24"/>
          <w:szCs w:val="24"/>
        </w:rPr>
        <w:t>GrantSolutions</w:t>
      </w:r>
      <w:r w:rsidRPr="000A4DAD">
        <w:rPr>
          <w:spacing w:val="-2"/>
          <w:sz w:val="24"/>
          <w:szCs w:val="24"/>
        </w:rPr>
        <w:t xml:space="preserve">, a system that enables OMH to comply with Federal reporting requirements and monitor and evaluate performance by enabling the efficient collection of performance-oriented data tied to OMH-wide performance reporting needs. </w:t>
      </w:r>
      <w:r w:rsidR="00E9368B">
        <w:rPr>
          <w:spacing w:val="-2"/>
          <w:sz w:val="24"/>
          <w:szCs w:val="24"/>
        </w:rPr>
        <w:t xml:space="preserve">Data </w:t>
      </w:r>
      <w:r w:rsidR="000C7C79">
        <w:rPr>
          <w:spacing w:val="-2"/>
          <w:sz w:val="24"/>
          <w:szCs w:val="24"/>
        </w:rPr>
        <w:t xml:space="preserve">gathered through PEMS will </w:t>
      </w:r>
      <w:r>
        <w:rPr>
          <w:spacing w:val="-2"/>
          <w:sz w:val="24"/>
          <w:szCs w:val="24"/>
        </w:rPr>
        <w:t xml:space="preserve">also </w:t>
      </w:r>
      <w:r w:rsidR="000C7C79">
        <w:rPr>
          <w:spacing w:val="-2"/>
          <w:sz w:val="24"/>
          <w:szCs w:val="24"/>
        </w:rPr>
        <w:t>be used</w:t>
      </w:r>
      <w:r w:rsidRPr="007F678A">
        <w:rPr>
          <w:spacing w:val="-2"/>
          <w:sz w:val="24"/>
          <w:szCs w:val="24"/>
        </w:rPr>
        <w:t xml:space="preserve"> to inform program managers, OMH and HHS leadership, </w:t>
      </w:r>
      <w:r w:rsidRPr="007F678A" w:rsidR="00657F88">
        <w:rPr>
          <w:spacing w:val="-2"/>
          <w:sz w:val="24"/>
          <w:szCs w:val="24"/>
        </w:rPr>
        <w:t>budget personnel</w:t>
      </w:r>
      <w:r w:rsidRPr="007F678A">
        <w:rPr>
          <w:spacing w:val="-2"/>
          <w:sz w:val="24"/>
          <w:szCs w:val="24"/>
        </w:rPr>
        <w:t xml:space="preserve">, and Congressional staff about the number and demographic make-up of program participants, the nature and extent of funded interventions and their impacts on program participants, efficiencies through resource leveraging and partnerships, the relationship of funded efforts to national goals and objectives, such as </w:t>
      </w:r>
      <w:r w:rsidRPr="673044CC">
        <w:rPr>
          <w:i/>
          <w:iCs/>
          <w:spacing w:val="-2"/>
          <w:sz w:val="24"/>
          <w:szCs w:val="24"/>
        </w:rPr>
        <w:t xml:space="preserve">Healthy People </w:t>
      </w:r>
      <w:r w:rsidRPr="673044CC" w:rsidR="000B47A8">
        <w:rPr>
          <w:i/>
          <w:iCs/>
          <w:spacing w:val="-2"/>
          <w:sz w:val="24"/>
          <w:szCs w:val="24"/>
        </w:rPr>
        <w:t>2030</w:t>
      </w:r>
      <w:r w:rsidRPr="007F678A" w:rsidR="000B47A8">
        <w:rPr>
          <w:spacing w:val="-2"/>
          <w:sz w:val="24"/>
          <w:szCs w:val="24"/>
        </w:rPr>
        <w:t xml:space="preserve"> </w:t>
      </w:r>
      <w:r w:rsidRPr="007F678A">
        <w:rPr>
          <w:spacing w:val="-2"/>
          <w:sz w:val="24"/>
          <w:szCs w:val="24"/>
        </w:rPr>
        <w:t>(</w:t>
      </w:r>
      <w:r w:rsidRPr="673044CC" w:rsidR="000B47A8">
        <w:rPr>
          <w:i/>
          <w:iCs/>
          <w:spacing w:val="-2"/>
          <w:sz w:val="24"/>
          <w:szCs w:val="24"/>
        </w:rPr>
        <w:t>HP2030</w:t>
      </w:r>
      <w:r w:rsidRPr="007F678A">
        <w:rPr>
          <w:spacing w:val="-2"/>
          <w:sz w:val="24"/>
          <w:szCs w:val="24"/>
        </w:rPr>
        <w:t>).  Such results enable OMH to comply with the requirements under the GPRA Modernization Act (</w:t>
      </w:r>
      <w:r w:rsidR="000A2B8A">
        <w:rPr>
          <w:b/>
          <w:bCs/>
          <w:spacing w:val="-2"/>
          <w:sz w:val="24"/>
          <w:szCs w:val="24"/>
        </w:rPr>
        <w:t>Appendix</w:t>
      </w:r>
      <w:r w:rsidRPr="673044CC">
        <w:rPr>
          <w:b/>
          <w:bCs/>
          <w:spacing w:val="-2"/>
          <w:sz w:val="24"/>
          <w:szCs w:val="24"/>
        </w:rPr>
        <w:t xml:space="preserve"> </w:t>
      </w:r>
      <w:r w:rsidR="00B06481">
        <w:rPr>
          <w:b/>
          <w:bCs/>
          <w:spacing w:val="-2"/>
          <w:sz w:val="24"/>
          <w:szCs w:val="24"/>
        </w:rPr>
        <w:t>D</w:t>
      </w:r>
      <w:r w:rsidRPr="007F678A">
        <w:rPr>
          <w:spacing w:val="-2"/>
          <w:sz w:val="24"/>
          <w:szCs w:val="24"/>
        </w:rPr>
        <w:t xml:space="preserve">).      </w:t>
      </w:r>
    </w:p>
    <w:p w:rsidR="00BD309D" w:rsidRPr="007F678A" w:rsidP="007F678A" w14:paraId="48FDC722" w14:textId="6A8A97E0">
      <w:pPr>
        <w:widowControl/>
        <w:autoSpaceDE/>
        <w:autoSpaceDN/>
        <w:adjustRightInd/>
        <w:spacing w:after="240"/>
        <w:rPr>
          <w:spacing w:val="-2"/>
          <w:sz w:val="24"/>
          <w:szCs w:val="24"/>
        </w:rPr>
      </w:pPr>
    </w:p>
    <w:p w:rsidR="007F678A" w:rsidRPr="007F678A" w:rsidP="007F678A" w14:paraId="39E8A32A" w14:textId="77777777">
      <w:pPr>
        <w:pStyle w:val="Listheader"/>
      </w:pPr>
      <w:r w:rsidRPr="007F678A">
        <w:t>Purpose and Use of Information Collection</w:t>
      </w:r>
    </w:p>
    <w:p w:rsidR="004D554B" w:rsidP="007F678A" w14:paraId="42A3E86A" w14:textId="18F5DA65">
      <w:pPr>
        <w:widowControl/>
        <w:autoSpaceDE/>
        <w:autoSpaceDN/>
        <w:adjustRightInd/>
        <w:spacing w:after="240"/>
        <w:rPr>
          <w:sz w:val="24"/>
          <w:szCs w:val="24"/>
        </w:rPr>
      </w:pPr>
      <w:r w:rsidRPr="007F678A">
        <w:rPr>
          <w:sz w:val="24"/>
          <w:szCs w:val="24"/>
        </w:rPr>
        <w:t xml:space="preserve">The overall purpose of </w:t>
      </w:r>
      <w:r w:rsidR="00B90AF5">
        <w:rPr>
          <w:sz w:val="24"/>
          <w:szCs w:val="24"/>
        </w:rPr>
        <w:t>PEMS</w:t>
      </w:r>
      <w:r w:rsidRPr="007F678A">
        <w:rPr>
          <w:sz w:val="24"/>
          <w:szCs w:val="24"/>
        </w:rPr>
        <w:t xml:space="preserve"> is to enable OMH, via </w:t>
      </w:r>
      <w:r w:rsidR="00A13378">
        <w:rPr>
          <w:sz w:val="24"/>
          <w:szCs w:val="24"/>
        </w:rPr>
        <w:t>GrantSolutions</w:t>
      </w:r>
      <w:r w:rsidRPr="007F678A">
        <w:rPr>
          <w:sz w:val="24"/>
          <w:szCs w:val="24"/>
        </w:rPr>
        <w:t xml:space="preserve">, to collect standardized performance information from its grantees, cooperative agreement partners, and other funding recipients </w:t>
      </w:r>
      <w:r w:rsidRPr="007F678A" w:rsidR="005C5794">
        <w:rPr>
          <w:sz w:val="24"/>
          <w:szCs w:val="24"/>
        </w:rPr>
        <w:t>to</w:t>
      </w:r>
      <w:r w:rsidRPr="007F678A">
        <w:rPr>
          <w:sz w:val="24"/>
          <w:szCs w:val="24"/>
        </w:rPr>
        <w:t xml:space="preserve"> enable generation of routine reports regarding </w:t>
      </w:r>
      <w:r w:rsidR="00C1459E">
        <w:rPr>
          <w:sz w:val="24"/>
          <w:szCs w:val="24"/>
        </w:rPr>
        <w:t xml:space="preserve">performance metrics and </w:t>
      </w:r>
      <w:r w:rsidR="004A347F">
        <w:rPr>
          <w:sz w:val="24"/>
          <w:szCs w:val="24"/>
        </w:rPr>
        <w:t>disparity</w:t>
      </w:r>
      <w:r w:rsidR="00C1459E">
        <w:rPr>
          <w:sz w:val="24"/>
          <w:szCs w:val="24"/>
        </w:rPr>
        <w:t xml:space="preserve"> </w:t>
      </w:r>
      <w:r w:rsidR="004A347F">
        <w:rPr>
          <w:sz w:val="24"/>
          <w:szCs w:val="24"/>
        </w:rPr>
        <w:t>impact</w:t>
      </w:r>
      <w:r w:rsidR="00830D15">
        <w:rPr>
          <w:sz w:val="24"/>
          <w:szCs w:val="24"/>
        </w:rPr>
        <w:t xml:space="preserve"> </w:t>
      </w:r>
      <w:r w:rsidR="00830D15">
        <w:rPr>
          <w:sz w:val="24"/>
          <w:szCs w:val="24"/>
        </w:rPr>
        <w:t>through the use of</w:t>
      </w:r>
      <w:r w:rsidR="00830D15">
        <w:rPr>
          <w:sz w:val="24"/>
          <w:szCs w:val="24"/>
        </w:rPr>
        <w:t xml:space="preserve"> two</w:t>
      </w:r>
      <w:r w:rsidR="00A377E1">
        <w:rPr>
          <w:sz w:val="24"/>
          <w:szCs w:val="24"/>
        </w:rPr>
        <w:t xml:space="preserve"> data collection</w:t>
      </w:r>
      <w:r w:rsidR="00830D15">
        <w:rPr>
          <w:sz w:val="24"/>
          <w:szCs w:val="24"/>
        </w:rPr>
        <w:t xml:space="preserve"> tools:</w:t>
      </w:r>
    </w:p>
    <w:p w:rsidR="003E6F22" w:rsidRPr="004D554B" w:rsidP="003E6F22" w14:paraId="2D094250" w14:textId="527EDFC0">
      <w:pPr>
        <w:widowControl/>
        <w:autoSpaceDE/>
        <w:autoSpaceDN/>
        <w:adjustRightInd/>
        <w:spacing w:after="240"/>
        <w:rPr>
          <w:sz w:val="24"/>
          <w:szCs w:val="24"/>
        </w:rPr>
      </w:pPr>
      <w:r w:rsidRPr="00AA3B23">
        <w:rPr>
          <w:b/>
          <w:bCs/>
          <w:sz w:val="24"/>
          <w:szCs w:val="24"/>
        </w:rPr>
        <w:t>The OMH Performance Pro</w:t>
      </w:r>
      <w:r w:rsidR="002710C8">
        <w:rPr>
          <w:b/>
          <w:bCs/>
          <w:sz w:val="24"/>
          <w:szCs w:val="24"/>
        </w:rPr>
        <w:t>gress</w:t>
      </w:r>
      <w:r w:rsidRPr="00AA3B23">
        <w:rPr>
          <w:b/>
          <w:bCs/>
          <w:sz w:val="24"/>
          <w:szCs w:val="24"/>
        </w:rPr>
        <w:t xml:space="preserve"> Report (PPR)</w:t>
      </w:r>
      <w:r w:rsidR="00657F88">
        <w:rPr>
          <w:b/>
          <w:bCs/>
          <w:sz w:val="24"/>
          <w:szCs w:val="24"/>
        </w:rPr>
        <w:t xml:space="preserve"> (Appendix E)</w:t>
      </w:r>
      <w:r w:rsidRPr="00907720">
        <w:rPr>
          <w:sz w:val="24"/>
          <w:szCs w:val="24"/>
        </w:rPr>
        <w:t xml:space="preserve"> for Grants and Cooperative Agreements is a tool for tracking and reporting the progress, outcomes, and broader impacts of </w:t>
      </w:r>
      <w:r w:rsidR="00CA519E">
        <w:rPr>
          <w:sz w:val="24"/>
          <w:szCs w:val="24"/>
        </w:rPr>
        <w:t>OMH</w:t>
      </w:r>
      <w:r w:rsidRPr="00907720" w:rsidR="00CA519E">
        <w:rPr>
          <w:sz w:val="24"/>
          <w:szCs w:val="24"/>
        </w:rPr>
        <w:t xml:space="preserve"> </w:t>
      </w:r>
      <w:r w:rsidRPr="00907720">
        <w:rPr>
          <w:sz w:val="24"/>
          <w:szCs w:val="24"/>
        </w:rPr>
        <w:t xml:space="preserve">funded projects. It helps project </w:t>
      </w:r>
      <w:r w:rsidR="00830D15">
        <w:rPr>
          <w:sz w:val="24"/>
          <w:szCs w:val="24"/>
        </w:rPr>
        <w:t>officers</w:t>
      </w:r>
      <w:r w:rsidRPr="00907720">
        <w:rPr>
          <w:sz w:val="24"/>
          <w:szCs w:val="24"/>
        </w:rPr>
        <w:t xml:space="preserve"> document achievements, evaluate project activities, and report significant accomplishments, collaborations, and dissemination efforts. The PPR ensures compliance with evaluation and IRB requirements, supports quality improvement and sustainability planning, and collects performance measure data to assess progress towards project goals. This comprehensive reporting mechanism promotes transparency, accountability, and continuous improvement of funded projects.</w:t>
      </w:r>
      <w:r w:rsidR="007A5A7E">
        <w:rPr>
          <w:sz w:val="24"/>
          <w:szCs w:val="24"/>
        </w:rPr>
        <w:t xml:space="preserve"> The OMH PPR is a supplement to the </w:t>
      </w:r>
      <w:r w:rsidR="00C07779">
        <w:rPr>
          <w:sz w:val="24"/>
          <w:szCs w:val="24"/>
        </w:rPr>
        <w:t>Office of the Assistant Secretary for Health periodic Performance Pro</w:t>
      </w:r>
      <w:r w:rsidR="002710C8">
        <w:rPr>
          <w:sz w:val="24"/>
          <w:szCs w:val="24"/>
        </w:rPr>
        <w:t>gress Report</w:t>
      </w:r>
      <w:r w:rsidR="00CA519E">
        <w:rPr>
          <w:sz w:val="24"/>
          <w:szCs w:val="24"/>
        </w:rPr>
        <w:t xml:space="preserve">, and </w:t>
      </w:r>
      <w:r w:rsidR="00B94A66">
        <w:rPr>
          <w:sz w:val="24"/>
          <w:szCs w:val="24"/>
        </w:rPr>
        <w:t xml:space="preserve">it </w:t>
      </w:r>
      <w:r w:rsidR="00CA519E">
        <w:rPr>
          <w:sz w:val="24"/>
          <w:szCs w:val="24"/>
        </w:rPr>
        <w:t>will allow</w:t>
      </w:r>
      <w:r w:rsidR="007B3700">
        <w:rPr>
          <w:sz w:val="24"/>
          <w:szCs w:val="24"/>
        </w:rPr>
        <w:t xml:space="preserve"> OMH to collect additional data </w:t>
      </w:r>
      <w:r w:rsidR="0021444F">
        <w:rPr>
          <w:sz w:val="24"/>
          <w:szCs w:val="24"/>
        </w:rPr>
        <w:t xml:space="preserve">to assess performance and </w:t>
      </w:r>
      <w:r w:rsidR="00BC2ACF">
        <w:rPr>
          <w:sz w:val="24"/>
          <w:szCs w:val="24"/>
        </w:rPr>
        <w:t>outcomes of OMH-funded projects.</w:t>
      </w:r>
    </w:p>
    <w:p w:rsidR="004D554B" w:rsidP="004D554B" w14:paraId="26664D07" w14:textId="7F380424">
      <w:pPr>
        <w:widowControl/>
        <w:autoSpaceDE/>
        <w:autoSpaceDN/>
        <w:adjustRightInd/>
        <w:spacing w:after="240"/>
        <w:rPr>
          <w:sz w:val="24"/>
          <w:szCs w:val="24"/>
        </w:rPr>
      </w:pPr>
      <w:r w:rsidRPr="004D554B">
        <w:rPr>
          <w:sz w:val="24"/>
          <w:szCs w:val="24"/>
        </w:rPr>
        <w:t xml:space="preserve">The </w:t>
      </w:r>
      <w:r w:rsidRPr="004D554B">
        <w:rPr>
          <w:b/>
          <w:bCs/>
          <w:sz w:val="24"/>
          <w:szCs w:val="24"/>
        </w:rPr>
        <w:t>Disparity Impact Statement</w:t>
      </w:r>
      <w:r>
        <w:rPr>
          <w:b/>
          <w:sz w:val="24"/>
          <w:szCs w:val="24"/>
        </w:rPr>
        <w:t xml:space="preserve"> </w:t>
      </w:r>
      <w:r w:rsidR="00CC0FA7">
        <w:rPr>
          <w:b/>
          <w:bCs/>
          <w:sz w:val="24"/>
          <w:szCs w:val="24"/>
        </w:rPr>
        <w:t>(DIS)</w:t>
      </w:r>
      <w:r w:rsidR="00657F88">
        <w:rPr>
          <w:b/>
          <w:bCs/>
          <w:sz w:val="24"/>
          <w:szCs w:val="24"/>
        </w:rPr>
        <w:t xml:space="preserve"> (Appendix F)</w:t>
      </w:r>
      <w:r w:rsidRPr="004D554B">
        <w:rPr>
          <w:sz w:val="24"/>
          <w:szCs w:val="24"/>
        </w:rPr>
        <w:t xml:space="preserve"> </w:t>
      </w:r>
      <w:r w:rsidR="00E55ACE">
        <w:rPr>
          <w:sz w:val="24"/>
          <w:szCs w:val="24"/>
        </w:rPr>
        <w:t xml:space="preserve">includes standardized elements </w:t>
      </w:r>
      <w:r w:rsidR="00D60E52">
        <w:rPr>
          <w:sz w:val="24"/>
          <w:szCs w:val="24"/>
        </w:rPr>
        <w:t xml:space="preserve">for recipients to </w:t>
      </w:r>
      <w:r w:rsidR="00EE046B">
        <w:rPr>
          <w:sz w:val="24"/>
          <w:szCs w:val="24"/>
        </w:rPr>
        <w:t xml:space="preserve">meet a funding requirement to provide information </w:t>
      </w:r>
      <w:r w:rsidR="006E6AD7">
        <w:rPr>
          <w:sz w:val="24"/>
          <w:szCs w:val="24"/>
        </w:rPr>
        <w:t>on how they will</w:t>
      </w:r>
      <w:r w:rsidRPr="004D554B">
        <w:rPr>
          <w:sz w:val="24"/>
          <w:szCs w:val="24"/>
        </w:rPr>
        <w:t xml:space="preserve"> systematically identify and address health disparities within specific populations </w:t>
      </w:r>
      <w:r w:rsidR="004431BC">
        <w:rPr>
          <w:sz w:val="24"/>
          <w:szCs w:val="24"/>
        </w:rPr>
        <w:t xml:space="preserve">experiencing or </w:t>
      </w:r>
      <w:r w:rsidR="002C0216">
        <w:rPr>
          <w:sz w:val="24"/>
          <w:szCs w:val="24"/>
        </w:rPr>
        <w:t xml:space="preserve">at </w:t>
      </w:r>
      <w:r w:rsidR="004431BC">
        <w:rPr>
          <w:sz w:val="24"/>
          <w:szCs w:val="24"/>
        </w:rPr>
        <w:t>increased</w:t>
      </w:r>
      <w:r w:rsidR="002C0216">
        <w:rPr>
          <w:sz w:val="24"/>
          <w:szCs w:val="24"/>
        </w:rPr>
        <w:t xml:space="preserve"> risk for disparities</w:t>
      </w:r>
      <w:r w:rsidRPr="004D554B">
        <w:rPr>
          <w:sz w:val="24"/>
          <w:szCs w:val="24"/>
        </w:rPr>
        <w:t xml:space="preserve">. </w:t>
      </w:r>
      <w:r w:rsidR="00603760">
        <w:rPr>
          <w:sz w:val="24"/>
          <w:szCs w:val="24"/>
        </w:rPr>
        <w:t>Disparity Impact Statement information</w:t>
      </w:r>
      <w:r w:rsidR="006C367D">
        <w:rPr>
          <w:sz w:val="24"/>
          <w:szCs w:val="24"/>
        </w:rPr>
        <w:t xml:space="preserve"> </w:t>
      </w:r>
      <w:r w:rsidR="004A5499">
        <w:rPr>
          <w:sz w:val="24"/>
          <w:szCs w:val="24"/>
        </w:rPr>
        <w:t xml:space="preserve">will allow OMH to </w:t>
      </w:r>
      <w:r w:rsidR="008A4281">
        <w:rPr>
          <w:sz w:val="24"/>
          <w:szCs w:val="24"/>
        </w:rPr>
        <w:t>assess</w:t>
      </w:r>
      <w:r w:rsidR="00603760">
        <w:rPr>
          <w:sz w:val="24"/>
          <w:szCs w:val="24"/>
        </w:rPr>
        <w:t xml:space="preserve">, and monitor </w:t>
      </w:r>
      <w:r w:rsidR="003127EB">
        <w:rPr>
          <w:sz w:val="24"/>
          <w:szCs w:val="24"/>
        </w:rPr>
        <w:t xml:space="preserve">the implementation of, recipient plans for using data and quality improvement processes </w:t>
      </w:r>
      <w:r w:rsidR="002C6E50">
        <w:rPr>
          <w:sz w:val="24"/>
          <w:szCs w:val="24"/>
        </w:rPr>
        <w:t>to address health disparities</w:t>
      </w:r>
      <w:r w:rsidR="00F72BAD">
        <w:rPr>
          <w:sz w:val="24"/>
          <w:szCs w:val="24"/>
        </w:rPr>
        <w:t>.</w:t>
      </w:r>
    </w:p>
    <w:p w:rsidR="007F678A" w:rsidRPr="007F678A" w:rsidP="007F678A" w14:paraId="2CC85D13" w14:textId="5263F4A8">
      <w:pPr>
        <w:widowControl/>
        <w:autoSpaceDE/>
        <w:autoSpaceDN/>
        <w:adjustRightInd/>
        <w:spacing w:after="240"/>
        <w:rPr>
          <w:sz w:val="24"/>
          <w:szCs w:val="24"/>
        </w:rPr>
      </w:pPr>
      <w:r>
        <w:rPr>
          <w:sz w:val="24"/>
          <w:szCs w:val="24"/>
        </w:rPr>
        <w:t xml:space="preserve">Data collected through these tools will be used </w:t>
      </w:r>
      <w:r w:rsidR="00674F07">
        <w:rPr>
          <w:sz w:val="24"/>
          <w:szCs w:val="24"/>
        </w:rPr>
        <w:t xml:space="preserve">to generate </w:t>
      </w:r>
      <w:r w:rsidR="005A55DB">
        <w:rPr>
          <w:sz w:val="24"/>
          <w:szCs w:val="24"/>
        </w:rPr>
        <w:t xml:space="preserve">individual </w:t>
      </w:r>
      <w:r w:rsidR="00674F07">
        <w:rPr>
          <w:sz w:val="24"/>
          <w:szCs w:val="24"/>
        </w:rPr>
        <w:t xml:space="preserve">recipient </w:t>
      </w:r>
      <w:r w:rsidR="005A55DB">
        <w:rPr>
          <w:sz w:val="24"/>
          <w:szCs w:val="24"/>
        </w:rPr>
        <w:t>and aggregate reports</w:t>
      </w:r>
      <w:r w:rsidR="00574510">
        <w:rPr>
          <w:sz w:val="24"/>
          <w:szCs w:val="24"/>
        </w:rPr>
        <w:t xml:space="preserve"> that can be used by recipients, </w:t>
      </w:r>
      <w:r w:rsidR="00233CBC">
        <w:rPr>
          <w:sz w:val="24"/>
          <w:szCs w:val="24"/>
        </w:rPr>
        <w:t xml:space="preserve">OMH </w:t>
      </w:r>
      <w:r w:rsidRPr="007F678A">
        <w:rPr>
          <w:sz w:val="24"/>
          <w:szCs w:val="24"/>
        </w:rPr>
        <w:t xml:space="preserve">project officers, program and Division managers, and office leadership for performance </w:t>
      </w:r>
      <w:r w:rsidR="002946DC">
        <w:rPr>
          <w:sz w:val="24"/>
          <w:szCs w:val="24"/>
        </w:rPr>
        <w:t xml:space="preserve">monitoring, </w:t>
      </w:r>
      <w:r w:rsidRPr="007F678A">
        <w:rPr>
          <w:sz w:val="24"/>
          <w:szCs w:val="24"/>
        </w:rPr>
        <w:t>budgeting</w:t>
      </w:r>
      <w:r w:rsidR="00EC71A3">
        <w:rPr>
          <w:sz w:val="24"/>
          <w:szCs w:val="24"/>
        </w:rPr>
        <w:t xml:space="preserve">, </w:t>
      </w:r>
      <w:r w:rsidRPr="007F678A">
        <w:rPr>
          <w:sz w:val="24"/>
          <w:szCs w:val="24"/>
        </w:rPr>
        <w:t>reporting</w:t>
      </w:r>
      <w:r w:rsidR="00EC71A3">
        <w:rPr>
          <w:sz w:val="24"/>
          <w:szCs w:val="24"/>
        </w:rPr>
        <w:t>, and</w:t>
      </w:r>
      <w:r w:rsidRPr="007F678A">
        <w:rPr>
          <w:sz w:val="24"/>
          <w:szCs w:val="24"/>
        </w:rPr>
        <w:t xml:space="preserve"> program improvement purposes.    </w:t>
      </w:r>
    </w:p>
    <w:p w:rsidR="007F678A" w:rsidRPr="007F678A" w:rsidP="007F678A" w14:paraId="1DA75B13" w14:textId="4CA16A35">
      <w:pPr>
        <w:widowControl/>
        <w:autoSpaceDE/>
        <w:autoSpaceDN/>
        <w:adjustRightInd/>
        <w:spacing w:after="240"/>
        <w:rPr>
          <w:sz w:val="24"/>
          <w:szCs w:val="24"/>
        </w:rPr>
      </w:pPr>
    </w:p>
    <w:p w:rsidR="007F678A" w:rsidRPr="007F678A" w:rsidP="007F678A" w14:paraId="385DB215" w14:textId="77777777">
      <w:pPr>
        <w:pStyle w:val="Listheader"/>
      </w:pPr>
      <w:r w:rsidRPr="007F678A">
        <w:t>Use of Improved Information Technology and Burden Reduction</w:t>
      </w:r>
    </w:p>
    <w:p w:rsidR="007F678A" w:rsidRPr="007F678A" w:rsidP="007F678A" w14:paraId="7D85A2B9" w14:textId="3B56BA08">
      <w:pPr>
        <w:widowControl/>
        <w:autoSpaceDE/>
        <w:autoSpaceDN/>
        <w:adjustRightInd/>
        <w:spacing w:after="240"/>
        <w:rPr>
          <w:sz w:val="24"/>
          <w:szCs w:val="24"/>
        </w:rPr>
      </w:pPr>
      <w:r w:rsidRPr="007F678A">
        <w:rPr>
          <w:sz w:val="24"/>
          <w:szCs w:val="24"/>
        </w:rPr>
        <w:t>As noted above in Section 2 (Purpose and Use of Information Collection), the purpose of the P</w:t>
      </w:r>
      <w:r w:rsidR="00B03054">
        <w:rPr>
          <w:sz w:val="24"/>
          <w:szCs w:val="24"/>
        </w:rPr>
        <w:t>EMS</w:t>
      </w:r>
      <w:r w:rsidRPr="007F678A">
        <w:rPr>
          <w:sz w:val="24"/>
          <w:szCs w:val="24"/>
        </w:rPr>
        <w:t xml:space="preserve"> is to facilitate collection of performance data from </w:t>
      </w:r>
      <w:r w:rsidR="00285067">
        <w:rPr>
          <w:sz w:val="24"/>
          <w:szCs w:val="24"/>
        </w:rPr>
        <w:t>OMH grant recipients</w:t>
      </w:r>
      <w:r w:rsidRPr="007F678A">
        <w:rPr>
          <w:sz w:val="24"/>
          <w:szCs w:val="24"/>
        </w:rPr>
        <w:t xml:space="preserve"> </w:t>
      </w:r>
      <w:r w:rsidRPr="007F678A" w:rsidR="009B7D67">
        <w:rPr>
          <w:spacing w:val="-1"/>
          <w:sz w:val="24"/>
          <w:szCs w:val="24"/>
        </w:rPr>
        <w:t>to</w:t>
      </w:r>
      <w:r w:rsidRPr="007F678A">
        <w:rPr>
          <w:spacing w:val="-1"/>
          <w:sz w:val="24"/>
          <w:szCs w:val="24"/>
        </w:rPr>
        <w:t xml:space="preserve"> monitor program and project status and generate results that can be reported for program management and performance budgeting purposes. </w:t>
      </w:r>
      <w:r w:rsidRPr="007F678A" w:rsidR="000B47A8">
        <w:rPr>
          <w:sz w:val="24"/>
          <w:szCs w:val="24"/>
        </w:rPr>
        <w:t xml:space="preserve">The required </w:t>
      </w:r>
      <w:r w:rsidR="00B03054">
        <w:rPr>
          <w:sz w:val="24"/>
          <w:szCs w:val="24"/>
        </w:rPr>
        <w:t>PEMS</w:t>
      </w:r>
      <w:r w:rsidRPr="007F678A" w:rsidR="000B47A8">
        <w:rPr>
          <w:sz w:val="24"/>
          <w:szCs w:val="24"/>
        </w:rPr>
        <w:t xml:space="preserve"> data entry represents the minimum data needed to be useful for project reporting, program monitoring, and performance measurement by OMH and its partners.</w:t>
      </w:r>
    </w:p>
    <w:p w:rsidR="007F678A" w:rsidRPr="007F678A" w:rsidP="000275AE" w14:paraId="15AAF9F0" w14:textId="5AFF1723">
      <w:pPr>
        <w:widowControl/>
        <w:autoSpaceDE/>
        <w:autoSpaceDN/>
        <w:adjustRightInd/>
        <w:rPr>
          <w:sz w:val="24"/>
          <w:szCs w:val="24"/>
        </w:rPr>
      </w:pPr>
      <w:r w:rsidRPr="00F3040C">
        <w:rPr>
          <w:sz w:val="24"/>
          <w:szCs w:val="24"/>
        </w:rPr>
        <w:t xml:space="preserve">PEMS data tools are web-based modules integrated into </w:t>
      </w:r>
      <w:r w:rsidRPr="00F3040C">
        <w:rPr>
          <w:sz w:val="24"/>
          <w:szCs w:val="24"/>
        </w:rPr>
        <w:t>GrantSolutions</w:t>
      </w:r>
      <w:r w:rsidRPr="00F3040C">
        <w:rPr>
          <w:sz w:val="24"/>
          <w:szCs w:val="24"/>
        </w:rPr>
        <w:t xml:space="preserve">. This integration ensures easy accessibility for all </w:t>
      </w:r>
      <w:r w:rsidR="00EA208B">
        <w:rPr>
          <w:sz w:val="24"/>
          <w:szCs w:val="24"/>
        </w:rPr>
        <w:t>recipients</w:t>
      </w:r>
      <w:r w:rsidRPr="00F3040C">
        <w:rPr>
          <w:sz w:val="24"/>
          <w:szCs w:val="24"/>
        </w:rPr>
        <w:t xml:space="preserve">, as they are already required to submit other reports through </w:t>
      </w:r>
      <w:r w:rsidRPr="00F3040C">
        <w:rPr>
          <w:sz w:val="24"/>
          <w:szCs w:val="24"/>
        </w:rPr>
        <w:t>GrantSolutions</w:t>
      </w:r>
      <w:r w:rsidRPr="00F3040C">
        <w:rPr>
          <w:sz w:val="24"/>
          <w:szCs w:val="24"/>
        </w:rPr>
        <w:t xml:space="preserve">. As a result, the process becomes </w:t>
      </w:r>
      <w:r w:rsidRPr="00F3040C">
        <w:rPr>
          <w:sz w:val="24"/>
          <w:szCs w:val="24"/>
        </w:rPr>
        <w:t>more efficient and timely</w:t>
      </w:r>
      <w:r w:rsidRPr="00F3040C">
        <w:rPr>
          <w:sz w:val="24"/>
          <w:szCs w:val="24"/>
        </w:rPr>
        <w:t>, providing a systematic approach to collecting and storing data.</w:t>
      </w:r>
    </w:p>
    <w:p w:rsidR="007F678A" w:rsidRPr="007F678A" w:rsidP="007F678A" w14:paraId="5B4318B2" w14:textId="77777777">
      <w:pPr>
        <w:pStyle w:val="Listheader"/>
      </w:pPr>
      <w:r w:rsidRPr="007F678A">
        <w:t>Efforts to Identify Duplication and Use of Similar Information</w:t>
      </w:r>
    </w:p>
    <w:p w:rsidR="007F678A" w:rsidRPr="007F678A" w:rsidP="007F678A" w14:paraId="38173A75" w14:textId="313413E6">
      <w:pPr>
        <w:widowControl/>
        <w:autoSpaceDE/>
        <w:autoSpaceDN/>
        <w:adjustRightInd/>
        <w:spacing w:before="280" w:after="120"/>
        <w:outlineLvl w:val="1"/>
        <w:rPr>
          <w:rFonts w:cs="Arial"/>
          <w:b/>
          <w:bCs/>
          <w:i/>
          <w:iCs/>
          <w:sz w:val="28"/>
          <w:szCs w:val="28"/>
        </w:rPr>
      </w:pPr>
      <w:r w:rsidRPr="007F678A">
        <w:rPr>
          <w:spacing w:val="-2"/>
          <w:sz w:val="24"/>
          <w:szCs w:val="24"/>
        </w:rPr>
        <w:t xml:space="preserve">Data collection using </w:t>
      </w:r>
      <w:r w:rsidR="00B03054">
        <w:rPr>
          <w:spacing w:val="-2"/>
          <w:sz w:val="24"/>
          <w:szCs w:val="24"/>
        </w:rPr>
        <w:t xml:space="preserve">the </w:t>
      </w:r>
      <w:r w:rsidRPr="007F678A">
        <w:rPr>
          <w:spacing w:val="-2"/>
          <w:sz w:val="24"/>
          <w:szCs w:val="24"/>
        </w:rPr>
        <w:t>P</w:t>
      </w:r>
      <w:r w:rsidR="00B03054">
        <w:rPr>
          <w:spacing w:val="-2"/>
          <w:sz w:val="24"/>
          <w:szCs w:val="24"/>
        </w:rPr>
        <w:t>EMS</w:t>
      </w:r>
      <w:r w:rsidRPr="007F678A">
        <w:rPr>
          <w:spacing w:val="-2"/>
          <w:sz w:val="24"/>
          <w:szCs w:val="24"/>
        </w:rPr>
        <w:t xml:space="preserve"> does not duplicate other data collection efforts.  Data elements included in the P</w:t>
      </w:r>
      <w:r w:rsidR="00B03054">
        <w:rPr>
          <w:spacing w:val="-2"/>
          <w:sz w:val="24"/>
          <w:szCs w:val="24"/>
        </w:rPr>
        <w:t>EMS</w:t>
      </w:r>
      <w:r w:rsidRPr="007F678A">
        <w:rPr>
          <w:spacing w:val="-2"/>
          <w:sz w:val="24"/>
          <w:szCs w:val="24"/>
        </w:rPr>
        <w:t xml:space="preserve"> are specific to OMH-funded grantees and cooperative partners and, therefore, are not available elsewhere.  OMH does not have any other system for the collection of standardized performance information</w:t>
      </w:r>
      <w:r w:rsidRPr="007F678A">
        <w:rPr>
          <w:rFonts w:cs="Arial"/>
          <w:bCs/>
          <w:i/>
          <w:iCs/>
          <w:sz w:val="28"/>
          <w:szCs w:val="28"/>
        </w:rPr>
        <w:t>.</w:t>
      </w:r>
    </w:p>
    <w:p w:rsidR="007F678A" w:rsidRPr="007F678A" w:rsidP="007F678A" w14:paraId="6E2A7384" w14:textId="77777777">
      <w:pPr>
        <w:pStyle w:val="Listheader"/>
      </w:pPr>
      <w:r w:rsidRPr="007F678A">
        <w:t>Impact on Small Businesses or Other Small Entities</w:t>
      </w:r>
    </w:p>
    <w:p w:rsidR="007F678A" w:rsidRPr="007F678A" w:rsidP="007F678A" w14:paraId="6D9E8710" w14:textId="5AF8E2A1">
      <w:pPr>
        <w:widowControl/>
        <w:autoSpaceDE/>
        <w:autoSpaceDN/>
        <w:adjustRightInd/>
        <w:spacing w:after="240"/>
        <w:rPr>
          <w:sz w:val="24"/>
          <w:szCs w:val="24"/>
        </w:rPr>
      </w:pPr>
      <w:r w:rsidRPr="007F678A">
        <w:rPr>
          <w:spacing w:val="-2"/>
          <w:sz w:val="24"/>
          <w:szCs w:val="24"/>
        </w:rPr>
        <w:t xml:space="preserve">The impact of this data collection will be negligible at best, since, for the most part, </w:t>
      </w:r>
      <w:r w:rsidR="008E7399">
        <w:rPr>
          <w:spacing w:val="-2"/>
          <w:sz w:val="24"/>
          <w:szCs w:val="24"/>
        </w:rPr>
        <w:t>OMH</w:t>
      </w:r>
      <w:r w:rsidRPr="007F678A">
        <w:rPr>
          <w:spacing w:val="-2"/>
          <w:sz w:val="24"/>
          <w:szCs w:val="24"/>
        </w:rPr>
        <w:t xml:space="preserve"> grant </w:t>
      </w:r>
      <w:r w:rsidR="008E7399">
        <w:rPr>
          <w:spacing w:val="-2"/>
          <w:sz w:val="24"/>
          <w:szCs w:val="24"/>
        </w:rPr>
        <w:t>recipients</w:t>
      </w:r>
      <w:r w:rsidRPr="007F678A">
        <w:rPr>
          <w:spacing w:val="-2"/>
          <w:sz w:val="24"/>
          <w:szCs w:val="24"/>
        </w:rPr>
        <w:t xml:space="preserve"> are </w:t>
      </w:r>
      <w:r w:rsidRPr="007F678A">
        <w:rPr>
          <w:sz w:val="24"/>
          <w:szCs w:val="24"/>
        </w:rPr>
        <w:t xml:space="preserve">public or private non-profit minority-serving community-based organizations, minority-serving institutions of higher education, and State </w:t>
      </w:r>
      <w:r w:rsidR="00896FA7">
        <w:rPr>
          <w:sz w:val="24"/>
          <w:szCs w:val="24"/>
        </w:rPr>
        <w:t xml:space="preserve">or local </w:t>
      </w:r>
      <w:r w:rsidRPr="007F678A">
        <w:rPr>
          <w:sz w:val="24"/>
          <w:szCs w:val="24"/>
        </w:rPr>
        <w:t>agencies dedicated to addressing minority health concerns. With or without the P</w:t>
      </w:r>
      <w:r w:rsidR="00CC7F1D">
        <w:rPr>
          <w:sz w:val="24"/>
          <w:szCs w:val="24"/>
        </w:rPr>
        <w:t>EMS</w:t>
      </w:r>
      <w:r w:rsidRPr="007F678A">
        <w:rPr>
          <w:sz w:val="24"/>
          <w:szCs w:val="24"/>
        </w:rPr>
        <w:t xml:space="preserve">, these projects would have to provide project and evaluation data. The required </w:t>
      </w:r>
      <w:r w:rsidR="00CC7F1D">
        <w:rPr>
          <w:sz w:val="24"/>
          <w:szCs w:val="24"/>
        </w:rPr>
        <w:t xml:space="preserve">PEMS </w:t>
      </w:r>
      <w:r w:rsidRPr="007F678A">
        <w:rPr>
          <w:sz w:val="24"/>
          <w:szCs w:val="24"/>
        </w:rPr>
        <w:t>data entry represents the minimum data needed to be useful for project reporting, program monitoring, and performance measurement by OMH and its partners.</w:t>
      </w:r>
    </w:p>
    <w:p w:rsidR="007F678A" w:rsidRPr="007F678A" w:rsidP="007F678A" w14:paraId="75B0513E" w14:textId="77777777">
      <w:pPr>
        <w:pStyle w:val="Listheader"/>
      </w:pPr>
      <w:r w:rsidRPr="007F678A">
        <w:t>Consequences of Collecting the Information Less Frequently</w:t>
      </w:r>
    </w:p>
    <w:p w:rsidR="002E0B11" w:rsidRPr="004E6530" w:rsidP="002E0B11" w14:paraId="7C52952A" w14:textId="76C72723">
      <w:pPr>
        <w:widowControl/>
        <w:autoSpaceDE/>
        <w:autoSpaceDN/>
        <w:adjustRightInd/>
        <w:spacing w:after="240"/>
        <w:rPr>
          <w:spacing w:val="-1"/>
          <w:sz w:val="24"/>
          <w:szCs w:val="24"/>
        </w:rPr>
      </w:pPr>
      <w:r>
        <w:rPr>
          <w:spacing w:val="-1"/>
          <w:sz w:val="24"/>
          <w:szCs w:val="24"/>
        </w:rPr>
        <w:t>OMH PPR</w:t>
      </w:r>
      <w:r w:rsidR="00074D4B">
        <w:rPr>
          <w:spacing w:val="-1"/>
          <w:sz w:val="24"/>
          <w:szCs w:val="24"/>
        </w:rPr>
        <w:t xml:space="preserve"> </w:t>
      </w:r>
      <w:r w:rsidRPr="007F678A" w:rsidR="007F678A">
        <w:rPr>
          <w:spacing w:val="-1"/>
          <w:sz w:val="24"/>
          <w:szCs w:val="24"/>
        </w:rPr>
        <w:t xml:space="preserve">data </w:t>
      </w:r>
      <w:r w:rsidR="00CC7F1D">
        <w:rPr>
          <w:spacing w:val="-1"/>
          <w:sz w:val="24"/>
          <w:szCs w:val="24"/>
        </w:rPr>
        <w:t>will be</w:t>
      </w:r>
      <w:r w:rsidRPr="007F678A" w:rsidR="007F678A">
        <w:rPr>
          <w:spacing w:val="-1"/>
          <w:sz w:val="24"/>
          <w:szCs w:val="24"/>
        </w:rPr>
        <w:t xml:space="preserve"> </w:t>
      </w:r>
      <w:r>
        <w:rPr>
          <w:spacing w:val="-1"/>
          <w:sz w:val="24"/>
          <w:szCs w:val="24"/>
        </w:rPr>
        <w:t xml:space="preserve">collected </w:t>
      </w:r>
      <w:r w:rsidRPr="007F678A" w:rsidR="007F678A">
        <w:rPr>
          <w:sz w:val="24"/>
          <w:szCs w:val="24"/>
        </w:rPr>
        <w:t>once every three months or q</w:t>
      </w:r>
      <w:r w:rsidRPr="007F678A" w:rsidR="007F678A">
        <w:rPr>
          <w:spacing w:val="-1"/>
          <w:sz w:val="24"/>
          <w:szCs w:val="24"/>
        </w:rPr>
        <w:t xml:space="preserve">uarterly </w:t>
      </w:r>
      <w:r w:rsidRPr="007F678A" w:rsidR="00366518">
        <w:rPr>
          <w:spacing w:val="-1"/>
          <w:sz w:val="24"/>
          <w:szCs w:val="24"/>
        </w:rPr>
        <w:t>to</w:t>
      </w:r>
      <w:r w:rsidRPr="007F678A" w:rsidR="007F678A">
        <w:rPr>
          <w:spacing w:val="-1"/>
          <w:sz w:val="24"/>
          <w:szCs w:val="24"/>
        </w:rPr>
        <w:t xml:space="preserve"> synchronize the data reporting with OMH’s other data reporting needs for HHS GPRA and performance budgeting and reporting purposes.  </w:t>
      </w:r>
      <w:r w:rsidR="00A70BC9">
        <w:rPr>
          <w:spacing w:val="-1"/>
          <w:sz w:val="24"/>
          <w:szCs w:val="24"/>
        </w:rPr>
        <w:t xml:space="preserve">DIS data will be collected one time during the recipient’s </w:t>
      </w:r>
      <w:r w:rsidR="000F1E6C">
        <w:rPr>
          <w:spacing w:val="-1"/>
          <w:sz w:val="24"/>
          <w:szCs w:val="24"/>
        </w:rPr>
        <w:t>period of performance</w:t>
      </w:r>
      <w:r w:rsidR="00A70BC9">
        <w:rPr>
          <w:spacing w:val="-1"/>
          <w:sz w:val="24"/>
          <w:szCs w:val="24"/>
        </w:rPr>
        <w:t xml:space="preserve">. </w:t>
      </w:r>
      <w:r w:rsidR="00F14A6F">
        <w:rPr>
          <w:spacing w:val="-1"/>
          <w:sz w:val="24"/>
          <w:szCs w:val="24"/>
        </w:rPr>
        <w:t xml:space="preserve"> </w:t>
      </w:r>
      <w:r w:rsidRPr="007F678A" w:rsidR="007F678A">
        <w:rPr>
          <w:spacing w:val="-1"/>
          <w:sz w:val="24"/>
          <w:szCs w:val="24"/>
        </w:rPr>
        <w:t xml:space="preserve">Less frequent collections pose challenges to obtaining data that are requested more frequently for other departmental performance reporting </w:t>
      </w:r>
      <w:r w:rsidRPr="007F678A" w:rsidR="00366518">
        <w:rPr>
          <w:spacing w:val="-1"/>
          <w:sz w:val="24"/>
          <w:szCs w:val="24"/>
        </w:rPr>
        <w:t>needs and</w:t>
      </w:r>
      <w:r w:rsidRPr="007F678A" w:rsidR="007F678A">
        <w:rPr>
          <w:spacing w:val="-1"/>
          <w:sz w:val="24"/>
          <w:szCs w:val="24"/>
        </w:rPr>
        <w:t xml:space="preserve"> increase</w:t>
      </w:r>
      <w:r w:rsidR="00E86823">
        <w:rPr>
          <w:spacing w:val="-1"/>
          <w:sz w:val="24"/>
          <w:szCs w:val="24"/>
        </w:rPr>
        <w:t>s</w:t>
      </w:r>
      <w:r w:rsidRPr="007F678A" w:rsidR="007F678A">
        <w:rPr>
          <w:spacing w:val="-1"/>
          <w:sz w:val="24"/>
          <w:szCs w:val="24"/>
        </w:rPr>
        <w:t xml:space="preserve"> the amount of data that the </w:t>
      </w:r>
      <w:r w:rsidR="001B4DE0">
        <w:rPr>
          <w:spacing w:val="-1"/>
          <w:sz w:val="24"/>
          <w:szCs w:val="24"/>
        </w:rPr>
        <w:t>recipients</w:t>
      </w:r>
      <w:r w:rsidRPr="007F678A" w:rsidR="007F678A">
        <w:rPr>
          <w:spacing w:val="-1"/>
          <w:sz w:val="24"/>
          <w:szCs w:val="24"/>
        </w:rPr>
        <w:t xml:space="preserve"> need to accumulate and manage prior to submission to </w:t>
      </w:r>
      <w:r w:rsidR="001B4DE0">
        <w:rPr>
          <w:spacing w:val="-1"/>
          <w:sz w:val="24"/>
          <w:szCs w:val="24"/>
        </w:rPr>
        <w:t>OMH.</w:t>
      </w:r>
      <w:r w:rsidRPr="007F678A" w:rsidR="007F678A">
        <w:rPr>
          <w:spacing w:val="-1"/>
          <w:sz w:val="24"/>
          <w:szCs w:val="24"/>
        </w:rPr>
        <w:t xml:space="preserve"> </w:t>
      </w:r>
    </w:p>
    <w:p w:rsidR="002E0B11" w:rsidRPr="007F678A" w:rsidP="002E0B11" w14:paraId="07316BCA" w14:textId="77777777">
      <w:pPr>
        <w:pStyle w:val="Listheader"/>
      </w:pPr>
      <w:r w:rsidRPr="007F678A">
        <w:t>Special Circumstances Relating to the Guidelines of 5 CFR 1320.5</w:t>
      </w:r>
    </w:p>
    <w:p w:rsidR="002E0B11" w:rsidRPr="007F678A" w:rsidP="002E0B11" w14:paraId="0E00DDB5" w14:textId="77777777">
      <w:pPr>
        <w:widowControl/>
        <w:autoSpaceDE/>
        <w:autoSpaceDN/>
        <w:adjustRightInd/>
        <w:spacing w:after="240"/>
        <w:rPr>
          <w:sz w:val="24"/>
          <w:szCs w:val="24"/>
        </w:rPr>
      </w:pPr>
      <w:r w:rsidRPr="007F678A">
        <w:rPr>
          <w:sz w:val="24"/>
          <w:szCs w:val="24"/>
        </w:rPr>
        <w:t xml:space="preserve">No special circumstances apply.  This request complies with the information collection guidelines of 5 CFR 1320.5(d)(2).    </w:t>
      </w:r>
    </w:p>
    <w:p w:rsidR="002E0B11" w:rsidRPr="007F678A" w:rsidP="002E0B11" w14:paraId="52461A81" w14:textId="77777777">
      <w:pPr>
        <w:pStyle w:val="Listheader"/>
      </w:pPr>
      <w:r w:rsidRPr="007F678A">
        <w:t>Comments in Response to the Federal Register Notice/Outside Consultation</w:t>
      </w:r>
    </w:p>
    <w:p w:rsidR="002E0B11" w:rsidRPr="00090A0B" w:rsidP="007F678A" w14:paraId="48D0F3EF" w14:textId="79D01E3E">
      <w:pPr>
        <w:widowControl/>
        <w:autoSpaceDE/>
        <w:autoSpaceDN/>
        <w:adjustRightInd/>
        <w:spacing w:after="240"/>
        <w:rPr>
          <w:sz w:val="24"/>
          <w:szCs w:val="24"/>
        </w:rPr>
      </w:pPr>
      <w:r w:rsidRPr="1B426F15">
        <w:rPr>
          <w:sz w:val="24"/>
          <w:szCs w:val="24"/>
        </w:rPr>
        <w:t>In accordance with the Paperwork Reduction Act of 1995, OMH published a notice in the Federal Register announcing the agency’s intention to request an OMB review of data collection activities</w:t>
      </w:r>
      <w:r w:rsidRPr="1B426F15">
        <w:rPr>
          <w:sz w:val="24"/>
          <w:szCs w:val="24"/>
        </w:rPr>
        <w:t xml:space="preserve">.  The 60-day notice for public comment was </w:t>
      </w:r>
      <w:r w:rsidRPr="1B426F15">
        <w:rPr>
          <w:sz w:val="24"/>
          <w:szCs w:val="24"/>
        </w:rPr>
        <w:t>published</w:t>
      </w:r>
      <w:r w:rsidRPr="1B426F15">
        <w:rPr>
          <w:sz w:val="24"/>
          <w:szCs w:val="24"/>
        </w:rPr>
        <w:t xml:space="preserve"> </w:t>
      </w:r>
      <w:r w:rsidRPr="1B426F15">
        <w:rPr>
          <w:sz w:val="24"/>
          <w:szCs w:val="24"/>
        </w:rPr>
        <w:t xml:space="preserve">on </w:t>
      </w:r>
      <w:r w:rsidRPr="1B426F15" w:rsidR="0008773C">
        <w:rPr>
          <w:sz w:val="24"/>
          <w:szCs w:val="24"/>
        </w:rPr>
        <w:t>July 31</w:t>
      </w:r>
      <w:r w:rsidRPr="1B426F15">
        <w:rPr>
          <w:sz w:val="24"/>
          <w:szCs w:val="24"/>
        </w:rPr>
        <w:t>,</w:t>
      </w:r>
      <w:r w:rsidRPr="1B426F15">
        <w:rPr>
          <w:sz w:val="24"/>
          <w:szCs w:val="24"/>
        </w:rPr>
        <w:t xml:space="preserve"> 202</w:t>
      </w:r>
      <w:r w:rsidRPr="1B426F15">
        <w:rPr>
          <w:sz w:val="24"/>
          <w:szCs w:val="24"/>
        </w:rPr>
        <w:t>4</w:t>
      </w:r>
      <w:r w:rsidRPr="1B426F15">
        <w:rPr>
          <w:sz w:val="24"/>
          <w:szCs w:val="24"/>
        </w:rPr>
        <w:t>, in volume</w:t>
      </w:r>
      <w:r w:rsidRPr="1B426F15">
        <w:rPr>
          <w:sz w:val="24"/>
          <w:szCs w:val="24"/>
        </w:rPr>
        <w:t xml:space="preserve"> </w:t>
      </w:r>
      <w:r w:rsidRPr="1B426F15" w:rsidR="00564569">
        <w:rPr>
          <w:sz w:val="24"/>
          <w:szCs w:val="24"/>
        </w:rPr>
        <w:t>89</w:t>
      </w:r>
      <w:r w:rsidRPr="1B426F15">
        <w:rPr>
          <w:sz w:val="24"/>
          <w:szCs w:val="24"/>
        </w:rPr>
        <w:t xml:space="preserve">, </w:t>
      </w:r>
      <w:r w:rsidRPr="1B426F15">
        <w:rPr>
          <w:sz w:val="24"/>
          <w:szCs w:val="24"/>
        </w:rPr>
        <w:t xml:space="preserve">no </w:t>
      </w:r>
      <w:r w:rsidRPr="1B426F15" w:rsidR="00564569">
        <w:rPr>
          <w:sz w:val="24"/>
          <w:szCs w:val="24"/>
        </w:rPr>
        <w:t>147</w:t>
      </w:r>
      <w:r w:rsidRPr="1B426F15">
        <w:rPr>
          <w:sz w:val="24"/>
          <w:szCs w:val="24"/>
        </w:rPr>
        <w:t xml:space="preserve"> on page </w:t>
      </w:r>
      <w:r w:rsidRPr="1B426F15" w:rsidR="00AE6D33">
        <w:rPr>
          <w:sz w:val="24"/>
          <w:szCs w:val="24"/>
        </w:rPr>
        <w:t>61488</w:t>
      </w:r>
      <w:r w:rsidRPr="1B426F15">
        <w:rPr>
          <w:sz w:val="24"/>
          <w:szCs w:val="24"/>
        </w:rPr>
        <w:t>.</w:t>
      </w:r>
      <w:r w:rsidRPr="1B426F15" w:rsidR="266B75C2">
        <w:rPr>
          <w:sz w:val="24"/>
          <w:szCs w:val="24"/>
        </w:rPr>
        <w:t xml:space="preserve"> There were no comments received. </w:t>
      </w:r>
    </w:p>
    <w:p w:rsidR="002E0B11" w:rsidRPr="007F678A" w:rsidP="002E0B11" w14:paraId="2012612A" w14:textId="77777777">
      <w:pPr>
        <w:pStyle w:val="Listheader"/>
      </w:pPr>
      <w:r w:rsidRPr="007F678A">
        <w:t>Explanation of any Payment/Gift to Respondents</w:t>
      </w:r>
    </w:p>
    <w:p w:rsidR="002E0B11" w:rsidRPr="007F678A" w:rsidP="002E0B11" w14:paraId="7C26520F" w14:textId="4A0E57ED">
      <w:pPr>
        <w:widowControl/>
        <w:autoSpaceDE/>
        <w:autoSpaceDN/>
        <w:adjustRightInd/>
        <w:spacing w:after="240"/>
        <w:rPr>
          <w:sz w:val="24"/>
          <w:szCs w:val="24"/>
        </w:rPr>
      </w:pPr>
      <w:r w:rsidRPr="007F678A">
        <w:rPr>
          <w:sz w:val="24"/>
          <w:szCs w:val="24"/>
        </w:rPr>
        <w:t>This data collection does not involve payment or gifts as incentives for respondents.  OMH</w:t>
      </w:r>
      <w:r w:rsidR="004A4125">
        <w:rPr>
          <w:sz w:val="24"/>
          <w:szCs w:val="24"/>
        </w:rPr>
        <w:t xml:space="preserve"> grant recipients</w:t>
      </w:r>
      <w:r w:rsidRPr="007F678A">
        <w:rPr>
          <w:sz w:val="24"/>
          <w:szCs w:val="24"/>
        </w:rPr>
        <w:t xml:space="preserve"> enter data into </w:t>
      </w:r>
      <w:r w:rsidR="00BC6201">
        <w:rPr>
          <w:sz w:val="24"/>
          <w:szCs w:val="24"/>
        </w:rPr>
        <w:t>GrantSolutions</w:t>
      </w:r>
      <w:r w:rsidR="00BC6201">
        <w:rPr>
          <w:sz w:val="24"/>
          <w:szCs w:val="24"/>
        </w:rPr>
        <w:t xml:space="preserve"> </w:t>
      </w:r>
      <w:r w:rsidRPr="007F678A">
        <w:rPr>
          <w:sz w:val="24"/>
          <w:szCs w:val="24"/>
        </w:rPr>
        <w:t xml:space="preserve">as a funding requirement to obtain their grants. </w:t>
      </w:r>
    </w:p>
    <w:p w:rsidR="00FD6D4A" w:rsidRPr="00FD6D4A" w:rsidP="00090A0B" w14:paraId="1E6BABDB" w14:textId="108E6DFC">
      <w:pPr>
        <w:pStyle w:val="Listheader"/>
      </w:pPr>
      <w:r>
        <w:t xml:space="preserve"> </w:t>
      </w:r>
      <w:r w:rsidRPr="00FD6D4A">
        <w:t>Assurance of Confidentiality Provided to Respondents </w:t>
      </w:r>
    </w:p>
    <w:p w:rsidR="00FD6D4A" w:rsidRPr="00FD6D4A" w:rsidP="00FD6D4A" w14:paraId="23ACA982" w14:textId="756BF49F">
      <w:pPr>
        <w:widowControl/>
        <w:autoSpaceDE/>
        <w:autoSpaceDN/>
        <w:adjustRightInd/>
        <w:spacing w:after="240"/>
        <w:rPr>
          <w:spacing w:val="-1"/>
          <w:sz w:val="24"/>
          <w:szCs w:val="24"/>
        </w:rPr>
      </w:pPr>
      <w:r w:rsidRPr="00FD6D4A">
        <w:rPr>
          <w:spacing w:val="-1"/>
          <w:sz w:val="24"/>
          <w:szCs w:val="24"/>
        </w:rPr>
        <w:t>Only aggregate, periodic project data from OMH-funded projects is reported. There is no personally identifiable information (PII) collected.</w:t>
      </w:r>
      <w:r w:rsidR="005A2E56">
        <w:rPr>
          <w:spacing w:val="-1"/>
          <w:sz w:val="24"/>
          <w:szCs w:val="24"/>
        </w:rPr>
        <w:t xml:space="preserve"> </w:t>
      </w:r>
      <w:r w:rsidRPr="00FD6D4A">
        <w:rPr>
          <w:spacing w:val="-1"/>
          <w:sz w:val="24"/>
          <w:szCs w:val="24"/>
        </w:rPr>
        <w:t xml:space="preserve">Grant Solutions is password </w:t>
      </w:r>
      <w:r w:rsidRPr="00FD6D4A">
        <w:rPr>
          <w:spacing w:val="-1"/>
          <w:sz w:val="24"/>
          <w:szCs w:val="24"/>
        </w:rPr>
        <w:t>protected</w:t>
      </w:r>
      <w:r w:rsidRPr="00FD6D4A">
        <w:rPr>
          <w:spacing w:val="-1"/>
          <w:sz w:val="24"/>
          <w:szCs w:val="24"/>
        </w:rPr>
        <w:t xml:space="preserve"> and access is limited to Authorized HHS Officials, and Grantee Principal Investigators and Project Directors. </w:t>
      </w:r>
      <w:r w:rsidRPr="00FD6D4A" w:rsidR="16487986">
        <w:rPr>
          <w:spacing w:val="-1"/>
          <w:sz w:val="24"/>
          <w:szCs w:val="24"/>
        </w:rPr>
        <w:t xml:space="preserve">This will be kept private to the extent allowed by law. </w:t>
      </w:r>
    </w:p>
    <w:p w:rsidR="00FD6D4A" w:rsidP="007F678A" w14:paraId="571716F3" w14:textId="31EF9580">
      <w:pPr>
        <w:widowControl/>
        <w:autoSpaceDE/>
        <w:autoSpaceDN/>
        <w:adjustRightInd/>
        <w:spacing w:after="240"/>
        <w:rPr>
          <w:spacing w:val="-1"/>
          <w:sz w:val="24"/>
          <w:szCs w:val="24"/>
        </w:rPr>
        <w:sectPr w:rsidSect="00516B67">
          <w:footerReference w:type="default" r:id="rId8"/>
          <w:footerReference w:type="first" r:id="rId9"/>
          <w:pgSz w:w="12240" w:h="15840" w:orient="portrait"/>
          <w:pgMar w:top="1440" w:right="1440" w:bottom="1440" w:left="1440" w:header="720" w:footer="720" w:gutter="0"/>
          <w:cols w:space="720"/>
          <w:docGrid w:linePitch="360"/>
        </w:sectPr>
      </w:pPr>
    </w:p>
    <w:p w:rsidR="007F678A" w:rsidRPr="007F678A" w:rsidP="004379E1" w14:paraId="62D5B925" w14:textId="77777777">
      <w:pPr>
        <w:pStyle w:val="Listheader"/>
      </w:pPr>
      <w:r w:rsidRPr="007F678A">
        <w:t>Justification for Sensitive Questions</w:t>
      </w:r>
    </w:p>
    <w:p w:rsidR="007F678A" w:rsidRPr="007F678A" w:rsidP="1B426F15" w14:paraId="3C2CABE4" w14:textId="1520D395">
      <w:pPr>
        <w:widowControl/>
        <w:autoSpaceDE/>
        <w:autoSpaceDN/>
        <w:adjustRightInd/>
        <w:spacing w:after="240"/>
        <w:rPr>
          <w:sz w:val="24"/>
          <w:szCs w:val="24"/>
        </w:rPr>
      </w:pPr>
      <w:r w:rsidRPr="1B426F15">
        <w:rPr>
          <w:sz w:val="24"/>
          <w:szCs w:val="24"/>
        </w:rPr>
        <w:t>The P</w:t>
      </w:r>
      <w:r w:rsidRPr="1B426F15" w:rsidR="00BE1693">
        <w:rPr>
          <w:sz w:val="24"/>
          <w:szCs w:val="24"/>
        </w:rPr>
        <w:t>EMS</w:t>
      </w:r>
      <w:r w:rsidRPr="1B426F15">
        <w:rPr>
          <w:sz w:val="24"/>
          <w:szCs w:val="24"/>
        </w:rPr>
        <w:t xml:space="preserve"> requests data from users specific to their OMH-funded project, </w:t>
      </w:r>
      <w:r w:rsidRPr="1B426F15" w:rsidR="008959DC">
        <w:rPr>
          <w:sz w:val="24"/>
          <w:szCs w:val="24"/>
        </w:rPr>
        <w:t>including</w:t>
      </w:r>
      <w:r w:rsidRPr="1B426F15">
        <w:rPr>
          <w:sz w:val="24"/>
          <w:szCs w:val="24"/>
        </w:rPr>
        <w:t xml:space="preserve"> number of individuals </w:t>
      </w:r>
      <w:r w:rsidRPr="1B426F15">
        <w:rPr>
          <w:sz w:val="24"/>
          <w:szCs w:val="24"/>
        </w:rPr>
        <w:t>participating</w:t>
      </w:r>
      <w:r w:rsidRPr="1B426F15">
        <w:rPr>
          <w:sz w:val="24"/>
          <w:szCs w:val="24"/>
        </w:rPr>
        <w:t xml:space="preserve"> in funded activities.  These data do not include any items of a personal or sensitive nature.</w:t>
      </w:r>
      <w:r w:rsidRPr="1B426F15" w:rsidR="03B4771A">
        <w:rPr>
          <w:sz w:val="24"/>
          <w:szCs w:val="24"/>
        </w:rPr>
        <w:t xml:space="preserve"> </w:t>
      </w:r>
      <w:r w:rsidRPr="1B426F15" w:rsidR="2D05C407">
        <w:rPr>
          <w:sz w:val="24"/>
          <w:szCs w:val="24"/>
        </w:rPr>
        <w:t>SPD-15 Directive is being followed by collecting race and ethnicity aggregate</w:t>
      </w:r>
      <w:r w:rsidRPr="1B426F15" w:rsidR="5DD897EB">
        <w:rPr>
          <w:sz w:val="24"/>
          <w:szCs w:val="24"/>
        </w:rPr>
        <w:t xml:space="preserve"> data on project reach. </w:t>
      </w:r>
      <w:r w:rsidRPr="1B426F15" w:rsidR="314797CD">
        <w:rPr>
          <w:sz w:val="24"/>
          <w:szCs w:val="24"/>
        </w:rPr>
        <w:t>The proposed information collection activity will allow OMH to collect grant management and performance data and disparity impact information for all OMH-funded projects.</w:t>
      </w:r>
    </w:p>
    <w:p w:rsidR="007F678A" w:rsidRPr="007F678A" w:rsidP="007F678A" w14:paraId="18CB0F70" w14:textId="77777777">
      <w:pPr>
        <w:pStyle w:val="Listheader"/>
      </w:pPr>
      <w:r w:rsidRPr="007F678A">
        <w:t xml:space="preserve">Estimates of Annualized Hour and Cost Burden  </w:t>
      </w:r>
    </w:p>
    <w:p w:rsidR="007F678A" w:rsidP="007F678A" w14:paraId="411C0BB6" w14:textId="43198E2D">
      <w:pPr>
        <w:widowControl/>
        <w:autoSpaceDE/>
        <w:autoSpaceDN/>
        <w:adjustRightInd/>
        <w:spacing w:after="240"/>
        <w:rPr>
          <w:sz w:val="24"/>
          <w:szCs w:val="24"/>
        </w:rPr>
      </w:pPr>
      <w:r w:rsidRPr="007F678A">
        <w:rPr>
          <w:spacing w:val="-1"/>
          <w:sz w:val="24"/>
          <w:szCs w:val="24"/>
        </w:rPr>
        <w:t xml:space="preserve">Exhibit 1 shows the </w:t>
      </w:r>
      <w:r w:rsidR="00197FE2">
        <w:rPr>
          <w:spacing w:val="-1"/>
          <w:sz w:val="24"/>
          <w:szCs w:val="24"/>
        </w:rPr>
        <w:t>estimated</w:t>
      </w:r>
      <w:r w:rsidRPr="007F678A" w:rsidR="00197FE2">
        <w:rPr>
          <w:spacing w:val="-1"/>
          <w:sz w:val="24"/>
          <w:szCs w:val="24"/>
        </w:rPr>
        <w:t xml:space="preserve"> </w:t>
      </w:r>
      <w:r w:rsidRPr="007F678A">
        <w:rPr>
          <w:spacing w:val="-1"/>
          <w:sz w:val="24"/>
          <w:szCs w:val="24"/>
        </w:rPr>
        <w:t xml:space="preserve">total burden hours for </w:t>
      </w:r>
      <w:r w:rsidR="006214D8">
        <w:rPr>
          <w:spacing w:val="-1"/>
          <w:sz w:val="24"/>
          <w:szCs w:val="24"/>
        </w:rPr>
        <w:t>the information collection</w:t>
      </w:r>
      <w:r w:rsidR="00F44AB0">
        <w:rPr>
          <w:spacing w:val="-1"/>
          <w:sz w:val="24"/>
          <w:szCs w:val="24"/>
        </w:rPr>
        <w:t>, including recordkeeping</w:t>
      </w:r>
      <w:r w:rsidRPr="007F678A">
        <w:rPr>
          <w:spacing w:val="-1"/>
          <w:sz w:val="24"/>
          <w:szCs w:val="24"/>
        </w:rPr>
        <w:t xml:space="preserve">.  Exhibit 2 shows the costs </w:t>
      </w:r>
      <w:r w:rsidR="002D38CF">
        <w:rPr>
          <w:spacing w:val="-1"/>
          <w:sz w:val="24"/>
          <w:szCs w:val="24"/>
        </w:rPr>
        <w:t>associated with those burden hours</w:t>
      </w:r>
      <w:r w:rsidRPr="00514B74">
        <w:rPr>
          <w:spacing w:val="-1"/>
          <w:sz w:val="24"/>
          <w:szCs w:val="24"/>
        </w:rPr>
        <w:t>.</w:t>
      </w:r>
      <w:r w:rsidRPr="007F678A">
        <w:rPr>
          <w:spacing w:val="-1"/>
          <w:sz w:val="24"/>
          <w:szCs w:val="24"/>
        </w:rPr>
        <w:t xml:space="preserve"> </w:t>
      </w:r>
      <w:r w:rsidRPr="007F678A">
        <w:rPr>
          <w:sz w:val="24"/>
          <w:szCs w:val="24"/>
        </w:rPr>
        <w:t xml:space="preserve"> </w:t>
      </w:r>
    </w:p>
    <w:p w:rsidR="00BE1693" w:rsidRPr="00BE1693" w:rsidP="007F678A" w14:paraId="427A13B1" w14:textId="5BF88839">
      <w:pPr>
        <w:jc w:val="both"/>
        <w:rPr>
          <w:b/>
          <w:sz w:val="24"/>
          <w:szCs w:val="24"/>
        </w:rPr>
      </w:pPr>
      <w:r w:rsidRPr="007F678A">
        <w:rPr>
          <w:b/>
          <w:sz w:val="24"/>
          <w:szCs w:val="24"/>
        </w:rPr>
        <w:t>Exhibit 1:  Estimated Burden Hours</w:t>
      </w:r>
    </w:p>
    <w:p w:rsidR="00BE1693" w:rsidP="007F678A" w14:paraId="47C0275C" w14:textId="77777777">
      <w:pPr>
        <w:jc w:val="both"/>
        <w:rPr>
          <w: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41"/>
        <w:gridCol w:w="1341"/>
        <w:gridCol w:w="1416"/>
        <w:gridCol w:w="1322"/>
        <w:gridCol w:w="1793"/>
        <w:gridCol w:w="2137"/>
      </w:tblGrid>
      <w:tr w14:paraId="4371F785" w14:textId="77777777" w:rsidTr="0D5ECA59">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872"/>
        </w:trPr>
        <w:tc>
          <w:tcPr>
            <w:tcW w:w="717" w:type="pct"/>
            <w:tcBorders>
              <w:top w:val="single" w:sz="4" w:space="0" w:color="auto"/>
              <w:bottom w:val="single" w:sz="6" w:space="0" w:color="auto"/>
            </w:tcBorders>
            <w:shd w:val="clear" w:color="auto" w:fill="FFFFFF" w:themeFill="background1"/>
          </w:tcPr>
          <w:p w:rsidR="005064D3" w:rsidRPr="00FD60DC" w:rsidP="00FD60DC" w14:paraId="3E401ED1" w14:textId="3E04AC53">
            <w:pPr>
              <w:jc w:val="both"/>
              <w:rPr>
                <w:b/>
              </w:rPr>
            </w:pPr>
            <w:r w:rsidRPr="00FD60DC">
              <w:rPr>
                <w:b/>
              </w:rPr>
              <w:t>Type of Respondent</w:t>
            </w:r>
          </w:p>
        </w:tc>
        <w:tc>
          <w:tcPr>
            <w:tcW w:w="717" w:type="pct"/>
            <w:tcBorders>
              <w:top w:val="single" w:sz="4" w:space="0" w:color="auto"/>
              <w:bottom w:val="single" w:sz="6" w:space="0" w:color="auto"/>
            </w:tcBorders>
            <w:shd w:val="clear" w:color="auto" w:fill="FFFFFF" w:themeFill="background1"/>
            <w:vAlign w:val="center"/>
          </w:tcPr>
          <w:p w:rsidR="00FD60DC" w:rsidRPr="00FD60DC" w:rsidP="00FD60DC" w14:paraId="1974FED2" w14:textId="00AA0943">
            <w:pPr>
              <w:jc w:val="both"/>
              <w:rPr>
                <w:b/>
              </w:rPr>
            </w:pPr>
            <w:r>
              <w:rPr>
                <w:b/>
              </w:rPr>
              <w:t>Form Name</w:t>
            </w:r>
          </w:p>
        </w:tc>
        <w:tc>
          <w:tcPr>
            <w:tcW w:w="757" w:type="pct"/>
            <w:tcBorders>
              <w:top w:val="single" w:sz="4" w:space="0" w:color="auto"/>
              <w:bottom w:val="single" w:sz="6" w:space="0" w:color="auto"/>
            </w:tcBorders>
            <w:shd w:val="clear" w:color="auto" w:fill="FFFFFF" w:themeFill="background1"/>
            <w:vAlign w:val="center"/>
          </w:tcPr>
          <w:p w:rsidR="00FD60DC" w:rsidRPr="00FD60DC" w:rsidP="00FD60DC" w14:paraId="3860742A" w14:textId="77777777">
            <w:pPr>
              <w:jc w:val="both"/>
              <w:rPr>
                <w:b/>
              </w:rPr>
            </w:pPr>
            <w:r w:rsidRPr="00FD60DC">
              <w:rPr>
                <w:b/>
              </w:rPr>
              <w:t>No. of Respondents</w:t>
            </w:r>
          </w:p>
        </w:tc>
        <w:tc>
          <w:tcPr>
            <w:tcW w:w="707" w:type="pct"/>
            <w:tcBorders>
              <w:top w:val="single" w:sz="4" w:space="0" w:color="auto"/>
              <w:bottom w:val="single" w:sz="6" w:space="0" w:color="auto"/>
            </w:tcBorders>
            <w:shd w:val="clear" w:color="auto" w:fill="FFFFFF" w:themeFill="background1"/>
            <w:vAlign w:val="center"/>
          </w:tcPr>
          <w:p w:rsidR="00FD60DC" w:rsidRPr="00FD60DC" w:rsidP="00FD60DC" w14:paraId="675539BC" w14:textId="77777777">
            <w:pPr>
              <w:jc w:val="both"/>
              <w:rPr>
                <w:b/>
              </w:rPr>
            </w:pPr>
            <w:r w:rsidRPr="00FD60DC">
              <w:rPr>
                <w:b/>
              </w:rPr>
              <w:t>No. Responses per Respondent</w:t>
            </w:r>
          </w:p>
        </w:tc>
        <w:tc>
          <w:tcPr>
            <w:tcW w:w="959" w:type="pct"/>
            <w:tcBorders>
              <w:top w:val="single" w:sz="4" w:space="0" w:color="auto"/>
              <w:bottom w:val="single" w:sz="6" w:space="0" w:color="auto"/>
            </w:tcBorders>
            <w:shd w:val="clear" w:color="auto" w:fill="FFFFFF" w:themeFill="background1"/>
            <w:vAlign w:val="center"/>
          </w:tcPr>
          <w:p w:rsidR="00FD60DC" w:rsidRPr="00FD60DC" w:rsidP="00FD60DC" w14:paraId="4B94D044" w14:textId="77777777">
            <w:pPr>
              <w:jc w:val="both"/>
              <w:rPr>
                <w:b/>
              </w:rPr>
            </w:pPr>
            <w:r w:rsidRPr="00FD60DC">
              <w:rPr>
                <w:b/>
              </w:rPr>
              <w:t xml:space="preserve"> Average Burden per Response (in hours)</w:t>
            </w:r>
          </w:p>
        </w:tc>
        <w:tc>
          <w:tcPr>
            <w:tcW w:w="1143" w:type="pct"/>
            <w:tcBorders>
              <w:top w:val="single" w:sz="4" w:space="0" w:color="auto"/>
              <w:bottom w:val="single" w:sz="6" w:space="0" w:color="auto"/>
            </w:tcBorders>
            <w:shd w:val="clear" w:color="auto" w:fill="FFFFFF" w:themeFill="background1"/>
            <w:vAlign w:val="center"/>
          </w:tcPr>
          <w:p w:rsidR="00FD60DC" w:rsidRPr="00FD60DC" w:rsidP="00FD60DC" w14:paraId="27069AEB" w14:textId="77777777">
            <w:pPr>
              <w:jc w:val="both"/>
              <w:rPr>
                <w:b/>
              </w:rPr>
            </w:pPr>
            <w:r w:rsidRPr="00FD60DC">
              <w:rPr>
                <w:b/>
              </w:rPr>
              <w:t>Total Burden Hours</w:t>
            </w:r>
          </w:p>
        </w:tc>
      </w:tr>
      <w:tr w14:paraId="16FA206D" w14:textId="77777777" w:rsidTr="00C51591">
        <w:tblPrEx>
          <w:tblW w:w="5000" w:type="pct"/>
          <w:tblLook w:val="04A0"/>
        </w:tblPrEx>
        <w:trPr>
          <w:trHeight w:val="543"/>
        </w:trPr>
        <w:tc>
          <w:tcPr>
            <w:tcW w:w="717" w:type="pct"/>
            <w:tcBorders>
              <w:top w:val="single" w:sz="6" w:space="0" w:color="auto"/>
            </w:tcBorders>
          </w:tcPr>
          <w:p w:rsidR="005064D3" w:rsidP="008B737D" w14:paraId="7F58AAB2" w14:textId="32D2AFB6">
            <w:pPr>
              <w:rPr>
                <w:b/>
              </w:rPr>
            </w:pPr>
            <w:r>
              <w:rPr>
                <w:b/>
              </w:rPr>
              <w:t>OMH grant recipient</w:t>
            </w:r>
          </w:p>
        </w:tc>
        <w:tc>
          <w:tcPr>
            <w:tcW w:w="717" w:type="pct"/>
            <w:tcBorders>
              <w:top w:val="single" w:sz="6" w:space="0" w:color="auto"/>
            </w:tcBorders>
            <w:vAlign w:val="center"/>
          </w:tcPr>
          <w:p w:rsidR="00FD60DC" w:rsidRPr="00FD60DC" w:rsidP="008B737D" w14:paraId="06319478" w14:textId="763DBCE6">
            <w:pPr>
              <w:rPr>
                <w:b/>
              </w:rPr>
            </w:pPr>
            <w:r w:rsidRPr="00FD60DC">
              <w:rPr>
                <w:b/>
              </w:rPr>
              <w:t>Disparity Impact Statement</w:t>
            </w:r>
          </w:p>
        </w:tc>
        <w:tc>
          <w:tcPr>
            <w:tcW w:w="757" w:type="pct"/>
            <w:tcBorders>
              <w:top w:val="single" w:sz="6" w:space="0" w:color="auto"/>
            </w:tcBorders>
            <w:vAlign w:val="center"/>
          </w:tcPr>
          <w:p w:rsidR="00FD60DC" w:rsidRPr="00FD60DC" w:rsidP="00FD60DC" w14:paraId="37196954" w14:textId="77777777">
            <w:pPr>
              <w:jc w:val="both"/>
              <w:rPr>
                <w:b/>
              </w:rPr>
            </w:pPr>
            <w:r w:rsidRPr="00FD60DC">
              <w:rPr>
                <w:b/>
              </w:rPr>
              <w:t>125</w:t>
            </w:r>
          </w:p>
        </w:tc>
        <w:tc>
          <w:tcPr>
            <w:tcW w:w="707" w:type="pct"/>
            <w:tcBorders>
              <w:top w:val="single" w:sz="6" w:space="0" w:color="auto"/>
            </w:tcBorders>
            <w:vAlign w:val="center"/>
          </w:tcPr>
          <w:p w:rsidR="00FD60DC" w:rsidRPr="00FD60DC" w:rsidP="00FD60DC" w14:paraId="64EA9C05" w14:textId="77777777">
            <w:pPr>
              <w:jc w:val="both"/>
              <w:rPr>
                <w:b/>
              </w:rPr>
            </w:pPr>
            <w:r w:rsidRPr="00FD60DC">
              <w:rPr>
                <w:b/>
              </w:rPr>
              <w:t>1</w:t>
            </w:r>
          </w:p>
        </w:tc>
        <w:tc>
          <w:tcPr>
            <w:tcW w:w="959" w:type="pct"/>
            <w:tcBorders>
              <w:top w:val="single" w:sz="6" w:space="0" w:color="auto"/>
            </w:tcBorders>
            <w:vAlign w:val="center"/>
          </w:tcPr>
          <w:p w:rsidR="00FD60DC" w:rsidRPr="00FD60DC" w:rsidP="00FD60DC" w14:paraId="17706A39" w14:textId="77777777">
            <w:pPr>
              <w:jc w:val="both"/>
              <w:rPr>
                <w:b/>
              </w:rPr>
            </w:pPr>
            <w:r w:rsidRPr="00FD60DC">
              <w:rPr>
                <w:b/>
              </w:rPr>
              <w:t>1</w:t>
            </w:r>
          </w:p>
        </w:tc>
        <w:tc>
          <w:tcPr>
            <w:tcW w:w="1143" w:type="pct"/>
            <w:tcBorders>
              <w:top w:val="single" w:sz="6" w:space="0" w:color="auto"/>
            </w:tcBorders>
            <w:vAlign w:val="center"/>
          </w:tcPr>
          <w:p w:rsidR="00FD60DC" w:rsidRPr="00FD60DC" w:rsidP="00FD60DC" w14:paraId="4EA7D097" w14:textId="77777777">
            <w:pPr>
              <w:jc w:val="both"/>
              <w:rPr>
                <w:b/>
              </w:rPr>
            </w:pPr>
            <w:r w:rsidRPr="00FD60DC">
              <w:rPr>
                <w:b/>
              </w:rPr>
              <w:t>125</w:t>
            </w:r>
          </w:p>
        </w:tc>
      </w:tr>
      <w:tr w14:paraId="66EA606B" w14:textId="77777777" w:rsidTr="00C51591">
        <w:tblPrEx>
          <w:tblW w:w="5000" w:type="pct"/>
          <w:tblLook w:val="04A0"/>
        </w:tblPrEx>
        <w:trPr>
          <w:trHeight w:val="305"/>
        </w:trPr>
        <w:tc>
          <w:tcPr>
            <w:tcW w:w="717" w:type="pct"/>
          </w:tcPr>
          <w:p w:rsidR="005064D3" w:rsidP="008B737D" w14:paraId="3445D1AC" w14:textId="30963627">
            <w:pPr>
              <w:rPr>
                <w:b/>
              </w:rPr>
            </w:pPr>
            <w:r>
              <w:rPr>
                <w:b/>
              </w:rPr>
              <w:t>OMH grant recipient</w:t>
            </w:r>
          </w:p>
        </w:tc>
        <w:tc>
          <w:tcPr>
            <w:tcW w:w="717" w:type="pct"/>
            <w:vAlign w:val="center"/>
          </w:tcPr>
          <w:p w:rsidR="00FD60DC" w:rsidRPr="00FD60DC" w:rsidP="008B737D" w14:paraId="14BABAD6" w14:textId="79FE8464">
            <w:pPr>
              <w:rPr>
                <w:b/>
              </w:rPr>
            </w:pPr>
            <w:r w:rsidRPr="00FD60DC">
              <w:rPr>
                <w:b/>
              </w:rPr>
              <w:t xml:space="preserve">OMH Performance Progress </w:t>
            </w:r>
            <w:r w:rsidRPr="00FD60DC" w:rsidR="008959DC">
              <w:rPr>
                <w:b/>
              </w:rPr>
              <w:t>Report (</w:t>
            </w:r>
            <w:r w:rsidRPr="00FD60DC">
              <w:rPr>
                <w:b/>
              </w:rPr>
              <w:t>Quarterly)</w:t>
            </w:r>
          </w:p>
        </w:tc>
        <w:tc>
          <w:tcPr>
            <w:tcW w:w="757" w:type="pct"/>
            <w:vAlign w:val="center"/>
          </w:tcPr>
          <w:p w:rsidR="00FD60DC" w:rsidRPr="00FD60DC" w:rsidP="00FD60DC" w14:paraId="5A9E50EC" w14:textId="77777777">
            <w:pPr>
              <w:jc w:val="both"/>
              <w:rPr>
                <w:b/>
              </w:rPr>
            </w:pPr>
            <w:r w:rsidRPr="00FD60DC">
              <w:rPr>
                <w:b/>
              </w:rPr>
              <w:t>125</w:t>
            </w:r>
          </w:p>
        </w:tc>
        <w:tc>
          <w:tcPr>
            <w:tcW w:w="707" w:type="pct"/>
            <w:vAlign w:val="center"/>
          </w:tcPr>
          <w:p w:rsidR="00FD60DC" w:rsidRPr="00FD60DC" w:rsidP="00FD60DC" w14:paraId="06935BE2" w14:textId="4EE9364B">
            <w:pPr>
              <w:jc w:val="both"/>
              <w:rPr>
                <w:b/>
              </w:rPr>
            </w:pPr>
            <w:r w:rsidRPr="00FD60DC">
              <w:rPr>
                <w:b/>
              </w:rPr>
              <w:t>4</w:t>
            </w:r>
          </w:p>
        </w:tc>
        <w:tc>
          <w:tcPr>
            <w:tcW w:w="959" w:type="pct"/>
            <w:vAlign w:val="center"/>
          </w:tcPr>
          <w:p w:rsidR="00FD60DC" w:rsidRPr="00FD60DC" w:rsidP="00FD60DC" w14:paraId="5E38A106" w14:textId="77777777">
            <w:pPr>
              <w:jc w:val="both"/>
              <w:rPr>
                <w:b/>
              </w:rPr>
            </w:pPr>
            <w:r w:rsidRPr="00FD60DC">
              <w:rPr>
                <w:b/>
              </w:rPr>
              <w:t>1.5</w:t>
            </w:r>
          </w:p>
        </w:tc>
        <w:tc>
          <w:tcPr>
            <w:tcW w:w="1143" w:type="pct"/>
            <w:vAlign w:val="center"/>
          </w:tcPr>
          <w:p w:rsidR="00FD60DC" w:rsidRPr="00FD60DC" w:rsidP="00FD60DC" w14:paraId="3D865EA9" w14:textId="77777777">
            <w:pPr>
              <w:jc w:val="both"/>
              <w:rPr>
                <w:b/>
              </w:rPr>
            </w:pPr>
            <w:r w:rsidRPr="00FD60DC">
              <w:rPr>
                <w:b/>
              </w:rPr>
              <w:t>750</w:t>
            </w:r>
          </w:p>
        </w:tc>
      </w:tr>
      <w:tr w14:paraId="48C6044A" w14:textId="77777777" w:rsidTr="00C51591">
        <w:tblPrEx>
          <w:tblW w:w="5000" w:type="pct"/>
          <w:tblLook w:val="04A0"/>
        </w:tblPrEx>
        <w:tc>
          <w:tcPr>
            <w:tcW w:w="717" w:type="pct"/>
          </w:tcPr>
          <w:p w:rsidR="00ED6366" w:rsidRPr="00FD60DC" w:rsidP="00FD60DC" w14:paraId="1837D8E1" w14:textId="77777777">
            <w:pPr>
              <w:jc w:val="both"/>
              <w:rPr>
                <w:b/>
              </w:rPr>
            </w:pPr>
          </w:p>
        </w:tc>
        <w:tc>
          <w:tcPr>
            <w:tcW w:w="717" w:type="pct"/>
            <w:vAlign w:val="center"/>
          </w:tcPr>
          <w:p w:rsidR="00FD60DC" w:rsidRPr="00FD60DC" w:rsidP="00FD60DC" w14:paraId="4881DFB5" w14:textId="2CC18C80">
            <w:pPr>
              <w:jc w:val="both"/>
              <w:rPr>
                <w:b/>
              </w:rPr>
            </w:pPr>
            <w:r w:rsidRPr="00FD60DC">
              <w:rPr>
                <w:b/>
              </w:rPr>
              <w:t>Total</w:t>
            </w:r>
          </w:p>
        </w:tc>
        <w:tc>
          <w:tcPr>
            <w:tcW w:w="757" w:type="pct"/>
            <w:vAlign w:val="center"/>
          </w:tcPr>
          <w:p w:rsidR="00FD60DC" w:rsidRPr="00FD60DC" w:rsidP="00FD60DC" w14:paraId="396FFFBE" w14:textId="77777777">
            <w:pPr>
              <w:jc w:val="both"/>
              <w:rPr>
                <w:b/>
                <w:bCs/>
              </w:rPr>
            </w:pPr>
            <w:r w:rsidRPr="00FD60DC">
              <w:rPr>
                <w:b/>
                <w:bCs/>
              </w:rPr>
              <w:t>250</w:t>
            </w:r>
          </w:p>
        </w:tc>
        <w:tc>
          <w:tcPr>
            <w:tcW w:w="707" w:type="pct"/>
            <w:vAlign w:val="center"/>
          </w:tcPr>
          <w:p w:rsidR="00FD60DC" w:rsidRPr="00FD60DC" w:rsidP="00FD60DC" w14:paraId="18B2DF76" w14:textId="77777777">
            <w:pPr>
              <w:jc w:val="both"/>
              <w:rPr>
                <w:b/>
                <w:bCs/>
              </w:rPr>
            </w:pPr>
            <w:r w:rsidRPr="00FD60DC">
              <w:rPr>
                <w:b/>
                <w:bCs/>
              </w:rPr>
              <w:t>5</w:t>
            </w:r>
          </w:p>
        </w:tc>
        <w:tc>
          <w:tcPr>
            <w:tcW w:w="959" w:type="pct"/>
            <w:vAlign w:val="center"/>
          </w:tcPr>
          <w:p w:rsidR="00FD60DC" w:rsidRPr="00FD60DC" w:rsidP="00FD60DC" w14:paraId="213377A1" w14:textId="77777777">
            <w:pPr>
              <w:jc w:val="both"/>
              <w:rPr>
                <w:b/>
                <w:bCs/>
              </w:rPr>
            </w:pPr>
            <w:r w:rsidRPr="00FD60DC">
              <w:rPr>
                <w:b/>
                <w:bCs/>
              </w:rPr>
              <w:t>2.5</w:t>
            </w:r>
          </w:p>
        </w:tc>
        <w:tc>
          <w:tcPr>
            <w:tcW w:w="1143" w:type="pct"/>
            <w:vAlign w:val="center"/>
          </w:tcPr>
          <w:p w:rsidR="00FD60DC" w:rsidRPr="00FD60DC" w:rsidP="00FD60DC" w14:paraId="4E811316" w14:textId="77777777">
            <w:pPr>
              <w:jc w:val="both"/>
              <w:rPr>
                <w:b/>
                <w:bCs/>
              </w:rPr>
            </w:pPr>
            <w:r w:rsidRPr="00FD60DC">
              <w:rPr>
                <w:b/>
                <w:bCs/>
              </w:rPr>
              <w:t>875</w:t>
            </w:r>
          </w:p>
        </w:tc>
      </w:tr>
    </w:tbl>
    <w:p w:rsidR="00FD60DC" w:rsidRPr="00090A0B" w:rsidP="007F678A" w14:paraId="515C76E7" w14:textId="77777777">
      <w:pPr>
        <w:jc w:val="both"/>
        <w:rPr>
          <w:b/>
        </w:rPr>
      </w:pPr>
    </w:p>
    <w:p w:rsidR="00BE1693" w:rsidRPr="007F678A" w:rsidP="007F678A" w14:paraId="6EDACF7E" w14:textId="77777777">
      <w:pPr>
        <w:jc w:val="both"/>
        <w:rPr>
          <w:b/>
          <w:sz w:val="24"/>
          <w:szCs w:val="24"/>
        </w:rPr>
      </w:pPr>
    </w:p>
    <w:p w:rsidR="007F678A" w:rsidRPr="007F678A" w:rsidP="007F678A" w14:paraId="3769620C" w14:textId="77777777">
      <w:pPr>
        <w:jc w:val="both"/>
        <w:rPr>
          <w:sz w:val="24"/>
          <w:szCs w:val="24"/>
        </w:rPr>
      </w:pPr>
    </w:p>
    <w:p w:rsidR="007F678A" w:rsidRPr="007F678A" w:rsidP="007F678A" w14:paraId="60E32D64" w14:textId="77777777">
      <w:pPr>
        <w:jc w:val="both"/>
        <w:rPr>
          <w:b/>
          <w:bCs/>
          <w:sz w:val="24"/>
          <w:szCs w:val="24"/>
        </w:rPr>
      </w:pPr>
      <w:r w:rsidRPr="007F678A">
        <w:rPr>
          <w:b/>
          <w:sz w:val="24"/>
          <w:szCs w:val="24"/>
        </w:rPr>
        <w:t>Exhibit 2</w:t>
      </w:r>
      <w:r w:rsidRPr="007F678A">
        <w:rPr>
          <w:b/>
          <w:bCs/>
          <w:sz w:val="24"/>
          <w:szCs w:val="24"/>
        </w:rPr>
        <w:t>:</w:t>
      </w:r>
      <w:r w:rsidRPr="007F678A">
        <w:rPr>
          <w:b/>
          <w:sz w:val="24"/>
          <w:szCs w:val="24"/>
        </w:rPr>
        <w:t xml:space="preserve"> </w:t>
      </w:r>
      <w:bookmarkStart w:id="0" w:name="Exhibit4"/>
      <w:r w:rsidRPr="007F678A">
        <w:rPr>
          <w:b/>
          <w:sz w:val="24"/>
          <w:szCs w:val="24"/>
        </w:rPr>
        <w:t>Estimated A</w:t>
      </w:r>
      <w:r w:rsidRPr="007F678A">
        <w:rPr>
          <w:b/>
          <w:bCs/>
          <w:sz w:val="24"/>
          <w:szCs w:val="24"/>
        </w:rPr>
        <w:t>nnualized Burden Costs</w:t>
      </w:r>
      <w:bookmarkEnd w:id="0"/>
    </w:p>
    <w:tbl>
      <w:tblPr>
        <w:tblW w:w="8199" w:type="dxa"/>
        <w:tblLayout w:type="fixed"/>
        <w:tblCellMar>
          <w:left w:w="115" w:type="dxa"/>
          <w:right w:w="115" w:type="dxa"/>
        </w:tblCellMar>
        <w:tblLook w:val="0000"/>
      </w:tblPr>
      <w:tblGrid>
        <w:gridCol w:w="3422"/>
        <w:gridCol w:w="1440"/>
        <w:gridCol w:w="1438"/>
        <w:gridCol w:w="1899"/>
      </w:tblGrid>
      <w:tr w14:paraId="3D67B49D" w14:textId="77777777" w:rsidTr="00457B87">
        <w:tblPrEx>
          <w:tblW w:w="8199" w:type="dxa"/>
          <w:tblLayout w:type="fixed"/>
          <w:tblCellMar>
            <w:left w:w="115" w:type="dxa"/>
            <w:right w:w="115" w:type="dxa"/>
          </w:tblCellMar>
          <w:tblLook w:val="0000"/>
        </w:tblPrEx>
        <w:trPr>
          <w:trHeight w:val="20"/>
        </w:trPr>
        <w:tc>
          <w:tcPr>
            <w:tcW w:w="3422" w:type="dxa"/>
            <w:tcBorders>
              <w:top w:val="single" w:sz="4" w:space="0" w:color="auto"/>
              <w:left w:val="single" w:sz="4" w:space="0" w:color="auto"/>
              <w:bottom w:val="single" w:sz="4" w:space="0" w:color="auto"/>
              <w:right w:val="single" w:sz="4" w:space="0" w:color="auto"/>
            </w:tcBorders>
            <w:vAlign w:val="center"/>
          </w:tcPr>
          <w:p w:rsidR="007F678A" w:rsidRPr="007F678A" w:rsidP="007F678A" w14:paraId="065136AA" w14:textId="77777777">
            <w:pPr>
              <w:adjustRightInd/>
              <w:jc w:val="center"/>
              <w:rPr>
                <w:b/>
                <w:bCs/>
                <w:spacing w:val="-4"/>
              </w:rPr>
            </w:pPr>
            <w:r w:rsidRPr="007F678A">
              <w:rPr>
                <w:b/>
                <w:spacing w:val="-4"/>
              </w:rPr>
              <w:t xml:space="preserve">Type </w:t>
            </w:r>
            <w:r w:rsidRPr="007F678A">
              <w:rPr>
                <w:b/>
                <w:bCs/>
                <w:spacing w:val="-4"/>
              </w:rPr>
              <w:t>of Respondent</w:t>
            </w:r>
          </w:p>
        </w:tc>
        <w:tc>
          <w:tcPr>
            <w:tcW w:w="1440" w:type="dxa"/>
            <w:tcBorders>
              <w:top w:val="single" w:sz="4" w:space="0" w:color="auto"/>
              <w:left w:val="single" w:sz="4" w:space="0" w:color="auto"/>
              <w:bottom w:val="single" w:sz="4" w:space="0" w:color="auto"/>
              <w:right w:val="single" w:sz="4" w:space="0" w:color="auto"/>
            </w:tcBorders>
            <w:vAlign w:val="center"/>
          </w:tcPr>
          <w:p w:rsidR="007F678A" w:rsidRPr="007F678A" w:rsidP="007F678A" w14:paraId="74AAC95C" w14:textId="77777777">
            <w:pPr>
              <w:adjustRightInd/>
              <w:jc w:val="center"/>
              <w:rPr>
                <w:b/>
                <w:bCs/>
                <w:spacing w:val="-4"/>
              </w:rPr>
            </w:pPr>
            <w:r w:rsidRPr="007F678A">
              <w:rPr>
                <w:b/>
                <w:bCs/>
                <w:spacing w:val="-4"/>
              </w:rPr>
              <w:t>Total Burden</w:t>
            </w:r>
          </w:p>
          <w:p w:rsidR="007F678A" w:rsidRPr="007F678A" w:rsidP="007F678A" w14:paraId="56FBB1B3" w14:textId="77777777">
            <w:pPr>
              <w:adjustRightInd/>
              <w:jc w:val="center"/>
              <w:rPr>
                <w:b/>
                <w:bCs/>
                <w:spacing w:val="-4"/>
              </w:rPr>
            </w:pPr>
            <w:r w:rsidRPr="007F678A">
              <w:rPr>
                <w:b/>
                <w:bCs/>
                <w:spacing w:val="-4"/>
              </w:rPr>
              <w:t>Hours</w:t>
            </w:r>
          </w:p>
        </w:tc>
        <w:tc>
          <w:tcPr>
            <w:tcW w:w="1438" w:type="dxa"/>
            <w:tcBorders>
              <w:top w:val="single" w:sz="4" w:space="0" w:color="auto"/>
              <w:left w:val="single" w:sz="4" w:space="0" w:color="auto"/>
              <w:bottom w:val="single" w:sz="4" w:space="0" w:color="auto"/>
              <w:right w:val="single" w:sz="4" w:space="0" w:color="auto"/>
            </w:tcBorders>
            <w:vAlign w:val="center"/>
          </w:tcPr>
          <w:p w:rsidR="007F678A" w:rsidRPr="007F678A" w:rsidP="007F678A" w14:paraId="10DD13CB" w14:textId="77777777">
            <w:pPr>
              <w:adjustRightInd/>
              <w:jc w:val="center"/>
              <w:rPr>
                <w:b/>
                <w:spacing w:val="-4"/>
              </w:rPr>
            </w:pPr>
            <w:r w:rsidRPr="007F678A">
              <w:rPr>
                <w:b/>
                <w:spacing w:val="-4"/>
              </w:rPr>
              <w:t>Hourly</w:t>
            </w:r>
          </w:p>
          <w:p w:rsidR="007F678A" w:rsidRPr="007F678A" w:rsidP="007F678A" w14:paraId="0C4D1E94" w14:textId="77777777">
            <w:pPr>
              <w:adjustRightInd/>
              <w:jc w:val="center"/>
              <w:rPr>
                <w:b/>
                <w:bCs/>
                <w:spacing w:val="-4"/>
              </w:rPr>
            </w:pPr>
            <w:r w:rsidRPr="007F678A">
              <w:rPr>
                <w:b/>
                <w:spacing w:val="-4"/>
              </w:rPr>
              <w:t xml:space="preserve">Wage </w:t>
            </w:r>
            <w:r w:rsidRPr="007F678A">
              <w:rPr>
                <w:b/>
                <w:bCs/>
                <w:spacing w:val="-4"/>
              </w:rPr>
              <w:t>Rate</w:t>
            </w:r>
          </w:p>
        </w:tc>
        <w:tc>
          <w:tcPr>
            <w:tcW w:w="1899" w:type="dxa"/>
            <w:tcBorders>
              <w:top w:val="single" w:sz="4" w:space="0" w:color="auto"/>
              <w:left w:val="single" w:sz="4" w:space="0" w:color="auto"/>
              <w:bottom w:val="single" w:sz="4" w:space="0" w:color="auto"/>
              <w:right w:val="single" w:sz="4" w:space="0" w:color="auto"/>
            </w:tcBorders>
            <w:vAlign w:val="center"/>
          </w:tcPr>
          <w:p w:rsidR="007F678A" w:rsidRPr="007F678A" w:rsidP="007F678A" w14:paraId="059AC05A" w14:textId="77777777">
            <w:pPr>
              <w:adjustRightInd/>
              <w:jc w:val="center"/>
              <w:rPr>
                <w:b/>
                <w:bCs/>
                <w:spacing w:val="-4"/>
              </w:rPr>
            </w:pPr>
            <w:r w:rsidRPr="007F678A">
              <w:rPr>
                <w:b/>
                <w:bCs/>
                <w:spacing w:val="-4"/>
              </w:rPr>
              <w:t>Total Respondent</w:t>
            </w:r>
          </w:p>
          <w:p w:rsidR="007F678A" w:rsidRPr="007F678A" w:rsidP="007F678A" w14:paraId="1CD1F319" w14:textId="77777777">
            <w:pPr>
              <w:adjustRightInd/>
              <w:jc w:val="center"/>
              <w:rPr>
                <w:b/>
                <w:spacing w:val="-4"/>
              </w:rPr>
            </w:pPr>
            <w:r w:rsidRPr="007F678A">
              <w:rPr>
                <w:b/>
                <w:spacing w:val="-4"/>
              </w:rPr>
              <w:t>Costs</w:t>
            </w:r>
          </w:p>
        </w:tc>
      </w:tr>
      <w:tr w14:paraId="2682424F" w14:textId="77777777" w:rsidTr="00457B87">
        <w:tblPrEx>
          <w:tblW w:w="8199" w:type="dxa"/>
          <w:tblLayout w:type="fixed"/>
          <w:tblCellMar>
            <w:left w:w="115" w:type="dxa"/>
            <w:right w:w="115" w:type="dxa"/>
          </w:tblCellMar>
          <w:tblLook w:val="0000"/>
        </w:tblPrEx>
        <w:trPr>
          <w:trHeight w:val="20"/>
        </w:trPr>
        <w:tc>
          <w:tcPr>
            <w:tcW w:w="3422" w:type="dxa"/>
            <w:tcBorders>
              <w:top w:val="single" w:sz="4" w:space="0" w:color="auto"/>
              <w:left w:val="single" w:sz="4" w:space="0" w:color="auto"/>
              <w:bottom w:val="single" w:sz="4" w:space="0" w:color="auto"/>
              <w:right w:val="single" w:sz="4" w:space="0" w:color="auto"/>
            </w:tcBorders>
            <w:vAlign w:val="center"/>
          </w:tcPr>
          <w:p w:rsidR="007F678A" w:rsidRPr="007F678A" w:rsidP="007F678A" w14:paraId="4E88BD28" w14:textId="0290577F">
            <w:pPr>
              <w:adjustRightInd/>
              <w:jc w:val="center"/>
              <w:rPr>
                <w:spacing w:val="-4"/>
              </w:rPr>
            </w:pPr>
            <w:r>
              <w:rPr>
                <w:spacing w:val="-4"/>
              </w:rPr>
              <w:t>Business Operations Specialists</w:t>
            </w:r>
          </w:p>
        </w:tc>
        <w:tc>
          <w:tcPr>
            <w:tcW w:w="1440" w:type="dxa"/>
            <w:tcBorders>
              <w:top w:val="single" w:sz="4" w:space="0" w:color="auto"/>
              <w:left w:val="single" w:sz="4" w:space="0" w:color="auto"/>
              <w:bottom w:val="single" w:sz="4" w:space="0" w:color="auto"/>
              <w:right w:val="single" w:sz="4" w:space="0" w:color="auto"/>
            </w:tcBorders>
            <w:vAlign w:val="center"/>
          </w:tcPr>
          <w:p w:rsidR="007F678A" w:rsidRPr="007F678A" w:rsidP="007F678A" w14:paraId="6ECD845D" w14:textId="784D89B8">
            <w:pPr>
              <w:adjustRightInd/>
              <w:jc w:val="center"/>
              <w:rPr>
                <w:spacing w:val="-4"/>
              </w:rPr>
            </w:pPr>
            <w:r>
              <w:rPr>
                <w:spacing w:val="-4"/>
              </w:rPr>
              <w:t>875</w:t>
            </w:r>
          </w:p>
        </w:tc>
        <w:tc>
          <w:tcPr>
            <w:tcW w:w="1438" w:type="dxa"/>
            <w:tcBorders>
              <w:top w:val="single" w:sz="4" w:space="0" w:color="auto"/>
              <w:left w:val="single" w:sz="4" w:space="0" w:color="auto"/>
              <w:bottom w:val="single" w:sz="4" w:space="0" w:color="auto"/>
              <w:right w:val="single" w:sz="4" w:space="0" w:color="auto"/>
            </w:tcBorders>
            <w:vAlign w:val="center"/>
          </w:tcPr>
          <w:p w:rsidR="007F678A" w:rsidRPr="00C728C9" w:rsidP="007F678A" w14:paraId="5D5BE602" w14:textId="029E1F7B">
            <w:pPr>
              <w:adjustRightInd/>
              <w:jc w:val="center"/>
              <w:rPr>
                <w:spacing w:val="-4"/>
                <w:vertAlign w:val="superscript"/>
              </w:rPr>
            </w:pPr>
            <w:r w:rsidRPr="007F678A">
              <w:rPr>
                <w:spacing w:val="-4"/>
              </w:rPr>
              <w:t>$</w:t>
            </w:r>
            <w:r w:rsidR="008819CE">
              <w:rPr>
                <w:spacing w:val="-4"/>
              </w:rPr>
              <w:t>42.</w:t>
            </w:r>
            <w:r w:rsidR="00E44FAE">
              <w:rPr>
                <w:spacing w:val="-4"/>
              </w:rPr>
              <w:t>85</w:t>
            </w:r>
          </w:p>
        </w:tc>
        <w:tc>
          <w:tcPr>
            <w:tcW w:w="1899" w:type="dxa"/>
            <w:tcBorders>
              <w:top w:val="single" w:sz="4" w:space="0" w:color="auto"/>
              <w:left w:val="single" w:sz="4" w:space="0" w:color="auto"/>
              <w:bottom w:val="single" w:sz="4" w:space="0" w:color="auto"/>
              <w:right w:val="single" w:sz="4" w:space="0" w:color="auto"/>
            </w:tcBorders>
            <w:vAlign w:val="center"/>
          </w:tcPr>
          <w:p w:rsidR="007F678A" w:rsidRPr="007F678A" w:rsidP="007F1B0B" w14:paraId="2993CF3E" w14:textId="48D59DFA">
            <w:pPr>
              <w:adjustRightInd/>
              <w:jc w:val="center"/>
            </w:pPr>
            <w:r w:rsidRPr="007F678A">
              <w:rPr>
                <w:spacing w:val="-4"/>
              </w:rPr>
              <w:t>$</w:t>
            </w:r>
            <w:r w:rsidR="00FC5AAE">
              <w:rPr>
                <w:spacing w:val="-4"/>
              </w:rPr>
              <w:t>37,</w:t>
            </w:r>
            <w:r w:rsidR="00DD6C4E">
              <w:rPr>
                <w:spacing w:val="-4"/>
              </w:rPr>
              <w:t>467.5</w:t>
            </w:r>
          </w:p>
        </w:tc>
      </w:tr>
    </w:tbl>
    <w:p w:rsidR="007F678A" w:rsidRPr="007F678A" w:rsidP="007F678A" w14:paraId="6E36A0CC" w14:textId="77777777">
      <w:pPr>
        <w:jc w:val="both"/>
        <w:rPr>
          <w:rFonts w:ascii="Garamond" w:hAnsi="Garamond"/>
        </w:rPr>
      </w:pPr>
    </w:p>
    <w:p w:rsidR="007F678A" w:rsidRPr="007F678A" w:rsidP="007F678A" w14:paraId="40C3929E" w14:textId="77777777">
      <w:pPr>
        <w:pStyle w:val="Listheader"/>
      </w:pPr>
      <w:r w:rsidRPr="007F678A">
        <w:t>Estimates of other Total Annual Cost Burden to Respondents or Recordkeepers/Capital Costs</w:t>
      </w:r>
    </w:p>
    <w:p w:rsidR="007F678A" w:rsidRPr="007F678A" w:rsidP="007F678A" w14:paraId="29DC8F71" w14:textId="638F34B1">
      <w:pPr>
        <w:widowControl/>
        <w:autoSpaceDE/>
        <w:autoSpaceDN/>
        <w:adjustRightInd/>
        <w:spacing w:after="240"/>
        <w:rPr>
          <w:sz w:val="24"/>
          <w:szCs w:val="24"/>
        </w:rPr>
      </w:pPr>
      <w:r w:rsidRPr="007F678A">
        <w:rPr>
          <w:sz w:val="24"/>
          <w:szCs w:val="24"/>
        </w:rPr>
        <w:t xml:space="preserve">The data collection described in this request does not constitute an additional effort for respondents beyond regular project duties/obligations. No additional staff time or cost is anticipated other than the time/cost allocated for regular project administrative requirements. No additional materials or equipment are needed to generate a report using the </w:t>
      </w:r>
      <w:r w:rsidR="00D647E1">
        <w:rPr>
          <w:sz w:val="24"/>
          <w:szCs w:val="24"/>
        </w:rPr>
        <w:t>PEMS</w:t>
      </w:r>
      <w:r w:rsidRPr="007F678A">
        <w:rPr>
          <w:sz w:val="24"/>
          <w:szCs w:val="24"/>
        </w:rPr>
        <w:t>.</w:t>
      </w:r>
    </w:p>
    <w:p w:rsidR="007F678A" w:rsidRPr="007F678A" w:rsidP="007F678A" w14:paraId="0D77A5F0" w14:textId="77777777">
      <w:pPr>
        <w:pStyle w:val="Listheader"/>
      </w:pPr>
      <w:r w:rsidRPr="007F678A">
        <w:t>Annualized Cost to Federal Government</w:t>
      </w:r>
    </w:p>
    <w:p w:rsidR="007F678A" w:rsidRPr="007F678A" w:rsidP="007F678A" w14:paraId="4225B165" w14:textId="2A5E98C9">
      <w:pPr>
        <w:widowControl/>
        <w:autoSpaceDE/>
        <w:autoSpaceDN/>
        <w:adjustRightInd/>
        <w:spacing w:after="240"/>
        <w:rPr>
          <w:sz w:val="24"/>
          <w:szCs w:val="24"/>
        </w:rPr>
      </w:pPr>
      <w:r w:rsidRPr="007F678A">
        <w:rPr>
          <w:spacing w:val="-1"/>
          <w:sz w:val="24"/>
          <w:szCs w:val="24"/>
        </w:rPr>
        <w:t xml:space="preserve">The overall annual cost to the Federal government </w:t>
      </w:r>
      <w:r w:rsidRPr="00514B74">
        <w:rPr>
          <w:spacing w:val="-1"/>
          <w:sz w:val="24"/>
          <w:szCs w:val="24"/>
        </w:rPr>
        <w:t xml:space="preserve">is </w:t>
      </w:r>
      <w:r w:rsidRPr="00A05F7C" w:rsidR="00A05F7C">
        <w:rPr>
          <w:sz w:val="24"/>
          <w:szCs w:val="24"/>
        </w:rPr>
        <w:t>$</w:t>
      </w:r>
      <w:r w:rsidRPr="00A05F7C" w:rsidR="627390A3">
        <w:rPr>
          <w:sz w:val="24"/>
          <w:szCs w:val="24"/>
        </w:rPr>
        <w:t>250,000</w:t>
      </w:r>
      <w:r w:rsidRPr="00A05F7C" w:rsidR="00A05F7C">
        <w:rPr>
          <w:sz w:val="24"/>
          <w:szCs w:val="24"/>
        </w:rPr>
        <w:t xml:space="preserve">. </w:t>
      </w:r>
      <w:r w:rsidRPr="00A05F7C">
        <w:rPr>
          <w:sz w:val="24"/>
          <w:szCs w:val="24"/>
        </w:rPr>
        <w:t xml:space="preserve">This total includes </w:t>
      </w:r>
      <w:r w:rsidR="00936EE5">
        <w:rPr>
          <w:sz w:val="24"/>
          <w:szCs w:val="24"/>
        </w:rPr>
        <w:t>GrantSolutions</w:t>
      </w:r>
      <w:r w:rsidR="00936EE5">
        <w:rPr>
          <w:sz w:val="24"/>
          <w:szCs w:val="24"/>
        </w:rPr>
        <w:t xml:space="preserve"> operations and maintenance costs, as well as costs associated with </w:t>
      </w:r>
      <w:r w:rsidRPr="00A05F7C" w:rsidR="004379E1">
        <w:rPr>
          <w:sz w:val="24"/>
          <w:szCs w:val="24"/>
        </w:rPr>
        <w:t xml:space="preserve">technical support to </w:t>
      </w:r>
      <w:r w:rsidR="007B017B">
        <w:rPr>
          <w:sz w:val="24"/>
          <w:szCs w:val="24"/>
        </w:rPr>
        <w:t>recipients</w:t>
      </w:r>
      <w:r w:rsidRPr="00A05F7C" w:rsidR="005C5794">
        <w:rPr>
          <w:sz w:val="24"/>
          <w:szCs w:val="24"/>
        </w:rPr>
        <w:t xml:space="preserve">, </w:t>
      </w:r>
      <w:r w:rsidRPr="00A05F7C">
        <w:rPr>
          <w:sz w:val="24"/>
          <w:szCs w:val="24"/>
        </w:rPr>
        <w:t>training materials</w:t>
      </w:r>
      <w:r w:rsidR="007B017B">
        <w:rPr>
          <w:sz w:val="24"/>
          <w:szCs w:val="24"/>
        </w:rPr>
        <w:t xml:space="preserve"> development</w:t>
      </w:r>
      <w:r w:rsidRPr="00A05F7C">
        <w:rPr>
          <w:sz w:val="24"/>
          <w:szCs w:val="24"/>
        </w:rPr>
        <w:t xml:space="preserve">, and </w:t>
      </w:r>
      <w:r w:rsidR="007B017B">
        <w:rPr>
          <w:sz w:val="24"/>
          <w:szCs w:val="24"/>
        </w:rPr>
        <w:t>user</w:t>
      </w:r>
      <w:r w:rsidRPr="00A05F7C">
        <w:rPr>
          <w:sz w:val="24"/>
          <w:szCs w:val="24"/>
        </w:rPr>
        <w:t xml:space="preserve"> </w:t>
      </w:r>
      <w:r w:rsidRPr="007F678A">
        <w:rPr>
          <w:sz w:val="24"/>
          <w:szCs w:val="24"/>
        </w:rPr>
        <w:t>training on system navigation and data entry.  Exhibit 3 presents total costs to the Federal government.</w:t>
      </w:r>
    </w:p>
    <w:p w:rsidR="007F678A" w:rsidRPr="007F678A" w:rsidP="007F678A" w14:paraId="3B1334ED" w14:textId="77777777">
      <w:pPr>
        <w:rPr>
          <w:b/>
          <w:sz w:val="24"/>
          <w:szCs w:val="24"/>
        </w:rPr>
      </w:pPr>
      <w:r w:rsidRPr="007F678A">
        <w:rPr>
          <w:b/>
          <w:sz w:val="24"/>
          <w:szCs w:val="24"/>
        </w:rPr>
        <w:t>Exhibit 3:</w:t>
      </w:r>
      <w:r w:rsidRPr="007F678A">
        <w:rPr>
          <w:b/>
        </w:rPr>
        <w:t xml:space="preserve"> </w:t>
      </w:r>
      <w:bookmarkStart w:id="1" w:name="Exhibit5"/>
      <w:r w:rsidRPr="007F678A">
        <w:rPr>
          <w:b/>
          <w:sz w:val="24"/>
          <w:szCs w:val="24"/>
        </w:rPr>
        <w:t>Costs to the Federal Government</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0"/>
        <w:gridCol w:w="1170"/>
      </w:tblGrid>
      <w:tr w14:paraId="7F1DC3A4" w14:textId="77777777" w:rsidTr="492A2F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jc w:val="center"/>
        </w:trPr>
        <w:tc>
          <w:tcPr>
            <w:tcW w:w="6930" w:type="dxa"/>
            <w:vAlign w:val="center"/>
          </w:tcPr>
          <w:p w:rsidR="007F678A" w:rsidRPr="007F678A" w:rsidP="007F678A" w14:paraId="6AE23BA4" w14:textId="77777777">
            <w:pPr>
              <w:jc w:val="center"/>
              <w:rPr>
                <w:b/>
              </w:rPr>
            </w:pPr>
            <w:r w:rsidRPr="007F678A">
              <w:rPr>
                <w:b/>
              </w:rPr>
              <w:t>Category</w:t>
            </w:r>
          </w:p>
        </w:tc>
        <w:tc>
          <w:tcPr>
            <w:tcW w:w="1170" w:type="dxa"/>
            <w:shd w:val="clear" w:color="auto" w:fill="auto"/>
            <w:vAlign w:val="center"/>
          </w:tcPr>
          <w:p w:rsidR="007F678A" w:rsidRPr="007F678A" w:rsidP="007F678A" w14:paraId="0416F0BA" w14:textId="77777777">
            <w:pPr>
              <w:jc w:val="center"/>
              <w:rPr>
                <w:b/>
              </w:rPr>
            </w:pPr>
            <w:r w:rsidRPr="007F678A">
              <w:rPr>
                <w:b/>
              </w:rPr>
              <w:t>Cost</w:t>
            </w:r>
          </w:p>
        </w:tc>
      </w:tr>
      <w:tr w14:paraId="0F5B6457" w14:textId="77777777" w:rsidTr="492A2FB4">
        <w:tblPrEx>
          <w:tblW w:w="0" w:type="auto"/>
          <w:jc w:val="center"/>
          <w:tblLook w:val="04A0"/>
        </w:tblPrEx>
        <w:trPr>
          <w:trHeight w:val="20"/>
          <w:jc w:val="center"/>
        </w:trPr>
        <w:tc>
          <w:tcPr>
            <w:tcW w:w="6930" w:type="dxa"/>
            <w:vAlign w:val="center"/>
          </w:tcPr>
          <w:p w:rsidR="007F678A" w:rsidRPr="007F678A" w:rsidP="007F678A" w14:paraId="7A2DEE3A" w14:textId="0A1827CC">
            <w:r>
              <w:t>Operations</w:t>
            </w:r>
            <w:r w:rsidR="00255B9B">
              <w:t>, Maintenance and T</w:t>
            </w:r>
            <w:r w:rsidR="00002F72">
              <w:t>echnical Support</w:t>
            </w:r>
          </w:p>
        </w:tc>
        <w:tc>
          <w:tcPr>
            <w:tcW w:w="1170" w:type="dxa"/>
            <w:shd w:val="clear" w:color="auto" w:fill="auto"/>
            <w:vAlign w:val="center"/>
          </w:tcPr>
          <w:p w:rsidR="007F678A" w:rsidRPr="007F678A" w:rsidP="007F678A" w14:paraId="4F190ED8" w14:textId="0A94CF98">
            <w:r w:rsidRPr="007F678A">
              <w:t>$</w:t>
            </w:r>
            <w:r w:rsidR="00EF0CCC">
              <w:t>250,000</w:t>
            </w:r>
          </w:p>
        </w:tc>
      </w:tr>
      <w:tr w14:paraId="00E496C3" w14:textId="77777777" w:rsidTr="492A2FB4">
        <w:tblPrEx>
          <w:tblW w:w="0" w:type="auto"/>
          <w:jc w:val="center"/>
          <w:tblLook w:val="04A0"/>
        </w:tblPrEx>
        <w:trPr>
          <w:trHeight w:val="20"/>
          <w:jc w:val="center"/>
        </w:trPr>
        <w:tc>
          <w:tcPr>
            <w:tcW w:w="6930" w:type="dxa"/>
            <w:vAlign w:val="center"/>
          </w:tcPr>
          <w:p w:rsidR="007F678A" w:rsidRPr="00B71C52" w:rsidP="007F678A" w14:paraId="40251859" w14:textId="77777777">
            <w:pPr>
              <w:rPr>
                <w:b/>
              </w:rPr>
            </w:pPr>
            <w:r w:rsidRPr="00B71C52">
              <w:rPr>
                <w:b/>
              </w:rPr>
              <w:t>Total</w:t>
            </w:r>
          </w:p>
        </w:tc>
        <w:tc>
          <w:tcPr>
            <w:tcW w:w="1170" w:type="dxa"/>
            <w:shd w:val="clear" w:color="auto" w:fill="auto"/>
            <w:vAlign w:val="center"/>
          </w:tcPr>
          <w:p w:rsidR="007F678A" w:rsidRPr="00B71C52" w:rsidP="0082478F" w14:paraId="6A23F7C1" w14:textId="5C0262F2">
            <w:r w:rsidRPr="00B71C52">
              <w:t>$</w:t>
            </w:r>
            <w:r w:rsidR="00431145">
              <w:t>250,000</w:t>
            </w:r>
          </w:p>
        </w:tc>
      </w:tr>
    </w:tbl>
    <w:p w:rsidR="007F678A" w:rsidRPr="007F678A" w:rsidP="007F678A" w14:paraId="5C785CAD" w14:textId="31242B8A">
      <w:pPr>
        <w:tabs>
          <w:tab w:val="left" w:pos="900"/>
        </w:tabs>
        <w:rPr>
          <w:sz w:val="18"/>
          <w:szCs w:val="18"/>
        </w:rPr>
      </w:pPr>
    </w:p>
    <w:p w:rsidR="007F678A" w:rsidRPr="007F678A" w:rsidP="007F678A" w14:paraId="10884EA4" w14:textId="77777777">
      <w:pPr>
        <w:pStyle w:val="Listheader"/>
      </w:pPr>
      <w:r w:rsidRPr="007F678A">
        <w:t>Explanation for Program Changes or Adjustments</w:t>
      </w:r>
    </w:p>
    <w:p w:rsidR="007F678A" w:rsidRPr="007F678A" w:rsidP="007F678A" w14:paraId="583D96D5" w14:textId="34A50092">
      <w:pPr>
        <w:widowControl/>
        <w:autoSpaceDE/>
        <w:autoSpaceDN/>
        <w:adjustRightInd/>
        <w:spacing w:after="240"/>
        <w:rPr>
          <w:sz w:val="24"/>
          <w:szCs w:val="24"/>
        </w:rPr>
      </w:pPr>
      <w:r w:rsidRPr="007F678A">
        <w:rPr>
          <w:sz w:val="24"/>
          <w:szCs w:val="24"/>
        </w:rPr>
        <w:t>This is a request for a</w:t>
      </w:r>
      <w:r w:rsidR="00D647E1">
        <w:rPr>
          <w:sz w:val="24"/>
          <w:szCs w:val="24"/>
        </w:rPr>
        <w:t xml:space="preserve"> new</w:t>
      </w:r>
      <w:r w:rsidRPr="007F678A">
        <w:rPr>
          <w:sz w:val="24"/>
          <w:szCs w:val="24"/>
        </w:rPr>
        <w:t xml:space="preserve"> OMB-approved data collection. </w:t>
      </w:r>
    </w:p>
    <w:p w:rsidR="007F678A" w:rsidRPr="007F678A" w:rsidP="007F678A" w14:paraId="4DD05E7E" w14:textId="77777777">
      <w:pPr>
        <w:pStyle w:val="Listheader"/>
      </w:pPr>
      <w:r w:rsidRPr="007F678A">
        <w:t>Plans for Tabulation and Publication and Project Time Schedule</w:t>
      </w:r>
    </w:p>
    <w:p w:rsidR="007F678A" w:rsidRPr="007F678A" w:rsidP="007F678A" w14:paraId="4DC5DDF1" w14:textId="44D02DFD">
      <w:pPr>
        <w:widowControl/>
        <w:autoSpaceDE/>
        <w:autoSpaceDN/>
        <w:adjustRightInd/>
        <w:spacing w:after="240"/>
        <w:rPr>
          <w:sz w:val="24"/>
          <w:szCs w:val="24"/>
        </w:rPr>
      </w:pPr>
      <w:r w:rsidRPr="007F678A">
        <w:rPr>
          <w:spacing w:val="-1"/>
          <w:sz w:val="24"/>
          <w:szCs w:val="24"/>
        </w:rPr>
        <w:t xml:space="preserve">The purpose of the </w:t>
      </w:r>
      <w:r w:rsidR="000B20C4">
        <w:rPr>
          <w:spacing w:val="-1"/>
          <w:sz w:val="24"/>
          <w:szCs w:val="24"/>
        </w:rPr>
        <w:t>PEMS</w:t>
      </w:r>
      <w:r w:rsidRPr="007F678A">
        <w:rPr>
          <w:spacing w:val="-1"/>
          <w:sz w:val="24"/>
          <w:szCs w:val="24"/>
        </w:rPr>
        <w:t xml:space="preserve">, as described herein, is to serve as the regular, ongoing system of standardized </w:t>
      </w:r>
      <w:r w:rsidRPr="007F678A">
        <w:rPr>
          <w:sz w:val="24"/>
          <w:szCs w:val="24"/>
        </w:rPr>
        <w:t xml:space="preserve">data reporting for all grants, cooperative agreements, and other selected programmatic efforts funded by OMH. Data reported as part of </w:t>
      </w:r>
      <w:r w:rsidRPr="007F678A">
        <w:rPr>
          <w:spacing w:val="-2"/>
          <w:sz w:val="24"/>
          <w:szCs w:val="24"/>
        </w:rPr>
        <w:t xml:space="preserve">this system are used for project management and monitoring, assessment of project </w:t>
      </w:r>
      <w:r w:rsidRPr="007F678A">
        <w:rPr>
          <w:spacing w:val="-1"/>
          <w:sz w:val="24"/>
          <w:szCs w:val="24"/>
        </w:rPr>
        <w:t xml:space="preserve">implementation and results, and for performance budgeting and reporting purposes in support of </w:t>
      </w:r>
      <w:r w:rsidRPr="007F678A">
        <w:rPr>
          <w:sz w:val="24"/>
          <w:szCs w:val="24"/>
        </w:rPr>
        <w:t xml:space="preserve">OMH strategic priorities, objectives, and goals. </w:t>
      </w:r>
      <w:r w:rsidRPr="007F678A">
        <w:rPr>
          <w:b/>
          <w:bCs/>
          <w:i/>
          <w:iCs/>
          <w:sz w:val="24"/>
          <w:szCs w:val="24"/>
        </w:rPr>
        <w:t xml:space="preserve"> </w:t>
      </w:r>
      <w:r w:rsidRPr="007F678A">
        <w:rPr>
          <w:sz w:val="24"/>
          <w:szCs w:val="24"/>
        </w:rPr>
        <w:t xml:space="preserve">In addition, aggregate </w:t>
      </w:r>
      <w:r w:rsidRPr="007F678A">
        <w:rPr>
          <w:spacing w:val="-2"/>
          <w:sz w:val="24"/>
          <w:szCs w:val="24"/>
        </w:rPr>
        <w:t xml:space="preserve">program data are also used in periodic reports to OMH leadership, other HHS policymakers </w:t>
      </w:r>
      <w:r w:rsidRPr="007F678A">
        <w:rPr>
          <w:sz w:val="24"/>
          <w:szCs w:val="24"/>
        </w:rPr>
        <w:t>and decision makers, and Congressional staff, as needed and appropriate.</w:t>
      </w:r>
    </w:p>
    <w:p w:rsidR="007F678A" w:rsidRPr="007F678A" w:rsidP="007F678A" w14:paraId="3AE03C0B" w14:textId="29CD7DD9">
      <w:pPr>
        <w:widowControl/>
        <w:autoSpaceDE/>
        <w:autoSpaceDN/>
        <w:adjustRightInd/>
        <w:spacing w:after="240"/>
        <w:rPr>
          <w:b/>
          <w:sz w:val="24"/>
          <w:szCs w:val="24"/>
        </w:rPr>
      </w:pPr>
      <w:r w:rsidRPr="007F678A">
        <w:rPr>
          <w:sz w:val="24"/>
          <w:szCs w:val="24"/>
        </w:rPr>
        <w:t xml:space="preserve">There are no specific plans to publish results from </w:t>
      </w:r>
      <w:r w:rsidR="000B20C4">
        <w:rPr>
          <w:sz w:val="24"/>
          <w:szCs w:val="24"/>
        </w:rPr>
        <w:t>PEMS</w:t>
      </w:r>
      <w:r w:rsidRPr="007F678A">
        <w:rPr>
          <w:sz w:val="24"/>
          <w:szCs w:val="24"/>
        </w:rPr>
        <w:t xml:space="preserve"> </w:t>
      </w:r>
      <w:r w:rsidRPr="007F678A">
        <w:rPr>
          <w:sz w:val="24"/>
          <w:szCs w:val="24"/>
        </w:rPr>
        <w:t>at this time</w:t>
      </w:r>
      <w:r w:rsidRPr="007F678A">
        <w:rPr>
          <w:sz w:val="24"/>
          <w:szCs w:val="24"/>
        </w:rPr>
        <w:t>.</w:t>
      </w:r>
    </w:p>
    <w:p w:rsidR="007F678A" w:rsidRPr="007F678A" w:rsidP="007F678A" w14:paraId="476C5580" w14:textId="77777777">
      <w:pPr>
        <w:pStyle w:val="Listheader"/>
      </w:pPr>
      <w:r w:rsidRPr="007F678A">
        <w:t>Reason(s) Display of OMB Expiration Date is Inappropriate</w:t>
      </w:r>
    </w:p>
    <w:p w:rsidR="007F678A" w:rsidRPr="007F678A" w:rsidP="007F678A" w14:paraId="2218F1BC" w14:textId="77777777">
      <w:pPr>
        <w:widowControl/>
        <w:autoSpaceDE/>
        <w:autoSpaceDN/>
        <w:adjustRightInd/>
        <w:spacing w:after="240"/>
        <w:rPr>
          <w:sz w:val="24"/>
          <w:szCs w:val="24"/>
        </w:rPr>
      </w:pPr>
      <w:r w:rsidRPr="007F678A">
        <w:rPr>
          <w:sz w:val="24"/>
          <w:szCs w:val="24"/>
        </w:rPr>
        <w:t>This collection of information does not seek approval to exclude the expiration date for OMB approval from any data collection instruments.</w:t>
      </w:r>
    </w:p>
    <w:p w:rsidR="007F678A" w:rsidRPr="007F678A" w:rsidP="007F678A" w14:paraId="31FE71CB" w14:textId="77777777">
      <w:pPr>
        <w:pStyle w:val="Listheader"/>
      </w:pPr>
      <w:r w:rsidRPr="007F678A">
        <w:t>Exceptions to Certification for Paperwork Reduction Act Submissions</w:t>
      </w:r>
    </w:p>
    <w:p w:rsidR="007F678A" w:rsidP="00516B67" w14:paraId="614B090D" w14:textId="39CF1C56">
      <w:pPr>
        <w:widowControl/>
        <w:autoSpaceDE/>
        <w:autoSpaceDN/>
        <w:adjustRightInd/>
        <w:spacing w:after="240"/>
        <w:rPr>
          <w:sz w:val="24"/>
          <w:szCs w:val="24"/>
        </w:rPr>
      </w:pPr>
      <w:r w:rsidRPr="007F678A">
        <w:rPr>
          <w:sz w:val="24"/>
          <w:szCs w:val="24"/>
        </w:rPr>
        <w:t>This collection of information involves no exception to the Certification of Paperwork Reduction Act Submissions.</w:t>
      </w:r>
    </w:p>
    <w:p w:rsidR="00FD6D4A" w:rsidRPr="00516B67" w:rsidP="000275AE" w14:paraId="3EA20BB6" w14:textId="5B3FC622">
      <w:pPr>
        <w:pStyle w:val="Listheader"/>
        <w:numPr>
          <w:ilvl w:val="0"/>
          <w:numId w:val="0"/>
        </w:numPr>
        <w:ind w:left="360" w:hanging="360"/>
      </w:pPr>
    </w:p>
    <w:sectPr w:rsidSect="005D6F75">
      <w:footerReference w:type="default" r:id="rId1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6627102"/>
      <w:docPartObj>
        <w:docPartGallery w:val="Page Numbers (Bottom of Page)"/>
        <w:docPartUnique/>
      </w:docPartObj>
    </w:sdtPr>
    <w:sdtEndPr>
      <w:rPr>
        <w:noProof/>
      </w:rPr>
    </w:sdtEndPr>
    <w:sdtContent>
      <w:p w:rsidR="00CE5098" w14:paraId="30A0080D" w14:textId="77777777">
        <w:pPr>
          <w:pStyle w:val="Footer"/>
          <w:jc w:val="right"/>
        </w:pPr>
        <w:r>
          <w:fldChar w:fldCharType="begin"/>
        </w:r>
        <w:r>
          <w:instrText xml:space="preserve"> PAGE   \* MERGEFORMAT </w:instrText>
        </w:r>
        <w:r>
          <w:fldChar w:fldCharType="separate"/>
        </w:r>
        <w:r w:rsidR="004C392E">
          <w:rPr>
            <w:noProof/>
          </w:rPr>
          <w:t>2</w:t>
        </w:r>
        <w:r>
          <w:rPr>
            <w:noProof/>
          </w:rPr>
          <w:fldChar w:fldCharType="end"/>
        </w:r>
      </w:p>
    </w:sdtContent>
  </w:sdt>
  <w:p w:rsidR="00CE5098" w:rsidP="00514B74" w14:paraId="0661B16B" w14:textId="26E98CD3">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B67" w:rsidP="000275AE" w14:paraId="38D75A3E" w14:textId="773D0B28">
    <w:pPr>
      <w:pStyle w:val="Footer"/>
      <w:ind w:left="720"/>
    </w:pPr>
  </w:p>
  <w:p w:rsidR="00394EEB" w:rsidP="00514B74" w14:paraId="7045D93B" w14:textId="38ADBB9E">
    <w:pPr>
      <w:pStyle w:val="Footer"/>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2774378"/>
      <w:docPartObj>
        <w:docPartGallery w:val="Page Numbers (Bottom of Page)"/>
        <w:docPartUnique/>
      </w:docPartObj>
    </w:sdtPr>
    <w:sdtEndPr>
      <w:rPr>
        <w:noProof/>
      </w:rPr>
    </w:sdtEndPr>
    <w:sdtContent>
      <w:p w:rsidR="00516B67" w14:paraId="5634DD5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3598A"/>
    <w:multiLevelType w:val="hybridMultilevel"/>
    <w:tmpl w:val="74765B84"/>
    <w:lvl w:ilvl="0">
      <w:start w:val="1"/>
      <w:numFmt w:val="decimal"/>
      <w:pStyle w:val="Listhead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2171E"/>
    <w:multiLevelType w:val="hybridMultilevel"/>
    <w:tmpl w:val="22C2EED0"/>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473192"/>
    <w:multiLevelType w:val="hybridMultilevel"/>
    <w:tmpl w:val="9E86F9E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653114"/>
    <w:multiLevelType w:val="multilevel"/>
    <w:tmpl w:val="2CBC6F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F21D25"/>
    <w:multiLevelType w:val="hybridMultilevel"/>
    <w:tmpl w:val="824E86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6A5085A"/>
    <w:multiLevelType w:val="hybridMultilevel"/>
    <w:tmpl w:val="44003350"/>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B3F298C"/>
    <w:multiLevelType w:val="hybridMultilevel"/>
    <w:tmpl w:val="E4341D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F50F21"/>
    <w:multiLevelType w:val="hybridMultilevel"/>
    <w:tmpl w:val="021438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B606B0"/>
    <w:multiLevelType w:val="hybridMultilevel"/>
    <w:tmpl w:val="9056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184787">
    <w:abstractNumId w:val="2"/>
  </w:num>
  <w:num w:numId="2" w16cid:durableId="2053462506">
    <w:abstractNumId w:val="1"/>
  </w:num>
  <w:num w:numId="3" w16cid:durableId="1159419779">
    <w:abstractNumId w:val="4"/>
  </w:num>
  <w:num w:numId="4" w16cid:durableId="2028830542">
    <w:abstractNumId w:val="5"/>
  </w:num>
  <w:num w:numId="5" w16cid:durableId="1443452544">
    <w:abstractNumId w:val="0"/>
  </w:num>
  <w:num w:numId="6" w16cid:durableId="1268536311">
    <w:abstractNumId w:val="6"/>
  </w:num>
  <w:num w:numId="7" w16cid:durableId="1326588418">
    <w:abstractNumId w:val="8"/>
  </w:num>
  <w:num w:numId="8" w16cid:durableId="1092166969">
    <w:abstractNumId w:val="7"/>
  </w:num>
  <w:num w:numId="9" w16cid:durableId="1916039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2"/>
    <w:rsid w:val="00001E73"/>
    <w:rsid w:val="00002F72"/>
    <w:rsid w:val="00003FFB"/>
    <w:rsid w:val="00005EE1"/>
    <w:rsid w:val="000113F5"/>
    <w:rsid w:val="0002185D"/>
    <w:rsid w:val="00024DF7"/>
    <w:rsid w:val="000275AE"/>
    <w:rsid w:val="00030A9A"/>
    <w:rsid w:val="000354F1"/>
    <w:rsid w:val="00070A47"/>
    <w:rsid w:val="00074D4B"/>
    <w:rsid w:val="00077FB0"/>
    <w:rsid w:val="0008027D"/>
    <w:rsid w:val="00084317"/>
    <w:rsid w:val="00084DA3"/>
    <w:rsid w:val="0008773C"/>
    <w:rsid w:val="00090A0B"/>
    <w:rsid w:val="000A2B8A"/>
    <w:rsid w:val="000A4DAD"/>
    <w:rsid w:val="000A4DFE"/>
    <w:rsid w:val="000B20C4"/>
    <w:rsid w:val="000B47A8"/>
    <w:rsid w:val="000B5CF4"/>
    <w:rsid w:val="000C7C79"/>
    <w:rsid w:val="000F1E6C"/>
    <w:rsid w:val="000F21BE"/>
    <w:rsid w:val="000F4DFB"/>
    <w:rsid w:val="001255CB"/>
    <w:rsid w:val="00131A28"/>
    <w:rsid w:val="001323E4"/>
    <w:rsid w:val="00137F35"/>
    <w:rsid w:val="001400D3"/>
    <w:rsid w:val="00140EC9"/>
    <w:rsid w:val="001629F7"/>
    <w:rsid w:val="001903DC"/>
    <w:rsid w:val="0019210C"/>
    <w:rsid w:val="00197FE2"/>
    <w:rsid w:val="001B24EF"/>
    <w:rsid w:val="001B4DE0"/>
    <w:rsid w:val="001E7418"/>
    <w:rsid w:val="001F677E"/>
    <w:rsid w:val="002014CC"/>
    <w:rsid w:val="00202296"/>
    <w:rsid w:val="002027DE"/>
    <w:rsid w:val="0021444F"/>
    <w:rsid w:val="00223DD6"/>
    <w:rsid w:val="0022664C"/>
    <w:rsid w:val="00233CBC"/>
    <w:rsid w:val="00237CBB"/>
    <w:rsid w:val="002419A5"/>
    <w:rsid w:val="00245A76"/>
    <w:rsid w:val="0025119D"/>
    <w:rsid w:val="002527D3"/>
    <w:rsid w:val="00255B9B"/>
    <w:rsid w:val="002710C8"/>
    <w:rsid w:val="00275B7F"/>
    <w:rsid w:val="00281F8A"/>
    <w:rsid w:val="00282AAF"/>
    <w:rsid w:val="00285067"/>
    <w:rsid w:val="002946DC"/>
    <w:rsid w:val="002A5EFF"/>
    <w:rsid w:val="002B49C3"/>
    <w:rsid w:val="002C0216"/>
    <w:rsid w:val="002C03B1"/>
    <w:rsid w:val="002C6E50"/>
    <w:rsid w:val="002C7A15"/>
    <w:rsid w:val="002D38CF"/>
    <w:rsid w:val="002E0B11"/>
    <w:rsid w:val="002E2513"/>
    <w:rsid w:val="002E5384"/>
    <w:rsid w:val="002F2AA6"/>
    <w:rsid w:val="00307770"/>
    <w:rsid w:val="003127EB"/>
    <w:rsid w:val="003342DD"/>
    <w:rsid w:val="00340C5D"/>
    <w:rsid w:val="00366518"/>
    <w:rsid w:val="003730C0"/>
    <w:rsid w:val="0038005A"/>
    <w:rsid w:val="00386DED"/>
    <w:rsid w:val="00394EEB"/>
    <w:rsid w:val="003A650B"/>
    <w:rsid w:val="003D28CB"/>
    <w:rsid w:val="003D6AA0"/>
    <w:rsid w:val="003E6F22"/>
    <w:rsid w:val="003F35AE"/>
    <w:rsid w:val="003F6DE8"/>
    <w:rsid w:val="003F7A84"/>
    <w:rsid w:val="003F7D7D"/>
    <w:rsid w:val="00400E21"/>
    <w:rsid w:val="004138D5"/>
    <w:rsid w:val="00431145"/>
    <w:rsid w:val="00431D31"/>
    <w:rsid w:val="00434F77"/>
    <w:rsid w:val="00435FCC"/>
    <w:rsid w:val="004379E1"/>
    <w:rsid w:val="004418A1"/>
    <w:rsid w:val="004431BC"/>
    <w:rsid w:val="0045362B"/>
    <w:rsid w:val="00457B87"/>
    <w:rsid w:val="004626A4"/>
    <w:rsid w:val="00491606"/>
    <w:rsid w:val="00492D4E"/>
    <w:rsid w:val="00496629"/>
    <w:rsid w:val="004A1C4A"/>
    <w:rsid w:val="004A347F"/>
    <w:rsid w:val="004A4125"/>
    <w:rsid w:val="004A5499"/>
    <w:rsid w:val="004B2D6D"/>
    <w:rsid w:val="004C1F81"/>
    <w:rsid w:val="004C247A"/>
    <w:rsid w:val="004C392E"/>
    <w:rsid w:val="004C57AD"/>
    <w:rsid w:val="004C6B0B"/>
    <w:rsid w:val="004C6CEA"/>
    <w:rsid w:val="004D263F"/>
    <w:rsid w:val="004D554B"/>
    <w:rsid w:val="004E1CBC"/>
    <w:rsid w:val="004E6530"/>
    <w:rsid w:val="004F6927"/>
    <w:rsid w:val="004F7CEE"/>
    <w:rsid w:val="005064D3"/>
    <w:rsid w:val="00514B74"/>
    <w:rsid w:val="00516B67"/>
    <w:rsid w:val="00517DEE"/>
    <w:rsid w:val="005208CB"/>
    <w:rsid w:val="005279EF"/>
    <w:rsid w:val="00541A40"/>
    <w:rsid w:val="005425ED"/>
    <w:rsid w:val="0055087B"/>
    <w:rsid w:val="005512A4"/>
    <w:rsid w:val="00564569"/>
    <w:rsid w:val="00570F6A"/>
    <w:rsid w:val="00574510"/>
    <w:rsid w:val="005745EC"/>
    <w:rsid w:val="005849AF"/>
    <w:rsid w:val="005855A8"/>
    <w:rsid w:val="00597112"/>
    <w:rsid w:val="005A2E56"/>
    <w:rsid w:val="005A55DB"/>
    <w:rsid w:val="005A5F4B"/>
    <w:rsid w:val="005B29CC"/>
    <w:rsid w:val="005C5794"/>
    <w:rsid w:val="005C66F4"/>
    <w:rsid w:val="005D1C84"/>
    <w:rsid w:val="005D6F75"/>
    <w:rsid w:val="005F371C"/>
    <w:rsid w:val="00601D5A"/>
    <w:rsid w:val="00603760"/>
    <w:rsid w:val="00603F88"/>
    <w:rsid w:val="00604B62"/>
    <w:rsid w:val="006055CA"/>
    <w:rsid w:val="0061523E"/>
    <w:rsid w:val="00616A9F"/>
    <w:rsid w:val="006214D8"/>
    <w:rsid w:val="006359B2"/>
    <w:rsid w:val="00650A79"/>
    <w:rsid w:val="006542A1"/>
    <w:rsid w:val="00656C89"/>
    <w:rsid w:val="0065786B"/>
    <w:rsid w:val="00657F88"/>
    <w:rsid w:val="00660432"/>
    <w:rsid w:val="00674F07"/>
    <w:rsid w:val="006770E7"/>
    <w:rsid w:val="00695A71"/>
    <w:rsid w:val="006A6AA9"/>
    <w:rsid w:val="006C2B94"/>
    <w:rsid w:val="006C367D"/>
    <w:rsid w:val="006D1C8E"/>
    <w:rsid w:val="006D7CE9"/>
    <w:rsid w:val="006E3F17"/>
    <w:rsid w:val="006E6AD7"/>
    <w:rsid w:val="00701BC8"/>
    <w:rsid w:val="0070301E"/>
    <w:rsid w:val="0071589F"/>
    <w:rsid w:val="00721369"/>
    <w:rsid w:val="007352A4"/>
    <w:rsid w:val="007552A8"/>
    <w:rsid w:val="0075708E"/>
    <w:rsid w:val="00762C9F"/>
    <w:rsid w:val="007930DE"/>
    <w:rsid w:val="00796147"/>
    <w:rsid w:val="007A5A7E"/>
    <w:rsid w:val="007B017B"/>
    <w:rsid w:val="007B3700"/>
    <w:rsid w:val="007C20DE"/>
    <w:rsid w:val="007C2AD0"/>
    <w:rsid w:val="007F1B0B"/>
    <w:rsid w:val="007F578F"/>
    <w:rsid w:val="007F678A"/>
    <w:rsid w:val="008145BF"/>
    <w:rsid w:val="008208AD"/>
    <w:rsid w:val="0082478F"/>
    <w:rsid w:val="00830D15"/>
    <w:rsid w:val="00831E55"/>
    <w:rsid w:val="00854CD5"/>
    <w:rsid w:val="00856792"/>
    <w:rsid w:val="008618F7"/>
    <w:rsid w:val="0087043B"/>
    <w:rsid w:val="00875F68"/>
    <w:rsid w:val="008819CE"/>
    <w:rsid w:val="00893C93"/>
    <w:rsid w:val="008959DC"/>
    <w:rsid w:val="00896FA7"/>
    <w:rsid w:val="008A4281"/>
    <w:rsid w:val="008B737D"/>
    <w:rsid w:val="008E5A09"/>
    <w:rsid w:val="008E7399"/>
    <w:rsid w:val="008F3E64"/>
    <w:rsid w:val="008F69DD"/>
    <w:rsid w:val="0090085B"/>
    <w:rsid w:val="0090190B"/>
    <w:rsid w:val="009053E3"/>
    <w:rsid w:val="00907720"/>
    <w:rsid w:val="00913A7A"/>
    <w:rsid w:val="00930924"/>
    <w:rsid w:val="0093272C"/>
    <w:rsid w:val="009351D4"/>
    <w:rsid w:val="00936EE5"/>
    <w:rsid w:val="00940BE3"/>
    <w:rsid w:val="009664E2"/>
    <w:rsid w:val="00977308"/>
    <w:rsid w:val="00984E18"/>
    <w:rsid w:val="009A3A66"/>
    <w:rsid w:val="009B7D67"/>
    <w:rsid w:val="009C1B80"/>
    <w:rsid w:val="009C68F9"/>
    <w:rsid w:val="009E5732"/>
    <w:rsid w:val="00A015DC"/>
    <w:rsid w:val="00A05F7C"/>
    <w:rsid w:val="00A13378"/>
    <w:rsid w:val="00A15A9E"/>
    <w:rsid w:val="00A2404E"/>
    <w:rsid w:val="00A24527"/>
    <w:rsid w:val="00A36543"/>
    <w:rsid w:val="00A377E1"/>
    <w:rsid w:val="00A443F7"/>
    <w:rsid w:val="00A70BC9"/>
    <w:rsid w:val="00A75516"/>
    <w:rsid w:val="00A862FB"/>
    <w:rsid w:val="00AA3B23"/>
    <w:rsid w:val="00AC3B11"/>
    <w:rsid w:val="00AC4088"/>
    <w:rsid w:val="00AE0D14"/>
    <w:rsid w:val="00AE37FE"/>
    <w:rsid w:val="00AE6D33"/>
    <w:rsid w:val="00AF77EF"/>
    <w:rsid w:val="00B01C51"/>
    <w:rsid w:val="00B03054"/>
    <w:rsid w:val="00B06481"/>
    <w:rsid w:val="00B069DE"/>
    <w:rsid w:val="00B07CD6"/>
    <w:rsid w:val="00B17B54"/>
    <w:rsid w:val="00B213E5"/>
    <w:rsid w:val="00B37599"/>
    <w:rsid w:val="00B40530"/>
    <w:rsid w:val="00B503E8"/>
    <w:rsid w:val="00B56270"/>
    <w:rsid w:val="00B569CE"/>
    <w:rsid w:val="00B56CC0"/>
    <w:rsid w:val="00B71C52"/>
    <w:rsid w:val="00B74E6B"/>
    <w:rsid w:val="00B75FBB"/>
    <w:rsid w:val="00B86D89"/>
    <w:rsid w:val="00B90AF5"/>
    <w:rsid w:val="00B94A66"/>
    <w:rsid w:val="00B960CD"/>
    <w:rsid w:val="00BC2ACF"/>
    <w:rsid w:val="00BC3B7E"/>
    <w:rsid w:val="00BC5C6B"/>
    <w:rsid w:val="00BC6201"/>
    <w:rsid w:val="00BD309D"/>
    <w:rsid w:val="00BE1693"/>
    <w:rsid w:val="00BF4C05"/>
    <w:rsid w:val="00C02F06"/>
    <w:rsid w:val="00C07779"/>
    <w:rsid w:val="00C1459E"/>
    <w:rsid w:val="00C212FC"/>
    <w:rsid w:val="00C216E7"/>
    <w:rsid w:val="00C22844"/>
    <w:rsid w:val="00C27E76"/>
    <w:rsid w:val="00C462F2"/>
    <w:rsid w:val="00C51591"/>
    <w:rsid w:val="00C54A4C"/>
    <w:rsid w:val="00C61125"/>
    <w:rsid w:val="00C728C9"/>
    <w:rsid w:val="00C73ED2"/>
    <w:rsid w:val="00C74B3F"/>
    <w:rsid w:val="00C80B8A"/>
    <w:rsid w:val="00C85648"/>
    <w:rsid w:val="00CA0F07"/>
    <w:rsid w:val="00CA519E"/>
    <w:rsid w:val="00CA65A9"/>
    <w:rsid w:val="00CA7186"/>
    <w:rsid w:val="00CB7F61"/>
    <w:rsid w:val="00CC0FA7"/>
    <w:rsid w:val="00CC4297"/>
    <w:rsid w:val="00CC6B56"/>
    <w:rsid w:val="00CC7F1D"/>
    <w:rsid w:val="00CD4DD3"/>
    <w:rsid w:val="00CE5098"/>
    <w:rsid w:val="00CF121A"/>
    <w:rsid w:val="00D01F92"/>
    <w:rsid w:val="00D0431C"/>
    <w:rsid w:val="00D138A0"/>
    <w:rsid w:val="00D218DD"/>
    <w:rsid w:val="00D350E6"/>
    <w:rsid w:val="00D446FC"/>
    <w:rsid w:val="00D50926"/>
    <w:rsid w:val="00D5125F"/>
    <w:rsid w:val="00D60E52"/>
    <w:rsid w:val="00D647E1"/>
    <w:rsid w:val="00D82A97"/>
    <w:rsid w:val="00D85DA0"/>
    <w:rsid w:val="00D94523"/>
    <w:rsid w:val="00D97165"/>
    <w:rsid w:val="00DA04E5"/>
    <w:rsid w:val="00DA2AB7"/>
    <w:rsid w:val="00DA732D"/>
    <w:rsid w:val="00DB7EAB"/>
    <w:rsid w:val="00DC0C79"/>
    <w:rsid w:val="00DC60A7"/>
    <w:rsid w:val="00DD6C4E"/>
    <w:rsid w:val="00DE5475"/>
    <w:rsid w:val="00E07C60"/>
    <w:rsid w:val="00E2111A"/>
    <w:rsid w:val="00E27BC5"/>
    <w:rsid w:val="00E304A2"/>
    <w:rsid w:val="00E31B8B"/>
    <w:rsid w:val="00E4161B"/>
    <w:rsid w:val="00E44FAE"/>
    <w:rsid w:val="00E55ACE"/>
    <w:rsid w:val="00E652C5"/>
    <w:rsid w:val="00E67871"/>
    <w:rsid w:val="00E71A42"/>
    <w:rsid w:val="00E86823"/>
    <w:rsid w:val="00E916DE"/>
    <w:rsid w:val="00E91FF1"/>
    <w:rsid w:val="00E9368B"/>
    <w:rsid w:val="00EA208B"/>
    <w:rsid w:val="00EA45D8"/>
    <w:rsid w:val="00EB5D6D"/>
    <w:rsid w:val="00EC0666"/>
    <w:rsid w:val="00EC07F1"/>
    <w:rsid w:val="00EC71A3"/>
    <w:rsid w:val="00ED6366"/>
    <w:rsid w:val="00EE046B"/>
    <w:rsid w:val="00EF0CCC"/>
    <w:rsid w:val="00EF63FE"/>
    <w:rsid w:val="00F00144"/>
    <w:rsid w:val="00F04B0D"/>
    <w:rsid w:val="00F14A6F"/>
    <w:rsid w:val="00F23BB6"/>
    <w:rsid w:val="00F3040C"/>
    <w:rsid w:val="00F3091C"/>
    <w:rsid w:val="00F44AB0"/>
    <w:rsid w:val="00F63FF9"/>
    <w:rsid w:val="00F67EC7"/>
    <w:rsid w:val="00F72BAD"/>
    <w:rsid w:val="00F80856"/>
    <w:rsid w:val="00F81F2B"/>
    <w:rsid w:val="00F83CFF"/>
    <w:rsid w:val="00F8662C"/>
    <w:rsid w:val="00FB1B60"/>
    <w:rsid w:val="00FB704C"/>
    <w:rsid w:val="00FC5AAE"/>
    <w:rsid w:val="00FD5A51"/>
    <w:rsid w:val="00FD60DC"/>
    <w:rsid w:val="00FD6D4A"/>
    <w:rsid w:val="00FE29C3"/>
    <w:rsid w:val="00FE3C93"/>
    <w:rsid w:val="00FF353A"/>
    <w:rsid w:val="00FF6D34"/>
    <w:rsid w:val="030FD528"/>
    <w:rsid w:val="032731DE"/>
    <w:rsid w:val="03B4771A"/>
    <w:rsid w:val="0405C916"/>
    <w:rsid w:val="04AB4CAD"/>
    <w:rsid w:val="0D5ECA59"/>
    <w:rsid w:val="12018C63"/>
    <w:rsid w:val="15E4A01D"/>
    <w:rsid w:val="16487986"/>
    <w:rsid w:val="1B426F15"/>
    <w:rsid w:val="1D71415B"/>
    <w:rsid w:val="1F83E92E"/>
    <w:rsid w:val="22446CF0"/>
    <w:rsid w:val="23F11BA9"/>
    <w:rsid w:val="2596EA33"/>
    <w:rsid w:val="25C5DD9D"/>
    <w:rsid w:val="266229CB"/>
    <w:rsid w:val="266B75C2"/>
    <w:rsid w:val="273D25EE"/>
    <w:rsid w:val="2D05C407"/>
    <w:rsid w:val="314797CD"/>
    <w:rsid w:val="350450B2"/>
    <w:rsid w:val="35CBC37B"/>
    <w:rsid w:val="390E3AE2"/>
    <w:rsid w:val="3D824EB5"/>
    <w:rsid w:val="431BEBF7"/>
    <w:rsid w:val="436AE4F0"/>
    <w:rsid w:val="43B76CE5"/>
    <w:rsid w:val="4545141E"/>
    <w:rsid w:val="478089DD"/>
    <w:rsid w:val="492A2FB4"/>
    <w:rsid w:val="52CE0295"/>
    <w:rsid w:val="5912A489"/>
    <w:rsid w:val="5AF9D0E0"/>
    <w:rsid w:val="5B8F9091"/>
    <w:rsid w:val="5DD897EB"/>
    <w:rsid w:val="602922C6"/>
    <w:rsid w:val="627390A3"/>
    <w:rsid w:val="6360AA3D"/>
    <w:rsid w:val="654A0258"/>
    <w:rsid w:val="673044CC"/>
    <w:rsid w:val="68CC152D"/>
    <w:rsid w:val="6A5D6534"/>
    <w:rsid w:val="7191F0AC"/>
    <w:rsid w:val="71E00D2D"/>
    <w:rsid w:val="72A2B77C"/>
    <w:rsid w:val="743B4B5E"/>
    <w:rsid w:val="795DCB4A"/>
    <w:rsid w:val="7B8CF7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5E32A2"/>
  <w15:docId w15:val="{4192DFC7-8A31-4577-955C-A3F39365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5098"/>
    <w:pPr>
      <w:tabs>
        <w:tab w:val="center" w:pos="4680"/>
        <w:tab w:val="right" w:pos="9360"/>
      </w:tabs>
    </w:pPr>
  </w:style>
  <w:style w:type="character" w:customStyle="1" w:styleId="HeaderChar">
    <w:name w:val="Header Char"/>
    <w:basedOn w:val="DefaultParagraphFont"/>
    <w:link w:val="Header"/>
    <w:uiPriority w:val="99"/>
    <w:rsid w:val="00CE50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098"/>
    <w:pPr>
      <w:tabs>
        <w:tab w:val="center" w:pos="4680"/>
        <w:tab w:val="right" w:pos="9360"/>
      </w:tabs>
    </w:pPr>
  </w:style>
  <w:style w:type="character" w:customStyle="1" w:styleId="FooterChar">
    <w:name w:val="Footer Char"/>
    <w:basedOn w:val="DefaultParagraphFont"/>
    <w:link w:val="Footer"/>
    <w:uiPriority w:val="99"/>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unhideWhenUsed/>
    <w:rsid w:val="00F63FF9"/>
  </w:style>
  <w:style w:type="character" w:customStyle="1" w:styleId="CommentTextChar">
    <w:name w:val="Comment Text Char"/>
    <w:basedOn w:val="DefaultParagraphFont"/>
    <w:link w:val="CommentText"/>
    <w:uiPriority w:val="99"/>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366518"/>
    <w:rPr>
      <w:color w:val="808080"/>
    </w:rPr>
  </w:style>
  <w:style w:type="character" w:styleId="Hyperlink">
    <w:name w:val="Hyperlink"/>
    <w:basedOn w:val="DefaultParagraphFont"/>
    <w:uiPriority w:val="99"/>
    <w:unhideWhenUsed/>
    <w:rsid w:val="00C54A4C"/>
    <w:rPr>
      <w:color w:val="0563C1" w:themeColor="hyperlink"/>
      <w:u w:val="single"/>
    </w:rPr>
  </w:style>
  <w:style w:type="character" w:styleId="UnresolvedMention">
    <w:name w:val="Unresolved Mention"/>
    <w:basedOn w:val="DefaultParagraphFont"/>
    <w:uiPriority w:val="99"/>
    <w:semiHidden/>
    <w:unhideWhenUsed/>
    <w:rsid w:val="00C54A4C"/>
    <w:rPr>
      <w:color w:val="605E5C"/>
      <w:shd w:val="clear" w:color="auto" w:fill="E1DFDD"/>
    </w:rPr>
  </w:style>
  <w:style w:type="character" w:styleId="FollowedHyperlink">
    <w:name w:val="FollowedHyperlink"/>
    <w:basedOn w:val="DefaultParagraphFont"/>
    <w:uiPriority w:val="99"/>
    <w:semiHidden/>
    <w:unhideWhenUsed/>
    <w:rsid w:val="00C54A4C"/>
    <w:rPr>
      <w:color w:val="954F72" w:themeColor="followedHyperlink"/>
      <w:u w:val="single"/>
    </w:rPr>
  </w:style>
  <w:style w:type="character" w:styleId="Mention">
    <w:name w:val="Mention"/>
    <w:basedOn w:val="DefaultParagraphFont"/>
    <w:uiPriority w:val="99"/>
    <w:unhideWhenUsed/>
    <w:rsid w:val="006D7C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verable xmlns="8c49fa85-a231-411c-80b2-eb3fb7d9c7be" xsi:nil="true"/>
    <Contract_x0023_ xmlns="8c49fa85-a231-411c-80b2-eb3fb7d9c7be" xsi:nil="true"/>
    <FiscalYearStart xmlns="8c49fa85-a231-411c-80b2-eb3fb7d9c7be" xsi:nil="true"/>
    <PercentBudgetAvailable xmlns="8c49fa85-a231-411c-80b2-eb3fb7d9c7be" xsi:nil="true"/>
    <Status xmlns="8c49fa85-a231-411c-80b2-eb3fb7d9c7be" xsi:nil="true"/>
    <TotalAmount xmlns="8c49fa85-a231-411c-80b2-eb3fb7d9c7be" xsi:nil="true"/>
    <CurrentYearBudget xmlns="8c49fa85-a231-411c-80b2-eb3fb7d9c7be" xsi:nil="true"/>
    <CurrentContractYearBudgetRemaining xmlns="8c49fa85-a231-411c-80b2-eb3fb7d9c7be" xsi:nil="true"/>
    <FiscalYearEnd xmlns="8c49fa85-a231-411c-80b2-eb3fb7d9c7be" xsi:nil="true"/>
    <FY23Action xmlns="8c49fa85-a231-411c-80b2-eb3fb7d9c7be" xsi:nil="true"/>
    <InvoiceSystem xmlns="8c49fa85-a231-411c-80b2-eb3fb7d9c7be" xsi:nil="true"/>
    <ContractType xmlns="8c49fa85-a231-411c-80b2-eb3fb7d9c7be" xsi:nil="true"/>
    <COorSpecialist xmlns="8c49fa85-a231-411c-80b2-eb3fb7d9c7be">
      <UserInfo>
        <DisplayName/>
        <AccountId xsi:nil="true"/>
        <AccountType/>
      </UserInfo>
    </COorSpecialist>
    <COR xmlns="8c49fa85-a231-411c-80b2-eb3fb7d9c7be" xsi:nil="true"/>
    <SMEs xmlns="8c49fa85-a231-411c-80b2-eb3fb7d9c7be" xsi:nil="true"/>
    <Submission_x0020_Status xmlns="8c49fa85-a231-411c-80b2-eb3fb7d9c7be">Submitted to GAM</Submission_x0020_Status>
    <Vendor xmlns="8c49fa85-a231-411c-80b2-eb3fb7d9c7be" xsi:nil="true"/>
    <StatusYear xmlns="8c49fa85-a231-411c-80b2-eb3fb7d9c7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06DB1F0A8D8A43A02700B990911766" ma:contentTypeVersion="35" ma:contentTypeDescription="Create a new document." ma:contentTypeScope="" ma:versionID="739e0aae20efa2ac29836f681c62f9f9">
  <xsd:schema xmlns:xsd="http://www.w3.org/2001/XMLSchema" xmlns:xs="http://www.w3.org/2001/XMLSchema" xmlns:p="http://schemas.microsoft.com/office/2006/metadata/properties" xmlns:ns2="8c49fa85-a231-411c-80b2-eb3fb7d9c7be" xmlns:ns3="78791b86-df28-43f8-919e-45c97528d585" targetNamespace="http://schemas.microsoft.com/office/2006/metadata/properties" ma:root="true" ma:fieldsID="6d521bbfb9024e08e6c23fe6b66bf682" ns2:_="" ns3:_="">
    <xsd:import namespace="8c49fa85-a231-411c-80b2-eb3fb7d9c7be"/>
    <xsd:import namespace="78791b86-df28-43f8-919e-45c97528d5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R" minOccurs="0"/>
                <xsd:element ref="ns2:Vendor" minOccurs="0"/>
                <xsd:element ref="ns2:SMEs" minOccurs="0"/>
                <xsd:element ref="ns2:Contract_x0023_" minOccurs="0"/>
                <xsd:element ref="ns2:InvoiceSystem" minOccurs="0"/>
                <xsd:element ref="ns2:PercentBudgetAvailable" minOccurs="0"/>
                <xsd:element ref="ns2:FiscalYearStart" minOccurs="0"/>
                <xsd:element ref="ns2:FiscalYearEnd" minOccurs="0"/>
                <xsd:element ref="ns2:ContractType" minOccurs="0"/>
                <xsd:element ref="ns2:StatusYear" minOccurs="0"/>
                <xsd:element ref="ns2:COorSpecialist" minOccurs="0"/>
                <xsd:element ref="ns2:TotalAmount" minOccurs="0"/>
                <xsd:element ref="ns2:FY23Action" minOccurs="0"/>
                <xsd:element ref="ns2:Submission_x0020_Status" minOccurs="0"/>
                <xsd:element ref="ns2:Status" minOccurs="0"/>
                <xsd:element ref="ns2:Severable" minOccurs="0"/>
                <xsd:element ref="ns2:CurrentYearBudget" minOccurs="0"/>
                <xsd:element ref="ns2:CurrentContractYearBudgetRemain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9fa85-a231-411c-80b2-eb3fb7d9c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OR" ma:index="19" nillable="true" ma:displayName="COR" ma:description="COR Assigned" ma:format="Dropdown" ma:internalName="COR">
      <xsd:simpleType>
        <xsd:restriction base="dms:Text">
          <xsd:maxLength value="255"/>
        </xsd:restriction>
      </xsd:simpleType>
    </xsd:element>
    <xsd:element name="Vendor" ma:index="20" nillable="true" ma:displayName="Vendor" ma:description="Contractor Name" ma:format="Dropdown" ma:internalName="Vendor">
      <xsd:simpleType>
        <xsd:restriction base="dms:Text">
          <xsd:maxLength value="255"/>
        </xsd:restriction>
      </xsd:simpleType>
    </xsd:element>
    <xsd:element name="SMEs" ma:index="21" nillable="true" ma:displayName="Technical Lead" ma:description="SME or SMEs" ma:format="Dropdown" ma:internalName="SMEs">
      <xsd:simpleType>
        <xsd:restriction base="dms:Text">
          <xsd:maxLength value="255"/>
        </xsd:restriction>
      </xsd:simpleType>
    </xsd:element>
    <xsd:element name="Contract_x0023_" ma:index="22" nillable="true" ma:displayName="Contract #" ma:description="contract number or Purchase Order" ma:format="Dropdown" ma:internalName="Contract_x0023_">
      <xsd:simpleType>
        <xsd:restriction base="dms:Text">
          <xsd:maxLength value="255"/>
        </xsd:restriction>
      </xsd:simpleType>
    </xsd:element>
    <xsd:element name="InvoiceSystem" ma:index="23" nillable="true" ma:displayName="Invoice System" ma:format="Dropdown" ma:internalName="InvoiceSystem">
      <xsd:simpleType>
        <xsd:restriction base="dms:Text">
          <xsd:maxLength value="255"/>
        </xsd:restriction>
      </xsd:simpleType>
    </xsd:element>
    <xsd:element name="PercentBudgetAvailable" ma:index="24" nillable="true" ma:displayName="Percent Remaining Current Contract Year" ma:description="The percentage of the current contract budget that is unspent." ma:format="Dropdown" ma:internalName="PercentBudgetAvailable" ma:percentage="TRUE">
      <xsd:simpleType>
        <xsd:restriction base="dms:Number"/>
      </xsd:simpleType>
    </xsd:element>
    <xsd:element name="FiscalYearStart" ma:index="25" nillable="true" ma:displayName="Start" ma:description="The fiscal year when the contract was started." ma:format="DateOnly" ma:internalName="FiscalYearStart">
      <xsd:simpleType>
        <xsd:restriction base="dms:DateTime"/>
      </xsd:simpleType>
    </xsd:element>
    <xsd:element name="FiscalYearEnd" ma:index="26" nillable="true" ma:displayName="End" ma:description="The fiscal year when the contract ends" ma:format="DateOnly" ma:internalName="FiscalYearEnd">
      <xsd:simpleType>
        <xsd:restriction base="dms:DateTime"/>
      </xsd:simpleType>
    </xsd:element>
    <xsd:element name="ContractType" ma:index="27" nillable="true" ma:displayName="Contract Type" ma:description="Firmed Fixed Price or Time and Materials" ma:format="Dropdown" ma:internalName="ContractType">
      <xsd:simpleType>
        <xsd:restriction base="dms:Text">
          <xsd:maxLength value="255"/>
        </xsd:restriction>
      </xsd:simpleType>
    </xsd:element>
    <xsd:element name="StatusYear" ma:index="28" nillable="true" ma:displayName="Contract Year" ma:description="Base or No. Option Year" ma:format="Dropdown" ma:internalName="StatusYear">
      <xsd:simpleType>
        <xsd:restriction base="dms:Text">
          <xsd:maxLength value="255"/>
        </xsd:restriction>
      </xsd:simpleType>
    </xsd:element>
    <xsd:element name="COorSpecialist" ma:index="29" nillable="true" ma:displayName="CO or Specialist" ma:format="Dropdown" ma:list="UserInfo" ma:SharePointGroup="0" ma:internalName="COorSpeciali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talAmount" ma:index="30" nillable="true" ma:displayName="Total Obligated Amount of Contract" ma:description="Total Amount Budgeted for the entire life of the contract" ma:format="$123,456.00 (United States)" ma:LCID="1033" ma:internalName="TotalAmount">
      <xsd:simpleType>
        <xsd:restriction base="dms:Currency"/>
      </xsd:simpleType>
    </xsd:element>
    <xsd:element name="FY23Action" ma:index="31" nillable="true" ma:displayName="FY24 Action" ma:format="Dropdown" ma:internalName="FY23Action">
      <xsd:simpleType>
        <xsd:restriction base="dms:Choice">
          <xsd:enumeration value="Closeout"/>
          <xsd:enumeration value="Contract Option"/>
          <xsd:enumeration value="Change Modification"/>
          <xsd:enumeration value="New Competitive Contract"/>
          <xsd:enumeration value="Change Modification and Contract Option"/>
          <xsd:enumeration value="New Challenge"/>
        </xsd:restriction>
      </xsd:simpleType>
    </xsd:element>
    <xsd:element name="Submission_x0020_Status" ma:index="32" nillable="true" ma:displayName="Submission Status" ma:default="Submitted to GAM" ma:internalName="Submission_x0020_Status">
      <xsd:simpleType>
        <xsd:restriction base="dms:Unknown">
          <xsd:enumeration value="Submitted to GAM"/>
          <xsd:enumeration value="GAM Approved"/>
          <xsd:enumeration value="UFMS Submission"/>
          <xsd:enumeration value="Moved to PSC"/>
          <xsd:enumeration value="Executed"/>
        </xsd:restriction>
      </xsd:simpleType>
    </xsd:element>
    <xsd:element name="Status" ma:index="33" nillable="true" ma:displayName="Status" ma:description="Where is the requisition package?" ma:format="Dropdown" ma:internalName="Status">
      <xsd:simpleType>
        <xsd:restriction base="dms:Choice">
          <xsd:enumeration value="Submitted to GAM"/>
          <xsd:enumeration value="Approved by GAM"/>
          <xsd:enumeration value="Submitted in UFMS"/>
          <xsd:enumeration value="Moved to PSC"/>
          <xsd:enumeration value="Order # provided"/>
          <xsd:enumeration value="Completed"/>
        </xsd:restriction>
      </xsd:simpleType>
    </xsd:element>
    <xsd:element name="Severable" ma:index="34" nillable="true" ma:displayName="Severable" ma:description="Is the contract severable?" ma:format="Dropdown" ma:internalName="Severable">
      <xsd:simpleType>
        <xsd:restriction base="dms:Text">
          <xsd:maxLength value="255"/>
        </xsd:restriction>
      </xsd:simpleType>
    </xsd:element>
    <xsd:element name="CurrentYearBudget" ma:index="35" nillable="true" ma:displayName="Current Contract Year Budget" ma:format="$123,456.00 (United States)" ma:LCID="1033" ma:internalName="CurrentYearBudget">
      <xsd:simpleType>
        <xsd:restriction base="dms:Currency"/>
      </xsd:simpleType>
    </xsd:element>
    <xsd:element name="CurrentContractYearBudgetRemaining" ma:index="36" nillable="true" ma:displayName="Current Contract Year Budget Remaining" ma:format="$123,456.00 (United States)" ma:LCID="1033" ma:internalName="CurrentContractYearBudgetRemaining">
      <xsd:simpleType>
        <xsd:restriction base="dms:Currency"/>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91b86-df28-43f8-919e-45c97528d5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50006-C243-4D86-9A6F-D56CA1BBDE5F}">
  <ds:schemaRefs>
    <ds:schemaRef ds:uri="http://schemas.openxmlformats.org/officeDocument/2006/bibliography"/>
  </ds:schemaRefs>
</ds:datastoreItem>
</file>

<file path=customXml/itemProps2.xml><?xml version="1.0" encoding="utf-8"?>
<ds:datastoreItem xmlns:ds="http://schemas.openxmlformats.org/officeDocument/2006/customXml" ds:itemID="{735DCA0E-0F0B-43B7-BF6E-1C26C40CB526}">
  <ds:schemaRefs>
    <ds:schemaRef ds:uri="http://schemas.microsoft.com/sharepoint/v3/contenttype/forms"/>
  </ds:schemaRefs>
</ds:datastoreItem>
</file>

<file path=customXml/itemProps3.xml><?xml version="1.0" encoding="utf-8"?>
<ds:datastoreItem xmlns:ds="http://schemas.openxmlformats.org/officeDocument/2006/customXml" ds:itemID="{72E22161-CAF2-430F-A896-B13EE914C4B4}">
  <ds:schemaRefs>
    <ds:schemaRef ds:uri="http://schemas.microsoft.com/office/2006/metadata/properties"/>
    <ds:schemaRef ds:uri="http://schemas.microsoft.com/office/infopath/2007/PartnerControls"/>
    <ds:schemaRef ds:uri="8c49fa85-a231-411c-80b2-eb3fb7d9c7be"/>
  </ds:schemaRefs>
</ds:datastoreItem>
</file>

<file path=customXml/itemProps4.xml><?xml version="1.0" encoding="utf-8"?>
<ds:datastoreItem xmlns:ds="http://schemas.openxmlformats.org/officeDocument/2006/customXml" ds:itemID="{561D37FA-4BF5-4D6F-AFD9-62C5E69DD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9fa85-a231-411c-80b2-eb3fb7d9c7be"/>
    <ds:schemaRef ds:uri="78791b86-df28-43f8-919e-45c97528d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Norc @ the University of Chicago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Miesfeld</dc:creator>
  <cp:lastModifiedBy>Wasala, Samantha (OS/OASH)</cp:lastModifiedBy>
  <cp:revision>15</cp:revision>
  <cp:lastPrinted>2018-10-15T20:14:00Z</cp:lastPrinted>
  <dcterms:created xsi:type="dcterms:W3CDTF">2024-09-09T22:41:00Z</dcterms:created>
  <dcterms:modified xsi:type="dcterms:W3CDTF">2024-12-09T18:54:19Z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0x0101008E06DB1F0A8D8A43A02700B990911766</vt:lpwstr>
  </property>
</Properties>
</file>