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Title"/>
      </w:pPr>
      <w:bookmarkStart w:id="0" w:name="Supporting Statement for Agent/Broker Co"/>
      <w:bookmarkEnd w:id="0"/>
      <w:bookmarkStart w:id="1" w:name="A. Background"/>
      <w:bookmarkEnd w:id="1"/>
      <w:bookmarkStart w:id="2" w:name="B. Justification"/>
      <w:bookmarkEnd w:id="2"/>
      <w:bookmarkStart w:id="3" w:name="1. Need and Legal Basis"/>
      <w:bookmarkEnd w:id="3"/>
      <w:r>
        <w:t>Supporting</w:t>
      </w:r>
      <w:r>
        <w:rPr>
          <w:spacing w:val="-13"/>
        </w:rPr>
        <w:t xml:space="preserve"> </w:t>
      </w:r>
      <w:r>
        <w:t>Statement</w:t>
      </w:r>
      <w:r>
        <w:rPr>
          <w:spacing w:val="-14"/>
        </w:rPr>
        <w:t xml:space="preserve"> </w:t>
      </w:r>
      <w:r>
        <w:t>for</w:t>
      </w:r>
      <w:r>
        <w:rPr>
          <w:spacing w:val="-14"/>
        </w:rPr>
        <w:t xml:space="preserve"> </w:t>
      </w:r>
      <w:r>
        <w:t>Agent/Broker</w:t>
      </w:r>
      <w:r>
        <w:rPr>
          <w:spacing w:val="-13"/>
        </w:rPr>
        <w:t xml:space="preserve"> </w:t>
      </w:r>
      <w:r>
        <w:t>Consent</w:t>
      </w:r>
      <w:r>
        <w:rPr>
          <w:spacing w:val="-14"/>
        </w:rPr>
        <w:t xml:space="preserve"> </w:t>
      </w:r>
      <w:r>
        <w:t>Information</w:t>
      </w:r>
      <w:r>
        <w:rPr>
          <w:spacing w:val="-13"/>
        </w:rPr>
        <w:t xml:space="preserve"> </w:t>
      </w:r>
      <w:r>
        <w:t>Collection (CMS-10840/OMB control number: 0938-1438)</w:t>
      </w:r>
    </w:p>
    <w:p>
      <w:pPr>
        <w:pStyle w:val="ListParagraph"/>
        <w:numPr>
          <w:ilvl w:val="0"/>
          <w:numId w:val="1"/>
        </w:numPr>
        <w:tabs>
          <w:tab w:val="left" w:pos="670"/>
        </w:tabs>
        <w:spacing w:before="287" w:after="0" w:line="240" w:lineRule="auto"/>
        <w:ind w:left="670" w:right="0" w:hanging="550"/>
        <w:jc w:val="left"/>
        <w:rPr>
          <w:b/>
          <w:sz w:val="24"/>
          <w:u w:val="none"/>
        </w:rPr>
      </w:pPr>
      <w:r>
        <w:rPr>
          <w:b/>
          <w:spacing w:val="-2"/>
          <w:sz w:val="24"/>
          <w:u w:val="thick"/>
        </w:rPr>
        <w:t>Background</w:t>
      </w:r>
    </w:p>
    <w:p>
      <w:pPr>
        <w:pStyle w:val="BodyText"/>
        <w:rPr>
          <w:b/>
        </w:rPr>
      </w:pPr>
    </w:p>
    <w:p>
      <w:pPr>
        <w:pStyle w:val="BodyText"/>
        <w:ind w:left="120" w:right="218"/>
      </w:pPr>
      <w:r>
        <w:t>The Patient Protection and Affordable Care Act, Public Law 111-148, enacted on March 23, 2010,</w:t>
      </w:r>
      <w:r>
        <w:rPr>
          <w:spacing w:val="-4"/>
        </w:rPr>
        <w:t xml:space="preserve"> </w:t>
      </w:r>
      <w:r>
        <w:t>and</w:t>
      </w:r>
      <w:r>
        <w:rPr>
          <w:spacing w:val="-4"/>
        </w:rPr>
        <w:t xml:space="preserve"> </w:t>
      </w:r>
      <w:r>
        <w:t>the</w:t>
      </w:r>
      <w:r>
        <w:rPr>
          <w:spacing w:val="-6"/>
        </w:rPr>
        <w:t xml:space="preserve"> </w:t>
      </w:r>
      <w:r>
        <w:t>Health</w:t>
      </w:r>
      <w:r>
        <w:rPr>
          <w:spacing w:val="-4"/>
        </w:rPr>
        <w:t xml:space="preserve"> </w:t>
      </w:r>
      <w:r>
        <w:t>Care</w:t>
      </w:r>
      <w:r>
        <w:rPr>
          <w:spacing w:val="-6"/>
        </w:rPr>
        <w:t xml:space="preserve"> </w:t>
      </w:r>
      <w:r>
        <w:t>and</w:t>
      </w:r>
      <w:r>
        <w:rPr>
          <w:spacing w:val="-4"/>
        </w:rPr>
        <w:t xml:space="preserve"> </w:t>
      </w:r>
      <w:r>
        <w:t>Education</w:t>
      </w:r>
      <w:r>
        <w:rPr>
          <w:spacing w:val="-7"/>
        </w:rPr>
        <w:t xml:space="preserve"> </w:t>
      </w:r>
      <w:r>
        <w:t>Reconciliation</w:t>
      </w:r>
      <w:r>
        <w:rPr>
          <w:spacing w:val="-4"/>
        </w:rPr>
        <w:t xml:space="preserve"> </w:t>
      </w:r>
      <w:r>
        <w:t>Act,</w:t>
      </w:r>
      <w:r>
        <w:rPr>
          <w:spacing w:val="-6"/>
        </w:rPr>
        <w:t xml:space="preserve"> </w:t>
      </w:r>
      <w:r>
        <w:t>Public</w:t>
      </w:r>
      <w:r>
        <w:rPr>
          <w:spacing w:val="-6"/>
        </w:rPr>
        <w:t xml:space="preserve"> </w:t>
      </w:r>
      <w:r>
        <w:t>Law</w:t>
      </w:r>
      <w:r>
        <w:rPr>
          <w:spacing w:val="-7"/>
        </w:rPr>
        <w:t xml:space="preserve"> </w:t>
      </w:r>
      <w:r>
        <w:t>111-152,</w:t>
      </w:r>
      <w:r>
        <w:rPr>
          <w:spacing w:val="-7"/>
        </w:rPr>
        <w:t xml:space="preserve"> </w:t>
      </w:r>
      <w:r>
        <w:t>enacted</w:t>
      </w:r>
      <w:r>
        <w:rPr>
          <w:spacing w:val="-4"/>
        </w:rPr>
        <w:t xml:space="preserve"> </w:t>
      </w:r>
      <w:r>
        <w:t>on March</w:t>
      </w:r>
      <w:r>
        <w:rPr>
          <w:spacing w:val="-9"/>
        </w:rPr>
        <w:t xml:space="preserve"> </w:t>
      </w:r>
      <w:r>
        <w:t>30,</w:t>
      </w:r>
      <w:r>
        <w:rPr>
          <w:spacing w:val="-8"/>
        </w:rPr>
        <w:t xml:space="preserve"> </w:t>
      </w:r>
      <w:r>
        <w:t>2010</w:t>
      </w:r>
      <w:r>
        <w:rPr>
          <w:spacing w:val="-8"/>
        </w:rPr>
        <w:t xml:space="preserve"> </w:t>
      </w:r>
      <w:r>
        <w:t>(collectively,</w:t>
      </w:r>
      <w:r>
        <w:rPr>
          <w:spacing w:val="-8"/>
        </w:rPr>
        <w:t xml:space="preserve"> </w:t>
      </w:r>
      <w:r>
        <w:t>“Affordable</w:t>
      </w:r>
      <w:r>
        <w:rPr>
          <w:spacing w:val="-12"/>
        </w:rPr>
        <w:t xml:space="preserve"> </w:t>
      </w:r>
      <w:r>
        <w:t>Care</w:t>
      </w:r>
      <w:r>
        <w:rPr>
          <w:spacing w:val="-8"/>
        </w:rPr>
        <w:t xml:space="preserve"> </w:t>
      </w:r>
      <w:r>
        <w:t>Act”),</w:t>
      </w:r>
      <w:r>
        <w:rPr>
          <w:spacing w:val="-13"/>
        </w:rPr>
        <w:t xml:space="preserve"> </w:t>
      </w:r>
      <w:r>
        <w:t>expanded</w:t>
      </w:r>
      <w:r>
        <w:rPr>
          <w:spacing w:val="-13"/>
        </w:rPr>
        <w:t xml:space="preserve"> </w:t>
      </w:r>
      <w:r>
        <w:t>access</w:t>
      </w:r>
      <w:r>
        <w:rPr>
          <w:spacing w:val="-10"/>
        </w:rPr>
        <w:t xml:space="preserve"> </w:t>
      </w:r>
      <w:r>
        <w:t>to</w:t>
      </w:r>
      <w:r>
        <w:rPr>
          <w:spacing w:val="-8"/>
        </w:rPr>
        <w:t xml:space="preserve"> </w:t>
      </w:r>
      <w:r>
        <w:t>health</w:t>
      </w:r>
      <w:r>
        <w:rPr>
          <w:spacing w:val="-8"/>
        </w:rPr>
        <w:t xml:space="preserve"> </w:t>
      </w:r>
      <w:r>
        <w:t>insurance</w:t>
      </w:r>
      <w:r>
        <w:rPr>
          <w:spacing w:val="-8"/>
        </w:rPr>
        <w:t xml:space="preserve"> </w:t>
      </w:r>
      <w:r>
        <w:t>for individuals and employees of small businesses through the establishment of new Affordable Insurance Exchanges (Exchanges), also called Marketplaces. The Exchanges, which became operational on January 1, 2014, enhance competition in the health insurance market, expand access</w:t>
      </w:r>
      <w:r>
        <w:rPr>
          <w:spacing w:val="-8"/>
        </w:rPr>
        <w:t xml:space="preserve"> </w:t>
      </w:r>
      <w:r>
        <w:t>to</w:t>
      </w:r>
      <w:r>
        <w:rPr>
          <w:spacing w:val="-9"/>
        </w:rPr>
        <w:t xml:space="preserve"> </w:t>
      </w:r>
      <w:r>
        <w:t>affordable</w:t>
      </w:r>
      <w:r>
        <w:rPr>
          <w:spacing w:val="-4"/>
        </w:rPr>
        <w:t xml:space="preserve"> </w:t>
      </w:r>
      <w:r>
        <w:t>health</w:t>
      </w:r>
      <w:r>
        <w:rPr>
          <w:spacing w:val="-6"/>
        </w:rPr>
        <w:t xml:space="preserve"> </w:t>
      </w:r>
      <w:r>
        <w:t>insurance</w:t>
      </w:r>
      <w:r>
        <w:rPr>
          <w:spacing w:val="-6"/>
        </w:rPr>
        <w:t xml:space="preserve"> </w:t>
      </w:r>
      <w:r>
        <w:t>for</w:t>
      </w:r>
      <w:r>
        <w:rPr>
          <w:spacing w:val="-10"/>
        </w:rPr>
        <w:t xml:space="preserve"> </w:t>
      </w:r>
      <w:r>
        <w:t>millions</w:t>
      </w:r>
      <w:r>
        <w:rPr>
          <w:spacing w:val="-8"/>
        </w:rPr>
        <w:t xml:space="preserve"> </w:t>
      </w:r>
      <w:r>
        <w:t>of</w:t>
      </w:r>
      <w:r>
        <w:rPr>
          <w:spacing w:val="-10"/>
        </w:rPr>
        <w:t xml:space="preserve"> </w:t>
      </w:r>
      <w:r>
        <w:t>Americans,</w:t>
      </w:r>
      <w:r>
        <w:rPr>
          <w:spacing w:val="-6"/>
        </w:rPr>
        <w:t xml:space="preserve"> </w:t>
      </w:r>
      <w:r>
        <w:t>and</w:t>
      </w:r>
      <w:r>
        <w:rPr>
          <w:spacing w:val="-6"/>
        </w:rPr>
        <w:t xml:space="preserve"> </w:t>
      </w:r>
      <w:r>
        <w:t>provide</w:t>
      </w:r>
      <w:r>
        <w:rPr>
          <w:spacing w:val="-8"/>
        </w:rPr>
        <w:t xml:space="preserve"> </w:t>
      </w:r>
      <w:r>
        <w:t>consumers</w:t>
      </w:r>
      <w:r>
        <w:rPr>
          <w:spacing w:val="-7"/>
        </w:rPr>
        <w:t xml:space="preserve"> </w:t>
      </w:r>
      <w:r>
        <w:t>with</w:t>
      </w:r>
      <w:r>
        <w:rPr>
          <w:spacing w:val="-11"/>
        </w:rPr>
        <w:t xml:space="preserve"> </w:t>
      </w:r>
      <w:r>
        <w:t>a place to easily compare and shop for health insurance coverage.</w:t>
      </w:r>
    </w:p>
    <w:p>
      <w:pPr>
        <w:pStyle w:val="BodyText"/>
      </w:pPr>
    </w:p>
    <w:p>
      <w:pPr>
        <w:pStyle w:val="BodyText"/>
        <w:spacing w:before="1"/>
        <w:ind w:left="119" w:right="218"/>
      </w:pPr>
      <w:r>
        <w:t>Section 1312(e) of the Affordable Care Act directs the Secretary of the Department of Health and Human Services (HHS) to establish procedures under which a state may permit agents and brokers</w:t>
      </w:r>
      <w:r>
        <w:rPr>
          <w:spacing w:val="-3"/>
        </w:rPr>
        <w:t xml:space="preserve"> </w:t>
      </w:r>
      <w:r>
        <w:t>to</w:t>
      </w:r>
      <w:r>
        <w:rPr>
          <w:spacing w:val="-2"/>
        </w:rPr>
        <w:t xml:space="preserve"> </w:t>
      </w:r>
      <w:r>
        <w:t>enroll</w:t>
      </w:r>
      <w:r>
        <w:rPr>
          <w:spacing w:val="-2"/>
        </w:rPr>
        <w:t xml:space="preserve"> </w:t>
      </w:r>
      <w:r>
        <w:t>qualified</w:t>
      </w:r>
      <w:r>
        <w:rPr>
          <w:spacing w:val="-5"/>
        </w:rPr>
        <w:t xml:space="preserve"> </w:t>
      </w:r>
      <w:r>
        <w:t>individuals</w:t>
      </w:r>
      <w:r>
        <w:rPr>
          <w:spacing w:val="-3"/>
        </w:rPr>
        <w:t xml:space="preserve"> </w:t>
      </w:r>
      <w:r>
        <w:t>and</w:t>
      </w:r>
      <w:r>
        <w:rPr>
          <w:spacing w:val="-6"/>
        </w:rPr>
        <w:t xml:space="preserve"> </w:t>
      </w:r>
      <w:r>
        <w:t>employers</w:t>
      </w:r>
      <w:r>
        <w:rPr>
          <w:spacing w:val="-2"/>
        </w:rPr>
        <w:t xml:space="preserve"> </w:t>
      </w:r>
      <w:r>
        <w:t>into</w:t>
      </w:r>
      <w:r>
        <w:rPr>
          <w:spacing w:val="-2"/>
        </w:rPr>
        <w:t xml:space="preserve"> </w:t>
      </w:r>
      <w:r>
        <w:t>qualified</w:t>
      </w:r>
      <w:r>
        <w:rPr>
          <w:spacing w:val="-2"/>
        </w:rPr>
        <w:t xml:space="preserve"> </w:t>
      </w:r>
      <w:r>
        <w:t>health</w:t>
      </w:r>
      <w:r>
        <w:rPr>
          <w:spacing w:val="-2"/>
        </w:rPr>
        <w:t xml:space="preserve"> </w:t>
      </w:r>
      <w:r>
        <w:t>plans</w:t>
      </w:r>
      <w:r>
        <w:rPr>
          <w:spacing w:val="-2"/>
        </w:rPr>
        <w:t xml:space="preserve"> </w:t>
      </w:r>
      <w:r>
        <w:t>(QHPs)</w:t>
      </w:r>
      <w:r>
        <w:rPr>
          <w:spacing w:val="-2"/>
        </w:rPr>
        <w:t xml:space="preserve"> </w:t>
      </w:r>
      <w:r>
        <w:t>offered through</w:t>
      </w:r>
      <w:r>
        <w:rPr>
          <w:spacing w:val="-2"/>
        </w:rPr>
        <w:t xml:space="preserve"> </w:t>
      </w:r>
      <w:r>
        <w:t>an</w:t>
      </w:r>
      <w:r>
        <w:rPr>
          <w:spacing w:val="-4"/>
        </w:rPr>
        <w:t xml:space="preserve"> </w:t>
      </w:r>
      <w:r>
        <w:t>Exchange</w:t>
      </w:r>
      <w:r>
        <w:rPr>
          <w:spacing w:val="-6"/>
        </w:rPr>
        <w:t xml:space="preserve"> </w:t>
      </w:r>
      <w:r>
        <w:t>and</w:t>
      </w:r>
      <w:r>
        <w:rPr>
          <w:spacing w:val="-2"/>
        </w:rPr>
        <w:t xml:space="preserve"> </w:t>
      </w:r>
      <w:r>
        <w:t>to</w:t>
      </w:r>
      <w:r>
        <w:rPr>
          <w:spacing w:val="-2"/>
        </w:rPr>
        <w:t xml:space="preserve"> </w:t>
      </w:r>
      <w:r>
        <w:t>enable</w:t>
      </w:r>
      <w:r>
        <w:rPr>
          <w:spacing w:val="-7"/>
        </w:rPr>
        <w:t xml:space="preserve"> </w:t>
      </w:r>
      <w:r>
        <w:t>these</w:t>
      </w:r>
      <w:r>
        <w:rPr>
          <w:spacing w:val="-6"/>
        </w:rPr>
        <w:t xml:space="preserve"> </w:t>
      </w:r>
      <w:r>
        <w:t>agents</w:t>
      </w:r>
      <w:r>
        <w:rPr>
          <w:spacing w:val="-6"/>
        </w:rPr>
        <w:t xml:space="preserve"> </w:t>
      </w:r>
      <w:r>
        <w:t>and</w:t>
      </w:r>
      <w:r>
        <w:rPr>
          <w:spacing w:val="-2"/>
        </w:rPr>
        <w:t xml:space="preserve"> </w:t>
      </w:r>
      <w:r>
        <w:t>brokers</w:t>
      </w:r>
      <w:r>
        <w:rPr>
          <w:spacing w:val="-6"/>
        </w:rPr>
        <w:t xml:space="preserve"> </w:t>
      </w:r>
      <w:r>
        <w:t>to</w:t>
      </w:r>
      <w:r>
        <w:rPr>
          <w:spacing w:val="-6"/>
        </w:rPr>
        <w:t xml:space="preserve"> </w:t>
      </w:r>
      <w:r>
        <w:t>assist</w:t>
      </w:r>
      <w:r>
        <w:rPr>
          <w:spacing w:val="-3"/>
        </w:rPr>
        <w:t xml:space="preserve"> </w:t>
      </w:r>
      <w:r>
        <w:t>individuals</w:t>
      </w:r>
      <w:r>
        <w:rPr>
          <w:spacing w:val="-6"/>
        </w:rPr>
        <w:t xml:space="preserve"> </w:t>
      </w:r>
      <w:r>
        <w:t>in</w:t>
      </w:r>
      <w:r>
        <w:rPr>
          <w:spacing w:val="-7"/>
        </w:rPr>
        <w:t xml:space="preserve"> </w:t>
      </w:r>
      <w:r>
        <w:t>applying</w:t>
      </w:r>
      <w:r>
        <w:rPr>
          <w:spacing w:val="-2"/>
        </w:rPr>
        <w:t xml:space="preserve"> </w:t>
      </w:r>
      <w:r>
        <w:t>for advance payments of the premium tax credit and cost-sharing reductions.</w:t>
      </w:r>
    </w:p>
    <w:p>
      <w:pPr>
        <w:pStyle w:val="BodyText"/>
        <w:spacing w:before="276"/>
        <w:ind w:left="120" w:right="215"/>
      </w:pPr>
      <w:r>
        <w:t>Authority for collection of this information comes from 45 C.F.R. §155.220(c)(5), which states that “HHS or its designee may periodically monitor and audit an agent, broker, or web-broker under this subpart to assess its compliance with the applicable requirements of this section.”</w:t>
      </w:r>
      <w:r>
        <w:rPr>
          <w:spacing w:val="40"/>
        </w:rPr>
        <w:t xml:space="preserve"> </w:t>
      </w:r>
      <w:r>
        <w:t>This information collection specifically details</w:t>
      </w:r>
      <w:r>
        <w:rPr>
          <w:spacing w:val="-1"/>
        </w:rPr>
        <w:t xml:space="preserve"> </w:t>
      </w:r>
      <w:r>
        <w:t>what information will be required</w:t>
      </w:r>
      <w:r>
        <w:rPr>
          <w:spacing w:val="-2"/>
        </w:rPr>
        <w:t xml:space="preserve"> </w:t>
      </w:r>
      <w:r>
        <w:t>to be collected and</w:t>
      </w:r>
      <w:r>
        <w:rPr>
          <w:spacing w:val="-5"/>
        </w:rPr>
        <w:t xml:space="preserve"> </w:t>
      </w:r>
      <w:r>
        <w:t>maintained</w:t>
      </w:r>
      <w:r>
        <w:rPr>
          <w:spacing w:val="-5"/>
        </w:rPr>
        <w:t xml:space="preserve"> </w:t>
      </w:r>
      <w:r>
        <w:t>by</w:t>
      </w:r>
      <w:r>
        <w:rPr>
          <w:spacing w:val="-10"/>
        </w:rPr>
        <w:t xml:space="preserve"> </w:t>
      </w:r>
      <w:r>
        <w:t>agents,</w:t>
      </w:r>
      <w:r>
        <w:rPr>
          <w:spacing w:val="-5"/>
        </w:rPr>
        <w:t xml:space="preserve"> </w:t>
      </w:r>
      <w:r>
        <w:t>brokers,</w:t>
      </w:r>
      <w:r>
        <w:rPr>
          <w:spacing w:val="-5"/>
        </w:rPr>
        <w:t xml:space="preserve"> </w:t>
      </w:r>
      <w:r>
        <w:t>and</w:t>
      </w:r>
      <w:r>
        <w:rPr>
          <w:spacing w:val="-5"/>
        </w:rPr>
        <w:t xml:space="preserve"> </w:t>
      </w:r>
      <w:r>
        <w:t>web-brokers</w:t>
      </w:r>
      <w:r>
        <w:rPr>
          <w:spacing w:val="-6"/>
        </w:rPr>
        <w:t xml:space="preserve"> </w:t>
      </w:r>
      <w:r>
        <w:t>were</w:t>
      </w:r>
      <w:r>
        <w:rPr>
          <w:spacing w:val="-4"/>
        </w:rPr>
        <w:t xml:space="preserve"> </w:t>
      </w:r>
      <w:r>
        <w:t>they</w:t>
      </w:r>
      <w:r>
        <w:rPr>
          <w:spacing w:val="-4"/>
        </w:rPr>
        <w:t xml:space="preserve"> </w:t>
      </w:r>
      <w:r>
        <w:t>to</w:t>
      </w:r>
      <w:r>
        <w:rPr>
          <w:spacing w:val="-11"/>
        </w:rPr>
        <w:t xml:space="preserve"> </w:t>
      </w:r>
      <w:r>
        <w:t>receive</w:t>
      </w:r>
      <w:r>
        <w:rPr>
          <w:spacing w:val="-8"/>
        </w:rPr>
        <w:t xml:space="preserve"> </w:t>
      </w:r>
      <w:r>
        <w:t>a</w:t>
      </w:r>
      <w:r>
        <w:rPr>
          <w:spacing w:val="-4"/>
        </w:rPr>
        <w:t xml:space="preserve"> </w:t>
      </w:r>
      <w:r>
        <w:t>request</w:t>
      </w:r>
      <w:r>
        <w:rPr>
          <w:spacing w:val="-4"/>
        </w:rPr>
        <w:t xml:space="preserve"> </w:t>
      </w:r>
      <w:r>
        <w:t>from</w:t>
      </w:r>
      <w:r>
        <w:rPr>
          <w:spacing w:val="-7"/>
        </w:rPr>
        <w:t xml:space="preserve"> </w:t>
      </w:r>
      <w:r>
        <w:t>HHS</w:t>
      </w:r>
      <w:r>
        <w:rPr>
          <w:spacing w:val="-6"/>
        </w:rPr>
        <w:t xml:space="preserve"> </w:t>
      </w:r>
      <w:r>
        <w:t>for consent records. Currently, HHS only plans to collect information from a small percentage of agents, brokers, or web-brokers in conjunction with active investigations of potential fraud or noncompliant behavior.</w:t>
      </w:r>
    </w:p>
    <w:p>
      <w:pPr>
        <w:pStyle w:val="BodyText"/>
      </w:pPr>
    </w:p>
    <w:p>
      <w:pPr>
        <w:pStyle w:val="BodyText"/>
        <w:ind w:left="119" w:right="218"/>
      </w:pPr>
      <w:r>
        <w:t>Utilizing §155.220(c)(5) and the information to be collected under §§ 155.220(j)(2)(ii)(A)(1-2) and</w:t>
      </w:r>
      <w:r>
        <w:rPr>
          <w:spacing w:val="-6"/>
        </w:rPr>
        <w:t xml:space="preserve"> </w:t>
      </w:r>
      <w:r>
        <w:t>155.220(j)(2)(iii)(A-C),</w:t>
      </w:r>
      <w:r>
        <w:rPr>
          <w:spacing w:val="-6"/>
        </w:rPr>
        <w:t xml:space="preserve"> </w:t>
      </w:r>
      <w:r>
        <w:t>HHS</w:t>
      </w:r>
      <w:r>
        <w:rPr>
          <w:spacing w:val="-8"/>
        </w:rPr>
        <w:t xml:space="preserve"> </w:t>
      </w:r>
      <w:r>
        <w:t>will</w:t>
      </w:r>
      <w:r>
        <w:rPr>
          <w:spacing w:val="-6"/>
        </w:rPr>
        <w:t xml:space="preserve"> </w:t>
      </w:r>
      <w:r>
        <w:t>be</w:t>
      </w:r>
      <w:r>
        <w:rPr>
          <w:spacing w:val="-6"/>
        </w:rPr>
        <w:t xml:space="preserve"> </w:t>
      </w:r>
      <w:r>
        <w:t>able</w:t>
      </w:r>
      <w:r>
        <w:rPr>
          <w:spacing w:val="-6"/>
        </w:rPr>
        <w:t xml:space="preserve"> </w:t>
      </w:r>
      <w:r>
        <w:t>to</w:t>
      </w:r>
      <w:r>
        <w:rPr>
          <w:spacing w:val="-6"/>
        </w:rPr>
        <w:t xml:space="preserve"> </w:t>
      </w:r>
      <w:r>
        <w:t>verify</w:t>
      </w:r>
      <w:r>
        <w:rPr>
          <w:spacing w:val="-6"/>
        </w:rPr>
        <w:t xml:space="preserve"> </w:t>
      </w:r>
      <w:r>
        <w:t>whether</w:t>
      </w:r>
      <w:r>
        <w:rPr>
          <w:spacing w:val="-6"/>
        </w:rPr>
        <w:t xml:space="preserve"> </w:t>
      </w:r>
      <w:r>
        <w:t>or</w:t>
      </w:r>
      <w:r>
        <w:rPr>
          <w:spacing w:val="-6"/>
        </w:rPr>
        <w:t xml:space="preserve"> </w:t>
      </w:r>
      <w:r>
        <w:t>not</w:t>
      </w:r>
      <w:r>
        <w:rPr>
          <w:spacing w:val="-2"/>
        </w:rPr>
        <w:t xml:space="preserve"> </w:t>
      </w:r>
      <w:r>
        <w:t>an</w:t>
      </w:r>
      <w:r>
        <w:rPr>
          <w:spacing w:val="-2"/>
        </w:rPr>
        <w:t xml:space="preserve"> </w:t>
      </w:r>
      <w:r>
        <w:t>agent,</w:t>
      </w:r>
      <w:r>
        <w:rPr>
          <w:spacing w:val="-2"/>
        </w:rPr>
        <w:t xml:space="preserve"> </w:t>
      </w:r>
      <w:r>
        <w:t>broker,</w:t>
      </w:r>
      <w:r>
        <w:rPr>
          <w:spacing w:val="-4"/>
        </w:rPr>
        <w:t xml:space="preserve"> </w:t>
      </w:r>
      <w:r>
        <w:t>or</w:t>
      </w:r>
      <w:r>
        <w:rPr>
          <w:spacing w:val="-2"/>
        </w:rPr>
        <w:t xml:space="preserve"> </w:t>
      </w:r>
      <w:r>
        <w:t>web- broker has obtained consent from a consumer they are assisting in enrolling in coverage in the individual market, and whether the consumer has reviewed their eligibility information and confirmed its accuracy.</w:t>
      </w:r>
    </w:p>
    <w:p>
      <w:pPr>
        <w:pStyle w:val="BodyText"/>
      </w:pPr>
    </w:p>
    <w:p>
      <w:pPr>
        <w:pStyle w:val="ListParagraph"/>
        <w:numPr>
          <w:ilvl w:val="0"/>
          <w:numId w:val="1"/>
        </w:numPr>
        <w:tabs>
          <w:tab w:val="left" w:pos="818"/>
        </w:tabs>
        <w:spacing w:before="0" w:after="0" w:line="240" w:lineRule="auto"/>
        <w:ind w:left="818" w:right="0" w:hanging="698"/>
        <w:jc w:val="left"/>
        <w:rPr>
          <w:b/>
          <w:sz w:val="24"/>
          <w:u w:val="none"/>
        </w:rPr>
      </w:pPr>
      <w:r>
        <w:rPr>
          <w:b/>
          <w:spacing w:val="-2"/>
          <w:sz w:val="24"/>
          <w:u w:val="thick"/>
        </w:rPr>
        <w:t>Justification</w:t>
      </w:r>
    </w:p>
    <w:p>
      <w:pPr>
        <w:pStyle w:val="BodyText"/>
        <w:rPr>
          <w:b/>
        </w:rPr>
      </w:pPr>
    </w:p>
    <w:p>
      <w:pPr>
        <w:pStyle w:val="ListParagraph"/>
        <w:numPr>
          <w:ilvl w:val="1"/>
          <w:numId w:val="1"/>
        </w:numPr>
        <w:tabs>
          <w:tab w:val="left" w:pos="818"/>
        </w:tabs>
        <w:spacing w:before="0" w:after="0" w:line="240" w:lineRule="auto"/>
        <w:ind w:left="818" w:right="0" w:hanging="698"/>
        <w:jc w:val="left"/>
        <w:rPr>
          <w:sz w:val="24"/>
          <w:u w:val="none"/>
        </w:rPr>
      </w:pPr>
      <w:r>
        <w:rPr>
          <w:sz w:val="24"/>
          <w:u w:val="single"/>
        </w:rPr>
        <w:t>Need</w:t>
      </w:r>
      <w:r>
        <w:rPr>
          <w:spacing w:val="-6"/>
          <w:sz w:val="24"/>
          <w:u w:val="single"/>
        </w:rPr>
        <w:t xml:space="preserve"> </w:t>
      </w:r>
      <w:r>
        <w:rPr>
          <w:sz w:val="24"/>
          <w:u w:val="single"/>
        </w:rPr>
        <w:t>and Legal</w:t>
      </w:r>
      <w:r>
        <w:rPr>
          <w:spacing w:val="1"/>
          <w:sz w:val="24"/>
          <w:u w:val="single"/>
        </w:rPr>
        <w:t xml:space="preserve"> </w:t>
      </w:r>
      <w:r>
        <w:rPr>
          <w:spacing w:val="-4"/>
          <w:sz w:val="24"/>
          <w:u w:val="single"/>
        </w:rPr>
        <w:t>Basis</w:t>
      </w:r>
    </w:p>
    <w:p>
      <w:pPr>
        <w:pStyle w:val="BodyText"/>
        <w:spacing w:before="275"/>
        <w:ind w:left="119" w:right="218"/>
      </w:pPr>
      <w:r>
        <w:t xml:space="preserve">This PRA package serves as the formal request for a data collection clearance associated with the </w:t>
      </w:r>
      <w:r>
        <w:rPr>
          <w:i/>
        </w:rPr>
        <w:t xml:space="preserve">HHS Notice of Benefit and Payment Parameters for 2026 Payment Notice </w:t>
      </w:r>
      <w:r>
        <w:t xml:space="preserve">(2026 Payment </w:t>
      </w:r>
      <w:r>
        <w:rPr>
          <w:spacing w:val="-2"/>
        </w:rPr>
        <w:t>Notice)</w:t>
      </w:r>
      <w:r>
        <w:rPr>
          <w:spacing w:val="-11"/>
        </w:rPr>
        <w:t xml:space="preserve"> </w:t>
      </w:r>
      <w:r>
        <w:rPr>
          <w:spacing w:val="-2"/>
        </w:rPr>
        <w:t>regarding</w:t>
      </w:r>
      <w:r>
        <w:rPr>
          <w:spacing w:val="-11"/>
        </w:rPr>
        <w:t xml:space="preserve"> </w:t>
      </w:r>
      <w:r>
        <w:rPr>
          <w:spacing w:val="-2"/>
        </w:rPr>
        <w:t>the</w:t>
      </w:r>
      <w:r>
        <w:rPr>
          <w:spacing w:val="-10"/>
        </w:rPr>
        <w:t xml:space="preserve"> </w:t>
      </w:r>
      <w:r>
        <w:rPr>
          <w:spacing w:val="-2"/>
        </w:rPr>
        <w:t>authority</w:t>
      </w:r>
      <w:r>
        <w:rPr>
          <w:spacing w:val="-11"/>
        </w:rPr>
        <w:t xml:space="preserve"> </w:t>
      </w:r>
      <w:r>
        <w:rPr>
          <w:spacing w:val="-2"/>
        </w:rPr>
        <w:t>to</w:t>
      </w:r>
      <w:r>
        <w:rPr>
          <w:spacing w:val="-11"/>
        </w:rPr>
        <w:t xml:space="preserve"> </w:t>
      </w:r>
      <w:r>
        <w:rPr>
          <w:spacing w:val="-2"/>
        </w:rPr>
        <w:t>allow</w:t>
      </w:r>
      <w:r>
        <w:rPr>
          <w:spacing w:val="-10"/>
        </w:rPr>
        <w:t xml:space="preserve"> </w:t>
      </w:r>
      <w:r>
        <w:rPr>
          <w:spacing w:val="-2"/>
        </w:rPr>
        <w:t>HHS</w:t>
      </w:r>
      <w:r>
        <w:rPr>
          <w:spacing w:val="-13"/>
        </w:rPr>
        <w:t xml:space="preserve"> </w:t>
      </w:r>
      <w:r>
        <w:rPr>
          <w:spacing w:val="-2"/>
        </w:rPr>
        <w:t>to</w:t>
      </w:r>
      <w:r>
        <w:rPr>
          <w:spacing w:val="-11"/>
        </w:rPr>
        <w:t xml:space="preserve"> </w:t>
      </w:r>
      <w:r>
        <w:rPr>
          <w:spacing w:val="-2"/>
        </w:rPr>
        <w:t>collect</w:t>
      </w:r>
      <w:r>
        <w:rPr>
          <w:spacing w:val="-11"/>
        </w:rPr>
        <w:t xml:space="preserve"> </w:t>
      </w:r>
      <w:r>
        <w:rPr>
          <w:spacing w:val="-2"/>
        </w:rPr>
        <w:t>the</w:t>
      </w:r>
      <w:r>
        <w:rPr>
          <w:spacing w:val="-11"/>
        </w:rPr>
        <w:t xml:space="preserve"> </w:t>
      </w:r>
      <w:r>
        <w:rPr>
          <w:spacing w:val="-2"/>
        </w:rPr>
        <w:t>necessary</w:t>
      </w:r>
      <w:r>
        <w:rPr>
          <w:spacing w:val="-11"/>
        </w:rPr>
        <w:t xml:space="preserve"> </w:t>
      </w:r>
      <w:r>
        <w:rPr>
          <w:spacing w:val="-2"/>
        </w:rPr>
        <w:t>information</w:t>
      </w:r>
      <w:r>
        <w:rPr>
          <w:spacing w:val="-11"/>
        </w:rPr>
        <w:t xml:space="preserve"> </w:t>
      </w:r>
      <w:r>
        <w:rPr>
          <w:spacing w:val="-2"/>
        </w:rPr>
        <w:t>to</w:t>
      </w:r>
      <w:r>
        <w:rPr>
          <w:spacing w:val="-11"/>
        </w:rPr>
        <w:t xml:space="preserve"> </w:t>
      </w:r>
      <w:r>
        <w:rPr>
          <w:spacing w:val="-2"/>
        </w:rPr>
        <w:t xml:space="preserve">verify whether </w:t>
      </w:r>
      <w:r>
        <w:rPr>
          <w:spacing w:val="-6"/>
        </w:rPr>
        <w:t>or not agents,</w:t>
      </w:r>
      <w:r>
        <w:rPr>
          <w:spacing w:val="-7"/>
        </w:rPr>
        <w:t xml:space="preserve"> </w:t>
      </w:r>
      <w:r>
        <w:rPr>
          <w:spacing w:val="-6"/>
        </w:rPr>
        <w:t>brokers,</w:t>
      </w:r>
      <w:r>
        <w:rPr>
          <w:spacing w:val="-10"/>
        </w:rPr>
        <w:t xml:space="preserve"> </w:t>
      </w:r>
      <w:r>
        <w:rPr>
          <w:spacing w:val="-6"/>
        </w:rPr>
        <w:t>and</w:t>
      </w:r>
      <w:r>
        <w:rPr>
          <w:spacing w:val="-7"/>
        </w:rPr>
        <w:t xml:space="preserve"> </w:t>
      </w:r>
      <w:r>
        <w:rPr>
          <w:spacing w:val="-6"/>
        </w:rPr>
        <w:t>web-brokers</w:t>
      </w:r>
      <w:r>
        <w:rPr>
          <w:spacing w:val="-8"/>
        </w:rPr>
        <w:t xml:space="preserve"> </w:t>
      </w:r>
      <w:r>
        <w:rPr>
          <w:spacing w:val="-6"/>
        </w:rPr>
        <w:t>sufficiently obtained</w:t>
      </w:r>
      <w:r>
        <w:rPr>
          <w:spacing w:val="-12"/>
        </w:rPr>
        <w:t xml:space="preserve"> </w:t>
      </w:r>
      <w:r>
        <w:rPr>
          <w:spacing w:val="-6"/>
        </w:rPr>
        <w:t>the required</w:t>
      </w:r>
      <w:r>
        <w:rPr>
          <w:spacing w:val="-7"/>
        </w:rPr>
        <w:t xml:space="preserve"> </w:t>
      </w:r>
      <w:r>
        <w:rPr>
          <w:spacing w:val="-6"/>
        </w:rPr>
        <w:t xml:space="preserve">information from consumers </w:t>
      </w:r>
      <w:r>
        <w:rPr>
          <w:spacing w:val="-2"/>
        </w:rPr>
        <w:t>prior</w:t>
      </w:r>
      <w:r>
        <w:rPr>
          <w:spacing w:val="-17"/>
        </w:rPr>
        <w:t xml:space="preserve"> </w:t>
      </w:r>
      <w:r>
        <w:rPr>
          <w:spacing w:val="-2"/>
        </w:rPr>
        <w:t>to</w:t>
      </w:r>
      <w:r>
        <w:rPr>
          <w:spacing w:val="-15"/>
        </w:rPr>
        <w:t xml:space="preserve"> </w:t>
      </w:r>
      <w:r>
        <w:rPr>
          <w:spacing w:val="-2"/>
        </w:rPr>
        <w:t>assisting</w:t>
      </w:r>
      <w:r>
        <w:rPr>
          <w:spacing w:val="-18"/>
        </w:rPr>
        <w:t xml:space="preserve"> </w:t>
      </w:r>
      <w:r>
        <w:rPr>
          <w:spacing w:val="-2"/>
        </w:rPr>
        <w:t>them</w:t>
      </w:r>
      <w:r>
        <w:rPr>
          <w:spacing w:val="-15"/>
        </w:rPr>
        <w:t xml:space="preserve"> </w:t>
      </w:r>
      <w:r>
        <w:rPr>
          <w:spacing w:val="-2"/>
        </w:rPr>
        <w:t>in</w:t>
      </w:r>
      <w:r>
        <w:rPr>
          <w:spacing w:val="-15"/>
        </w:rPr>
        <w:t xml:space="preserve"> </w:t>
      </w:r>
      <w:r>
        <w:rPr>
          <w:spacing w:val="-2"/>
        </w:rPr>
        <w:t>the</w:t>
      </w:r>
      <w:r>
        <w:rPr>
          <w:spacing w:val="-15"/>
        </w:rPr>
        <w:t xml:space="preserve"> </w:t>
      </w:r>
      <w:r>
        <w:rPr>
          <w:spacing w:val="-2"/>
        </w:rPr>
        <w:t>Marketplace</w:t>
      </w:r>
      <w:r>
        <w:rPr>
          <w:spacing w:val="-15"/>
        </w:rPr>
        <w:t xml:space="preserve"> </w:t>
      </w:r>
      <w:r>
        <w:rPr>
          <w:spacing w:val="-2"/>
        </w:rPr>
        <w:t>if</w:t>
      </w:r>
      <w:r>
        <w:rPr>
          <w:spacing w:val="-15"/>
        </w:rPr>
        <w:t xml:space="preserve"> </w:t>
      </w:r>
      <w:r>
        <w:rPr>
          <w:spacing w:val="-2"/>
        </w:rPr>
        <w:t>HHS</w:t>
      </w:r>
      <w:r>
        <w:rPr>
          <w:spacing w:val="-17"/>
        </w:rPr>
        <w:t xml:space="preserve"> </w:t>
      </w:r>
      <w:r>
        <w:rPr>
          <w:spacing w:val="-2"/>
        </w:rPr>
        <w:t>so</w:t>
      </w:r>
      <w:r>
        <w:rPr>
          <w:spacing w:val="-15"/>
        </w:rPr>
        <w:t xml:space="preserve"> </w:t>
      </w:r>
      <w:r>
        <w:rPr>
          <w:spacing w:val="-2"/>
        </w:rPr>
        <w:t>chooses.</w:t>
      </w:r>
      <w:r>
        <w:rPr>
          <w:spacing w:val="-14"/>
        </w:rPr>
        <w:t xml:space="preserve"> </w:t>
      </w:r>
      <w:r>
        <w:rPr>
          <w:spacing w:val="-2"/>
        </w:rPr>
        <w:t>All</w:t>
      </w:r>
      <w:r>
        <w:rPr>
          <w:spacing w:val="-15"/>
        </w:rPr>
        <w:t xml:space="preserve"> </w:t>
      </w:r>
      <w:r>
        <w:rPr>
          <w:spacing w:val="-2"/>
        </w:rPr>
        <w:t>entities</w:t>
      </w:r>
      <w:r>
        <w:rPr>
          <w:spacing w:val="-15"/>
        </w:rPr>
        <w:t xml:space="preserve"> </w:t>
      </w:r>
      <w:r>
        <w:rPr>
          <w:spacing w:val="-2"/>
        </w:rPr>
        <w:t>covered</w:t>
      </w:r>
      <w:r>
        <w:rPr>
          <w:spacing w:val="-15"/>
        </w:rPr>
        <w:t xml:space="preserve"> </w:t>
      </w:r>
      <w:r>
        <w:rPr>
          <w:spacing w:val="-2"/>
        </w:rPr>
        <w:t>by</w:t>
      </w:r>
      <w:r>
        <w:rPr>
          <w:spacing w:val="-7"/>
        </w:rPr>
        <w:t xml:space="preserve"> </w:t>
      </w:r>
      <w:r>
        <w:rPr>
          <w:spacing w:val="-2"/>
        </w:rPr>
        <w:t xml:space="preserve">this section are </w:t>
      </w:r>
      <w:r>
        <w:t>required to (1) document that eligibility application information has been reviewed by and confirmed to be accurate by the consumer or their authorized representative designated in</w:t>
      </w:r>
    </w:p>
    <w:p>
      <w:pPr>
        <w:spacing w:after="0"/>
        <w:sectPr>
          <w:footerReference w:type="default" r:id="rId4"/>
          <w:type w:val="continuous"/>
          <w:pgSz w:w="12240" w:h="15840"/>
          <w:pgMar w:top="1380" w:right="1300" w:bottom="1200" w:left="1320" w:header="0" w:footer="1001"/>
          <w:pgNumType w:start="1"/>
          <w:cols w:space="720"/>
        </w:sectPr>
      </w:pPr>
    </w:p>
    <w:p>
      <w:pPr>
        <w:pStyle w:val="BodyText"/>
        <w:spacing w:before="60"/>
        <w:ind w:left="120" w:right="346"/>
      </w:pPr>
      <w:bookmarkStart w:id="4" w:name="2. Information Users"/>
      <w:bookmarkEnd w:id="4"/>
      <w:bookmarkStart w:id="5" w:name="3. Use of Information Technology"/>
      <w:bookmarkEnd w:id="5"/>
      <w:r>
        <w:t>compliance with § 155.227, prior to application submission in accordance with 155.220(j)(2)(ii)(A)(1-2), and (2) document the receipt of consent from the consumer, or the consumer’s authorized representative designated in compliance with § 155.227, and maintain the consent records in accordance with 155.220(j)(2)(iii)(A-C). Covered entities will only be required</w:t>
      </w:r>
      <w:r>
        <w:rPr>
          <w:spacing w:val="-3"/>
        </w:rPr>
        <w:t xml:space="preserve"> </w:t>
      </w:r>
      <w:r>
        <w:t>to</w:t>
      </w:r>
      <w:r>
        <w:rPr>
          <w:spacing w:val="-3"/>
        </w:rPr>
        <w:t xml:space="preserve"> </w:t>
      </w:r>
      <w:r>
        <w:t>produce</w:t>
      </w:r>
      <w:r>
        <w:rPr>
          <w:spacing w:val="-3"/>
        </w:rPr>
        <w:t xml:space="preserve"> </w:t>
      </w:r>
      <w:r>
        <w:t>this</w:t>
      </w:r>
      <w:r>
        <w:rPr>
          <w:spacing w:val="34"/>
        </w:rPr>
        <w:t xml:space="preserve"> </w:t>
      </w:r>
      <w:r>
        <w:t>information</w:t>
      </w:r>
      <w:r>
        <w:rPr>
          <w:spacing w:val="-5"/>
        </w:rPr>
        <w:t xml:space="preserve"> </w:t>
      </w:r>
      <w:r>
        <w:t>to</w:t>
      </w:r>
      <w:r>
        <w:rPr>
          <w:spacing w:val="-3"/>
        </w:rPr>
        <w:t xml:space="preserve"> </w:t>
      </w:r>
      <w:r>
        <w:t>HHS</w:t>
      </w:r>
      <w:r>
        <w:rPr>
          <w:spacing w:val="-4"/>
        </w:rPr>
        <w:t xml:space="preserve"> </w:t>
      </w:r>
      <w:r>
        <w:t>in</w:t>
      </w:r>
      <w:r>
        <w:rPr>
          <w:spacing w:val="-3"/>
        </w:rPr>
        <w:t xml:space="preserve"> </w:t>
      </w:r>
      <w:r>
        <w:t>response</w:t>
      </w:r>
      <w:r>
        <w:rPr>
          <w:spacing w:val="-3"/>
        </w:rPr>
        <w:t xml:space="preserve"> </w:t>
      </w:r>
      <w:r>
        <w:t>to</w:t>
      </w:r>
      <w:r>
        <w:rPr>
          <w:spacing w:val="-3"/>
        </w:rPr>
        <w:t xml:space="preserve"> </w:t>
      </w:r>
      <w:r>
        <w:t>monitoring,</w:t>
      </w:r>
      <w:r>
        <w:rPr>
          <w:spacing w:val="-3"/>
        </w:rPr>
        <w:t xml:space="preserve"> </w:t>
      </w:r>
      <w:r>
        <w:t>audit,</w:t>
      </w:r>
      <w:r>
        <w:rPr>
          <w:spacing w:val="-3"/>
        </w:rPr>
        <w:t xml:space="preserve"> </w:t>
      </w:r>
      <w:r>
        <w:t>and</w:t>
      </w:r>
      <w:r>
        <w:rPr>
          <w:spacing w:val="-3"/>
        </w:rPr>
        <w:t xml:space="preserve"> </w:t>
      </w:r>
      <w:r>
        <w:t xml:space="preserve">enforcement activities conducted consistent with § 155.220(c)(5), (g), (h), and (k). HHS will use this information to determine if fraudulent activity occurred as it relates to consumer review and </w:t>
      </w:r>
      <w:r>
        <w:rPr>
          <w:spacing w:val="-2"/>
        </w:rPr>
        <w:t>consent.</w:t>
      </w:r>
    </w:p>
    <w:p>
      <w:pPr>
        <w:pStyle w:val="BodyText"/>
      </w:pPr>
    </w:p>
    <w:p>
      <w:pPr>
        <w:pStyle w:val="BodyText"/>
        <w:ind w:left="120" w:right="220"/>
      </w:pPr>
      <w:r>
        <w:t>Agents, brokers, and web-brokers are required to “provide the FFEs with correct information” under 45 C.F.R § 155.220(j)(2)(ii). The 2024 Payment Notice created the requirement to document and maintain documentation related to a consumer’s eligibility application information and provide such information to HHS, upon request. Providing this information to HHS will ensure consumers enrolling through the Exchange using an agent, broker, or web- broker</w:t>
      </w:r>
      <w:r>
        <w:rPr>
          <w:spacing w:val="-3"/>
        </w:rPr>
        <w:t xml:space="preserve"> </w:t>
      </w:r>
      <w:r>
        <w:t>are</w:t>
      </w:r>
      <w:r>
        <w:rPr>
          <w:spacing w:val="-3"/>
        </w:rPr>
        <w:t xml:space="preserve"> </w:t>
      </w:r>
      <w:r>
        <w:t>confirming</w:t>
      </w:r>
      <w:r>
        <w:rPr>
          <w:spacing w:val="-5"/>
        </w:rPr>
        <w:t xml:space="preserve"> </w:t>
      </w:r>
      <w:r>
        <w:t>the</w:t>
      </w:r>
      <w:r>
        <w:rPr>
          <w:spacing w:val="-3"/>
        </w:rPr>
        <w:t xml:space="preserve"> </w:t>
      </w:r>
      <w:r>
        <w:t>information</w:t>
      </w:r>
      <w:r>
        <w:rPr>
          <w:spacing w:val="-3"/>
        </w:rPr>
        <w:t xml:space="preserve"> </w:t>
      </w:r>
      <w:r>
        <w:t>entered</w:t>
      </w:r>
      <w:r>
        <w:rPr>
          <w:spacing w:val="-3"/>
        </w:rPr>
        <w:t xml:space="preserve"> </w:t>
      </w:r>
      <w:r>
        <w:t>on</w:t>
      </w:r>
      <w:r>
        <w:rPr>
          <w:spacing w:val="-5"/>
        </w:rPr>
        <w:t xml:space="preserve"> </w:t>
      </w:r>
      <w:r>
        <w:t>their</w:t>
      </w:r>
      <w:r>
        <w:rPr>
          <w:spacing w:val="-3"/>
        </w:rPr>
        <w:t xml:space="preserve"> </w:t>
      </w:r>
      <w:r>
        <w:t>Exchange</w:t>
      </w:r>
      <w:r>
        <w:rPr>
          <w:spacing w:val="-3"/>
        </w:rPr>
        <w:t xml:space="preserve"> </w:t>
      </w:r>
      <w:r>
        <w:t>applications</w:t>
      </w:r>
      <w:r>
        <w:rPr>
          <w:spacing w:val="-3"/>
        </w:rPr>
        <w:t xml:space="preserve"> </w:t>
      </w:r>
      <w:r>
        <w:t>has</w:t>
      </w:r>
      <w:r>
        <w:rPr>
          <w:spacing w:val="-3"/>
        </w:rPr>
        <w:t xml:space="preserve"> </w:t>
      </w:r>
      <w:r>
        <w:t>been</w:t>
      </w:r>
      <w:r>
        <w:rPr>
          <w:spacing w:val="-3"/>
        </w:rPr>
        <w:t xml:space="preserve"> </w:t>
      </w:r>
      <w:r>
        <w:t>reviewed by them and is accurate prior to submission. The information collection will provide HHS with documentation that may be used for monitoring, audit, and enforcement activities.</w:t>
      </w:r>
    </w:p>
    <w:p>
      <w:pPr>
        <w:pStyle w:val="BodyText"/>
      </w:pPr>
    </w:p>
    <w:p>
      <w:pPr>
        <w:pStyle w:val="BodyText"/>
        <w:ind w:left="120" w:right="218"/>
      </w:pPr>
      <w:r>
        <w:t>Consumers may enroll in individual healthcare insurance coverage by working with insurance agents,</w:t>
      </w:r>
      <w:r>
        <w:rPr>
          <w:spacing w:val="-3"/>
        </w:rPr>
        <w:t xml:space="preserve"> </w:t>
      </w:r>
      <w:r>
        <w:t>brokers,</w:t>
      </w:r>
      <w:r>
        <w:rPr>
          <w:spacing w:val="-3"/>
        </w:rPr>
        <w:t xml:space="preserve"> </w:t>
      </w:r>
      <w:r>
        <w:t>or</w:t>
      </w:r>
      <w:r>
        <w:rPr>
          <w:spacing w:val="-3"/>
        </w:rPr>
        <w:t xml:space="preserve"> </w:t>
      </w:r>
      <w:r>
        <w:t>web-brokers.</w:t>
      </w:r>
      <w:r>
        <w:rPr>
          <w:spacing w:val="-3"/>
        </w:rPr>
        <w:t xml:space="preserve"> </w:t>
      </w:r>
      <w:r>
        <w:t>45</w:t>
      </w:r>
      <w:r>
        <w:rPr>
          <w:spacing w:val="-5"/>
        </w:rPr>
        <w:t xml:space="preserve"> </w:t>
      </w:r>
      <w:r>
        <w:t>CFR</w:t>
      </w:r>
      <w:r>
        <w:rPr>
          <w:spacing w:val="-4"/>
        </w:rPr>
        <w:t xml:space="preserve"> </w:t>
      </w:r>
      <w:r>
        <w:t>§155.220(j)(2)(iii)</w:t>
      </w:r>
      <w:r>
        <w:rPr>
          <w:spacing w:val="-4"/>
        </w:rPr>
        <w:t xml:space="preserve"> </w:t>
      </w:r>
      <w:r>
        <w:t>states</w:t>
      </w:r>
      <w:r>
        <w:rPr>
          <w:spacing w:val="-3"/>
        </w:rPr>
        <w:t xml:space="preserve"> </w:t>
      </w:r>
      <w:r>
        <w:t>that</w:t>
      </w:r>
      <w:r>
        <w:rPr>
          <w:spacing w:val="-3"/>
        </w:rPr>
        <w:t xml:space="preserve"> </w:t>
      </w:r>
      <w:r>
        <w:t>agents,</w:t>
      </w:r>
      <w:r>
        <w:rPr>
          <w:spacing w:val="-3"/>
        </w:rPr>
        <w:t xml:space="preserve"> </w:t>
      </w:r>
      <w:r>
        <w:t>brokers,</w:t>
      </w:r>
      <w:r>
        <w:rPr>
          <w:spacing w:val="-3"/>
        </w:rPr>
        <w:t xml:space="preserve"> </w:t>
      </w:r>
      <w:r>
        <w:t>and</w:t>
      </w:r>
      <w:r>
        <w:rPr>
          <w:spacing w:val="-3"/>
        </w:rPr>
        <w:t xml:space="preserve"> </w:t>
      </w:r>
      <w:r>
        <w:t>web- brokers must obtain the consent of the individual, employer, or employee prior to assisting or facilitating enrollment through a Federally-facilitated Exchange or assisting the individual in applying</w:t>
      </w:r>
      <w:r>
        <w:rPr>
          <w:spacing w:val="-3"/>
        </w:rPr>
        <w:t xml:space="preserve"> </w:t>
      </w:r>
      <w:r>
        <w:t>for</w:t>
      </w:r>
      <w:r>
        <w:rPr>
          <w:spacing w:val="-2"/>
        </w:rPr>
        <w:t xml:space="preserve"> </w:t>
      </w:r>
      <w:r>
        <w:t>advance</w:t>
      </w:r>
      <w:r>
        <w:rPr>
          <w:spacing w:val="-1"/>
        </w:rPr>
        <w:t xml:space="preserve"> </w:t>
      </w:r>
      <w:r>
        <w:t>payments</w:t>
      </w:r>
      <w:r>
        <w:rPr>
          <w:spacing w:val="-1"/>
        </w:rPr>
        <w:t xml:space="preserve"> </w:t>
      </w:r>
      <w:r>
        <w:t>of</w:t>
      </w:r>
      <w:r>
        <w:rPr>
          <w:spacing w:val="-1"/>
        </w:rPr>
        <w:t xml:space="preserve"> </w:t>
      </w:r>
      <w:r>
        <w:t>the</w:t>
      </w:r>
      <w:r>
        <w:rPr>
          <w:spacing w:val="-1"/>
        </w:rPr>
        <w:t xml:space="preserve"> </w:t>
      </w:r>
      <w:r>
        <w:t>premium</w:t>
      </w:r>
      <w:r>
        <w:rPr>
          <w:spacing w:val="-2"/>
        </w:rPr>
        <w:t xml:space="preserve"> </w:t>
      </w:r>
      <w:r>
        <w:t>tax</w:t>
      </w:r>
      <w:r>
        <w:rPr>
          <w:spacing w:val="-1"/>
        </w:rPr>
        <w:t xml:space="preserve"> </w:t>
      </w:r>
      <w:r>
        <w:t>credit</w:t>
      </w:r>
      <w:r>
        <w:rPr>
          <w:spacing w:val="-1"/>
        </w:rPr>
        <w:t xml:space="preserve"> </w:t>
      </w:r>
      <w:r>
        <w:t>and</w:t>
      </w:r>
      <w:r>
        <w:rPr>
          <w:spacing w:val="-1"/>
        </w:rPr>
        <w:t xml:space="preserve"> </w:t>
      </w:r>
      <w:r>
        <w:t>cost-sharing</w:t>
      </w:r>
      <w:r>
        <w:rPr>
          <w:spacing w:val="-1"/>
        </w:rPr>
        <w:t xml:space="preserve"> </w:t>
      </w:r>
      <w:r>
        <w:t>reductions</w:t>
      </w:r>
      <w:r>
        <w:rPr>
          <w:spacing w:val="-1"/>
        </w:rPr>
        <w:t xml:space="preserve"> </w:t>
      </w:r>
      <w:r>
        <w:t>for</w:t>
      </w:r>
      <w:r>
        <w:rPr>
          <w:spacing w:val="-1"/>
        </w:rPr>
        <w:t xml:space="preserve"> </w:t>
      </w:r>
      <w:r>
        <w:t>QHPs. The 2024 Payment Notice created the requirement to document and maintain documentation related to obtaining consumer consent and providing such information to HHS, upon request.</w:t>
      </w:r>
    </w:p>
    <w:p>
      <w:pPr>
        <w:pStyle w:val="BodyText"/>
        <w:ind w:left="120" w:right="218"/>
      </w:pPr>
      <w:r>
        <w:t>The</w:t>
      </w:r>
      <w:r>
        <w:rPr>
          <w:spacing w:val="-3"/>
        </w:rPr>
        <w:t xml:space="preserve"> </w:t>
      </w:r>
      <w:r>
        <w:t>information</w:t>
      </w:r>
      <w:r>
        <w:rPr>
          <w:spacing w:val="-3"/>
        </w:rPr>
        <w:t xml:space="preserve"> </w:t>
      </w:r>
      <w:r>
        <w:t>collection</w:t>
      </w:r>
      <w:r>
        <w:rPr>
          <w:spacing w:val="-3"/>
        </w:rPr>
        <w:t xml:space="preserve"> </w:t>
      </w:r>
      <w:r>
        <w:t>will</w:t>
      </w:r>
      <w:r>
        <w:rPr>
          <w:spacing w:val="-3"/>
        </w:rPr>
        <w:t xml:space="preserve"> </w:t>
      </w:r>
      <w:r>
        <w:t>provide</w:t>
      </w:r>
      <w:r>
        <w:rPr>
          <w:spacing w:val="-3"/>
        </w:rPr>
        <w:t xml:space="preserve"> </w:t>
      </w:r>
      <w:r>
        <w:t>HHS</w:t>
      </w:r>
      <w:r>
        <w:rPr>
          <w:spacing w:val="-4"/>
        </w:rPr>
        <w:t xml:space="preserve"> </w:t>
      </w:r>
      <w:r>
        <w:t>with</w:t>
      </w:r>
      <w:r>
        <w:rPr>
          <w:spacing w:val="-3"/>
        </w:rPr>
        <w:t xml:space="preserve"> </w:t>
      </w:r>
      <w:r>
        <w:t>documentation</w:t>
      </w:r>
      <w:r>
        <w:rPr>
          <w:spacing w:val="-5"/>
        </w:rPr>
        <w:t xml:space="preserve"> </w:t>
      </w:r>
      <w:r>
        <w:t>that</w:t>
      </w:r>
      <w:r>
        <w:rPr>
          <w:spacing w:val="-4"/>
        </w:rPr>
        <w:t xml:space="preserve"> </w:t>
      </w:r>
      <w:r>
        <w:t>may</w:t>
      </w:r>
      <w:r>
        <w:rPr>
          <w:spacing w:val="-3"/>
        </w:rPr>
        <w:t xml:space="preserve"> </w:t>
      </w:r>
      <w:r>
        <w:t>be</w:t>
      </w:r>
      <w:r>
        <w:rPr>
          <w:spacing w:val="-3"/>
        </w:rPr>
        <w:t xml:space="preserve"> </w:t>
      </w:r>
      <w:r>
        <w:t>used</w:t>
      </w:r>
      <w:r>
        <w:rPr>
          <w:spacing w:val="-3"/>
        </w:rPr>
        <w:t xml:space="preserve"> </w:t>
      </w:r>
      <w:r>
        <w:t>for monitoring, audit, and enforcement activities.</w:t>
      </w:r>
    </w:p>
    <w:p>
      <w:pPr>
        <w:pStyle w:val="ListParagraph"/>
        <w:numPr>
          <w:ilvl w:val="1"/>
          <w:numId w:val="1"/>
        </w:numPr>
        <w:tabs>
          <w:tab w:val="left" w:pos="818"/>
        </w:tabs>
        <w:spacing w:before="275" w:after="0" w:line="240" w:lineRule="auto"/>
        <w:ind w:left="818" w:right="0" w:hanging="698"/>
        <w:jc w:val="left"/>
        <w:rPr>
          <w:sz w:val="24"/>
          <w:u w:val="none"/>
        </w:rPr>
      </w:pPr>
      <w:r>
        <w:rPr>
          <w:position w:val="1"/>
          <w:sz w:val="24"/>
          <w:u w:val="single"/>
        </w:rPr>
        <w:t>Information</w:t>
      </w:r>
      <w:r>
        <w:rPr>
          <w:spacing w:val="-13"/>
          <w:position w:val="1"/>
          <w:sz w:val="24"/>
          <w:u w:val="single"/>
        </w:rPr>
        <w:t xml:space="preserve"> </w:t>
      </w:r>
      <w:r>
        <w:rPr>
          <w:spacing w:val="-4"/>
          <w:position w:val="1"/>
          <w:sz w:val="24"/>
          <w:u w:val="single"/>
        </w:rPr>
        <w:t>Users</w:t>
      </w:r>
    </w:p>
    <w:p>
      <w:pPr>
        <w:pStyle w:val="BodyText"/>
        <w:spacing w:before="266"/>
        <w:ind w:left="120" w:right="218"/>
      </w:pPr>
      <w:r>
        <w:t>HHS</w:t>
      </w:r>
      <w:r>
        <w:rPr>
          <w:spacing w:val="-7"/>
        </w:rPr>
        <w:t xml:space="preserve"> </w:t>
      </w:r>
      <w:r>
        <w:t>will</w:t>
      </w:r>
      <w:r>
        <w:rPr>
          <w:spacing w:val="-5"/>
        </w:rPr>
        <w:t xml:space="preserve"> </w:t>
      </w:r>
      <w:r>
        <w:t>use</w:t>
      </w:r>
      <w:r>
        <w:rPr>
          <w:spacing w:val="-6"/>
        </w:rPr>
        <w:t xml:space="preserve"> </w:t>
      </w:r>
      <w:r>
        <w:t>the</w:t>
      </w:r>
      <w:r>
        <w:rPr>
          <w:spacing w:val="-7"/>
        </w:rPr>
        <w:t xml:space="preserve"> </w:t>
      </w:r>
      <w:r>
        <w:t>requested</w:t>
      </w:r>
      <w:r>
        <w:rPr>
          <w:spacing w:val="-10"/>
        </w:rPr>
        <w:t xml:space="preserve"> </w:t>
      </w:r>
      <w:r>
        <w:t>information</w:t>
      </w:r>
      <w:r>
        <w:rPr>
          <w:spacing w:val="-6"/>
        </w:rPr>
        <w:t xml:space="preserve"> </w:t>
      </w:r>
      <w:r>
        <w:t>from</w:t>
      </w:r>
      <w:r>
        <w:rPr>
          <w:spacing w:val="-5"/>
        </w:rPr>
        <w:t xml:space="preserve"> </w:t>
      </w:r>
      <w:r>
        <w:t>agents,</w:t>
      </w:r>
      <w:r>
        <w:rPr>
          <w:spacing w:val="-6"/>
        </w:rPr>
        <w:t xml:space="preserve"> </w:t>
      </w:r>
      <w:r>
        <w:t>brokers,</w:t>
      </w:r>
      <w:r>
        <w:rPr>
          <w:spacing w:val="-7"/>
        </w:rPr>
        <w:t xml:space="preserve"> </w:t>
      </w:r>
      <w:r>
        <w:t>and</w:t>
      </w:r>
      <w:r>
        <w:rPr>
          <w:spacing w:val="-6"/>
        </w:rPr>
        <w:t xml:space="preserve"> </w:t>
      </w:r>
      <w:r>
        <w:t>web-brokers</w:t>
      </w:r>
      <w:r>
        <w:rPr>
          <w:spacing w:val="-7"/>
        </w:rPr>
        <w:t xml:space="preserve"> </w:t>
      </w:r>
      <w:r>
        <w:t>to</w:t>
      </w:r>
      <w:r>
        <w:rPr>
          <w:spacing w:val="-6"/>
        </w:rPr>
        <w:t xml:space="preserve"> </w:t>
      </w:r>
      <w:r>
        <w:t>verify</w:t>
      </w:r>
      <w:r>
        <w:rPr>
          <w:spacing w:val="-6"/>
        </w:rPr>
        <w:t xml:space="preserve"> </w:t>
      </w:r>
      <w:r>
        <w:t>whether or not they have sufficiently obtained consent and documentation of eligibility information review</w:t>
      </w:r>
      <w:r>
        <w:rPr>
          <w:spacing w:val="-3"/>
        </w:rPr>
        <w:t xml:space="preserve"> </w:t>
      </w:r>
      <w:r>
        <w:t>from</w:t>
      </w:r>
      <w:r>
        <w:rPr>
          <w:spacing w:val="-2"/>
        </w:rPr>
        <w:t xml:space="preserve"> </w:t>
      </w:r>
      <w:r>
        <w:t>the</w:t>
      </w:r>
      <w:r>
        <w:rPr>
          <w:spacing w:val="-1"/>
        </w:rPr>
        <w:t xml:space="preserve"> </w:t>
      </w:r>
      <w:r>
        <w:t>consumers</w:t>
      </w:r>
      <w:r>
        <w:rPr>
          <w:spacing w:val="-2"/>
        </w:rPr>
        <w:t xml:space="preserve"> </w:t>
      </w:r>
      <w:r>
        <w:t>they</w:t>
      </w:r>
      <w:r>
        <w:rPr>
          <w:spacing w:val="-3"/>
        </w:rPr>
        <w:t xml:space="preserve"> </w:t>
      </w:r>
      <w:r>
        <w:t>are</w:t>
      </w:r>
      <w:r>
        <w:rPr>
          <w:spacing w:val="-2"/>
        </w:rPr>
        <w:t xml:space="preserve"> </w:t>
      </w:r>
      <w:r>
        <w:t>assisting</w:t>
      </w:r>
      <w:r>
        <w:rPr>
          <w:spacing w:val="-3"/>
        </w:rPr>
        <w:t xml:space="preserve"> </w:t>
      </w:r>
      <w:r>
        <w:t>in</w:t>
      </w:r>
      <w:r>
        <w:rPr>
          <w:spacing w:val="-3"/>
        </w:rPr>
        <w:t xml:space="preserve"> </w:t>
      </w:r>
      <w:r>
        <w:t>enrolling</w:t>
      </w:r>
      <w:r>
        <w:rPr>
          <w:spacing w:val="-3"/>
        </w:rPr>
        <w:t xml:space="preserve"> </w:t>
      </w:r>
      <w:r>
        <w:t>in</w:t>
      </w:r>
      <w:r>
        <w:rPr>
          <w:spacing w:val="-3"/>
        </w:rPr>
        <w:t xml:space="preserve"> </w:t>
      </w:r>
      <w:r>
        <w:t>coverage</w:t>
      </w:r>
      <w:r>
        <w:rPr>
          <w:spacing w:val="-2"/>
        </w:rPr>
        <w:t xml:space="preserve"> </w:t>
      </w:r>
      <w:r>
        <w:t>in</w:t>
      </w:r>
      <w:r>
        <w:rPr>
          <w:spacing w:val="-3"/>
        </w:rPr>
        <w:t xml:space="preserve"> </w:t>
      </w:r>
      <w:r>
        <w:t>the</w:t>
      </w:r>
      <w:r>
        <w:rPr>
          <w:spacing w:val="-1"/>
        </w:rPr>
        <w:t xml:space="preserve"> </w:t>
      </w:r>
      <w:r>
        <w:t>individual</w:t>
      </w:r>
      <w:r>
        <w:rPr>
          <w:spacing w:val="-1"/>
        </w:rPr>
        <w:t xml:space="preserve"> </w:t>
      </w:r>
      <w:r>
        <w:t>market</w:t>
      </w:r>
      <w:r>
        <w:rPr>
          <w:spacing w:val="-2"/>
        </w:rPr>
        <w:t xml:space="preserve"> </w:t>
      </w:r>
      <w:r>
        <w:t>if HHS so chooses.</w:t>
      </w:r>
    </w:p>
    <w:p>
      <w:pPr>
        <w:pStyle w:val="BodyText"/>
      </w:pPr>
    </w:p>
    <w:p>
      <w:pPr>
        <w:pStyle w:val="ListParagraph"/>
        <w:numPr>
          <w:ilvl w:val="1"/>
          <w:numId w:val="1"/>
        </w:numPr>
        <w:tabs>
          <w:tab w:val="left" w:pos="818"/>
        </w:tabs>
        <w:spacing w:before="1" w:after="0" w:line="240" w:lineRule="auto"/>
        <w:ind w:left="818" w:right="0" w:hanging="698"/>
        <w:jc w:val="left"/>
        <w:rPr>
          <w:sz w:val="24"/>
          <w:u w:val="none"/>
        </w:rPr>
      </w:pPr>
      <w:r>
        <w:rPr>
          <w:sz w:val="24"/>
          <w:u w:val="single"/>
        </w:rPr>
        <w:t>Use</w:t>
      </w:r>
      <w:r>
        <w:rPr>
          <w:spacing w:val="-6"/>
          <w:sz w:val="24"/>
          <w:u w:val="single"/>
        </w:rPr>
        <w:t xml:space="preserve"> </w:t>
      </w:r>
      <w:r>
        <w:rPr>
          <w:sz w:val="24"/>
          <w:u w:val="single"/>
        </w:rPr>
        <w:t>of</w:t>
      </w:r>
      <w:r>
        <w:rPr>
          <w:spacing w:val="-6"/>
          <w:sz w:val="24"/>
          <w:u w:val="single"/>
        </w:rPr>
        <w:t xml:space="preserve"> </w:t>
      </w:r>
      <w:r>
        <w:rPr>
          <w:sz w:val="24"/>
          <w:u w:val="single"/>
        </w:rPr>
        <w:t>Information</w:t>
      </w:r>
      <w:r>
        <w:rPr>
          <w:spacing w:val="-5"/>
          <w:sz w:val="24"/>
          <w:u w:val="single"/>
        </w:rPr>
        <w:t xml:space="preserve"> </w:t>
      </w:r>
      <w:r>
        <w:rPr>
          <w:spacing w:val="-2"/>
          <w:sz w:val="24"/>
          <w:u w:val="single"/>
        </w:rPr>
        <w:t>Technology</w:t>
      </w:r>
    </w:p>
    <w:p>
      <w:pPr>
        <w:pStyle w:val="BodyText"/>
        <w:spacing w:before="276"/>
        <w:ind w:left="120" w:right="346"/>
      </w:pPr>
      <w:r>
        <w:t>HHS is not mandating a specific format or method for collecting and maintaining the documentation stating a consumer reviewed and deemed their eligibility information accurate, nor consumer consent records. HHS has provided a model consumer consent form for agents, brokers, and web-brokers to use if they so choose. HHS will provide a model eligibility application information review form for agents, brokers, and web-brokers to use if they so choose. Both forms will include scripts agents, brokers, and web-brokers may use when enrolling</w:t>
      </w:r>
      <w:r>
        <w:rPr>
          <w:spacing w:val="-3"/>
        </w:rPr>
        <w:t xml:space="preserve"> </w:t>
      </w:r>
      <w:r>
        <w:t>consumers</w:t>
      </w:r>
      <w:r>
        <w:rPr>
          <w:spacing w:val="-3"/>
        </w:rPr>
        <w:t xml:space="preserve"> </w:t>
      </w:r>
      <w:r>
        <w:t>over</w:t>
      </w:r>
      <w:r>
        <w:rPr>
          <w:spacing w:val="-3"/>
        </w:rPr>
        <w:t xml:space="preserve"> </w:t>
      </w:r>
      <w:r>
        <w:t>the</w:t>
      </w:r>
      <w:r>
        <w:rPr>
          <w:spacing w:val="-3"/>
        </w:rPr>
        <w:t xml:space="preserve"> </w:t>
      </w:r>
      <w:r>
        <w:t>phone,</w:t>
      </w:r>
      <w:r>
        <w:rPr>
          <w:spacing w:val="-5"/>
        </w:rPr>
        <w:t xml:space="preserve"> </w:t>
      </w:r>
      <w:r>
        <w:t>if</w:t>
      </w:r>
      <w:r>
        <w:rPr>
          <w:spacing w:val="-3"/>
        </w:rPr>
        <w:t xml:space="preserve"> </w:t>
      </w:r>
      <w:r>
        <w:t>they</w:t>
      </w:r>
      <w:r>
        <w:rPr>
          <w:spacing w:val="-3"/>
        </w:rPr>
        <w:t xml:space="preserve"> </w:t>
      </w:r>
      <w:r>
        <w:t>so</w:t>
      </w:r>
      <w:r>
        <w:rPr>
          <w:spacing w:val="-3"/>
        </w:rPr>
        <w:t xml:space="preserve"> </w:t>
      </w:r>
      <w:r>
        <w:t>choose,</w:t>
      </w:r>
      <w:r>
        <w:rPr>
          <w:spacing w:val="-3"/>
        </w:rPr>
        <w:t xml:space="preserve"> </w:t>
      </w:r>
      <w:r>
        <w:t>to</w:t>
      </w:r>
      <w:r>
        <w:rPr>
          <w:spacing w:val="-3"/>
        </w:rPr>
        <w:t xml:space="preserve"> </w:t>
      </w:r>
      <w:r>
        <w:t>meet</w:t>
      </w:r>
      <w:r>
        <w:rPr>
          <w:spacing w:val="-3"/>
        </w:rPr>
        <w:t xml:space="preserve"> </w:t>
      </w:r>
      <w:r>
        <w:t>the</w:t>
      </w:r>
      <w:r>
        <w:rPr>
          <w:spacing w:val="-4"/>
        </w:rPr>
        <w:t xml:space="preserve"> </w:t>
      </w:r>
      <w:r>
        <w:t>requirements</w:t>
      </w:r>
      <w:r>
        <w:rPr>
          <w:spacing w:val="-3"/>
        </w:rPr>
        <w:t xml:space="preserve"> </w:t>
      </w:r>
      <w:r>
        <w:t>detailed</w:t>
      </w:r>
      <w:r>
        <w:rPr>
          <w:spacing w:val="-3"/>
        </w:rPr>
        <w:t xml:space="preserve"> </w:t>
      </w:r>
      <w:r>
        <w:t>in</w:t>
      </w:r>
      <w:r>
        <w:rPr>
          <w:spacing w:val="-3"/>
        </w:rPr>
        <w:t xml:space="preserve"> </w:t>
      </w:r>
      <w:r>
        <w:t>the regulations. HHS anticipates documentation collection methods will vary, ranging from electronic format to paper documentation. However, HHS does request that submitted</w:t>
      </w:r>
    </w:p>
    <w:p>
      <w:pPr>
        <w:spacing w:after="0"/>
        <w:sectPr>
          <w:pgSz w:w="12240" w:h="15840"/>
          <w:pgMar w:top="1380" w:right="1300" w:bottom="1200" w:left="1320" w:header="0" w:footer="1001"/>
          <w:cols w:space="720"/>
        </w:sectPr>
      </w:pPr>
    </w:p>
    <w:p>
      <w:pPr>
        <w:pStyle w:val="BodyText"/>
        <w:spacing w:before="60"/>
        <w:ind w:left="120" w:right="388"/>
      </w:pPr>
      <w:bookmarkStart w:id="6" w:name="4. Duplication of Efforts"/>
      <w:bookmarkEnd w:id="6"/>
      <w:bookmarkStart w:id="7" w:name="5. Small Businesses"/>
      <w:bookmarkEnd w:id="7"/>
      <w:bookmarkStart w:id="8" w:name="6. Less Frequent Collection"/>
      <w:bookmarkEnd w:id="8"/>
      <w:bookmarkStart w:id="9" w:name="7. Special Circumstances"/>
      <w:bookmarkEnd w:id="9"/>
      <w:bookmarkStart w:id="10" w:name="8. Federal Register/Outside Consultation"/>
      <w:bookmarkEnd w:id="10"/>
      <w:bookmarkStart w:id="11" w:name="9. Payments/Gifts to Respondents"/>
      <w:bookmarkEnd w:id="11"/>
      <w:bookmarkStart w:id="12" w:name="10. Confidentiality"/>
      <w:bookmarkEnd w:id="12"/>
      <w:r>
        <w:t>documentation be provided to HHS in an electronic format. This will ensure there are no delays</w:t>
      </w:r>
      <w:r>
        <w:rPr>
          <w:spacing w:val="-1"/>
        </w:rPr>
        <w:t xml:space="preserve"> </w:t>
      </w:r>
      <w:r>
        <w:t>in receiving</w:t>
      </w:r>
      <w:r>
        <w:rPr>
          <w:spacing w:val="-1"/>
        </w:rPr>
        <w:t xml:space="preserve"> </w:t>
      </w:r>
      <w:r>
        <w:t>the requested</w:t>
      </w:r>
      <w:r>
        <w:rPr>
          <w:spacing w:val="-1"/>
        </w:rPr>
        <w:t xml:space="preserve"> </w:t>
      </w:r>
      <w:r>
        <w:t>information and</w:t>
      </w:r>
      <w:r>
        <w:rPr>
          <w:spacing w:val="-1"/>
        </w:rPr>
        <w:t xml:space="preserve"> </w:t>
      </w:r>
      <w:r>
        <w:t>will allow HHS to review the information</w:t>
      </w:r>
      <w:r>
        <w:rPr>
          <w:spacing w:val="-1"/>
        </w:rPr>
        <w:t xml:space="preserve"> </w:t>
      </w:r>
      <w:r>
        <w:t>in an</w:t>
      </w:r>
      <w:r>
        <w:rPr>
          <w:spacing w:val="-3"/>
        </w:rPr>
        <w:t xml:space="preserve"> </w:t>
      </w:r>
      <w:r>
        <w:t>expeditious</w:t>
      </w:r>
      <w:r>
        <w:rPr>
          <w:spacing w:val="-3"/>
        </w:rPr>
        <w:t xml:space="preserve"> </w:t>
      </w:r>
      <w:r>
        <w:t>manner</w:t>
      </w:r>
      <w:r>
        <w:rPr>
          <w:spacing w:val="-4"/>
        </w:rPr>
        <w:t xml:space="preserve"> </w:t>
      </w:r>
      <w:r>
        <w:t>and</w:t>
      </w:r>
      <w:r>
        <w:rPr>
          <w:spacing w:val="-4"/>
        </w:rPr>
        <w:t xml:space="preserve"> </w:t>
      </w:r>
      <w:r>
        <w:t>determine</w:t>
      </w:r>
      <w:r>
        <w:rPr>
          <w:spacing w:val="-3"/>
        </w:rPr>
        <w:t xml:space="preserve"> </w:t>
      </w:r>
      <w:r>
        <w:t>if</w:t>
      </w:r>
      <w:r>
        <w:rPr>
          <w:spacing w:val="-3"/>
        </w:rPr>
        <w:t xml:space="preserve"> </w:t>
      </w:r>
      <w:r>
        <w:t>any</w:t>
      </w:r>
      <w:r>
        <w:rPr>
          <w:spacing w:val="-5"/>
        </w:rPr>
        <w:t xml:space="preserve"> </w:t>
      </w:r>
      <w:r>
        <w:t>fraudulent</w:t>
      </w:r>
      <w:r>
        <w:rPr>
          <w:spacing w:val="-3"/>
        </w:rPr>
        <w:t xml:space="preserve"> </w:t>
      </w:r>
      <w:r>
        <w:t>activity</w:t>
      </w:r>
      <w:r>
        <w:rPr>
          <w:spacing w:val="-3"/>
        </w:rPr>
        <w:t xml:space="preserve"> </w:t>
      </w:r>
      <w:r>
        <w:t>was</w:t>
      </w:r>
      <w:r>
        <w:rPr>
          <w:spacing w:val="-3"/>
        </w:rPr>
        <w:t xml:space="preserve"> </w:t>
      </w:r>
      <w:r>
        <w:t>committed</w:t>
      </w:r>
      <w:r>
        <w:rPr>
          <w:spacing w:val="-3"/>
        </w:rPr>
        <w:t xml:space="preserve"> </w:t>
      </w:r>
      <w:r>
        <w:t>as</w:t>
      </w:r>
      <w:r>
        <w:rPr>
          <w:spacing w:val="-4"/>
        </w:rPr>
        <w:t xml:space="preserve"> </w:t>
      </w:r>
      <w:r>
        <w:t>it</w:t>
      </w:r>
      <w:r>
        <w:rPr>
          <w:spacing w:val="-4"/>
        </w:rPr>
        <w:t xml:space="preserve"> </w:t>
      </w:r>
      <w:r>
        <w:t>relates</w:t>
      </w:r>
      <w:r>
        <w:rPr>
          <w:spacing w:val="-3"/>
        </w:rPr>
        <w:t xml:space="preserve"> </w:t>
      </w:r>
      <w:r>
        <w:t>to</w:t>
      </w:r>
      <w:r>
        <w:rPr>
          <w:spacing w:val="-4"/>
        </w:rPr>
        <w:t xml:space="preserve"> </w:t>
      </w:r>
      <w:r>
        <w:t>a consumer reviewing and deeming their eligibility application was correct and obtaining consumer consent.</w:t>
      </w:r>
    </w:p>
    <w:p>
      <w:pPr>
        <w:pStyle w:val="BodyText"/>
      </w:pPr>
    </w:p>
    <w:p>
      <w:pPr>
        <w:pStyle w:val="ListParagraph"/>
        <w:numPr>
          <w:ilvl w:val="1"/>
          <w:numId w:val="1"/>
        </w:numPr>
        <w:tabs>
          <w:tab w:val="left" w:pos="818"/>
        </w:tabs>
        <w:spacing w:before="0" w:after="0" w:line="240" w:lineRule="auto"/>
        <w:ind w:left="818" w:right="0" w:hanging="698"/>
        <w:jc w:val="left"/>
        <w:rPr>
          <w:sz w:val="24"/>
          <w:u w:val="none"/>
        </w:rPr>
      </w:pPr>
      <w:r>
        <w:rPr>
          <w:sz w:val="24"/>
          <w:u w:val="single"/>
        </w:rPr>
        <w:t>Duplication</w:t>
      </w:r>
      <w:r>
        <w:rPr>
          <w:spacing w:val="-4"/>
          <w:sz w:val="24"/>
          <w:u w:val="single"/>
        </w:rPr>
        <w:t xml:space="preserve"> </w:t>
      </w:r>
      <w:r>
        <w:rPr>
          <w:sz w:val="24"/>
          <w:u w:val="single"/>
        </w:rPr>
        <w:t>of</w:t>
      </w:r>
      <w:r>
        <w:rPr>
          <w:spacing w:val="-4"/>
          <w:sz w:val="24"/>
          <w:u w:val="single"/>
        </w:rPr>
        <w:t xml:space="preserve"> </w:t>
      </w:r>
      <w:r>
        <w:rPr>
          <w:spacing w:val="-2"/>
          <w:sz w:val="24"/>
          <w:u w:val="single"/>
        </w:rPr>
        <w:t>Efforts</w:t>
      </w:r>
    </w:p>
    <w:p>
      <w:pPr>
        <w:pStyle w:val="BodyText"/>
      </w:pPr>
    </w:p>
    <w:p>
      <w:pPr>
        <w:pStyle w:val="BodyText"/>
        <w:ind w:left="120"/>
      </w:pPr>
      <w:r>
        <w:t>This</w:t>
      </w:r>
      <w:r>
        <w:rPr>
          <w:spacing w:val="-9"/>
        </w:rPr>
        <w:t xml:space="preserve"> </w:t>
      </w:r>
      <w:r>
        <w:t>information</w:t>
      </w:r>
      <w:r>
        <w:rPr>
          <w:spacing w:val="-7"/>
        </w:rPr>
        <w:t xml:space="preserve"> </w:t>
      </w:r>
      <w:r>
        <w:t>collection</w:t>
      </w:r>
      <w:r>
        <w:rPr>
          <w:spacing w:val="-5"/>
        </w:rPr>
        <w:t xml:space="preserve"> </w:t>
      </w:r>
      <w:r>
        <w:t>does</w:t>
      </w:r>
      <w:r>
        <w:rPr>
          <w:spacing w:val="-6"/>
        </w:rPr>
        <w:t xml:space="preserve"> </w:t>
      </w:r>
      <w:r>
        <w:t>not</w:t>
      </w:r>
      <w:r>
        <w:rPr>
          <w:spacing w:val="-6"/>
        </w:rPr>
        <w:t xml:space="preserve"> </w:t>
      </w:r>
      <w:r>
        <w:t>duplicate</w:t>
      </w:r>
      <w:r>
        <w:rPr>
          <w:spacing w:val="-7"/>
        </w:rPr>
        <w:t xml:space="preserve"> </w:t>
      </w:r>
      <w:r>
        <w:t>any</w:t>
      </w:r>
      <w:r>
        <w:rPr>
          <w:spacing w:val="-12"/>
        </w:rPr>
        <w:t xml:space="preserve"> </w:t>
      </w:r>
      <w:r>
        <w:t>other</w:t>
      </w:r>
      <w:r>
        <w:rPr>
          <w:spacing w:val="-6"/>
        </w:rPr>
        <w:t xml:space="preserve"> </w:t>
      </w:r>
      <w:r>
        <w:t>Federal</w:t>
      </w:r>
      <w:r>
        <w:rPr>
          <w:spacing w:val="-6"/>
        </w:rPr>
        <w:t xml:space="preserve"> </w:t>
      </w:r>
      <w:r>
        <w:rPr>
          <w:spacing w:val="-2"/>
        </w:rPr>
        <w:t>effort.</w:t>
      </w:r>
    </w:p>
    <w:p>
      <w:pPr>
        <w:pStyle w:val="BodyText"/>
      </w:pPr>
    </w:p>
    <w:p>
      <w:pPr>
        <w:pStyle w:val="ListParagraph"/>
        <w:numPr>
          <w:ilvl w:val="1"/>
          <w:numId w:val="1"/>
        </w:numPr>
        <w:tabs>
          <w:tab w:val="left" w:pos="818"/>
        </w:tabs>
        <w:spacing w:before="0" w:after="0" w:line="240" w:lineRule="auto"/>
        <w:ind w:left="818" w:right="0" w:hanging="698"/>
        <w:jc w:val="left"/>
        <w:rPr>
          <w:sz w:val="24"/>
          <w:u w:val="none"/>
        </w:rPr>
      </w:pPr>
      <w:r>
        <w:rPr>
          <w:sz w:val="24"/>
          <w:u w:val="single"/>
        </w:rPr>
        <w:t xml:space="preserve">Small </w:t>
      </w:r>
      <w:r>
        <w:rPr>
          <w:spacing w:val="-2"/>
          <w:sz w:val="24"/>
          <w:u w:val="single"/>
        </w:rPr>
        <w:t>Businesses</w:t>
      </w:r>
    </w:p>
    <w:p>
      <w:pPr>
        <w:pStyle w:val="BodyText"/>
      </w:pPr>
    </w:p>
    <w:p>
      <w:pPr>
        <w:pStyle w:val="BodyText"/>
        <w:ind w:left="120"/>
      </w:pPr>
      <w:r>
        <w:t>This</w:t>
      </w:r>
      <w:r>
        <w:rPr>
          <w:spacing w:val="-7"/>
        </w:rPr>
        <w:t xml:space="preserve"> </w:t>
      </w:r>
      <w:r>
        <w:t>information</w:t>
      </w:r>
      <w:r>
        <w:rPr>
          <w:spacing w:val="-6"/>
        </w:rPr>
        <w:t xml:space="preserve"> </w:t>
      </w:r>
      <w:r>
        <w:t>collection</w:t>
      </w:r>
      <w:r>
        <w:rPr>
          <w:spacing w:val="-3"/>
        </w:rPr>
        <w:t xml:space="preserve"> </w:t>
      </w:r>
      <w:r>
        <w:t>does</w:t>
      </w:r>
      <w:r>
        <w:rPr>
          <w:spacing w:val="-6"/>
        </w:rPr>
        <w:t xml:space="preserve"> </w:t>
      </w:r>
      <w:r>
        <w:t>not</w:t>
      </w:r>
      <w:r>
        <w:rPr>
          <w:spacing w:val="-5"/>
        </w:rPr>
        <w:t xml:space="preserve"> </w:t>
      </w:r>
      <w:r>
        <w:t>have</w:t>
      </w:r>
      <w:r>
        <w:rPr>
          <w:spacing w:val="-11"/>
        </w:rPr>
        <w:t xml:space="preserve"> </w:t>
      </w:r>
      <w:r>
        <w:t>a</w:t>
      </w:r>
      <w:r>
        <w:rPr>
          <w:spacing w:val="-4"/>
        </w:rPr>
        <w:t xml:space="preserve"> </w:t>
      </w:r>
      <w:r>
        <w:t>significant</w:t>
      </w:r>
      <w:r>
        <w:rPr>
          <w:spacing w:val="-4"/>
        </w:rPr>
        <w:t xml:space="preserve"> </w:t>
      </w:r>
      <w:r>
        <w:t>impact</w:t>
      </w:r>
      <w:r>
        <w:rPr>
          <w:spacing w:val="-5"/>
        </w:rPr>
        <w:t xml:space="preserve"> </w:t>
      </w:r>
      <w:r>
        <w:t>on</w:t>
      </w:r>
      <w:r>
        <w:rPr>
          <w:spacing w:val="-5"/>
        </w:rPr>
        <w:t xml:space="preserve"> </w:t>
      </w:r>
      <w:r>
        <w:t>small</w:t>
      </w:r>
      <w:r>
        <w:rPr>
          <w:spacing w:val="-2"/>
        </w:rPr>
        <w:t xml:space="preserve"> business.</w:t>
      </w:r>
    </w:p>
    <w:p>
      <w:pPr>
        <w:pStyle w:val="BodyText"/>
      </w:pPr>
    </w:p>
    <w:p>
      <w:pPr>
        <w:pStyle w:val="ListParagraph"/>
        <w:numPr>
          <w:ilvl w:val="1"/>
          <w:numId w:val="1"/>
        </w:numPr>
        <w:tabs>
          <w:tab w:val="left" w:pos="818"/>
        </w:tabs>
        <w:spacing w:before="0" w:after="0" w:line="240" w:lineRule="auto"/>
        <w:ind w:left="818" w:right="0" w:hanging="698"/>
        <w:jc w:val="left"/>
        <w:rPr>
          <w:sz w:val="24"/>
          <w:u w:val="none"/>
        </w:rPr>
      </w:pPr>
      <w:r>
        <w:rPr>
          <w:sz w:val="24"/>
          <w:u w:val="single"/>
        </w:rPr>
        <w:t>Less</w:t>
      </w:r>
      <w:r>
        <w:rPr>
          <w:spacing w:val="-9"/>
          <w:sz w:val="24"/>
          <w:u w:val="single"/>
        </w:rPr>
        <w:t xml:space="preserve"> </w:t>
      </w:r>
      <w:r>
        <w:rPr>
          <w:sz w:val="24"/>
          <w:u w:val="single"/>
        </w:rPr>
        <w:t>Frequent</w:t>
      </w:r>
      <w:r>
        <w:rPr>
          <w:spacing w:val="-5"/>
          <w:sz w:val="24"/>
          <w:u w:val="single"/>
        </w:rPr>
        <w:t xml:space="preserve"> </w:t>
      </w:r>
      <w:r>
        <w:rPr>
          <w:spacing w:val="-2"/>
          <w:sz w:val="24"/>
          <w:u w:val="single"/>
        </w:rPr>
        <w:t>Collection</w:t>
      </w:r>
    </w:p>
    <w:p>
      <w:pPr>
        <w:pStyle w:val="BodyText"/>
      </w:pPr>
    </w:p>
    <w:p>
      <w:pPr>
        <w:pStyle w:val="BodyText"/>
        <w:ind w:left="119" w:right="236"/>
      </w:pPr>
      <w:r>
        <w:t>The policy requires that consumer documentation about their consent and review and confirmation of their eligibility application be collected from agents, brokers, and web-brokers as needed. If information is collected on a less frequent basis, HHS will be unable to resolve issues between agents, brokers, or web-brokers and consumers or two or more agents, brokers, or</w:t>
      </w:r>
      <w:r>
        <w:rPr>
          <w:spacing w:val="-2"/>
        </w:rPr>
        <w:t xml:space="preserve"> </w:t>
      </w:r>
      <w:r>
        <w:t>web-brokers</w:t>
      </w:r>
      <w:r>
        <w:rPr>
          <w:spacing w:val="-2"/>
        </w:rPr>
        <w:t xml:space="preserve"> </w:t>
      </w:r>
      <w:r>
        <w:t>regarding</w:t>
      </w:r>
      <w:r>
        <w:rPr>
          <w:spacing w:val="-2"/>
        </w:rPr>
        <w:t xml:space="preserve"> </w:t>
      </w:r>
      <w:r>
        <w:t>whether</w:t>
      </w:r>
      <w:r>
        <w:rPr>
          <w:spacing w:val="-2"/>
        </w:rPr>
        <w:t xml:space="preserve"> </w:t>
      </w:r>
      <w:r>
        <w:t>eligibility</w:t>
      </w:r>
      <w:r>
        <w:rPr>
          <w:spacing w:val="-2"/>
        </w:rPr>
        <w:t xml:space="preserve"> </w:t>
      </w:r>
      <w:r>
        <w:t>information</w:t>
      </w:r>
      <w:r>
        <w:rPr>
          <w:spacing w:val="-3"/>
        </w:rPr>
        <w:t xml:space="preserve"> </w:t>
      </w:r>
      <w:r>
        <w:t>was</w:t>
      </w:r>
      <w:r>
        <w:rPr>
          <w:spacing w:val="-3"/>
        </w:rPr>
        <w:t xml:space="preserve"> </w:t>
      </w:r>
      <w:r>
        <w:t>reviewed</w:t>
      </w:r>
      <w:r>
        <w:rPr>
          <w:spacing w:val="-3"/>
        </w:rPr>
        <w:t xml:space="preserve"> </w:t>
      </w:r>
      <w:r>
        <w:t>and</w:t>
      </w:r>
      <w:r>
        <w:rPr>
          <w:spacing w:val="-2"/>
        </w:rPr>
        <w:t xml:space="preserve"> </w:t>
      </w:r>
      <w:r>
        <w:t>deemed</w:t>
      </w:r>
      <w:r>
        <w:rPr>
          <w:spacing w:val="-2"/>
        </w:rPr>
        <w:t xml:space="preserve"> </w:t>
      </w:r>
      <w:r>
        <w:t>accurate</w:t>
      </w:r>
      <w:r>
        <w:rPr>
          <w:spacing w:val="-2"/>
        </w:rPr>
        <w:t xml:space="preserve"> </w:t>
      </w:r>
      <w:r>
        <w:t>by the consumer, or one who has been</w:t>
      </w:r>
      <w:r>
        <w:rPr>
          <w:spacing w:val="40"/>
        </w:rPr>
        <w:t xml:space="preserve"> </w:t>
      </w:r>
      <w:r>
        <w:t>authorized to act on behalf of a consumer, in a timely manner. This could expose consumers and the FFEs to increased risk of incorrect eligibility determinations</w:t>
      </w:r>
      <w:r>
        <w:rPr>
          <w:spacing w:val="-4"/>
        </w:rPr>
        <w:t xml:space="preserve"> </w:t>
      </w:r>
      <w:r>
        <w:t>or</w:t>
      </w:r>
      <w:r>
        <w:rPr>
          <w:spacing w:val="-4"/>
        </w:rPr>
        <w:t xml:space="preserve"> </w:t>
      </w:r>
      <w:r>
        <w:t>fraudulent</w:t>
      </w:r>
      <w:r>
        <w:rPr>
          <w:spacing w:val="-4"/>
        </w:rPr>
        <w:t xml:space="preserve"> </w:t>
      </w:r>
      <w:r>
        <w:t>activities.</w:t>
      </w:r>
      <w:r>
        <w:rPr>
          <w:spacing w:val="-4"/>
        </w:rPr>
        <w:t xml:space="preserve"> </w:t>
      </w:r>
      <w:r>
        <w:t>Therefore,</w:t>
      </w:r>
      <w:r>
        <w:rPr>
          <w:spacing w:val="-6"/>
        </w:rPr>
        <w:t xml:space="preserve"> </w:t>
      </w:r>
      <w:r>
        <w:t>this</w:t>
      </w:r>
      <w:r>
        <w:rPr>
          <w:spacing w:val="-7"/>
        </w:rPr>
        <w:t xml:space="preserve"> </w:t>
      </w:r>
      <w:r>
        <w:t>information</w:t>
      </w:r>
      <w:r>
        <w:rPr>
          <w:spacing w:val="-8"/>
        </w:rPr>
        <w:t xml:space="preserve"> </w:t>
      </w:r>
      <w:r>
        <w:t>must</w:t>
      </w:r>
      <w:r>
        <w:rPr>
          <w:spacing w:val="-4"/>
        </w:rPr>
        <w:t xml:space="preserve"> </w:t>
      </w:r>
      <w:r>
        <w:t>be</w:t>
      </w:r>
      <w:r>
        <w:rPr>
          <w:spacing w:val="-10"/>
        </w:rPr>
        <w:t xml:space="preserve"> </w:t>
      </w:r>
      <w:r>
        <w:t>collected</w:t>
      </w:r>
      <w:r>
        <w:rPr>
          <w:spacing w:val="-6"/>
        </w:rPr>
        <w:t xml:space="preserve"> </w:t>
      </w:r>
      <w:r>
        <w:t>year-round and provided to HHS once annually if it so chooses.</w:t>
      </w:r>
    </w:p>
    <w:p>
      <w:pPr>
        <w:pStyle w:val="ListParagraph"/>
        <w:numPr>
          <w:ilvl w:val="1"/>
          <w:numId w:val="1"/>
        </w:numPr>
        <w:tabs>
          <w:tab w:val="left" w:pos="818"/>
        </w:tabs>
        <w:spacing w:before="275" w:after="0" w:line="240" w:lineRule="auto"/>
        <w:ind w:left="818" w:right="0" w:hanging="698"/>
        <w:jc w:val="left"/>
        <w:rPr>
          <w:sz w:val="24"/>
          <w:u w:val="none"/>
        </w:rPr>
      </w:pPr>
      <w:r>
        <w:rPr>
          <w:sz w:val="24"/>
          <w:u w:val="single"/>
        </w:rPr>
        <w:t>Special</w:t>
      </w:r>
      <w:r>
        <w:rPr>
          <w:spacing w:val="-2"/>
          <w:sz w:val="24"/>
          <w:u w:val="single"/>
        </w:rPr>
        <w:t xml:space="preserve"> Circumstances</w:t>
      </w:r>
    </w:p>
    <w:p>
      <w:pPr>
        <w:pStyle w:val="BodyText"/>
      </w:pPr>
    </w:p>
    <w:p>
      <w:pPr>
        <w:pStyle w:val="BodyText"/>
        <w:ind w:left="120"/>
      </w:pPr>
      <w:r>
        <w:t>There</w:t>
      </w:r>
      <w:r>
        <w:rPr>
          <w:spacing w:val="-3"/>
        </w:rPr>
        <w:t xml:space="preserve"> </w:t>
      </w:r>
      <w:r>
        <w:t>are</w:t>
      </w:r>
      <w:r>
        <w:rPr>
          <w:spacing w:val="-2"/>
        </w:rPr>
        <w:t xml:space="preserve"> </w:t>
      </w:r>
      <w:r>
        <w:t>no</w:t>
      </w:r>
      <w:r>
        <w:rPr>
          <w:spacing w:val="-6"/>
        </w:rPr>
        <w:t xml:space="preserve"> </w:t>
      </w:r>
      <w:r>
        <w:t>anticipated</w:t>
      </w:r>
      <w:r>
        <w:rPr>
          <w:spacing w:val="-5"/>
        </w:rPr>
        <w:t xml:space="preserve"> </w:t>
      </w:r>
      <w:r>
        <w:t>special</w:t>
      </w:r>
      <w:r>
        <w:rPr>
          <w:spacing w:val="-1"/>
        </w:rPr>
        <w:t xml:space="preserve"> </w:t>
      </w:r>
      <w:r>
        <w:rPr>
          <w:spacing w:val="-2"/>
        </w:rPr>
        <w:t>circumstances.</w:t>
      </w:r>
    </w:p>
    <w:p>
      <w:pPr>
        <w:pStyle w:val="BodyText"/>
      </w:pPr>
    </w:p>
    <w:p>
      <w:pPr>
        <w:pStyle w:val="ListParagraph"/>
        <w:numPr>
          <w:ilvl w:val="1"/>
          <w:numId w:val="1"/>
        </w:numPr>
        <w:tabs>
          <w:tab w:val="left" w:pos="818"/>
        </w:tabs>
        <w:spacing w:before="1" w:after="0" w:line="240" w:lineRule="auto"/>
        <w:ind w:left="818" w:right="0" w:hanging="698"/>
        <w:jc w:val="left"/>
        <w:rPr>
          <w:sz w:val="24"/>
          <w:u w:val="none"/>
        </w:rPr>
      </w:pPr>
      <w:r>
        <w:rPr>
          <w:sz w:val="24"/>
          <w:u w:val="single"/>
        </w:rPr>
        <w:t>Federal</w:t>
      </w:r>
      <w:r>
        <w:rPr>
          <w:spacing w:val="-8"/>
          <w:sz w:val="24"/>
          <w:u w:val="single"/>
        </w:rPr>
        <w:t xml:space="preserve"> </w:t>
      </w:r>
      <w:r>
        <w:rPr>
          <w:sz w:val="24"/>
          <w:u w:val="single"/>
        </w:rPr>
        <w:t>Register/Outside</w:t>
      </w:r>
      <w:r>
        <w:rPr>
          <w:spacing w:val="-9"/>
          <w:sz w:val="24"/>
          <w:u w:val="single"/>
        </w:rPr>
        <w:t xml:space="preserve"> </w:t>
      </w:r>
      <w:r>
        <w:rPr>
          <w:spacing w:val="-2"/>
          <w:sz w:val="24"/>
          <w:u w:val="single"/>
        </w:rPr>
        <w:t>Consultation</w:t>
      </w:r>
    </w:p>
    <w:p>
      <w:pPr>
        <w:pStyle w:val="BodyText"/>
        <w:spacing w:before="276"/>
        <w:ind w:left="119" w:right="346"/>
      </w:pPr>
      <w:r>
        <w:t>A</w:t>
      </w:r>
      <w:r>
        <w:rPr>
          <w:spacing w:val="-3"/>
        </w:rPr>
        <w:t xml:space="preserve"> </w:t>
      </w:r>
      <w:r>
        <w:t>60-day</w:t>
      </w:r>
      <w:r>
        <w:rPr>
          <w:spacing w:val="-3"/>
        </w:rPr>
        <w:t xml:space="preserve"> </w:t>
      </w:r>
      <w:r>
        <w:t>notice</w:t>
      </w:r>
      <w:r>
        <w:rPr>
          <w:spacing w:val="-3"/>
        </w:rPr>
        <w:t xml:space="preserve"> </w:t>
      </w:r>
      <w:r>
        <w:t>will</w:t>
      </w:r>
      <w:r>
        <w:rPr>
          <w:spacing w:val="-3"/>
        </w:rPr>
        <w:t xml:space="preserve"> </w:t>
      </w:r>
      <w:r>
        <w:t>be</w:t>
      </w:r>
      <w:r>
        <w:rPr>
          <w:spacing w:val="-3"/>
        </w:rPr>
        <w:t xml:space="preserve"> </w:t>
      </w:r>
      <w:r>
        <w:t>published</w:t>
      </w:r>
      <w:r>
        <w:rPr>
          <w:spacing w:val="-4"/>
        </w:rPr>
        <w:t xml:space="preserve"> </w:t>
      </w:r>
      <w:r>
        <w:t>in</w:t>
      </w:r>
      <w:r>
        <w:rPr>
          <w:spacing w:val="-4"/>
        </w:rPr>
        <w:t xml:space="preserve"> </w:t>
      </w:r>
      <w:r>
        <w:t>the</w:t>
      </w:r>
      <w:r>
        <w:rPr>
          <w:spacing w:val="-3"/>
        </w:rPr>
        <w:t xml:space="preserve"> </w:t>
      </w:r>
      <w:r>
        <w:t>Federal</w:t>
      </w:r>
      <w:r>
        <w:rPr>
          <w:spacing w:val="-3"/>
        </w:rPr>
        <w:t xml:space="preserve"> </w:t>
      </w:r>
      <w:r>
        <w:t>Register</w:t>
      </w:r>
      <w:r>
        <w:rPr>
          <w:spacing w:val="-3"/>
        </w:rPr>
        <w:t xml:space="preserve"> </w:t>
      </w:r>
      <w:r>
        <w:t>on</w:t>
      </w:r>
      <w:r>
        <w:rPr>
          <w:spacing w:val="-4"/>
        </w:rPr>
        <w:t xml:space="preserve"> </w:t>
      </w:r>
      <w:r>
        <w:t>October</w:t>
      </w:r>
      <w:r>
        <w:rPr>
          <w:spacing w:val="-3"/>
        </w:rPr>
        <w:t xml:space="preserve"> </w:t>
      </w:r>
      <w:r>
        <w:t>10,</w:t>
      </w:r>
      <w:r>
        <w:rPr>
          <w:spacing w:val="-3"/>
        </w:rPr>
        <w:t xml:space="preserve"> </w:t>
      </w:r>
      <w:r>
        <w:t>2024</w:t>
      </w:r>
      <w:r>
        <w:rPr>
          <w:spacing w:val="-3"/>
        </w:rPr>
        <w:t xml:space="preserve"> </w:t>
      </w:r>
      <w:r>
        <w:t>(89</w:t>
      </w:r>
      <w:r>
        <w:rPr>
          <w:spacing w:val="-3"/>
        </w:rPr>
        <w:t xml:space="preserve"> </w:t>
      </w:r>
      <w:r>
        <w:t>FR</w:t>
      </w:r>
      <w:r>
        <w:rPr>
          <w:spacing w:val="-3"/>
        </w:rPr>
        <w:t xml:space="preserve"> </w:t>
      </w:r>
      <w:r>
        <w:t xml:space="preserve">82308) for the public to submit written comment on the ICR in the 2026 Payment Notice Proposed </w:t>
      </w:r>
      <w:r>
        <w:rPr>
          <w:spacing w:val="-2"/>
        </w:rPr>
        <w:t>Rule.</w:t>
      </w:r>
    </w:p>
    <w:p>
      <w:pPr>
        <w:pStyle w:val="BodyText"/>
        <w:spacing w:before="276"/>
        <w:ind w:left="120"/>
      </w:pPr>
      <w:r>
        <w:t>No</w:t>
      </w:r>
      <w:r>
        <w:rPr>
          <w:spacing w:val="-3"/>
        </w:rPr>
        <w:t xml:space="preserve"> </w:t>
      </w:r>
      <w:r>
        <w:t>additional outside</w:t>
      </w:r>
      <w:r>
        <w:rPr>
          <w:spacing w:val="-5"/>
        </w:rPr>
        <w:t xml:space="preserve"> </w:t>
      </w:r>
      <w:r>
        <w:t>consultation</w:t>
      </w:r>
      <w:r>
        <w:rPr>
          <w:spacing w:val="-1"/>
        </w:rPr>
        <w:t xml:space="preserve"> </w:t>
      </w:r>
      <w:r>
        <w:t>was</w:t>
      </w:r>
      <w:r>
        <w:rPr>
          <w:spacing w:val="-3"/>
        </w:rPr>
        <w:t xml:space="preserve"> </w:t>
      </w:r>
      <w:r>
        <w:rPr>
          <w:spacing w:val="-2"/>
        </w:rPr>
        <w:t>sought.</w:t>
      </w:r>
    </w:p>
    <w:p>
      <w:pPr>
        <w:pStyle w:val="ListParagraph"/>
        <w:numPr>
          <w:ilvl w:val="1"/>
          <w:numId w:val="1"/>
        </w:numPr>
        <w:tabs>
          <w:tab w:val="left" w:pos="818"/>
        </w:tabs>
        <w:spacing w:before="276" w:after="0" w:line="240" w:lineRule="auto"/>
        <w:ind w:left="818" w:right="0" w:hanging="698"/>
        <w:jc w:val="left"/>
        <w:rPr>
          <w:sz w:val="24"/>
          <w:u w:val="none"/>
        </w:rPr>
      </w:pPr>
      <w:r>
        <w:rPr>
          <w:sz w:val="24"/>
          <w:u w:val="single"/>
        </w:rPr>
        <w:t>Payments/Gifts</w:t>
      </w:r>
      <w:r>
        <w:rPr>
          <w:spacing w:val="-10"/>
          <w:sz w:val="24"/>
          <w:u w:val="single"/>
        </w:rPr>
        <w:t xml:space="preserve"> </w:t>
      </w:r>
      <w:r>
        <w:rPr>
          <w:sz w:val="24"/>
          <w:u w:val="single"/>
        </w:rPr>
        <w:t>to</w:t>
      </w:r>
      <w:r>
        <w:rPr>
          <w:spacing w:val="-5"/>
          <w:sz w:val="24"/>
          <w:u w:val="single"/>
        </w:rPr>
        <w:t xml:space="preserve"> </w:t>
      </w:r>
      <w:r>
        <w:rPr>
          <w:spacing w:val="-2"/>
          <w:sz w:val="24"/>
          <w:u w:val="single"/>
        </w:rPr>
        <w:t>Respondents</w:t>
      </w:r>
    </w:p>
    <w:p>
      <w:pPr>
        <w:pStyle w:val="BodyText"/>
        <w:spacing w:before="276"/>
        <w:ind w:left="120"/>
      </w:pPr>
      <w:r>
        <w:t>No</w:t>
      </w:r>
      <w:r>
        <w:rPr>
          <w:spacing w:val="-6"/>
        </w:rPr>
        <w:t xml:space="preserve"> </w:t>
      </w:r>
      <w:r>
        <w:t>payments</w:t>
      </w:r>
      <w:r>
        <w:rPr>
          <w:spacing w:val="-6"/>
        </w:rPr>
        <w:t xml:space="preserve"> </w:t>
      </w:r>
      <w:r>
        <w:t>and/or</w:t>
      </w:r>
      <w:r>
        <w:rPr>
          <w:spacing w:val="-4"/>
        </w:rPr>
        <w:t xml:space="preserve"> </w:t>
      </w:r>
      <w:r>
        <w:t>gifts</w:t>
      </w:r>
      <w:r>
        <w:rPr>
          <w:spacing w:val="-6"/>
        </w:rPr>
        <w:t xml:space="preserve"> </w:t>
      </w:r>
      <w:r>
        <w:t>will</w:t>
      </w:r>
      <w:r>
        <w:rPr>
          <w:spacing w:val="-3"/>
        </w:rPr>
        <w:t xml:space="preserve"> </w:t>
      </w:r>
      <w:r>
        <w:t>be</w:t>
      </w:r>
      <w:r>
        <w:rPr>
          <w:spacing w:val="-3"/>
        </w:rPr>
        <w:t xml:space="preserve"> </w:t>
      </w:r>
      <w:r>
        <w:t>provided</w:t>
      </w:r>
      <w:r>
        <w:rPr>
          <w:spacing w:val="-7"/>
        </w:rPr>
        <w:t xml:space="preserve"> </w:t>
      </w:r>
      <w:r>
        <w:t>to</w:t>
      </w:r>
      <w:r>
        <w:rPr>
          <w:spacing w:val="-5"/>
        </w:rPr>
        <w:t xml:space="preserve"> </w:t>
      </w:r>
      <w:r>
        <w:rPr>
          <w:spacing w:val="-2"/>
        </w:rPr>
        <w:t>respondents.</w:t>
      </w:r>
    </w:p>
    <w:p>
      <w:pPr>
        <w:pStyle w:val="BodyText"/>
      </w:pPr>
    </w:p>
    <w:p>
      <w:pPr>
        <w:pStyle w:val="ListParagraph"/>
        <w:numPr>
          <w:ilvl w:val="1"/>
          <w:numId w:val="1"/>
        </w:numPr>
        <w:tabs>
          <w:tab w:val="left" w:pos="819"/>
        </w:tabs>
        <w:spacing w:before="0" w:after="0" w:line="240" w:lineRule="auto"/>
        <w:ind w:left="819" w:right="0" w:hanging="699"/>
        <w:jc w:val="left"/>
        <w:rPr>
          <w:sz w:val="24"/>
          <w:u w:val="none"/>
        </w:rPr>
      </w:pPr>
      <w:r>
        <w:rPr>
          <w:spacing w:val="-2"/>
          <w:sz w:val="24"/>
          <w:u w:val="single"/>
        </w:rPr>
        <w:t>Confidentiality</w:t>
      </w:r>
    </w:p>
    <w:p>
      <w:pPr>
        <w:pStyle w:val="BodyText"/>
      </w:pPr>
    </w:p>
    <w:p>
      <w:pPr>
        <w:pStyle w:val="BodyText"/>
        <w:ind w:left="120" w:right="176"/>
      </w:pPr>
      <w:r>
        <w:t>All information collected will be kept private in accordance with regulations at 45 C.F.R. 155.260,</w:t>
      </w:r>
      <w:r>
        <w:rPr>
          <w:spacing w:val="-3"/>
        </w:rPr>
        <w:t xml:space="preserve"> </w:t>
      </w:r>
      <w:r>
        <w:t>Privacy</w:t>
      </w:r>
      <w:r>
        <w:rPr>
          <w:spacing w:val="-3"/>
        </w:rPr>
        <w:t xml:space="preserve"> </w:t>
      </w:r>
      <w:r>
        <w:t>and</w:t>
      </w:r>
      <w:r>
        <w:rPr>
          <w:spacing w:val="-3"/>
        </w:rPr>
        <w:t xml:space="preserve"> </w:t>
      </w:r>
      <w:r>
        <w:t>Security</w:t>
      </w:r>
      <w:r>
        <w:rPr>
          <w:spacing w:val="-3"/>
        </w:rPr>
        <w:t xml:space="preserve"> </w:t>
      </w:r>
      <w:r>
        <w:t>of</w:t>
      </w:r>
      <w:r>
        <w:rPr>
          <w:spacing w:val="-3"/>
        </w:rPr>
        <w:t xml:space="preserve"> </w:t>
      </w:r>
      <w:r>
        <w:t>Personally</w:t>
      </w:r>
      <w:r>
        <w:rPr>
          <w:spacing w:val="-5"/>
        </w:rPr>
        <w:t xml:space="preserve"> </w:t>
      </w:r>
      <w:r>
        <w:t>Identifiable</w:t>
      </w:r>
      <w:r>
        <w:rPr>
          <w:spacing w:val="-4"/>
        </w:rPr>
        <w:t xml:space="preserve"> </w:t>
      </w:r>
      <w:r>
        <w:t>Information.</w:t>
      </w:r>
      <w:r>
        <w:rPr>
          <w:spacing w:val="-3"/>
        </w:rPr>
        <w:t xml:space="preserve"> </w:t>
      </w:r>
      <w:r>
        <w:t>Pursuant</w:t>
      </w:r>
      <w:r>
        <w:rPr>
          <w:spacing w:val="-4"/>
        </w:rPr>
        <w:t xml:space="preserve"> </w:t>
      </w:r>
      <w:r>
        <w:t>to</w:t>
      </w:r>
      <w:r>
        <w:rPr>
          <w:spacing w:val="-5"/>
        </w:rPr>
        <w:t xml:space="preserve"> </w:t>
      </w:r>
      <w:r>
        <w:t>this</w:t>
      </w:r>
      <w:r>
        <w:rPr>
          <w:spacing w:val="-5"/>
        </w:rPr>
        <w:t xml:space="preserve"> </w:t>
      </w:r>
      <w:r>
        <w:t>regulation, Exchanges may only use or disclose personally identifiable information to the extent that such</w:t>
      </w:r>
    </w:p>
    <w:p>
      <w:pPr>
        <w:spacing w:after="0"/>
        <w:sectPr>
          <w:pgSz w:w="12240" w:h="15840"/>
          <w:pgMar w:top="1380" w:right="1300" w:bottom="1200" w:left="1320" w:header="0" w:footer="1001"/>
          <w:cols w:space="720"/>
        </w:sectPr>
      </w:pPr>
    </w:p>
    <w:p>
      <w:pPr>
        <w:pStyle w:val="BodyText"/>
        <w:spacing w:before="60"/>
        <w:ind w:left="120"/>
      </w:pPr>
      <w:bookmarkStart w:id="13" w:name="11. Sensitive Questions"/>
      <w:bookmarkEnd w:id="13"/>
      <w:bookmarkStart w:id="14" w:name="12. Burden Estimates (Hours &amp; Wages)"/>
      <w:bookmarkEnd w:id="14"/>
      <w:r>
        <w:t>information</w:t>
      </w:r>
      <w:r>
        <w:rPr>
          <w:spacing w:val="-6"/>
        </w:rPr>
        <w:t xml:space="preserve"> </w:t>
      </w:r>
      <w:r>
        <w:t>is</w:t>
      </w:r>
      <w:r>
        <w:rPr>
          <w:spacing w:val="-2"/>
        </w:rPr>
        <w:t xml:space="preserve"> </w:t>
      </w:r>
      <w:r>
        <w:t>necessary</w:t>
      </w:r>
      <w:r>
        <w:rPr>
          <w:spacing w:val="-4"/>
        </w:rPr>
        <w:t xml:space="preserve"> </w:t>
      </w:r>
      <w:r>
        <w:t>to</w:t>
      </w:r>
      <w:r>
        <w:rPr>
          <w:spacing w:val="-2"/>
        </w:rPr>
        <w:t xml:space="preserve"> </w:t>
      </w:r>
      <w:r>
        <w:t>carry</w:t>
      </w:r>
      <w:r>
        <w:rPr>
          <w:spacing w:val="-2"/>
        </w:rPr>
        <w:t xml:space="preserve"> </w:t>
      </w:r>
      <w:r>
        <w:t>out</w:t>
      </w:r>
      <w:r>
        <w:rPr>
          <w:spacing w:val="-3"/>
        </w:rPr>
        <w:t xml:space="preserve"> </w:t>
      </w:r>
      <w:r>
        <w:t>their</w:t>
      </w:r>
      <w:r>
        <w:rPr>
          <w:spacing w:val="-2"/>
        </w:rPr>
        <w:t xml:space="preserve"> </w:t>
      </w:r>
      <w:r>
        <w:t>statutorily</w:t>
      </w:r>
      <w:r>
        <w:rPr>
          <w:spacing w:val="-2"/>
        </w:rPr>
        <w:t xml:space="preserve"> </w:t>
      </w:r>
      <w:r>
        <w:t>and</w:t>
      </w:r>
      <w:r>
        <w:rPr>
          <w:spacing w:val="-4"/>
        </w:rPr>
        <w:t xml:space="preserve"> </w:t>
      </w:r>
      <w:r>
        <w:t>regulatorily</w:t>
      </w:r>
      <w:r>
        <w:rPr>
          <w:spacing w:val="-2"/>
        </w:rPr>
        <w:t xml:space="preserve"> </w:t>
      </w:r>
      <w:r>
        <w:t>mandated</w:t>
      </w:r>
      <w:r>
        <w:rPr>
          <w:spacing w:val="-1"/>
        </w:rPr>
        <w:t xml:space="preserve"> </w:t>
      </w:r>
      <w:r>
        <w:rPr>
          <w:spacing w:val="-2"/>
        </w:rPr>
        <w:t>functions.</w:t>
      </w:r>
    </w:p>
    <w:p>
      <w:pPr>
        <w:pStyle w:val="BodyText"/>
      </w:pPr>
    </w:p>
    <w:p>
      <w:pPr>
        <w:pStyle w:val="ListParagraph"/>
        <w:numPr>
          <w:ilvl w:val="1"/>
          <w:numId w:val="1"/>
        </w:numPr>
        <w:tabs>
          <w:tab w:val="left" w:pos="671"/>
        </w:tabs>
        <w:spacing w:before="0" w:after="0" w:line="240" w:lineRule="auto"/>
        <w:ind w:left="671" w:right="0" w:hanging="552"/>
        <w:jc w:val="left"/>
        <w:rPr>
          <w:sz w:val="24"/>
          <w:u w:val="none"/>
        </w:rPr>
      </w:pPr>
      <w:r>
        <w:rPr>
          <w:sz w:val="24"/>
          <w:u w:val="single"/>
        </w:rPr>
        <w:t>Sensitive</w:t>
      </w:r>
      <w:r>
        <w:rPr>
          <w:spacing w:val="-5"/>
          <w:sz w:val="24"/>
          <w:u w:val="single"/>
        </w:rPr>
        <w:t xml:space="preserve"> </w:t>
      </w:r>
      <w:r>
        <w:rPr>
          <w:spacing w:val="-2"/>
          <w:sz w:val="24"/>
          <w:u w:val="single"/>
        </w:rPr>
        <w:t>Questions</w:t>
      </w:r>
    </w:p>
    <w:p>
      <w:pPr>
        <w:pStyle w:val="BodyText"/>
      </w:pPr>
    </w:p>
    <w:p>
      <w:pPr>
        <w:pStyle w:val="BodyText"/>
        <w:ind w:left="120"/>
      </w:pPr>
      <w:r>
        <w:t>There</w:t>
      </w:r>
      <w:r>
        <w:rPr>
          <w:spacing w:val="-7"/>
        </w:rPr>
        <w:t xml:space="preserve"> </w:t>
      </w:r>
      <w:r>
        <w:t>are</w:t>
      </w:r>
      <w:r>
        <w:rPr>
          <w:spacing w:val="-4"/>
        </w:rPr>
        <w:t xml:space="preserve"> </w:t>
      </w:r>
      <w:r>
        <w:t>no</w:t>
      </w:r>
      <w:r>
        <w:rPr>
          <w:spacing w:val="-5"/>
        </w:rPr>
        <w:t xml:space="preserve"> </w:t>
      </w:r>
      <w:r>
        <w:t>sensitive</w:t>
      </w:r>
      <w:r>
        <w:rPr>
          <w:spacing w:val="-4"/>
        </w:rPr>
        <w:t xml:space="preserve"> </w:t>
      </w:r>
      <w:r>
        <w:t>questions</w:t>
      </w:r>
      <w:r>
        <w:rPr>
          <w:spacing w:val="-7"/>
        </w:rPr>
        <w:t xml:space="preserve"> </w:t>
      </w:r>
      <w:r>
        <w:t>included</w:t>
      </w:r>
      <w:r>
        <w:rPr>
          <w:spacing w:val="-7"/>
        </w:rPr>
        <w:t xml:space="preserve"> </w:t>
      </w:r>
      <w:r>
        <w:t>in</w:t>
      </w:r>
      <w:r>
        <w:rPr>
          <w:spacing w:val="-5"/>
        </w:rPr>
        <w:t xml:space="preserve"> </w:t>
      </w:r>
      <w:r>
        <w:t>this</w:t>
      </w:r>
      <w:r>
        <w:rPr>
          <w:spacing w:val="-6"/>
        </w:rPr>
        <w:t xml:space="preserve"> </w:t>
      </w:r>
      <w:r>
        <w:t>information</w:t>
      </w:r>
      <w:r>
        <w:rPr>
          <w:spacing w:val="-7"/>
        </w:rPr>
        <w:t xml:space="preserve"> </w:t>
      </w:r>
      <w:r>
        <w:t>collection</w:t>
      </w:r>
      <w:r>
        <w:rPr>
          <w:spacing w:val="-8"/>
        </w:rPr>
        <w:t xml:space="preserve"> </w:t>
      </w:r>
      <w:r>
        <w:rPr>
          <w:spacing w:val="-2"/>
        </w:rPr>
        <w:t>effort.</w:t>
      </w:r>
    </w:p>
    <w:p>
      <w:pPr>
        <w:pStyle w:val="BodyText"/>
      </w:pPr>
    </w:p>
    <w:p>
      <w:pPr>
        <w:pStyle w:val="ListParagraph"/>
        <w:numPr>
          <w:ilvl w:val="1"/>
          <w:numId w:val="1"/>
        </w:numPr>
        <w:tabs>
          <w:tab w:val="left" w:pos="671"/>
        </w:tabs>
        <w:spacing w:before="0" w:after="0" w:line="240" w:lineRule="auto"/>
        <w:ind w:left="671" w:right="0" w:hanging="551"/>
        <w:jc w:val="left"/>
        <w:rPr>
          <w:sz w:val="24"/>
          <w:u w:val="none"/>
        </w:rPr>
      </w:pPr>
      <w:r>
        <w:rPr>
          <w:sz w:val="24"/>
          <w:u w:val="single"/>
        </w:rPr>
        <w:t>Burden</w:t>
      </w:r>
      <w:r>
        <w:rPr>
          <w:spacing w:val="-6"/>
          <w:sz w:val="24"/>
          <w:u w:val="single"/>
        </w:rPr>
        <w:t xml:space="preserve"> </w:t>
      </w:r>
      <w:r>
        <w:rPr>
          <w:sz w:val="24"/>
          <w:u w:val="single"/>
        </w:rPr>
        <w:t>Estimates</w:t>
      </w:r>
      <w:r>
        <w:rPr>
          <w:spacing w:val="-6"/>
          <w:sz w:val="24"/>
          <w:u w:val="single"/>
        </w:rPr>
        <w:t xml:space="preserve"> </w:t>
      </w:r>
      <w:r>
        <w:rPr>
          <w:sz w:val="24"/>
          <w:u w:val="single"/>
        </w:rPr>
        <w:t>(Hours</w:t>
      </w:r>
      <w:r>
        <w:rPr>
          <w:spacing w:val="-6"/>
          <w:sz w:val="24"/>
          <w:u w:val="single"/>
        </w:rPr>
        <w:t xml:space="preserve"> </w:t>
      </w:r>
      <w:r>
        <w:rPr>
          <w:sz w:val="24"/>
          <w:u w:val="single"/>
        </w:rPr>
        <w:t>&amp;</w:t>
      </w:r>
      <w:r>
        <w:rPr>
          <w:spacing w:val="-6"/>
          <w:sz w:val="24"/>
          <w:u w:val="single"/>
        </w:rPr>
        <w:t xml:space="preserve"> </w:t>
      </w:r>
      <w:r>
        <w:rPr>
          <w:spacing w:val="-2"/>
          <w:sz w:val="24"/>
          <w:u w:val="single"/>
        </w:rPr>
        <w:t>Wages)</w:t>
      </w:r>
    </w:p>
    <w:p>
      <w:pPr>
        <w:pStyle w:val="BodyText"/>
      </w:pPr>
    </w:p>
    <w:p>
      <w:pPr>
        <w:pStyle w:val="BodyText"/>
        <w:ind w:left="120" w:right="287"/>
      </w:pPr>
      <w:r>
        <w:t>The following section contains estimates of burden imposed by the associated information collection requirements. Salaries for the positions cited were taken from the Bureau of Labor Statistics (BLS) web site (</w:t>
      </w:r>
      <w:hyperlink r:id="rId5">
        <w:r>
          <w:rPr>
            <w:color w:val="0000FF"/>
            <w:u w:val="single" w:color="0000FF"/>
          </w:rPr>
          <w:t>https://www.bls.gov/oes/current/oes_stru.htm</w:t>
        </w:r>
      </w:hyperlink>
      <w:r>
        <w:rPr>
          <w:u w:val="none"/>
        </w:rPr>
        <w:t>). According to the</w:t>
      </w:r>
      <w:r>
        <w:rPr>
          <w:spacing w:val="80"/>
          <w:u w:val="none"/>
        </w:rPr>
        <w:t xml:space="preserve"> </w:t>
      </w:r>
      <w:r>
        <w:rPr>
          <w:u w:val="none"/>
        </w:rPr>
        <w:t>May</w:t>
      </w:r>
      <w:r>
        <w:rPr>
          <w:spacing w:val="-3"/>
          <w:u w:val="none"/>
        </w:rPr>
        <w:t xml:space="preserve"> </w:t>
      </w:r>
      <w:r>
        <w:rPr>
          <w:u w:val="none"/>
        </w:rPr>
        <w:t>2023</w:t>
      </w:r>
      <w:r>
        <w:rPr>
          <w:spacing w:val="-3"/>
          <w:u w:val="none"/>
        </w:rPr>
        <w:t xml:space="preserve"> </w:t>
      </w:r>
      <w:r>
        <w:rPr>
          <w:u w:val="none"/>
        </w:rPr>
        <w:t>BLS,</w:t>
      </w:r>
      <w:r>
        <w:rPr>
          <w:spacing w:val="-3"/>
          <w:u w:val="none"/>
        </w:rPr>
        <w:t xml:space="preserve"> </w:t>
      </w:r>
      <w:r>
        <w:rPr>
          <w:u w:val="none"/>
        </w:rPr>
        <w:t>the</w:t>
      </w:r>
      <w:r>
        <w:rPr>
          <w:spacing w:val="-3"/>
          <w:u w:val="none"/>
        </w:rPr>
        <w:t xml:space="preserve"> </w:t>
      </w:r>
      <w:r>
        <w:rPr>
          <w:u w:val="none"/>
        </w:rPr>
        <w:t>median</w:t>
      </w:r>
      <w:r>
        <w:rPr>
          <w:spacing w:val="-3"/>
          <w:u w:val="none"/>
        </w:rPr>
        <w:t xml:space="preserve"> </w:t>
      </w:r>
      <w:r>
        <w:rPr>
          <w:u w:val="none"/>
        </w:rPr>
        <w:t>hourly</w:t>
      </w:r>
      <w:r>
        <w:rPr>
          <w:spacing w:val="-7"/>
          <w:u w:val="none"/>
        </w:rPr>
        <w:t xml:space="preserve"> </w:t>
      </w:r>
      <w:r>
        <w:rPr>
          <w:u w:val="none"/>
        </w:rPr>
        <w:t>wage</w:t>
      </w:r>
      <w:r>
        <w:rPr>
          <w:spacing w:val="-6"/>
          <w:u w:val="none"/>
        </w:rPr>
        <w:t xml:space="preserve"> </w:t>
      </w:r>
      <w:r>
        <w:rPr>
          <w:u w:val="none"/>
        </w:rPr>
        <w:t>for</w:t>
      </w:r>
      <w:r>
        <w:rPr>
          <w:spacing w:val="-7"/>
          <w:u w:val="none"/>
        </w:rPr>
        <w:t xml:space="preserve"> </w:t>
      </w:r>
      <w:r>
        <w:rPr>
          <w:u w:val="none"/>
        </w:rPr>
        <w:t>insurance</w:t>
      </w:r>
      <w:r>
        <w:rPr>
          <w:spacing w:val="-7"/>
          <w:u w:val="none"/>
        </w:rPr>
        <w:t xml:space="preserve"> </w:t>
      </w:r>
      <w:r>
        <w:rPr>
          <w:u w:val="none"/>
        </w:rPr>
        <w:t>sales</w:t>
      </w:r>
      <w:r>
        <w:rPr>
          <w:spacing w:val="-8"/>
          <w:u w:val="none"/>
        </w:rPr>
        <w:t xml:space="preserve"> </w:t>
      </w:r>
      <w:r>
        <w:rPr>
          <w:u w:val="none"/>
        </w:rPr>
        <w:t>agents</w:t>
      </w:r>
      <w:r>
        <w:rPr>
          <w:spacing w:val="-9"/>
          <w:u w:val="none"/>
        </w:rPr>
        <w:t xml:space="preserve"> </w:t>
      </w:r>
      <w:r>
        <w:rPr>
          <w:u w:val="none"/>
        </w:rPr>
        <w:t>is</w:t>
      </w:r>
      <w:r>
        <w:rPr>
          <w:spacing w:val="-8"/>
          <w:u w:val="none"/>
        </w:rPr>
        <w:t xml:space="preserve"> </w:t>
      </w:r>
      <w:r>
        <w:rPr>
          <w:u w:val="none"/>
        </w:rPr>
        <w:t>$28.40</w:t>
      </w:r>
      <w:r>
        <w:rPr>
          <w:spacing w:val="-3"/>
          <w:u w:val="none"/>
        </w:rPr>
        <w:t xml:space="preserve"> </w:t>
      </w:r>
      <w:r>
        <w:rPr>
          <w:u w:val="none"/>
        </w:rPr>
        <w:t>plus</w:t>
      </w:r>
      <w:r>
        <w:rPr>
          <w:spacing w:val="-8"/>
          <w:u w:val="none"/>
        </w:rPr>
        <w:t xml:space="preserve"> </w:t>
      </w:r>
      <w:r>
        <w:rPr>
          <w:u w:val="none"/>
        </w:rPr>
        <w:t>a</w:t>
      </w:r>
      <w:r>
        <w:rPr>
          <w:spacing w:val="-6"/>
          <w:u w:val="none"/>
        </w:rPr>
        <w:t xml:space="preserve"> </w:t>
      </w:r>
      <w:r>
        <w:rPr>
          <w:u w:val="none"/>
        </w:rPr>
        <w:t>100%</w:t>
      </w:r>
      <w:r>
        <w:rPr>
          <w:spacing w:val="-7"/>
          <w:u w:val="none"/>
        </w:rPr>
        <w:t xml:space="preserve"> </w:t>
      </w:r>
      <w:r>
        <w:rPr>
          <w:u w:val="none"/>
        </w:rPr>
        <w:t>fringe benefit rate of $28.40, for an adjusted hourly wage of $56.80 per hour. See Table 1.</w:t>
      </w:r>
    </w:p>
    <w:p>
      <w:pPr>
        <w:pStyle w:val="BodyText"/>
      </w:pPr>
    </w:p>
    <w:p>
      <w:pPr>
        <w:pStyle w:val="Heading1"/>
        <w:ind w:left="119"/>
      </w:pPr>
      <w:r>
        <w:t>Table</w:t>
      </w:r>
      <w:r>
        <w:rPr>
          <w:spacing w:val="-4"/>
        </w:rPr>
        <w:t xml:space="preserve"> </w:t>
      </w:r>
      <w:r>
        <w:t>1.</w:t>
      </w:r>
      <w:r>
        <w:rPr>
          <w:spacing w:val="-3"/>
        </w:rPr>
        <w:t xml:space="preserve"> </w:t>
      </w:r>
      <w:r>
        <w:t>Adjusted</w:t>
      </w:r>
      <w:r>
        <w:rPr>
          <w:spacing w:val="-5"/>
        </w:rPr>
        <w:t xml:space="preserve"> </w:t>
      </w:r>
      <w:r>
        <w:t>Hourly</w:t>
      </w:r>
      <w:r>
        <w:rPr>
          <w:spacing w:val="-3"/>
        </w:rPr>
        <w:t xml:space="preserve"> </w:t>
      </w:r>
      <w:r>
        <w:t>Wages</w:t>
      </w:r>
      <w:r>
        <w:rPr>
          <w:spacing w:val="-5"/>
        </w:rPr>
        <w:t xml:space="preserve"> </w:t>
      </w:r>
      <w:r>
        <w:t>Used</w:t>
      </w:r>
      <w:r>
        <w:rPr>
          <w:spacing w:val="-5"/>
        </w:rPr>
        <w:t xml:space="preserve"> </w:t>
      </w:r>
      <w:r>
        <w:t>in</w:t>
      </w:r>
      <w:r>
        <w:rPr>
          <w:spacing w:val="-5"/>
        </w:rPr>
        <w:t xml:space="preserve"> </w:t>
      </w:r>
      <w:r>
        <w:t>Burden</w:t>
      </w:r>
      <w:r>
        <w:rPr>
          <w:spacing w:val="-4"/>
        </w:rPr>
        <w:t xml:space="preserve"> </w:t>
      </w:r>
      <w:r>
        <w:rPr>
          <w:spacing w:val="-2"/>
        </w:rPr>
        <w:t>Estimates</w:t>
      </w:r>
    </w:p>
    <w:p>
      <w:pPr>
        <w:pStyle w:val="BodyText"/>
        <w:spacing w:before="46"/>
        <w:rPr>
          <w:b/>
          <w:sz w:val="20"/>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6"/>
        <w:gridCol w:w="1800"/>
        <w:gridCol w:w="1796"/>
        <w:gridCol w:w="1896"/>
        <w:gridCol w:w="1704"/>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27"/>
          <w:jc w:val="left"/>
        </w:trPr>
        <w:tc>
          <w:tcPr>
            <w:tcW w:w="2156" w:type="dxa"/>
          </w:tcPr>
          <w:p>
            <w:pPr>
              <w:pStyle w:val="TableParagraph"/>
              <w:ind w:left="44"/>
              <w:rPr>
                <w:b/>
                <w:sz w:val="24"/>
              </w:rPr>
            </w:pPr>
            <w:r>
              <w:rPr>
                <w:b/>
                <w:sz w:val="24"/>
              </w:rPr>
              <w:t>Occupational</w:t>
            </w:r>
            <w:r>
              <w:rPr>
                <w:b/>
                <w:spacing w:val="-9"/>
                <w:sz w:val="24"/>
              </w:rPr>
              <w:t xml:space="preserve"> </w:t>
            </w:r>
            <w:r>
              <w:rPr>
                <w:b/>
                <w:spacing w:val="-4"/>
                <w:sz w:val="24"/>
              </w:rPr>
              <w:t>Title</w:t>
            </w:r>
          </w:p>
        </w:tc>
        <w:tc>
          <w:tcPr>
            <w:tcW w:w="1800" w:type="dxa"/>
          </w:tcPr>
          <w:p>
            <w:pPr>
              <w:pStyle w:val="TableParagraph"/>
              <w:ind w:left="610" w:hanging="416"/>
              <w:rPr>
                <w:b/>
                <w:sz w:val="24"/>
              </w:rPr>
            </w:pPr>
            <w:r>
              <w:rPr>
                <w:b/>
                <w:spacing w:val="-4"/>
                <w:sz w:val="24"/>
              </w:rPr>
              <w:t>Occupational Code</w:t>
            </w:r>
          </w:p>
        </w:tc>
        <w:tc>
          <w:tcPr>
            <w:tcW w:w="1796" w:type="dxa"/>
          </w:tcPr>
          <w:p>
            <w:pPr>
              <w:pStyle w:val="TableParagraph"/>
              <w:ind w:left="131" w:right="123" w:hanging="54"/>
              <w:rPr>
                <w:b/>
                <w:sz w:val="24"/>
              </w:rPr>
            </w:pPr>
            <w:r>
              <w:rPr>
                <w:b/>
                <w:sz w:val="24"/>
              </w:rPr>
              <w:t>Median</w:t>
            </w:r>
            <w:r>
              <w:rPr>
                <w:b/>
                <w:spacing w:val="-15"/>
                <w:sz w:val="24"/>
              </w:rPr>
              <w:t xml:space="preserve"> </w:t>
            </w:r>
            <w:r>
              <w:rPr>
                <w:b/>
                <w:sz w:val="24"/>
              </w:rPr>
              <w:t>Hourly Wage</w:t>
            </w:r>
            <w:r>
              <w:rPr>
                <w:b/>
                <w:spacing w:val="1"/>
                <w:sz w:val="24"/>
              </w:rPr>
              <w:t xml:space="preserve"> </w:t>
            </w:r>
            <w:r>
              <w:rPr>
                <w:b/>
                <w:spacing w:val="-2"/>
                <w:sz w:val="24"/>
              </w:rPr>
              <w:t>($/hour)</w:t>
            </w:r>
          </w:p>
        </w:tc>
        <w:tc>
          <w:tcPr>
            <w:tcW w:w="1896" w:type="dxa"/>
          </w:tcPr>
          <w:p>
            <w:pPr>
              <w:pStyle w:val="TableParagraph"/>
              <w:spacing w:line="270" w:lineRule="atLeast"/>
              <w:ind w:left="95" w:right="143" w:firstLine="1"/>
              <w:jc w:val="center"/>
              <w:rPr>
                <w:b/>
                <w:sz w:val="24"/>
              </w:rPr>
            </w:pPr>
            <w:r>
              <w:rPr>
                <w:b/>
                <w:sz w:val="24"/>
              </w:rPr>
              <w:t xml:space="preserve">Fringe Benefits &amp; Overhead </w:t>
            </w:r>
            <w:r>
              <w:rPr>
                <w:b/>
                <w:spacing w:val="-2"/>
                <w:sz w:val="24"/>
              </w:rPr>
              <w:t>(100%)</w:t>
            </w:r>
            <w:r>
              <w:rPr>
                <w:b/>
                <w:spacing w:val="-16"/>
                <w:sz w:val="24"/>
              </w:rPr>
              <w:t xml:space="preserve"> </w:t>
            </w:r>
            <w:r>
              <w:rPr>
                <w:b/>
                <w:spacing w:val="-2"/>
                <w:sz w:val="24"/>
              </w:rPr>
              <w:t>($/hour)</w:t>
            </w:r>
          </w:p>
        </w:tc>
        <w:tc>
          <w:tcPr>
            <w:tcW w:w="1704" w:type="dxa"/>
          </w:tcPr>
          <w:p>
            <w:pPr>
              <w:pStyle w:val="TableParagraph"/>
              <w:spacing w:line="270" w:lineRule="atLeast"/>
              <w:ind w:left="139" w:right="186" w:firstLine="2"/>
              <w:jc w:val="center"/>
              <w:rPr>
                <w:b/>
                <w:sz w:val="24"/>
              </w:rPr>
            </w:pPr>
            <w:r>
              <w:rPr>
                <w:b/>
                <w:spacing w:val="-2"/>
                <w:sz w:val="24"/>
              </w:rPr>
              <w:t>Adjusted Hourly</w:t>
            </w:r>
            <w:r>
              <w:rPr>
                <w:b/>
                <w:spacing w:val="-16"/>
                <w:sz w:val="24"/>
              </w:rPr>
              <w:t xml:space="preserve"> </w:t>
            </w:r>
            <w:r>
              <w:rPr>
                <w:b/>
                <w:spacing w:val="-2"/>
                <w:sz w:val="24"/>
              </w:rPr>
              <w:t>Wage ($/hour)</w:t>
            </w:r>
          </w:p>
        </w:tc>
      </w:tr>
      <w:tr>
        <w:tblPrEx>
          <w:tblW w:w="0" w:type="auto"/>
          <w:jc w:val="left"/>
          <w:tblInd w:w="130" w:type="dxa"/>
          <w:tblLayout w:type="fixed"/>
          <w:tblCellMar>
            <w:top w:w="0" w:type="dxa"/>
            <w:left w:w="0" w:type="dxa"/>
            <w:bottom w:w="0" w:type="dxa"/>
            <w:right w:w="0" w:type="dxa"/>
          </w:tblCellMar>
          <w:tblLook w:val="01E0"/>
        </w:tblPrEx>
        <w:trPr>
          <w:trHeight w:val="618"/>
          <w:jc w:val="left"/>
        </w:trPr>
        <w:tc>
          <w:tcPr>
            <w:tcW w:w="2156" w:type="dxa"/>
          </w:tcPr>
          <w:p>
            <w:pPr>
              <w:pStyle w:val="TableParagraph"/>
              <w:ind w:left="44" w:right="100"/>
              <w:rPr>
                <w:sz w:val="24"/>
              </w:rPr>
            </w:pPr>
            <w:r>
              <w:rPr>
                <w:spacing w:val="-2"/>
                <w:sz w:val="24"/>
              </w:rPr>
              <w:t>Insurance</w:t>
            </w:r>
            <w:r>
              <w:rPr>
                <w:spacing w:val="-16"/>
                <w:sz w:val="24"/>
              </w:rPr>
              <w:t xml:space="preserve"> </w:t>
            </w:r>
            <w:r>
              <w:rPr>
                <w:spacing w:val="-2"/>
                <w:sz w:val="24"/>
              </w:rPr>
              <w:t xml:space="preserve">Sales </w:t>
            </w:r>
            <w:r>
              <w:rPr>
                <w:spacing w:val="-4"/>
                <w:sz w:val="24"/>
              </w:rPr>
              <w:t>Agent</w:t>
            </w:r>
          </w:p>
        </w:tc>
        <w:tc>
          <w:tcPr>
            <w:tcW w:w="1800" w:type="dxa"/>
          </w:tcPr>
          <w:p>
            <w:pPr>
              <w:pStyle w:val="TableParagraph"/>
              <w:ind w:left="477"/>
              <w:rPr>
                <w:sz w:val="24"/>
              </w:rPr>
            </w:pPr>
            <w:r>
              <w:rPr>
                <w:sz w:val="24"/>
              </w:rPr>
              <w:t>41-</w:t>
            </w:r>
            <w:r>
              <w:rPr>
                <w:spacing w:val="-4"/>
                <w:sz w:val="24"/>
              </w:rPr>
              <w:t>3021</w:t>
            </w:r>
          </w:p>
        </w:tc>
        <w:tc>
          <w:tcPr>
            <w:tcW w:w="1796" w:type="dxa"/>
          </w:tcPr>
          <w:p>
            <w:pPr>
              <w:pStyle w:val="TableParagraph"/>
              <w:ind w:left="543"/>
              <w:rPr>
                <w:sz w:val="24"/>
              </w:rPr>
            </w:pPr>
            <w:r>
              <w:rPr>
                <w:spacing w:val="-2"/>
                <w:sz w:val="24"/>
              </w:rPr>
              <w:t>$28.40</w:t>
            </w:r>
          </w:p>
        </w:tc>
        <w:tc>
          <w:tcPr>
            <w:tcW w:w="1896" w:type="dxa"/>
          </w:tcPr>
          <w:p>
            <w:pPr>
              <w:pStyle w:val="TableParagraph"/>
              <w:ind w:left="594"/>
              <w:rPr>
                <w:sz w:val="24"/>
              </w:rPr>
            </w:pPr>
            <w:r>
              <w:rPr>
                <w:spacing w:val="-2"/>
                <w:sz w:val="24"/>
              </w:rPr>
              <w:t>$28.40</w:t>
            </w:r>
          </w:p>
        </w:tc>
        <w:tc>
          <w:tcPr>
            <w:tcW w:w="1704" w:type="dxa"/>
          </w:tcPr>
          <w:p>
            <w:pPr>
              <w:pStyle w:val="TableParagraph"/>
              <w:ind w:left="498"/>
              <w:rPr>
                <w:sz w:val="24"/>
              </w:rPr>
            </w:pPr>
            <w:r>
              <w:rPr>
                <w:spacing w:val="-2"/>
                <w:sz w:val="24"/>
              </w:rPr>
              <w:t>$56.80</w:t>
            </w:r>
          </w:p>
        </w:tc>
      </w:tr>
    </w:tbl>
    <w:p>
      <w:pPr>
        <w:pStyle w:val="BodyText"/>
        <w:spacing w:before="1"/>
        <w:rPr>
          <w:b/>
        </w:rPr>
      </w:pPr>
    </w:p>
    <w:p>
      <w:pPr>
        <w:pStyle w:val="BodyText"/>
        <w:ind w:left="119" w:right="218"/>
      </w:pPr>
      <w:r>
        <w:t>We are finalizing an update to the model consent form that was created as part of the 2024 PN. The updates will include adding pages to the model consent form to meet the documentation requirements under § 155.220(j)(2)(ii)(A), which require agents, brokers, and web-brokers to document a consumer has reviewed and confirmed the accuracy of their eligibility application information</w:t>
      </w:r>
      <w:r>
        <w:rPr>
          <w:spacing w:val="-5"/>
        </w:rPr>
        <w:t xml:space="preserve"> </w:t>
      </w:r>
      <w:r>
        <w:t>prior</w:t>
      </w:r>
      <w:r>
        <w:rPr>
          <w:spacing w:val="-4"/>
        </w:rPr>
        <w:t xml:space="preserve"> </w:t>
      </w:r>
      <w:r>
        <w:t>to</w:t>
      </w:r>
      <w:r>
        <w:rPr>
          <w:spacing w:val="-3"/>
        </w:rPr>
        <w:t xml:space="preserve"> </w:t>
      </w:r>
      <w:r>
        <w:t>submission.</w:t>
      </w:r>
      <w:r>
        <w:rPr>
          <w:spacing w:val="-3"/>
        </w:rPr>
        <w:t xml:space="preserve"> </w:t>
      </w:r>
      <w:r>
        <w:t>We</w:t>
      </w:r>
      <w:r>
        <w:rPr>
          <w:spacing w:val="-4"/>
        </w:rPr>
        <w:t xml:space="preserve"> </w:t>
      </w:r>
      <w:r>
        <w:t>are</w:t>
      </w:r>
      <w:r>
        <w:rPr>
          <w:spacing w:val="-3"/>
        </w:rPr>
        <w:t xml:space="preserve"> </w:t>
      </w:r>
      <w:r>
        <w:t>also</w:t>
      </w:r>
      <w:r>
        <w:rPr>
          <w:spacing w:val="-3"/>
        </w:rPr>
        <w:t xml:space="preserve"> </w:t>
      </w:r>
      <w:r>
        <w:t>appending</w:t>
      </w:r>
      <w:r>
        <w:rPr>
          <w:spacing w:val="-3"/>
        </w:rPr>
        <w:t xml:space="preserve"> </w:t>
      </w:r>
      <w:r>
        <w:t>the</w:t>
      </w:r>
      <w:r>
        <w:rPr>
          <w:spacing w:val="-4"/>
        </w:rPr>
        <w:t xml:space="preserve"> </w:t>
      </w:r>
      <w:r>
        <w:t>model</w:t>
      </w:r>
      <w:r>
        <w:rPr>
          <w:spacing w:val="-3"/>
        </w:rPr>
        <w:t xml:space="preserve"> </w:t>
      </w:r>
      <w:r>
        <w:t>consent</w:t>
      </w:r>
      <w:r>
        <w:rPr>
          <w:spacing w:val="-3"/>
        </w:rPr>
        <w:t xml:space="preserve"> </w:t>
      </w:r>
      <w:r>
        <w:t>form</w:t>
      </w:r>
      <w:r>
        <w:rPr>
          <w:spacing w:val="-3"/>
        </w:rPr>
        <w:t xml:space="preserve"> </w:t>
      </w:r>
      <w:r>
        <w:t>with</w:t>
      </w:r>
      <w:r>
        <w:rPr>
          <w:spacing w:val="-5"/>
        </w:rPr>
        <w:t xml:space="preserve"> </w:t>
      </w:r>
      <w:r>
        <w:t>scripts</w:t>
      </w:r>
      <w:r>
        <w:rPr>
          <w:spacing w:val="-3"/>
        </w:rPr>
        <w:t xml:space="preserve"> </w:t>
      </w:r>
      <w:r>
        <w:t>that can be used by agents, brokers, or web-brokers who are assisting consumers over the phone or through another written medium, such as email or text message correspondence. These scripts can be read or sent to a consumer to satisfy the requirements under §§ 155.220(j)(2)(ii)(A)-(C). and (j)(2)(iii)(A)-(C). Agents, brokers, and web-brokers are required to maintain these documents for 10 years and produce these records in response to monitoring, audit, and enforcement activities conducted consistent with § 155.220(c)(5), (g), (h), and (k).</w:t>
      </w:r>
    </w:p>
    <w:p>
      <w:pPr>
        <w:pStyle w:val="BodyText"/>
      </w:pPr>
    </w:p>
    <w:p>
      <w:pPr>
        <w:pStyle w:val="BodyText"/>
        <w:ind w:left="120" w:right="216"/>
      </w:pPr>
      <w:r>
        <w:t>We</w:t>
      </w:r>
      <w:r>
        <w:rPr>
          <w:spacing w:val="-3"/>
        </w:rPr>
        <w:t xml:space="preserve"> </w:t>
      </w:r>
      <w:r>
        <w:t>estimate</w:t>
      </w:r>
      <w:r>
        <w:rPr>
          <w:spacing w:val="-5"/>
        </w:rPr>
        <w:t xml:space="preserve"> </w:t>
      </w:r>
      <w:r>
        <w:t>costs</w:t>
      </w:r>
      <w:r>
        <w:rPr>
          <w:spacing w:val="-6"/>
        </w:rPr>
        <w:t xml:space="preserve"> </w:t>
      </w:r>
      <w:r>
        <w:t>will</w:t>
      </w:r>
      <w:r>
        <w:rPr>
          <w:spacing w:val="-8"/>
        </w:rPr>
        <w:t xml:space="preserve"> </w:t>
      </w:r>
      <w:r>
        <w:t>include</w:t>
      </w:r>
      <w:r>
        <w:rPr>
          <w:spacing w:val="-3"/>
        </w:rPr>
        <w:t xml:space="preserve"> </w:t>
      </w:r>
      <w:r>
        <w:t>those</w:t>
      </w:r>
      <w:r>
        <w:rPr>
          <w:spacing w:val="-3"/>
        </w:rPr>
        <w:t xml:space="preserve"> </w:t>
      </w:r>
      <w:r>
        <w:t>related</w:t>
      </w:r>
      <w:r>
        <w:rPr>
          <w:spacing w:val="-5"/>
        </w:rPr>
        <w:t xml:space="preserve"> </w:t>
      </w:r>
      <w:r>
        <w:t>to</w:t>
      </w:r>
      <w:r>
        <w:rPr>
          <w:spacing w:val="-5"/>
        </w:rPr>
        <w:t xml:space="preserve"> </w:t>
      </w:r>
      <w:r>
        <w:t>obtaining</w:t>
      </w:r>
      <w:r>
        <w:rPr>
          <w:spacing w:val="-7"/>
        </w:rPr>
        <w:t xml:space="preserve"> </w:t>
      </w:r>
      <w:r>
        <w:t>and</w:t>
      </w:r>
      <w:r>
        <w:rPr>
          <w:spacing w:val="-6"/>
        </w:rPr>
        <w:t xml:space="preserve"> </w:t>
      </w:r>
      <w:r>
        <w:t>retaining</w:t>
      </w:r>
      <w:r>
        <w:rPr>
          <w:spacing w:val="-7"/>
        </w:rPr>
        <w:t xml:space="preserve"> </w:t>
      </w:r>
      <w:r>
        <w:t>the</w:t>
      </w:r>
      <w:r>
        <w:rPr>
          <w:spacing w:val="-5"/>
        </w:rPr>
        <w:t xml:space="preserve"> </w:t>
      </w:r>
      <w:r>
        <w:t>records</w:t>
      </w:r>
      <w:r>
        <w:rPr>
          <w:spacing w:val="-7"/>
        </w:rPr>
        <w:t xml:space="preserve"> </w:t>
      </w:r>
      <w:r>
        <w:t>of</w:t>
      </w:r>
      <w:r>
        <w:rPr>
          <w:spacing w:val="-9"/>
        </w:rPr>
        <w:t xml:space="preserve"> </w:t>
      </w:r>
      <w:r>
        <w:t>consent</w:t>
      </w:r>
      <w:r>
        <w:rPr>
          <w:spacing w:val="-3"/>
        </w:rPr>
        <w:t xml:space="preserve"> </w:t>
      </w:r>
      <w:r>
        <w:t>and eligibility</w:t>
      </w:r>
      <w:r>
        <w:rPr>
          <w:spacing w:val="-1"/>
        </w:rPr>
        <w:t xml:space="preserve"> </w:t>
      </w:r>
      <w:r>
        <w:t>information</w:t>
      </w:r>
      <w:r>
        <w:rPr>
          <w:spacing w:val="-1"/>
        </w:rPr>
        <w:t xml:space="preserve"> </w:t>
      </w:r>
      <w:r>
        <w:t>review</w:t>
      </w:r>
      <w:r>
        <w:rPr>
          <w:spacing w:val="-2"/>
        </w:rPr>
        <w:t xml:space="preserve"> </w:t>
      </w:r>
      <w:r>
        <w:t>and confirmation of accuracy, and when an agent, broker, or web- broker will be required to produce such records.</w:t>
      </w:r>
      <w:r>
        <w:rPr>
          <w:spacing w:val="-1"/>
        </w:rPr>
        <w:t xml:space="preserve"> </w:t>
      </w:r>
      <w:r>
        <w:t xml:space="preserve">This would not mandate any language, method, or prescribe a form for collecting this information, but HHS will provide a consumer consent form, an eligibility application information review form, and scripts, for agents, brokers, and web-brokers to use if they so choose, see </w:t>
      </w:r>
      <w:r>
        <w:rPr>
          <w:b/>
        </w:rPr>
        <w:t>Appendix A</w:t>
      </w:r>
      <w:r>
        <w:t>. It would be up to the agents, brokers,</w:t>
      </w:r>
      <w:r>
        <w:rPr>
          <w:spacing w:val="40"/>
        </w:rPr>
        <w:t xml:space="preserve"> </w:t>
      </w:r>
      <w:r>
        <w:t>and web-brokers to determine the best way to meet these regulatory requirements. As agents, brokers, and web-brokers are currently required to obtain consumer consent prior to assisting them, the requirement of obtaining consent would not add any costs to the enrolling agent, broker, or web-broker.</w:t>
      </w:r>
    </w:p>
    <w:p>
      <w:pPr>
        <w:pStyle w:val="BodyText"/>
      </w:pPr>
    </w:p>
    <w:p>
      <w:pPr>
        <w:pStyle w:val="BodyText"/>
        <w:spacing w:before="1"/>
        <w:ind w:left="120"/>
      </w:pPr>
      <w:r>
        <w:t>Costs</w:t>
      </w:r>
      <w:r>
        <w:rPr>
          <w:spacing w:val="-6"/>
        </w:rPr>
        <w:t xml:space="preserve"> </w:t>
      </w:r>
      <w:r>
        <w:t>associated</w:t>
      </w:r>
      <w:r>
        <w:rPr>
          <w:spacing w:val="-5"/>
        </w:rPr>
        <w:t xml:space="preserve"> </w:t>
      </w:r>
      <w:r>
        <w:t>with</w:t>
      </w:r>
      <w:r>
        <w:rPr>
          <w:spacing w:val="-5"/>
        </w:rPr>
        <w:t xml:space="preserve"> </w:t>
      </w:r>
      <w:r>
        <w:t>retaining</w:t>
      </w:r>
      <w:r>
        <w:rPr>
          <w:spacing w:val="-5"/>
        </w:rPr>
        <w:t xml:space="preserve"> </w:t>
      </w:r>
      <w:r>
        <w:t>this</w:t>
      </w:r>
      <w:r>
        <w:rPr>
          <w:spacing w:val="-4"/>
        </w:rPr>
        <w:t xml:space="preserve"> </w:t>
      </w:r>
      <w:r>
        <w:t>documentation</w:t>
      </w:r>
      <w:r>
        <w:rPr>
          <w:spacing w:val="-5"/>
        </w:rPr>
        <w:t xml:space="preserve"> </w:t>
      </w:r>
      <w:r>
        <w:t>would</w:t>
      </w:r>
      <w:r>
        <w:rPr>
          <w:spacing w:val="-4"/>
        </w:rPr>
        <w:t xml:space="preserve"> </w:t>
      </w:r>
      <w:r>
        <w:t>depend</w:t>
      </w:r>
      <w:r>
        <w:rPr>
          <w:spacing w:val="-5"/>
        </w:rPr>
        <w:t xml:space="preserve"> </w:t>
      </w:r>
      <w:r>
        <w:t>on</w:t>
      </w:r>
      <w:r>
        <w:rPr>
          <w:spacing w:val="-5"/>
        </w:rPr>
        <w:t xml:space="preserve"> </w:t>
      </w:r>
      <w:r>
        <w:t>the</w:t>
      </w:r>
      <w:r>
        <w:rPr>
          <w:spacing w:val="-4"/>
        </w:rPr>
        <w:t xml:space="preserve"> </w:t>
      </w:r>
      <w:r>
        <w:t>method</w:t>
      </w:r>
      <w:r>
        <w:rPr>
          <w:spacing w:val="-9"/>
        </w:rPr>
        <w:t xml:space="preserve"> </w:t>
      </w:r>
      <w:r>
        <w:t>selected</w:t>
      </w:r>
      <w:r>
        <w:rPr>
          <w:spacing w:val="-5"/>
        </w:rPr>
        <w:t xml:space="preserve"> </w:t>
      </w:r>
      <w:r>
        <w:t xml:space="preserve">by </w:t>
      </w:r>
      <w:r>
        <w:rPr>
          <w:spacing w:val="-5"/>
        </w:rPr>
        <w:t>the</w:t>
      </w:r>
    </w:p>
    <w:p>
      <w:pPr>
        <w:spacing w:after="0"/>
        <w:sectPr>
          <w:pgSz w:w="12240" w:h="15840"/>
          <w:pgMar w:top="1380" w:right="1300" w:bottom="1200" w:left="1320" w:header="0" w:footer="1001"/>
          <w:cols w:space="720"/>
        </w:sectPr>
      </w:pPr>
    </w:p>
    <w:p>
      <w:pPr>
        <w:pStyle w:val="BodyText"/>
        <w:spacing w:before="60"/>
        <w:ind w:left="120" w:right="408"/>
      </w:pPr>
      <w:r>
        <w:t>agent,</w:t>
      </w:r>
      <w:r>
        <w:rPr>
          <w:spacing w:val="-3"/>
        </w:rPr>
        <w:t xml:space="preserve"> </w:t>
      </w:r>
      <w:r>
        <w:t>broker,</w:t>
      </w:r>
      <w:r>
        <w:rPr>
          <w:spacing w:val="-3"/>
        </w:rPr>
        <w:t xml:space="preserve"> </w:t>
      </w:r>
      <w:r>
        <w:t>or</w:t>
      </w:r>
      <w:r>
        <w:rPr>
          <w:spacing w:val="-3"/>
        </w:rPr>
        <w:t xml:space="preserve"> </w:t>
      </w:r>
      <w:r>
        <w:t>web-broker</w:t>
      </w:r>
      <w:r>
        <w:rPr>
          <w:spacing w:val="-3"/>
        </w:rPr>
        <w:t xml:space="preserve"> </w:t>
      </w:r>
      <w:r>
        <w:t>to</w:t>
      </w:r>
      <w:r>
        <w:rPr>
          <w:spacing w:val="-5"/>
        </w:rPr>
        <w:t xml:space="preserve"> </w:t>
      </w:r>
      <w:r>
        <w:t>meet</w:t>
      </w:r>
      <w:r>
        <w:rPr>
          <w:spacing w:val="-7"/>
        </w:rPr>
        <w:t xml:space="preserve"> </w:t>
      </w:r>
      <w:r>
        <w:t>the</w:t>
      </w:r>
      <w:r>
        <w:rPr>
          <w:spacing w:val="-3"/>
        </w:rPr>
        <w:t xml:space="preserve"> </w:t>
      </w:r>
      <w:r>
        <w:t>regulatory</w:t>
      </w:r>
      <w:r>
        <w:rPr>
          <w:spacing w:val="-3"/>
        </w:rPr>
        <w:t xml:space="preserve"> </w:t>
      </w:r>
      <w:r>
        <w:t>requirements.</w:t>
      </w:r>
      <w:r>
        <w:rPr>
          <w:spacing w:val="-3"/>
        </w:rPr>
        <w:t xml:space="preserve"> </w:t>
      </w:r>
      <w:r>
        <w:t>For</w:t>
      </w:r>
      <w:r>
        <w:rPr>
          <w:spacing w:val="-3"/>
        </w:rPr>
        <w:t xml:space="preserve"> </w:t>
      </w:r>
      <w:r>
        <w:t>those</w:t>
      </w:r>
      <w:r>
        <w:rPr>
          <w:spacing w:val="-3"/>
        </w:rPr>
        <w:t xml:space="preserve"> </w:t>
      </w:r>
      <w:r>
        <w:t>agents,</w:t>
      </w:r>
      <w:r>
        <w:rPr>
          <w:spacing w:val="-3"/>
        </w:rPr>
        <w:t xml:space="preserve"> </w:t>
      </w:r>
      <w:r>
        <w:t>brokers,</w:t>
      </w:r>
      <w:r>
        <w:rPr>
          <w:spacing w:val="-3"/>
        </w:rPr>
        <w:t xml:space="preserve"> </w:t>
      </w:r>
      <w:r>
        <w:t xml:space="preserve">or web-brokers currently meeting the requirements, no additional costs would be incurred. If an enrolling entity opts to use paper for documentation, they will bear the costs of printing the </w:t>
      </w:r>
      <w:r>
        <w:rPr>
          <w:spacing w:val="-2"/>
        </w:rPr>
        <w:t>confirmations.</w:t>
      </w:r>
    </w:p>
    <w:p>
      <w:pPr>
        <w:pStyle w:val="BodyText"/>
      </w:pPr>
    </w:p>
    <w:p>
      <w:pPr>
        <w:pStyle w:val="BodyText"/>
        <w:ind w:left="120" w:right="140"/>
      </w:pPr>
      <w:r>
        <w:t>Costs related to requiring that the consumer take some affirmative action to memorialize the consent and eligibility information review are as follows. We estimate it would take about 5 minutes</w:t>
      </w:r>
      <w:r>
        <w:rPr>
          <w:spacing w:val="-1"/>
        </w:rPr>
        <w:t xml:space="preserve"> </w:t>
      </w:r>
      <w:r>
        <w:t>per</w:t>
      </w:r>
      <w:r>
        <w:rPr>
          <w:spacing w:val="-5"/>
        </w:rPr>
        <w:t xml:space="preserve"> </w:t>
      </w:r>
      <w:r>
        <w:t>policy,</w:t>
      </w:r>
      <w:r>
        <w:rPr>
          <w:spacing w:val="-8"/>
        </w:rPr>
        <w:t xml:space="preserve"> </w:t>
      </w:r>
      <w:r>
        <w:t>for</w:t>
      </w:r>
      <w:r>
        <w:rPr>
          <w:spacing w:val="-5"/>
        </w:rPr>
        <w:t xml:space="preserve"> </w:t>
      </w:r>
      <w:r>
        <w:t>total</w:t>
      </w:r>
      <w:r>
        <w:rPr>
          <w:spacing w:val="-5"/>
        </w:rPr>
        <w:t xml:space="preserve"> </w:t>
      </w:r>
      <w:r>
        <w:t>of</w:t>
      </w:r>
      <w:r>
        <w:rPr>
          <w:spacing w:val="-4"/>
        </w:rPr>
        <w:t xml:space="preserve"> </w:t>
      </w:r>
      <w:r>
        <w:t>10</w:t>
      </w:r>
      <w:r>
        <w:rPr>
          <w:spacing w:val="-6"/>
        </w:rPr>
        <w:t xml:space="preserve"> </w:t>
      </w:r>
      <w:r>
        <w:t>minutes</w:t>
      </w:r>
      <w:r>
        <w:rPr>
          <w:spacing w:val="-6"/>
        </w:rPr>
        <w:t xml:space="preserve"> </w:t>
      </w:r>
      <w:r>
        <w:t>(0.17 hours), for an enrolling agent, broker or</w:t>
      </w:r>
      <w:r>
        <w:rPr>
          <w:spacing w:val="-1"/>
        </w:rPr>
        <w:t xml:space="preserve"> </w:t>
      </w:r>
      <w:r>
        <w:t>web- broker</w:t>
      </w:r>
      <w:r>
        <w:rPr>
          <w:spacing w:val="-5"/>
        </w:rPr>
        <w:t xml:space="preserve"> </w:t>
      </w:r>
      <w:r>
        <w:t>to</w:t>
      </w:r>
      <w:r>
        <w:rPr>
          <w:spacing w:val="-1"/>
        </w:rPr>
        <w:t xml:space="preserve"> </w:t>
      </w:r>
      <w:r>
        <w:t>obtain</w:t>
      </w:r>
      <w:r>
        <w:rPr>
          <w:spacing w:val="-1"/>
        </w:rPr>
        <w:t xml:space="preserve"> </w:t>
      </w:r>
      <w:r>
        <w:t>consumer affirmation of their consent and review of eligibility information and confirmation</w:t>
      </w:r>
      <w:r>
        <w:rPr>
          <w:spacing w:val="-3"/>
        </w:rPr>
        <w:t xml:space="preserve"> </w:t>
      </w:r>
      <w:r>
        <w:t>of</w:t>
      </w:r>
      <w:r>
        <w:rPr>
          <w:spacing w:val="-3"/>
        </w:rPr>
        <w:t xml:space="preserve"> </w:t>
      </w:r>
      <w:r>
        <w:t>approval.</w:t>
      </w:r>
      <w:r>
        <w:rPr>
          <w:spacing w:val="-3"/>
        </w:rPr>
        <w:t xml:space="preserve"> </w:t>
      </w:r>
      <w:r>
        <w:t>Using</w:t>
      </w:r>
      <w:r>
        <w:rPr>
          <w:spacing w:val="-3"/>
        </w:rPr>
        <w:t xml:space="preserve"> </w:t>
      </w:r>
      <w:r>
        <w:t>the</w:t>
      </w:r>
      <w:r>
        <w:rPr>
          <w:spacing w:val="-4"/>
        </w:rPr>
        <w:t xml:space="preserve"> </w:t>
      </w:r>
      <w:r>
        <w:t>adjusted</w:t>
      </w:r>
      <w:r>
        <w:rPr>
          <w:spacing w:val="-3"/>
        </w:rPr>
        <w:t xml:space="preserve"> </w:t>
      </w:r>
      <w:r>
        <w:t>hourly</w:t>
      </w:r>
      <w:r>
        <w:rPr>
          <w:spacing w:val="-3"/>
        </w:rPr>
        <w:t xml:space="preserve"> </w:t>
      </w:r>
      <w:r>
        <w:t>wage</w:t>
      </w:r>
      <w:r>
        <w:rPr>
          <w:spacing w:val="-3"/>
        </w:rPr>
        <w:t xml:space="preserve"> </w:t>
      </w:r>
      <w:r>
        <w:t>for</w:t>
      </w:r>
      <w:r>
        <w:rPr>
          <w:spacing w:val="-4"/>
        </w:rPr>
        <w:t xml:space="preserve"> </w:t>
      </w:r>
      <w:r>
        <w:t>an</w:t>
      </w:r>
      <w:r>
        <w:rPr>
          <w:spacing w:val="-3"/>
        </w:rPr>
        <w:t xml:space="preserve"> </w:t>
      </w:r>
      <w:r>
        <w:t>Insurance</w:t>
      </w:r>
      <w:r>
        <w:rPr>
          <w:spacing w:val="-3"/>
        </w:rPr>
        <w:t xml:space="preserve"> </w:t>
      </w:r>
      <w:r>
        <w:t>Sales</w:t>
      </w:r>
      <w:r>
        <w:rPr>
          <w:spacing w:val="-3"/>
        </w:rPr>
        <w:t xml:space="preserve"> </w:t>
      </w:r>
      <w:r>
        <w:t>Agent</w:t>
      </w:r>
      <w:r>
        <w:rPr>
          <w:spacing w:val="-3"/>
        </w:rPr>
        <w:t xml:space="preserve"> </w:t>
      </w:r>
      <w:r>
        <w:t>in</w:t>
      </w:r>
      <w:r>
        <w:rPr>
          <w:spacing w:val="-3"/>
        </w:rPr>
        <w:t xml:space="preserve"> </w:t>
      </w:r>
      <w:r>
        <w:t>Table 1, each enrollment will have approximately $9.66 in additional cost associated with it based on the extra time commitment from these proposed policy changes. In PY 2023, agents submitted approximately 9,800,000 policies. Based on this number of policy submissions, the total annual burden is 1,666,000 hours with a total annual cost of $94,668,000.</w:t>
      </w:r>
    </w:p>
    <w:p>
      <w:pPr>
        <w:pStyle w:val="BodyText"/>
      </w:pPr>
    </w:p>
    <w:p>
      <w:pPr>
        <w:pStyle w:val="Heading1"/>
      </w:pPr>
      <w:r>
        <w:t>Table</w:t>
      </w:r>
      <w:r>
        <w:rPr>
          <w:spacing w:val="-15"/>
        </w:rPr>
        <w:t xml:space="preserve"> </w:t>
      </w:r>
      <w:r>
        <w:t>2.</w:t>
      </w:r>
      <w:r>
        <w:rPr>
          <w:spacing w:val="-8"/>
        </w:rPr>
        <w:t xml:space="preserve"> </w:t>
      </w:r>
      <w:r>
        <w:t>Burden</w:t>
      </w:r>
      <w:r>
        <w:rPr>
          <w:spacing w:val="-14"/>
        </w:rPr>
        <w:t xml:space="preserve"> </w:t>
      </w:r>
      <w:r>
        <w:t>to</w:t>
      </w:r>
      <w:r>
        <w:rPr>
          <w:spacing w:val="-5"/>
        </w:rPr>
        <w:t xml:space="preserve"> </w:t>
      </w:r>
      <w:r>
        <w:t>Memorialize</w:t>
      </w:r>
      <w:r>
        <w:rPr>
          <w:spacing w:val="-3"/>
        </w:rPr>
        <w:t xml:space="preserve"> </w:t>
      </w:r>
      <w:r>
        <w:t>the</w:t>
      </w:r>
      <w:r>
        <w:rPr>
          <w:spacing w:val="-2"/>
        </w:rPr>
        <w:t xml:space="preserve"> </w:t>
      </w:r>
      <w:r>
        <w:t>Eligibility</w:t>
      </w:r>
      <w:r>
        <w:rPr>
          <w:spacing w:val="-5"/>
        </w:rPr>
        <w:t xml:space="preserve"> </w:t>
      </w:r>
      <w:r>
        <w:t>and</w:t>
      </w:r>
      <w:r>
        <w:rPr>
          <w:spacing w:val="-4"/>
        </w:rPr>
        <w:t xml:space="preserve"> </w:t>
      </w:r>
      <w:r>
        <w:t>Consent</w:t>
      </w:r>
      <w:r>
        <w:rPr>
          <w:spacing w:val="-3"/>
        </w:rPr>
        <w:t xml:space="preserve"> </w:t>
      </w:r>
      <w:r>
        <w:rPr>
          <w:spacing w:val="-2"/>
        </w:rPr>
        <w:t>Documentation</w:t>
      </w:r>
    </w:p>
    <w:p>
      <w:pPr>
        <w:pStyle w:val="BodyText"/>
        <w:spacing w:before="46"/>
        <w:rPr>
          <w:b/>
          <w:sz w:val="20"/>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5"/>
        <w:gridCol w:w="1350"/>
        <w:gridCol w:w="1710"/>
        <w:gridCol w:w="1170"/>
        <w:gridCol w:w="1366"/>
        <w:gridCol w:w="1728"/>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142"/>
          <w:jc w:val="left"/>
        </w:trPr>
        <w:tc>
          <w:tcPr>
            <w:tcW w:w="2065" w:type="dxa"/>
          </w:tcPr>
          <w:p>
            <w:pPr>
              <w:pStyle w:val="TableParagraph"/>
              <w:ind w:left="64"/>
              <w:rPr>
                <w:b/>
                <w:sz w:val="24"/>
              </w:rPr>
            </w:pPr>
            <w:r>
              <w:rPr>
                <w:b/>
                <w:spacing w:val="-4"/>
                <w:sz w:val="24"/>
              </w:rPr>
              <w:t>Labor</w:t>
            </w:r>
            <w:r>
              <w:rPr>
                <w:b/>
                <w:spacing w:val="-6"/>
                <w:sz w:val="24"/>
              </w:rPr>
              <w:t xml:space="preserve"> </w:t>
            </w:r>
            <w:r>
              <w:rPr>
                <w:b/>
                <w:spacing w:val="-2"/>
                <w:sz w:val="24"/>
              </w:rPr>
              <w:t>Category</w:t>
            </w:r>
          </w:p>
        </w:tc>
        <w:tc>
          <w:tcPr>
            <w:tcW w:w="1350" w:type="dxa"/>
          </w:tcPr>
          <w:p>
            <w:pPr>
              <w:pStyle w:val="TableParagraph"/>
              <w:ind w:left="13" w:firstLine="74"/>
              <w:rPr>
                <w:b/>
                <w:sz w:val="24"/>
              </w:rPr>
            </w:pPr>
            <w:r>
              <w:rPr>
                <w:b/>
                <w:sz w:val="24"/>
              </w:rPr>
              <w:t xml:space="preserve">Number of </w:t>
            </w:r>
            <w:r>
              <w:rPr>
                <w:b/>
                <w:spacing w:val="-6"/>
                <w:sz w:val="24"/>
              </w:rPr>
              <w:t>Respondents</w:t>
            </w:r>
          </w:p>
        </w:tc>
        <w:tc>
          <w:tcPr>
            <w:tcW w:w="1710" w:type="dxa"/>
          </w:tcPr>
          <w:p>
            <w:pPr>
              <w:pStyle w:val="TableParagraph"/>
              <w:ind w:left="35" w:right="83" w:hanging="1"/>
              <w:jc w:val="center"/>
              <w:rPr>
                <w:b/>
                <w:sz w:val="24"/>
              </w:rPr>
            </w:pPr>
            <w:r>
              <w:rPr>
                <w:b/>
                <w:sz w:val="24"/>
              </w:rPr>
              <w:t>Hourly Labor Costs</w:t>
            </w:r>
            <w:r>
              <w:rPr>
                <w:b/>
                <w:spacing w:val="-15"/>
                <w:sz w:val="24"/>
              </w:rPr>
              <w:t xml:space="preserve"> </w:t>
            </w:r>
            <w:r>
              <w:rPr>
                <w:b/>
                <w:sz w:val="24"/>
              </w:rPr>
              <w:t xml:space="preserve">(Hourly rate + 100% </w:t>
            </w:r>
            <w:r>
              <w:rPr>
                <w:b/>
                <w:spacing w:val="-4"/>
                <w:sz w:val="24"/>
              </w:rPr>
              <w:t>Fringe</w:t>
            </w:r>
            <w:r>
              <w:rPr>
                <w:b/>
                <w:spacing w:val="-15"/>
                <w:sz w:val="24"/>
              </w:rPr>
              <w:t xml:space="preserve"> </w:t>
            </w:r>
            <w:r>
              <w:rPr>
                <w:b/>
                <w:spacing w:val="-4"/>
                <w:sz w:val="24"/>
              </w:rPr>
              <w:t>benefits)</w:t>
            </w:r>
          </w:p>
        </w:tc>
        <w:tc>
          <w:tcPr>
            <w:tcW w:w="1170" w:type="dxa"/>
          </w:tcPr>
          <w:p>
            <w:pPr>
              <w:pStyle w:val="TableParagraph"/>
              <w:ind w:left="240" w:hanging="60"/>
              <w:rPr>
                <w:b/>
                <w:sz w:val="24"/>
              </w:rPr>
            </w:pPr>
            <w:r>
              <w:rPr>
                <w:b/>
                <w:spacing w:val="-6"/>
                <w:sz w:val="24"/>
              </w:rPr>
              <w:t xml:space="preserve">Burden </w:t>
            </w:r>
            <w:r>
              <w:rPr>
                <w:b/>
                <w:spacing w:val="-2"/>
                <w:sz w:val="24"/>
              </w:rPr>
              <w:t>Hours</w:t>
            </w:r>
          </w:p>
        </w:tc>
        <w:tc>
          <w:tcPr>
            <w:tcW w:w="1366" w:type="dxa"/>
          </w:tcPr>
          <w:p>
            <w:pPr>
              <w:pStyle w:val="TableParagraph"/>
              <w:ind w:left="15" w:right="64" w:hanging="3"/>
              <w:jc w:val="center"/>
              <w:rPr>
                <w:b/>
                <w:sz w:val="24"/>
              </w:rPr>
            </w:pPr>
            <w:r>
              <w:rPr>
                <w:b/>
                <w:spacing w:val="-2"/>
                <w:sz w:val="24"/>
              </w:rPr>
              <w:t xml:space="preserve">Total Burden </w:t>
            </w:r>
            <w:r>
              <w:rPr>
                <w:b/>
                <w:sz w:val="24"/>
              </w:rPr>
              <w:t>Costs</w:t>
            </w:r>
            <w:r>
              <w:rPr>
                <w:b/>
                <w:spacing w:val="-15"/>
                <w:sz w:val="24"/>
              </w:rPr>
              <w:t xml:space="preserve"> </w:t>
            </w:r>
            <w:r>
              <w:rPr>
                <w:b/>
                <w:sz w:val="24"/>
              </w:rPr>
              <w:t xml:space="preserve">(Per </w:t>
            </w:r>
            <w:r>
              <w:rPr>
                <w:b/>
                <w:spacing w:val="-4"/>
                <w:sz w:val="24"/>
              </w:rPr>
              <w:t>Respondent)</w:t>
            </w:r>
          </w:p>
        </w:tc>
        <w:tc>
          <w:tcPr>
            <w:tcW w:w="1728" w:type="dxa"/>
          </w:tcPr>
          <w:p>
            <w:pPr>
              <w:pStyle w:val="TableParagraph"/>
              <w:ind w:left="150" w:right="198" w:hanging="1"/>
              <w:jc w:val="center"/>
              <w:rPr>
                <w:b/>
                <w:sz w:val="24"/>
              </w:rPr>
            </w:pPr>
            <w:r>
              <w:rPr>
                <w:b/>
                <w:spacing w:val="-2"/>
                <w:sz w:val="24"/>
              </w:rPr>
              <w:t>Total</w:t>
            </w:r>
            <w:r>
              <w:rPr>
                <w:b/>
                <w:spacing w:val="-16"/>
                <w:sz w:val="24"/>
              </w:rPr>
              <w:t xml:space="preserve"> </w:t>
            </w:r>
            <w:r>
              <w:rPr>
                <w:b/>
                <w:spacing w:val="-2"/>
                <w:sz w:val="24"/>
              </w:rPr>
              <w:t xml:space="preserve">Burden </w:t>
            </w:r>
            <w:r>
              <w:rPr>
                <w:b/>
                <w:sz w:val="24"/>
              </w:rPr>
              <w:t xml:space="preserve">Costs (All </w:t>
            </w:r>
            <w:r>
              <w:rPr>
                <w:b/>
                <w:spacing w:val="-4"/>
                <w:sz w:val="24"/>
              </w:rPr>
              <w:t>Respondents)</w:t>
            </w:r>
          </w:p>
        </w:tc>
      </w:tr>
      <w:tr>
        <w:tblPrEx>
          <w:tblW w:w="0" w:type="auto"/>
          <w:jc w:val="left"/>
          <w:tblInd w:w="130" w:type="dxa"/>
          <w:tblLayout w:type="fixed"/>
          <w:tblCellMar>
            <w:top w:w="0" w:type="dxa"/>
            <w:left w:w="0" w:type="dxa"/>
            <w:bottom w:w="0" w:type="dxa"/>
            <w:right w:w="0" w:type="dxa"/>
          </w:tblCellMar>
          <w:tblLook w:val="01E0"/>
        </w:tblPrEx>
        <w:trPr>
          <w:trHeight w:val="624"/>
          <w:jc w:val="left"/>
        </w:trPr>
        <w:tc>
          <w:tcPr>
            <w:tcW w:w="2065" w:type="dxa"/>
          </w:tcPr>
          <w:p>
            <w:pPr>
              <w:pStyle w:val="TableParagraph"/>
              <w:ind w:left="64" w:right="16"/>
              <w:rPr>
                <w:sz w:val="24"/>
              </w:rPr>
            </w:pPr>
            <w:r>
              <w:rPr>
                <w:spacing w:val="-4"/>
                <w:sz w:val="24"/>
              </w:rPr>
              <w:t>Insurance</w:t>
            </w:r>
            <w:r>
              <w:rPr>
                <w:spacing w:val="-15"/>
                <w:sz w:val="24"/>
              </w:rPr>
              <w:t xml:space="preserve"> </w:t>
            </w:r>
            <w:r>
              <w:rPr>
                <w:spacing w:val="-4"/>
                <w:sz w:val="24"/>
              </w:rPr>
              <w:t>Sales Agent</w:t>
            </w:r>
          </w:p>
        </w:tc>
        <w:tc>
          <w:tcPr>
            <w:tcW w:w="1350" w:type="dxa"/>
          </w:tcPr>
          <w:p>
            <w:pPr>
              <w:pStyle w:val="TableParagraph"/>
              <w:ind w:left="173"/>
              <w:rPr>
                <w:sz w:val="24"/>
              </w:rPr>
            </w:pPr>
            <w:r>
              <w:rPr>
                <w:spacing w:val="-2"/>
                <w:sz w:val="24"/>
              </w:rPr>
              <w:t>9,800,000</w:t>
            </w:r>
          </w:p>
        </w:tc>
        <w:tc>
          <w:tcPr>
            <w:tcW w:w="1710" w:type="dxa"/>
          </w:tcPr>
          <w:p>
            <w:pPr>
              <w:pStyle w:val="TableParagraph"/>
              <w:ind w:left="500"/>
              <w:rPr>
                <w:sz w:val="24"/>
              </w:rPr>
            </w:pPr>
            <w:r>
              <w:rPr>
                <w:spacing w:val="-2"/>
                <w:sz w:val="24"/>
              </w:rPr>
              <w:t>$56.80</w:t>
            </w:r>
          </w:p>
        </w:tc>
        <w:tc>
          <w:tcPr>
            <w:tcW w:w="1170" w:type="dxa"/>
          </w:tcPr>
          <w:p>
            <w:pPr>
              <w:pStyle w:val="TableParagraph"/>
              <w:ind w:left="3" w:right="49"/>
              <w:jc w:val="center"/>
              <w:rPr>
                <w:sz w:val="24"/>
              </w:rPr>
            </w:pPr>
            <w:r>
              <w:rPr>
                <w:spacing w:val="-4"/>
                <w:sz w:val="24"/>
              </w:rPr>
              <w:t>0.17</w:t>
            </w:r>
          </w:p>
        </w:tc>
        <w:tc>
          <w:tcPr>
            <w:tcW w:w="1366" w:type="dxa"/>
          </w:tcPr>
          <w:p>
            <w:pPr>
              <w:pStyle w:val="TableParagraph"/>
              <w:ind w:left="386"/>
              <w:rPr>
                <w:sz w:val="24"/>
              </w:rPr>
            </w:pPr>
            <w:r>
              <w:rPr>
                <w:spacing w:val="-2"/>
                <w:sz w:val="24"/>
              </w:rPr>
              <w:t>$9.66</w:t>
            </w:r>
          </w:p>
        </w:tc>
        <w:tc>
          <w:tcPr>
            <w:tcW w:w="1728" w:type="dxa"/>
          </w:tcPr>
          <w:p>
            <w:pPr>
              <w:pStyle w:val="TableParagraph"/>
              <w:rPr>
                <w:sz w:val="24"/>
              </w:rPr>
            </w:pPr>
          </w:p>
        </w:tc>
      </w:tr>
      <w:tr>
        <w:tblPrEx>
          <w:tblW w:w="0" w:type="auto"/>
          <w:jc w:val="left"/>
          <w:tblInd w:w="130" w:type="dxa"/>
          <w:tblLayout w:type="fixed"/>
          <w:tblCellMar>
            <w:top w:w="0" w:type="dxa"/>
            <w:left w:w="0" w:type="dxa"/>
            <w:bottom w:w="0" w:type="dxa"/>
            <w:right w:w="0" w:type="dxa"/>
          </w:tblCellMar>
          <w:tblLook w:val="01E0"/>
        </w:tblPrEx>
        <w:trPr>
          <w:trHeight w:val="440"/>
          <w:jc w:val="left"/>
        </w:trPr>
        <w:tc>
          <w:tcPr>
            <w:tcW w:w="2065" w:type="dxa"/>
          </w:tcPr>
          <w:p>
            <w:pPr>
              <w:pStyle w:val="TableParagraph"/>
              <w:ind w:left="64"/>
              <w:rPr>
                <w:b/>
                <w:sz w:val="24"/>
              </w:rPr>
            </w:pPr>
            <w:r>
              <w:rPr>
                <w:b/>
                <w:sz w:val="24"/>
              </w:rPr>
              <w:t>Total</w:t>
            </w:r>
            <w:r>
              <w:rPr>
                <w:b/>
                <w:spacing w:val="60"/>
                <w:sz w:val="24"/>
              </w:rPr>
              <w:t xml:space="preserve"> </w:t>
            </w:r>
            <w:r>
              <w:rPr>
                <w:b/>
                <w:spacing w:val="-2"/>
                <w:sz w:val="24"/>
              </w:rPr>
              <w:t>Annual</w:t>
            </w:r>
          </w:p>
        </w:tc>
        <w:tc>
          <w:tcPr>
            <w:tcW w:w="1350" w:type="dxa"/>
          </w:tcPr>
          <w:p>
            <w:pPr>
              <w:pStyle w:val="TableParagraph"/>
              <w:rPr>
                <w:sz w:val="24"/>
              </w:rPr>
            </w:pPr>
          </w:p>
        </w:tc>
        <w:tc>
          <w:tcPr>
            <w:tcW w:w="1710" w:type="dxa"/>
          </w:tcPr>
          <w:p>
            <w:pPr>
              <w:pStyle w:val="TableParagraph"/>
              <w:rPr>
                <w:sz w:val="24"/>
              </w:rPr>
            </w:pPr>
          </w:p>
        </w:tc>
        <w:tc>
          <w:tcPr>
            <w:tcW w:w="1170" w:type="dxa"/>
          </w:tcPr>
          <w:p>
            <w:pPr>
              <w:pStyle w:val="TableParagraph"/>
              <w:ind w:right="49"/>
              <w:jc w:val="center"/>
              <w:rPr>
                <w:b/>
                <w:sz w:val="24"/>
              </w:rPr>
            </w:pPr>
            <w:r>
              <w:rPr>
                <w:b/>
                <w:spacing w:val="-2"/>
                <w:sz w:val="24"/>
              </w:rPr>
              <w:t>1,666,000</w:t>
            </w:r>
          </w:p>
        </w:tc>
        <w:tc>
          <w:tcPr>
            <w:tcW w:w="1366" w:type="dxa"/>
          </w:tcPr>
          <w:p>
            <w:pPr>
              <w:pStyle w:val="TableParagraph"/>
              <w:rPr>
                <w:sz w:val="24"/>
              </w:rPr>
            </w:pPr>
          </w:p>
        </w:tc>
        <w:tc>
          <w:tcPr>
            <w:tcW w:w="1728" w:type="dxa"/>
          </w:tcPr>
          <w:p>
            <w:pPr>
              <w:pStyle w:val="TableParagraph"/>
              <w:ind w:right="47"/>
              <w:jc w:val="center"/>
              <w:rPr>
                <w:b/>
                <w:sz w:val="24"/>
              </w:rPr>
            </w:pPr>
            <w:r>
              <w:rPr>
                <w:b/>
                <w:spacing w:val="-2"/>
                <w:sz w:val="24"/>
              </w:rPr>
              <w:t>$94,668,000</w:t>
            </w:r>
          </w:p>
        </w:tc>
      </w:tr>
      <w:tr>
        <w:tblPrEx>
          <w:tblW w:w="0" w:type="auto"/>
          <w:jc w:val="left"/>
          <w:tblInd w:w="130" w:type="dxa"/>
          <w:tblLayout w:type="fixed"/>
          <w:tblCellMar>
            <w:top w:w="0" w:type="dxa"/>
            <w:left w:w="0" w:type="dxa"/>
            <w:bottom w:w="0" w:type="dxa"/>
            <w:right w:w="0" w:type="dxa"/>
          </w:tblCellMar>
          <w:tblLook w:val="01E0"/>
        </w:tblPrEx>
        <w:trPr>
          <w:trHeight w:val="440"/>
          <w:jc w:val="left"/>
        </w:trPr>
        <w:tc>
          <w:tcPr>
            <w:tcW w:w="2065" w:type="dxa"/>
          </w:tcPr>
          <w:p>
            <w:pPr>
              <w:pStyle w:val="TableParagraph"/>
              <w:ind w:left="64"/>
              <w:rPr>
                <w:b/>
                <w:sz w:val="24"/>
              </w:rPr>
            </w:pPr>
            <w:r>
              <w:rPr>
                <w:b/>
                <w:sz w:val="24"/>
              </w:rPr>
              <w:t>Total</w:t>
            </w:r>
            <w:r>
              <w:rPr>
                <w:b/>
                <w:spacing w:val="-18"/>
                <w:sz w:val="24"/>
              </w:rPr>
              <w:t xml:space="preserve"> </w:t>
            </w:r>
            <w:r>
              <w:rPr>
                <w:b/>
                <w:sz w:val="24"/>
              </w:rPr>
              <w:t>Three</w:t>
            </w:r>
            <w:r>
              <w:rPr>
                <w:b/>
                <w:spacing w:val="-3"/>
                <w:sz w:val="24"/>
              </w:rPr>
              <w:t xml:space="preserve"> </w:t>
            </w:r>
            <w:r>
              <w:rPr>
                <w:b/>
                <w:spacing w:val="-2"/>
                <w:sz w:val="24"/>
              </w:rPr>
              <w:t>Years</w:t>
            </w:r>
          </w:p>
        </w:tc>
        <w:tc>
          <w:tcPr>
            <w:tcW w:w="1350" w:type="dxa"/>
          </w:tcPr>
          <w:p>
            <w:pPr>
              <w:pStyle w:val="TableParagraph"/>
              <w:rPr>
                <w:sz w:val="24"/>
              </w:rPr>
            </w:pPr>
          </w:p>
        </w:tc>
        <w:tc>
          <w:tcPr>
            <w:tcW w:w="1710" w:type="dxa"/>
          </w:tcPr>
          <w:p>
            <w:pPr>
              <w:pStyle w:val="TableParagraph"/>
              <w:rPr>
                <w:sz w:val="24"/>
              </w:rPr>
            </w:pPr>
          </w:p>
        </w:tc>
        <w:tc>
          <w:tcPr>
            <w:tcW w:w="1170" w:type="dxa"/>
          </w:tcPr>
          <w:p>
            <w:pPr>
              <w:pStyle w:val="TableParagraph"/>
              <w:ind w:right="49"/>
              <w:jc w:val="center"/>
              <w:rPr>
                <w:b/>
                <w:sz w:val="24"/>
              </w:rPr>
            </w:pPr>
            <w:r>
              <w:rPr>
                <w:b/>
                <w:spacing w:val="-2"/>
                <w:sz w:val="24"/>
              </w:rPr>
              <w:t>4,998,000</w:t>
            </w:r>
          </w:p>
        </w:tc>
        <w:tc>
          <w:tcPr>
            <w:tcW w:w="1366" w:type="dxa"/>
          </w:tcPr>
          <w:p>
            <w:pPr>
              <w:pStyle w:val="TableParagraph"/>
              <w:rPr>
                <w:sz w:val="24"/>
              </w:rPr>
            </w:pPr>
          </w:p>
        </w:tc>
        <w:tc>
          <w:tcPr>
            <w:tcW w:w="1728" w:type="dxa"/>
          </w:tcPr>
          <w:p>
            <w:pPr>
              <w:pStyle w:val="TableParagraph"/>
              <w:ind w:left="1" w:right="47"/>
              <w:jc w:val="center"/>
              <w:rPr>
                <w:b/>
                <w:sz w:val="24"/>
              </w:rPr>
            </w:pPr>
            <w:r>
              <w:rPr>
                <w:b/>
                <w:spacing w:val="-2"/>
                <w:sz w:val="24"/>
              </w:rPr>
              <w:t>$284,004,000</w:t>
            </w:r>
          </w:p>
        </w:tc>
      </w:tr>
    </w:tbl>
    <w:p>
      <w:pPr>
        <w:pStyle w:val="BodyText"/>
        <w:rPr>
          <w:b/>
        </w:rPr>
      </w:pPr>
    </w:p>
    <w:p>
      <w:pPr>
        <w:pStyle w:val="BodyText"/>
        <w:ind w:left="119" w:right="346"/>
      </w:pPr>
      <w:r>
        <w:t>HHS will only require an agent, broker, or web-broker to produce retained records in limited circumstances related to fraud investigation or agency audits. Pursuant to § 155.220(j)(2)(iii), HHS will use this information to verify whether or not an agent, broker, or web-broker has obtained consent from a consumer they are assisting in enrolling in coverage in the individual market. In instances of fraud investigation, HHS typically asks for records of approximately 5 different applications, generally from the past 2 to 3 years. These records are required to be submitted electronically, so there would be no cost associated with printing or mailing the retained records. Agency-wide audits are not completed often by HHS but may become more widespread. In those instances, HHS would ask the agency to produce a certain number of records from the past 10 years. We estimate it would take an agent approximately 1 hour to gather</w:t>
      </w:r>
      <w:r>
        <w:rPr>
          <w:spacing w:val="-4"/>
        </w:rPr>
        <w:t xml:space="preserve"> </w:t>
      </w:r>
      <w:r>
        <w:t>receipts</w:t>
      </w:r>
      <w:r>
        <w:rPr>
          <w:spacing w:val="-3"/>
        </w:rPr>
        <w:t xml:space="preserve"> </w:t>
      </w:r>
      <w:r>
        <w:t>for</w:t>
      </w:r>
      <w:r>
        <w:rPr>
          <w:spacing w:val="-3"/>
        </w:rPr>
        <w:t xml:space="preserve"> </w:t>
      </w:r>
      <w:r>
        <w:t>5</w:t>
      </w:r>
      <w:r>
        <w:rPr>
          <w:spacing w:val="-5"/>
        </w:rPr>
        <w:t xml:space="preserve"> </w:t>
      </w:r>
      <w:r>
        <w:t>applications.</w:t>
      </w:r>
      <w:r>
        <w:rPr>
          <w:spacing w:val="-3"/>
        </w:rPr>
        <w:t xml:space="preserve"> </w:t>
      </w:r>
      <w:r>
        <w:t>Using</w:t>
      </w:r>
      <w:r>
        <w:rPr>
          <w:spacing w:val="-3"/>
        </w:rPr>
        <w:t xml:space="preserve"> </w:t>
      </w:r>
      <w:r>
        <w:t>the</w:t>
      </w:r>
      <w:r>
        <w:rPr>
          <w:spacing w:val="-3"/>
        </w:rPr>
        <w:t xml:space="preserve"> </w:t>
      </w:r>
      <w:r>
        <w:t>adjusted</w:t>
      </w:r>
      <w:r>
        <w:rPr>
          <w:spacing w:val="-3"/>
        </w:rPr>
        <w:t xml:space="preserve"> </w:t>
      </w:r>
      <w:r>
        <w:t>hourly</w:t>
      </w:r>
      <w:r>
        <w:rPr>
          <w:spacing w:val="-3"/>
        </w:rPr>
        <w:t xml:space="preserve"> </w:t>
      </w:r>
      <w:r>
        <w:t>wage</w:t>
      </w:r>
      <w:r>
        <w:rPr>
          <w:spacing w:val="-3"/>
        </w:rPr>
        <w:t xml:space="preserve"> </w:t>
      </w:r>
      <w:r>
        <w:t>for</w:t>
      </w:r>
      <w:r>
        <w:rPr>
          <w:spacing w:val="-4"/>
        </w:rPr>
        <w:t xml:space="preserve"> </w:t>
      </w:r>
      <w:r>
        <w:t>an</w:t>
      </w:r>
      <w:r>
        <w:rPr>
          <w:spacing w:val="-3"/>
        </w:rPr>
        <w:t xml:space="preserve"> </w:t>
      </w:r>
      <w:r>
        <w:t>Insurance</w:t>
      </w:r>
      <w:r>
        <w:rPr>
          <w:spacing w:val="-3"/>
        </w:rPr>
        <w:t xml:space="preserve"> </w:t>
      </w:r>
      <w:r>
        <w:t>Sales</w:t>
      </w:r>
      <w:r>
        <w:rPr>
          <w:spacing w:val="-3"/>
        </w:rPr>
        <w:t xml:space="preserve"> </w:t>
      </w:r>
      <w:r>
        <w:t>Agent in Table 1, we estimate the total burden cost per respondent to be $56.80. Each year, HHS generally investigates approximately 600 agents, brokers, or web-brokers, so we estimate the total annual burden is 600</w:t>
      </w:r>
      <w:r>
        <w:rPr>
          <w:spacing w:val="-11"/>
        </w:rPr>
        <w:t xml:space="preserve"> </w:t>
      </w:r>
      <w:r>
        <w:t>hours with a total annual cost of $34,080 annually.</w:t>
      </w:r>
    </w:p>
    <w:p>
      <w:pPr>
        <w:spacing w:after="0"/>
        <w:sectPr>
          <w:pgSz w:w="12240" w:h="15840"/>
          <w:pgMar w:top="1380" w:right="1300" w:bottom="1200" w:left="1320" w:header="0" w:footer="1001"/>
          <w:cols w:space="720"/>
        </w:sectPr>
      </w:pPr>
    </w:p>
    <w:p>
      <w:pPr>
        <w:pStyle w:val="Heading1"/>
        <w:spacing w:before="60"/>
      </w:pPr>
      <w:bookmarkStart w:id="15" w:name="13. Capital Costs"/>
      <w:bookmarkEnd w:id="15"/>
      <w:bookmarkStart w:id="16" w:name="14. Cost to Federal Government"/>
      <w:bookmarkEnd w:id="16"/>
      <w:r>
        <w:t>Table</w:t>
      </w:r>
      <w:r>
        <w:rPr>
          <w:spacing w:val="-8"/>
        </w:rPr>
        <w:t xml:space="preserve"> </w:t>
      </w:r>
      <w:r>
        <w:t>3.</w:t>
      </w:r>
      <w:r>
        <w:rPr>
          <w:spacing w:val="-8"/>
        </w:rPr>
        <w:t xml:space="preserve"> </w:t>
      </w:r>
      <w:r>
        <w:t>Burden</w:t>
      </w:r>
      <w:r>
        <w:rPr>
          <w:spacing w:val="-13"/>
        </w:rPr>
        <w:t xml:space="preserve"> </w:t>
      </w:r>
      <w:r>
        <w:t>to</w:t>
      </w:r>
      <w:r>
        <w:rPr>
          <w:spacing w:val="-4"/>
        </w:rPr>
        <w:t xml:space="preserve"> </w:t>
      </w:r>
      <w:r>
        <w:t>Produce</w:t>
      </w:r>
      <w:r>
        <w:rPr>
          <w:spacing w:val="-2"/>
        </w:rPr>
        <w:t xml:space="preserve"> </w:t>
      </w:r>
      <w:r>
        <w:t>Retained</w:t>
      </w:r>
      <w:r>
        <w:rPr>
          <w:spacing w:val="-6"/>
        </w:rPr>
        <w:t xml:space="preserve"> </w:t>
      </w:r>
      <w:r>
        <w:t>Eligibility</w:t>
      </w:r>
      <w:r>
        <w:rPr>
          <w:spacing w:val="-5"/>
        </w:rPr>
        <w:t xml:space="preserve"> </w:t>
      </w:r>
      <w:r>
        <w:t>and</w:t>
      </w:r>
      <w:r>
        <w:rPr>
          <w:spacing w:val="-5"/>
        </w:rPr>
        <w:t xml:space="preserve"> </w:t>
      </w:r>
      <w:r>
        <w:t>Consent</w:t>
      </w:r>
      <w:r>
        <w:rPr>
          <w:spacing w:val="-2"/>
        </w:rPr>
        <w:t xml:space="preserve"> Records</w:t>
      </w:r>
    </w:p>
    <w:p>
      <w:pPr>
        <w:pStyle w:val="BodyText"/>
        <w:spacing w:before="46"/>
        <w:rPr>
          <w:b/>
          <w:sz w:val="20"/>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5"/>
        <w:gridCol w:w="1440"/>
        <w:gridCol w:w="1710"/>
        <w:gridCol w:w="1080"/>
        <w:gridCol w:w="1441"/>
        <w:gridCol w:w="1652"/>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114"/>
          <w:jc w:val="left"/>
        </w:trPr>
        <w:tc>
          <w:tcPr>
            <w:tcW w:w="2065" w:type="dxa"/>
          </w:tcPr>
          <w:p>
            <w:pPr>
              <w:pStyle w:val="TableParagraph"/>
              <w:ind w:left="64"/>
              <w:rPr>
                <w:b/>
                <w:sz w:val="24"/>
              </w:rPr>
            </w:pPr>
            <w:r>
              <w:rPr>
                <w:b/>
                <w:spacing w:val="-4"/>
                <w:sz w:val="24"/>
              </w:rPr>
              <w:t>Labor</w:t>
            </w:r>
            <w:r>
              <w:rPr>
                <w:b/>
                <w:spacing w:val="-6"/>
                <w:sz w:val="24"/>
              </w:rPr>
              <w:t xml:space="preserve"> </w:t>
            </w:r>
            <w:r>
              <w:rPr>
                <w:b/>
                <w:spacing w:val="-2"/>
                <w:sz w:val="24"/>
              </w:rPr>
              <w:t>Category</w:t>
            </w:r>
          </w:p>
        </w:tc>
        <w:tc>
          <w:tcPr>
            <w:tcW w:w="1440" w:type="dxa"/>
          </w:tcPr>
          <w:p>
            <w:pPr>
              <w:pStyle w:val="TableParagraph"/>
              <w:ind w:left="58" w:firstLine="74"/>
              <w:rPr>
                <w:b/>
                <w:sz w:val="24"/>
              </w:rPr>
            </w:pPr>
            <w:r>
              <w:rPr>
                <w:b/>
                <w:sz w:val="24"/>
              </w:rPr>
              <w:t xml:space="preserve">Number of </w:t>
            </w:r>
            <w:r>
              <w:rPr>
                <w:b/>
                <w:spacing w:val="-6"/>
                <w:sz w:val="24"/>
              </w:rPr>
              <w:t>Respondents</w:t>
            </w:r>
          </w:p>
        </w:tc>
        <w:tc>
          <w:tcPr>
            <w:tcW w:w="1710" w:type="dxa"/>
          </w:tcPr>
          <w:p>
            <w:pPr>
              <w:pStyle w:val="TableParagraph"/>
              <w:spacing w:line="270" w:lineRule="atLeast"/>
              <w:ind w:left="36" w:right="83" w:hanging="1"/>
              <w:jc w:val="center"/>
              <w:rPr>
                <w:b/>
                <w:sz w:val="24"/>
              </w:rPr>
            </w:pPr>
            <w:r>
              <w:rPr>
                <w:b/>
                <w:sz w:val="24"/>
              </w:rPr>
              <w:t>Hourly Labor Costs</w:t>
            </w:r>
            <w:r>
              <w:rPr>
                <w:b/>
                <w:spacing w:val="-15"/>
                <w:sz w:val="24"/>
              </w:rPr>
              <w:t xml:space="preserve"> </w:t>
            </w:r>
            <w:r>
              <w:rPr>
                <w:b/>
                <w:sz w:val="24"/>
              </w:rPr>
              <w:t xml:space="preserve">(Hourly rate + 100% </w:t>
            </w:r>
            <w:r>
              <w:rPr>
                <w:b/>
                <w:spacing w:val="-4"/>
                <w:sz w:val="24"/>
              </w:rPr>
              <w:t>Fringe</w:t>
            </w:r>
            <w:r>
              <w:rPr>
                <w:b/>
                <w:spacing w:val="-15"/>
                <w:sz w:val="24"/>
              </w:rPr>
              <w:t xml:space="preserve"> </w:t>
            </w:r>
            <w:r>
              <w:rPr>
                <w:b/>
                <w:spacing w:val="-4"/>
                <w:sz w:val="24"/>
              </w:rPr>
              <w:t>benefits)</w:t>
            </w:r>
          </w:p>
        </w:tc>
        <w:tc>
          <w:tcPr>
            <w:tcW w:w="1080" w:type="dxa"/>
          </w:tcPr>
          <w:p>
            <w:pPr>
              <w:pStyle w:val="TableParagraph"/>
              <w:ind w:left="194" w:hanging="60"/>
              <w:rPr>
                <w:b/>
                <w:sz w:val="24"/>
              </w:rPr>
            </w:pPr>
            <w:r>
              <w:rPr>
                <w:b/>
                <w:spacing w:val="-6"/>
                <w:sz w:val="24"/>
              </w:rPr>
              <w:t xml:space="preserve">Burden </w:t>
            </w:r>
            <w:r>
              <w:rPr>
                <w:b/>
                <w:spacing w:val="-2"/>
                <w:sz w:val="24"/>
              </w:rPr>
              <w:t>Hours</w:t>
            </w:r>
          </w:p>
        </w:tc>
        <w:tc>
          <w:tcPr>
            <w:tcW w:w="1441" w:type="dxa"/>
          </w:tcPr>
          <w:p>
            <w:pPr>
              <w:pStyle w:val="TableParagraph"/>
              <w:ind w:right="47"/>
              <w:jc w:val="center"/>
              <w:rPr>
                <w:b/>
                <w:sz w:val="24"/>
              </w:rPr>
            </w:pPr>
            <w:r>
              <w:rPr>
                <w:b/>
                <w:spacing w:val="-4"/>
                <w:sz w:val="24"/>
              </w:rPr>
              <w:t>Total</w:t>
            </w:r>
            <w:r>
              <w:rPr>
                <w:b/>
                <w:spacing w:val="-14"/>
                <w:sz w:val="24"/>
              </w:rPr>
              <w:t xml:space="preserve"> </w:t>
            </w:r>
            <w:r>
              <w:rPr>
                <w:b/>
                <w:spacing w:val="-4"/>
                <w:sz w:val="24"/>
              </w:rPr>
              <w:t xml:space="preserve">Burden </w:t>
            </w:r>
            <w:r>
              <w:rPr>
                <w:b/>
                <w:sz w:val="24"/>
              </w:rPr>
              <w:t>Costs</w:t>
            </w:r>
            <w:r>
              <w:rPr>
                <w:b/>
                <w:spacing w:val="-15"/>
                <w:sz w:val="24"/>
              </w:rPr>
              <w:t xml:space="preserve"> </w:t>
            </w:r>
            <w:r>
              <w:rPr>
                <w:b/>
                <w:sz w:val="24"/>
              </w:rPr>
              <w:t xml:space="preserve">(Per </w:t>
            </w:r>
            <w:r>
              <w:rPr>
                <w:b/>
                <w:spacing w:val="-2"/>
                <w:sz w:val="24"/>
              </w:rPr>
              <w:t>Respondent)</w:t>
            </w:r>
          </w:p>
        </w:tc>
        <w:tc>
          <w:tcPr>
            <w:tcW w:w="1652" w:type="dxa"/>
          </w:tcPr>
          <w:p>
            <w:pPr>
              <w:pStyle w:val="TableParagraph"/>
              <w:ind w:left="112" w:right="160" w:hanging="1"/>
              <w:jc w:val="center"/>
              <w:rPr>
                <w:b/>
                <w:sz w:val="24"/>
              </w:rPr>
            </w:pPr>
            <w:r>
              <w:rPr>
                <w:b/>
                <w:spacing w:val="-2"/>
                <w:sz w:val="24"/>
              </w:rPr>
              <w:t>Total</w:t>
            </w:r>
            <w:r>
              <w:rPr>
                <w:b/>
                <w:spacing w:val="-16"/>
                <w:sz w:val="24"/>
              </w:rPr>
              <w:t xml:space="preserve"> </w:t>
            </w:r>
            <w:r>
              <w:rPr>
                <w:b/>
                <w:spacing w:val="-2"/>
                <w:sz w:val="24"/>
              </w:rPr>
              <w:t xml:space="preserve">Burden </w:t>
            </w:r>
            <w:r>
              <w:rPr>
                <w:b/>
                <w:sz w:val="24"/>
              </w:rPr>
              <w:t xml:space="preserve">Costs (All </w:t>
            </w:r>
            <w:r>
              <w:rPr>
                <w:b/>
                <w:spacing w:val="-4"/>
                <w:sz w:val="24"/>
              </w:rPr>
              <w:t>Respondents)</w:t>
            </w:r>
          </w:p>
        </w:tc>
      </w:tr>
      <w:tr>
        <w:tblPrEx>
          <w:tblW w:w="0" w:type="auto"/>
          <w:jc w:val="left"/>
          <w:tblInd w:w="130" w:type="dxa"/>
          <w:tblLayout w:type="fixed"/>
          <w:tblCellMar>
            <w:top w:w="0" w:type="dxa"/>
            <w:left w:w="0" w:type="dxa"/>
            <w:bottom w:w="0" w:type="dxa"/>
            <w:right w:w="0" w:type="dxa"/>
          </w:tblCellMar>
          <w:tblLook w:val="01E0"/>
        </w:tblPrEx>
        <w:trPr>
          <w:trHeight w:val="624"/>
          <w:jc w:val="left"/>
        </w:trPr>
        <w:tc>
          <w:tcPr>
            <w:tcW w:w="2065" w:type="dxa"/>
          </w:tcPr>
          <w:p>
            <w:pPr>
              <w:pStyle w:val="TableParagraph"/>
              <w:ind w:left="64" w:right="16"/>
              <w:rPr>
                <w:sz w:val="24"/>
              </w:rPr>
            </w:pPr>
            <w:r>
              <w:rPr>
                <w:spacing w:val="-4"/>
                <w:sz w:val="24"/>
              </w:rPr>
              <w:t>Insurance</w:t>
            </w:r>
            <w:r>
              <w:rPr>
                <w:spacing w:val="-15"/>
                <w:sz w:val="24"/>
              </w:rPr>
              <w:t xml:space="preserve"> </w:t>
            </w:r>
            <w:r>
              <w:rPr>
                <w:spacing w:val="-4"/>
                <w:sz w:val="24"/>
              </w:rPr>
              <w:t>Sales Agent</w:t>
            </w:r>
          </w:p>
        </w:tc>
        <w:tc>
          <w:tcPr>
            <w:tcW w:w="1440" w:type="dxa"/>
          </w:tcPr>
          <w:p>
            <w:pPr>
              <w:pStyle w:val="TableParagraph"/>
              <w:ind w:left="1" w:right="50"/>
              <w:jc w:val="center"/>
              <w:rPr>
                <w:sz w:val="24"/>
              </w:rPr>
            </w:pPr>
            <w:r>
              <w:rPr>
                <w:spacing w:val="-5"/>
                <w:sz w:val="24"/>
              </w:rPr>
              <w:t>600</w:t>
            </w:r>
          </w:p>
        </w:tc>
        <w:tc>
          <w:tcPr>
            <w:tcW w:w="1710" w:type="dxa"/>
          </w:tcPr>
          <w:p>
            <w:pPr>
              <w:pStyle w:val="TableParagraph"/>
              <w:ind w:left="500"/>
              <w:rPr>
                <w:sz w:val="24"/>
              </w:rPr>
            </w:pPr>
            <w:r>
              <w:rPr>
                <w:spacing w:val="-2"/>
                <w:sz w:val="24"/>
              </w:rPr>
              <w:t>$56.80</w:t>
            </w:r>
          </w:p>
        </w:tc>
        <w:tc>
          <w:tcPr>
            <w:tcW w:w="1080" w:type="dxa"/>
          </w:tcPr>
          <w:p>
            <w:pPr>
              <w:pStyle w:val="TableParagraph"/>
              <w:ind w:right="49"/>
              <w:jc w:val="center"/>
              <w:rPr>
                <w:sz w:val="24"/>
              </w:rPr>
            </w:pPr>
            <w:r>
              <w:rPr>
                <w:spacing w:val="-10"/>
                <w:sz w:val="24"/>
              </w:rPr>
              <w:t>1</w:t>
            </w:r>
          </w:p>
        </w:tc>
        <w:tc>
          <w:tcPr>
            <w:tcW w:w="1441" w:type="dxa"/>
          </w:tcPr>
          <w:p>
            <w:pPr>
              <w:pStyle w:val="TableParagraph"/>
              <w:ind w:left="366"/>
              <w:rPr>
                <w:sz w:val="24"/>
              </w:rPr>
            </w:pPr>
            <w:r>
              <w:rPr>
                <w:spacing w:val="-2"/>
                <w:sz w:val="24"/>
              </w:rPr>
              <w:t>$56.80</w:t>
            </w:r>
          </w:p>
        </w:tc>
        <w:tc>
          <w:tcPr>
            <w:tcW w:w="1652" w:type="dxa"/>
          </w:tcPr>
          <w:p>
            <w:pPr>
              <w:pStyle w:val="TableParagraph"/>
              <w:rPr>
                <w:sz w:val="22"/>
              </w:rPr>
            </w:pPr>
          </w:p>
        </w:tc>
      </w:tr>
      <w:tr>
        <w:tblPrEx>
          <w:tblW w:w="0" w:type="auto"/>
          <w:jc w:val="left"/>
          <w:tblInd w:w="130" w:type="dxa"/>
          <w:tblLayout w:type="fixed"/>
          <w:tblCellMar>
            <w:top w:w="0" w:type="dxa"/>
            <w:left w:w="0" w:type="dxa"/>
            <w:bottom w:w="0" w:type="dxa"/>
            <w:right w:w="0" w:type="dxa"/>
          </w:tblCellMar>
          <w:tblLook w:val="01E0"/>
        </w:tblPrEx>
        <w:trPr>
          <w:trHeight w:val="286"/>
          <w:jc w:val="left"/>
        </w:trPr>
        <w:tc>
          <w:tcPr>
            <w:tcW w:w="2065" w:type="dxa"/>
          </w:tcPr>
          <w:p>
            <w:pPr>
              <w:pStyle w:val="TableParagraph"/>
              <w:spacing w:line="266" w:lineRule="exact"/>
              <w:ind w:left="64"/>
              <w:rPr>
                <w:b/>
                <w:sz w:val="24"/>
              </w:rPr>
            </w:pPr>
            <w:r>
              <w:rPr>
                <w:b/>
                <w:sz w:val="24"/>
              </w:rPr>
              <w:t>Total</w:t>
            </w:r>
            <w:r>
              <w:rPr>
                <w:b/>
                <w:spacing w:val="60"/>
                <w:sz w:val="24"/>
              </w:rPr>
              <w:t xml:space="preserve"> </w:t>
            </w:r>
            <w:r>
              <w:rPr>
                <w:b/>
                <w:spacing w:val="-2"/>
                <w:sz w:val="24"/>
              </w:rPr>
              <w:t>Annual</w:t>
            </w:r>
          </w:p>
        </w:tc>
        <w:tc>
          <w:tcPr>
            <w:tcW w:w="1440" w:type="dxa"/>
          </w:tcPr>
          <w:p>
            <w:pPr>
              <w:pStyle w:val="TableParagraph"/>
              <w:rPr>
                <w:sz w:val="20"/>
              </w:rPr>
            </w:pPr>
          </w:p>
        </w:tc>
        <w:tc>
          <w:tcPr>
            <w:tcW w:w="1710" w:type="dxa"/>
          </w:tcPr>
          <w:p>
            <w:pPr>
              <w:pStyle w:val="TableParagraph"/>
              <w:rPr>
                <w:sz w:val="20"/>
              </w:rPr>
            </w:pPr>
          </w:p>
        </w:tc>
        <w:tc>
          <w:tcPr>
            <w:tcW w:w="1080" w:type="dxa"/>
          </w:tcPr>
          <w:p>
            <w:pPr>
              <w:pStyle w:val="TableParagraph"/>
              <w:spacing w:line="266" w:lineRule="exact"/>
              <w:ind w:right="49"/>
              <w:jc w:val="center"/>
              <w:rPr>
                <w:b/>
                <w:sz w:val="24"/>
              </w:rPr>
            </w:pPr>
            <w:r>
              <w:rPr>
                <w:b/>
                <w:spacing w:val="-5"/>
                <w:sz w:val="24"/>
              </w:rPr>
              <w:t>600</w:t>
            </w:r>
          </w:p>
        </w:tc>
        <w:tc>
          <w:tcPr>
            <w:tcW w:w="1441" w:type="dxa"/>
          </w:tcPr>
          <w:p>
            <w:pPr>
              <w:pStyle w:val="TableParagraph"/>
              <w:rPr>
                <w:sz w:val="20"/>
              </w:rPr>
            </w:pPr>
          </w:p>
        </w:tc>
        <w:tc>
          <w:tcPr>
            <w:tcW w:w="1652" w:type="dxa"/>
          </w:tcPr>
          <w:p>
            <w:pPr>
              <w:pStyle w:val="TableParagraph"/>
              <w:spacing w:line="266" w:lineRule="exact"/>
              <w:ind w:right="49"/>
              <w:jc w:val="center"/>
              <w:rPr>
                <w:b/>
                <w:sz w:val="24"/>
              </w:rPr>
            </w:pPr>
            <w:r>
              <w:rPr>
                <w:b/>
                <w:spacing w:val="-2"/>
                <w:sz w:val="24"/>
              </w:rPr>
              <w:t>$34,080</w:t>
            </w:r>
          </w:p>
        </w:tc>
      </w:tr>
      <w:tr>
        <w:tblPrEx>
          <w:tblW w:w="0" w:type="auto"/>
          <w:jc w:val="left"/>
          <w:tblInd w:w="130" w:type="dxa"/>
          <w:tblLayout w:type="fixed"/>
          <w:tblCellMar>
            <w:top w:w="0" w:type="dxa"/>
            <w:left w:w="0" w:type="dxa"/>
            <w:bottom w:w="0" w:type="dxa"/>
            <w:right w:w="0" w:type="dxa"/>
          </w:tblCellMar>
          <w:tblLook w:val="01E0"/>
        </w:tblPrEx>
        <w:trPr>
          <w:trHeight w:val="341"/>
          <w:jc w:val="left"/>
        </w:trPr>
        <w:tc>
          <w:tcPr>
            <w:tcW w:w="2065" w:type="dxa"/>
          </w:tcPr>
          <w:p>
            <w:pPr>
              <w:pStyle w:val="TableParagraph"/>
              <w:spacing w:before="1"/>
              <w:ind w:left="64"/>
              <w:rPr>
                <w:b/>
                <w:sz w:val="24"/>
              </w:rPr>
            </w:pPr>
            <w:r>
              <w:rPr>
                <w:b/>
                <w:sz w:val="24"/>
              </w:rPr>
              <w:t>Total</w:t>
            </w:r>
            <w:r>
              <w:rPr>
                <w:b/>
                <w:spacing w:val="-18"/>
                <w:sz w:val="24"/>
              </w:rPr>
              <w:t xml:space="preserve"> </w:t>
            </w:r>
            <w:r>
              <w:rPr>
                <w:b/>
                <w:sz w:val="24"/>
              </w:rPr>
              <w:t>Three</w:t>
            </w:r>
            <w:r>
              <w:rPr>
                <w:b/>
                <w:spacing w:val="-3"/>
                <w:sz w:val="24"/>
              </w:rPr>
              <w:t xml:space="preserve"> </w:t>
            </w:r>
            <w:r>
              <w:rPr>
                <w:b/>
                <w:spacing w:val="-2"/>
                <w:sz w:val="24"/>
              </w:rPr>
              <w:t>Years</w:t>
            </w:r>
          </w:p>
        </w:tc>
        <w:tc>
          <w:tcPr>
            <w:tcW w:w="1440" w:type="dxa"/>
          </w:tcPr>
          <w:p>
            <w:pPr>
              <w:pStyle w:val="TableParagraph"/>
              <w:rPr>
                <w:sz w:val="22"/>
              </w:rPr>
            </w:pPr>
          </w:p>
        </w:tc>
        <w:tc>
          <w:tcPr>
            <w:tcW w:w="1710" w:type="dxa"/>
          </w:tcPr>
          <w:p>
            <w:pPr>
              <w:pStyle w:val="TableParagraph"/>
              <w:rPr>
                <w:sz w:val="22"/>
              </w:rPr>
            </w:pPr>
          </w:p>
        </w:tc>
        <w:tc>
          <w:tcPr>
            <w:tcW w:w="1080" w:type="dxa"/>
          </w:tcPr>
          <w:p>
            <w:pPr>
              <w:pStyle w:val="TableParagraph"/>
              <w:spacing w:before="1"/>
              <w:ind w:right="49"/>
              <w:jc w:val="center"/>
              <w:rPr>
                <w:b/>
                <w:sz w:val="24"/>
              </w:rPr>
            </w:pPr>
            <w:r>
              <w:rPr>
                <w:b/>
                <w:spacing w:val="-2"/>
                <w:sz w:val="24"/>
              </w:rPr>
              <w:t>1,800</w:t>
            </w:r>
          </w:p>
        </w:tc>
        <w:tc>
          <w:tcPr>
            <w:tcW w:w="1441" w:type="dxa"/>
          </w:tcPr>
          <w:p>
            <w:pPr>
              <w:pStyle w:val="TableParagraph"/>
              <w:rPr>
                <w:sz w:val="22"/>
              </w:rPr>
            </w:pPr>
          </w:p>
        </w:tc>
        <w:tc>
          <w:tcPr>
            <w:tcW w:w="1652" w:type="dxa"/>
          </w:tcPr>
          <w:p>
            <w:pPr>
              <w:pStyle w:val="TableParagraph"/>
              <w:spacing w:before="1"/>
              <w:ind w:left="1" w:right="49"/>
              <w:jc w:val="center"/>
              <w:rPr>
                <w:b/>
                <w:sz w:val="24"/>
              </w:rPr>
            </w:pPr>
            <w:r>
              <w:rPr>
                <w:b/>
                <w:spacing w:val="-2"/>
                <w:sz w:val="24"/>
              </w:rPr>
              <w:t>$102,240</w:t>
            </w:r>
          </w:p>
        </w:tc>
      </w:tr>
    </w:tbl>
    <w:p>
      <w:pPr>
        <w:pStyle w:val="BodyText"/>
        <w:spacing w:before="2"/>
        <w:rPr>
          <w:b/>
        </w:rPr>
      </w:pPr>
    </w:p>
    <w:p>
      <w:pPr>
        <w:spacing w:before="0"/>
        <w:ind w:left="120" w:right="0" w:firstLine="0"/>
        <w:jc w:val="left"/>
        <w:rPr>
          <w:b/>
          <w:sz w:val="24"/>
        </w:rPr>
      </w:pPr>
      <w:r>
        <w:rPr>
          <w:b/>
          <w:sz w:val="24"/>
        </w:rPr>
        <w:t>Table</w:t>
      </w:r>
      <w:r>
        <w:rPr>
          <w:b/>
          <w:spacing w:val="-5"/>
          <w:sz w:val="24"/>
        </w:rPr>
        <w:t xml:space="preserve"> </w:t>
      </w:r>
      <w:r>
        <w:rPr>
          <w:b/>
          <w:sz w:val="24"/>
        </w:rPr>
        <w:t>4.</w:t>
      </w:r>
      <w:r>
        <w:rPr>
          <w:b/>
          <w:spacing w:val="-3"/>
          <w:sz w:val="24"/>
        </w:rPr>
        <w:t xml:space="preserve"> </w:t>
      </w:r>
      <w:r>
        <w:rPr>
          <w:b/>
          <w:sz w:val="24"/>
        </w:rPr>
        <w:t>Summary</w:t>
      </w:r>
      <w:r>
        <w:rPr>
          <w:b/>
          <w:spacing w:val="-4"/>
          <w:sz w:val="24"/>
        </w:rPr>
        <w:t xml:space="preserve"> </w:t>
      </w:r>
      <w:r>
        <w:rPr>
          <w:b/>
          <w:sz w:val="24"/>
        </w:rPr>
        <w:t>of</w:t>
      </w:r>
      <w:r>
        <w:rPr>
          <w:b/>
          <w:spacing w:val="-5"/>
          <w:sz w:val="24"/>
        </w:rPr>
        <w:t xml:space="preserve"> </w:t>
      </w:r>
      <w:r>
        <w:rPr>
          <w:b/>
          <w:sz w:val="24"/>
        </w:rPr>
        <w:t>Annual</w:t>
      </w:r>
      <w:r>
        <w:rPr>
          <w:b/>
          <w:spacing w:val="-2"/>
          <w:sz w:val="24"/>
        </w:rPr>
        <w:t xml:space="preserve"> </w:t>
      </w:r>
      <w:r>
        <w:rPr>
          <w:b/>
          <w:sz w:val="24"/>
        </w:rPr>
        <w:t>Total</w:t>
      </w:r>
      <w:r>
        <w:rPr>
          <w:b/>
          <w:spacing w:val="-2"/>
          <w:sz w:val="24"/>
        </w:rPr>
        <w:t xml:space="preserve"> Burden</w:t>
      </w:r>
    </w:p>
    <w:p>
      <w:pPr>
        <w:pStyle w:val="BodyText"/>
        <w:spacing w:before="45" w:after="1"/>
        <w:rPr>
          <w:b/>
          <w:sz w:val="20"/>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2160"/>
        <w:gridCol w:w="1440"/>
        <w:gridCol w:w="1800"/>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51"/>
          <w:jc w:val="left"/>
        </w:trPr>
        <w:tc>
          <w:tcPr>
            <w:tcW w:w="3960" w:type="dxa"/>
          </w:tcPr>
          <w:p>
            <w:pPr>
              <w:pStyle w:val="TableParagraph"/>
              <w:ind w:left="55"/>
              <w:rPr>
                <w:b/>
                <w:sz w:val="24"/>
              </w:rPr>
            </w:pPr>
            <w:r>
              <w:rPr>
                <w:b/>
                <w:spacing w:val="-6"/>
                <w:sz w:val="24"/>
              </w:rPr>
              <w:t>Table</w:t>
            </w:r>
            <w:r>
              <w:rPr>
                <w:b/>
                <w:spacing w:val="-2"/>
                <w:sz w:val="24"/>
              </w:rPr>
              <w:t xml:space="preserve"> </w:t>
            </w:r>
            <w:r>
              <w:rPr>
                <w:b/>
                <w:spacing w:val="-6"/>
                <w:sz w:val="24"/>
              </w:rPr>
              <w:t>Number: Name</w:t>
            </w:r>
          </w:p>
        </w:tc>
        <w:tc>
          <w:tcPr>
            <w:tcW w:w="2160" w:type="dxa"/>
          </w:tcPr>
          <w:p>
            <w:pPr>
              <w:pStyle w:val="TableParagraph"/>
              <w:ind w:left="408"/>
              <w:rPr>
                <w:b/>
                <w:sz w:val="24"/>
              </w:rPr>
            </w:pPr>
            <w:r>
              <w:rPr>
                <w:b/>
                <w:sz w:val="24"/>
              </w:rPr>
              <w:t>CFR</w:t>
            </w:r>
            <w:r>
              <w:rPr>
                <w:b/>
                <w:spacing w:val="-8"/>
                <w:sz w:val="24"/>
              </w:rPr>
              <w:t xml:space="preserve"> </w:t>
            </w:r>
            <w:r>
              <w:rPr>
                <w:b/>
                <w:spacing w:val="-2"/>
                <w:sz w:val="24"/>
              </w:rPr>
              <w:t>Section</w:t>
            </w:r>
          </w:p>
        </w:tc>
        <w:tc>
          <w:tcPr>
            <w:tcW w:w="1440" w:type="dxa"/>
          </w:tcPr>
          <w:p>
            <w:pPr>
              <w:pStyle w:val="TableParagraph"/>
              <w:spacing w:line="270" w:lineRule="atLeast"/>
              <w:ind w:left="374" w:right="351" w:hanging="65"/>
              <w:rPr>
                <w:b/>
                <w:sz w:val="24"/>
              </w:rPr>
            </w:pPr>
            <w:r>
              <w:rPr>
                <w:b/>
                <w:spacing w:val="-4"/>
                <w:sz w:val="24"/>
              </w:rPr>
              <w:t xml:space="preserve">Burden </w:t>
            </w:r>
            <w:r>
              <w:rPr>
                <w:b/>
                <w:spacing w:val="-2"/>
                <w:sz w:val="24"/>
              </w:rPr>
              <w:t>Hours</w:t>
            </w:r>
          </w:p>
        </w:tc>
        <w:tc>
          <w:tcPr>
            <w:tcW w:w="1800" w:type="dxa"/>
          </w:tcPr>
          <w:p>
            <w:pPr>
              <w:pStyle w:val="TableParagraph"/>
              <w:ind w:right="274"/>
              <w:jc w:val="right"/>
              <w:rPr>
                <w:b/>
                <w:sz w:val="24"/>
              </w:rPr>
            </w:pPr>
            <w:r>
              <w:rPr>
                <w:b/>
                <w:sz w:val="24"/>
              </w:rPr>
              <w:t>Burden</w:t>
            </w:r>
            <w:r>
              <w:rPr>
                <w:b/>
                <w:spacing w:val="-11"/>
                <w:sz w:val="24"/>
              </w:rPr>
              <w:t xml:space="preserve"> </w:t>
            </w:r>
            <w:r>
              <w:rPr>
                <w:b/>
                <w:spacing w:val="-4"/>
                <w:sz w:val="24"/>
              </w:rPr>
              <w:t>Cost</w:t>
            </w:r>
          </w:p>
        </w:tc>
      </w:tr>
      <w:tr>
        <w:tblPrEx>
          <w:tblW w:w="0" w:type="auto"/>
          <w:jc w:val="left"/>
          <w:tblInd w:w="130" w:type="dxa"/>
          <w:tblLayout w:type="fixed"/>
          <w:tblCellMar>
            <w:top w:w="0" w:type="dxa"/>
            <w:left w:w="0" w:type="dxa"/>
            <w:bottom w:w="0" w:type="dxa"/>
            <w:right w:w="0" w:type="dxa"/>
          </w:tblCellMar>
          <w:tblLook w:val="01E0"/>
        </w:tblPrEx>
        <w:trPr>
          <w:trHeight w:val="828"/>
          <w:jc w:val="left"/>
        </w:trPr>
        <w:tc>
          <w:tcPr>
            <w:tcW w:w="3960" w:type="dxa"/>
          </w:tcPr>
          <w:p>
            <w:pPr>
              <w:pStyle w:val="TableParagraph"/>
              <w:spacing w:line="270" w:lineRule="atLeast"/>
              <w:ind w:left="55" w:right="7"/>
              <w:rPr>
                <w:b/>
                <w:sz w:val="24"/>
              </w:rPr>
            </w:pPr>
            <w:r>
              <w:rPr>
                <w:b/>
                <w:spacing w:val="-2"/>
                <w:sz w:val="24"/>
              </w:rPr>
              <w:t>Table</w:t>
            </w:r>
            <w:r>
              <w:rPr>
                <w:b/>
                <w:spacing w:val="-9"/>
                <w:sz w:val="24"/>
              </w:rPr>
              <w:t xml:space="preserve"> </w:t>
            </w:r>
            <w:r>
              <w:rPr>
                <w:b/>
                <w:spacing w:val="-2"/>
                <w:sz w:val="24"/>
              </w:rPr>
              <w:t>2:</w:t>
            </w:r>
            <w:r>
              <w:rPr>
                <w:b/>
                <w:spacing w:val="-15"/>
                <w:sz w:val="24"/>
              </w:rPr>
              <w:t xml:space="preserve"> </w:t>
            </w:r>
            <w:r>
              <w:rPr>
                <w:b/>
                <w:spacing w:val="-2"/>
                <w:sz w:val="24"/>
              </w:rPr>
              <w:t>Burden</w:t>
            </w:r>
            <w:r>
              <w:rPr>
                <w:b/>
                <w:spacing w:val="-15"/>
                <w:sz w:val="24"/>
              </w:rPr>
              <w:t xml:space="preserve"> </w:t>
            </w:r>
            <w:r>
              <w:rPr>
                <w:b/>
                <w:spacing w:val="-2"/>
                <w:sz w:val="24"/>
              </w:rPr>
              <w:t>to</w:t>
            </w:r>
            <w:r>
              <w:rPr>
                <w:b/>
                <w:spacing w:val="-15"/>
                <w:sz w:val="24"/>
              </w:rPr>
              <w:t xml:space="preserve"> </w:t>
            </w:r>
            <w:r>
              <w:rPr>
                <w:b/>
                <w:spacing w:val="-2"/>
                <w:sz w:val="24"/>
              </w:rPr>
              <w:t>Memorialize</w:t>
            </w:r>
            <w:r>
              <w:rPr>
                <w:b/>
                <w:spacing w:val="-15"/>
                <w:sz w:val="24"/>
              </w:rPr>
              <w:t xml:space="preserve"> </w:t>
            </w:r>
            <w:r>
              <w:rPr>
                <w:b/>
                <w:spacing w:val="-2"/>
                <w:sz w:val="24"/>
              </w:rPr>
              <w:t xml:space="preserve">the </w:t>
            </w:r>
            <w:r>
              <w:rPr>
                <w:b/>
                <w:sz w:val="24"/>
              </w:rPr>
              <w:t xml:space="preserve">Eligibility and Consent </w:t>
            </w:r>
            <w:r>
              <w:rPr>
                <w:b/>
                <w:spacing w:val="-2"/>
                <w:sz w:val="24"/>
              </w:rPr>
              <w:t>Documentation</w:t>
            </w:r>
          </w:p>
        </w:tc>
        <w:tc>
          <w:tcPr>
            <w:tcW w:w="2160" w:type="dxa"/>
          </w:tcPr>
          <w:p>
            <w:pPr>
              <w:pStyle w:val="TableParagraph"/>
              <w:spacing w:before="1"/>
              <w:ind w:left="235"/>
              <w:rPr>
                <w:sz w:val="24"/>
              </w:rPr>
            </w:pPr>
            <w:r>
              <w:rPr>
                <w:sz w:val="24"/>
              </w:rPr>
              <w:t>§</w:t>
            </w:r>
            <w:r>
              <w:rPr>
                <w:spacing w:val="-16"/>
                <w:sz w:val="24"/>
              </w:rPr>
              <w:t xml:space="preserve"> </w:t>
            </w:r>
            <w:r>
              <w:rPr>
                <w:spacing w:val="-2"/>
                <w:sz w:val="24"/>
              </w:rPr>
              <w:t>155.220(j)(2)(ii)</w:t>
            </w:r>
          </w:p>
          <w:p>
            <w:pPr>
              <w:pStyle w:val="TableParagraph"/>
              <w:ind w:left="202"/>
              <w:rPr>
                <w:sz w:val="24"/>
              </w:rPr>
            </w:pPr>
            <w:r>
              <w:rPr>
                <w:sz w:val="24"/>
              </w:rPr>
              <w:t>§</w:t>
            </w:r>
            <w:r>
              <w:rPr>
                <w:spacing w:val="-16"/>
                <w:sz w:val="24"/>
              </w:rPr>
              <w:t xml:space="preserve"> </w:t>
            </w:r>
            <w:r>
              <w:rPr>
                <w:spacing w:val="-2"/>
                <w:sz w:val="24"/>
              </w:rPr>
              <w:t>155.220(j)(2)(iii)</w:t>
            </w:r>
          </w:p>
        </w:tc>
        <w:tc>
          <w:tcPr>
            <w:tcW w:w="1440" w:type="dxa"/>
          </w:tcPr>
          <w:p>
            <w:pPr>
              <w:pStyle w:val="TableParagraph"/>
              <w:spacing w:before="1"/>
              <w:rPr>
                <w:b/>
                <w:sz w:val="24"/>
              </w:rPr>
            </w:pPr>
          </w:p>
          <w:p>
            <w:pPr>
              <w:pStyle w:val="TableParagraph"/>
              <w:ind w:right="50"/>
              <w:jc w:val="center"/>
              <w:rPr>
                <w:sz w:val="24"/>
              </w:rPr>
            </w:pPr>
            <w:r>
              <w:rPr>
                <w:spacing w:val="-2"/>
                <w:sz w:val="24"/>
              </w:rPr>
              <w:t>1,666,000</w:t>
            </w:r>
          </w:p>
        </w:tc>
        <w:tc>
          <w:tcPr>
            <w:tcW w:w="1800" w:type="dxa"/>
          </w:tcPr>
          <w:p>
            <w:pPr>
              <w:pStyle w:val="TableParagraph"/>
              <w:spacing w:before="1"/>
              <w:rPr>
                <w:b/>
                <w:sz w:val="24"/>
              </w:rPr>
            </w:pPr>
          </w:p>
          <w:p>
            <w:pPr>
              <w:pStyle w:val="TableParagraph"/>
              <w:ind w:right="327"/>
              <w:jc w:val="right"/>
              <w:rPr>
                <w:sz w:val="24"/>
              </w:rPr>
            </w:pPr>
            <w:r>
              <w:rPr>
                <w:spacing w:val="-2"/>
                <w:sz w:val="24"/>
              </w:rPr>
              <w:t>$94,668,000</w:t>
            </w:r>
          </w:p>
        </w:tc>
      </w:tr>
      <w:tr>
        <w:tblPrEx>
          <w:tblW w:w="0" w:type="auto"/>
          <w:jc w:val="left"/>
          <w:tblInd w:w="130" w:type="dxa"/>
          <w:tblLayout w:type="fixed"/>
          <w:tblCellMar>
            <w:top w:w="0" w:type="dxa"/>
            <w:left w:w="0" w:type="dxa"/>
            <w:bottom w:w="0" w:type="dxa"/>
            <w:right w:w="0" w:type="dxa"/>
          </w:tblCellMar>
          <w:tblLook w:val="01E0"/>
        </w:tblPrEx>
        <w:trPr>
          <w:trHeight w:val="636"/>
          <w:jc w:val="left"/>
        </w:trPr>
        <w:tc>
          <w:tcPr>
            <w:tcW w:w="3960" w:type="dxa"/>
          </w:tcPr>
          <w:p>
            <w:pPr>
              <w:pStyle w:val="TableParagraph"/>
              <w:ind w:left="55"/>
              <w:rPr>
                <w:b/>
                <w:sz w:val="24"/>
              </w:rPr>
            </w:pPr>
            <w:r>
              <w:rPr>
                <w:b/>
                <w:sz w:val="24"/>
              </w:rPr>
              <w:t>Table</w:t>
            </w:r>
            <w:r>
              <w:rPr>
                <w:b/>
                <w:spacing w:val="-8"/>
                <w:sz w:val="24"/>
              </w:rPr>
              <w:t xml:space="preserve"> </w:t>
            </w:r>
            <w:r>
              <w:rPr>
                <w:b/>
                <w:sz w:val="24"/>
              </w:rPr>
              <w:t>3:</w:t>
            </w:r>
            <w:r>
              <w:rPr>
                <w:b/>
                <w:spacing w:val="-8"/>
                <w:sz w:val="24"/>
              </w:rPr>
              <w:t xml:space="preserve"> </w:t>
            </w:r>
            <w:r>
              <w:rPr>
                <w:b/>
                <w:sz w:val="24"/>
              </w:rPr>
              <w:t>Burden</w:t>
            </w:r>
            <w:r>
              <w:rPr>
                <w:b/>
                <w:spacing w:val="-8"/>
                <w:sz w:val="24"/>
              </w:rPr>
              <w:t xml:space="preserve"> </w:t>
            </w:r>
            <w:r>
              <w:rPr>
                <w:b/>
                <w:sz w:val="24"/>
              </w:rPr>
              <w:t>to</w:t>
            </w:r>
            <w:r>
              <w:rPr>
                <w:b/>
                <w:spacing w:val="-8"/>
                <w:sz w:val="24"/>
              </w:rPr>
              <w:t xml:space="preserve"> </w:t>
            </w:r>
            <w:r>
              <w:rPr>
                <w:b/>
                <w:sz w:val="24"/>
              </w:rPr>
              <w:t>Produce</w:t>
            </w:r>
            <w:r>
              <w:rPr>
                <w:b/>
                <w:spacing w:val="-8"/>
                <w:sz w:val="24"/>
              </w:rPr>
              <w:t xml:space="preserve"> </w:t>
            </w:r>
            <w:r>
              <w:rPr>
                <w:b/>
                <w:sz w:val="24"/>
              </w:rPr>
              <w:t>Retained Eligibility and Consent Records</w:t>
            </w:r>
          </w:p>
        </w:tc>
        <w:tc>
          <w:tcPr>
            <w:tcW w:w="2160" w:type="dxa"/>
          </w:tcPr>
          <w:p>
            <w:pPr>
              <w:pStyle w:val="TableParagraph"/>
              <w:ind w:left="235"/>
              <w:rPr>
                <w:sz w:val="24"/>
              </w:rPr>
            </w:pPr>
            <w:r>
              <w:rPr>
                <w:sz w:val="24"/>
              </w:rPr>
              <w:t>§</w:t>
            </w:r>
            <w:r>
              <w:rPr>
                <w:spacing w:val="-16"/>
                <w:sz w:val="24"/>
              </w:rPr>
              <w:t xml:space="preserve"> </w:t>
            </w:r>
            <w:r>
              <w:rPr>
                <w:spacing w:val="-2"/>
                <w:sz w:val="24"/>
              </w:rPr>
              <w:t>155.220(j)(2)(ii)</w:t>
            </w:r>
          </w:p>
          <w:p>
            <w:pPr>
              <w:pStyle w:val="TableParagraph"/>
              <w:ind w:left="202"/>
              <w:rPr>
                <w:sz w:val="24"/>
              </w:rPr>
            </w:pPr>
            <w:r>
              <w:rPr>
                <w:sz w:val="24"/>
              </w:rPr>
              <w:t>§</w:t>
            </w:r>
            <w:r>
              <w:rPr>
                <w:spacing w:val="-16"/>
                <w:sz w:val="24"/>
              </w:rPr>
              <w:t xml:space="preserve"> </w:t>
            </w:r>
            <w:r>
              <w:rPr>
                <w:spacing w:val="-2"/>
                <w:sz w:val="24"/>
              </w:rPr>
              <w:t>155.220(j)(2)(iii)</w:t>
            </w:r>
          </w:p>
        </w:tc>
        <w:tc>
          <w:tcPr>
            <w:tcW w:w="1440" w:type="dxa"/>
          </w:tcPr>
          <w:p>
            <w:pPr>
              <w:pStyle w:val="TableParagraph"/>
              <w:rPr>
                <w:b/>
                <w:sz w:val="24"/>
              </w:rPr>
            </w:pPr>
          </w:p>
          <w:p>
            <w:pPr>
              <w:pStyle w:val="TableParagraph"/>
              <w:ind w:left="2" w:right="50"/>
              <w:jc w:val="center"/>
              <w:rPr>
                <w:sz w:val="24"/>
              </w:rPr>
            </w:pPr>
            <w:r>
              <w:rPr>
                <w:spacing w:val="-5"/>
                <w:sz w:val="24"/>
              </w:rPr>
              <w:t>600</w:t>
            </w:r>
          </w:p>
        </w:tc>
        <w:tc>
          <w:tcPr>
            <w:tcW w:w="1800" w:type="dxa"/>
          </w:tcPr>
          <w:p>
            <w:pPr>
              <w:pStyle w:val="TableParagraph"/>
              <w:rPr>
                <w:b/>
                <w:sz w:val="24"/>
              </w:rPr>
            </w:pPr>
          </w:p>
          <w:p>
            <w:pPr>
              <w:pStyle w:val="TableParagraph"/>
              <w:ind w:left="487"/>
              <w:rPr>
                <w:sz w:val="24"/>
              </w:rPr>
            </w:pPr>
            <w:r>
              <w:rPr>
                <w:spacing w:val="-2"/>
                <w:sz w:val="24"/>
              </w:rPr>
              <w:t>$34,080</w:t>
            </w:r>
          </w:p>
        </w:tc>
      </w:tr>
      <w:tr>
        <w:tblPrEx>
          <w:tblW w:w="0" w:type="auto"/>
          <w:jc w:val="left"/>
          <w:tblInd w:w="130" w:type="dxa"/>
          <w:tblLayout w:type="fixed"/>
          <w:tblCellMar>
            <w:top w:w="0" w:type="dxa"/>
            <w:left w:w="0" w:type="dxa"/>
            <w:bottom w:w="0" w:type="dxa"/>
            <w:right w:w="0" w:type="dxa"/>
          </w:tblCellMar>
          <w:tblLook w:val="01E0"/>
        </w:tblPrEx>
        <w:trPr>
          <w:trHeight w:val="359"/>
          <w:jc w:val="left"/>
        </w:trPr>
        <w:tc>
          <w:tcPr>
            <w:tcW w:w="3960" w:type="dxa"/>
          </w:tcPr>
          <w:p>
            <w:pPr>
              <w:pStyle w:val="TableParagraph"/>
              <w:ind w:left="55"/>
              <w:rPr>
                <w:b/>
                <w:sz w:val="24"/>
              </w:rPr>
            </w:pPr>
            <w:r>
              <w:rPr>
                <w:b/>
                <w:spacing w:val="-2"/>
                <w:sz w:val="24"/>
              </w:rPr>
              <w:t>Total</w:t>
            </w:r>
          </w:p>
        </w:tc>
        <w:tc>
          <w:tcPr>
            <w:tcW w:w="2160" w:type="dxa"/>
          </w:tcPr>
          <w:p>
            <w:pPr>
              <w:pStyle w:val="TableParagraph"/>
              <w:rPr>
                <w:sz w:val="22"/>
              </w:rPr>
            </w:pPr>
          </w:p>
        </w:tc>
        <w:tc>
          <w:tcPr>
            <w:tcW w:w="1440" w:type="dxa"/>
          </w:tcPr>
          <w:p>
            <w:pPr>
              <w:pStyle w:val="TableParagraph"/>
              <w:ind w:right="50"/>
              <w:jc w:val="center"/>
              <w:rPr>
                <w:b/>
                <w:sz w:val="24"/>
              </w:rPr>
            </w:pPr>
            <w:r>
              <w:rPr>
                <w:b/>
                <w:spacing w:val="-2"/>
                <w:sz w:val="24"/>
              </w:rPr>
              <w:t>1,666,600</w:t>
            </w:r>
          </w:p>
        </w:tc>
        <w:tc>
          <w:tcPr>
            <w:tcW w:w="1800" w:type="dxa"/>
          </w:tcPr>
          <w:p>
            <w:pPr>
              <w:pStyle w:val="TableParagraph"/>
              <w:ind w:right="327"/>
              <w:jc w:val="right"/>
              <w:rPr>
                <w:b/>
                <w:sz w:val="24"/>
              </w:rPr>
            </w:pPr>
            <w:r>
              <w:rPr>
                <w:b/>
                <w:spacing w:val="-2"/>
                <w:sz w:val="24"/>
              </w:rPr>
              <w:t>$94,702,080</w:t>
            </w:r>
          </w:p>
        </w:tc>
      </w:tr>
    </w:tbl>
    <w:p>
      <w:pPr>
        <w:pStyle w:val="BodyText"/>
        <w:spacing w:before="2"/>
        <w:rPr>
          <w:b/>
        </w:rPr>
      </w:pPr>
    </w:p>
    <w:p>
      <w:pPr>
        <w:pStyle w:val="ListParagraph"/>
        <w:numPr>
          <w:ilvl w:val="1"/>
          <w:numId w:val="1"/>
        </w:numPr>
        <w:tabs>
          <w:tab w:val="left" w:pos="671"/>
        </w:tabs>
        <w:spacing w:before="0" w:after="0" w:line="240" w:lineRule="auto"/>
        <w:ind w:left="671" w:right="0" w:hanging="551"/>
        <w:jc w:val="left"/>
        <w:rPr>
          <w:sz w:val="24"/>
          <w:u w:val="none"/>
        </w:rPr>
      </w:pPr>
      <w:r>
        <w:rPr>
          <w:sz w:val="24"/>
          <w:u w:val="single"/>
        </w:rPr>
        <w:t>Capital</w:t>
      </w:r>
      <w:r>
        <w:rPr>
          <w:spacing w:val="-2"/>
          <w:sz w:val="24"/>
          <w:u w:val="single"/>
        </w:rPr>
        <w:t xml:space="preserve"> Costs</w:t>
      </w:r>
    </w:p>
    <w:p>
      <w:pPr>
        <w:pStyle w:val="BodyText"/>
      </w:pPr>
    </w:p>
    <w:p>
      <w:pPr>
        <w:pStyle w:val="BodyText"/>
        <w:spacing w:before="1"/>
        <w:ind w:left="120"/>
      </w:pPr>
      <w:r>
        <w:t>There</w:t>
      </w:r>
      <w:r>
        <w:rPr>
          <w:spacing w:val="-7"/>
        </w:rPr>
        <w:t xml:space="preserve"> </w:t>
      </w:r>
      <w:r>
        <w:t>are</w:t>
      </w:r>
      <w:r>
        <w:rPr>
          <w:spacing w:val="-4"/>
        </w:rPr>
        <w:t xml:space="preserve"> </w:t>
      </w:r>
      <w:r>
        <w:t>no</w:t>
      </w:r>
      <w:r>
        <w:rPr>
          <w:spacing w:val="-10"/>
        </w:rPr>
        <w:t xml:space="preserve"> </w:t>
      </w:r>
      <w:r>
        <w:t>anticipated</w:t>
      </w:r>
      <w:r>
        <w:rPr>
          <w:spacing w:val="-12"/>
        </w:rPr>
        <w:t xml:space="preserve"> </w:t>
      </w:r>
      <w:r>
        <w:t>capital</w:t>
      </w:r>
      <w:r>
        <w:rPr>
          <w:spacing w:val="-7"/>
        </w:rPr>
        <w:t xml:space="preserve"> </w:t>
      </w:r>
      <w:r>
        <w:t>costs</w:t>
      </w:r>
      <w:r>
        <w:rPr>
          <w:spacing w:val="-8"/>
        </w:rPr>
        <w:t xml:space="preserve"> </w:t>
      </w:r>
      <w:r>
        <w:t>associated</w:t>
      </w:r>
      <w:r>
        <w:rPr>
          <w:spacing w:val="-6"/>
        </w:rPr>
        <w:t xml:space="preserve"> </w:t>
      </w:r>
      <w:r>
        <w:t>with</w:t>
      </w:r>
      <w:r>
        <w:rPr>
          <w:spacing w:val="-5"/>
        </w:rPr>
        <w:t xml:space="preserve"> </w:t>
      </w:r>
      <w:r>
        <w:t>these</w:t>
      </w:r>
      <w:r>
        <w:rPr>
          <w:spacing w:val="-4"/>
        </w:rPr>
        <w:t xml:space="preserve"> </w:t>
      </w:r>
      <w:r>
        <w:t>information</w:t>
      </w:r>
      <w:r>
        <w:rPr>
          <w:spacing w:val="-5"/>
        </w:rPr>
        <w:t xml:space="preserve"> </w:t>
      </w:r>
      <w:r>
        <w:rPr>
          <w:spacing w:val="-2"/>
        </w:rPr>
        <w:t>collections.</w:t>
      </w:r>
    </w:p>
    <w:p>
      <w:pPr>
        <w:pStyle w:val="ListParagraph"/>
        <w:numPr>
          <w:ilvl w:val="1"/>
          <w:numId w:val="1"/>
        </w:numPr>
        <w:tabs>
          <w:tab w:val="left" w:pos="671"/>
        </w:tabs>
        <w:spacing w:before="276" w:after="0" w:line="240" w:lineRule="auto"/>
        <w:ind w:left="671" w:right="0" w:hanging="551"/>
        <w:jc w:val="left"/>
        <w:rPr>
          <w:sz w:val="24"/>
          <w:u w:val="none"/>
        </w:rPr>
      </w:pPr>
      <w:r>
        <w:rPr>
          <w:sz w:val="24"/>
          <w:u w:val="single"/>
        </w:rPr>
        <w:t>Cost</w:t>
      </w:r>
      <w:r>
        <w:rPr>
          <w:spacing w:val="-8"/>
          <w:sz w:val="24"/>
          <w:u w:val="single"/>
        </w:rPr>
        <w:t xml:space="preserve"> </w:t>
      </w:r>
      <w:r>
        <w:rPr>
          <w:sz w:val="24"/>
          <w:u w:val="single"/>
        </w:rPr>
        <w:t>to</w:t>
      </w:r>
      <w:r>
        <w:rPr>
          <w:spacing w:val="-6"/>
          <w:sz w:val="24"/>
          <w:u w:val="single"/>
        </w:rPr>
        <w:t xml:space="preserve"> </w:t>
      </w:r>
      <w:r>
        <w:rPr>
          <w:sz w:val="24"/>
          <w:u w:val="single"/>
        </w:rPr>
        <w:t>Federal</w:t>
      </w:r>
      <w:r>
        <w:rPr>
          <w:spacing w:val="-5"/>
          <w:sz w:val="24"/>
          <w:u w:val="single"/>
        </w:rPr>
        <w:t xml:space="preserve"> </w:t>
      </w:r>
      <w:r>
        <w:rPr>
          <w:spacing w:val="-2"/>
          <w:sz w:val="24"/>
          <w:u w:val="single"/>
        </w:rPr>
        <w:t>Government</w:t>
      </w:r>
    </w:p>
    <w:p>
      <w:pPr>
        <w:pStyle w:val="BodyText"/>
        <w:spacing w:before="274"/>
        <w:ind w:left="120" w:right="441"/>
      </w:pPr>
      <w:r>
        <w:t>We</w:t>
      </w:r>
      <w:r>
        <w:rPr>
          <w:spacing w:val="-3"/>
        </w:rPr>
        <w:t xml:space="preserve"> </w:t>
      </w:r>
      <w:r>
        <w:t>estimate</w:t>
      </w:r>
      <w:r>
        <w:rPr>
          <w:spacing w:val="-4"/>
        </w:rPr>
        <w:t xml:space="preserve"> </w:t>
      </w:r>
      <w:r>
        <w:t>that</w:t>
      </w:r>
      <w:r>
        <w:rPr>
          <w:spacing w:val="-4"/>
        </w:rPr>
        <w:t xml:space="preserve"> </w:t>
      </w:r>
      <w:r>
        <w:t>the</w:t>
      </w:r>
      <w:r>
        <w:rPr>
          <w:spacing w:val="-3"/>
        </w:rPr>
        <w:t xml:space="preserve"> </w:t>
      </w:r>
      <w:r>
        <w:t>operations</w:t>
      </w:r>
      <w:r>
        <w:rPr>
          <w:spacing w:val="-3"/>
        </w:rPr>
        <w:t xml:space="preserve"> </w:t>
      </w:r>
      <w:r>
        <w:t>and</w:t>
      </w:r>
      <w:r>
        <w:rPr>
          <w:spacing w:val="-4"/>
        </w:rPr>
        <w:t xml:space="preserve"> </w:t>
      </w:r>
      <w:r>
        <w:t>maintenance</w:t>
      </w:r>
      <w:r>
        <w:rPr>
          <w:spacing w:val="-4"/>
        </w:rPr>
        <w:t xml:space="preserve"> </w:t>
      </w:r>
      <w:r>
        <w:t>costs</w:t>
      </w:r>
      <w:r>
        <w:rPr>
          <w:spacing w:val="-3"/>
        </w:rPr>
        <w:t xml:space="preserve"> </w:t>
      </w:r>
      <w:r>
        <w:t>for</w:t>
      </w:r>
      <w:r>
        <w:rPr>
          <w:spacing w:val="-3"/>
        </w:rPr>
        <w:t xml:space="preserve"> </w:t>
      </w:r>
      <w:r>
        <w:t>the</w:t>
      </w:r>
      <w:r>
        <w:rPr>
          <w:spacing w:val="-3"/>
        </w:rPr>
        <w:t xml:space="preserve"> </w:t>
      </w:r>
      <w:r>
        <w:t>data</w:t>
      </w:r>
      <w:r>
        <w:rPr>
          <w:spacing w:val="-3"/>
        </w:rPr>
        <w:t xml:space="preserve"> </w:t>
      </w:r>
      <w:r>
        <w:t>collection</w:t>
      </w:r>
      <w:r>
        <w:rPr>
          <w:spacing w:val="-3"/>
        </w:rPr>
        <w:t xml:space="preserve"> </w:t>
      </w:r>
      <w:r>
        <w:t>tool</w:t>
      </w:r>
      <w:r>
        <w:rPr>
          <w:spacing w:val="-3"/>
        </w:rPr>
        <w:t xml:space="preserve"> </w:t>
      </w:r>
      <w:r>
        <w:t>and</w:t>
      </w:r>
      <w:r>
        <w:rPr>
          <w:spacing w:val="-4"/>
        </w:rPr>
        <w:t xml:space="preserve"> </w:t>
      </w:r>
      <w:r>
        <w:t>the</w:t>
      </w:r>
      <w:r>
        <w:rPr>
          <w:spacing w:val="-3"/>
        </w:rPr>
        <w:t xml:space="preserve"> </w:t>
      </w:r>
      <w:r>
        <w:t xml:space="preserve">data collection support to have a total cost to the federal government of $68,142 per year. The calculations for CCIIO employees’ hourly salary was obtained from the OPM website: </w:t>
      </w:r>
      <w:hyperlink r:id="rId6">
        <w:r>
          <w:rPr>
            <w:color w:val="0000FF"/>
            <w:spacing w:val="-2"/>
            <w:u w:val="single" w:color="0000FF"/>
          </w:rPr>
          <w:t>https://www.opm.gov/policy-data-oversight/pay-leave/salaries-wages/salary-</w:t>
        </w:r>
      </w:hyperlink>
      <w:r>
        <w:rPr>
          <w:color w:val="0000FF"/>
          <w:spacing w:val="-2"/>
          <w:u w:val="none"/>
        </w:rPr>
        <w:t xml:space="preserve"> </w:t>
      </w:r>
      <w:hyperlink r:id="rId6">
        <w:r>
          <w:rPr>
            <w:color w:val="0000FF"/>
            <w:spacing w:val="-2"/>
            <w:u w:val="single" w:color="0000FF"/>
          </w:rPr>
          <w:t>tables/24Tables/html/DCB_h.aspx</w:t>
        </w:r>
        <w:r>
          <w:rPr>
            <w:spacing w:val="-2"/>
            <w:u w:val="none"/>
          </w:rPr>
          <w:t>.</w:t>
        </w:r>
      </w:hyperlink>
    </w:p>
    <w:p>
      <w:pPr>
        <w:pStyle w:val="BodyText"/>
      </w:pPr>
    </w:p>
    <w:p>
      <w:pPr>
        <w:pStyle w:val="Heading1"/>
        <w:spacing w:before="1"/>
        <w:ind w:right="218"/>
      </w:pPr>
      <w:r>
        <w:t>Table</w:t>
      </w:r>
      <w:r>
        <w:rPr>
          <w:spacing w:val="-3"/>
        </w:rPr>
        <w:t xml:space="preserve"> </w:t>
      </w:r>
      <w:r>
        <w:t>5.</w:t>
      </w:r>
      <w:r>
        <w:rPr>
          <w:spacing w:val="-4"/>
        </w:rPr>
        <w:t xml:space="preserve"> </w:t>
      </w:r>
      <w:r>
        <w:t>Administrative</w:t>
      </w:r>
      <w:r>
        <w:rPr>
          <w:spacing w:val="-3"/>
        </w:rPr>
        <w:t xml:space="preserve"> </w:t>
      </w:r>
      <w:r>
        <w:t>Burden</w:t>
      </w:r>
      <w:r>
        <w:rPr>
          <w:spacing w:val="-4"/>
        </w:rPr>
        <w:t xml:space="preserve"> </w:t>
      </w:r>
      <w:r>
        <w:t>Costs</w:t>
      </w:r>
      <w:r>
        <w:rPr>
          <w:spacing w:val="-3"/>
        </w:rPr>
        <w:t xml:space="preserve"> </w:t>
      </w:r>
      <w:r>
        <w:t>for</w:t>
      </w:r>
      <w:r>
        <w:rPr>
          <w:spacing w:val="-4"/>
        </w:rPr>
        <w:t xml:space="preserve"> </w:t>
      </w:r>
      <w:r>
        <w:t>the</w:t>
      </w:r>
      <w:r>
        <w:rPr>
          <w:spacing w:val="-4"/>
        </w:rPr>
        <w:t xml:space="preserve"> </w:t>
      </w:r>
      <w:r>
        <w:t>Federal</w:t>
      </w:r>
      <w:r>
        <w:rPr>
          <w:spacing w:val="-3"/>
        </w:rPr>
        <w:t xml:space="preserve"> </w:t>
      </w:r>
      <w:r>
        <w:t>Government</w:t>
      </w:r>
      <w:r>
        <w:rPr>
          <w:spacing w:val="-3"/>
        </w:rPr>
        <w:t xml:space="preserve"> </w:t>
      </w:r>
      <w:r>
        <w:t>Associated</w:t>
      </w:r>
      <w:r>
        <w:rPr>
          <w:spacing w:val="-4"/>
        </w:rPr>
        <w:t xml:space="preserve"> </w:t>
      </w:r>
      <w:r>
        <w:t>with</w:t>
      </w:r>
      <w:r>
        <w:rPr>
          <w:spacing w:val="-4"/>
        </w:rPr>
        <w:t xml:space="preserve"> </w:t>
      </w:r>
      <w:r>
        <w:t xml:space="preserve">the </w:t>
      </w:r>
      <w:r>
        <w:rPr>
          <w:spacing w:val="-2"/>
        </w:rPr>
        <w:t>Collection</w:t>
      </w:r>
    </w:p>
    <w:p>
      <w:pPr>
        <w:pStyle w:val="BodyText"/>
        <w:spacing w:before="4"/>
        <w:rPr>
          <w:b/>
          <w:sz w:val="10"/>
        </w:rPr>
      </w:pPr>
    </w:p>
    <w:tbl>
      <w:tblPr>
        <w:tblStyle w:val="TableNormal"/>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7"/>
        <w:gridCol w:w="2949"/>
      </w:tblGrid>
      <w:tr>
        <w:tblPrEx>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6"/>
          <w:jc w:val="left"/>
        </w:trPr>
        <w:tc>
          <w:tcPr>
            <w:tcW w:w="4787" w:type="dxa"/>
          </w:tcPr>
          <w:p>
            <w:pPr>
              <w:pStyle w:val="TableParagraph"/>
              <w:spacing w:before="1" w:line="255" w:lineRule="exact"/>
              <w:ind w:left="44"/>
              <w:rPr>
                <w:b/>
                <w:sz w:val="24"/>
              </w:rPr>
            </w:pPr>
            <w:r>
              <w:rPr>
                <w:b/>
                <w:spacing w:val="-4"/>
                <w:sz w:val="24"/>
              </w:rPr>
              <w:t>Task</w:t>
            </w:r>
          </w:p>
        </w:tc>
        <w:tc>
          <w:tcPr>
            <w:tcW w:w="2949" w:type="dxa"/>
          </w:tcPr>
          <w:p>
            <w:pPr>
              <w:pStyle w:val="TableParagraph"/>
              <w:spacing w:before="1" w:line="255" w:lineRule="exact"/>
              <w:ind w:left="26"/>
              <w:rPr>
                <w:b/>
                <w:sz w:val="24"/>
              </w:rPr>
            </w:pPr>
            <w:r>
              <w:rPr>
                <w:b/>
                <w:sz w:val="24"/>
              </w:rPr>
              <w:t>Estimated</w:t>
            </w:r>
            <w:r>
              <w:rPr>
                <w:b/>
                <w:spacing w:val="-7"/>
                <w:sz w:val="24"/>
              </w:rPr>
              <w:t xml:space="preserve"> </w:t>
            </w:r>
            <w:r>
              <w:rPr>
                <w:b/>
                <w:spacing w:val="-4"/>
                <w:sz w:val="24"/>
              </w:rPr>
              <w:t>Cost</w:t>
            </w:r>
          </w:p>
        </w:tc>
      </w:tr>
      <w:tr>
        <w:tblPrEx>
          <w:tblW w:w="0" w:type="auto"/>
          <w:jc w:val="left"/>
          <w:tblInd w:w="129" w:type="dxa"/>
          <w:tblLayout w:type="fixed"/>
          <w:tblCellMar>
            <w:top w:w="0" w:type="dxa"/>
            <w:left w:w="0" w:type="dxa"/>
            <w:bottom w:w="0" w:type="dxa"/>
            <w:right w:w="0" w:type="dxa"/>
          </w:tblCellMar>
          <w:tblLook w:val="01E0"/>
        </w:tblPrEx>
        <w:trPr>
          <w:trHeight w:val="348"/>
          <w:jc w:val="left"/>
        </w:trPr>
        <w:tc>
          <w:tcPr>
            <w:tcW w:w="7736" w:type="dxa"/>
            <w:gridSpan w:val="2"/>
          </w:tcPr>
          <w:p>
            <w:pPr>
              <w:pStyle w:val="TableParagraph"/>
              <w:ind w:left="44"/>
              <w:rPr>
                <w:sz w:val="24"/>
              </w:rPr>
            </w:pPr>
            <w:r>
              <w:rPr>
                <w:sz w:val="24"/>
              </w:rPr>
              <w:t>Operations,</w:t>
            </w:r>
            <w:r>
              <w:rPr>
                <w:spacing w:val="-10"/>
                <w:sz w:val="24"/>
              </w:rPr>
              <w:t xml:space="preserve"> </w:t>
            </w:r>
            <w:r>
              <w:rPr>
                <w:sz w:val="24"/>
              </w:rPr>
              <w:t>maintenance,</w:t>
            </w:r>
            <w:r>
              <w:rPr>
                <w:spacing w:val="-5"/>
                <w:sz w:val="24"/>
              </w:rPr>
              <w:t xml:space="preserve"> </w:t>
            </w:r>
            <w:r>
              <w:rPr>
                <w:sz w:val="24"/>
              </w:rPr>
              <w:t>and</w:t>
            </w:r>
            <w:r>
              <w:rPr>
                <w:spacing w:val="-5"/>
                <w:sz w:val="24"/>
              </w:rPr>
              <w:t xml:space="preserve"> </w:t>
            </w:r>
            <w:r>
              <w:rPr>
                <w:sz w:val="24"/>
              </w:rPr>
              <w:t>data</w:t>
            </w:r>
            <w:r>
              <w:rPr>
                <w:spacing w:val="-3"/>
                <w:sz w:val="24"/>
              </w:rPr>
              <w:t xml:space="preserve"> </w:t>
            </w:r>
            <w:r>
              <w:rPr>
                <w:sz w:val="24"/>
              </w:rPr>
              <w:t>collection</w:t>
            </w:r>
            <w:r>
              <w:rPr>
                <w:spacing w:val="-4"/>
                <w:sz w:val="24"/>
              </w:rPr>
              <w:t xml:space="preserve"> </w:t>
            </w:r>
            <w:r>
              <w:rPr>
                <w:spacing w:val="-2"/>
                <w:sz w:val="24"/>
              </w:rPr>
              <w:t>support</w:t>
            </w:r>
          </w:p>
        </w:tc>
      </w:tr>
      <w:tr>
        <w:tblPrEx>
          <w:tblW w:w="0" w:type="auto"/>
          <w:jc w:val="left"/>
          <w:tblInd w:w="129" w:type="dxa"/>
          <w:tblLayout w:type="fixed"/>
          <w:tblCellMar>
            <w:top w:w="0" w:type="dxa"/>
            <w:left w:w="0" w:type="dxa"/>
            <w:bottom w:w="0" w:type="dxa"/>
            <w:right w:w="0" w:type="dxa"/>
          </w:tblCellMar>
          <w:tblLook w:val="01E0"/>
        </w:tblPrEx>
        <w:trPr>
          <w:trHeight w:val="339"/>
          <w:jc w:val="left"/>
        </w:trPr>
        <w:tc>
          <w:tcPr>
            <w:tcW w:w="4787" w:type="dxa"/>
          </w:tcPr>
          <w:p>
            <w:pPr>
              <w:pStyle w:val="TableParagraph"/>
              <w:ind w:left="44"/>
              <w:rPr>
                <w:sz w:val="24"/>
              </w:rPr>
            </w:pPr>
            <w:r>
              <w:rPr>
                <w:sz w:val="24"/>
              </w:rPr>
              <w:t>1 GS-11</w:t>
            </w:r>
            <w:r>
              <w:rPr>
                <w:spacing w:val="1"/>
                <w:sz w:val="24"/>
              </w:rPr>
              <w:t xml:space="preserve"> </w:t>
            </w:r>
            <w:r>
              <w:rPr>
                <w:sz w:val="24"/>
              </w:rPr>
              <w:t>(step</w:t>
            </w:r>
            <w:r>
              <w:rPr>
                <w:spacing w:val="2"/>
                <w:sz w:val="24"/>
              </w:rPr>
              <w:t xml:space="preserve"> </w:t>
            </w:r>
            <w:r>
              <w:rPr>
                <w:sz w:val="24"/>
              </w:rPr>
              <w:t>7):</w:t>
            </w:r>
            <w:r>
              <w:rPr>
                <w:spacing w:val="1"/>
                <w:sz w:val="24"/>
              </w:rPr>
              <w:t xml:space="preserve"> </w:t>
            </w:r>
            <w:r>
              <w:rPr>
                <w:sz w:val="24"/>
              </w:rPr>
              <w:t>$95.18</w:t>
            </w:r>
            <w:r>
              <w:rPr>
                <w:sz w:val="24"/>
                <w:vertAlign w:val="superscript"/>
              </w:rPr>
              <w:t>1</w:t>
            </w:r>
            <w:r>
              <w:rPr>
                <w:spacing w:val="3"/>
                <w:sz w:val="24"/>
                <w:vertAlign w:val="baseline"/>
              </w:rPr>
              <w:t xml:space="preserve"> </w:t>
            </w:r>
            <w:r>
              <w:rPr>
                <w:sz w:val="24"/>
                <w:vertAlign w:val="baseline"/>
              </w:rPr>
              <w:t>x</w:t>
            </w:r>
            <w:r>
              <w:rPr>
                <w:spacing w:val="1"/>
                <w:sz w:val="24"/>
                <w:vertAlign w:val="baseline"/>
              </w:rPr>
              <w:t xml:space="preserve"> </w:t>
            </w:r>
            <w:r>
              <w:rPr>
                <w:sz w:val="24"/>
                <w:vertAlign w:val="baseline"/>
              </w:rPr>
              <w:t>600</w:t>
            </w:r>
            <w:r>
              <w:rPr>
                <w:spacing w:val="4"/>
                <w:sz w:val="24"/>
                <w:vertAlign w:val="baseline"/>
              </w:rPr>
              <w:t xml:space="preserve"> </w:t>
            </w:r>
            <w:r>
              <w:rPr>
                <w:spacing w:val="-2"/>
                <w:sz w:val="24"/>
                <w:vertAlign w:val="baseline"/>
              </w:rPr>
              <w:t>hours</w:t>
            </w:r>
          </w:p>
        </w:tc>
        <w:tc>
          <w:tcPr>
            <w:tcW w:w="2949" w:type="dxa"/>
          </w:tcPr>
          <w:p>
            <w:pPr>
              <w:pStyle w:val="TableParagraph"/>
              <w:ind w:left="26"/>
              <w:rPr>
                <w:sz w:val="24"/>
              </w:rPr>
            </w:pPr>
            <w:r>
              <w:rPr>
                <w:spacing w:val="-2"/>
                <w:sz w:val="24"/>
              </w:rPr>
              <w:t>$57,108</w:t>
            </w:r>
          </w:p>
        </w:tc>
      </w:tr>
      <w:tr>
        <w:tblPrEx>
          <w:tblW w:w="0" w:type="auto"/>
          <w:jc w:val="left"/>
          <w:tblInd w:w="129" w:type="dxa"/>
          <w:tblLayout w:type="fixed"/>
          <w:tblCellMar>
            <w:top w:w="0" w:type="dxa"/>
            <w:left w:w="0" w:type="dxa"/>
            <w:bottom w:w="0" w:type="dxa"/>
            <w:right w:w="0" w:type="dxa"/>
          </w:tblCellMar>
          <w:tblLook w:val="01E0"/>
        </w:tblPrEx>
        <w:trPr>
          <w:trHeight w:val="358"/>
          <w:jc w:val="left"/>
        </w:trPr>
        <w:tc>
          <w:tcPr>
            <w:tcW w:w="7736" w:type="dxa"/>
            <w:gridSpan w:val="2"/>
          </w:tcPr>
          <w:p>
            <w:pPr>
              <w:pStyle w:val="TableParagraph"/>
              <w:spacing w:before="1"/>
              <w:ind w:left="44"/>
              <w:rPr>
                <w:sz w:val="24"/>
              </w:rPr>
            </w:pPr>
            <w:r>
              <w:rPr>
                <w:sz w:val="24"/>
              </w:rPr>
              <w:t>Managerial</w:t>
            </w:r>
            <w:r>
              <w:rPr>
                <w:spacing w:val="-2"/>
                <w:sz w:val="24"/>
              </w:rPr>
              <w:t xml:space="preserve"> </w:t>
            </w:r>
            <w:r>
              <w:rPr>
                <w:sz w:val="24"/>
              </w:rPr>
              <w:t>review</w:t>
            </w:r>
            <w:r>
              <w:rPr>
                <w:spacing w:val="-3"/>
                <w:sz w:val="24"/>
              </w:rPr>
              <w:t xml:space="preserve"> </w:t>
            </w:r>
            <w:r>
              <w:rPr>
                <w:sz w:val="24"/>
              </w:rPr>
              <w:t>and</w:t>
            </w:r>
            <w:r>
              <w:rPr>
                <w:spacing w:val="-2"/>
                <w:sz w:val="24"/>
              </w:rPr>
              <w:t xml:space="preserve"> oversight</w:t>
            </w:r>
          </w:p>
        </w:tc>
      </w:tr>
      <w:tr>
        <w:tblPrEx>
          <w:tblW w:w="0" w:type="auto"/>
          <w:jc w:val="left"/>
          <w:tblInd w:w="129" w:type="dxa"/>
          <w:tblLayout w:type="fixed"/>
          <w:tblCellMar>
            <w:top w:w="0" w:type="dxa"/>
            <w:left w:w="0" w:type="dxa"/>
            <w:bottom w:w="0" w:type="dxa"/>
            <w:right w:w="0" w:type="dxa"/>
          </w:tblCellMar>
          <w:tblLook w:val="01E0"/>
        </w:tblPrEx>
        <w:trPr>
          <w:trHeight w:val="286"/>
          <w:jc w:val="left"/>
        </w:trPr>
        <w:tc>
          <w:tcPr>
            <w:tcW w:w="4787" w:type="dxa"/>
          </w:tcPr>
          <w:p>
            <w:pPr>
              <w:pStyle w:val="TableParagraph"/>
              <w:spacing w:line="266" w:lineRule="exact"/>
              <w:ind w:left="44"/>
              <w:rPr>
                <w:sz w:val="24"/>
              </w:rPr>
            </w:pPr>
            <w:r>
              <w:rPr>
                <w:sz w:val="24"/>
              </w:rPr>
              <w:t>1</w:t>
            </w:r>
            <w:r>
              <w:rPr>
                <w:spacing w:val="1"/>
                <w:sz w:val="24"/>
              </w:rPr>
              <w:t xml:space="preserve"> </w:t>
            </w:r>
            <w:r>
              <w:rPr>
                <w:sz w:val="24"/>
              </w:rPr>
              <w:t>GS-15</w:t>
            </w:r>
            <w:r>
              <w:rPr>
                <w:spacing w:val="1"/>
                <w:sz w:val="24"/>
              </w:rPr>
              <w:t xml:space="preserve"> </w:t>
            </w:r>
            <w:r>
              <w:rPr>
                <w:sz w:val="24"/>
              </w:rPr>
              <w:t>(step 7):</w:t>
            </w:r>
            <w:r>
              <w:rPr>
                <w:spacing w:val="3"/>
                <w:sz w:val="24"/>
              </w:rPr>
              <w:t xml:space="preserve"> </w:t>
            </w:r>
            <w:r>
              <w:rPr>
                <w:sz w:val="24"/>
              </w:rPr>
              <w:t>$183.90</w:t>
            </w:r>
            <w:r>
              <w:rPr>
                <w:sz w:val="24"/>
                <w:vertAlign w:val="superscript"/>
              </w:rPr>
              <w:t>2</w:t>
            </w:r>
            <w:r>
              <w:rPr>
                <w:spacing w:val="2"/>
                <w:sz w:val="24"/>
                <w:vertAlign w:val="baseline"/>
              </w:rPr>
              <w:t xml:space="preserve"> </w:t>
            </w:r>
            <w:r>
              <w:rPr>
                <w:sz w:val="24"/>
                <w:vertAlign w:val="baseline"/>
              </w:rPr>
              <w:t>x</w:t>
            </w:r>
            <w:r>
              <w:rPr>
                <w:spacing w:val="2"/>
                <w:sz w:val="24"/>
                <w:vertAlign w:val="baseline"/>
              </w:rPr>
              <w:t xml:space="preserve"> </w:t>
            </w:r>
            <w:r>
              <w:rPr>
                <w:sz w:val="24"/>
                <w:vertAlign w:val="baseline"/>
              </w:rPr>
              <w:t>60</w:t>
            </w:r>
            <w:r>
              <w:rPr>
                <w:spacing w:val="3"/>
                <w:sz w:val="24"/>
                <w:vertAlign w:val="baseline"/>
              </w:rPr>
              <w:t xml:space="preserve"> </w:t>
            </w:r>
            <w:r>
              <w:rPr>
                <w:spacing w:val="-2"/>
                <w:sz w:val="24"/>
                <w:vertAlign w:val="baseline"/>
              </w:rPr>
              <w:t>hours</w:t>
            </w:r>
          </w:p>
        </w:tc>
        <w:tc>
          <w:tcPr>
            <w:tcW w:w="2949" w:type="dxa"/>
          </w:tcPr>
          <w:p>
            <w:pPr>
              <w:pStyle w:val="TableParagraph"/>
              <w:spacing w:line="266" w:lineRule="exact"/>
              <w:ind w:left="26"/>
              <w:rPr>
                <w:sz w:val="24"/>
              </w:rPr>
            </w:pPr>
            <w:r>
              <w:rPr>
                <w:spacing w:val="-2"/>
                <w:sz w:val="24"/>
              </w:rPr>
              <w:t>$11,034</w:t>
            </w:r>
          </w:p>
        </w:tc>
      </w:tr>
      <w:tr>
        <w:tblPrEx>
          <w:tblW w:w="0" w:type="auto"/>
          <w:jc w:val="left"/>
          <w:tblInd w:w="129" w:type="dxa"/>
          <w:tblLayout w:type="fixed"/>
          <w:tblCellMar>
            <w:top w:w="0" w:type="dxa"/>
            <w:left w:w="0" w:type="dxa"/>
            <w:bottom w:w="0" w:type="dxa"/>
            <w:right w:w="0" w:type="dxa"/>
          </w:tblCellMar>
          <w:tblLook w:val="01E0"/>
        </w:tblPrEx>
        <w:trPr>
          <w:trHeight w:val="288"/>
          <w:jc w:val="left"/>
        </w:trPr>
        <w:tc>
          <w:tcPr>
            <w:tcW w:w="4787" w:type="dxa"/>
          </w:tcPr>
          <w:p>
            <w:pPr>
              <w:pStyle w:val="TableParagraph"/>
              <w:spacing w:line="269" w:lineRule="exact"/>
              <w:ind w:left="44"/>
              <w:rPr>
                <w:b/>
                <w:sz w:val="24"/>
              </w:rPr>
            </w:pPr>
            <w:r>
              <w:rPr>
                <w:b/>
                <w:sz w:val="24"/>
              </w:rPr>
              <w:t>Total Costs</w:t>
            </w:r>
            <w:r>
              <w:rPr>
                <w:b/>
                <w:spacing w:val="-4"/>
                <w:sz w:val="24"/>
              </w:rPr>
              <w:t xml:space="preserve"> </w:t>
            </w:r>
            <w:r>
              <w:rPr>
                <w:b/>
                <w:sz w:val="24"/>
              </w:rPr>
              <w:t>to</w:t>
            </w:r>
            <w:r>
              <w:rPr>
                <w:b/>
                <w:spacing w:val="1"/>
                <w:sz w:val="24"/>
              </w:rPr>
              <w:t xml:space="preserve"> </w:t>
            </w:r>
            <w:r>
              <w:rPr>
                <w:b/>
                <w:spacing w:val="-2"/>
                <w:sz w:val="24"/>
              </w:rPr>
              <w:t>Government</w:t>
            </w:r>
          </w:p>
        </w:tc>
        <w:tc>
          <w:tcPr>
            <w:tcW w:w="2949" w:type="dxa"/>
          </w:tcPr>
          <w:p>
            <w:pPr>
              <w:pStyle w:val="TableParagraph"/>
              <w:spacing w:line="269" w:lineRule="exact"/>
              <w:ind w:left="26"/>
              <w:rPr>
                <w:b/>
                <w:sz w:val="24"/>
              </w:rPr>
            </w:pPr>
            <w:r>
              <w:rPr>
                <w:b/>
                <w:spacing w:val="-2"/>
                <w:sz w:val="24"/>
              </w:rPr>
              <w:t>$68,142</w:t>
            </w:r>
          </w:p>
        </w:tc>
      </w:tr>
    </w:tbl>
    <w:p>
      <w:pPr>
        <w:spacing w:before="3"/>
        <w:ind w:left="120" w:right="0" w:firstLine="0"/>
        <w:jc w:val="left"/>
        <w:rPr>
          <w:sz w:val="20"/>
        </w:rPr>
      </w:pPr>
      <w:r>
        <w:rPr>
          <w:sz w:val="20"/>
          <w:vertAlign w:val="superscript"/>
        </w:rPr>
        <w:t>1</w:t>
      </w:r>
      <w:r>
        <w:rPr>
          <w:spacing w:val="-3"/>
          <w:sz w:val="20"/>
          <w:vertAlign w:val="baseline"/>
        </w:rPr>
        <w:t xml:space="preserve"> </w:t>
      </w:r>
      <w:r>
        <w:rPr>
          <w:sz w:val="20"/>
          <w:vertAlign w:val="baseline"/>
        </w:rPr>
        <w:t>Hourly</w:t>
      </w:r>
      <w:r>
        <w:rPr>
          <w:spacing w:val="-4"/>
          <w:sz w:val="20"/>
          <w:vertAlign w:val="baseline"/>
        </w:rPr>
        <w:t xml:space="preserve"> </w:t>
      </w:r>
      <w:r>
        <w:rPr>
          <w:sz w:val="20"/>
          <w:vertAlign w:val="baseline"/>
        </w:rPr>
        <w:t>basic</w:t>
      </w:r>
      <w:r>
        <w:rPr>
          <w:spacing w:val="-8"/>
          <w:sz w:val="20"/>
          <w:vertAlign w:val="baseline"/>
        </w:rPr>
        <w:t xml:space="preserve"> </w:t>
      </w:r>
      <w:r>
        <w:rPr>
          <w:sz w:val="20"/>
          <w:vertAlign w:val="baseline"/>
        </w:rPr>
        <w:t>rate</w:t>
      </w:r>
      <w:r>
        <w:rPr>
          <w:spacing w:val="-7"/>
          <w:sz w:val="20"/>
          <w:vertAlign w:val="baseline"/>
        </w:rPr>
        <w:t xml:space="preserve"> </w:t>
      </w:r>
      <w:r>
        <w:rPr>
          <w:sz w:val="20"/>
          <w:vertAlign w:val="baseline"/>
        </w:rPr>
        <w:t>$47.59</w:t>
      </w:r>
      <w:r>
        <w:rPr>
          <w:spacing w:val="-3"/>
          <w:sz w:val="20"/>
          <w:vertAlign w:val="baseline"/>
        </w:rPr>
        <w:t xml:space="preserve"> </w:t>
      </w:r>
      <w:r>
        <w:rPr>
          <w:sz w:val="20"/>
          <w:vertAlign w:val="baseline"/>
        </w:rPr>
        <w:t>+</w:t>
      </w:r>
      <w:r>
        <w:rPr>
          <w:spacing w:val="-7"/>
          <w:sz w:val="20"/>
          <w:vertAlign w:val="baseline"/>
        </w:rPr>
        <w:t xml:space="preserve"> </w:t>
      </w:r>
      <w:r>
        <w:rPr>
          <w:sz w:val="20"/>
          <w:vertAlign w:val="baseline"/>
        </w:rPr>
        <w:t>100%</w:t>
      </w:r>
      <w:r>
        <w:rPr>
          <w:spacing w:val="-5"/>
          <w:sz w:val="20"/>
          <w:vertAlign w:val="baseline"/>
        </w:rPr>
        <w:t xml:space="preserve"> </w:t>
      </w:r>
      <w:r>
        <w:rPr>
          <w:sz w:val="20"/>
          <w:vertAlign w:val="baseline"/>
        </w:rPr>
        <w:t>fringe</w:t>
      </w:r>
      <w:r>
        <w:rPr>
          <w:spacing w:val="-8"/>
          <w:sz w:val="20"/>
          <w:vertAlign w:val="baseline"/>
        </w:rPr>
        <w:t xml:space="preserve"> </w:t>
      </w:r>
      <w:r>
        <w:rPr>
          <w:sz w:val="20"/>
          <w:vertAlign w:val="baseline"/>
        </w:rPr>
        <w:t>benefit</w:t>
      </w:r>
      <w:r>
        <w:rPr>
          <w:spacing w:val="-6"/>
          <w:sz w:val="20"/>
          <w:vertAlign w:val="baseline"/>
        </w:rPr>
        <w:t xml:space="preserve"> </w:t>
      </w:r>
      <w:r>
        <w:rPr>
          <w:spacing w:val="-4"/>
          <w:sz w:val="20"/>
          <w:vertAlign w:val="baseline"/>
        </w:rPr>
        <w:t>rate.</w:t>
      </w:r>
    </w:p>
    <w:p>
      <w:pPr>
        <w:spacing w:before="1"/>
        <w:ind w:left="120" w:right="0" w:firstLine="0"/>
        <w:jc w:val="left"/>
        <w:rPr>
          <w:sz w:val="20"/>
        </w:rPr>
      </w:pPr>
      <w:r>
        <w:rPr>
          <w:sz w:val="20"/>
          <w:vertAlign w:val="superscript"/>
        </w:rPr>
        <w:t>2</w:t>
      </w:r>
      <w:r>
        <w:rPr>
          <w:spacing w:val="-3"/>
          <w:sz w:val="20"/>
          <w:vertAlign w:val="baseline"/>
        </w:rPr>
        <w:t xml:space="preserve"> </w:t>
      </w:r>
      <w:r>
        <w:rPr>
          <w:sz w:val="20"/>
          <w:vertAlign w:val="baseline"/>
        </w:rPr>
        <w:t>Hourly</w:t>
      </w:r>
      <w:r>
        <w:rPr>
          <w:spacing w:val="-4"/>
          <w:sz w:val="20"/>
          <w:vertAlign w:val="baseline"/>
        </w:rPr>
        <w:t xml:space="preserve"> </w:t>
      </w:r>
      <w:r>
        <w:rPr>
          <w:sz w:val="20"/>
          <w:vertAlign w:val="baseline"/>
        </w:rPr>
        <w:t>basic</w:t>
      </w:r>
      <w:r>
        <w:rPr>
          <w:spacing w:val="-8"/>
          <w:sz w:val="20"/>
          <w:vertAlign w:val="baseline"/>
        </w:rPr>
        <w:t xml:space="preserve"> </w:t>
      </w:r>
      <w:r>
        <w:rPr>
          <w:sz w:val="20"/>
          <w:vertAlign w:val="baseline"/>
        </w:rPr>
        <w:t>rate</w:t>
      </w:r>
      <w:r>
        <w:rPr>
          <w:spacing w:val="-7"/>
          <w:sz w:val="20"/>
          <w:vertAlign w:val="baseline"/>
        </w:rPr>
        <w:t xml:space="preserve"> </w:t>
      </w:r>
      <w:r>
        <w:rPr>
          <w:sz w:val="20"/>
          <w:vertAlign w:val="baseline"/>
        </w:rPr>
        <w:t>$91.95</w:t>
      </w:r>
      <w:r>
        <w:rPr>
          <w:spacing w:val="-3"/>
          <w:sz w:val="20"/>
          <w:vertAlign w:val="baseline"/>
        </w:rPr>
        <w:t xml:space="preserve"> </w:t>
      </w:r>
      <w:r>
        <w:rPr>
          <w:sz w:val="20"/>
          <w:vertAlign w:val="baseline"/>
        </w:rPr>
        <w:t>+</w:t>
      </w:r>
      <w:r>
        <w:rPr>
          <w:spacing w:val="-7"/>
          <w:sz w:val="20"/>
          <w:vertAlign w:val="baseline"/>
        </w:rPr>
        <w:t xml:space="preserve"> </w:t>
      </w:r>
      <w:r>
        <w:rPr>
          <w:sz w:val="20"/>
          <w:vertAlign w:val="baseline"/>
        </w:rPr>
        <w:t>100%</w:t>
      </w:r>
      <w:r>
        <w:rPr>
          <w:spacing w:val="-5"/>
          <w:sz w:val="20"/>
          <w:vertAlign w:val="baseline"/>
        </w:rPr>
        <w:t xml:space="preserve"> </w:t>
      </w:r>
      <w:r>
        <w:rPr>
          <w:sz w:val="20"/>
          <w:vertAlign w:val="baseline"/>
        </w:rPr>
        <w:t>fringe</w:t>
      </w:r>
      <w:r>
        <w:rPr>
          <w:spacing w:val="-8"/>
          <w:sz w:val="20"/>
          <w:vertAlign w:val="baseline"/>
        </w:rPr>
        <w:t xml:space="preserve"> </w:t>
      </w:r>
      <w:r>
        <w:rPr>
          <w:sz w:val="20"/>
          <w:vertAlign w:val="baseline"/>
        </w:rPr>
        <w:t>benefit</w:t>
      </w:r>
      <w:r>
        <w:rPr>
          <w:spacing w:val="-6"/>
          <w:sz w:val="20"/>
          <w:vertAlign w:val="baseline"/>
        </w:rPr>
        <w:t xml:space="preserve"> </w:t>
      </w:r>
      <w:r>
        <w:rPr>
          <w:spacing w:val="-4"/>
          <w:sz w:val="20"/>
          <w:vertAlign w:val="baseline"/>
        </w:rPr>
        <w:t>rate.</w:t>
      </w:r>
    </w:p>
    <w:p>
      <w:pPr>
        <w:spacing w:after="0"/>
        <w:jc w:val="left"/>
        <w:rPr>
          <w:sz w:val="20"/>
        </w:rPr>
        <w:sectPr>
          <w:pgSz w:w="12240" w:h="15840"/>
          <w:pgMar w:top="1380" w:right="1300" w:bottom="1200" w:left="1320" w:header="0" w:footer="1001"/>
          <w:cols w:space="720"/>
        </w:sectPr>
      </w:pPr>
    </w:p>
    <w:p>
      <w:pPr>
        <w:pStyle w:val="ListParagraph"/>
        <w:numPr>
          <w:ilvl w:val="1"/>
          <w:numId w:val="1"/>
        </w:numPr>
        <w:tabs>
          <w:tab w:val="left" w:pos="671"/>
        </w:tabs>
        <w:spacing w:before="76" w:after="0" w:line="240" w:lineRule="auto"/>
        <w:ind w:left="671" w:right="0" w:hanging="551"/>
        <w:jc w:val="left"/>
        <w:rPr>
          <w:sz w:val="24"/>
          <w:u w:val="none"/>
        </w:rPr>
      </w:pPr>
      <w:bookmarkStart w:id="17" w:name="15. Changes to Burden"/>
      <w:bookmarkEnd w:id="17"/>
      <w:bookmarkStart w:id="18" w:name="16. Publication/Tabulation Dates"/>
      <w:bookmarkEnd w:id="18"/>
      <w:bookmarkStart w:id="19" w:name="17. Expiration Date"/>
      <w:bookmarkEnd w:id="19"/>
      <w:r>
        <w:rPr>
          <w:sz w:val="24"/>
          <w:u w:val="single"/>
        </w:rPr>
        <w:t>Changes</w:t>
      </w:r>
      <w:r>
        <w:rPr>
          <w:spacing w:val="-5"/>
          <w:sz w:val="24"/>
          <w:u w:val="single"/>
        </w:rPr>
        <w:t xml:space="preserve"> </w:t>
      </w:r>
      <w:r>
        <w:rPr>
          <w:sz w:val="24"/>
          <w:u w:val="single"/>
        </w:rPr>
        <w:t>to</w:t>
      </w:r>
      <w:r>
        <w:rPr>
          <w:spacing w:val="-2"/>
          <w:sz w:val="24"/>
          <w:u w:val="single"/>
        </w:rPr>
        <w:t xml:space="preserve"> Burden</w:t>
      </w:r>
    </w:p>
    <w:p>
      <w:pPr>
        <w:pStyle w:val="BodyText"/>
      </w:pPr>
    </w:p>
    <w:p>
      <w:pPr>
        <w:pStyle w:val="BodyText"/>
        <w:ind w:left="119" w:right="176"/>
      </w:pPr>
      <w:r>
        <w:t>There is an overall increase in the financial burden from the 2023 PRA package. The number of agents, brokers, or web-brokers that will produce retained records in limited circumstances related</w:t>
      </w:r>
      <w:r>
        <w:rPr>
          <w:spacing w:val="-2"/>
        </w:rPr>
        <w:t xml:space="preserve"> </w:t>
      </w:r>
      <w:r>
        <w:t>to</w:t>
      </w:r>
      <w:r>
        <w:rPr>
          <w:spacing w:val="-4"/>
        </w:rPr>
        <w:t xml:space="preserve"> </w:t>
      </w:r>
      <w:r>
        <w:t>fraud</w:t>
      </w:r>
      <w:r>
        <w:rPr>
          <w:spacing w:val="-2"/>
        </w:rPr>
        <w:t xml:space="preserve"> </w:t>
      </w:r>
      <w:r>
        <w:t>investigation</w:t>
      </w:r>
      <w:r>
        <w:rPr>
          <w:spacing w:val="-2"/>
        </w:rPr>
        <w:t xml:space="preserve"> </w:t>
      </w:r>
      <w:r>
        <w:t>or</w:t>
      </w:r>
      <w:r>
        <w:rPr>
          <w:spacing w:val="-3"/>
        </w:rPr>
        <w:t xml:space="preserve"> </w:t>
      </w:r>
      <w:r>
        <w:t>agency</w:t>
      </w:r>
      <w:r>
        <w:rPr>
          <w:spacing w:val="-2"/>
        </w:rPr>
        <w:t xml:space="preserve"> </w:t>
      </w:r>
      <w:r>
        <w:t>audits</w:t>
      </w:r>
      <w:r>
        <w:rPr>
          <w:spacing w:val="-2"/>
        </w:rPr>
        <w:t xml:space="preserve"> </w:t>
      </w:r>
      <w:r>
        <w:t>increased</w:t>
      </w:r>
      <w:r>
        <w:rPr>
          <w:spacing w:val="-4"/>
        </w:rPr>
        <w:t xml:space="preserve"> </w:t>
      </w:r>
      <w:r>
        <w:t>from</w:t>
      </w:r>
      <w:r>
        <w:rPr>
          <w:spacing w:val="-3"/>
        </w:rPr>
        <w:t xml:space="preserve"> </w:t>
      </w:r>
      <w:r>
        <w:t>120</w:t>
      </w:r>
      <w:r>
        <w:rPr>
          <w:spacing w:val="-2"/>
        </w:rPr>
        <w:t xml:space="preserve"> </w:t>
      </w:r>
      <w:r>
        <w:t>to</w:t>
      </w:r>
      <w:r>
        <w:rPr>
          <w:spacing w:val="-2"/>
        </w:rPr>
        <w:t xml:space="preserve"> </w:t>
      </w:r>
      <w:r>
        <w:t>600,</w:t>
      </w:r>
      <w:r>
        <w:rPr>
          <w:spacing w:val="-2"/>
        </w:rPr>
        <w:t xml:space="preserve"> </w:t>
      </w:r>
      <w:r>
        <w:t>which</w:t>
      </w:r>
      <w:r>
        <w:rPr>
          <w:spacing w:val="-2"/>
        </w:rPr>
        <w:t xml:space="preserve"> </w:t>
      </w:r>
      <w:r>
        <w:t>is</w:t>
      </w:r>
      <w:r>
        <w:rPr>
          <w:spacing w:val="-2"/>
        </w:rPr>
        <w:t xml:space="preserve"> </w:t>
      </w:r>
      <w:r>
        <w:t>an</w:t>
      </w:r>
      <w:r>
        <w:rPr>
          <w:spacing w:val="-4"/>
        </w:rPr>
        <w:t xml:space="preserve"> </w:t>
      </w:r>
      <w:r>
        <w:t>increase</w:t>
      </w:r>
      <w:r>
        <w:rPr>
          <w:spacing w:val="-2"/>
        </w:rPr>
        <w:t xml:space="preserve"> </w:t>
      </w:r>
      <w:r>
        <w:t>of 480 agents, brokers, or web-brokers. Based on PY 2023 data, the number of policies submitted by agents increased from 4,947,909 to 9,800,000 policies, which is an increase of 4,852,091 policies. Lastly, an increase in labor costs contributed to the increase in burden costs.</w:t>
      </w:r>
    </w:p>
    <w:p>
      <w:pPr>
        <w:pStyle w:val="BodyText"/>
      </w:pPr>
    </w:p>
    <w:p>
      <w:pPr>
        <w:pStyle w:val="BodyText"/>
        <w:ind w:left="120" w:right="346"/>
      </w:pPr>
      <w:r>
        <w:t>The</w:t>
      </w:r>
      <w:r>
        <w:rPr>
          <w:spacing w:val="-3"/>
        </w:rPr>
        <w:t xml:space="preserve"> </w:t>
      </w:r>
      <w:r>
        <w:t>total</w:t>
      </w:r>
      <w:r>
        <w:rPr>
          <w:spacing w:val="-3"/>
        </w:rPr>
        <w:t xml:space="preserve"> </w:t>
      </w:r>
      <w:r>
        <w:t>annual</w:t>
      </w:r>
      <w:r>
        <w:rPr>
          <w:spacing w:val="-3"/>
        </w:rPr>
        <w:t xml:space="preserve"> </w:t>
      </w:r>
      <w:r>
        <w:t>burden</w:t>
      </w:r>
      <w:r>
        <w:rPr>
          <w:spacing w:val="-5"/>
        </w:rPr>
        <w:t xml:space="preserve"> </w:t>
      </w:r>
      <w:r>
        <w:t>hours</w:t>
      </w:r>
      <w:r>
        <w:rPr>
          <w:spacing w:val="-3"/>
        </w:rPr>
        <w:t xml:space="preserve"> </w:t>
      </w:r>
      <w:r>
        <w:t>increased</w:t>
      </w:r>
      <w:r>
        <w:rPr>
          <w:spacing w:val="-3"/>
        </w:rPr>
        <w:t xml:space="preserve"> </w:t>
      </w:r>
      <w:r>
        <w:t>from</w:t>
      </w:r>
      <w:r>
        <w:rPr>
          <w:spacing w:val="-3"/>
        </w:rPr>
        <w:t xml:space="preserve"> </w:t>
      </w:r>
      <w:r>
        <w:t>841,145</w:t>
      </w:r>
      <w:r>
        <w:rPr>
          <w:spacing w:val="-3"/>
        </w:rPr>
        <w:t xml:space="preserve"> </w:t>
      </w:r>
      <w:r>
        <w:t>hours</w:t>
      </w:r>
      <w:r>
        <w:rPr>
          <w:spacing w:val="-4"/>
        </w:rPr>
        <w:t xml:space="preserve"> </w:t>
      </w:r>
      <w:r>
        <w:t>to</w:t>
      </w:r>
      <w:r>
        <w:rPr>
          <w:spacing w:val="-4"/>
        </w:rPr>
        <w:t xml:space="preserve"> </w:t>
      </w:r>
      <w:r>
        <w:t>1,666,000,</w:t>
      </w:r>
      <w:r>
        <w:rPr>
          <w:spacing w:val="-4"/>
        </w:rPr>
        <w:t xml:space="preserve"> </w:t>
      </w:r>
      <w:r>
        <w:t>which</w:t>
      </w:r>
      <w:r>
        <w:rPr>
          <w:spacing w:val="-4"/>
        </w:rPr>
        <w:t xml:space="preserve"> </w:t>
      </w:r>
      <w:r>
        <w:t>is an</w:t>
      </w:r>
      <w:r>
        <w:rPr>
          <w:spacing w:val="-5"/>
        </w:rPr>
        <w:t xml:space="preserve"> </w:t>
      </w:r>
      <w:r>
        <w:t>increase of 824,855 hours. The estimated annual cost increased from $56,125,291.26 to $94,702,080, which is an increase of $38,576,788.74.</w:t>
      </w:r>
    </w:p>
    <w:p>
      <w:pPr>
        <w:pStyle w:val="BodyText"/>
      </w:pPr>
    </w:p>
    <w:p>
      <w:pPr>
        <w:pStyle w:val="ListParagraph"/>
        <w:numPr>
          <w:ilvl w:val="1"/>
          <w:numId w:val="1"/>
        </w:numPr>
        <w:tabs>
          <w:tab w:val="left" w:pos="671"/>
        </w:tabs>
        <w:spacing w:before="0" w:after="0" w:line="240" w:lineRule="auto"/>
        <w:ind w:left="671" w:right="0" w:hanging="551"/>
        <w:jc w:val="left"/>
        <w:rPr>
          <w:sz w:val="24"/>
          <w:u w:val="none"/>
        </w:rPr>
      </w:pPr>
      <w:r>
        <w:rPr>
          <w:sz w:val="24"/>
          <w:u w:val="single"/>
        </w:rPr>
        <w:t>Publication/Tabulation</w:t>
      </w:r>
      <w:r>
        <w:rPr>
          <w:spacing w:val="-13"/>
          <w:sz w:val="24"/>
          <w:u w:val="single"/>
        </w:rPr>
        <w:t xml:space="preserve"> </w:t>
      </w:r>
      <w:r>
        <w:rPr>
          <w:spacing w:val="-4"/>
          <w:sz w:val="24"/>
          <w:u w:val="single"/>
        </w:rPr>
        <w:t>Dates</w:t>
      </w:r>
    </w:p>
    <w:p>
      <w:pPr>
        <w:pStyle w:val="BodyText"/>
      </w:pPr>
    </w:p>
    <w:p>
      <w:pPr>
        <w:pStyle w:val="BodyText"/>
        <w:ind w:left="120" w:right="218"/>
      </w:pPr>
      <w:r>
        <w:t>A healthy portion of the consumer consent and eligibility application documentation we collect contains sensitive consumer personally identifiable information (PII), as well as business operations and trade information for the agencies collecting the data. The reason the data is not made</w:t>
      </w:r>
      <w:r>
        <w:rPr>
          <w:spacing w:val="-4"/>
        </w:rPr>
        <w:t xml:space="preserve"> </w:t>
      </w:r>
      <w:r>
        <w:t>public</w:t>
      </w:r>
      <w:r>
        <w:rPr>
          <w:spacing w:val="-4"/>
        </w:rPr>
        <w:t xml:space="preserve"> </w:t>
      </w:r>
      <w:r>
        <w:t>is</w:t>
      </w:r>
      <w:r>
        <w:rPr>
          <w:spacing w:val="-3"/>
        </w:rPr>
        <w:t xml:space="preserve"> </w:t>
      </w:r>
      <w:r>
        <w:t>to</w:t>
      </w:r>
      <w:r>
        <w:rPr>
          <w:spacing w:val="-3"/>
        </w:rPr>
        <w:t xml:space="preserve"> </w:t>
      </w:r>
      <w:r>
        <w:t>help</w:t>
      </w:r>
      <w:r>
        <w:rPr>
          <w:spacing w:val="-3"/>
        </w:rPr>
        <w:t xml:space="preserve"> </w:t>
      </w:r>
      <w:r>
        <w:t>mitigate</w:t>
      </w:r>
      <w:r>
        <w:rPr>
          <w:spacing w:val="-4"/>
        </w:rPr>
        <w:t xml:space="preserve"> </w:t>
      </w:r>
      <w:r>
        <w:t>the</w:t>
      </w:r>
      <w:r>
        <w:rPr>
          <w:spacing w:val="-4"/>
        </w:rPr>
        <w:t xml:space="preserve"> </w:t>
      </w:r>
      <w:r>
        <w:t>possibility</w:t>
      </w:r>
      <w:r>
        <w:rPr>
          <w:spacing w:val="-3"/>
        </w:rPr>
        <w:t xml:space="preserve"> </w:t>
      </w:r>
      <w:r>
        <w:t>of</w:t>
      </w:r>
      <w:r>
        <w:rPr>
          <w:spacing w:val="-5"/>
        </w:rPr>
        <w:t xml:space="preserve"> </w:t>
      </w:r>
      <w:r>
        <w:t>releasing</w:t>
      </w:r>
      <w:r>
        <w:rPr>
          <w:spacing w:val="-3"/>
        </w:rPr>
        <w:t xml:space="preserve"> </w:t>
      </w:r>
      <w:r>
        <w:t>consumer</w:t>
      </w:r>
      <w:r>
        <w:rPr>
          <w:spacing w:val="-3"/>
        </w:rPr>
        <w:t xml:space="preserve"> </w:t>
      </w:r>
      <w:r>
        <w:t>PII</w:t>
      </w:r>
      <w:r>
        <w:rPr>
          <w:spacing w:val="-4"/>
        </w:rPr>
        <w:t xml:space="preserve"> </w:t>
      </w:r>
      <w:r>
        <w:t>or</w:t>
      </w:r>
      <w:r>
        <w:rPr>
          <w:spacing w:val="-3"/>
        </w:rPr>
        <w:t xml:space="preserve"> </w:t>
      </w:r>
      <w:r>
        <w:t>confidential</w:t>
      </w:r>
      <w:r>
        <w:rPr>
          <w:spacing w:val="-3"/>
        </w:rPr>
        <w:t xml:space="preserve"> </w:t>
      </w:r>
      <w:r>
        <w:t>business information about the agent(s) or agencies.</w:t>
      </w:r>
    </w:p>
    <w:p>
      <w:pPr>
        <w:pStyle w:val="BodyText"/>
      </w:pPr>
    </w:p>
    <w:p>
      <w:pPr>
        <w:pStyle w:val="ListParagraph"/>
        <w:numPr>
          <w:ilvl w:val="1"/>
          <w:numId w:val="1"/>
        </w:numPr>
        <w:tabs>
          <w:tab w:val="left" w:pos="671"/>
        </w:tabs>
        <w:spacing w:before="1" w:after="0" w:line="240" w:lineRule="auto"/>
        <w:ind w:left="671" w:right="0" w:hanging="551"/>
        <w:jc w:val="left"/>
        <w:rPr>
          <w:sz w:val="24"/>
          <w:u w:val="none"/>
        </w:rPr>
      </w:pPr>
      <w:r>
        <w:rPr>
          <w:sz w:val="24"/>
          <w:u w:val="single"/>
        </w:rPr>
        <w:t>Expiration</w:t>
      </w:r>
      <w:r>
        <w:rPr>
          <w:spacing w:val="-3"/>
          <w:sz w:val="24"/>
          <w:u w:val="single"/>
        </w:rPr>
        <w:t xml:space="preserve"> </w:t>
      </w:r>
      <w:r>
        <w:rPr>
          <w:spacing w:val="-4"/>
          <w:sz w:val="24"/>
          <w:u w:val="single"/>
        </w:rPr>
        <w:t>Date</w:t>
      </w:r>
    </w:p>
    <w:p>
      <w:pPr>
        <w:pStyle w:val="BodyText"/>
        <w:spacing w:before="276"/>
        <w:ind w:left="120" w:right="346"/>
      </w:pPr>
      <w:r>
        <w:t>The</w:t>
      </w:r>
      <w:r>
        <w:rPr>
          <w:spacing w:val="-7"/>
        </w:rPr>
        <w:t xml:space="preserve"> </w:t>
      </w:r>
      <w:r>
        <w:t>expiration</w:t>
      </w:r>
      <w:r>
        <w:rPr>
          <w:spacing w:val="-13"/>
        </w:rPr>
        <w:t xml:space="preserve"> </w:t>
      </w:r>
      <w:r>
        <w:t>date</w:t>
      </w:r>
      <w:r>
        <w:rPr>
          <w:spacing w:val="-7"/>
        </w:rPr>
        <w:t xml:space="preserve"> </w:t>
      </w:r>
      <w:r>
        <w:t>and</w:t>
      </w:r>
      <w:r>
        <w:rPr>
          <w:spacing w:val="-7"/>
        </w:rPr>
        <w:t xml:space="preserve"> </w:t>
      </w:r>
      <w:r>
        <w:t>OMB</w:t>
      </w:r>
      <w:r>
        <w:rPr>
          <w:spacing w:val="-9"/>
        </w:rPr>
        <w:t xml:space="preserve"> </w:t>
      </w:r>
      <w:r>
        <w:t>control</w:t>
      </w:r>
      <w:r>
        <w:rPr>
          <w:spacing w:val="-7"/>
        </w:rPr>
        <w:t xml:space="preserve"> </w:t>
      </w:r>
      <w:r>
        <w:t>number</w:t>
      </w:r>
      <w:r>
        <w:rPr>
          <w:spacing w:val="-8"/>
        </w:rPr>
        <w:t xml:space="preserve"> </w:t>
      </w:r>
      <w:r>
        <w:t>will</w:t>
      </w:r>
      <w:r>
        <w:rPr>
          <w:spacing w:val="-7"/>
        </w:rPr>
        <w:t xml:space="preserve"> </w:t>
      </w:r>
      <w:r>
        <w:t>appear</w:t>
      </w:r>
      <w:r>
        <w:rPr>
          <w:spacing w:val="-8"/>
        </w:rPr>
        <w:t xml:space="preserve"> </w:t>
      </w:r>
      <w:r>
        <w:t>on</w:t>
      </w:r>
      <w:r>
        <w:rPr>
          <w:spacing w:val="-10"/>
        </w:rPr>
        <w:t xml:space="preserve"> </w:t>
      </w:r>
      <w:r>
        <w:t>the</w:t>
      </w:r>
      <w:r>
        <w:rPr>
          <w:spacing w:val="-7"/>
        </w:rPr>
        <w:t xml:space="preserve"> </w:t>
      </w:r>
      <w:r>
        <w:t>first</w:t>
      </w:r>
      <w:r>
        <w:rPr>
          <w:spacing w:val="-7"/>
        </w:rPr>
        <w:t xml:space="preserve"> </w:t>
      </w:r>
      <w:r>
        <w:t>page</w:t>
      </w:r>
      <w:r>
        <w:rPr>
          <w:spacing w:val="-8"/>
        </w:rPr>
        <w:t xml:space="preserve"> </w:t>
      </w:r>
      <w:r>
        <w:t>of</w:t>
      </w:r>
      <w:r>
        <w:rPr>
          <w:spacing w:val="-8"/>
        </w:rPr>
        <w:t xml:space="preserve"> </w:t>
      </w:r>
      <w:r>
        <w:t>the</w:t>
      </w:r>
      <w:r>
        <w:rPr>
          <w:spacing w:val="-6"/>
        </w:rPr>
        <w:t xml:space="preserve"> </w:t>
      </w:r>
      <w:r>
        <w:t>instrument</w:t>
      </w:r>
      <w:r>
        <w:rPr>
          <w:spacing w:val="-4"/>
        </w:rPr>
        <w:t xml:space="preserve"> </w:t>
      </w:r>
      <w:r>
        <w:t>in the top right corner.</w:t>
      </w:r>
    </w:p>
    <w:p>
      <w:pPr>
        <w:pStyle w:val="ListParagraph"/>
        <w:numPr>
          <w:ilvl w:val="1"/>
          <w:numId w:val="1"/>
        </w:numPr>
        <w:tabs>
          <w:tab w:val="left" w:pos="478"/>
        </w:tabs>
        <w:spacing w:before="227" w:after="0" w:line="240" w:lineRule="auto"/>
        <w:ind w:left="478" w:right="0" w:hanging="358"/>
        <w:jc w:val="left"/>
        <w:rPr>
          <w:sz w:val="24"/>
          <w:u w:val="none"/>
        </w:rPr>
      </w:pPr>
      <w:r>
        <w:rPr>
          <w:sz w:val="24"/>
          <w:u w:val="single"/>
        </w:rPr>
        <w:t>Certification</w:t>
      </w:r>
      <w:r>
        <w:rPr>
          <w:spacing w:val="-2"/>
          <w:sz w:val="24"/>
          <w:u w:val="single"/>
        </w:rPr>
        <w:t xml:space="preserve"> Statement</w:t>
      </w:r>
    </w:p>
    <w:p>
      <w:pPr>
        <w:pStyle w:val="BodyText"/>
        <w:spacing w:before="273"/>
        <w:ind w:left="120"/>
      </w:pPr>
      <w:r>
        <w:t>There</w:t>
      </w:r>
      <w:r>
        <w:rPr>
          <w:spacing w:val="-4"/>
        </w:rPr>
        <w:t xml:space="preserve"> </w:t>
      </w:r>
      <w:r>
        <w:t>are</w:t>
      </w:r>
      <w:r>
        <w:rPr>
          <w:spacing w:val="-3"/>
        </w:rPr>
        <w:t xml:space="preserve"> </w:t>
      </w:r>
      <w:r>
        <w:t>no</w:t>
      </w:r>
      <w:r>
        <w:rPr>
          <w:spacing w:val="-4"/>
        </w:rPr>
        <w:t xml:space="preserve"> </w:t>
      </w:r>
      <w:r>
        <w:t>exceptions</w:t>
      </w:r>
      <w:r>
        <w:rPr>
          <w:spacing w:val="-3"/>
        </w:rPr>
        <w:t xml:space="preserve"> </w:t>
      </w:r>
      <w:r>
        <w:t>to</w:t>
      </w:r>
      <w:r>
        <w:rPr>
          <w:spacing w:val="-3"/>
        </w:rPr>
        <w:t xml:space="preserve"> </w:t>
      </w:r>
      <w:r>
        <w:t>the</w:t>
      </w:r>
      <w:r>
        <w:rPr>
          <w:spacing w:val="-4"/>
        </w:rPr>
        <w:t xml:space="preserve"> </w:t>
      </w:r>
      <w:r>
        <w:t>PRA</w:t>
      </w:r>
      <w:r>
        <w:rPr>
          <w:spacing w:val="-3"/>
        </w:rPr>
        <w:t xml:space="preserve"> </w:t>
      </w:r>
      <w:r>
        <w:t>Certification</w:t>
      </w:r>
      <w:r>
        <w:rPr>
          <w:spacing w:val="-3"/>
        </w:rPr>
        <w:t xml:space="preserve"> </w:t>
      </w:r>
      <w:r>
        <w:rPr>
          <w:spacing w:val="-2"/>
        </w:rPr>
        <w:t>Statement.</w:t>
      </w:r>
    </w:p>
    <w:sectPr>
      <w:pgSz w:w="12240" w:h="15840"/>
      <w:pgMar w:top="1640" w:right="1300" w:bottom="1200" w:left="1320" w:header="0" w:footer="100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libri">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3812285</wp:posOffset>
              </wp:positionH>
              <wp:positionV relativeFrom="page">
                <wp:posOffset>9282747</wp:posOffset>
              </wp:positionV>
              <wp:extent cx="160020" cy="1651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100"/>
                      </a:xfrm>
                      <a:prstGeom prst="rect">
                        <a:avLst/>
                      </a:prstGeom>
                    </wps:spPr>
                    <wps:txbx>
                      <w:txbxContent>
                        <w:p>
                          <w:pPr>
                            <w:spacing w:before="0" w:line="244" w:lineRule="exact"/>
                            <w:ind w:left="60" w:right="0" w:firstLine="0"/>
                            <w:jc w:val="left"/>
                            <w:rPr>
                              <w:rFonts w:ascii="Calibri"/>
                              <w:sz w:val="22"/>
                            </w:rPr>
                          </w:pPr>
                          <w:r>
                            <w:rPr>
                              <w:rFonts w:ascii="Calibri"/>
                              <w:spacing w:val="-10"/>
                              <w:sz w:val="22"/>
                            </w:rPr>
                            <w:fldChar w:fldCharType="begin"/>
                          </w:r>
                          <w:r>
                            <w:rPr>
                              <w:rFonts w:ascii="Calibri"/>
                              <w:spacing w:val="-10"/>
                              <w:sz w:val="22"/>
                            </w:rPr>
                            <w:instrText xml:space="preserve">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2.6pt;height:13pt;margin-top:730.92pt;margin-left:300.18pt;mso-position-horizontal-relative:page;mso-position-vertical-relative:page;position:absolute;z-index:-251657216" filled="f" stroked="f">
              <v:textbox inset="0,0,0,0">
                <w:txbxContent>
                  <w:p>
                    <w:pPr>
                      <w:spacing w:before="0" w:line="244" w:lineRule="exact"/>
                      <w:ind w:left="60" w:right="0" w:firstLine="0"/>
                      <w:jc w:val="left"/>
                      <w:rPr>
                        <w:rFonts w:ascii="Calibri"/>
                        <w:sz w:val="22"/>
                      </w:rPr>
                    </w:pPr>
                    <w:r>
                      <w:rPr>
                        <w:rFonts w:ascii="Calibri"/>
                        <w:spacing w:val="-10"/>
                        <w:sz w:val="22"/>
                      </w:rPr>
                      <w:fldChar w:fldCharType="begin"/>
                    </w:r>
                    <w:r>
                      <w:rPr>
                        <w:rFonts w:ascii="Calibri"/>
                        <w:spacing w:val="-10"/>
                        <w:sz w:val="22"/>
                      </w:rPr>
                      <w:instrText xml:space="preserve">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F5E5A8"/>
    <w:multiLevelType w:val="hybridMultilevel"/>
    <w:tmpl w:val="00000000"/>
    <w:lvl w:ilvl="0">
      <w:start w:val="1"/>
      <w:numFmt w:val="upperLetter"/>
      <w:lvlText w:val="%1."/>
      <w:lvlJc w:val="left"/>
      <w:pPr>
        <w:ind w:left="670" w:hanging="551"/>
        <w:jc w:val="left"/>
      </w:pPr>
      <w:rPr>
        <w:rFonts w:ascii="Times New Roman" w:eastAsia="Times New Roman" w:hAnsi="Times New Roman" w:cs="Times New Roman" w:hint="default"/>
        <w:b/>
        <w:bCs/>
        <w:i w:val="0"/>
        <w:iCs w:val="0"/>
        <w:spacing w:val="-3"/>
        <w:w w:val="100"/>
        <w:sz w:val="24"/>
        <w:szCs w:val="24"/>
        <w:lang w:val="en-US" w:eastAsia="en-US" w:bidi="ar-SA"/>
      </w:rPr>
    </w:lvl>
    <w:lvl w:ilvl="1">
      <w:start w:val="1"/>
      <w:numFmt w:val="decimal"/>
      <w:lvlText w:val="%2."/>
      <w:lvlJc w:val="left"/>
      <w:pPr>
        <w:ind w:left="818" w:hanging="69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97" w:hanging="699"/>
      </w:pPr>
      <w:rPr>
        <w:rFonts w:hint="default"/>
        <w:lang w:val="en-US" w:eastAsia="en-US" w:bidi="ar-SA"/>
      </w:rPr>
    </w:lvl>
    <w:lvl w:ilvl="3">
      <w:start w:val="0"/>
      <w:numFmt w:val="bullet"/>
      <w:lvlText w:val="•"/>
      <w:lvlJc w:val="left"/>
      <w:pPr>
        <w:ind w:left="2775" w:hanging="699"/>
      </w:pPr>
      <w:rPr>
        <w:rFonts w:hint="default"/>
        <w:lang w:val="en-US" w:eastAsia="en-US" w:bidi="ar-SA"/>
      </w:rPr>
    </w:lvl>
    <w:lvl w:ilvl="4">
      <w:start w:val="0"/>
      <w:numFmt w:val="bullet"/>
      <w:lvlText w:val="•"/>
      <w:lvlJc w:val="left"/>
      <w:pPr>
        <w:ind w:left="3753" w:hanging="699"/>
      </w:pPr>
      <w:rPr>
        <w:rFonts w:hint="default"/>
        <w:lang w:val="en-US" w:eastAsia="en-US" w:bidi="ar-SA"/>
      </w:rPr>
    </w:lvl>
    <w:lvl w:ilvl="5">
      <w:start w:val="0"/>
      <w:numFmt w:val="bullet"/>
      <w:lvlText w:val="•"/>
      <w:lvlJc w:val="left"/>
      <w:pPr>
        <w:ind w:left="4731" w:hanging="699"/>
      </w:pPr>
      <w:rPr>
        <w:rFonts w:hint="default"/>
        <w:lang w:val="en-US" w:eastAsia="en-US" w:bidi="ar-SA"/>
      </w:rPr>
    </w:lvl>
    <w:lvl w:ilvl="6">
      <w:start w:val="0"/>
      <w:numFmt w:val="bullet"/>
      <w:lvlText w:val="•"/>
      <w:lvlJc w:val="left"/>
      <w:pPr>
        <w:ind w:left="5708" w:hanging="699"/>
      </w:pPr>
      <w:rPr>
        <w:rFonts w:hint="default"/>
        <w:lang w:val="en-US" w:eastAsia="en-US" w:bidi="ar-SA"/>
      </w:rPr>
    </w:lvl>
    <w:lvl w:ilvl="7">
      <w:start w:val="0"/>
      <w:numFmt w:val="bullet"/>
      <w:lvlText w:val="•"/>
      <w:lvlJc w:val="left"/>
      <w:pPr>
        <w:ind w:left="6686" w:hanging="699"/>
      </w:pPr>
      <w:rPr>
        <w:rFonts w:hint="default"/>
        <w:lang w:val="en-US" w:eastAsia="en-US" w:bidi="ar-SA"/>
      </w:rPr>
    </w:lvl>
    <w:lvl w:ilvl="8">
      <w:start w:val="0"/>
      <w:numFmt w:val="bullet"/>
      <w:lvlText w:val="•"/>
      <w:lvlJc w:val="left"/>
      <w:pPr>
        <w:ind w:left="7664" w:hanging="69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ind w:left="120"/>
      <w:outlineLvl w:val="1"/>
    </w:pPr>
    <w:rPr>
      <w:rFonts w:ascii="Times New Roman" w:eastAsia="Times New Roman" w:hAnsi="Times New Roman" w:cs="Times New Roman"/>
      <w:b/>
      <w:bCs/>
      <w:sz w:val="24"/>
      <w:szCs w:val="24"/>
      <w:lang w:val="en-US" w:eastAsia="en-US" w:bidi="ar-SA"/>
    </w:rPr>
  </w:style>
  <w:style w:type="paragraph" w:styleId="Title">
    <w:name w:val="Title"/>
    <w:basedOn w:val="Normal"/>
    <w:uiPriority w:val="1"/>
    <w:qFormat/>
    <w:pPr>
      <w:spacing w:before="60"/>
      <w:ind w:left="1936" w:right="544" w:hanging="1469"/>
    </w:pPr>
    <w:rPr>
      <w:rFonts w:ascii="Times New Roman" w:eastAsia="Times New Roman" w:hAnsi="Times New Roman" w:cs="Times New Roman"/>
      <w:b/>
      <w:bCs/>
      <w:sz w:val="28"/>
      <w:szCs w:val="28"/>
      <w:lang w:val="en-US" w:eastAsia="en-US" w:bidi="ar-SA"/>
    </w:rPr>
  </w:style>
  <w:style w:type="paragraph" w:styleId="ListParagraph">
    <w:name w:val="List Paragraph"/>
    <w:basedOn w:val="Normal"/>
    <w:uiPriority w:val="1"/>
    <w:qFormat/>
    <w:pPr>
      <w:ind w:left="818" w:hanging="698"/>
    </w:pPr>
    <w:rPr>
      <w:rFonts w:ascii="Times New Roman" w:eastAsia="Times New Roman" w:hAnsi="Times New Roman" w:cs="Times New Roman"/>
      <w:u w:val="single" w:color="000000"/>
      <w:lang w:val="en-US" w:eastAsia="en-US" w:bidi="ar-SA"/>
    </w:rPr>
  </w:style>
  <w:style w:type="paragraph" w:customStyle="1" w:styleId="TableParagraph">
    <w:name w:val="Table Paragraph"/>
    <w:basedOn w:val="Normal"/>
    <w:uiPriority w:val="1"/>
    <w:qFormat/>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bls.gov/oes/current/oes_stru.htm" TargetMode="External" /><Relationship Id="rId6" Type="http://schemas.openxmlformats.org/officeDocument/2006/relationships/hyperlink" Target="https://www.opm.gov/policy-data-oversight/pay-leave/salaries-wages/salary-tables/24Tables/html/DCB_h.asp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Agent/Broker Consent Information Collection</dc:title>
  <dc:subject>Supporting Statement for Agent/Broker Consent Information Collection (CMS-XXXXX/OMB control number: 0938-XXXX)</dc:subject>
  <dc:creator>Centers for Medicare &amp; Medicaid Services (CMS)</dc:creator>
  <cp:keywords>Patient Protection and Affordable Care Act; qualified health plan; QHP; Affordable Insurance Exchanges; Department of Health and Human Services; HHS;</cp:keywords>
  <cp:revision>0</cp:revision>
  <dcterms:created xsi:type="dcterms:W3CDTF">2024-12-10T22:37:24Z</dcterms:created>
  <dcterms:modified xsi:type="dcterms:W3CDTF">2024-12-10T22:37:24Z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0x010100965FC27B0ED77545992A3C5070BA4731</vt:lpwstr>
  </property>
  <property fmtid="{D5CDD505-2E9C-101B-9397-08002B2CF9AE}" pid="3" name="Created">
    <vt:filetime>2024-09-23T00:00:00Z</vt:filetime>
  </property>
  <property fmtid="{D5CDD505-2E9C-101B-9397-08002B2CF9AE}" pid="4" name="Creator">
    <vt:lpwstr>Acrobat PDFMaker 24 for Word</vt:lpwstr>
  </property>
  <property fmtid="{D5CDD505-2E9C-101B-9397-08002B2CF9AE}" pid="5" name="LastSaved">
    <vt:filetime>2024-12-10T00:00:00Z</vt:filetime>
  </property>
  <property fmtid="{D5CDD505-2E9C-101B-9397-08002B2CF9AE}" pid="6" name="Producer">
    <vt:lpwstr>Adobe PDF Library 24.3.144</vt:lpwstr>
  </property>
  <property fmtid="{D5CDD505-2E9C-101B-9397-08002B2CF9AE}" pid="7" name="SourceModified">
    <vt:lpwstr>D:20221107163808</vt:lpwstr>
  </property>
  <property fmtid="{D5CDD505-2E9C-101B-9397-08002B2CF9AE}" pid="8" name="_dlc_DocId">
    <vt:lpwstr>QSXZK4DW25JC-1146626974-3915</vt:lpwstr>
  </property>
  <property fmtid="{D5CDD505-2E9C-101B-9397-08002B2CF9AE}" pid="9" name="_dlc_DocIdItemGuid">
    <vt:lpwstr>d91aa984-313f-43be-9f1d-e9fd4fbebe18</vt:lpwstr>
  </property>
  <property fmtid="{D5CDD505-2E9C-101B-9397-08002B2CF9AE}" pid="10" name="_dlc_DocIdUrl">
    <vt:lpwstr>https://share.cms.gov/center/cciio/MPMG/_layouts/15/DocIdRedir.aspx?ID=QSXZK4DW25JC-1146626974-3915, QSXZK4DW25JC-1146626974-3915</vt:lpwstr>
  </property>
  <property fmtid="{D5CDD505-2E9C-101B-9397-08002B2CF9AE}" pid="11" name="_NewReviewCycle">
    <vt:lpwstr/>
  </property>
</Properties>
</file>