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EEF" w:rsidRPr="006A3C80" w:rsidP="1511AE46" w14:paraId="1BFF0392" w14:textId="245CB35C">
      <w:pPr>
        <w:pStyle w:val="Heading1"/>
        <w:rPr>
          <w:rFonts w:eastAsiaTheme="majorEastAsia"/>
          <w:b w:val="0"/>
          <w:bCs/>
        </w:rPr>
      </w:pPr>
      <w:r w:rsidRPr="006A3C80">
        <w:rPr>
          <w:b w:val="0"/>
          <w:bCs/>
        </w:rPr>
        <w:t>Supporting Statement – Part A</w:t>
      </w:r>
      <w:r w:rsidRPr="006A3C80">
        <w:rPr>
          <w:b w:val="0"/>
          <w:bCs/>
        </w:rPr>
        <w:br/>
      </w:r>
      <w:r w:rsidRPr="006A3C80" w:rsidR="0092438B">
        <w:rPr>
          <w:rFonts w:eastAsiaTheme="majorEastAsia"/>
          <w:b w:val="0"/>
          <w:bCs/>
        </w:rPr>
        <w:t>Quality Payment Program</w:t>
      </w:r>
      <w:r w:rsidRPr="006A3C80" w:rsidR="00FB65CB">
        <w:rPr>
          <w:rFonts w:eastAsiaTheme="majorEastAsia"/>
          <w:b w:val="0"/>
          <w:bCs/>
        </w:rPr>
        <w:t xml:space="preserve"> (QPP)</w:t>
      </w:r>
      <w:r w:rsidRPr="006A3C80" w:rsidR="0092438B">
        <w:rPr>
          <w:rFonts w:eastAsiaTheme="majorEastAsia"/>
          <w:b w:val="0"/>
          <w:bCs/>
        </w:rPr>
        <w:t>/Merit-Based Incentive Payment System (MIPS)</w:t>
      </w:r>
      <w:r w:rsidRPr="006A3C80">
        <w:rPr>
          <w:b w:val="0"/>
          <w:bCs/>
        </w:rPr>
        <w:br/>
      </w:r>
      <w:r w:rsidRPr="006A3C80" w:rsidR="00DD0912">
        <w:rPr>
          <w:rFonts w:eastAsiaTheme="majorEastAsia"/>
          <w:b w:val="0"/>
          <w:bCs/>
        </w:rPr>
        <w:t>(</w:t>
      </w:r>
      <w:r w:rsidRPr="006A3C80" w:rsidR="0092438B">
        <w:rPr>
          <w:rFonts w:eastAsiaTheme="majorEastAsia"/>
          <w:b w:val="0"/>
          <w:bCs/>
        </w:rPr>
        <w:t>CMS-10621</w:t>
      </w:r>
      <w:r w:rsidRPr="006A3C80" w:rsidR="00DD0912">
        <w:rPr>
          <w:rFonts w:eastAsiaTheme="majorEastAsia"/>
          <w:b w:val="0"/>
          <w:bCs/>
        </w:rPr>
        <w:t>/</w:t>
      </w:r>
      <w:r w:rsidRPr="006A3C80" w:rsidR="0092438B">
        <w:rPr>
          <w:rFonts w:eastAsiaTheme="majorEastAsia"/>
          <w:b w:val="0"/>
          <w:bCs/>
        </w:rPr>
        <w:t>O</w:t>
      </w:r>
      <w:r w:rsidRPr="006A3C80" w:rsidR="004305FE">
        <w:rPr>
          <w:rFonts w:eastAsiaTheme="majorEastAsia"/>
          <w:b w:val="0"/>
          <w:bCs/>
        </w:rPr>
        <w:t>MB</w:t>
      </w:r>
      <w:r w:rsidRPr="006A3C80" w:rsidR="00DD0912">
        <w:rPr>
          <w:rFonts w:eastAsiaTheme="majorEastAsia"/>
          <w:b w:val="0"/>
          <w:bCs/>
        </w:rPr>
        <w:t xml:space="preserve"> control number:</w:t>
      </w:r>
      <w:r w:rsidRPr="006A3C80" w:rsidR="0092438B">
        <w:rPr>
          <w:rFonts w:eastAsiaTheme="majorEastAsia"/>
          <w:b w:val="0"/>
          <w:bCs/>
        </w:rPr>
        <w:t xml:space="preserve"> 0938-1314</w:t>
      </w:r>
      <w:r w:rsidRPr="006A3C80" w:rsidR="00DD0912">
        <w:rPr>
          <w:rFonts w:eastAsiaTheme="majorEastAsia"/>
          <w:b w:val="0"/>
          <w:bCs/>
        </w:rPr>
        <w:t>)</w:t>
      </w:r>
    </w:p>
    <w:p w:rsidR="00D26EEF" w:rsidRPr="00F7155F" w:rsidP="004F1175" w14:paraId="2138BB2D" w14:textId="0D726627">
      <w:pPr>
        <w:pStyle w:val="Heading2"/>
      </w:pPr>
      <w:r>
        <w:t>Background</w:t>
      </w:r>
    </w:p>
    <w:p w:rsidR="004034AB" w:rsidRPr="009742DD" w:rsidP="006E6DEB" w14:paraId="2591BF39" w14:textId="335B9305">
      <w:pPr>
        <w:pStyle w:val="BodyText-PostHead"/>
        <w:spacing w:before="240"/>
      </w:pPr>
      <w:r>
        <w:t>Authorized by the Medicare Access and CHIP Reauthorization Act of 2015 (MACRA) (</w:t>
      </w:r>
      <w:r w:rsidR="00B172AB">
        <w:t>Pub. L. 114-10</w:t>
      </w:r>
      <w:r>
        <w:t>, April 16, 2015), the Quality Payment Program is a value-based payment program, by which the Medicare program rewards clinicians who provide high-value, high-quality care to their patients in a cost-efficient manner. There are two ways for clinicians who provide services under the Medicare program to participate in the Quality Payment Program: MIPS and Advanced APMs. The statutory requirements for the Quality Payment Program are set forth in section 1848(q) and (r) of the Act for MIPS and section 1833(z) of the Act for Advanced APMs.</w:t>
      </w:r>
    </w:p>
    <w:p w:rsidR="005B4F15" w:rsidP="006E6DEB" w14:paraId="3E65C705" w14:textId="25E6A206">
      <w:pPr>
        <w:pStyle w:val="BodyText-PostHead"/>
        <w:spacing w:before="240"/>
      </w:pPr>
      <w:r>
        <w:t>For the MIPS participation track, MIPS eligible clinicians (defined in § 414.1305) are subject to a MIPS payment adjustment (positive, negative, or neutral) based on their performance in four performance categories: cost, quality, improvement activities, and Promoting Interoperability. CMS applies the MIPS payment adjustment factor to amounts otherwise paid under Part B with respect to covered professional services for the MIPS eligible clinician for the applicable MIPS payment year.</w:t>
      </w:r>
    </w:p>
    <w:p w:rsidR="00E167F8" w:rsidRPr="005B4F15" w:rsidP="006E6DEB" w14:paraId="511C99F7" w14:textId="244CA174">
      <w:pPr>
        <w:pStyle w:val="BodyText-PostHead"/>
        <w:spacing w:before="240"/>
      </w:pPr>
      <w:r>
        <w:t>For the Advanced APM track, if an eligible clinician participates in an Advanced APM and achieves Qualifying APM Participant (QP) or Partial QP status, they are excluded from the MIPS reporting requirements and payment adjustment (though eligible clinicians who are Partial QPs may elect to be subject to the MIPS reporting requirements and payment adjustment). Eligible clinicians who are QPs for the CY 2024 performance year receive a 1.88 percent APM Incentive Payment in the 2026 payment year. Beginning with the CY 2024 performance year (payment year 2026), QPs will also receive a higher PFS payment rate (calculated using the differentially higher “qualifying APM conversion factor”) than non-QPs. QPs will continue to be excluded from MIPS reporting and payment adjustments for the applicable year.</w:t>
      </w:r>
    </w:p>
    <w:p w:rsidR="00092C2E" w:rsidP="00F7155F" w14:paraId="16CA6E7B" w14:textId="55F258D8">
      <w:pPr>
        <w:pStyle w:val="BodyText"/>
      </w:pPr>
      <w:r w:rsidRPr="00222D1B">
        <w:t xml:space="preserve">APM Entities </w:t>
      </w:r>
      <w:r w:rsidR="005030FD">
        <w:t>and</w:t>
      </w:r>
      <w:r w:rsidRPr="00222D1B">
        <w:t xml:space="preserve"> eligible clinicians must </w:t>
      </w:r>
      <w:r w:rsidR="004B5C34">
        <w:t xml:space="preserve">also </w:t>
      </w:r>
      <w:r w:rsidRPr="00222D1B">
        <w:t xml:space="preserve">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w:t>
      </w:r>
      <w:r w:rsidR="005A5AD1">
        <w:t>two</w:t>
      </w:r>
      <w:r w:rsidRPr="00222D1B" w:rsidR="005A5AD1">
        <w:t xml:space="preserve"> </w:t>
      </w:r>
      <w:r w:rsidRPr="00222D1B">
        <w:t>years prior to the payment year</w:t>
      </w:r>
      <w:r>
        <w:t xml:space="preserve">, </w:t>
      </w:r>
      <w:r w:rsidRPr="00C47150">
        <w:t xml:space="preserve">which we refer to as the QP Determination Submission Deadline (82 FR 53886).  </w:t>
      </w:r>
    </w:p>
    <w:p w:rsidR="006E6409" w:rsidRPr="00623C5B" w:rsidP="00FD5E20" w14:paraId="029FD55F" w14:textId="4BB4D719">
      <w:pPr>
        <w:pStyle w:val="BodyText"/>
        <w:rPr>
          <w:i/>
          <w:iCs/>
        </w:rPr>
      </w:pPr>
      <w:r w:rsidRPr="00623C5B">
        <w:rPr>
          <w:i/>
          <w:iCs/>
        </w:rPr>
        <w:t>Summary of Changes</w:t>
      </w:r>
    </w:p>
    <w:p w:rsidR="00FD5E20" w:rsidRPr="00623C5B" w:rsidP="00FD5E20" w14:paraId="01901E9B" w14:textId="48C95B67">
      <w:pPr>
        <w:pStyle w:val="BodyText"/>
      </w:pPr>
      <w:r w:rsidRPr="00623C5B">
        <w:t>For the CY</w:t>
      </w:r>
      <w:r w:rsidRPr="00623C5B">
        <w:t xml:space="preserve"> 2025</w:t>
      </w:r>
      <w:r w:rsidRPr="00623C5B">
        <w:t xml:space="preserve"> performance period/2027 MIPS payment year</w:t>
      </w:r>
      <w:r w:rsidRPr="00623C5B">
        <w:t>, MIPS eligible clinicians could participate in MIPS as an individual, a group, a virtual group, an APM Entity</w:t>
      </w:r>
      <w:r w:rsidRPr="00623C5B" w:rsidR="474756D1">
        <w:t>, or a subgroup</w:t>
      </w:r>
      <w:r w:rsidRPr="00623C5B" w:rsidR="6F8B1B7E">
        <w:t xml:space="preserve"> as available for each reporting option</w:t>
      </w:r>
      <w:r w:rsidRPr="00623C5B">
        <w:t xml:space="preserve">. There are three MIPS reporting options available to MIPS eligible clinicians to meet MIPS reporting requirements: </w:t>
      </w:r>
    </w:p>
    <w:p w:rsidR="00FD5E20" w:rsidRPr="00623C5B" w:rsidP="006E6DEB" w14:paraId="10F2E146" w14:textId="7DF22C8C">
      <w:pPr>
        <w:pStyle w:val="Bullet1"/>
      </w:pPr>
      <w:r w:rsidRPr="00623C5B">
        <w:t>Traditional MIPS</w:t>
      </w:r>
      <w:r w:rsidRPr="00623C5B">
        <w:t xml:space="preserve">, established in the first year of QPP. Participants select quality measures and improvement activities from the available measures and activities finalized for MIPS each year. Participants complete the Promoting Interoperability measure set. </w:t>
      </w:r>
      <w:r w:rsidRPr="00623C5B">
        <w:t>CMS collect</w:t>
      </w:r>
      <w:r w:rsidRPr="00623C5B" w:rsidR="7CEC7837">
        <w:t>s</w:t>
      </w:r>
      <w:r w:rsidRPr="00623C5B">
        <w:t xml:space="preserve"> and calculate</w:t>
      </w:r>
      <w:r w:rsidRPr="00623C5B" w:rsidR="76E2D976">
        <w:t>s</w:t>
      </w:r>
      <w:r w:rsidRPr="00623C5B">
        <w:t xml:space="preserve"> data for the cost performance category on behalf of participants.</w:t>
      </w:r>
    </w:p>
    <w:p w:rsidR="00FD5E20" w:rsidRPr="00623C5B" w:rsidP="006E6DEB" w14:paraId="50B9006A" w14:textId="311AEF88">
      <w:pPr>
        <w:pStyle w:val="Bullet1"/>
      </w:pPr>
      <w:r w:rsidRPr="00623C5B">
        <w:t>The </w:t>
      </w:r>
      <w:r w:rsidRPr="00623C5B" w:rsidR="00C873B6">
        <w:t>APM Performance Pathway</w:t>
      </w:r>
      <w:r w:rsidRPr="00623C5B">
        <w:t> (APP) is a streamlined reporting option for clinicians who participate in a MIPS APM. Participants report a predetermined measure set made up of quality measures in addition to the complete Promoting Interoperability measure set. MIPS APM participants currently receive full credit in the improvement activities performance category, though this is evaluated on an annual basis.</w:t>
      </w:r>
    </w:p>
    <w:p w:rsidR="00FD5E20" w:rsidRPr="00623C5B" w:rsidP="006E6DEB" w14:paraId="106F1500" w14:textId="6A21AFCC">
      <w:pPr>
        <w:pStyle w:val="Bullet1"/>
        <w:rPr>
          <w:rFonts w:eastAsia="Calibri"/>
        </w:rPr>
      </w:pPr>
      <w:r w:rsidRPr="00623C5B">
        <w:t>MIPS Value Pathways</w:t>
      </w:r>
      <w:r w:rsidRPr="00623C5B">
        <w:t> (MVPs) are the newest reporting option that offers clinicians a subset of measures and activities relevant to a specialty or medical condition. Participants select, collect, and report on a reduced number of quality measures and improvement activities (as compared to traditional MIPS). Participants report the complete Promoting Interoperability measure set. CMS collects and calculates data for the cost performance category and population health measures on behalf of participants.</w:t>
      </w:r>
      <w:r w:rsidRPr="00623C5B">
        <w:rPr>
          <w:rFonts w:eastAsia="Calibri"/>
        </w:rPr>
        <w:t xml:space="preserve"> Beginning with the CY 2023 performance period/2025 MIPS payment year, clinicians can choose to participate as subgroups to report the measures and activities in an MVP.</w:t>
      </w:r>
    </w:p>
    <w:p w:rsidR="004D6029" w:rsidRPr="00623C5B" w:rsidP="00F7155F" w14:paraId="703668FE" w14:textId="40AA8373">
      <w:pPr>
        <w:pStyle w:val="BodyText"/>
      </w:pPr>
      <w:r w:rsidRPr="00623C5B">
        <w:t>We finalized in the CY 2022 P</w:t>
      </w:r>
      <w:r w:rsidRPr="00623C5B" w:rsidR="00A50511">
        <w:t xml:space="preserve">hysician </w:t>
      </w:r>
      <w:r w:rsidRPr="00623C5B">
        <w:t>F</w:t>
      </w:r>
      <w:r w:rsidRPr="00623C5B" w:rsidR="00A50511">
        <w:t xml:space="preserve">ee </w:t>
      </w:r>
      <w:r w:rsidRPr="00623C5B">
        <w:t>S</w:t>
      </w:r>
      <w:r w:rsidRPr="00623C5B" w:rsidR="00A50511">
        <w:t>chedule (PFS)</w:t>
      </w:r>
      <w:r w:rsidRPr="00623C5B">
        <w:t xml:space="preserve"> final rule that a subgroup</w:t>
      </w:r>
      <w:r w:rsidRPr="00623C5B" w:rsidR="000F486D">
        <w:t xml:space="preserve"> participating</w:t>
      </w:r>
      <w:r w:rsidRPr="00623C5B">
        <w:t xml:space="preserve"> in </w:t>
      </w:r>
      <w:r w:rsidRPr="00623C5B" w:rsidR="009966BC">
        <w:t xml:space="preserve">MIPS Value Pathways </w:t>
      </w:r>
      <w:r w:rsidRPr="00623C5B" w:rsidR="0009616E">
        <w:t>(</w:t>
      </w:r>
      <w:r w:rsidRPr="00623C5B">
        <w:t>MVP</w:t>
      </w:r>
      <w:r w:rsidRPr="00623C5B" w:rsidR="0009616E">
        <w:t>s)</w:t>
      </w:r>
      <w:r w:rsidRPr="00623C5B">
        <w:t xml:space="preserve"> </w:t>
      </w:r>
      <w:r w:rsidRPr="00623C5B" w:rsidR="000F486D">
        <w:t xml:space="preserve">reporting </w:t>
      </w:r>
      <w:r w:rsidRPr="00623C5B">
        <w:t>will submit its affiliated group’s data for the Promoting Interoperability performance category</w:t>
      </w:r>
      <w:r w:rsidRPr="00623C5B" w:rsidR="00CE620C">
        <w:t>,</w:t>
      </w:r>
      <w:r w:rsidRPr="00623C5B">
        <w:t xml:space="preserve"> and in the scenario that a subgroup does not submit its affiliated group’s data, the subgroup will receive a zero score for the Promoting Interoperability performance category (86 FR 65413 </w:t>
      </w:r>
      <w:r w:rsidRPr="00623C5B" w:rsidR="00FE499E">
        <w:t xml:space="preserve">and </w:t>
      </w:r>
      <w:r w:rsidRPr="00623C5B">
        <w:t>65414).</w:t>
      </w:r>
      <w:r w:rsidRPr="00623C5B" w:rsidR="00932035">
        <w:t xml:space="preserve"> </w:t>
      </w:r>
      <w:r w:rsidRPr="00623C5B" w:rsidR="0073649F">
        <w:t>In our December 9, 2024 (89 FR 97710) CY 2025 PFS final rule (CMS-1807-F, RIN 0938–AV33)</w:t>
      </w:r>
      <w:r w:rsidRPr="00623C5B" w:rsidR="00026F17">
        <w:t>, w</w:t>
      </w:r>
      <w:r w:rsidRPr="00623C5B" w:rsidR="00146C82">
        <w:rPr>
          <w:color w:val="000000" w:themeColor="text1"/>
        </w:rPr>
        <w:t xml:space="preserve">e </w:t>
      </w:r>
      <w:r w:rsidRPr="00623C5B" w:rsidR="00467F08">
        <w:rPr>
          <w:color w:val="000000" w:themeColor="text1"/>
        </w:rPr>
        <w:t xml:space="preserve">finalized </w:t>
      </w:r>
      <w:r w:rsidRPr="00623C5B" w:rsidR="00146C82">
        <w:rPr>
          <w:color w:val="000000" w:themeColor="text1"/>
        </w:rPr>
        <w:t xml:space="preserve">to apply </w:t>
      </w:r>
      <w:r w:rsidRPr="00623C5B" w:rsidR="00315AF3">
        <w:rPr>
          <w:color w:val="000000" w:themeColor="text1"/>
        </w:rPr>
        <w:t xml:space="preserve">this policy for the </w:t>
      </w:r>
      <w:r w:rsidRPr="00623C5B" w:rsidR="00146C82">
        <w:rPr>
          <w:color w:val="000000" w:themeColor="text1"/>
        </w:rPr>
        <w:t xml:space="preserve">CY </w:t>
      </w:r>
      <w:r w:rsidRPr="00623C5B" w:rsidR="00315AF3">
        <w:rPr>
          <w:color w:val="000000" w:themeColor="text1"/>
        </w:rPr>
        <w:t xml:space="preserve">2025 </w:t>
      </w:r>
      <w:r w:rsidRPr="00623C5B" w:rsidR="00146C82">
        <w:rPr>
          <w:color w:val="000000" w:themeColor="text1"/>
        </w:rPr>
        <w:t>performance period/ 202</w:t>
      </w:r>
      <w:r w:rsidRPr="00623C5B" w:rsidR="00315AF3">
        <w:rPr>
          <w:color w:val="000000" w:themeColor="text1"/>
        </w:rPr>
        <w:t>7</w:t>
      </w:r>
      <w:r w:rsidRPr="00623C5B" w:rsidR="00146C82">
        <w:rPr>
          <w:color w:val="000000" w:themeColor="text1"/>
        </w:rPr>
        <w:t xml:space="preserve"> MIPS payment year</w:t>
      </w:r>
      <w:r w:rsidRPr="00623C5B" w:rsidR="00315AF3">
        <w:rPr>
          <w:color w:val="000000" w:themeColor="text1"/>
        </w:rPr>
        <w:t xml:space="preserve"> and beyond</w:t>
      </w:r>
      <w:r w:rsidRPr="00623C5B" w:rsidR="00156E6F">
        <w:rPr>
          <w:color w:val="000000" w:themeColor="text1"/>
        </w:rPr>
        <w:t xml:space="preserve">. </w:t>
      </w:r>
    </w:p>
    <w:p w:rsidR="00053F1B" w:rsidRPr="00623C5B" w:rsidP="00F7155F" w14:paraId="31072F0B" w14:textId="13B4EDB0">
      <w:pPr>
        <w:pStyle w:val="BodyText"/>
      </w:pPr>
      <w:r w:rsidRPr="00623C5B">
        <w:t>As finalized in the CY 2021 PFS final rule</w:t>
      </w:r>
      <w:r w:rsidRPr="00623C5B" w:rsidR="00362371">
        <w:t xml:space="preserve"> (85 FR 84860)</w:t>
      </w:r>
      <w:r w:rsidRPr="00623C5B">
        <w:t xml:space="preserve">, </w:t>
      </w:r>
      <w:r w:rsidRPr="00623C5B" w:rsidR="009F3A58">
        <w:rPr>
          <w:rFonts w:eastAsia="Calibri"/>
        </w:rPr>
        <w:t xml:space="preserve">for clinicians in APM Entities, the </w:t>
      </w:r>
      <w:r w:rsidRPr="00623C5B" w:rsidR="003031FF">
        <w:rPr>
          <w:rFonts w:eastAsia="Calibri"/>
        </w:rPr>
        <w:t xml:space="preserve">APP </w:t>
      </w:r>
      <w:r w:rsidRPr="00623C5B">
        <w:rPr>
          <w:rFonts w:eastAsia="Calibri"/>
        </w:rPr>
        <w:t xml:space="preserve">will be available </w:t>
      </w:r>
      <w:r w:rsidRPr="00623C5B" w:rsidR="009F3A58">
        <w:rPr>
          <w:rFonts w:eastAsia="Calibri"/>
        </w:rPr>
        <w:t>for both ACO</w:t>
      </w:r>
      <w:r w:rsidRPr="00623C5B" w:rsidR="003D0BD2">
        <w:rPr>
          <w:rFonts w:eastAsia="Calibri"/>
        </w:rPr>
        <w:t>s</w:t>
      </w:r>
      <w:r w:rsidRPr="00623C5B" w:rsidR="009F3A58">
        <w:rPr>
          <w:rFonts w:eastAsia="Calibri"/>
        </w:rPr>
        <w:t xml:space="preserve"> and non</w:t>
      </w:r>
      <w:r w:rsidRPr="00623C5B" w:rsidR="00C70A18">
        <w:rPr>
          <w:rFonts w:eastAsia="Calibri"/>
        </w:rPr>
        <w:t>-</w:t>
      </w:r>
      <w:r w:rsidRPr="00623C5B" w:rsidR="009F3A58">
        <w:rPr>
          <w:rFonts w:eastAsia="Calibri"/>
        </w:rPr>
        <w:t xml:space="preserve">ACOs to submit quality data. </w:t>
      </w:r>
      <w:r w:rsidRPr="00623C5B" w:rsidR="5C2D7476">
        <w:t xml:space="preserve">In </w:t>
      </w:r>
      <w:r w:rsidRPr="00623C5B" w:rsidR="002154C5">
        <w:t xml:space="preserve">our CY </w:t>
      </w:r>
      <w:r w:rsidRPr="00623C5B" w:rsidR="5C2D7476">
        <w:t xml:space="preserve">2025 PFS </w:t>
      </w:r>
      <w:r w:rsidRPr="00623C5B" w:rsidR="002069EC">
        <w:t xml:space="preserve">final </w:t>
      </w:r>
      <w:r w:rsidRPr="00623C5B" w:rsidR="5C2D7476">
        <w:t xml:space="preserve">rule, we </w:t>
      </w:r>
      <w:r w:rsidRPr="00623C5B" w:rsidR="002B3084">
        <w:t xml:space="preserve">finalized </w:t>
      </w:r>
      <w:r w:rsidRPr="00623C5B" w:rsidR="5C2D7476">
        <w:t xml:space="preserve">to create the APP Plus quality measure set that would allow for alignment of the APP with the </w:t>
      </w:r>
      <w:r w:rsidRPr="00623C5B" w:rsidR="005B1411">
        <w:t xml:space="preserve">Adult </w:t>
      </w:r>
      <w:r w:rsidRPr="00623C5B" w:rsidR="5C2D7476">
        <w:t xml:space="preserve">Universal Foundation measures. </w:t>
      </w:r>
      <w:r w:rsidRPr="00623C5B" w:rsidR="00A92017">
        <w:t>We did not modify the existing APP quality measure set; instead, we finaliz</w:t>
      </w:r>
      <w:r w:rsidRPr="00623C5B" w:rsidR="00FA5364">
        <w:t>ed</w:t>
      </w:r>
      <w:r w:rsidRPr="00623C5B" w:rsidR="00A92017">
        <w:t xml:space="preserve"> our proposal to create the APP Plus quality measure set that will be optional for MIPS eligible clinicians, groups, and APM Entities (not including Medicare Shared Savings Program ACOs) meeting the reporting requirements under the APP starting with the CY 2025 performance period/2027 MIPS payment year</w:t>
      </w:r>
      <w:r w:rsidRPr="00623C5B" w:rsidR="00014177">
        <w:t xml:space="preserve">. </w:t>
      </w:r>
      <w:r w:rsidRPr="00623C5B" w:rsidR="00CB0747">
        <w:rPr>
          <w:rFonts w:eastAsia="Calibri"/>
        </w:rPr>
        <w:t xml:space="preserve">However, Medicare Shared Savings Program ACOs will be required to report the APP Plus quality measure set to meet the reporting requirements of the Medicare Shared Savings Program’s quality performance standard. </w:t>
      </w:r>
      <w:r w:rsidRPr="00623C5B" w:rsidR="00CB0747">
        <w:t>As finalized</w:t>
      </w:r>
      <w:r w:rsidRPr="00623C5B" w:rsidR="00014177">
        <w:t>, each MIPS eligible clinician, group, or APM Entity that elects to report the APP may choose to report either the APP quality measure set or the APP Plus quality measure set.</w:t>
      </w:r>
      <w:r w:rsidRPr="00623C5B" w:rsidR="5C2D7476">
        <w:t xml:space="preserve"> MIPS APM participants may also elect to report via traditional MIPS or MVPs.</w:t>
      </w:r>
      <w:r w:rsidRPr="00623C5B" w:rsidR="00227FB1">
        <w:t xml:space="preserve"> </w:t>
      </w:r>
      <w:r w:rsidRPr="00623C5B" w:rsidR="00EE55F5">
        <w:t xml:space="preserve">In </w:t>
      </w:r>
      <w:r w:rsidRPr="00623C5B" w:rsidR="009E6890">
        <w:t xml:space="preserve">our </w:t>
      </w:r>
      <w:r w:rsidRPr="00623C5B" w:rsidR="00EE55F5">
        <w:t xml:space="preserve">CY 2025 PFS final </w:t>
      </w:r>
      <w:r w:rsidRPr="00623C5B" w:rsidR="005478D4">
        <w:t>rule</w:t>
      </w:r>
      <w:r w:rsidRPr="00623C5B" w:rsidR="00EE55F5">
        <w:t xml:space="preserve"> </w:t>
      </w:r>
      <w:r w:rsidRPr="00623C5B" w:rsidR="009E6890">
        <w:t>w</w:t>
      </w:r>
      <w:r w:rsidRPr="00623C5B" w:rsidR="00227FB1">
        <w:t>e fina</w:t>
      </w:r>
      <w:r w:rsidRPr="00623C5B" w:rsidR="00EE55F5">
        <w:t>lized</w:t>
      </w:r>
      <w:r w:rsidRPr="00623C5B" w:rsidR="00227FB1">
        <w:t xml:space="preserve">, with modification, the APP Plus quality measure set, which will include six measures beginning with CY 2025 performance period/2027 MIPS payment year. Five new quality measures within the APP Plus quality measure set will </w:t>
      </w:r>
      <w:r w:rsidRPr="00623C5B" w:rsidR="006028EB">
        <w:t>be added</w:t>
      </w:r>
      <w:r w:rsidRPr="00623C5B" w:rsidR="00227FB1">
        <w:t xml:space="preserve"> incrementally over several performance periods/MIPS payment years.</w:t>
      </w:r>
    </w:p>
    <w:p w:rsidR="00053F1B" w:rsidRPr="00623C5B" w:rsidP="00F7155F" w14:paraId="7834D56F" w14:textId="58E13EF0">
      <w:pPr>
        <w:pStyle w:val="BodyText"/>
        <w:rPr>
          <w:rFonts w:eastAsia="Calibri"/>
        </w:rPr>
      </w:pPr>
      <w:r w:rsidRPr="00623C5B">
        <w:rPr>
          <w:rFonts w:eastAsia="Calibri"/>
        </w:rPr>
        <w:t xml:space="preserve">Due to data limitations and our inability to determine who would use the </w:t>
      </w:r>
      <w:r w:rsidRPr="00623C5B" w:rsidR="003031FF">
        <w:rPr>
          <w:rFonts w:eastAsia="Calibri"/>
        </w:rPr>
        <w:t>APP</w:t>
      </w:r>
      <w:r w:rsidRPr="00623C5B">
        <w:rPr>
          <w:rFonts w:eastAsia="Calibri"/>
        </w:rPr>
        <w:t xml:space="preserve"> versus the traditional MIPS </w:t>
      </w:r>
      <w:r w:rsidRPr="00623C5B" w:rsidR="2CE1D9AF">
        <w:rPr>
          <w:rFonts w:eastAsia="Calibri"/>
        </w:rPr>
        <w:t xml:space="preserve">or MVP </w:t>
      </w:r>
      <w:r w:rsidRPr="00623C5B">
        <w:rPr>
          <w:rFonts w:eastAsia="Calibri"/>
        </w:rPr>
        <w:t xml:space="preserve">submission mechanism for the </w:t>
      </w:r>
      <w:r w:rsidRPr="00623C5B" w:rsidR="000C7754">
        <w:rPr>
          <w:rFonts w:eastAsia="Calibri"/>
        </w:rPr>
        <w:t xml:space="preserve">CY </w:t>
      </w:r>
      <w:r w:rsidRPr="00623C5B">
        <w:rPr>
          <w:rFonts w:eastAsia="Calibri"/>
        </w:rPr>
        <w:t>202</w:t>
      </w:r>
      <w:r w:rsidRPr="00623C5B" w:rsidR="00EA0F6E">
        <w:rPr>
          <w:rFonts w:eastAsia="Calibri"/>
        </w:rPr>
        <w:t>5</w:t>
      </w:r>
      <w:r w:rsidRPr="00623C5B">
        <w:rPr>
          <w:rFonts w:eastAsia="Calibri"/>
        </w:rPr>
        <w:t xml:space="preserve"> performance period</w:t>
      </w:r>
      <w:r w:rsidRPr="00623C5B" w:rsidR="000C7754">
        <w:rPr>
          <w:rFonts w:eastAsia="Calibri"/>
        </w:rPr>
        <w:t>/</w:t>
      </w:r>
      <w:r w:rsidRPr="00623C5B" w:rsidR="00EC3380">
        <w:rPr>
          <w:rFonts w:eastAsia="Calibri"/>
        </w:rPr>
        <w:t>202</w:t>
      </w:r>
      <w:r w:rsidRPr="00623C5B" w:rsidR="00F456CE">
        <w:rPr>
          <w:rFonts w:eastAsia="Calibri"/>
        </w:rPr>
        <w:t>7</w:t>
      </w:r>
      <w:r w:rsidRPr="00623C5B" w:rsidR="00EC3380">
        <w:rPr>
          <w:rFonts w:eastAsia="Calibri"/>
        </w:rPr>
        <w:t xml:space="preserve"> MIPS payment year</w:t>
      </w:r>
      <w:r w:rsidRPr="00623C5B">
        <w:rPr>
          <w:rFonts w:eastAsia="Calibri"/>
        </w:rPr>
        <w:t xml:space="preserve">, we assume </w:t>
      </w:r>
      <w:r w:rsidRPr="00623C5B" w:rsidR="00E04A76">
        <w:rPr>
          <w:rFonts w:eastAsia="Calibri"/>
        </w:rPr>
        <w:t xml:space="preserve">Shared Savings Program </w:t>
      </w:r>
      <w:r w:rsidRPr="00623C5B">
        <w:rPr>
          <w:rFonts w:eastAsia="Calibri"/>
        </w:rPr>
        <w:t xml:space="preserve">ACO APM Entities will submit data through the </w:t>
      </w:r>
      <w:r w:rsidRPr="00623C5B" w:rsidR="003031FF">
        <w:rPr>
          <w:rFonts w:eastAsia="Calibri"/>
        </w:rPr>
        <w:t>APP</w:t>
      </w:r>
      <w:r w:rsidRPr="00623C5B" w:rsidR="006426E0">
        <w:rPr>
          <w:rFonts w:eastAsia="Calibri"/>
        </w:rPr>
        <w:t xml:space="preserve"> </w:t>
      </w:r>
      <w:r w:rsidRPr="00623C5B">
        <w:rPr>
          <w:rFonts w:eastAsia="Calibri"/>
        </w:rPr>
        <w:t xml:space="preserve">and </w:t>
      </w:r>
      <w:r w:rsidRPr="00623C5B" w:rsidR="004215C4">
        <w:rPr>
          <w:rFonts w:eastAsia="Calibri"/>
        </w:rPr>
        <w:t>MIPS eligible clin</w:t>
      </w:r>
      <w:r w:rsidRPr="00623C5B" w:rsidR="0097002E">
        <w:rPr>
          <w:rFonts w:eastAsia="Calibri"/>
        </w:rPr>
        <w:t>i</w:t>
      </w:r>
      <w:r w:rsidRPr="00623C5B" w:rsidR="004215C4">
        <w:rPr>
          <w:rFonts w:eastAsia="Calibri"/>
        </w:rPr>
        <w:t xml:space="preserve">cians in </w:t>
      </w:r>
      <w:r w:rsidRPr="00623C5B">
        <w:rPr>
          <w:rFonts w:eastAsia="Calibri"/>
        </w:rPr>
        <w:t>non-</w:t>
      </w:r>
      <w:r w:rsidRPr="00623C5B" w:rsidR="004215C4">
        <w:rPr>
          <w:rFonts w:eastAsia="Calibri"/>
        </w:rPr>
        <w:t xml:space="preserve">Shared Savings Program </w:t>
      </w:r>
      <w:r w:rsidRPr="00623C5B">
        <w:rPr>
          <w:rFonts w:eastAsia="Calibri"/>
        </w:rPr>
        <w:t xml:space="preserve">ACO APM </w:t>
      </w:r>
      <w:r w:rsidRPr="00623C5B">
        <w:rPr>
          <w:rFonts w:eastAsia="Calibri"/>
        </w:rPr>
        <w:t>Entities would participate through traditional MIPS</w:t>
      </w:r>
      <w:r w:rsidRPr="00623C5B" w:rsidR="00B06A10">
        <w:rPr>
          <w:rFonts w:eastAsia="Calibri"/>
        </w:rPr>
        <w:t xml:space="preserve"> or MVPs</w:t>
      </w:r>
      <w:r w:rsidRPr="00623C5B">
        <w:rPr>
          <w:rFonts w:eastAsia="Calibri"/>
        </w:rPr>
        <w:t xml:space="preserve">, thereby submitting as an individual or group rather than as an </w:t>
      </w:r>
      <w:r w:rsidRPr="00623C5B" w:rsidR="002C05AE">
        <w:rPr>
          <w:rFonts w:eastAsia="Calibri"/>
        </w:rPr>
        <w:t xml:space="preserve">APM </w:t>
      </w:r>
      <w:r w:rsidRPr="00623C5B">
        <w:rPr>
          <w:rFonts w:eastAsia="Calibri"/>
        </w:rPr>
        <w:t>entity.</w:t>
      </w:r>
    </w:p>
    <w:p w:rsidR="00376A48" w:rsidRPr="00623C5B" w:rsidP="00F7155F" w14:paraId="3B06ACD6" w14:textId="44F1633C">
      <w:pPr>
        <w:pStyle w:val="BodyText"/>
        <w:rPr>
          <w:rFonts w:eastAsia="Calibri"/>
        </w:rPr>
      </w:pPr>
      <w:r w:rsidRPr="00623C5B">
        <w:t>The implementation of MIPS requires the collection of quality, Promoting Interoperability, and improvement activities performance category data.</w:t>
      </w:r>
      <w:r>
        <w:rPr>
          <w:rStyle w:val="FootnoteReference"/>
        </w:rPr>
        <w:footnoteReference w:id="3"/>
      </w:r>
      <w:r w:rsidRPr="00623C5B">
        <w:t xml:space="preserve"> The mechanism by which a submitter type submits data to CMS (including, as applicable: Direct, log in and upload, log in and attest, Medicare Part B claims, and the CMS Web Interface) is defined at § 414.1305 as the submission type. The direct submission type allows users to transmit data through a computer-to-computer interaction, such as an API. The log in and upload submission type allows users to upload and submit data in the form and manner specified by CMS with a set of authenticated credentials. The log in and attest submission type allows users to manually attest that certain measures and activities were performed in the form and manner specified by CMS with a set of authenticated credentials. We refer readers to § 414.1325(b) and (c) for available data submission types that individual MIPS eligible clinicians, groups, virtual groups, subgroups, and APM Entities may utilize to submit data for the quality, improvement activities, and Promoting Interoperability performance categories. </w:t>
      </w:r>
    </w:p>
    <w:p w:rsidR="00092C2E" w:rsidRPr="00623C5B" w:rsidP="00F7155F" w14:paraId="79BCE1BF" w14:textId="16FF1136">
      <w:pPr>
        <w:pStyle w:val="BodyText"/>
        <w:rPr>
          <w:rFonts w:eastAsia="Calibri"/>
        </w:rPr>
      </w:pPr>
      <w:bookmarkStart w:id="0" w:name="_Hlk107571851"/>
      <w:r w:rsidRPr="00623C5B">
        <w:rPr>
          <w:rFonts w:eastAsia="Calibri"/>
        </w:rPr>
        <w:t xml:space="preserve">In </w:t>
      </w:r>
      <w:r w:rsidRPr="00623C5B" w:rsidR="005D4B4A">
        <w:rPr>
          <w:rFonts w:eastAsia="Calibri"/>
        </w:rPr>
        <w:t>our</w:t>
      </w:r>
      <w:r w:rsidRPr="00623C5B">
        <w:rPr>
          <w:rFonts w:eastAsia="Calibri"/>
        </w:rPr>
        <w:t xml:space="preserve"> CY 2025 </w:t>
      </w:r>
      <w:r w:rsidRPr="00623C5B" w:rsidR="00433500">
        <w:rPr>
          <w:rFonts w:eastAsia="Calibri"/>
        </w:rPr>
        <w:t xml:space="preserve">PFS </w:t>
      </w:r>
      <w:r w:rsidRPr="00623C5B">
        <w:rPr>
          <w:rFonts w:eastAsia="Calibri"/>
        </w:rPr>
        <w:t xml:space="preserve">final rule, </w:t>
      </w:r>
      <w:r w:rsidRPr="00623C5B" w:rsidR="003546EE">
        <w:rPr>
          <w:rFonts w:eastAsia="Calibri"/>
          <w:color w:val="000000" w:themeColor="text1"/>
        </w:rPr>
        <w:t xml:space="preserve">we </w:t>
      </w:r>
      <w:r w:rsidRPr="00623C5B" w:rsidR="004A34A1">
        <w:rPr>
          <w:rFonts w:eastAsia="Calibri"/>
          <w:color w:val="000000" w:themeColor="text1"/>
        </w:rPr>
        <w:t>finalized</w:t>
      </w:r>
      <w:r w:rsidRPr="00623C5B" w:rsidR="00F11F95">
        <w:rPr>
          <w:rFonts w:eastAsia="Calibri"/>
          <w:color w:val="000000" w:themeColor="text1"/>
        </w:rPr>
        <w:t xml:space="preserve"> </w:t>
      </w:r>
      <w:r w:rsidRPr="00623C5B" w:rsidR="003546EE">
        <w:rPr>
          <w:rFonts w:eastAsia="Calibri"/>
          <w:color w:val="000000" w:themeColor="text1"/>
        </w:rPr>
        <w:t>changes to the</w:t>
      </w:r>
      <w:r w:rsidRPr="00623C5B">
        <w:rPr>
          <w:rFonts w:eastAsia="Calibri"/>
          <w:color w:val="000000" w:themeColor="text1"/>
        </w:rPr>
        <w:t xml:space="preserve"> inventory in the</w:t>
      </w:r>
      <w:r w:rsidRPr="00623C5B" w:rsidR="003546EE">
        <w:rPr>
          <w:rFonts w:eastAsia="Calibri"/>
          <w:color w:val="000000" w:themeColor="text1"/>
        </w:rPr>
        <w:t xml:space="preserve"> improvement </w:t>
      </w:r>
      <w:r w:rsidRPr="00623C5B">
        <w:rPr>
          <w:rFonts w:eastAsia="Calibri"/>
          <w:color w:val="000000" w:themeColor="text1"/>
        </w:rPr>
        <w:t xml:space="preserve">activities performance category with </w:t>
      </w:r>
      <w:r w:rsidRPr="00623C5B" w:rsidR="003546EE">
        <w:rPr>
          <w:rFonts w:eastAsia="Calibri"/>
          <w:color w:val="000000" w:themeColor="text1"/>
        </w:rPr>
        <w:t xml:space="preserve">the CY </w:t>
      </w:r>
      <w:r w:rsidRPr="00623C5B" w:rsidR="005D2DD7">
        <w:rPr>
          <w:color w:val="000000" w:themeColor="text1"/>
        </w:rPr>
        <w:t xml:space="preserve">2025 </w:t>
      </w:r>
      <w:r w:rsidRPr="00623C5B" w:rsidR="003546EE">
        <w:rPr>
          <w:color w:val="000000" w:themeColor="text1"/>
        </w:rPr>
        <w:t>performance period/</w:t>
      </w:r>
      <w:r w:rsidRPr="00623C5B" w:rsidR="005D2DD7">
        <w:rPr>
          <w:color w:val="000000" w:themeColor="text1"/>
        </w:rPr>
        <w:t xml:space="preserve">2027 </w:t>
      </w:r>
      <w:r w:rsidRPr="00623C5B" w:rsidR="003546EE">
        <w:rPr>
          <w:color w:val="000000" w:themeColor="text1"/>
        </w:rPr>
        <w:t xml:space="preserve">MIPS payment year </w:t>
      </w:r>
      <w:r w:rsidRPr="00623C5B" w:rsidR="003546EE">
        <w:rPr>
          <w:rFonts w:eastAsia="Calibri"/>
          <w:color w:val="000000" w:themeColor="text1"/>
        </w:rPr>
        <w:t xml:space="preserve">and </w:t>
      </w:r>
      <w:r w:rsidRPr="00623C5B">
        <w:rPr>
          <w:rFonts w:eastAsia="Calibri"/>
          <w:color w:val="000000" w:themeColor="text1"/>
        </w:rPr>
        <w:t xml:space="preserve">subsequent </w:t>
      </w:r>
      <w:r w:rsidRPr="00623C5B" w:rsidR="003546EE">
        <w:rPr>
          <w:rFonts w:eastAsia="Calibri"/>
          <w:color w:val="000000" w:themeColor="text1"/>
        </w:rPr>
        <w:t xml:space="preserve">years as follows: adding </w:t>
      </w:r>
      <w:r w:rsidRPr="00623C5B" w:rsidR="00267EBD">
        <w:rPr>
          <w:rFonts w:eastAsia="Calibri"/>
          <w:color w:val="000000" w:themeColor="text1"/>
        </w:rPr>
        <w:t xml:space="preserve">two </w:t>
      </w:r>
      <w:r w:rsidRPr="00623C5B" w:rsidR="003546EE">
        <w:rPr>
          <w:rFonts w:eastAsia="Calibri"/>
          <w:color w:val="000000" w:themeColor="text1"/>
        </w:rPr>
        <w:t xml:space="preserve">new improvement activities; modifying </w:t>
      </w:r>
      <w:r w:rsidRPr="00623C5B" w:rsidR="00267EBD">
        <w:rPr>
          <w:rFonts w:eastAsia="Calibri"/>
          <w:color w:val="000000" w:themeColor="text1"/>
        </w:rPr>
        <w:t>one</w:t>
      </w:r>
      <w:r w:rsidRPr="00623C5B" w:rsidR="00454C12">
        <w:rPr>
          <w:rFonts w:eastAsia="Calibri"/>
          <w:color w:val="000000" w:themeColor="text1"/>
        </w:rPr>
        <w:t xml:space="preserve"> </w:t>
      </w:r>
      <w:r w:rsidRPr="00623C5B" w:rsidR="003546EE">
        <w:rPr>
          <w:rFonts w:eastAsia="Calibri"/>
          <w:color w:val="000000" w:themeColor="text1"/>
        </w:rPr>
        <w:t>existing improvement activit</w:t>
      </w:r>
      <w:r w:rsidRPr="00623C5B" w:rsidR="00454C12">
        <w:rPr>
          <w:rFonts w:eastAsia="Calibri"/>
          <w:color w:val="000000" w:themeColor="text1"/>
        </w:rPr>
        <w:t>y</w:t>
      </w:r>
      <w:r w:rsidRPr="00623C5B" w:rsidR="003546EE">
        <w:rPr>
          <w:rFonts w:eastAsia="Calibri"/>
          <w:color w:val="000000" w:themeColor="text1"/>
        </w:rPr>
        <w:t xml:space="preserve">; and removing </w:t>
      </w:r>
      <w:r w:rsidRPr="00623C5B" w:rsidR="005A5AD1">
        <w:rPr>
          <w:rFonts w:eastAsia="Calibri"/>
          <w:color w:val="000000" w:themeColor="text1"/>
        </w:rPr>
        <w:t>four</w:t>
      </w:r>
      <w:r w:rsidRPr="00623C5B" w:rsidR="00514761">
        <w:rPr>
          <w:rFonts w:eastAsia="Calibri"/>
          <w:color w:val="000000" w:themeColor="text1"/>
        </w:rPr>
        <w:t xml:space="preserve"> </w:t>
      </w:r>
      <w:r w:rsidRPr="00623C5B" w:rsidR="003546EE">
        <w:rPr>
          <w:rFonts w:eastAsia="Calibri"/>
          <w:color w:val="000000" w:themeColor="text1"/>
        </w:rPr>
        <w:t xml:space="preserve">previously adopted improvement activities. </w:t>
      </w:r>
      <w:r w:rsidRPr="00623C5B" w:rsidR="00795AA4">
        <w:rPr>
          <w:rFonts w:eastAsia="Calibri"/>
          <w:color w:val="000000" w:themeColor="text1"/>
        </w:rPr>
        <w:t>We also finaliz</w:t>
      </w:r>
      <w:r w:rsidRPr="00623C5B">
        <w:rPr>
          <w:rFonts w:eastAsia="Calibri"/>
          <w:color w:val="000000" w:themeColor="text1"/>
        </w:rPr>
        <w:t>ed</w:t>
      </w:r>
      <w:r w:rsidRPr="00623C5B" w:rsidR="00795AA4">
        <w:rPr>
          <w:rFonts w:eastAsia="Calibri"/>
          <w:color w:val="000000" w:themeColor="text1"/>
        </w:rPr>
        <w:t>,</w:t>
      </w:r>
      <w:r w:rsidRPr="00623C5B" w:rsidR="007610A3">
        <w:rPr>
          <w:rFonts w:eastAsia="Calibri"/>
          <w:color w:val="000000" w:themeColor="text1"/>
        </w:rPr>
        <w:t xml:space="preserve"> with </w:t>
      </w:r>
      <w:r w:rsidRPr="00623C5B" w:rsidR="00795AA4">
        <w:rPr>
          <w:rFonts w:eastAsia="Calibri"/>
          <w:color w:val="000000" w:themeColor="text1"/>
        </w:rPr>
        <w:t xml:space="preserve">modification, </w:t>
      </w:r>
      <w:r w:rsidRPr="00623C5B">
        <w:rPr>
          <w:rFonts w:eastAsia="Calibri"/>
        </w:rPr>
        <w:t xml:space="preserve">the removal of </w:t>
      </w:r>
      <w:r w:rsidRPr="00623C5B" w:rsidR="007610A3">
        <w:rPr>
          <w:rFonts w:eastAsia="Calibri"/>
        </w:rPr>
        <w:t>four improvement activities and modif</w:t>
      </w:r>
      <w:r w:rsidRPr="00623C5B">
        <w:rPr>
          <w:rFonts w:eastAsia="Calibri"/>
        </w:rPr>
        <w:t xml:space="preserve">ication of </w:t>
      </w:r>
      <w:r w:rsidRPr="00623C5B" w:rsidR="007610A3">
        <w:rPr>
          <w:rFonts w:eastAsia="Calibri"/>
        </w:rPr>
        <w:t>one improvement activity</w:t>
      </w:r>
      <w:r w:rsidRPr="00623C5B">
        <w:rPr>
          <w:rFonts w:eastAsia="Calibri"/>
        </w:rPr>
        <w:t xml:space="preserve"> beginning with the CY2026 </w:t>
      </w:r>
      <w:r w:rsidRPr="00623C5B" w:rsidR="00C26C60">
        <w:rPr>
          <w:rFonts w:eastAsia="Calibri"/>
        </w:rPr>
        <w:t>performance</w:t>
      </w:r>
      <w:r w:rsidRPr="00623C5B">
        <w:rPr>
          <w:rFonts w:eastAsia="Calibri"/>
        </w:rPr>
        <w:t xml:space="preserve"> period/2028 MIPS payment year</w:t>
      </w:r>
      <w:r w:rsidRPr="00623C5B" w:rsidR="007610A3">
        <w:rPr>
          <w:rFonts w:eastAsia="Calibri"/>
        </w:rPr>
        <w:t>.</w:t>
      </w:r>
      <w:r w:rsidRPr="00623C5B" w:rsidR="005625D7">
        <w:rPr>
          <w:rFonts w:eastAsia="Calibri"/>
        </w:rPr>
        <w:t xml:space="preserve"> </w:t>
      </w:r>
      <w:r w:rsidRPr="00623C5B" w:rsidR="3747DE62">
        <w:rPr>
          <w:rFonts w:eastAsia="Calibri"/>
        </w:rPr>
        <w:t>W</w:t>
      </w:r>
      <w:r w:rsidRPr="00623C5B" w:rsidR="005625D7">
        <w:rPr>
          <w:rFonts w:eastAsia="Calibri"/>
        </w:rPr>
        <w:t>e also finalized as proposed two scoring and reporting policy changes for the improvement activities performance category beginning in the CY 2025 performance period/2027 MIPS payment year</w:t>
      </w:r>
      <w:r w:rsidRPr="00623C5B" w:rsidR="00156E6F">
        <w:rPr>
          <w:rFonts w:eastAsia="Calibri"/>
        </w:rPr>
        <w:t xml:space="preserve">. </w:t>
      </w:r>
      <w:r w:rsidRPr="00623C5B" w:rsidR="008E6712">
        <w:rPr>
          <w:rFonts w:eastAsia="Calibri"/>
        </w:rPr>
        <w:t xml:space="preserve">In </w:t>
      </w:r>
      <w:r w:rsidRPr="00623C5B" w:rsidR="005D4B4A">
        <w:rPr>
          <w:rFonts w:eastAsia="Calibri"/>
        </w:rPr>
        <w:t>our</w:t>
      </w:r>
      <w:r w:rsidRPr="00623C5B" w:rsidR="008E6712">
        <w:rPr>
          <w:rFonts w:eastAsia="Calibri"/>
        </w:rPr>
        <w:t xml:space="preserve"> CY 2025 </w:t>
      </w:r>
      <w:r w:rsidRPr="00623C5B" w:rsidR="00433500">
        <w:rPr>
          <w:rFonts w:eastAsia="Calibri"/>
        </w:rPr>
        <w:t xml:space="preserve">PFS </w:t>
      </w:r>
      <w:r w:rsidRPr="00623C5B" w:rsidR="008E6712">
        <w:rPr>
          <w:rFonts w:eastAsia="Calibri"/>
        </w:rPr>
        <w:t>final rule</w:t>
      </w:r>
      <w:r w:rsidRPr="00623C5B" w:rsidR="005625D7">
        <w:rPr>
          <w:rFonts w:eastAsia="Calibri"/>
        </w:rPr>
        <w:t>,</w:t>
      </w:r>
      <w:r w:rsidRPr="00623C5B" w:rsidR="008E6712">
        <w:rPr>
          <w:rFonts w:eastAsia="Calibri"/>
        </w:rPr>
        <w:t xml:space="preserve"> </w:t>
      </w:r>
      <w:r w:rsidRPr="00623C5B" w:rsidR="005625D7">
        <w:rPr>
          <w:rFonts w:eastAsia="Calibri"/>
        </w:rPr>
        <w:t>we finalized our proposal to eliminate the weighting of improvement activities established in the CY 2017 Quality Payment Program final rule (81 FR 28210) and codified at § 414.1380(b)(3) (81 FR 77177 and 77178)</w:t>
      </w:r>
      <w:r w:rsidRPr="00623C5B" w:rsidR="00156E6F">
        <w:rPr>
          <w:rFonts w:eastAsia="Calibri"/>
        </w:rPr>
        <w:t xml:space="preserve">. </w:t>
      </w:r>
      <w:r w:rsidRPr="00623C5B" w:rsidR="005625D7">
        <w:rPr>
          <w:rFonts w:eastAsia="Calibri"/>
        </w:rPr>
        <w:t>Second, we finaliz</w:t>
      </w:r>
      <w:r w:rsidRPr="00623C5B" w:rsidR="00C465D9">
        <w:rPr>
          <w:rFonts w:eastAsia="Calibri"/>
        </w:rPr>
        <w:t>ed</w:t>
      </w:r>
      <w:r w:rsidRPr="00623C5B" w:rsidR="005625D7">
        <w:rPr>
          <w:rFonts w:eastAsia="Calibri"/>
        </w:rPr>
        <w:t xml:space="preserve"> our proposal to further simplify improvement activity reporting requirements by reducing the number of activities to which clinicians are required to attest in order to achieve a score for the improvement activities performance category.  </w:t>
      </w:r>
      <w:r w:rsidRPr="00623C5B" w:rsidR="008E6712">
        <w:rPr>
          <w:rFonts w:eastAsia="Calibri"/>
        </w:rPr>
        <w:t xml:space="preserve">As described in </w:t>
      </w:r>
      <w:r w:rsidRPr="00623C5B" w:rsidR="005D4B4A">
        <w:rPr>
          <w:rFonts w:eastAsia="Calibri"/>
        </w:rPr>
        <w:t>our</w:t>
      </w:r>
      <w:r w:rsidRPr="00623C5B" w:rsidR="008E6712">
        <w:rPr>
          <w:rFonts w:eastAsia="Calibri"/>
        </w:rPr>
        <w:t xml:space="preserve"> CY 2025</w:t>
      </w:r>
      <w:r w:rsidRPr="00623C5B" w:rsidR="00433500">
        <w:rPr>
          <w:rFonts w:eastAsia="Calibri"/>
        </w:rPr>
        <w:t xml:space="preserve"> PFS</w:t>
      </w:r>
      <w:r w:rsidRPr="00623C5B" w:rsidR="008E6712">
        <w:rPr>
          <w:rFonts w:eastAsia="Calibri"/>
        </w:rPr>
        <w:t xml:space="preserve"> final rule, we finalized our assumption that these policies will not affect</w:t>
      </w:r>
      <w:r w:rsidRPr="00623C5B" w:rsidR="00C465D9">
        <w:rPr>
          <w:rFonts w:eastAsia="Calibri"/>
        </w:rPr>
        <w:t xml:space="preserve"> our existing burden estimates.</w:t>
      </w:r>
    </w:p>
    <w:bookmarkEnd w:id="0"/>
    <w:p w:rsidR="00092C2E" w:rsidRPr="00623C5B" w:rsidP="00F7155F" w14:paraId="0C5A2936" w14:textId="0A8F9319">
      <w:pPr>
        <w:pStyle w:val="BodyText"/>
      </w:pPr>
      <w:r w:rsidRPr="00623C5B">
        <w:t xml:space="preserve">The implementation of MIPS requires the collection of additional data beyond performance category data submission. </w:t>
      </w:r>
      <w:r w:rsidRPr="00623C5B" w:rsidR="00B92A08">
        <w:t>Additionally, there are information collections related to A</w:t>
      </w:r>
      <w:r w:rsidRPr="00623C5B" w:rsidR="0009616E">
        <w:t xml:space="preserve">dvanced </w:t>
      </w:r>
      <w:r w:rsidRPr="00623C5B" w:rsidR="00B92A08">
        <w:t>APMs. Please see sections 12 and 15 of th</w:t>
      </w:r>
      <w:r w:rsidRPr="00623C5B" w:rsidR="00AA20DE">
        <w:t>is</w:t>
      </w:r>
      <w:r w:rsidRPr="00623C5B" w:rsidR="00B92A08">
        <w:t xml:space="preserve"> Supporting Statement for details. </w:t>
      </w:r>
    </w:p>
    <w:p w:rsidR="001208AC" w:rsidRPr="00623C5B" w:rsidP="00F7155F" w14:paraId="5A4A7277" w14:textId="7E9FEAB9">
      <w:pPr>
        <w:pStyle w:val="BodyText"/>
      </w:pPr>
      <w:r w:rsidRPr="00623C5B">
        <w:t>CMS has</w:t>
      </w:r>
      <w:r w:rsidRPr="00623C5B" w:rsidR="00E4155D">
        <w:t xml:space="preserve"> </w:t>
      </w:r>
      <w:r w:rsidRPr="00623C5B" w:rsidR="00975413">
        <w:t>re</w:t>
      </w:r>
      <w:r w:rsidRPr="00623C5B" w:rsidR="00E4155D">
        <w:t>ceiv</w:t>
      </w:r>
      <w:r w:rsidRPr="00623C5B" w:rsidR="00975413">
        <w:t xml:space="preserve">ed approval </w:t>
      </w:r>
      <w:r w:rsidRPr="00623C5B" w:rsidR="00EC4D0E">
        <w:t xml:space="preserve">for </w:t>
      </w:r>
      <w:r w:rsidRPr="00623C5B" w:rsidR="00E4155D">
        <w:t>the</w:t>
      </w:r>
      <w:r w:rsidRPr="00623C5B" w:rsidR="004D285A">
        <w:t xml:space="preserve"> </w:t>
      </w:r>
      <w:r w:rsidRPr="00623C5B" w:rsidR="00092C2E">
        <w:t>collection of information associated with the virtual group election process under OMB control number 0938-1343</w:t>
      </w:r>
      <w:r w:rsidRPr="00623C5B" w:rsidR="00415939">
        <w:t xml:space="preserve"> (CMS-10652)</w:t>
      </w:r>
      <w:r w:rsidRPr="00623C5B" w:rsidR="00092C2E">
        <w:t>.</w:t>
      </w:r>
      <w:r w:rsidRPr="00623C5B" w:rsidR="00EC4D0E">
        <w:t xml:space="preserve"> </w:t>
      </w:r>
      <w:r w:rsidRPr="00623C5B" w:rsidR="000C6A6F">
        <w:t xml:space="preserve">The updated information collections for the </w:t>
      </w:r>
      <w:r w:rsidRPr="00623C5B" w:rsidR="00E335C5">
        <w:t>Consumer Assessment of Healthcare Providers and Systems (</w:t>
      </w:r>
      <w:r w:rsidRPr="00623C5B" w:rsidR="000C6A6F">
        <w:t>CAHPS</w:t>
      </w:r>
      <w:r w:rsidRPr="00623C5B" w:rsidR="00E335C5">
        <w:t>)</w:t>
      </w:r>
      <w:r w:rsidRPr="00623C5B" w:rsidR="000C6A6F">
        <w:t xml:space="preserve"> for MIPS Survey discussed in the CY 2025 PFS </w:t>
      </w:r>
      <w:r w:rsidRPr="00623C5B" w:rsidR="002069EC">
        <w:t xml:space="preserve">final </w:t>
      </w:r>
      <w:r w:rsidRPr="00623C5B" w:rsidR="000C6A6F">
        <w:t>rule will be submitted to OMB for review under control number 0938-1222 (CMS-10450)</w:t>
      </w:r>
      <w:r w:rsidRPr="00623C5B" w:rsidR="00EC4D0E">
        <w:t>.</w:t>
      </w:r>
      <w:r w:rsidRPr="00623C5B" w:rsidR="00B327A3">
        <w:t xml:space="preserve"> </w:t>
      </w:r>
    </w:p>
    <w:p w:rsidR="001208AC" w:rsidRPr="00623C5B" w:rsidP="00F7155F" w14:paraId="707E2326" w14:textId="3AFA3F77">
      <w:pPr>
        <w:pStyle w:val="BodyText"/>
      </w:pPr>
      <w:r w:rsidRPr="00623C5B">
        <w:t xml:space="preserve">The cost performance category relies on administrative claims data. The Medicare claims submission process </w:t>
      </w:r>
      <w:r w:rsidRPr="00623C5B" w:rsidR="6C632C70">
        <w:t xml:space="preserve">to collect data on cost measures from MIPS eligible clinicians </w:t>
      </w:r>
      <w:r w:rsidRPr="00623C5B" w:rsidR="2E331B42">
        <w:t xml:space="preserve">is captured under </w:t>
      </w:r>
      <w:r w:rsidRPr="00623C5B">
        <w:t>OMB control number</w:t>
      </w:r>
      <w:r w:rsidRPr="00623C5B" w:rsidR="01BAA495">
        <w:t>s</w:t>
      </w:r>
      <w:r w:rsidRPr="00623C5B">
        <w:t xml:space="preserve"> 0938-1197 </w:t>
      </w:r>
      <w:r w:rsidRPr="00623C5B" w:rsidR="1875CBE6">
        <w:t>(</w:t>
      </w:r>
      <w:r w:rsidRPr="00623C5B">
        <w:t>CMS-1500 and CMS-1490S</w:t>
      </w:r>
      <w:r w:rsidRPr="00623C5B" w:rsidR="5AE2C7D8">
        <w:t>)</w:t>
      </w:r>
      <w:r w:rsidRPr="00623C5B">
        <w:t xml:space="preserve"> and 0938-0992.</w:t>
      </w:r>
    </w:p>
    <w:p w:rsidR="001A2A26" w:rsidRPr="00623C5B" w:rsidP="00F7155F" w14:paraId="49300D9D" w14:textId="45CEA1ED">
      <w:pPr>
        <w:pStyle w:val="BodyText"/>
      </w:pPr>
      <w:r w:rsidRPr="00623C5B">
        <w:t xml:space="preserve">The changes in this </w:t>
      </w:r>
      <w:r w:rsidRPr="00623C5B" w:rsidR="005E24E9">
        <w:t xml:space="preserve">CY </w:t>
      </w:r>
      <w:r w:rsidRPr="00623C5B" w:rsidR="008D11C3">
        <w:t xml:space="preserve">2025 </w:t>
      </w:r>
      <w:r w:rsidRPr="00623C5B">
        <w:t xml:space="preserve">collection of information request </w:t>
      </w:r>
      <w:r w:rsidRPr="00623C5B" w:rsidR="001103DB">
        <w:t xml:space="preserve">are </w:t>
      </w:r>
      <w:r w:rsidRPr="00623C5B">
        <w:t>associated with our</w:t>
      </w:r>
      <w:r w:rsidRPr="00623C5B" w:rsidR="00A30FAD">
        <w:t xml:space="preserve"> </w:t>
      </w:r>
      <w:r w:rsidRPr="00623C5B" w:rsidR="00433500">
        <w:rPr>
          <w:rFonts w:eastAsia="Calibri"/>
        </w:rPr>
        <w:t>December</w:t>
      </w:r>
      <w:r w:rsidR="006E6DEB">
        <w:rPr>
          <w:rFonts w:eastAsia="Calibri"/>
        </w:rPr>
        <w:t> </w:t>
      </w:r>
      <w:r w:rsidRPr="00623C5B" w:rsidR="00433500">
        <w:rPr>
          <w:rFonts w:eastAsia="Calibri"/>
        </w:rPr>
        <w:t xml:space="preserve">9, </w:t>
      </w:r>
      <w:r w:rsidRPr="00623C5B" w:rsidR="002069EC">
        <w:t xml:space="preserve">2024 (89 FR </w:t>
      </w:r>
      <w:r w:rsidRPr="00623C5B" w:rsidR="00433500">
        <w:rPr>
          <w:rFonts w:eastAsia="Calibri"/>
        </w:rPr>
        <w:t>97710) CY 2025 PFS</w:t>
      </w:r>
      <w:r w:rsidRPr="00623C5B" w:rsidR="002069EC">
        <w:t xml:space="preserve"> final rule (CMS-1807-</w:t>
      </w:r>
      <w:r w:rsidRPr="00623C5B" w:rsidR="005E21BD">
        <w:t>F</w:t>
      </w:r>
      <w:r w:rsidRPr="00623C5B" w:rsidR="002069EC">
        <w:t>, RIN 0938-AV33)</w:t>
      </w:r>
      <w:r w:rsidRPr="00623C5B" w:rsidR="007A3EA0">
        <w:t xml:space="preserve"> as well as data adjustments</w:t>
      </w:r>
      <w:r w:rsidRPr="00623C5B" w:rsidR="001761D4">
        <w:t xml:space="preserve"> due to the availability of updated data and assumptions </w:t>
      </w:r>
      <w:r w:rsidRPr="00623C5B" w:rsidR="006E6409">
        <w:t xml:space="preserve">that are </w:t>
      </w:r>
      <w:r w:rsidRPr="00623C5B" w:rsidR="001761D4">
        <w:t>not associated with provisions in the</w:t>
      </w:r>
      <w:r w:rsidRPr="00623C5B" w:rsidR="006E6409">
        <w:t xml:space="preserve"> CMS-1807-F final </w:t>
      </w:r>
      <w:r w:rsidRPr="00623C5B" w:rsidR="001761D4">
        <w:t>rule</w:t>
      </w:r>
      <w:r w:rsidRPr="00623C5B" w:rsidR="00A30FAD">
        <w:t>.</w:t>
      </w:r>
      <w:r w:rsidRPr="00623C5B" w:rsidR="000B0149">
        <w:t xml:space="preserve"> </w:t>
      </w:r>
      <w:r w:rsidRPr="00623C5B" w:rsidR="006E6409">
        <w:t xml:space="preserve">While such </w:t>
      </w:r>
      <w:r w:rsidRPr="00623C5B" w:rsidR="17F8C279">
        <w:t>adjustments are not detailed in the CY 2025 collection of information pages,</w:t>
      </w:r>
      <w:r w:rsidRPr="00623C5B" w:rsidR="21B86D06">
        <w:t xml:space="preserve"> </w:t>
      </w:r>
      <w:r w:rsidRPr="00623C5B" w:rsidR="006E6409">
        <w:t xml:space="preserve">they are set out </w:t>
      </w:r>
      <w:r w:rsidRPr="00623C5B" w:rsidR="17F8C279">
        <w:t>in this</w:t>
      </w:r>
      <w:r w:rsidRPr="00623C5B" w:rsidR="00F14C28">
        <w:t xml:space="preserve"> collection of information request</w:t>
      </w:r>
      <w:r w:rsidRPr="00623C5B" w:rsidR="17F8C279">
        <w:t xml:space="preserve">. </w:t>
      </w:r>
    </w:p>
    <w:p w:rsidR="001A2A26" w:rsidRPr="00623C5B" w:rsidP="00F7155F" w14:paraId="02ECA18C" w14:textId="01EF3731">
      <w:pPr>
        <w:pStyle w:val="BodyText"/>
      </w:pPr>
      <w:r w:rsidRPr="00623C5B">
        <w:t xml:space="preserve">Overall, this iteration proposes to </w:t>
      </w:r>
      <w:r w:rsidRPr="00623C5B" w:rsidR="00967255">
        <w:t>decrease the current estimates by</w:t>
      </w:r>
      <w:r w:rsidRPr="00623C5B">
        <w:t xml:space="preserve"> </w:t>
      </w:r>
      <w:r w:rsidRPr="00623C5B" w:rsidR="003E6B2D">
        <w:t xml:space="preserve">minus </w:t>
      </w:r>
      <w:r w:rsidRPr="00623C5B" w:rsidR="00E60C5F">
        <w:t>55,</w:t>
      </w:r>
      <w:r w:rsidRPr="00623C5B" w:rsidR="00D33854">
        <w:t xml:space="preserve">241 </w:t>
      </w:r>
      <w:r w:rsidRPr="00623C5B">
        <w:t xml:space="preserve">responses and </w:t>
      </w:r>
      <w:r w:rsidRPr="00623C5B" w:rsidR="003E6B2D">
        <w:t xml:space="preserve">minus </w:t>
      </w:r>
      <w:r w:rsidRPr="00623C5B" w:rsidR="00967255">
        <w:t>7</w:t>
      </w:r>
      <w:r w:rsidRPr="00623C5B" w:rsidR="00444B5C">
        <w:t>8</w:t>
      </w:r>
      <w:r w:rsidRPr="00623C5B" w:rsidR="00967255">
        <w:t>,</w:t>
      </w:r>
      <w:r w:rsidRPr="00623C5B" w:rsidR="00EC0B3C">
        <w:t xml:space="preserve">771 </w:t>
      </w:r>
      <w:r w:rsidRPr="00623C5B">
        <w:t xml:space="preserve">hours. </w:t>
      </w:r>
      <w:r w:rsidRPr="00623C5B">
        <w:t xml:space="preserve">See Table 31 of this Supporting Statement for a </w:t>
      </w:r>
      <w:r w:rsidRPr="00623C5B" w:rsidR="00844BE6">
        <w:t>side-by-side</w:t>
      </w:r>
      <w:r w:rsidRPr="00623C5B">
        <w:t xml:space="preserve"> summary of this iteration’s rule and non-rule related changes.</w:t>
      </w:r>
    </w:p>
    <w:p w:rsidR="00FA0ADC" w:rsidRPr="00623C5B" w:rsidP="00F7155F" w14:paraId="238CB771" w14:textId="14BD817B">
      <w:pPr>
        <w:pStyle w:val="BodyText"/>
      </w:pPr>
      <w:r w:rsidRPr="00623C5B">
        <w:t xml:space="preserve">We have also revised Appendices A through K and replaced active Appendix L (2023 MVP Registration Form) with a new Appendix L entitled, “2024 MVP Registration Form.” </w:t>
      </w:r>
      <w:r w:rsidRPr="00623C5B" w:rsidR="00AD3116">
        <w:t xml:space="preserve">The </w:t>
      </w:r>
      <w:r w:rsidRPr="00623C5B" w:rsidR="005618C1">
        <w:t>MVP registration</w:t>
      </w:r>
      <w:r w:rsidRPr="00623C5B" w:rsidR="00AD3116">
        <w:t xml:space="preserve"> collection </w:t>
      </w:r>
      <w:r w:rsidRPr="00623C5B" w:rsidR="002362C2">
        <w:t xml:space="preserve">changed from submitting an Excel file via email in 2023 to </w:t>
      </w:r>
      <w:r w:rsidRPr="00623C5B" w:rsidR="00AD3116">
        <w:t>an online registration form</w:t>
      </w:r>
      <w:r w:rsidRPr="00623C5B" w:rsidR="002362C2">
        <w:t xml:space="preserve"> for 2024</w:t>
      </w:r>
      <w:r w:rsidRPr="00623C5B" w:rsidR="00C81CE8">
        <w:t>.</w:t>
      </w:r>
    </w:p>
    <w:p w:rsidR="00C018DA" w:rsidRPr="00623C5B" w:rsidP="00F7155F" w14:paraId="3E0E7360" w14:textId="5ADF0786">
      <w:pPr>
        <w:pStyle w:val="BodyText"/>
      </w:pPr>
      <w:r w:rsidRPr="00623C5B">
        <w:t>We are not requesting the addition or removal of any ICRs in the</w:t>
      </w:r>
      <w:r w:rsidRPr="00623C5B" w:rsidR="0009616E">
        <w:t xml:space="preserve"> CY</w:t>
      </w:r>
      <w:r w:rsidRPr="00623C5B">
        <w:t xml:space="preserve"> 2025 PFS </w:t>
      </w:r>
      <w:r w:rsidRPr="00623C5B" w:rsidR="00294B7C">
        <w:t xml:space="preserve">final </w:t>
      </w:r>
      <w:r w:rsidRPr="00623C5B">
        <w:t xml:space="preserve">rule. </w:t>
      </w:r>
    </w:p>
    <w:p w:rsidR="00D26EEF" w:rsidRPr="00C56C33" w:rsidP="004F1175" w14:paraId="44BAFCF7" w14:textId="4B8384D4">
      <w:pPr>
        <w:pStyle w:val="Heading2"/>
      </w:pPr>
      <w:r>
        <w:t>A.</w:t>
      </w:r>
      <w:r>
        <w:tab/>
      </w:r>
      <w:r w:rsidRPr="00C56C33">
        <w:t>Justification</w:t>
      </w:r>
    </w:p>
    <w:p w:rsidR="00CA57B7" w:rsidRPr="00FD7D1D" w:rsidP="004F1175" w14:paraId="02AED5D1" w14:textId="651C91CC">
      <w:pPr>
        <w:pStyle w:val="Heading3"/>
      </w:pPr>
      <w:r w:rsidRPr="00FD7D1D">
        <w:t>1.</w:t>
      </w:r>
      <w:r w:rsidRPr="00FD7D1D">
        <w:tab/>
      </w:r>
      <w:r w:rsidRPr="00FD7D1D">
        <w:t>Need and Legal Basis</w:t>
      </w:r>
    </w:p>
    <w:p w:rsidR="00155C20" w:rsidRPr="00155C20" w:rsidP="00184B7F" w14:paraId="0180353A" w14:textId="5026FC6E">
      <w:pPr>
        <w:pStyle w:val="BodyText-PostHead"/>
      </w:pPr>
      <w:r>
        <w:t>Our a</w:t>
      </w:r>
      <w:r w:rsidRPr="00155C20">
        <w:t>uthority for collect</w:t>
      </w:r>
      <w:r>
        <w:t>ing</w:t>
      </w:r>
      <w:r w:rsidRPr="00155C20">
        <w:t xml:space="preserve"> this information is provided </w:t>
      </w:r>
      <w:r w:rsidR="0012498F">
        <w:t xml:space="preserve">by </w:t>
      </w:r>
      <w:r w:rsidRPr="00DD223D" w:rsidR="00DD223D">
        <w:t>Medicare Access and CHIP Reauthorization Act of 2015 (MACRA) (Pub. L. 114-10,</w:t>
      </w:r>
      <w:r w:rsidR="00E32485">
        <w:t xml:space="preserve"> </w:t>
      </w:r>
      <w:r w:rsidRPr="00DD223D" w:rsidR="00DD223D">
        <w:t>April 16, 2015)</w:t>
      </w:r>
      <w:r w:rsidR="0012498F">
        <w:t xml:space="preserve"> which further amended </w:t>
      </w:r>
      <w:r w:rsidRPr="00155C20">
        <w:t>section 1848</w:t>
      </w:r>
      <w:r w:rsidR="0012498F">
        <w:t xml:space="preserve"> </w:t>
      </w:r>
      <w:r w:rsidRPr="00155C20">
        <w:t>and 1833 of the Act</w:t>
      </w:r>
      <w:r w:rsidR="0012498F">
        <w:t>, respectively</w:t>
      </w:r>
      <w:r>
        <w:t xml:space="preserve">. </w:t>
      </w:r>
    </w:p>
    <w:p w:rsidR="00627DDE" w:rsidP="00F7155F" w14:paraId="3B966655" w14:textId="229532F5">
      <w:pPr>
        <w:pStyle w:val="BodyText"/>
      </w:pPr>
      <w:r>
        <w:t>Section 1848(q) of the Act requires the establishment of the MIPS beginning with payments for items and services furnished on or after January 1, 20</w:t>
      </w:r>
      <w:r w:rsidR="00FD77E4">
        <w:t>19</w:t>
      </w:r>
      <w:r>
        <w:t>,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to the MIPS eligible clinician for a performance period. Under section 1848(q)(2)(A) of the Act, a MIPS eligible clinician’s final score is determined using four performance categories: (1) quality; (2) cost; (3) improvement activities, and (4) Promoting Interoperability</w:t>
      </w:r>
      <w:r w:rsidR="00416499">
        <w:t xml:space="preserve">. </w:t>
      </w:r>
      <w:r w:rsidR="00E45035">
        <w:t xml:space="preserve">Section 1833(z) of the Act establishes incentive payments for clinicians who are qualifying participants in </w:t>
      </w:r>
      <w:r w:rsidR="00FB0EE9">
        <w:t xml:space="preserve">Advanced </w:t>
      </w:r>
      <w:r w:rsidR="00E45035">
        <w:t>APMs</w:t>
      </w:r>
      <w:r w:rsidR="00B12A1B">
        <w:t xml:space="preserve"> through the CY 2022 performance period/2024 MIPS payment year</w:t>
      </w:r>
      <w:r w:rsidR="002876B1">
        <w:t xml:space="preserve">. </w:t>
      </w:r>
      <w:r w:rsidRPr="346D0D83" w:rsidR="002876B1">
        <w:t xml:space="preserve">The APM incentive payment was extended for </w:t>
      </w:r>
      <w:r w:rsidR="00777052">
        <w:t>two</w:t>
      </w:r>
      <w:r w:rsidRPr="346D0D83" w:rsidR="002876B1">
        <w:t xml:space="preserve"> additional </w:t>
      </w:r>
      <w:r w:rsidR="002876B1">
        <w:t>year</w:t>
      </w:r>
      <w:r w:rsidR="00777052">
        <w:t>s</w:t>
      </w:r>
      <w:r w:rsidRPr="346D0D83" w:rsidR="002876B1">
        <w:t xml:space="preserve"> for clinicians who are QPs in the CY 2023 performance period/2025 MIPS payment year</w:t>
      </w:r>
      <w:r w:rsidR="5EFA5D31">
        <w:t xml:space="preserve"> and the CY 2024 performance period/2026 MIPS payment year</w:t>
      </w:r>
      <w:r w:rsidR="002876B1">
        <w:t>.</w:t>
      </w:r>
      <w:r w:rsidRPr="346D0D83" w:rsidR="002876B1">
        <w:t xml:space="preserve"> </w:t>
      </w:r>
      <w:r w:rsidRPr="346D0D83" w:rsidR="72F9F68A">
        <w:t xml:space="preserve">Beginning </w:t>
      </w:r>
      <w:r w:rsidR="00B768E3">
        <w:t>with</w:t>
      </w:r>
      <w:r w:rsidRPr="346D0D83" w:rsidR="72F9F68A">
        <w:t xml:space="preserve"> the CY 2024 performance period/2026 MIPS payment year, QPs will receive a higher Medicare Physician Fee Schedule update (</w:t>
      </w:r>
      <w:r w:rsidRPr="346D0D83" w:rsidR="6C0E45CB">
        <w:t>qualifying APM conversion fac</w:t>
      </w:r>
      <w:r w:rsidR="0052341E">
        <w:t>tor</w:t>
      </w:r>
      <w:r w:rsidRPr="346D0D83" w:rsidR="6C0E45CB">
        <w:t xml:space="preserve">) than non QPs. QPs will continue to be excluded from MIPS reporting and payment adjustments for the applicable year. </w:t>
      </w:r>
    </w:p>
    <w:p w:rsidR="00CA57B7" w:rsidRPr="00FD7D1D" w:rsidP="004F1175" w14:paraId="0509D002" w14:textId="11E36DE3">
      <w:pPr>
        <w:pStyle w:val="Heading3"/>
        <w:rPr>
          <w:b/>
          <w:i/>
        </w:rPr>
      </w:pPr>
      <w:r w:rsidRPr="00FD7D1D">
        <w:t>2.</w:t>
      </w:r>
      <w:r w:rsidRPr="00FD7D1D">
        <w:tab/>
      </w:r>
      <w:r w:rsidRPr="00FD7D1D">
        <w:t>Information Users</w:t>
      </w:r>
    </w:p>
    <w:p w:rsidR="00855847" w:rsidP="00184B7F" w14:paraId="12E3B30D" w14:textId="6CF12373">
      <w:pPr>
        <w:pStyle w:val="BodyText-PostHead"/>
      </w:pPr>
      <w:r w:rsidRPr="00155C20">
        <w:t xml:space="preserve">CMS will use data </w:t>
      </w:r>
      <w:r w:rsidR="004306D9">
        <w:t xml:space="preserve">reported </w:t>
      </w:r>
      <w:r w:rsidR="00F42ABA">
        <w:t xml:space="preserve">or submitted </w:t>
      </w:r>
      <w:r w:rsidR="004306D9">
        <w:t xml:space="preserve">by MIPS eligible clinicians </w:t>
      </w:r>
      <w:r w:rsidR="00F42ABA">
        <w:t>as individual clinicians</w:t>
      </w:r>
      <w:r w:rsidR="00125452">
        <w:t xml:space="preserve"> (both required and voluntary)</w:t>
      </w:r>
      <w:r w:rsidR="007C52B7">
        <w:t xml:space="preserve"> or as part of groups</w:t>
      </w:r>
      <w:r w:rsidR="00125452">
        <w:t xml:space="preserve">, </w:t>
      </w:r>
      <w:r w:rsidR="002C174A">
        <w:t xml:space="preserve">subgroups, </w:t>
      </w:r>
      <w:r w:rsidR="00125452">
        <w:t xml:space="preserve">virtual groups, </w:t>
      </w:r>
      <w:r w:rsidR="00DF1CA2">
        <w:t xml:space="preserve">or APM </w:t>
      </w:r>
      <w:r w:rsidR="0058753E">
        <w:t>Entities</w:t>
      </w:r>
      <w:r w:rsidR="00DF1CA2">
        <w:t xml:space="preserve">. CMS will use this data </w:t>
      </w:r>
      <w:r w:rsidRPr="00155C20">
        <w:t xml:space="preserve">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w:t>
      </w:r>
      <w:r w:rsidR="004306D9">
        <w:t>Information provided by third party intermediaries</w:t>
      </w:r>
      <w:r w:rsidRPr="00155C20">
        <w:t xml:space="preserve"> may also be used for administrative purposes such as determining third party </w:t>
      </w:r>
      <w:r w:rsidR="0070637E">
        <w:t>intermediaries</w:t>
      </w:r>
      <w:r w:rsidRPr="00155C20" w:rsidR="0070637E">
        <w:t xml:space="preserve"> </w:t>
      </w:r>
      <w:r w:rsidRPr="00155C20">
        <w:t xml:space="preserve">and </w:t>
      </w:r>
      <w:r>
        <w:t xml:space="preserve">QCDR </w:t>
      </w:r>
      <w:r w:rsidRPr="00155C20">
        <w:t>measures appropriate for the MIPS program</w:t>
      </w:r>
      <w:r>
        <w:t>. Information provided by clinicians, professional societies, and other respondents will be used to consider quality measures, improvement activities, and MVPs for inclusion in the MIPS program. Information provided by payers, APM Entities, and eligible clinicians will be used to determine</w:t>
      </w:r>
      <w:r w:rsidRPr="00155C20">
        <w:t xml:space="preserve"> which additional payment arrangements qualify as Other Payer Advanced APM models. In order to administer the Q</w:t>
      </w:r>
      <w:r w:rsidR="006B7949">
        <w:t xml:space="preserve">uality </w:t>
      </w:r>
      <w:r w:rsidRPr="00155C20">
        <w:t>P</w:t>
      </w:r>
      <w:r w:rsidR="006B7949">
        <w:t xml:space="preserve">ayment </w:t>
      </w:r>
      <w:r w:rsidRPr="00155C20">
        <w:t>P</w:t>
      </w:r>
      <w:r w:rsidR="006B7949">
        <w:t>rogram</w:t>
      </w:r>
      <w:r w:rsidRPr="00155C20">
        <w:t>, the data will be used by agency contractors and consultants and may be used by othe</w:t>
      </w:r>
      <w:r>
        <w:t xml:space="preserve">r federal and state agencies. </w:t>
      </w:r>
    </w:p>
    <w:p w:rsidR="00855847" w:rsidP="00F7155F" w14:paraId="0AA4F140" w14:textId="5EE36432">
      <w:pPr>
        <w:pStyle w:val="BodyText"/>
      </w:pPr>
      <w:r w:rsidRPr="00C824D4">
        <w:t xml:space="preserve">We also use this information to provide performance feedback to MIPS eligible clinicians and eligible entities. </w:t>
      </w:r>
      <w:r w:rsidR="00235F2B">
        <w:t>Clinicians and beneficiaries can view</w:t>
      </w:r>
      <w:r w:rsidRPr="00C824D4" w:rsidR="000638C0">
        <w:t xml:space="preserve"> </w:t>
      </w:r>
      <w:r w:rsidR="00252258">
        <w:t>performance category data</w:t>
      </w:r>
      <w:r w:rsidR="00A22A8B">
        <w:t xml:space="preserve"> </w:t>
      </w:r>
      <w:r w:rsidRPr="00A22A8B" w:rsidR="00A22A8B">
        <w:t>and final scores</w:t>
      </w:r>
      <w:r w:rsidR="00252258">
        <w:t xml:space="preserve"> for a </w:t>
      </w:r>
      <w:r w:rsidRPr="00C824D4" w:rsidR="000638C0">
        <w:t>performance period</w:t>
      </w:r>
      <w:r w:rsidR="00252258">
        <w:t>/MIPS payment year</w:t>
      </w:r>
      <w:r w:rsidRPr="00C824D4" w:rsidR="000638C0">
        <w:t xml:space="preserve"> on </w:t>
      </w:r>
      <w:r w:rsidR="00F77EF4">
        <w:t>c</w:t>
      </w:r>
      <w:r w:rsidRPr="00C824D4" w:rsidR="000638C0">
        <w:t>ompare</w:t>
      </w:r>
      <w:r w:rsidR="00F77EF4">
        <w:t xml:space="preserve"> tools hosted by the </w:t>
      </w:r>
      <w:r w:rsidR="00411E92">
        <w:t>U.S. Department of Health and Human Services</w:t>
      </w:r>
      <w:r w:rsidR="00235F2B">
        <w:t xml:space="preserve">. </w:t>
      </w:r>
      <w:r w:rsidRPr="00C824D4">
        <w:t xml:space="preserve">The data also may be used by CMS authorized entities participating in health care transparency projects. </w:t>
      </w:r>
      <w:r w:rsidRPr="00D96BB3" w:rsidR="002A5F37">
        <w:t>T</w:t>
      </w:r>
      <w:r w:rsidRPr="00D96BB3">
        <w:t xml:space="preserve">he data </w:t>
      </w:r>
      <w:r w:rsidRPr="00D96BB3" w:rsidR="002A5F37">
        <w:t>is</w:t>
      </w:r>
      <w:r w:rsidRPr="00D96BB3">
        <w:t xml:space="preserve"> used to produce </w:t>
      </w:r>
      <w:r w:rsidRPr="00D96BB3" w:rsidR="002A5F37">
        <w:t xml:space="preserve">the </w:t>
      </w:r>
      <w:r w:rsidRPr="00D96BB3">
        <w:t xml:space="preserve">annual </w:t>
      </w:r>
      <w:r w:rsidRPr="00D96BB3" w:rsidR="002A5F37">
        <w:t>Quality Payment Program Experience Report</w:t>
      </w:r>
      <w:r w:rsidRPr="00D96BB3">
        <w:t xml:space="preserve"> </w:t>
      </w:r>
      <w:r w:rsidRPr="00D96BB3" w:rsidR="00EA4257">
        <w:t xml:space="preserve">which provides a comprehensive representation of the overall </w:t>
      </w:r>
      <w:r w:rsidRPr="00D96BB3">
        <w:t xml:space="preserve">experience of MIPS eligible clinicians. </w:t>
      </w:r>
    </w:p>
    <w:p w:rsidR="0002497D" w:rsidRPr="00155C20" w:rsidP="00F7155F" w14:paraId="7A39A250" w14:textId="79E9D5AE">
      <w:pPr>
        <w:pStyle w:val="BodyText"/>
      </w:pPr>
      <w:r w:rsidRPr="00155C20">
        <w:t>Relevant data will be provided to federal and state agencies, Quality Improvement Networks, contractors</w:t>
      </w:r>
      <w:r w:rsidR="00402900">
        <w:t xml:space="preserve"> supporting the Quality Payment Program</w:t>
      </w:r>
      <w:r w:rsidRPr="00155C20">
        <w:t xml:space="preserve">, and parties assisting consumers, for use in administering or conducting </w:t>
      </w:r>
      <w:r w:rsidRPr="00155C20" w:rsidR="001D5307">
        <w:t>federally funded</w:t>
      </w:r>
      <w:r w:rsidRPr="00155C20">
        <w:t xml:space="preserve"> health benefit programs, payment and claims processes, quality improvement outreach and reviews, and transparency projects.</w:t>
      </w:r>
      <w:r w:rsidR="00CE72EE">
        <w:t xml:space="preserve"> </w:t>
      </w:r>
      <w:r w:rsidRPr="00155C20">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00023BCB">
        <w:t xml:space="preserve"> Lastly, CMS </w:t>
      </w:r>
      <w:r w:rsidR="0026206B">
        <w:t xml:space="preserve">has </w:t>
      </w:r>
      <w:r w:rsidR="00023BCB">
        <w:t>ma</w:t>
      </w:r>
      <w:r w:rsidR="0026206B">
        <w:t>d</w:t>
      </w:r>
      <w:r w:rsidR="00023BCB">
        <w:t>e available a Public Use File present</w:t>
      </w:r>
      <w:r w:rsidR="0026206B">
        <w:t>ing</w:t>
      </w:r>
      <w:r w:rsidR="00023BCB">
        <w:t xml:space="preserve"> a comprehensive </w:t>
      </w:r>
      <w:r w:rsidRPr="00023BCB" w:rsidR="00023BCB">
        <w:t>data set on performance of all clinicians across all categories, measures</w:t>
      </w:r>
      <w:r w:rsidR="00023BCB">
        <w:t>,</w:t>
      </w:r>
      <w:r w:rsidRPr="00023BCB" w:rsidR="00023BCB">
        <w:t xml:space="preserve"> and activities for MIPS</w:t>
      </w:r>
      <w:r w:rsidR="0026206B">
        <w:t xml:space="preserve"> which will be updated annually</w:t>
      </w:r>
      <w:r w:rsidR="00023BCB">
        <w:t>.</w:t>
      </w:r>
    </w:p>
    <w:p w:rsidR="00855847" w:rsidRPr="00FD7D1D" w:rsidP="004F1175" w14:paraId="408DC725" w14:textId="3F1B6445">
      <w:pPr>
        <w:pStyle w:val="Heading3"/>
        <w:rPr>
          <w:b/>
          <w:i/>
        </w:rPr>
      </w:pPr>
      <w:r w:rsidRPr="00FD7D1D">
        <w:t>3.</w:t>
      </w:r>
      <w:r w:rsidRPr="00FD7D1D">
        <w:tab/>
      </w:r>
      <w:r w:rsidRPr="00FD7D1D" w:rsidR="000A1BC2">
        <w:t>Use of Information Technology</w:t>
      </w:r>
    </w:p>
    <w:p w:rsidR="00932A5A" w:rsidRPr="00155C20" w:rsidP="00184B7F" w14:paraId="3B4E4A21" w14:textId="4B99FB4D">
      <w:pPr>
        <w:pStyle w:val="BodyText-PostHead"/>
      </w:pPr>
      <w:r w:rsidRPr="0007426C">
        <w:t>All the information collection</w:t>
      </w:r>
      <w:r w:rsidR="00B33B7E">
        <w:t>s</w:t>
      </w:r>
      <w:r w:rsidRPr="0007426C">
        <w:t xml:space="preserve"> described in this </w:t>
      </w:r>
      <w:r w:rsidR="0048447D">
        <w:t>document</w:t>
      </w:r>
      <w:r w:rsidRPr="0007426C">
        <w:t xml:space="preserve"> </w:t>
      </w:r>
      <w:r w:rsidR="00B33B7E">
        <w:t>are</w:t>
      </w:r>
      <w:r w:rsidRPr="0007426C">
        <w:t xml:space="preserve"> to be </w:t>
      </w:r>
      <w:r>
        <w:t>conducted</w:t>
      </w:r>
      <w:r w:rsidRPr="0007426C">
        <w:t xml:space="preserve"> electronically.</w:t>
      </w:r>
    </w:p>
    <w:p w:rsidR="000A1BC2" w:rsidRPr="00FD7D1D" w:rsidP="004F1175" w14:paraId="4A5F4C47" w14:textId="3D329A18">
      <w:pPr>
        <w:pStyle w:val="Heading3"/>
        <w:rPr>
          <w:b/>
          <w:i/>
        </w:rPr>
      </w:pPr>
      <w:r w:rsidRPr="00FD7D1D">
        <w:t>4.</w:t>
      </w:r>
      <w:r w:rsidRPr="00FD7D1D">
        <w:tab/>
      </w:r>
      <w:r w:rsidRPr="00FD7D1D">
        <w:t>Duplication of Efforts</w:t>
      </w:r>
    </w:p>
    <w:p w:rsidR="00155C20" w:rsidP="00184B7F" w14:paraId="70479869" w14:textId="17451DC4">
      <w:pPr>
        <w:pStyle w:val="BodyText-PostHead"/>
        <w:rPr>
          <w:szCs w:val="20"/>
        </w:rPr>
      </w:pPr>
      <w:r>
        <w:t>T</w:t>
      </w:r>
      <w:r w:rsidRPr="0007426C">
        <w:t xml:space="preserve">he information to be collected is not duplicative of similar information collected by the </w:t>
      </w:r>
      <w:r>
        <w:t>CMS</w:t>
      </w:r>
      <w:r w:rsidR="004B3AFB">
        <w:t xml:space="preserve"> external to MIPS</w:t>
      </w:r>
      <w:r w:rsidRPr="0007426C">
        <w:t>.</w:t>
      </w:r>
      <w:r w:rsidRPr="001103ED">
        <w:rPr>
          <w:szCs w:val="20"/>
        </w:rPr>
        <w:t xml:space="preserve"> </w:t>
      </w:r>
    </w:p>
    <w:p w:rsidR="00155C20" w:rsidRPr="0059049C" w:rsidP="00F7155F" w14:paraId="05AEF03B" w14:textId="09A0E7C7">
      <w:pPr>
        <w:pStyle w:val="BodyText"/>
        <w:rPr>
          <w:rFonts w:eastAsia="Calibri"/>
        </w:rPr>
      </w:pPr>
      <w:r>
        <w:t>With respect to participating in MIPS for MIPS APM</w:t>
      </w:r>
      <w:r w:rsidR="00416041">
        <w:t xml:space="preserve"> participant</w:t>
      </w:r>
      <w:r>
        <w:t>s, CMS has set forth requirements that</w:t>
      </w:r>
      <w:r w:rsidR="005E6AFC">
        <w:t xml:space="preserve"> encourage </w:t>
      </w:r>
      <w:r>
        <w:t>limit</w:t>
      </w:r>
      <w:r w:rsidR="005E6AFC">
        <w:t>ing</w:t>
      </w:r>
      <w:r>
        <w:t xml:space="preserve"> duplication of effort</w:t>
      </w:r>
      <w:r w:rsidR="005E6AFC">
        <w:t>, but in the interest of providing flexibility in reporting, we cannot ensure that duplication does not occur</w:t>
      </w:r>
      <w:r>
        <w:t>. In addition, many APM Entities w</w:t>
      </w:r>
      <w:r w:rsidR="00C06AE8">
        <w:t>ould</w:t>
      </w:r>
      <w:r>
        <w:t xml:space="preserve"> not need to submit improvement activities because</w:t>
      </w:r>
      <w:r w:rsidR="00771FF3">
        <w:t xml:space="preserve"> they will be reporting through </w:t>
      </w:r>
      <w:r w:rsidR="00771FF3">
        <w:t>the APM Performance Pathway (APP)</w:t>
      </w:r>
      <w:r>
        <w:t xml:space="preserve">. </w:t>
      </w:r>
      <w:r w:rsidRPr="50798D60" w:rsidR="005E6AFC">
        <w:rPr>
          <w:rFonts w:eastAsia="Calibri"/>
        </w:rPr>
        <w:t>We assume ACO APM Entities w</w:t>
      </w:r>
      <w:r w:rsidRPr="50798D60" w:rsidR="008B54AA">
        <w:rPr>
          <w:rFonts w:eastAsia="Calibri"/>
        </w:rPr>
        <w:t>ould</w:t>
      </w:r>
      <w:r w:rsidRPr="50798D60" w:rsidR="005E6AFC">
        <w:rPr>
          <w:rFonts w:eastAsia="Calibri"/>
        </w:rPr>
        <w:t xml:space="preserve"> submit data through the APM Performance Pathway and non-ACO APM Entities would participate through traditional MIPS</w:t>
      </w:r>
      <w:r w:rsidR="00B06A10">
        <w:rPr>
          <w:rFonts w:eastAsia="Calibri"/>
        </w:rPr>
        <w:t xml:space="preserve"> or MVPs</w:t>
      </w:r>
      <w:r w:rsidRPr="50798D60" w:rsidR="005E6AFC">
        <w:rPr>
          <w:rFonts w:eastAsia="Calibri"/>
        </w:rPr>
        <w:t>, thereby submitting as an individual or</w:t>
      </w:r>
      <w:r w:rsidRPr="50798D60" w:rsidR="00EF4F3E">
        <w:rPr>
          <w:rFonts w:eastAsia="Calibri"/>
        </w:rPr>
        <w:t xml:space="preserve"> a</w:t>
      </w:r>
      <w:r w:rsidRPr="50798D60" w:rsidR="005E6AFC">
        <w:rPr>
          <w:rFonts w:eastAsia="Calibri"/>
        </w:rPr>
        <w:t xml:space="preserve"> group rather than as an</w:t>
      </w:r>
      <w:r w:rsidRPr="50798D60" w:rsidR="009872DE">
        <w:rPr>
          <w:rFonts w:eastAsia="Calibri"/>
        </w:rPr>
        <w:t xml:space="preserve"> APM</w:t>
      </w:r>
      <w:r w:rsidRPr="50798D60" w:rsidR="005E6AFC">
        <w:rPr>
          <w:rFonts w:eastAsia="Calibri"/>
        </w:rPr>
        <w:t xml:space="preserve"> entity.</w:t>
      </w:r>
    </w:p>
    <w:p w:rsidR="000C0D05" w:rsidRPr="00FD7D1D" w:rsidP="004F1175" w14:paraId="541D13C1" w14:textId="22491254">
      <w:pPr>
        <w:pStyle w:val="Heading3"/>
        <w:rPr>
          <w:b/>
          <w:i/>
        </w:rPr>
      </w:pPr>
      <w:r w:rsidRPr="00FD7D1D">
        <w:t>5.</w:t>
      </w:r>
      <w:r w:rsidRPr="00FD7D1D">
        <w:tab/>
      </w:r>
      <w:r w:rsidRPr="00FD7D1D" w:rsidR="000A1BC2">
        <w:t>Small Businesses</w:t>
      </w:r>
    </w:p>
    <w:p w:rsidR="005F4066" w:rsidRPr="00530F7F" w:rsidP="00184B7F" w14:paraId="519CD1A7" w14:textId="3DEF87D8">
      <w:pPr>
        <w:pStyle w:val="BodyText-PostHead"/>
      </w:pPr>
      <w:r>
        <w:t>Because t</w:t>
      </w:r>
      <w:r w:rsidRPr="00732DAA">
        <w:t xml:space="preserve">he </w:t>
      </w:r>
      <w:r w:rsidRPr="0007426C">
        <w:t xml:space="preserve">vast majority of Medicare </w:t>
      </w:r>
      <w:r w:rsidR="00A57196">
        <w:t>clinicians</w:t>
      </w:r>
      <w:r w:rsidRPr="0007426C" w:rsidR="00A57196">
        <w:t xml:space="preserve"> </w:t>
      </w:r>
      <w:r w:rsidRPr="00A57196" w:rsidR="00A57196">
        <w:t xml:space="preserve">that receive Medicare payment under the PFS </w:t>
      </w:r>
      <w:r w:rsidRPr="0007426C">
        <w:t>(</w:t>
      </w:r>
      <w:r w:rsidR="00A57196">
        <w:t>approximately</w:t>
      </w:r>
      <w:r w:rsidRPr="006739FD">
        <w:t xml:space="preserve"> 9</w:t>
      </w:r>
      <w:r w:rsidR="002279F5">
        <w:t>5</w:t>
      </w:r>
      <w:r w:rsidRPr="006739FD">
        <w:t xml:space="preserve"> percent)</w:t>
      </w:r>
      <w:r w:rsidRPr="0007426C">
        <w:t xml:space="preserve"> are small entities within the definition in the Regulatory Flexibility Act (RFA), </w:t>
      </w:r>
      <w:r>
        <w:t>HHS’s</w:t>
      </w:r>
      <w:r w:rsidRPr="0007426C">
        <w:t xml:space="preserve"> normal practice </w:t>
      </w:r>
      <w:r>
        <w:t xml:space="preserve">is </w:t>
      </w:r>
      <w:r w:rsidRPr="0007426C">
        <w:t xml:space="preserve">to assume that all </w:t>
      </w:r>
      <w:r w:rsidRPr="006A2C63">
        <w:t>affected clinicians are "small" under the RFA.</w:t>
      </w:r>
      <w:r>
        <w:t xml:space="preserve"> </w:t>
      </w:r>
      <w:r w:rsidRPr="006A2C63">
        <w:t xml:space="preserve">In this case, most Medicare and Medicaid eligible clinicians are either non-profit </w:t>
      </w:r>
      <w:r w:rsidRPr="00D614E0">
        <w:t xml:space="preserve">entities or meet the Small Business Administration’s size standard for small </w:t>
      </w:r>
      <w:r w:rsidRPr="00530F7F">
        <w:t xml:space="preserve">business. The </w:t>
      </w:r>
      <w:r w:rsidRPr="00530F7F" w:rsidR="006A076B">
        <w:rPr>
          <w:color w:val="000000"/>
        </w:rPr>
        <w:t xml:space="preserve">CY </w:t>
      </w:r>
      <w:r w:rsidRPr="00530F7F" w:rsidR="00973D67">
        <w:rPr>
          <w:color w:val="000000"/>
        </w:rPr>
        <w:t>202</w:t>
      </w:r>
      <w:r w:rsidR="00973D67">
        <w:rPr>
          <w:color w:val="000000"/>
        </w:rPr>
        <w:t>5</w:t>
      </w:r>
      <w:r w:rsidRPr="00530F7F" w:rsidR="00973D67">
        <w:rPr>
          <w:color w:val="000000"/>
        </w:rPr>
        <w:t xml:space="preserve"> </w:t>
      </w:r>
      <w:r w:rsidRPr="00530F7F" w:rsidR="00D8477B">
        <w:rPr>
          <w:color w:val="000000"/>
        </w:rPr>
        <w:t xml:space="preserve">PFS </w:t>
      </w:r>
      <w:r w:rsidR="00294B7C">
        <w:rPr>
          <w:color w:val="000000"/>
        </w:rPr>
        <w:t>final</w:t>
      </w:r>
      <w:r w:rsidRPr="00530F7F" w:rsidR="00294B7C">
        <w:rPr>
          <w:color w:val="000000"/>
        </w:rPr>
        <w:t xml:space="preserve"> </w:t>
      </w:r>
      <w:r w:rsidRPr="00530F7F" w:rsidR="006A076B">
        <w:rPr>
          <w:color w:val="000000"/>
        </w:rPr>
        <w:t>rule</w:t>
      </w:r>
      <w:r w:rsidRPr="00530F7F">
        <w:rPr>
          <w:color w:val="000000"/>
        </w:rPr>
        <w:t xml:space="preserve">’s </w:t>
      </w:r>
      <w:r w:rsidRPr="00530F7F">
        <w:t xml:space="preserve">Regulatory Impact Analysis estimates that approximately </w:t>
      </w:r>
      <w:r w:rsidR="00973D67">
        <w:t xml:space="preserve">686,645 </w:t>
      </w:r>
      <w:r w:rsidRPr="00530F7F">
        <w:t xml:space="preserve">MIPS eligible clinicians </w:t>
      </w:r>
      <w:r w:rsidR="00EA4C52">
        <w:t>would</w:t>
      </w:r>
      <w:r w:rsidRPr="00530F7F" w:rsidR="00EA4C52">
        <w:t xml:space="preserve"> </w:t>
      </w:r>
      <w:r w:rsidRPr="00530F7F">
        <w:t>be subject to MIPS performance requirements.</w:t>
      </w:r>
      <w:r>
        <w:rPr>
          <w:rStyle w:val="FootnoteReference"/>
        </w:rPr>
        <w:footnoteReference w:id="4"/>
      </w:r>
      <w:r w:rsidRPr="00530F7F">
        <w:t xml:space="preserve"> The low-volume threshold is designed to limit burden to eligible clinicians who do not have a substantive business relationship with Medicare. </w:t>
      </w:r>
      <w:r w:rsidRPr="001C02A4" w:rsidR="00821C8F">
        <w:t xml:space="preserve">We estimate that approximately 178,216 clinicians in eligible specialties </w:t>
      </w:r>
      <w:r w:rsidR="00EA4C52">
        <w:t>would</w:t>
      </w:r>
      <w:r w:rsidRPr="001C02A4" w:rsidR="00821C8F">
        <w:t xml:space="preserve"> be excluded from MIPS data submission requirements because they do not have sufficient charges, services, or beneficiaries under the PFS to exceed all </w:t>
      </w:r>
      <w:r w:rsidR="005A5AD1">
        <w:t>three</w:t>
      </w:r>
      <w:r w:rsidRPr="001C02A4" w:rsidR="005A5AD1">
        <w:t xml:space="preserve"> </w:t>
      </w:r>
      <w:r w:rsidRPr="001C02A4" w:rsidR="00821C8F">
        <w:t>low volume threshold criteria and do not elect to opt-in as a group or individual.</w:t>
      </w:r>
      <w:r w:rsidRPr="00821C8F" w:rsidR="00821C8F">
        <w:t xml:space="preserve"> </w:t>
      </w:r>
      <w:r w:rsidRPr="001C02A4" w:rsidR="00821C8F">
        <w:t>We exclude 405,945 clinicians who are only eligible as a group, but do not elect to participate as a group.</w:t>
      </w:r>
      <w:r w:rsidRPr="00821C8F" w:rsidR="00821C8F">
        <w:t> </w:t>
      </w:r>
      <w:r w:rsidRPr="001C02A4" w:rsidR="00821C8F">
        <w:t>Additionally, we exclude 129,806 clinicians who are below the low-volume threshold as both individuals and groups.</w:t>
      </w:r>
      <w:r w:rsidRPr="00821C8F" w:rsidR="00821C8F">
        <w:t> </w:t>
      </w:r>
      <w:r w:rsidRPr="001C02A4" w:rsidR="00821C8F">
        <w:t>Further, we exclude an additional 420,287 clinicians who are either QPs, newly enrolled Medicare professionals (to reduce data submission burden to those professionals), or practice non-eligible specialties.</w:t>
      </w:r>
      <w:r w:rsidRPr="00821C8F" w:rsidR="00821C8F">
        <w:t xml:space="preserve"> </w:t>
      </w:r>
      <w:r w:rsidRPr="001C02A4" w:rsidR="00821C8F">
        <w:t xml:space="preserve">Clinicians who are excluded from MIPS because they are a QP, are not an eligible clinician type, and/or are newly enrolled Medicare clinicians may participate in MIPS voluntarily. Clinicians or groups who are not eligible to participate in MIPS because of the low volume threshold and do not opt-in to MIPS participation can also voluntarily submit MIPS data. </w:t>
      </w:r>
      <w:r w:rsidRPr="00821C8F" w:rsidR="00821C8F">
        <w:t>Medicare professionals voluntarily participating in MIPS would receive feedback on their performance but would not be subject to payment adjustments.</w:t>
      </w:r>
    </w:p>
    <w:p w:rsidR="000C0D05" w:rsidRPr="00FD7D1D" w:rsidP="004F1175" w14:paraId="6595E034" w14:textId="314D40C1">
      <w:pPr>
        <w:pStyle w:val="Heading3"/>
        <w:rPr>
          <w:b/>
          <w:i/>
        </w:rPr>
      </w:pPr>
      <w:r w:rsidRPr="00FD7D1D">
        <w:t>6.</w:t>
      </w:r>
      <w:r w:rsidRPr="00FD7D1D">
        <w:tab/>
      </w:r>
      <w:r w:rsidRPr="00FD7D1D" w:rsidR="00D26EEF">
        <w:t>Less Frequent Collection</w:t>
      </w:r>
    </w:p>
    <w:p w:rsidR="00F049CC" w:rsidRPr="0007426C" w:rsidP="00184B7F" w14:paraId="6E9B9503" w14:textId="2371C495">
      <w:pPr>
        <w:pStyle w:val="BodyText-PostHead"/>
      </w:pPr>
      <w:r>
        <w:t>D</w:t>
      </w:r>
      <w:r w:rsidRPr="0007426C">
        <w:t>ata on the quality</w:t>
      </w:r>
      <w:r>
        <w:t>, Promoting Interoperability, and improvement activities</w:t>
      </w:r>
      <w:r w:rsidRPr="0007426C">
        <w:t xml:space="preserve"> </w:t>
      </w:r>
      <w:r>
        <w:t xml:space="preserve">performance categories </w:t>
      </w:r>
      <w:r w:rsidRPr="0007426C">
        <w:t xml:space="preserve">are collected from individual </w:t>
      </w:r>
      <w:r>
        <w:t xml:space="preserve">MIPS </w:t>
      </w:r>
      <w:r w:rsidRPr="00AC495C">
        <w:t>eligible clinicia</w:t>
      </w:r>
      <w:r>
        <w:t>ns</w:t>
      </w:r>
      <w:r w:rsidR="00F86960">
        <w:t>,</w:t>
      </w:r>
      <w:r w:rsidRPr="0007426C">
        <w:t xml:space="preserve"> groups</w:t>
      </w:r>
      <w:r w:rsidR="00F86960">
        <w:t>, or subgroups</w:t>
      </w:r>
      <w:r>
        <w:t xml:space="preserve"> annually</w:t>
      </w:r>
      <w:r>
        <w:t>. If this information w</w:t>
      </w:r>
      <w:r w:rsidR="00853A47">
        <w:t>ere</w:t>
      </w:r>
      <w:r>
        <w:t xml:space="preserve"> collected less frequently</w:t>
      </w:r>
      <w:r w:rsidRPr="0007426C">
        <w:t xml:space="preserve">, </w:t>
      </w:r>
      <w:r>
        <w:t>we</w:t>
      </w:r>
      <w:r w:rsidRPr="0007426C">
        <w:t xml:space="preserve"> w</w:t>
      </w:r>
      <w:r w:rsidR="00836567">
        <w:t>ould</w:t>
      </w:r>
      <w:r w:rsidRPr="0007426C">
        <w:t xml:space="preserve"> have no mechanism to: (1) determine whether a</w:t>
      </w:r>
      <w:r>
        <w:t xml:space="preserve"> MIPS </w:t>
      </w:r>
      <w:r w:rsidRPr="00AC495C">
        <w:t>eligible clinician</w:t>
      </w:r>
      <w:r w:rsidR="00F86960">
        <w:t xml:space="preserve">, </w:t>
      </w:r>
      <w:r w:rsidRPr="0007426C">
        <w:t>group</w:t>
      </w:r>
      <w:r w:rsidR="00F86960">
        <w:t>, or a subgroup</w:t>
      </w:r>
      <w:r w:rsidRPr="0007426C">
        <w:t xml:space="preserve"> meets the performance criteria for a payment adjustment under MIPS</w:t>
      </w:r>
      <w:r w:rsidR="00775E2E">
        <w:t>;</w:t>
      </w:r>
      <w:r w:rsidRPr="0007426C">
        <w:t xml:space="preserve"> (2) calculate for payment adjustments to</w:t>
      </w:r>
      <w:r>
        <w:t xml:space="preserve"> MIPS</w:t>
      </w:r>
      <w:r w:rsidRPr="0007426C">
        <w:t xml:space="preserve"> </w:t>
      </w:r>
      <w:r w:rsidRPr="00AC495C">
        <w:t>eligible clinicia</w:t>
      </w:r>
      <w:r>
        <w:t>ns</w:t>
      </w:r>
      <w:r w:rsidRPr="0007426C">
        <w:t xml:space="preserve"> or groups</w:t>
      </w:r>
      <w:r w:rsidR="00775E2E">
        <w:t>;</w:t>
      </w:r>
      <w:r w:rsidRPr="0007426C">
        <w:t xml:space="preserve"> and (3) publicly post </w:t>
      </w:r>
      <w:r>
        <w:t>clinician</w:t>
      </w:r>
      <w:r w:rsidRPr="0007426C">
        <w:t xml:space="preserve"> performance information on the</w:t>
      </w:r>
      <w:r w:rsidRPr="009C052A">
        <w:t xml:space="preserve"> </w:t>
      </w:r>
      <w:r w:rsidR="00BB79F7">
        <w:t>c</w:t>
      </w:r>
      <w:r w:rsidRPr="009C052A">
        <w:t>ompare</w:t>
      </w:r>
      <w:r w:rsidR="00BB79F7">
        <w:t xml:space="preserve"> tools hosted by the </w:t>
      </w:r>
      <w:r w:rsidR="00444FD3">
        <w:t>U.S. Department of Health and Hu</w:t>
      </w:r>
      <w:r w:rsidR="001474D0">
        <w:t>man Services</w:t>
      </w:r>
      <w:r w:rsidRPr="0007426C">
        <w:t>.</w:t>
      </w:r>
      <w:r w:rsidR="000C0D05">
        <w:t xml:space="preserve"> We require additional data collections to be performed annually </w:t>
      </w:r>
      <w:r w:rsidR="00433B20">
        <w:t>to</w:t>
      </w:r>
      <w:r w:rsidR="000C0D05">
        <w:t xml:space="preserve"> allow us to determine which clinicians are required to report MIPS data. </w:t>
      </w:r>
    </w:p>
    <w:p w:rsidR="00D26EEF" w:rsidP="00F7155F" w14:paraId="5B5BD3A4" w14:textId="66F247F7">
      <w:pPr>
        <w:pStyle w:val="BodyText"/>
      </w:pPr>
      <w:r>
        <w:t xml:space="preserve">Third party intermediaries are required to self-nominate annually. </w:t>
      </w:r>
      <w:r w:rsidRPr="0007426C" w:rsidR="00F049CC">
        <w:t>If qualified registries and QCDRs are not required to submit a self-nomination statement</w:t>
      </w:r>
      <w:r>
        <w:t xml:space="preserve"> on an annual basis</w:t>
      </w:r>
      <w:r w:rsidRPr="0007426C" w:rsidR="00F049CC">
        <w:t xml:space="preserve">, </w:t>
      </w:r>
      <w:r w:rsidR="00F049CC">
        <w:t>we</w:t>
      </w:r>
      <w:r w:rsidRPr="0007426C" w:rsidR="00F049CC">
        <w:t xml:space="preserve"> will have no mechanism to determine which </w:t>
      </w:r>
      <w:r w:rsidR="004E7626">
        <w:t xml:space="preserve">qualified </w:t>
      </w:r>
      <w:r w:rsidRPr="0007426C" w:rsidR="00F049CC">
        <w:t xml:space="preserve">registries and </w:t>
      </w:r>
      <w:r w:rsidR="00F049CC">
        <w:t xml:space="preserve">QCDRs </w:t>
      </w:r>
      <w:r w:rsidRPr="0007426C" w:rsidR="00F049CC">
        <w:t xml:space="preserve">will participate in submitting </w:t>
      </w:r>
      <w:r w:rsidRPr="0007426C" w:rsidR="00F049CC">
        <w:t>quality measures</w:t>
      </w:r>
      <w:r w:rsidR="00F049CC">
        <w:t>, improvement activities, or Promoting Interoperability measures, objectives</w:t>
      </w:r>
      <w:r w:rsidR="00410F38">
        <w:t>,</w:t>
      </w:r>
      <w:r w:rsidR="00F049CC">
        <w:t xml:space="preserve"> and activities</w:t>
      </w:r>
      <w:r w:rsidRPr="0007426C" w:rsidR="00F049CC">
        <w:t>.</w:t>
      </w:r>
      <w:r w:rsidR="00F049CC">
        <w:t xml:space="preserve"> </w:t>
      </w:r>
      <w:r w:rsidRPr="0007426C" w:rsidR="00F049CC">
        <w:t xml:space="preserve">As such, </w:t>
      </w:r>
      <w:r w:rsidR="00F049CC">
        <w:t>we</w:t>
      </w:r>
      <w:r w:rsidRPr="0007426C" w:rsidR="00F049CC">
        <w:t xml:space="preserve"> would not be able to post the annual list of qualified registries </w:t>
      </w:r>
      <w:r w:rsidR="00F049CC">
        <w:t>which</w:t>
      </w:r>
      <w:r w:rsidRPr="0007426C" w:rsidR="00F049CC">
        <w:t xml:space="preserve"> </w:t>
      </w:r>
      <w:r w:rsidR="00F049CC">
        <w:t xml:space="preserve">MIPS </w:t>
      </w:r>
      <w:r w:rsidRPr="00AC495C" w:rsidR="00F049CC">
        <w:t>eligible clinicia</w:t>
      </w:r>
      <w:r w:rsidR="00F049CC">
        <w:t>ns</w:t>
      </w:r>
      <w:r w:rsidRPr="0007426C" w:rsidR="00F049CC">
        <w:t xml:space="preserve"> use to select qualified registries and QCDRs to use to report quality measures</w:t>
      </w:r>
      <w:r w:rsidR="00F049CC">
        <w:t>, improvement activities, or Promoting Interoperability</w:t>
      </w:r>
      <w:r w:rsidRPr="0007426C" w:rsidR="00F049CC">
        <w:t xml:space="preserve"> </w:t>
      </w:r>
      <w:r w:rsidR="00F049CC">
        <w:t xml:space="preserve">measures, objectives, and activities </w:t>
      </w:r>
      <w:r w:rsidRPr="0007426C" w:rsidR="00F049CC">
        <w:t>to CMS.</w:t>
      </w:r>
      <w:r w:rsidR="00F049CC">
        <w:t xml:space="preserve"> </w:t>
      </w:r>
    </w:p>
    <w:p w:rsidR="000C0D05" w:rsidRPr="00FD7D1D" w:rsidP="004F1175" w14:paraId="4F67B6FB" w14:textId="180CE20D">
      <w:pPr>
        <w:pStyle w:val="Heading3"/>
        <w:rPr>
          <w:b/>
          <w:i/>
        </w:rPr>
      </w:pPr>
      <w:r w:rsidRPr="00FD7D1D">
        <w:t>7.</w:t>
      </w:r>
      <w:r w:rsidRPr="00FD7D1D">
        <w:tab/>
      </w:r>
      <w:r w:rsidRPr="00FD7D1D" w:rsidR="00D26EEF">
        <w:t>Special Circumstances</w:t>
      </w:r>
    </w:p>
    <w:p w:rsidR="00F049CC" w:rsidRPr="0007426C" w:rsidP="00184B7F" w14:paraId="040A6AE4" w14:textId="152D5F99">
      <w:pPr>
        <w:pStyle w:val="BodyText-PostHead"/>
      </w:pPr>
      <w:r w:rsidRPr="0007426C">
        <w:t>There are no special circumstances that would require an information collection to be conducted in a manner that requires respondents to:</w:t>
      </w:r>
    </w:p>
    <w:p w:rsidR="00F049CC" w:rsidRPr="0007426C" w:rsidP="00051CC1" w14:paraId="1EB3609B" w14:textId="77777777">
      <w:pPr>
        <w:pStyle w:val="Bullet1"/>
      </w:pPr>
      <w:r w:rsidRPr="0007426C">
        <w:t>Report information to the agency more often than quarterly;</w:t>
      </w:r>
    </w:p>
    <w:p w:rsidR="00F049CC" w:rsidRPr="0007426C" w:rsidP="00F7155F" w14:paraId="628DE17D" w14:textId="77777777">
      <w:pPr>
        <w:pStyle w:val="Bullet1"/>
      </w:pPr>
      <w:r w:rsidRPr="0007426C">
        <w:t xml:space="preserve">Prepare a written response to a collection of information in fewer than 30 days after receipt of it; </w:t>
      </w:r>
    </w:p>
    <w:p w:rsidR="00F049CC" w:rsidRPr="0007426C" w:rsidP="00F7155F" w14:paraId="781067AD" w14:textId="77777777">
      <w:pPr>
        <w:pStyle w:val="Bullet1"/>
      </w:pPr>
      <w:r w:rsidRPr="0007426C">
        <w:t>Submit more than an original and two copies of any document;</w:t>
      </w:r>
    </w:p>
    <w:p w:rsidR="00F049CC" w:rsidRPr="0007426C" w:rsidP="00F7155F" w14:paraId="28664DF0" w14:textId="6197BF1C">
      <w:pPr>
        <w:pStyle w:val="Bullet1"/>
      </w:pPr>
      <w:r w:rsidRPr="0007426C">
        <w:t xml:space="preserve">Retain records, other than health, medical, government contract, grant-in-aid, or tax records for more than </w:t>
      </w:r>
      <w:r w:rsidR="00F30E9D">
        <w:t>three</w:t>
      </w:r>
      <w:r w:rsidRPr="0007426C" w:rsidR="00F30E9D">
        <w:t xml:space="preserve"> </w:t>
      </w:r>
      <w:r w:rsidRPr="0007426C">
        <w:t>years;</w:t>
      </w:r>
    </w:p>
    <w:p w:rsidR="00F049CC" w:rsidRPr="0007426C" w:rsidP="00F7155F" w14:paraId="77C8ADDA" w14:textId="77777777">
      <w:pPr>
        <w:pStyle w:val="Bullet1"/>
      </w:pPr>
      <w:r w:rsidRPr="0007426C">
        <w:t>Collect data in connection with a statistical survey that is not designed to produce valid and reliable results that can be generalized to the universe of study</w:t>
      </w:r>
      <w:r>
        <w:t>;</w:t>
      </w:r>
    </w:p>
    <w:p w:rsidR="00F049CC" w:rsidRPr="0007426C" w:rsidP="00F7155F" w14:paraId="68C270D7" w14:textId="77777777">
      <w:pPr>
        <w:pStyle w:val="Bullet1"/>
      </w:pPr>
      <w:r w:rsidRPr="0007426C">
        <w:t>Use a statistical data class</w:t>
      </w:r>
      <w:r>
        <w:t>i</w:t>
      </w:r>
      <w:r w:rsidRPr="0007426C">
        <w:t>fication that has not been reviewed and approved by OMB;</w:t>
      </w:r>
    </w:p>
    <w:p w:rsidR="00F049CC" w:rsidRPr="0007426C" w:rsidP="00F7155F" w14:paraId="066FD0A2" w14:textId="77777777">
      <w:pPr>
        <w:pStyle w:val="Bullet1"/>
      </w:pPr>
      <w:r w:rsidRPr="0007426C">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P="00F7155F" w14:paraId="6CD71DF8" w14:textId="4EB9D71C">
      <w:pPr>
        <w:pStyle w:val="Bullet1"/>
      </w:pPr>
      <w:r w:rsidRPr="0007426C">
        <w:t>Submit proprietary trade secret, or other confidential information unless the agency can demonstrate that it has instituted procedures to protect the information's confidentiality to the extent permitted by law.</w:t>
      </w:r>
    </w:p>
    <w:p w:rsidR="00D26EEF" w:rsidRPr="00FD7D1D" w:rsidP="004F1175" w14:paraId="29D9A72C" w14:textId="1558F7E1">
      <w:pPr>
        <w:pStyle w:val="Heading3"/>
        <w:rPr>
          <w:b/>
          <w:i/>
        </w:rPr>
      </w:pPr>
      <w:r w:rsidRPr="00FD7D1D">
        <w:t>8.</w:t>
      </w:r>
      <w:r w:rsidRPr="00FD7D1D">
        <w:tab/>
      </w:r>
      <w:r w:rsidRPr="00FD7D1D">
        <w:t>Federal Register/Outside Consultation</w:t>
      </w:r>
    </w:p>
    <w:p w:rsidR="00AA1B62" w:rsidRPr="00E227C4" w:rsidP="0067016B" w14:paraId="086E5091" w14:textId="0BC57254">
      <w:pPr>
        <w:pStyle w:val="BodyText-PostHead"/>
        <w:spacing w:before="240" w:after="120"/>
      </w:pPr>
      <w:r w:rsidRPr="00E227C4">
        <w:t>Serving</w:t>
      </w:r>
      <w:r w:rsidRPr="00E227C4" w:rsidR="00294B7C">
        <w:t xml:space="preserve"> </w:t>
      </w:r>
      <w:r w:rsidRPr="00E227C4" w:rsidR="00394B6C">
        <w:t>as the 60-day notice</w:t>
      </w:r>
      <w:r w:rsidRPr="00E227C4">
        <w:t>,</w:t>
      </w:r>
      <w:r w:rsidRPr="00E227C4" w:rsidR="00394B6C">
        <w:t xml:space="preserve"> </w:t>
      </w:r>
      <w:r w:rsidRPr="00E227C4">
        <w:t>t</w:t>
      </w:r>
      <w:r w:rsidRPr="00E227C4" w:rsidR="00C3749E">
        <w:t xml:space="preserve">he CY </w:t>
      </w:r>
      <w:r w:rsidRPr="00E227C4">
        <w:t xml:space="preserve">2025 </w:t>
      </w:r>
      <w:r w:rsidRPr="00E227C4" w:rsidR="00C3749E">
        <w:t xml:space="preserve">PFS proposed rule </w:t>
      </w:r>
      <w:r w:rsidRPr="00E227C4">
        <w:t xml:space="preserve">(CMS-1807-P; RIN 0938-AV33) </w:t>
      </w:r>
      <w:r w:rsidRPr="00E227C4" w:rsidR="00394B6C">
        <w:t xml:space="preserve">published in the </w:t>
      </w:r>
      <w:r w:rsidRPr="00E227C4" w:rsidR="00377517">
        <w:t>Federal Register on</w:t>
      </w:r>
      <w:r w:rsidRPr="00E227C4">
        <w:t xml:space="preserve"> </w:t>
      </w:r>
      <w:r w:rsidRPr="00E227C4" w:rsidR="00F73765">
        <w:t xml:space="preserve">July 31, 2024 </w:t>
      </w:r>
      <w:r w:rsidRPr="00E227C4" w:rsidR="002C2CC4">
        <w:t>(</w:t>
      </w:r>
      <w:r w:rsidRPr="00E227C4" w:rsidR="005625FB">
        <w:t>89</w:t>
      </w:r>
      <w:r w:rsidRPr="00E227C4" w:rsidR="005625FB">
        <w:t xml:space="preserve"> FR </w:t>
      </w:r>
      <w:r w:rsidRPr="00E227C4" w:rsidR="00294B7C">
        <w:t>61596</w:t>
      </w:r>
      <w:r w:rsidRPr="00E227C4">
        <w:t>)</w:t>
      </w:r>
      <w:r w:rsidRPr="00E227C4" w:rsidR="002C2CC4">
        <w:t>.</w:t>
      </w:r>
      <w:r w:rsidRPr="00E227C4" w:rsidR="000A2FA7">
        <w:t xml:space="preserve"> </w:t>
      </w:r>
      <w:r w:rsidRPr="00E227C4" w:rsidR="007A77E2">
        <w:t>We did not receive public comments for our estimated burden in the CY 2025 performance period</w:t>
      </w:r>
      <w:r w:rsidRPr="00E227C4" w:rsidR="00BC23C0">
        <w:t>/202</w:t>
      </w:r>
      <w:r w:rsidRPr="00E227C4" w:rsidR="00C0106E">
        <w:t>7</w:t>
      </w:r>
      <w:r w:rsidRPr="00E227C4" w:rsidR="00BC23C0">
        <w:t xml:space="preserve"> MIPS payment year.</w:t>
      </w:r>
    </w:p>
    <w:p w:rsidR="0023725D" w:rsidRPr="00E227C4" w:rsidP="0067016B" w14:paraId="1B0FDFBA" w14:textId="77777777">
      <w:pPr>
        <w:pStyle w:val="BodyText-PostHead"/>
        <w:spacing w:before="240" w:after="120"/>
      </w:pPr>
      <w:r w:rsidRPr="00E227C4">
        <w:t xml:space="preserve">The CY 2025 PFS final rule (CMS-1807-F; RIN 0938-AV33) published in the Federal Register on </w:t>
      </w:r>
      <w:r w:rsidRPr="00E227C4" w:rsidR="003A7CC4">
        <w:t>December 9, 2024</w:t>
      </w:r>
      <w:r w:rsidRPr="00E227C4">
        <w:t xml:space="preserve"> (89 FR </w:t>
      </w:r>
      <w:r w:rsidRPr="00E227C4" w:rsidR="003A7CC4">
        <w:t>97710</w:t>
      </w:r>
      <w:r w:rsidRPr="00E227C4">
        <w:t>).</w:t>
      </w:r>
    </w:p>
    <w:p w:rsidR="00282981" w:rsidRPr="00D56689" w:rsidP="0067016B" w14:paraId="4A4968A5" w14:textId="68A3258B">
      <w:pPr>
        <w:pStyle w:val="BodyText-PostHead"/>
        <w:spacing w:before="240" w:after="120"/>
      </w:pPr>
      <w:r>
        <w:t>No additional outside consultation was sought.</w:t>
      </w:r>
    </w:p>
    <w:p w:rsidR="000C0D05" w:rsidRPr="00FD7D1D" w:rsidP="00E03843" w14:paraId="6FDC2881" w14:textId="18AC5864">
      <w:pPr>
        <w:pStyle w:val="Heading3"/>
        <w:rPr>
          <w:b/>
          <w:i/>
        </w:rPr>
      </w:pPr>
      <w:r w:rsidRPr="00FD7D1D">
        <w:t>9.</w:t>
      </w:r>
      <w:r w:rsidRPr="00FD7D1D">
        <w:tab/>
      </w:r>
      <w:r w:rsidRPr="00FD7D1D" w:rsidR="00D26EEF">
        <w:t>Payments/Gifts to Respondents</w:t>
      </w:r>
    </w:p>
    <w:p w:rsidR="00D26EEF" w:rsidP="00184B7F" w14:paraId="244F02C5" w14:textId="473589E0">
      <w:pPr>
        <w:pStyle w:val="BodyText-PostHead"/>
      </w:pPr>
      <w:r>
        <w:t xml:space="preserve">We will use </w:t>
      </w:r>
      <w:r w:rsidR="000B620C">
        <w:t xml:space="preserve">eligibility and </w:t>
      </w:r>
      <w:r w:rsidR="00444AA3">
        <w:t>performance category</w:t>
      </w:r>
      <w:r w:rsidR="000F451E">
        <w:t xml:space="preserve"> </w:t>
      </w:r>
      <w:r>
        <w:t>data</w:t>
      </w:r>
      <w:r w:rsidR="000B620C">
        <w:t xml:space="preserve"> </w:t>
      </w:r>
      <w:r>
        <w:t>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w:t>
      </w:r>
      <w:r>
        <w:t xml:space="preserve">adjustments based on a final score. For the </w:t>
      </w:r>
      <w:r w:rsidRPr="00DB082D">
        <w:t xml:space="preserve">Other Payer Advanced APM </w:t>
      </w:r>
      <w:r>
        <w:t>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w:t>
      </w:r>
      <w:r w:rsidR="00156E6F">
        <w:t xml:space="preserve">. </w:t>
      </w:r>
    </w:p>
    <w:p w:rsidR="00193562" w:rsidP="00F7155F" w14:paraId="072CB7A1" w14:textId="757C82B5">
      <w:pPr>
        <w:pStyle w:val="BodyText"/>
      </w:pPr>
      <w:r>
        <w:t>More detail on how the payments are calculated can be foun</w:t>
      </w:r>
      <w:r w:rsidRPr="00BF426B">
        <w:t xml:space="preserve">d in </w:t>
      </w:r>
      <w:r w:rsidRPr="00BF426B" w:rsidR="00331BCC">
        <w:t>42 CFR §414.1405 and §414.1450.</w:t>
      </w:r>
    </w:p>
    <w:p w:rsidR="000C0D05" w:rsidRPr="00FD7D1D" w:rsidP="00E03843" w14:paraId="1F0858E4" w14:textId="37218BE4">
      <w:pPr>
        <w:pStyle w:val="Heading3"/>
        <w:rPr>
          <w:b/>
          <w:i/>
        </w:rPr>
      </w:pPr>
      <w:r w:rsidRPr="00FD7D1D">
        <w:t>10.</w:t>
      </w:r>
      <w:r w:rsidRPr="00FD7D1D">
        <w:tab/>
      </w:r>
      <w:r w:rsidRPr="00FD7D1D" w:rsidR="00D26EEF">
        <w:t>Confidentiality</w:t>
      </w:r>
    </w:p>
    <w:p w:rsidR="00A81E38" w:rsidP="00184B7F" w14:paraId="3819853E" w14:textId="4B16C382">
      <w:pPr>
        <w:pStyle w:val="BodyText-PostHead"/>
      </w:pPr>
      <w:r w:rsidRPr="00CC168F">
        <w:t>All information collected will be kept private in accordance with regulations at 45 CFR 155.</w:t>
      </w:r>
      <w:r>
        <w:t>260</w:t>
      </w:r>
      <w:r w:rsidRPr="00CC168F">
        <w:t xml:space="preserve">, Privacy and Security of Personally Identifiable Information. Pursuant to this regulation, </w:t>
      </w:r>
      <w:r>
        <w:t>CMS</w:t>
      </w:r>
      <w:r w:rsidRPr="00CC168F">
        <w:t xml:space="preserve"> may only use or disclose personally identifiable information to the extent that such information is necessary to carry out their statutory and regulatory mandated functions.</w:t>
      </w:r>
    </w:p>
    <w:p w:rsidR="00AB349F" w:rsidRPr="00FD7D1D" w:rsidP="00E03843" w14:paraId="2D02CBD4" w14:textId="45D5EEC4">
      <w:pPr>
        <w:pStyle w:val="Heading3"/>
        <w:rPr>
          <w:i/>
        </w:rPr>
      </w:pPr>
      <w:r w:rsidRPr="00FD7D1D">
        <w:t>11.</w:t>
      </w:r>
      <w:r w:rsidRPr="00FD7D1D">
        <w:tab/>
      </w:r>
      <w:r w:rsidRPr="00FD7D1D" w:rsidR="00D26EEF">
        <w:t>Sensitive Questions</w:t>
      </w:r>
    </w:p>
    <w:p w:rsidR="0078551D" w:rsidRPr="001B3EA7" w:rsidP="00184B7F" w14:paraId="481BD23B" w14:textId="61C8C4A8">
      <w:pPr>
        <w:pStyle w:val="BodyText-PostHead"/>
      </w:pPr>
      <w:r>
        <w:t>T</w:t>
      </w:r>
      <w:r w:rsidRPr="001B3EA7">
        <w:t xml:space="preserve">here are no sensitive questions included in the information </w:t>
      </w:r>
      <w:r>
        <w:t xml:space="preserve">collection </w:t>
      </w:r>
      <w:r w:rsidRPr="001B3EA7">
        <w:t>request</w:t>
      </w:r>
      <w:r>
        <w:t>s</w:t>
      </w:r>
      <w:r w:rsidRPr="001B3EA7">
        <w:t>.</w:t>
      </w:r>
      <w:r w:rsidRPr="000E56B6">
        <w:t xml:space="preserve"> </w:t>
      </w:r>
      <w:r w:rsidRPr="00184F1E" w:rsidR="00184F1E">
        <w:t>Specifically, the collection does not solicit questions of a sensitive nature, such as sexual behavior and attitudes, religious beliefs, and other matters that are commonly considered private.</w:t>
      </w:r>
    </w:p>
    <w:p w:rsidR="00BE799C" w:rsidRPr="00FD7D1D" w:rsidP="00E03843" w14:paraId="5EE5987A" w14:textId="1302A612">
      <w:pPr>
        <w:pStyle w:val="Heading3"/>
        <w:rPr>
          <w:i/>
        </w:rPr>
      </w:pPr>
      <w:r w:rsidRPr="00FD7D1D">
        <w:t>12.</w:t>
      </w:r>
      <w:r w:rsidRPr="00FD7D1D">
        <w:tab/>
      </w:r>
      <w:r w:rsidRPr="00FD7D1D" w:rsidR="00D26EEF">
        <w:t>Burden Estimates</w:t>
      </w:r>
    </w:p>
    <w:p w:rsidR="00705AEB" w:rsidRPr="006E6DEB" w:rsidP="006E6DEB" w14:paraId="144CBC41" w14:textId="3A427C57">
      <w:pPr>
        <w:pStyle w:val="Heading4"/>
        <w:rPr>
          <w:bCs/>
        </w:rPr>
      </w:pPr>
      <w:r w:rsidRPr="006E6DEB">
        <w:rPr>
          <w:bCs/>
        </w:rPr>
        <w:t>a.</w:t>
      </w:r>
      <w:r w:rsidRPr="006E6DEB">
        <w:rPr>
          <w:bCs/>
        </w:rPr>
        <w:tab/>
      </w:r>
      <w:r w:rsidRPr="006E6DEB">
        <w:rPr>
          <w:bCs/>
        </w:rPr>
        <w:t>Wage Estimates</w:t>
      </w:r>
    </w:p>
    <w:p w:rsidR="00490272" w:rsidP="0067016B" w14:paraId="71D3A111" w14:textId="0CA15926">
      <w:pPr>
        <w:pStyle w:val="BodyText-PostHead"/>
        <w:spacing w:before="240"/>
      </w:pPr>
      <w:r>
        <w:t>W</w:t>
      </w:r>
      <w:r w:rsidR="00665BC8">
        <w:t xml:space="preserve">e used data from the U.S. Bureau of Labor Statistics’ May </w:t>
      </w:r>
      <w:r w:rsidR="00AE51A4">
        <w:t>20</w:t>
      </w:r>
      <w:r w:rsidR="007B226A">
        <w:t>2</w:t>
      </w:r>
      <w:r w:rsidR="00500408">
        <w:t>3</w:t>
      </w:r>
      <w:r w:rsidR="00665BC8">
        <w:t xml:space="preserve"> National Occupational Employment and Wage Estimates for all salary estimates</w:t>
      </w:r>
      <w:r w:rsidR="00C16C84">
        <w:t xml:space="preserve"> </w:t>
      </w:r>
      <w:r w:rsidR="00665BC8">
        <w:t>(</w:t>
      </w:r>
      <w:hyperlink r:id="rId9" w:history="1">
        <w:r w:rsidRPr="007D1944" w:rsidR="00FD7D1D">
          <w:rPr>
            <w:rStyle w:val="Hyperlink"/>
          </w:rPr>
          <w:t>https://www.bls.gov/oes/current/oes_nat.htm</w:t>
        </w:r>
      </w:hyperlink>
      <w:r w:rsidR="00665BC8">
        <w:t xml:space="preserve">). </w:t>
      </w:r>
      <w:r w:rsidRPr="005038E4" w:rsidR="00665BC8">
        <w:t>Table 1</w:t>
      </w:r>
      <w:r w:rsidR="00665BC8">
        <w:t xml:space="preserve"> presents the mean hourly wage, the fringe benefits</w:t>
      </w:r>
      <w:r>
        <w:t xml:space="preserve"> cost</w:t>
      </w:r>
      <w:r w:rsidR="00665BC8">
        <w:t xml:space="preserve"> (calculated at 100 percent of salary), and the adjusted hourly wage. The adjusted hourly wage is used to calculate the labor costs</w:t>
      </w:r>
      <w:r>
        <w:t xml:space="preserve"> for the information collections</w:t>
      </w:r>
      <w:r w:rsidR="00A04115">
        <w:t>.</w:t>
      </w:r>
      <w:r w:rsidR="00816DDF">
        <w:t xml:space="preserve"> </w:t>
      </w:r>
    </w:p>
    <w:p w:rsidR="00490272" w:rsidP="00F7155F" w14:paraId="530793C9" w14:textId="0F9466D1">
      <w:pPr>
        <w:pStyle w:val="BodyText"/>
      </w:pPr>
      <w:r w:rsidRPr="00665BC8">
        <w:t>With regard to respondents, we selected BLS occupations Billing and Postal Clerks, Computer Systems Analysts, Physicians</w:t>
      </w:r>
      <w:r w:rsidR="00C97B26">
        <w:t xml:space="preserve"> (multiple categories)</w:t>
      </w:r>
      <w:r w:rsidRPr="00665BC8">
        <w:t xml:space="preserve">, </w:t>
      </w:r>
      <w:r w:rsidR="008D7DB5">
        <w:t xml:space="preserve">Medical and </w:t>
      </w:r>
      <w:r w:rsidR="00600647">
        <w:t>H</w:t>
      </w:r>
      <w:r w:rsidR="008D7DB5">
        <w:t xml:space="preserve">ealth </w:t>
      </w:r>
      <w:r w:rsidR="00600647">
        <w:t>S</w:t>
      </w:r>
      <w:r w:rsidR="008D7DB5">
        <w:t xml:space="preserve">ervices </w:t>
      </w:r>
      <w:r w:rsidR="00600647">
        <w:t>M</w:t>
      </w:r>
      <w:r w:rsidR="008D7DB5">
        <w:t>anager</w:t>
      </w:r>
      <w:r w:rsidRPr="00665BC8">
        <w:t>,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rsidR="00CB76D1" w:rsidRPr="005B7AE8" w:rsidP="00F7155F" w14:paraId="616C6379" w14:textId="1F3827B3">
      <w:pPr>
        <w:pStyle w:val="BodyText"/>
      </w:pPr>
      <w:r>
        <w:t xml:space="preserve">For our purposes, </w:t>
      </w:r>
      <w:r w:rsidR="464B661E">
        <w:t xml:space="preserve">the </w:t>
      </w:r>
      <w:r w:rsidR="7734890D">
        <w:t>BLS</w:t>
      </w:r>
      <w:r>
        <w:t>’ May 202</w:t>
      </w:r>
      <w:r w:rsidR="2891EB05">
        <w:t>3</w:t>
      </w:r>
      <w:r>
        <w:t xml:space="preserve"> National Occupational Employment and Wage Estimates does not provide an occupation that we could use for “Physician” wage data</w:t>
      </w:r>
      <w:r w:rsidR="7734890D">
        <w:t xml:space="preserve">. As a result, in </w:t>
      </w:r>
      <w:r w:rsidR="6D300B0B">
        <w:t>o</w:t>
      </w:r>
      <w:r w:rsidR="7734890D">
        <w:t xml:space="preserve">rder to estimate the </w:t>
      </w:r>
      <w:r>
        <w:t>cost for</w:t>
      </w:r>
      <w:r w:rsidR="7734890D">
        <w:t xml:space="preserve"> </w:t>
      </w:r>
      <w:r>
        <w:t>“</w:t>
      </w:r>
      <w:r w:rsidR="7734890D">
        <w:t>Physicians</w:t>
      </w:r>
      <w:r>
        <w:t>”</w:t>
      </w:r>
      <w:r w:rsidR="7734890D">
        <w:t>, we are using a rate of $</w:t>
      </w:r>
      <w:r w:rsidR="162ABE5E">
        <w:t>291.64</w:t>
      </w:r>
      <w:r w:rsidR="7734890D">
        <w:t>/hr</w:t>
      </w:r>
      <w:r w:rsidR="46FFFF1F">
        <w:t>,</w:t>
      </w:r>
      <w:r w:rsidR="7734890D">
        <w:t xml:space="preserve"> which is the average of the mean wage rates for Anesthesiologists; Family Medicine Physicians; General Internal Medicine Physicians; Obstetricians and Gynecologists; Pediatricians, General; Physicians, All Other; O</w:t>
      </w:r>
      <w:r w:rsidR="7915D691">
        <w:t>rthopedic Surgeons</w:t>
      </w:r>
      <w:r w:rsidR="7734890D">
        <w:t xml:space="preserve">, Except Pediatric; Psychiatrists; </w:t>
      </w:r>
      <w:r w:rsidR="64098FCA">
        <w:t>Pediatric Surgeons</w:t>
      </w:r>
      <w:r w:rsidR="56AB2F1B">
        <w:t>;</w:t>
      </w:r>
      <w:r w:rsidR="64098FCA">
        <w:t xml:space="preserve"> </w:t>
      </w:r>
      <w:r w:rsidR="598AEB29">
        <w:t xml:space="preserve">Surgeons, All </w:t>
      </w:r>
      <w:r w:rsidRPr="005B7AE8" w:rsidR="598AEB29">
        <w:t>Other</w:t>
      </w:r>
      <w:r w:rsidRPr="005B7AE8" w:rsidR="56AB2F1B">
        <w:t>;</w:t>
      </w:r>
      <w:r w:rsidRPr="005B7AE8" w:rsidR="598AEB29">
        <w:t xml:space="preserve"> </w:t>
      </w:r>
      <w:r w:rsidRPr="005B7AE8" w:rsidR="7734890D">
        <w:t>and Surgeons [($</w:t>
      </w:r>
      <w:r w:rsidRPr="005B7AE8" w:rsidR="5B47930A">
        <w:t>326.42</w:t>
      </w:r>
      <w:r w:rsidRPr="005B7AE8" w:rsidR="1BD513D5">
        <w:t>/hr</w:t>
      </w:r>
      <w:r w:rsidRPr="005B7AE8" w:rsidR="7734890D">
        <w:t xml:space="preserve"> + $</w:t>
      </w:r>
      <w:r w:rsidRPr="005B7AE8" w:rsidR="77892036">
        <w:t>231.54</w:t>
      </w:r>
      <w:r w:rsidRPr="005B7AE8" w:rsidR="7734890D">
        <w:t xml:space="preserve">/hr + </w:t>
      </w:r>
      <w:r w:rsidRPr="005B7AE8" w:rsidR="0F658412">
        <w:t>$</w:t>
      </w:r>
      <w:r w:rsidRPr="005B7AE8" w:rsidR="33A326C8">
        <w:t>236.02</w:t>
      </w:r>
      <w:r w:rsidRPr="005B7AE8" w:rsidR="0F658412">
        <w:t xml:space="preserve">/hr + </w:t>
      </w:r>
      <w:r w:rsidRPr="005B7AE8" w:rsidR="219A009D">
        <w:t>$</w:t>
      </w:r>
      <w:r w:rsidRPr="005B7AE8" w:rsidR="0483031F">
        <w:t>267.94</w:t>
      </w:r>
      <w:r w:rsidRPr="005B7AE8" w:rsidR="219A009D">
        <w:t>/hr + $</w:t>
      </w:r>
      <w:r w:rsidRPr="005B7AE8" w:rsidR="214DC84C">
        <w:t>197.94</w:t>
      </w:r>
      <w:r w:rsidRPr="005B7AE8" w:rsidR="219A009D">
        <w:t xml:space="preserve">/hr + </w:t>
      </w:r>
      <w:r w:rsidRPr="005B7AE8" w:rsidR="7734890D">
        <w:t>$</w:t>
      </w:r>
      <w:r w:rsidRPr="005B7AE8" w:rsidR="08ED07CD">
        <w:t>239.08</w:t>
      </w:r>
      <w:r w:rsidRPr="005B7AE8" w:rsidR="7734890D">
        <w:t>/hr + $</w:t>
      </w:r>
      <w:r w:rsidRPr="005B7AE8" w:rsidR="7EE80114">
        <w:t>363.70</w:t>
      </w:r>
      <w:r w:rsidRPr="005B7AE8" w:rsidR="7734890D">
        <w:t>/hr + $</w:t>
      </w:r>
      <w:r w:rsidRPr="005B7AE8" w:rsidR="1FB8C399">
        <w:t>247.06</w:t>
      </w:r>
      <w:r w:rsidRPr="005B7AE8" w:rsidR="7734890D">
        <w:t>/hr + $</w:t>
      </w:r>
      <w:r w:rsidRPr="005B7AE8" w:rsidR="11A4CB31">
        <w:t>432.04</w:t>
      </w:r>
      <w:r w:rsidRPr="005B7AE8" w:rsidR="7734890D">
        <w:t>/hr + $</w:t>
      </w:r>
      <w:r w:rsidRPr="005B7AE8" w:rsidR="52C1D2B9">
        <w:t>330.76</w:t>
      </w:r>
      <w:r w:rsidRPr="005B7AE8" w:rsidR="1BD513D5">
        <w:t>/hr</w:t>
      </w:r>
      <w:r w:rsidRPr="005B7AE8" w:rsidR="7734890D">
        <w:t xml:space="preserve"> + $</w:t>
      </w:r>
      <w:r w:rsidRPr="005B7AE8" w:rsidR="1082CC80">
        <w:t>335.48</w:t>
      </w:r>
      <w:r w:rsidRPr="005B7AE8" w:rsidR="7734890D">
        <w:t xml:space="preserve">/hr) </w:t>
      </w:r>
      <w:r w:rsidRPr="005B7AE8" w:rsidR="0064785A">
        <w:t>÷</w:t>
      </w:r>
      <w:r w:rsidRPr="005B7AE8" w:rsidR="7734890D">
        <w:t xml:space="preserve"> </w:t>
      </w:r>
      <w:r w:rsidRPr="005B7AE8" w:rsidR="34DF1057">
        <w:t>11</w:t>
      </w:r>
      <w:r w:rsidRPr="005B7AE8" w:rsidR="7734890D">
        <w:t>].</w:t>
      </w:r>
    </w:p>
    <w:p w:rsidR="00771899" w:rsidRPr="005B7AE8" w:rsidP="00F7155F" w14:paraId="0104265A" w14:textId="61096856">
      <w:pPr>
        <w:pStyle w:val="BodyText"/>
      </w:pPr>
      <w:r w:rsidRPr="005B7AE8">
        <w:t xml:space="preserve">We note that the May 2023 BLS data does not include median hourly wage rates for a number of the physician occupation types listed in Table </w:t>
      </w:r>
      <w:r w:rsidRPr="005B7AE8" w:rsidR="00DF608E">
        <w:t>1</w:t>
      </w:r>
      <w:r w:rsidRPr="005B7AE8">
        <w:t>; in these cases, the BLS identifies that the median</w:t>
      </w:r>
      <w:r w:rsidRPr="005B7AE8">
        <w:rPr>
          <w:rFonts w:eastAsia="Tahoma"/>
          <w:color w:val="333333"/>
        </w:rPr>
        <w:t xml:space="preserve"> wage rate is equal to or greater than $115.00/hr or $239,200 per year. </w:t>
      </w:r>
      <w:r w:rsidRPr="005B7AE8">
        <w:t>BLS data for prior years, such as the May 2021 and May 2022 data, provide similar notes for median wage rates for occupations that are above a given threshold ($100.00/hr or $208</w:t>
      </w:r>
      <w:r w:rsidRPr="005B7AE8" w:rsidR="00656403">
        <w:t>,</w:t>
      </w:r>
      <w:r w:rsidRPr="005B7AE8">
        <w:t>000 per year for the May 2021 BLS data (</w:t>
      </w:r>
      <w:hyperlink r:id="rId10" w:history="1">
        <w:r w:rsidRPr="007D1944" w:rsidR="00FD7D1D">
          <w:rPr>
            <w:rStyle w:val="Hyperlink"/>
          </w:rPr>
          <w:t>https://www.bls.gov/oes/2021/may/oes_nat.htm</w:t>
        </w:r>
      </w:hyperlink>
      <w:r w:rsidRPr="005B7AE8">
        <w:t xml:space="preserve">), and </w:t>
      </w:r>
      <w:r w:rsidRPr="005B7AE8">
        <w:rPr>
          <w:color w:val="333333"/>
        </w:rPr>
        <w:t>$115.00/hr or $239,200 per year for the May 2022 BLS data (</w:t>
      </w:r>
      <w:hyperlink r:id="rId11" w:history="1">
        <w:r w:rsidRPr="007D1944" w:rsidR="00FD7D1D">
          <w:rPr>
            <w:rStyle w:val="Hyperlink"/>
          </w:rPr>
          <w:t>https://www.bls.gov/oes/2022/may/oes_nat.htm</w:t>
        </w:r>
      </w:hyperlink>
      <w:r w:rsidRPr="005B7AE8">
        <w:rPr>
          <w:color w:val="333333"/>
        </w:rPr>
        <w:t>)).</w:t>
      </w:r>
      <w:r w:rsidRPr="005B7AE8">
        <w:rPr>
          <w:rFonts w:ascii="Tahoma" w:hAnsi="Tahoma" w:cs="Tahoma"/>
          <w:color w:val="333333"/>
          <w:sz w:val="21"/>
          <w:szCs w:val="21"/>
        </w:rPr>
        <w:t xml:space="preserve"> </w:t>
      </w:r>
      <w:r w:rsidRPr="005B7AE8">
        <w:t>Therefore, for consistency with previous years for estimating physician wage rates, we have continued to use mean hourly wage rates across our wage estimates.</w:t>
      </w:r>
    </w:p>
    <w:p w:rsidR="00665BC8" w:rsidRPr="005B7AE8" w:rsidP="004F54FB" w14:paraId="5FD6F0D3" w14:textId="350F0844">
      <w:pPr>
        <w:pStyle w:val="ExhibitTitle"/>
        <w:rPr>
          <w:b w:val="0"/>
          <w:bCs/>
        </w:rPr>
      </w:pPr>
      <w:r w:rsidRPr="005B7AE8">
        <w:rPr>
          <w:b w:val="0"/>
          <w:bCs/>
        </w:rPr>
        <w:t>T</w:t>
      </w:r>
      <w:r w:rsidRPr="005B7AE8" w:rsidR="005B1C31">
        <w:rPr>
          <w:b w:val="0"/>
          <w:bCs/>
        </w:rPr>
        <w:t>able</w:t>
      </w:r>
      <w:r w:rsidRPr="005B7AE8">
        <w:rPr>
          <w:b w:val="0"/>
          <w:bCs/>
        </w:rPr>
        <w:t xml:space="preserve"> 1: </w:t>
      </w:r>
      <w:r w:rsidRPr="005B7AE8" w:rsidR="005B1C31">
        <w:rPr>
          <w:b w:val="0"/>
          <w:bCs/>
        </w:rPr>
        <w:t xml:space="preserve">Adjusted Hourly Wages Used in Burden </w:t>
      </w:r>
      <w:r w:rsidRPr="005B7AE8">
        <w:rPr>
          <w:b w:val="0"/>
          <w:bCs/>
        </w:rPr>
        <w:t>Estimates</w:t>
      </w:r>
    </w:p>
    <w:tbl>
      <w:tblPr>
        <w:tblStyle w:val="TableGrid"/>
        <w:tblDescription w:val="Table 1: The mean hourly wages, the cost of fringe benefits and the adjusted hourly wage for the occupations used in the calculation of estimated burden for the I C R s discussed in this document."/>
        <w:tblW w:w="9350" w:type="dxa"/>
        <w:tblLook w:val="01E0"/>
      </w:tblPr>
      <w:tblGrid>
        <w:gridCol w:w="3078"/>
        <w:gridCol w:w="1662"/>
        <w:gridCol w:w="1525"/>
        <w:gridCol w:w="1536"/>
        <w:gridCol w:w="1549"/>
      </w:tblGrid>
      <w:tr w14:paraId="490E9AAA" w14:textId="77777777" w:rsidTr="00BA5E1B">
        <w:tblPrEx>
          <w:tblW w:w="9350" w:type="dxa"/>
          <w:tblLook w:val="01E0"/>
        </w:tblPrEx>
        <w:trPr>
          <w:cantSplit/>
          <w:trHeight w:val="800"/>
          <w:tblHeader/>
        </w:trPr>
        <w:tc>
          <w:tcPr>
            <w:tcW w:w="3275" w:type="dxa"/>
          </w:tcPr>
          <w:p w:rsidR="009538C2" w:rsidRPr="005B7AE8" w:rsidP="004F54FB" w14:paraId="724047F8" w14:textId="7FAAAD11">
            <w:pPr>
              <w:pStyle w:val="Table11-ColumnHeading"/>
            </w:pPr>
            <w:bookmarkStart w:id="1" w:name="_Hlk167363557"/>
            <w:r w:rsidRPr="005B7AE8">
              <w:t>Occupation Title</w:t>
            </w:r>
          </w:p>
        </w:tc>
        <w:tc>
          <w:tcPr>
            <w:tcW w:w="1299" w:type="dxa"/>
          </w:tcPr>
          <w:p w:rsidR="009538C2" w:rsidRPr="005B7AE8" w:rsidP="004F54FB" w14:paraId="2715F6A6" w14:textId="77777777">
            <w:pPr>
              <w:pStyle w:val="Table11-ColumnHeading"/>
            </w:pPr>
            <w:r w:rsidRPr="005B7AE8">
              <w:t>Occupational Code</w:t>
            </w:r>
          </w:p>
        </w:tc>
        <w:tc>
          <w:tcPr>
            <w:tcW w:w="1592" w:type="dxa"/>
          </w:tcPr>
          <w:p w:rsidR="009538C2" w:rsidRPr="005B7AE8" w:rsidP="004F54FB" w14:paraId="10A3F408" w14:textId="6A6EEEEF">
            <w:pPr>
              <w:pStyle w:val="Table11-ColumnHeading"/>
            </w:pPr>
            <w:r w:rsidRPr="005B7AE8">
              <w:t>Mean Hourly Wage ($/h</w:t>
            </w:r>
            <w:r w:rsidRPr="005B7AE8" w:rsidR="005B1C31">
              <w:t>r</w:t>
            </w:r>
            <w:r w:rsidRPr="005B7AE8">
              <w:t>)</w:t>
            </w:r>
          </w:p>
        </w:tc>
        <w:tc>
          <w:tcPr>
            <w:tcW w:w="1592" w:type="dxa"/>
          </w:tcPr>
          <w:p w:rsidR="002F7E36" w:rsidRPr="005B7AE8" w:rsidP="004F54FB" w14:paraId="00334D28" w14:textId="54C53570">
            <w:pPr>
              <w:pStyle w:val="Table11-ColumnHeading"/>
            </w:pPr>
            <w:r w:rsidRPr="005B7AE8">
              <w:t>Fringe Benefits and O</w:t>
            </w:r>
            <w:r w:rsidRPr="005B7AE8" w:rsidR="006264BD">
              <w:t>ther Indirect Costs</w:t>
            </w:r>
            <w:r w:rsidRPr="005B7AE8">
              <w:t xml:space="preserve"> </w:t>
            </w:r>
          </w:p>
          <w:p w:rsidR="009538C2" w:rsidRPr="005B7AE8" w:rsidP="004F54FB" w14:paraId="7CD59372" w14:textId="3F0F1AC3">
            <w:pPr>
              <w:pStyle w:val="Table11-ColumnHeading"/>
            </w:pPr>
            <w:r w:rsidRPr="005B7AE8">
              <w:t>($/hr)</w:t>
            </w:r>
          </w:p>
        </w:tc>
        <w:tc>
          <w:tcPr>
            <w:tcW w:w="1592" w:type="dxa"/>
          </w:tcPr>
          <w:p w:rsidR="009538C2" w:rsidRPr="005B7AE8" w:rsidP="004F54FB" w14:paraId="288673A0" w14:textId="0ED2E837">
            <w:pPr>
              <w:pStyle w:val="Table11-ColumnHeading"/>
            </w:pPr>
            <w:r w:rsidRPr="005B7AE8">
              <w:t>Adjusted Hourly Wage ($/hr)</w:t>
            </w:r>
          </w:p>
        </w:tc>
      </w:tr>
      <w:tr w14:paraId="162BB99F" w14:textId="77777777" w:rsidTr="00BA5E1B">
        <w:tblPrEx>
          <w:tblW w:w="9350" w:type="dxa"/>
          <w:tblLook w:val="01E0"/>
        </w:tblPrEx>
        <w:trPr>
          <w:cantSplit/>
        </w:trPr>
        <w:tc>
          <w:tcPr>
            <w:tcW w:w="3275" w:type="dxa"/>
          </w:tcPr>
          <w:p w:rsidR="00F22CA3" w:rsidRPr="005B7AE8" w:rsidP="004F54FB" w14:paraId="505047EB" w14:textId="77777777">
            <w:pPr>
              <w:pStyle w:val="Table11Basic"/>
            </w:pPr>
            <w:r w:rsidRPr="005B7AE8">
              <w:t>Anesthesiologists</w:t>
            </w:r>
          </w:p>
        </w:tc>
        <w:tc>
          <w:tcPr>
            <w:tcW w:w="1299" w:type="dxa"/>
          </w:tcPr>
          <w:p w:rsidR="00F22CA3" w:rsidRPr="005B7AE8" w:rsidP="004F54FB" w14:paraId="32E3EC3F" w14:textId="77777777">
            <w:pPr>
              <w:pStyle w:val="Table11Centered"/>
            </w:pPr>
            <w:r w:rsidRPr="005B7AE8">
              <w:t>29-1211</w:t>
            </w:r>
          </w:p>
        </w:tc>
        <w:tc>
          <w:tcPr>
            <w:tcW w:w="1592" w:type="dxa"/>
          </w:tcPr>
          <w:p w:rsidR="00F22CA3" w:rsidRPr="005B7AE8" w:rsidP="004F54FB" w14:paraId="6CEAF99C" w14:textId="1CBCF7F1">
            <w:pPr>
              <w:pStyle w:val="Table11Centered"/>
            </w:pPr>
            <w:r w:rsidRPr="005B7AE8">
              <w:t>163.21</w:t>
            </w:r>
          </w:p>
        </w:tc>
        <w:tc>
          <w:tcPr>
            <w:tcW w:w="1592" w:type="dxa"/>
          </w:tcPr>
          <w:p w:rsidR="00F22CA3" w:rsidRPr="005B7AE8" w:rsidP="004F54FB" w14:paraId="0D76D5E1" w14:textId="188086DC">
            <w:pPr>
              <w:pStyle w:val="Table11Centered"/>
            </w:pPr>
            <w:r w:rsidRPr="005B7AE8">
              <w:t>163.21</w:t>
            </w:r>
          </w:p>
        </w:tc>
        <w:tc>
          <w:tcPr>
            <w:tcW w:w="1592" w:type="dxa"/>
          </w:tcPr>
          <w:p w:rsidR="00F22CA3" w:rsidRPr="00642437" w:rsidP="004F54FB" w14:paraId="22F7C420" w14:textId="15C26324">
            <w:pPr>
              <w:pStyle w:val="Table11Centered"/>
            </w:pPr>
            <w:r w:rsidRPr="005B7AE8">
              <w:t>326.42</w:t>
            </w:r>
          </w:p>
        </w:tc>
      </w:tr>
      <w:tr w14:paraId="702BF34B" w14:textId="77777777" w:rsidTr="00BA5E1B">
        <w:tblPrEx>
          <w:tblW w:w="9350" w:type="dxa"/>
          <w:tblLook w:val="01E0"/>
        </w:tblPrEx>
        <w:trPr>
          <w:cantSplit/>
          <w:trHeight w:val="512"/>
        </w:trPr>
        <w:tc>
          <w:tcPr>
            <w:tcW w:w="3275" w:type="dxa"/>
          </w:tcPr>
          <w:p w:rsidR="00F15034" w:rsidRPr="00642437" w:rsidP="004F54FB" w14:paraId="267CD2DE" w14:textId="77777777">
            <w:pPr>
              <w:pStyle w:val="Table11Basic"/>
            </w:pPr>
            <w:r w:rsidRPr="00642437">
              <w:t>Billing and Posting Clerks</w:t>
            </w:r>
          </w:p>
        </w:tc>
        <w:tc>
          <w:tcPr>
            <w:tcW w:w="1299" w:type="dxa"/>
          </w:tcPr>
          <w:p w:rsidR="00F15034" w:rsidRPr="00642437" w:rsidP="004F54FB" w14:paraId="1DB25AC7" w14:textId="77777777">
            <w:pPr>
              <w:pStyle w:val="Table11Centered"/>
            </w:pPr>
            <w:r w:rsidRPr="00642437">
              <w:t>43-3021</w:t>
            </w:r>
          </w:p>
        </w:tc>
        <w:tc>
          <w:tcPr>
            <w:tcW w:w="1592" w:type="dxa"/>
          </w:tcPr>
          <w:p w:rsidR="00F15034" w:rsidRPr="00642437" w:rsidP="004F54FB" w14:paraId="5E514CBF" w14:textId="5D621EEA">
            <w:pPr>
              <w:pStyle w:val="Table11Centered"/>
            </w:pPr>
            <w:r w:rsidRPr="5B5F5372">
              <w:t>22.66</w:t>
            </w:r>
          </w:p>
        </w:tc>
        <w:tc>
          <w:tcPr>
            <w:tcW w:w="1592" w:type="dxa"/>
          </w:tcPr>
          <w:p w:rsidR="00F15034" w:rsidRPr="00642437" w:rsidP="004F54FB" w14:paraId="6FFA2E06" w14:textId="1848D1C0">
            <w:pPr>
              <w:pStyle w:val="Table11Centered"/>
            </w:pPr>
            <w:r w:rsidRPr="5B5F5372">
              <w:t>22.66</w:t>
            </w:r>
          </w:p>
        </w:tc>
        <w:tc>
          <w:tcPr>
            <w:tcW w:w="1592" w:type="dxa"/>
          </w:tcPr>
          <w:p w:rsidR="00F15034" w:rsidRPr="00642437" w:rsidP="004F54FB" w14:paraId="6BC498EF" w14:textId="3CA364F4">
            <w:pPr>
              <w:pStyle w:val="Table11Centered"/>
            </w:pPr>
            <w:r w:rsidRPr="5B5F5372">
              <w:t>45.32</w:t>
            </w:r>
          </w:p>
        </w:tc>
      </w:tr>
      <w:tr w14:paraId="0D9E076A" w14:textId="77777777" w:rsidTr="00BA5E1B">
        <w:tblPrEx>
          <w:tblW w:w="9350" w:type="dxa"/>
          <w:tblLook w:val="01E0"/>
        </w:tblPrEx>
        <w:trPr>
          <w:cantSplit/>
        </w:trPr>
        <w:tc>
          <w:tcPr>
            <w:tcW w:w="3275" w:type="dxa"/>
          </w:tcPr>
          <w:p w:rsidR="00AF2B3B" w:rsidRPr="00642437" w:rsidP="004F54FB" w14:paraId="612188CB" w14:textId="77777777">
            <w:pPr>
              <w:pStyle w:val="Table11Basic"/>
            </w:pPr>
            <w:r w:rsidRPr="00642437">
              <w:t>Computer Systems Analysts</w:t>
            </w:r>
          </w:p>
        </w:tc>
        <w:tc>
          <w:tcPr>
            <w:tcW w:w="1299" w:type="dxa"/>
          </w:tcPr>
          <w:p w:rsidR="00AF2B3B" w:rsidRPr="00642437" w:rsidP="004F54FB" w14:paraId="5E89BA06" w14:textId="77777777">
            <w:pPr>
              <w:pStyle w:val="Table11Centered"/>
            </w:pPr>
            <w:r w:rsidRPr="00642437">
              <w:t>15-1211</w:t>
            </w:r>
          </w:p>
        </w:tc>
        <w:tc>
          <w:tcPr>
            <w:tcW w:w="1592" w:type="dxa"/>
          </w:tcPr>
          <w:p w:rsidR="00AF2B3B" w:rsidRPr="00642437" w:rsidP="004F54FB" w14:paraId="64B24FB2" w14:textId="6364B2F0">
            <w:pPr>
              <w:pStyle w:val="Table11Centered"/>
            </w:pPr>
            <w:r w:rsidRPr="5B5F5372">
              <w:t>53.27</w:t>
            </w:r>
          </w:p>
        </w:tc>
        <w:tc>
          <w:tcPr>
            <w:tcW w:w="1592" w:type="dxa"/>
          </w:tcPr>
          <w:p w:rsidR="00AF2B3B" w:rsidRPr="00642437" w:rsidP="004F54FB" w14:paraId="27A83F80" w14:textId="29319A46">
            <w:pPr>
              <w:pStyle w:val="Table11Centered"/>
            </w:pPr>
            <w:r w:rsidRPr="5B5F5372">
              <w:t>53.27</w:t>
            </w:r>
          </w:p>
        </w:tc>
        <w:tc>
          <w:tcPr>
            <w:tcW w:w="1592" w:type="dxa"/>
          </w:tcPr>
          <w:p w:rsidR="00AF2B3B" w:rsidRPr="00642437" w:rsidP="004F54FB" w14:paraId="7C98D130" w14:textId="6EF83749">
            <w:pPr>
              <w:pStyle w:val="Table11Centered"/>
            </w:pPr>
            <w:r w:rsidRPr="5B5F5372">
              <w:t>106.54</w:t>
            </w:r>
          </w:p>
        </w:tc>
      </w:tr>
      <w:tr w14:paraId="1013ECBA" w14:textId="77777777" w:rsidTr="00BA5E1B">
        <w:tblPrEx>
          <w:tblW w:w="9350" w:type="dxa"/>
          <w:tblLook w:val="01E0"/>
        </w:tblPrEx>
        <w:trPr>
          <w:cantSplit/>
        </w:trPr>
        <w:tc>
          <w:tcPr>
            <w:tcW w:w="3275" w:type="dxa"/>
          </w:tcPr>
          <w:p w:rsidR="00260CD4" w:rsidRPr="00642437" w:rsidP="004F54FB" w14:paraId="028F336C" w14:textId="77777777">
            <w:pPr>
              <w:pStyle w:val="Table11Basic"/>
            </w:pPr>
            <w:r w:rsidRPr="00642437">
              <w:t>Family Medicine Physicians</w:t>
            </w:r>
          </w:p>
        </w:tc>
        <w:tc>
          <w:tcPr>
            <w:tcW w:w="1299" w:type="dxa"/>
          </w:tcPr>
          <w:p w:rsidR="00260CD4" w:rsidRPr="00642437" w:rsidP="004F54FB" w14:paraId="4AB45567" w14:textId="77777777">
            <w:pPr>
              <w:pStyle w:val="Table11Centered"/>
            </w:pPr>
            <w:r w:rsidRPr="00642437">
              <w:t>29-1215</w:t>
            </w:r>
          </w:p>
        </w:tc>
        <w:tc>
          <w:tcPr>
            <w:tcW w:w="1592" w:type="dxa"/>
          </w:tcPr>
          <w:p w:rsidR="00260CD4" w:rsidRPr="00642437" w:rsidP="004F54FB" w14:paraId="033D3FD8" w14:textId="436DCCC7">
            <w:pPr>
              <w:pStyle w:val="Table11Centered"/>
            </w:pPr>
            <w:r w:rsidRPr="5B5F5372">
              <w:t>115.77</w:t>
            </w:r>
          </w:p>
        </w:tc>
        <w:tc>
          <w:tcPr>
            <w:tcW w:w="1592" w:type="dxa"/>
          </w:tcPr>
          <w:p w:rsidR="00260CD4" w:rsidRPr="00642437" w:rsidP="004F54FB" w14:paraId="5FC6E967" w14:textId="6655BF70">
            <w:pPr>
              <w:pStyle w:val="Table11Centered"/>
            </w:pPr>
            <w:r w:rsidRPr="5B5F5372">
              <w:t>115.77</w:t>
            </w:r>
          </w:p>
        </w:tc>
        <w:tc>
          <w:tcPr>
            <w:tcW w:w="1592" w:type="dxa"/>
          </w:tcPr>
          <w:p w:rsidR="00260CD4" w:rsidRPr="00642437" w:rsidP="004F54FB" w14:paraId="6CF50D81" w14:textId="029E2107">
            <w:pPr>
              <w:pStyle w:val="Table11Centered"/>
            </w:pPr>
            <w:r w:rsidRPr="5B5F5372">
              <w:t>231.54</w:t>
            </w:r>
          </w:p>
        </w:tc>
      </w:tr>
      <w:tr w14:paraId="70F9332B" w14:textId="77777777" w:rsidTr="00BA5E1B">
        <w:tblPrEx>
          <w:tblW w:w="9350" w:type="dxa"/>
          <w:tblLook w:val="01E0"/>
        </w:tblPrEx>
        <w:trPr>
          <w:cantSplit/>
        </w:trPr>
        <w:tc>
          <w:tcPr>
            <w:tcW w:w="3275" w:type="dxa"/>
          </w:tcPr>
          <w:p w:rsidR="0034522B" w:rsidRPr="00642437" w:rsidP="004F54FB" w14:paraId="676D4D65" w14:textId="77777777">
            <w:pPr>
              <w:pStyle w:val="Table11Basic"/>
            </w:pPr>
            <w:r w:rsidRPr="00642437">
              <w:t>General Internal Medicine Physicians</w:t>
            </w:r>
          </w:p>
        </w:tc>
        <w:tc>
          <w:tcPr>
            <w:tcW w:w="1299" w:type="dxa"/>
          </w:tcPr>
          <w:p w:rsidR="0034522B" w:rsidRPr="00642437" w:rsidP="004F54FB" w14:paraId="673F13E0" w14:textId="77777777">
            <w:pPr>
              <w:pStyle w:val="Table11Centered"/>
            </w:pPr>
            <w:r w:rsidRPr="00642437">
              <w:t>29-1216</w:t>
            </w:r>
          </w:p>
        </w:tc>
        <w:tc>
          <w:tcPr>
            <w:tcW w:w="1592" w:type="dxa"/>
          </w:tcPr>
          <w:p w:rsidR="0034522B" w:rsidRPr="00642437" w:rsidP="004F54FB" w14:paraId="79EA5FB3" w14:textId="0765CE42">
            <w:pPr>
              <w:pStyle w:val="Table11Centered"/>
            </w:pPr>
            <w:r w:rsidRPr="5B5F5372">
              <w:t>118.01</w:t>
            </w:r>
          </w:p>
        </w:tc>
        <w:tc>
          <w:tcPr>
            <w:tcW w:w="1592" w:type="dxa"/>
          </w:tcPr>
          <w:p w:rsidR="0034522B" w:rsidRPr="00642437" w:rsidP="004F54FB" w14:paraId="2F664260" w14:textId="67A65CBE">
            <w:pPr>
              <w:pStyle w:val="Table11Centered"/>
            </w:pPr>
            <w:r w:rsidRPr="5B5F5372">
              <w:t>118.01</w:t>
            </w:r>
          </w:p>
        </w:tc>
        <w:tc>
          <w:tcPr>
            <w:tcW w:w="1592" w:type="dxa"/>
          </w:tcPr>
          <w:p w:rsidR="0034522B" w:rsidRPr="00642437" w:rsidP="004F54FB" w14:paraId="010D2962" w14:textId="7440E0A5">
            <w:pPr>
              <w:pStyle w:val="Table11Centered"/>
            </w:pPr>
            <w:r w:rsidRPr="5B5F5372">
              <w:t>236.02</w:t>
            </w:r>
          </w:p>
        </w:tc>
      </w:tr>
      <w:tr w14:paraId="73A29E8F" w14:textId="77777777" w:rsidTr="00BA5E1B">
        <w:tblPrEx>
          <w:tblW w:w="9350" w:type="dxa"/>
          <w:tblLook w:val="01E0"/>
        </w:tblPrEx>
        <w:trPr>
          <w:cantSplit/>
        </w:trPr>
        <w:tc>
          <w:tcPr>
            <w:tcW w:w="3275" w:type="dxa"/>
          </w:tcPr>
          <w:p w:rsidR="00D41B4F" w:rsidRPr="00642437" w:rsidP="004F54FB" w14:paraId="232CFD06" w14:textId="77777777">
            <w:pPr>
              <w:pStyle w:val="Table11Basic"/>
            </w:pPr>
            <w:r w:rsidRPr="00642437">
              <w:t>Licensed Practical Nurse (LPN)</w:t>
            </w:r>
          </w:p>
        </w:tc>
        <w:tc>
          <w:tcPr>
            <w:tcW w:w="1299" w:type="dxa"/>
          </w:tcPr>
          <w:p w:rsidR="00D41B4F" w:rsidRPr="00642437" w:rsidP="004F54FB" w14:paraId="0FF38C8D" w14:textId="77777777">
            <w:pPr>
              <w:pStyle w:val="Table11Centered"/>
            </w:pPr>
            <w:r w:rsidRPr="00642437">
              <w:t>29-2061</w:t>
            </w:r>
          </w:p>
        </w:tc>
        <w:tc>
          <w:tcPr>
            <w:tcW w:w="1592" w:type="dxa"/>
          </w:tcPr>
          <w:p w:rsidR="00D41B4F" w:rsidRPr="00642437" w:rsidP="004F54FB" w14:paraId="0D63A7A3" w14:textId="77F6FF9E">
            <w:pPr>
              <w:pStyle w:val="Table11Centered"/>
            </w:pPr>
            <w:r w:rsidRPr="5B5F5372">
              <w:t>29.23</w:t>
            </w:r>
          </w:p>
        </w:tc>
        <w:tc>
          <w:tcPr>
            <w:tcW w:w="1592" w:type="dxa"/>
          </w:tcPr>
          <w:p w:rsidR="00D41B4F" w:rsidRPr="00642437" w:rsidP="004F54FB" w14:paraId="4322C459" w14:textId="59B93CF8">
            <w:pPr>
              <w:pStyle w:val="Table11Centered"/>
            </w:pPr>
            <w:r w:rsidRPr="5B5F5372">
              <w:t>29.23</w:t>
            </w:r>
          </w:p>
        </w:tc>
        <w:tc>
          <w:tcPr>
            <w:tcW w:w="1592" w:type="dxa"/>
          </w:tcPr>
          <w:p w:rsidR="00D41B4F" w:rsidRPr="00642437" w:rsidP="004F54FB" w14:paraId="27D363A6" w14:textId="3264D794">
            <w:pPr>
              <w:pStyle w:val="Table11Centered"/>
            </w:pPr>
            <w:r w:rsidRPr="5B5F5372">
              <w:t>58.46</w:t>
            </w:r>
          </w:p>
        </w:tc>
      </w:tr>
      <w:tr w14:paraId="6EC33E8D" w14:textId="77777777" w:rsidTr="00BA5E1B">
        <w:tblPrEx>
          <w:tblW w:w="9350" w:type="dxa"/>
          <w:tblLook w:val="01E0"/>
        </w:tblPrEx>
        <w:trPr>
          <w:cantSplit/>
        </w:trPr>
        <w:tc>
          <w:tcPr>
            <w:tcW w:w="3275" w:type="dxa"/>
          </w:tcPr>
          <w:p w:rsidR="002D1936" w:rsidRPr="00642437" w:rsidP="004F54FB" w14:paraId="40A9CA30" w14:textId="77777777">
            <w:pPr>
              <w:pStyle w:val="Table11Basic"/>
            </w:pPr>
            <w:r w:rsidRPr="00642437">
              <w:t>Medical and Health Services Managers</w:t>
            </w:r>
          </w:p>
        </w:tc>
        <w:tc>
          <w:tcPr>
            <w:tcW w:w="1299" w:type="dxa"/>
          </w:tcPr>
          <w:p w:rsidR="002D1936" w:rsidRPr="00642437" w:rsidP="004F54FB" w14:paraId="4CBE5F0A" w14:textId="77777777">
            <w:pPr>
              <w:pStyle w:val="Table11Centered"/>
            </w:pPr>
            <w:r w:rsidRPr="00642437">
              <w:t>11-9111</w:t>
            </w:r>
          </w:p>
        </w:tc>
        <w:tc>
          <w:tcPr>
            <w:tcW w:w="1592" w:type="dxa"/>
          </w:tcPr>
          <w:p w:rsidR="002D1936" w:rsidRPr="00642437" w:rsidP="004F54FB" w14:paraId="3E50E70A" w14:textId="61AF084E">
            <w:pPr>
              <w:pStyle w:val="Table11Centered"/>
            </w:pPr>
            <w:r w:rsidRPr="5B5F5372">
              <w:t>64.64</w:t>
            </w:r>
          </w:p>
        </w:tc>
        <w:tc>
          <w:tcPr>
            <w:tcW w:w="1592" w:type="dxa"/>
          </w:tcPr>
          <w:p w:rsidR="002D1936" w:rsidRPr="00642437" w:rsidP="004F54FB" w14:paraId="40BC2D65" w14:textId="12DE7360">
            <w:pPr>
              <w:pStyle w:val="Table11Centered"/>
            </w:pPr>
            <w:r w:rsidRPr="5B5F5372">
              <w:t>64.64</w:t>
            </w:r>
          </w:p>
        </w:tc>
        <w:tc>
          <w:tcPr>
            <w:tcW w:w="1592" w:type="dxa"/>
          </w:tcPr>
          <w:p w:rsidR="002D1936" w:rsidRPr="00642437" w:rsidP="004F54FB" w14:paraId="0E264F77" w14:textId="7AFCF7F2">
            <w:pPr>
              <w:pStyle w:val="Table11Centered"/>
            </w:pPr>
            <w:r w:rsidRPr="5B5F5372">
              <w:t>129.28</w:t>
            </w:r>
          </w:p>
        </w:tc>
      </w:tr>
      <w:tr w14:paraId="238472CB" w14:textId="77777777" w:rsidTr="00BA5E1B">
        <w:tblPrEx>
          <w:tblW w:w="9350" w:type="dxa"/>
          <w:tblLook w:val="01E0"/>
        </w:tblPrEx>
        <w:trPr>
          <w:cantSplit/>
        </w:trPr>
        <w:tc>
          <w:tcPr>
            <w:tcW w:w="3275" w:type="dxa"/>
          </w:tcPr>
          <w:p w:rsidR="00243618" w:rsidRPr="00642437" w:rsidP="004F54FB" w14:paraId="53439B83" w14:textId="77777777">
            <w:pPr>
              <w:pStyle w:val="Table11Basic"/>
            </w:pPr>
            <w:r w:rsidRPr="00642437">
              <w:t>Obstetricians and Gynecologists</w:t>
            </w:r>
          </w:p>
        </w:tc>
        <w:tc>
          <w:tcPr>
            <w:tcW w:w="1299" w:type="dxa"/>
          </w:tcPr>
          <w:p w:rsidR="00243618" w:rsidRPr="00642437" w:rsidP="004F54FB" w14:paraId="63B1C6D5" w14:textId="77777777">
            <w:pPr>
              <w:pStyle w:val="Table11Centered"/>
            </w:pPr>
            <w:r w:rsidRPr="00642437">
              <w:t>29-1218</w:t>
            </w:r>
          </w:p>
        </w:tc>
        <w:tc>
          <w:tcPr>
            <w:tcW w:w="1592" w:type="dxa"/>
          </w:tcPr>
          <w:p w:rsidR="00243618" w:rsidRPr="00642437" w:rsidP="004F54FB" w14:paraId="3625B5D7" w14:textId="55C10975">
            <w:pPr>
              <w:pStyle w:val="Table11Centered"/>
            </w:pPr>
            <w:r w:rsidRPr="5B5F5372">
              <w:t>133.97</w:t>
            </w:r>
          </w:p>
        </w:tc>
        <w:tc>
          <w:tcPr>
            <w:tcW w:w="1592" w:type="dxa"/>
          </w:tcPr>
          <w:p w:rsidR="00243618" w:rsidRPr="00642437" w:rsidP="004F54FB" w14:paraId="5FBDD87D" w14:textId="6994A1CC">
            <w:pPr>
              <w:pStyle w:val="Table11Centered"/>
            </w:pPr>
            <w:r w:rsidRPr="5B5F5372">
              <w:t>133.97</w:t>
            </w:r>
          </w:p>
        </w:tc>
        <w:tc>
          <w:tcPr>
            <w:tcW w:w="1592" w:type="dxa"/>
          </w:tcPr>
          <w:p w:rsidR="00243618" w:rsidRPr="00642437" w:rsidP="004F54FB" w14:paraId="11271605" w14:textId="060FF637">
            <w:pPr>
              <w:pStyle w:val="Table11Centered"/>
            </w:pPr>
            <w:r w:rsidRPr="5B5F5372">
              <w:t>267.94</w:t>
            </w:r>
          </w:p>
        </w:tc>
      </w:tr>
      <w:tr w14:paraId="7D650BA8" w14:textId="77777777" w:rsidTr="00BA5E1B">
        <w:tblPrEx>
          <w:tblW w:w="9350" w:type="dxa"/>
          <w:tblLook w:val="01E0"/>
        </w:tblPrEx>
        <w:trPr>
          <w:cantSplit/>
        </w:trPr>
        <w:tc>
          <w:tcPr>
            <w:tcW w:w="3275" w:type="dxa"/>
          </w:tcPr>
          <w:p w:rsidR="004B56E4" w:rsidRPr="00642437" w:rsidP="004F54FB" w14:paraId="2B349955" w14:textId="77777777">
            <w:pPr>
              <w:pStyle w:val="Table11Basic"/>
            </w:pPr>
            <w:r w:rsidRPr="00642437">
              <w:rPr>
                <w:bCs/>
                <w:lang w:bidi="en-US"/>
              </w:rPr>
              <w:t xml:space="preserve">Orthopedic </w:t>
            </w:r>
            <w:r w:rsidRPr="00642437">
              <w:t xml:space="preserve">Surgeons, Except </w:t>
            </w:r>
            <w:r w:rsidRPr="00642437">
              <w:rPr>
                <w:bCs/>
                <w:lang w:bidi="en-US"/>
              </w:rPr>
              <w:t>Pediatric</w:t>
            </w:r>
          </w:p>
        </w:tc>
        <w:tc>
          <w:tcPr>
            <w:tcW w:w="1299" w:type="dxa"/>
          </w:tcPr>
          <w:p w:rsidR="004B56E4" w:rsidRPr="00642437" w:rsidP="004F54FB" w14:paraId="1BEB2594" w14:textId="77777777">
            <w:pPr>
              <w:pStyle w:val="Table11Centered"/>
            </w:pPr>
            <w:r w:rsidRPr="00642437">
              <w:t>29-1242</w:t>
            </w:r>
          </w:p>
        </w:tc>
        <w:tc>
          <w:tcPr>
            <w:tcW w:w="1592" w:type="dxa"/>
          </w:tcPr>
          <w:p w:rsidR="004B56E4" w:rsidRPr="00642437" w:rsidP="004F54FB" w14:paraId="270D4E1F" w14:textId="2D654D0F">
            <w:pPr>
              <w:pStyle w:val="Table11Centered"/>
            </w:pPr>
            <w:r w:rsidRPr="5B5F5372">
              <w:t>181.85</w:t>
            </w:r>
          </w:p>
        </w:tc>
        <w:tc>
          <w:tcPr>
            <w:tcW w:w="1592" w:type="dxa"/>
          </w:tcPr>
          <w:p w:rsidR="004B56E4" w:rsidRPr="00642437" w:rsidP="004F54FB" w14:paraId="447ACD4F" w14:textId="224A1151">
            <w:pPr>
              <w:pStyle w:val="Table11Centered"/>
            </w:pPr>
            <w:r w:rsidRPr="5B5F5372">
              <w:t>181.85</w:t>
            </w:r>
          </w:p>
        </w:tc>
        <w:tc>
          <w:tcPr>
            <w:tcW w:w="1592" w:type="dxa"/>
          </w:tcPr>
          <w:p w:rsidR="004B56E4" w:rsidRPr="00642437" w:rsidP="004F54FB" w14:paraId="36232591" w14:textId="0E87143D">
            <w:pPr>
              <w:pStyle w:val="Table11Centered"/>
            </w:pPr>
            <w:r w:rsidRPr="5B5F5372">
              <w:t>363.7</w:t>
            </w:r>
            <w:r w:rsidRPr="5B5F5372" w:rsidR="219C929A">
              <w:t>0</w:t>
            </w:r>
          </w:p>
        </w:tc>
      </w:tr>
      <w:tr w14:paraId="79683EAB" w14:textId="77777777" w:rsidTr="00BA5E1B">
        <w:tblPrEx>
          <w:tblW w:w="9350" w:type="dxa"/>
          <w:tblLook w:val="01E0"/>
        </w:tblPrEx>
        <w:trPr>
          <w:cantSplit/>
        </w:trPr>
        <w:tc>
          <w:tcPr>
            <w:tcW w:w="3275" w:type="dxa"/>
          </w:tcPr>
          <w:p w:rsidR="004950E9" w:rsidRPr="00642437" w:rsidP="004F54FB" w14:paraId="287D2006" w14:textId="77777777">
            <w:pPr>
              <w:pStyle w:val="Table11Basic"/>
            </w:pPr>
            <w:r w:rsidRPr="00642437">
              <w:t>Pediatricians, General</w:t>
            </w:r>
          </w:p>
        </w:tc>
        <w:tc>
          <w:tcPr>
            <w:tcW w:w="1299" w:type="dxa"/>
          </w:tcPr>
          <w:p w:rsidR="004950E9" w:rsidRPr="00642437" w:rsidP="004F54FB" w14:paraId="6342408C" w14:textId="77777777">
            <w:pPr>
              <w:pStyle w:val="Table11Centered"/>
            </w:pPr>
            <w:r w:rsidRPr="00642437">
              <w:t>29-1221</w:t>
            </w:r>
          </w:p>
        </w:tc>
        <w:tc>
          <w:tcPr>
            <w:tcW w:w="1592" w:type="dxa"/>
          </w:tcPr>
          <w:p w:rsidR="004950E9" w:rsidRPr="00642437" w:rsidP="004F54FB" w14:paraId="7FB327CD" w14:textId="6F202A65">
            <w:pPr>
              <w:pStyle w:val="Table11Centered"/>
            </w:pPr>
            <w:r w:rsidRPr="5B5F5372">
              <w:t>98.97</w:t>
            </w:r>
          </w:p>
        </w:tc>
        <w:tc>
          <w:tcPr>
            <w:tcW w:w="1592" w:type="dxa"/>
          </w:tcPr>
          <w:p w:rsidR="004950E9" w:rsidRPr="00642437" w:rsidP="004F54FB" w14:paraId="170AE7B9" w14:textId="40075469">
            <w:pPr>
              <w:pStyle w:val="Table11Centered"/>
            </w:pPr>
            <w:r w:rsidRPr="5B5F5372">
              <w:t>98.97</w:t>
            </w:r>
          </w:p>
        </w:tc>
        <w:tc>
          <w:tcPr>
            <w:tcW w:w="1592" w:type="dxa"/>
          </w:tcPr>
          <w:p w:rsidR="004950E9" w:rsidRPr="00642437" w:rsidP="004F54FB" w14:paraId="18686E9D" w14:textId="743E1363">
            <w:pPr>
              <w:pStyle w:val="Table11Centered"/>
            </w:pPr>
            <w:r w:rsidRPr="5B5F5372">
              <w:t>197.94</w:t>
            </w:r>
          </w:p>
        </w:tc>
      </w:tr>
      <w:tr w14:paraId="2B6BE99A" w14:textId="77777777" w:rsidTr="00BA5E1B">
        <w:tblPrEx>
          <w:tblW w:w="9350" w:type="dxa"/>
          <w:tblLook w:val="01E0"/>
        </w:tblPrEx>
        <w:trPr>
          <w:cantSplit/>
        </w:trPr>
        <w:tc>
          <w:tcPr>
            <w:tcW w:w="3275" w:type="dxa"/>
          </w:tcPr>
          <w:p w:rsidR="00FC7B25" w:rsidRPr="00642437" w:rsidP="004F54FB" w14:paraId="2F392AD2" w14:textId="77777777">
            <w:pPr>
              <w:pStyle w:val="Table11Basic"/>
            </w:pPr>
            <w:r w:rsidRPr="00642437">
              <w:rPr>
                <w:bCs/>
                <w:lang w:bidi="en-US"/>
              </w:rPr>
              <w:t>Pediatric Surgeons</w:t>
            </w:r>
          </w:p>
        </w:tc>
        <w:tc>
          <w:tcPr>
            <w:tcW w:w="1299" w:type="dxa"/>
          </w:tcPr>
          <w:p w:rsidR="00FC7B25" w:rsidRPr="00642437" w:rsidP="004F54FB" w14:paraId="3F2C8824" w14:textId="77777777">
            <w:pPr>
              <w:pStyle w:val="Table11Centered"/>
            </w:pPr>
            <w:r w:rsidRPr="00642437">
              <w:t>29-1243</w:t>
            </w:r>
          </w:p>
        </w:tc>
        <w:tc>
          <w:tcPr>
            <w:tcW w:w="1592" w:type="dxa"/>
          </w:tcPr>
          <w:p w:rsidR="00FC7B25" w:rsidRPr="00642437" w:rsidP="004F54FB" w14:paraId="2A6F9C5B" w14:textId="0C7AB59A">
            <w:pPr>
              <w:pStyle w:val="Table11Centered"/>
            </w:pPr>
            <w:r w:rsidRPr="5B5F5372">
              <w:t>216.02</w:t>
            </w:r>
          </w:p>
        </w:tc>
        <w:tc>
          <w:tcPr>
            <w:tcW w:w="1592" w:type="dxa"/>
          </w:tcPr>
          <w:p w:rsidR="00FC7B25" w:rsidRPr="00642437" w:rsidP="004F54FB" w14:paraId="16CE0948" w14:textId="5A959981">
            <w:pPr>
              <w:pStyle w:val="Table11Centered"/>
            </w:pPr>
            <w:r w:rsidRPr="5B5F5372">
              <w:t>216.02</w:t>
            </w:r>
          </w:p>
        </w:tc>
        <w:tc>
          <w:tcPr>
            <w:tcW w:w="1592" w:type="dxa"/>
          </w:tcPr>
          <w:p w:rsidR="00FC7B25" w:rsidRPr="00642437" w:rsidP="004F54FB" w14:paraId="7946C7CD" w14:textId="382ECB6C">
            <w:pPr>
              <w:pStyle w:val="Table11Centered"/>
            </w:pPr>
            <w:r w:rsidRPr="5B5F5372">
              <w:t>432.04</w:t>
            </w:r>
          </w:p>
        </w:tc>
      </w:tr>
      <w:tr w14:paraId="696E014B" w14:textId="77777777" w:rsidTr="00BA5E1B">
        <w:tblPrEx>
          <w:tblW w:w="9350" w:type="dxa"/>
          <w:tblLook w:val="01E0"/>
        </w:tblPrEx>
        <w:trPr>
          <w:cantSplit/>
        </w:trPr>
        <w:tc>
          <w:tcPr>
            <w:tcW w:w="3275" w:type="dxa"/>
          </w:tcPr>
          <w:p w:rsidR="008A7AEB" w:rsidRPr="00642437" w:rsidP="004F54FB" w14:paraId="65ED8299" w14:textId="77777777">
            <w:pPr>
              <w:pStyle w:val="Table11Basic"/>
            </w:pPr>
            <w:r w:rsidRPr="00642437">
              <w:t>Physicians, All Other</w:t>
            </w:r>
          </w:p>
        </w:tc>
        <w:tc>
          <w:tcPr>
            <w:tcW w:w="1299" w:type="dxa"/>
          </w:tcPr>
          <w:p w:rsidR="008A7AEB" w:rsidRPr="00642437" w:rsidP="004F54FB" w14:paraId="63B816A0" w14:textId="763EB4BD">
            <w:pPr>
              <w:pStyle w:val="Table11Centered"/>
            </w:pPr>
            <w:r w:rsidRPr="00642437">
              <w:t>29-1229</w:t>
            </w:r>
          </w:p>
        </w:tc>
        <w:tc>
          <w:tcPr>
            <w:tcW w:w="1592" w:type="dxa"/>
          </w:tcPr>
          <w:p w:rsidR="008A7AEB" w:rsidRPr="00642437" w:rsidP="004F54FB" w14:paraId="2848D94F" w14:textId="5EA8B3F0">
            <w:pPr>
              <w:pStyle w:val="Table11Centered"/>
            </w:pPr>
            <w:r w:rsidRPr="5B5F5372">
              <w:t>119.54</w:t>
            </w:r>
          </w:p>
        </w:tc>
        <w:tc>
          <w:tcPr>
            <w:tcW w:w="1592" w:type="dxa"/>
          </w:tcPr>
          <w:p w:rsidR="008A7AEB" w:rsidRPr="00642437" w:rsidP="004F54FB" w14:paraId="0DC575BB" w14:textId="090BF301">
            <w:pPr>
              <w:pStyle w:val="Table11Centered"/>
            </w:pPr>
            <w:r w:rsidRPr="5B5F5372">
              <w:t>119.54</w:t>
            </w:r>
          </w:p>
        </w:tc>
        <w:tc>
          <w:tcPr>
            <w:tcW w:w="1592" w:type="dxa"/>
          </w:tcPr>
          <w:p w:rsidR="008A7AEB" w:rsidRPr="00642437" w:rsidP="004F54FB" w14:paraId="6B424C17" w14:textId="2A7627A9">
            <w:pPr>
              <w:pStyle w:val="Table11Centered"/>
            </w:pPr>
            <w:r w:rsidRPr="5B5F5372">
              <w:t>239.08</w:t>
            </w:r>
          </w:p>
        </w:tc>
      </w:tr>
      <w:tr w14:paraId="4E58C8DF" w14:textId="77777777" w:rsidTr="00BA5E1B">
        <w:tblPrEx>
          <w:tblW w:w="9350" w:type="dxa"/>
          <w:tblLook w:val="01E0"/>
        </w:tblPrEx>
        <w:trPr>
          <w:cantSplit/>
        </w:trPr>
        <w:tc>
          <w:tcPr>
            <w:tcW w:w="3275" w:type="dxa"/>
          </w:tcPr>
          <w:p w:rsidR="00391F93" w:rsidRPr="000B1D86" w:rsidP="004F54FB" w14:paraId="3C348C83" w14:textId="77777777">
            <w:pPr>
              <w:pStyle w:val="Table11Basic"/>
            </w:pPr>
            <w:r w:rsidRPr="000B1D86">
              <w:t>Psychiatrists</w:t>
            </w:r>
          </w:p>
        </w:tc>
        <w:tc>
          <w:tcPr>
            <w:tcW w:w="1299" w:type="dxa"/>
          </w:tcPr>
          <w:p w:rsidR="00391F93" w:rsidRPr="000B1D86" w:rsidP="004F54FB" w14:paraId="46FF5781" w14:textId="77777777">
            <w:pPr>
              <w:pStyle w:val="Table11Centered"/>
            </w:pPr>
            <w:r w:rsidRPr="000B1D86">
              <w:t>29-1223</w:t>
            </w:r>
          </w:p>
        </w:tc>
        <w:tc>
          <w:tcPr>
            <w:tcW w:w="1592" w:type="dxa"/>
          </w:tcPr>
          <w:p w:rsidR="00391F93" w:rsidRPr="000B1D86" w:rsidP="004F54FB" w14:paraId="4CCCC881" w14:textId="11DC3E03">
            <w:pPr>
              <w:pStyle w:val="Table11Centered"/>
            </w:pPr>
            <w:r w:rsidRPr="000B1D86">
              <w:t>123.53</w:t>
            </w:r>
          </w:p>
        </w:tc>
        <w:tc>
          <w:tcPr>
            <w:tcW w:w="1592" w:type="dxa"/>
          </w:tcPr>
          <w:p w:rsidR="00391F93" w:rsidRPr="000B1D86" w:rsidP="004F54FB" w14:paraId="6734D221" w14:textId="4943B4BC">
            <w:pPr>
              <w:pStyle w:val="Table11Centered"/>
            </w:pPr>
            <w:r w:rsidRPr="000B1D86">
              <w:t>123.53</w:t>
            </w:r>
          </w:p>
        </w:tc>
        <w:tc>
          <w:tcPr>
            <w:tcW w:w="1592" w:type="dxa"/>
          </w:tcPr>
          <w:p w:rsidR="00391F93" w:rsidRPr="000B1D86" w:rsidP="004F54FB" w14:paraId="706E30F3" w14:textId="45795A40">
            <w:pPr>
              <w:pStyle w:val="Table11Centered"/>
            </w:pPr>
            <w:r w:rsidRPr="000B1D86">
              <w:t>247.06</w:t>
            </w:r>
          </w:p>
        </w:tc>
      </w:tr>
      <w:tr w14:paraId="644F215B" w14:textId="77777777" w:rsidTr="00BA5E1B">
        <w:tblPrEx>
          <w:tblW w:w="9350" w:type="dxa"/>
          <w:tblLook w:val="01E0"/>
        </w:tblPrEx>
        <w:trPr>
          <w:cantSplit/>
        </w:trPr>
        <w:tc>
          <w:tcPr>
            <w:tcW w:w="3275" w:type="dxa"/>
          </w:tcPr>
          <w:p w:rsidR="001B2F8D" w:rsidRPr="000B1D86" w:rsidP="004F54FB" w14:paraId="3BC25191" w14:textId="77777777">
            <w:pPr>
              <w:pStyle w:val="Table11Basic"/>
            </w:pPr>
            <w:r w:rsidRPr="000B1D86">
              <w:rPr>
                <w:bCs/>
                <w:lang w:bidi="en-US"/>
              </w:rPr>
              <w:t>Surgeons, All Other</w:t>
            </w:r>
          </w:p>
        </w:tc>
        <w:tc>
          <w:tcPr>
            <w:tcW w:w="1299" w:type="dxa"/>
          </w:tcPr>
          <w:p w:rsidR="001B2F8D" w:rsidRPr="000B1D86" w:rsidP="004F54FB" w14:paraId="28C0014B" w14:textId="77777777">
            <w:pPr>
              <w:pStyle w:val="Table11Centered"/>
            </w:pPr>
            <w:r w:rsidRPr="000B1D86">
              <w:t>29-1249</w:t>
            </w:r>
          </w:p>
        </w:tc>
        <w:tc>
          <w:tcPr>
            <w:tcW w:w="1592" w:type="dxa"/>
          </w:tcPr>
          <w:p w:rsidR="001B2F8D" w:rsidRPr="000B1D86" w:rsidP="004F54FB" w14:paraId="68FE5703" w14:textId="52D5B00B">
            <w:pPr>
              <w:pStyle w:val="Table11Centered"/>
            </w:pPr>
            <w:r w:rsidRPr="000B1D86">
              <w:t>165.38</w:t>
            </w:r>
          </w:p>
        </w:tc>
        <w:tc>
          <w:tcPr>
            <w:tcW w:w="1592" w:type="dxa"/>
          </w:tcPr>
          <w:p w:rsidR="001B2F8D" w:rsidRPr="000B1D86" w:rsidP="004F54FB" w14:paraId="005CF3D9" w14:textId="6ACF8350">
            <w:pPr>
              <w:pStyle w:val="Table11Centered"/>
            </w:pPr>
            <w:r w:rsidRPr="000B1D86">
              <w:t>165.38</w:t>
            </w:r>
          </w:p>
        </w:tc>
        <w:tc>
          <w:tcPr>
            <w:tcW w:w="1592" w:type="dxa"/>
          </w:tcPr>
          <w:p w:rsidR="001B2F8D" w:rsidRPr="00642437" w:rsidP="004F54FB" w14:paraId="09037293" w14:textId="35ED94CA">
            <w:pPr>
              <w:pStyle w:val="Table11Centered"/>
            </w:pPr>
            <w:r w:rsidRPr="000B1D86">
              <w:t>330.76</w:t>
            </w:r>
          </w:p>
        </w:tc>
      </w:tr>
      <w:tr w14:paraId="22C33FDF" w14:textId="77777777" w:rsidTr="00BA5E1B">
        <w:tblPrEx>
          <w:tblW w:w="9350" w:type="dxa"/>
          <w:tblLook w:val="01E0"/>
        </w:tblPrEx>
        <w:trPr>
          <w:cantSplit/>
        </w:trPr>
        <w:tc>
          <w:tcPr>
            <w:tcW w:w="3275" w:type="dxa"/>
          </w:tcPr>
          <w:p w:rsidR="00BB3C53" w:rsidRPr="00642437" w:rsidP="004F54FB" w14:paraId="4ABF91DD" w14:textId="0A82CF3E">
            <w:pPr>
              <w:pStyle w:val="Table11Basic"/>
            </w:pPr>
            <w:r w:rsidRPr="00642437">
              <w:t>Surgeons</w:t>
            </w:r>
          </w:p>
        </w:tc>
        <w:tc>
          <w:tcPr>
            <w:tcW w:w="1299" w:type="dxa"/>
          </w:tcPr>
          <w:p w:rsidR="00BB3C53" w:rsidRPr="00642437" w:rsidP="004F54FB" w14:paraId="324BB8D5" w14:textId="77777777">
            <w:pPr>
              <w:pStyle w:val="Table11Centered"/>
            </w:pPr>
            <w:r w:rsidRPr="00642437">
              <w:t>29-1240</w:t>
            </w:r>
          </w:p>
        </w:tc>
        <w:tc>
          <w:tcPr>
            <w:tcW w:w="1592" w:type="dxa"/>
          </w:tcPr>
          <w:p w:rsidR="00BB3C53" w:rsidRPr="00642437" w:rsidP="004F54FB" w14:paraId="1DFE8C49" w14:textId="57554647">
            <w:pPr>
              <w:pStyle w:val="Table11Centered"/>
            </w:pPr>
            <w:r w:rsidRPr="5B5F5372">
              <w:t>167.74</w:t>
            </w:r>
          </w:p>
        </w:tc>
        <w:tc>
          <w:tcPr>
            <w:tcW w:w="1592" w:type="dxa"/>
          </w:tcPr>
          <w:p w:rsidR="00BB3C53" w:rsidRPr="00642437" w:rsidP="004F54FB" w14:paraId="49589C3E" w14:textId="7D75F9F1">
            <w:pPr>
              <w:pStyle w:val="Table11Centered"/>
            </w:pPr>
            <w:r w:rsidRPr="5B5F5372">
              <w:t>167.74</w:t>
            </w:r>
          </w:p>
        </w:tc>
        <w:tc>
          <w:tcPr>
            <w:tcW w:w="1592" w:type="dxa"/>
          </w:tcPr>
          <w:p w:rsidR="00BB3C53" w:rsidRPr="00642437" w:rsidP="004F54FB" w14:paraId="676EDA8D" w14:textId="32027ED3">
            <w:pPr>
              <w:pStyle w:val="Table11Centered"/>
            </w:pPr>
            <w:r w:rsidRPr="5B5F5372">
              <w:t>335.48</w:t>
            </w:r>
          </w:p>
        </w:tc>
      </w:tr>
    </w:tbl>
    <w:bookmarkEnd w:id="1"/>
    <w:p w:rsidR="00B43534" w:rsidRPr="006E6DEB" w:rsidP="006E6DEB" w14:paraId="020CE0D0" w14:textId="3115E699">
      <w:pPr>
        <w:pStyle w:val="Heading4"/>
        <w:rPr>
          <w:bCs/>
        </w:rPr>
      </w:pPr>
      <w:r w:rsidRPr="006E6DEB">
        <w:rPr>
          <w:bCs/>
        </w:rPr>
        <w:t>b.</w:t>
      </w:r>
      <w:r w:rsidRPr="006E6DEB">
        <w:rPr>
          <w:bCs/>
        </w:rPr>
        <w:tab/>
      </w:r>
      <w:r w:rsidRPr="006E6DEB" w:rsidR="005038E4">
        <w:rPr>
          <w:bCs/>
        </w:rPr>
        <w:t>Framework for Understanding the Burden of MIPS Data Submission</w:t>
      </w:r>
    </w:p>
    <w:p w:rsidR="00513381" w:rsidP="0067016B" w14:paraId="0C4BCA29" w14:textId="2A7AC727">
      <w:pPr>
        <w:pStyle w:val="BodyText-PostHead"/>
        <w:spacing w:before="240"/>
      </w:pPr>
      <w:r w:rsidRPr="00D54DB9">
        <w:t xml:space="preserve">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w:t>
      </w:r>
      <w:r w:rsidRPr="00D54DB9">
        <w:t xml:space="preserve">Advanced APM participant. </w:t>
      </w:r>
      <w:r w:rsidR="00367CC8">
        <w:t>I</w:t>
      </w:r>
      <w:r w:rsidRPr="00C21AF3">
        <w:t xml:space="preserve">n Table 2, MIPS eligible clinicians and other clinicians voluntarily submitting data </w:t>
      </w:r>
      <w:r w:rsidR="00FD3CB4">
        <w:t xml:space="preserve">to MIPS may </w:t>
      </w:r>
      <w:r w:rsidRPr="00C21AF3">
        <w:t>submit data as individuals, groups,</w:t>
      </w:r>
      <w:r w:rsidR="002E1E3A">
        <w:t xml:space="preserve"> </w:t>
      </w:r>
      <w:r w:rsidRPr="00C21AF3">
        <w:t xml:space="preserve">or virtual groups for the quality, Promoting Interoperability, and improvement activities performance categories. Note that virtual groups are subject to the same data submission requirements as groups, and therefore, we will refer only to groups for the remainder of this section unless otherwise noted. </w:t>
      </w:r>
    </w:p>
    <w:p w:rsidR="005038E4" w:rsidRPr="00C21AF3" w:rsidP="004F54FB" w14:paraId="4C6BEC3D" w14:textId="10539467">
      <w:pPr>
        <w:pStyle w:val="BodyText"/>
      </w:pPr>
      <w:r>
        <w:t xml:space="preserve">Beginning with </w:t>
      </w:r>
      <w:r w:rsidRPr="00E46B29" w:rsidR="00E46B29">
        <w:t>the CY 2023 performance period/2025 MIPS payment year</w:t>
      </w:r>
      <w:r w:rsidR="00A976B2">
        <w:t>, clinicians could also participate as subgroups for reporting measures and activities in a</w:t>
      </w:r>
      <w:r w:rsidR="00B979C0">
        <w:t>n</w:t>
      </w:r>
      <w:r w:rsidR="005E2211">
        <w:t xml:space="preserve"> MVP</w:t>
      </w:r>
      <w:r w:rsidRPr="00E46B29" w:rsidR="00E46B29">
        <w:t xml:space="preserve">. </w:t>
      </w:r>
      <w:r w:rsidR="005B36AA">
        <w:t xml:space="preserve">The subgroup reporting option is not available for clinicians participating in traditional MIPS. </w:t>
      </w:r>
      <w:r w:rsidR="00EA4C52">
        <w:t>In CY 2022 PFS final rule (86 FR 65413 and 65414), w</w:t>
      </w:r>
      <w:r w:rsidRPr="00203D53" w:rsidR="00203D53">
        <w:t>e finalized the, a subgroup reporting measures and activities in an MVP will submit its affiliated group’s data for the Promoting Interoperability performance category and in the scenario that a subgroup does not submit its affiliated group’s data, the subgroup will receive a zero score for the Promoting Interoperability performance category</w:t>
      </w:r>
      <w:r w:rsidR="00EA4C52">
        <w:t xml:space="preserve"> for the </w:t>
      </w:r>
      <w:r w:rsidRPr="00EA4C52" w:rsidR="00EA4C52">
        <w:t>CY 2023 and 2024 MIPS performance periods/2025 and 2026 MIPS payment years</w:t>
      </w:r>
      <w:r w:rsidRPr="00203D53" w:rsidR="00203D53">
        <w:t xml:space="preserve">. </w:t>
      </w:r>
      <w:r w:rsidR="001351F0">
        <w:t xml:space="preserve">In the CY 2025 PFS final rule, we finalized </w:t>
      </w:r>
      <w:r w:rsidR="002F22C8">
        <w:t>at</w:t>
      </w:r>
      <w:r w:rsidRPr="00665635" w:rsidR="00AE5844">
        <w:t xml:space="preserve"> § 414.1365(c)(4)(i)(A)</w:t>
      </w:r>
      <w:r w:rsidR="00AE5844">
        <w:t xml:space="preserve"> to</w:t>
      </w:r>
      <w:r w:rsidRPr="00665635" w:rsidR="00AE5844">
        <w:t xml:space="preserve"> allow a subgroup to submit the affiliated group’s data for the MVP Promoting Interoperability performance category for the CY 2025 performance period/2027 MIPS payment year and beyond. As this </w:t>
      </w:r>
      <w:r w:rsidR="00AE5844">
        <w:t>policy</w:t>
      </w:r>
      <w:r w:rsidRPr="00665635" w:rsidR="00AE5844">
        <w:t xml:space="preserve"> w</w:t>
      </w:r>
      <w:r w:rsidR="00AE5844">
        <w:t>ill</w:t>
      </w:r>
      <w:r w:rsidRPr="00665635" w:rsidR="00AE5844">
        <w:t xml:space="preserve"> not create new reporting requirements, there are no burden implications</w:t>
      </w:r>
      <w:r w:rsidRPr="00203D53" w:rsidR="00203D53">
        <w:t>.</w:t>
      </w:r>
      <w:r w:rsidRPr="00FD3CB4" w:rsidR="00FD3CB4">
        <w:t xml:space="preserve"> </w:t>
      </w:r>
    </w:p>
    <w:p w:rsidR="00D9177E" w:rsidP="3DFE5A6D" w14:paraId="0D0DDDAD" w14:textId="4CA5B2F4">
      <w:pPr>
        <w:pStyle w:val="BodyText"/>
        <w:rPr>
          <w:rFonts w:eastAsia="Calibri"/>
        </w:rPr>
      </w:pPr>
      <w:r w:rsidRPr="738A46D6">
        <w:rPr>
          <w:rFonts w:eastAsia="Calibri"/>
        </w:rPr>
        <w:t xml:space="preserve">For MIPS eligible clinicians participating in MIPS APMs, the organizations submitting data on behalf of MIPS eligible clinicians will vary between performance categories and, in some instances, between MIPS APMs. We previously finalized in the CY 2021 PFS final rule that the APP is available for clinicians who participate in a MIPS APM for both ACO participants and non-ACO participants to submit quality data (85 FR 84859 through 84866). </w:t>
      </w:r>
      <w:r w:rsidRPr="738A46D6" w:rsidR="77098F6B">
        <w:rPr>
          <w:rFonts w:eastAsia="Calibri"/>
        </w:rPr>
        <w:t>I</w:t>
      </w:r>
      <w:r w:rsidR="77098F6B">
        <w:t xml:space="preserve">n the 2025 PFS </w:t>
      </w:r>
      <w:r w:rsidR="00811C2A">
        <w:t xml:space="preserve">final </w:t>
      </w:r>
      <w:r w:rsidR="77098F6B">
        <w:t>rule</w:t>
      </w:r>
      <w:r w:rsidRPr="00F8519D" w:rsidR="77098F6B">
        <w:t>,</w:t>
      </w:r>
      <w:r w:rsidR="77098F6B">
        <w:t xml:space="preserve"> </w:t>
      </w:r>
      <w:r w:rsidRPr="0066617C" w:rsidR="0066617C">
        <w:t xml:space="preserve">we </w:t>
      </w:r>
      <w:r w:rsidR="006F66A2">
        <w:t>finalized creating</w:t>
      </w:r>
      <w:r w:rsidRPr="0066617C" w:rsidR="0066617C">
        <w:t xml:space="preserve"> the APP Plus quality measure set that would allow for alignment of the APP with the Adult Universal Foundation measures. Under this proposal, Shared Savings Program ACOs would be required to report the APP Plus quality measure beginning with the CY 2025 performance period/2027 MIPS payment year. We </w:t>
      </w:r>
      <w:r w:rsidR="000506EB">
        <w:t>did not</w:t>
      </w:r>
      <w:r w:rsidRPr="0066617C" w:rsidR="0066617C">
        <w:t xml:space="preserve"> to modify the existing APP quality measure set of </w:t>
      </w:r>
      <w:r w:rsidR="003C48D6">
        <w:t>six</w:t>
      </w:r>
      <w:r w:rsidRPr="0066617C" w:rsidR="003C48D6">
        <w:t xml:space="preserve"> </w:t>
      </w:r>
      <w:r w:rsidRPr="0066617C" w:rsidR="0066617C">
        <w:t xml:space="preserve">quality measures; instead, </w:t>
      </w:r>
      <w:r w:rsidRPr="00E84740" w:rsidR="00E84740">
        <w:t>we are finalizing our proposal to create the APP Plus quality measure set that will be optional for MIPS eligible clinicians, groups, and APM Entities (not including Medicare Shared Savings Program ACOs) meeting the reporting requirements under the APP starting with the CY 2025 performance period/2027 MIPS payment year</w:t>
      </w:r>
      <w:r w:rsidRPr="0066617C" w:rsidR="0066617C">
        <w:t xml:space="preserve">. </w:t>
      </w:r>
      <w:r w:rsidRPr="00F20701" w:rsidR="0023681E">
        <w:rPr>
          <w:rFonts w:eastAsia="Calibri"/>
        </w:rPr>
        <w:t xml:space="preserve">However, for Medicare Shared Savings Program ACOs, they </w:t>
      </w:r>
      <w:r w:rsidR="0023681E">
        <w:rPr>
          <w:rFonts w:eastAsia="Calibri"/>
        </w:rPr>
        <w:t>will</w:t>
      </w:r>
      <w:r w:rsidRPr="00F20701" w:rsidR="0023681E">
        <w:rPr>
          <w:rFonts w:eastAsia="Calibri"/>
        </w:rPr>
        <w:t xml:space="preserve"> be required to report the APP Plus quality measure set to meet the reporting requirements of the Medicare Shared Savings Program’s quality performance standard</w:t>
      </w:r>
      <w:r w:rsidR="0023681E">
        <w:rPr>
          <w:rFonts w:eastAsia="Calibri"/>
        </w:rPr>
        <w:t>.</w:t>
      </w:r>
      <w:r w:rsidR="00156B99">
        <w:rPr>
          <w:rFonts w:eastAsia="Calibri"/>
        </w:rPr>
        <w:t xml:space="preserve"> </w:t>
      </w:r>
      <w:r w:rsidRPr="3DFE5A6D" w:rsidR="04FADA34">
        <w:t>We are finalizing, with modification, the proposed APP Plus quality measure set, which will include six measures beginning with CY 2025 performance period/2027 MIPS payment year. Five new quality measures within the APP Plus quality measure set will incrementally increase incrementally over several performance periods/MIPS payment years</w:t>
      </w:r>
      <w:r>
        <w:t>.</w:t>
      </w:r>
      <w:r w:rsidRPr="3DFE5A6D" w:rsidR="04FADA34">
        <w:t xml:space="preserve"> </w:t>
      </w:r>
    </w:p>
    <w:p w:rsidR="00A2087A" w:rsidP="004F54FB" w14:paraId="6F80117C" w14:textId="08AFD3BD">
      <w:pPr>
        <w:pStyle w:val="BodyText"/>
        <w:rPr>
          <w:rFonts w:eastAsia="Calibri"/>
        </w:rPr>
      </w:pPr>
      <w:r w:rsidRPr="0066617C">
        <w:t>Under this proposal, each MIPS eligible clinician, group, or APM Entity that elects to report the APP may choose to report either the APP quality measure set or the APP Plus quality measure set. MIPS APM participants may also elect to report via traditional MIPS or MVPs.</w:t>
      </w:r>
      <w:r w:rsidR="77098F6B">
        <w:t xml:space="preserve"> We </w:t>
      </w:r>
      <w:r w:rsidR="007F753B">
        <w:t>finalized adopting</w:t>
      </w:r>
      <w:r w:rsidR="77098F6B">
        <w:t xml:space="preserve"> </w:t>
      </w:r>
      <w:r w:rsidR="003C48D6">
        <w:t xml:space="preserve">five </w:t>
      </w:r>
      <w:r w:rsidR="77098F6B">
        <w:t>new quality measures for the APP Plus quality measure set incrementally over several performance periods/MIPS payment years</w:t>
      </w:r>
      <w:r w:rsidR="0016284A">
        <w:t>.</w:t>
      </w:r>
      <w:r w:rsidR="77098F6B">
        <w:t xml:space="preserve"> </w:t>
      </w:r>
      <w:r w:rsidRPr="738A46D6" w:rsidR="6145B113">
        <w:rPr>
          <w:rFonts w:eastAsia="Calibri"/>
        </w:rPr>
        <w:t>Due to data limitations</w:t>
      </w:r>
      <w:r w:rsidR="003D1C75">
        <w:rPr>
          <w:rFonts w:eastAsia="Calibri"/>
        </w:rPr>
        <w:t xml:space="preserve"> and</w:t>
      </w:r>
      <w:r w:rsidRPr="738A46D6" w:rsidR="6145B113">
        <w:rPr>
          <w:rFonts w:eastAsia="Calibri"/>
        </w:rPr>
        <w:t xml:space="preserve"> our inability to determine who will use the </w:t>
      </w:r>
      <w:r w:rsidR="00DC14F4">
        <w:rPr>
          <w:rFonts w:eastAsia="Calibri"/>
        </w:rPr>
        <w:t xml:space="preserve">APP </w:t>
      </w:r>
      <w:r w:rsidRPr="738A46D6" w:rsidR="6145B113">
        <w:rPr>
          <w:rFonts w:eastAsia="Calibri"/>
        </w:rPr>
        <w:t xml:space="preserve">versus the traditional MIPS </w:t>
      </w:r>
      <w:r w:rsidRPr="738A46D6" w:rsidR="07504D96">
        <w:rPr>
          <w:rFonts w:eastAsia="Calibri"/>
        </w:rPr>
        <w:t xml:space="preserve">or MVP </w:t>
      </w:r>
      <w:r w:rsidRPr="738A46D6" w:rsidR="6145B113">
        <w:rPr>
          <w:rFonts w:eastAsia="Calibri"/>
        </w:rPr>
        <w:t>submission mechanism</w:t>
      </w:r>
      <w:r w:rsidRPr="738A46D6" w:rsidR="4090BE14">
        <w:rPr>
          <w:rFonts w:eastAsia="Calibri"/>
        </w:rPr>
        <w:t>s</w:t>
      </w:r>
      <w:r w:rsidRPr="738A46D6" w:rsidR="6145B113">
        <w:rPr>
          <w:rFonts w:eastAsia="Calibri"/>
        </w:rPr>
        <w:t xml:space="preserve"> for the CY 2025 performance period/2027 MIPS payment year we assume ACO APM Entities </w:t>
      </w:r>
      <w:r w:rsidR="00A87C44">
        <w:rPr>
          <w:rFonts w:eastAsia="Calibri"/>
        </w:rPr>
        <w:t>would</w:t>
      </w:r>
      <w:r w:rsidRPr="738A46D6" w:rsidR="6145B113">
        <w:rPr>
          <w:rFonts w:eastAsia="Calibri"/>
        </w:rPr>
        <w:t xml:space="preserve"> submit quality data through the A</w:t>
      </w:r>
      <w:r w:rsidRPr="738A46D6" w:rsidR="0013BDD1">
        <w:rPr>
          <w:rFonts w:eastAsia="Calibri"/>
        </w:rPr>
        <w:t>PP</w:t>
      </w:r>
      <w:r w:rsidRPr="738A46D6" w:rsidR="6145B113">
        <w:rPr>
          <w:rFonts w:eastAsia="Calibri"/>
        </w:rPr>
        <w:t xml:space="preserve"> as required, and MIPS eligible clinicians in non-ACO APM Entities will participate through traditional MIPS</w:t>
      </w:r>
      <w:r w:rsidRPr="738A46D6" w:rsidR="3D93B514">
        <w:rPr>
          <w:rFonts w:eastAsia="Calibri"/>
        </w:rPr>
        <w:t xml:space="preserve"> or MVPs</w:t>
      </w:r>
      <w:r w:rsidRPr="738A46D6" w:rsidR="6145B113">
        <w:rPr>
          <w:rFonts w:eastAsia="Calibri"/>
        </w:rPr>
        <w:t xml:space="preserve">, submitting as an individual or group rather than as an APM Entity. Per section 1899(e) of the Act, submissions received from </w:t>
      </w:r>
      <w:r w:rsidR="008D454D">
        <w:rPr>
          <w:rFonts w:eastAsia="Calibri"/>
        </w:rPr>
        <w:t xml:space="preserve">MIPS </w:t>
      </w:r>
      <w:r w:rsidRPr="738A46D6" w:rsidR="6145B113">
        <w:rPr>
          <w:rFonts w:eastAsia="Calibri"/>
        </w:rPr>
        <w:t xml:space="preserve">eligible clinicians in ACOs are not included in burden estimates for </w:t>
      </w:r>
      <w:r w:rsidRPr="12852F47" w:rsidR="63770164">
        <w:rPr>
          <w:rFonts w:eastAsia="Calibri"/>
        </w:rPr>
        <w:t xml:space="preserve">the CY 2025 </w:t>
      </w:r>
      <w:r w:rsidRPr="12852F47" w:rsidR="003874C5">
        <w:rPr>
          <w:rFonts w:eastAsia="Calibri"/>
        </w:rPr>
        <w:t xml:space="preserve">PFS </w:t>
      </w:r>
      <w:r w:rsidR="00811C2A">
        <w:rPr>
          <w:rFonts w:eastAsia="Calibri"/>
        </w:rPr>
        <w:t>final</w:t>
      </w:r>
      <w:r w:rsidRPr="738A46D6" w:rsidR="00811C2A">
        <w:rPr>
          <w:rFonts w:eastAsia="Calibri"/>
        </w:rPr>
        <w:t xml:space="preserve"> </w:t>
      </w:r>
      <w:r w:rsidRPr="738A46D6" w:rsidR="6145B113">
        <w:rPr>
          <w:rFonts w:eastAsia="Calibri"/>
        </w:rPr>
        <w:t>rule because quality data submissions to fulfill requirements of the Shared Savings Program are not subject to the PRA.</w:t>
      </w:r>
      <w:r w:rsidR="00B51D28">
        <w:rPr>
          <w:rFonts w:eastAsia="Calibri"/>
        </w:rPr>
        <w:t xml:space="preserve"> </w:t>
      </w:r>
      <w:r w:rsidRPr="001C02A4" w:rsidR="00B51D28">
        <w:t>Accordingly, this burden is not included in Quality Payment Program burden estimates</w:t>
      </w:r>
      <w:r w:rsidR="00B51D28">
        <w:t>.</w:t>
      </w:r>
    </w:p>
    <w:p w:rsidR="00FF0643" w:rsidRPr="00FF0643" w:rsidP="004F54FB" w14:paraId="67736C43" w14:textId="024F9EB2">
      <w:pPr>
        <w:pStyle w:val="BodyText"/>
        <w:rPr>
          <w:rFonts w:eastAsia="Calibri"/>
        </w:rPr>
      </w:pPr>
      <w:r w:rsidRPr="738A46D6">
        <w:rPr>
          <w:rFonts w:eastAsia="Calibri"/>
        </w:rPr>
        <w:t xml:space="preserve">For the Promoting Interoperability performance category, group TINs may submit data on behalf of eligible clinicians in MIPS APMs, or eligible clinicians in MIPS APMs may submit data individually. Additionally, APM Entities may report the Promoting Interoperability performance category at the APM Entity level beginning with the CY 2023 performance period/2025 MIPS payment year (87 FR 70087 and 70088). Based on the data available, the burden estimates for </w:t>
      </w:r>
      <w:r w:rsidRPr="1F48C665" w:rsidR="607DC92F">
        <w:rPr>
          <w:rFonts w:eastAsia="Calibri"/>
        </w:rPr>
        <w:t xml:space="preserve">the CY 2025 PFS </w:t>
      </w:r>
      <w:r w:rsidR="00811C2A">
        <w:rPr>
          <w:rFonts w:eastAsia="Calibri"/>
        </w:rPr>
        <w:t>final</w:t>
      </w:r>
      <w:r w:rsidRPr="738A46D6" w:rsidR="00811C2A">
        <w:rPr>
          <w:rFonts w:eastAsia="Calibri"/>
        </w:rPr>
        <w:t xml:space="preserve"> </w:t>
      </w:r>
      <w:r w:rsidRPr="738A46D6">
        <w:rPr>
          <w:rFonts w:eastAsia="Calibri"/>
        </w:rPr>
        <w:t>rule assume group TIN-level reporting for eligible clinicians in MIPS APMs</w:t>
      </w:r>
      <w:r w:rsidRPr="738A46D6" w:rsidR="00156E6F">
        <w:rPr>
          <w:rFonts w:eastAsia="Calibri"/>
        </w:rPr>
        <w:t xml:space="preserve">. </w:t>
      </w:r>
    </w:p>
    <w:p w:rsidR="00FF0643" w:rsidRPr="00FF0643" w:rsidP="004F54FB" w14:paraId="520D3E60" w14:textId="497BB3C1">
      <w:pPr>
        <w:pStyle w:val="BodyText"/>
        <w:rPr>
          <w:rFonts w:eastAsia="Calibri"/>
        </w:rPr>
      </w:pPr>
      <w:r w:rsidRPr="738A46D6">
        <w:rPr>
          <w:rFonts w:eastAsia="Calibri"/>
        </w:rPr>
        <w:t>For the improvement activities performance category, we codified at § 414.1380(b)(3)(i) that individual MIPS eligible clinicians participating in APMs (as defined in section 1833(z)(3)(C) of the Act) for a performance period will earn at least 50 percent for the improvement activities performance category</w:t>
      </w:r>
      <w:r w:rsidR="005E7EE5">
        <w:rPr>
          <w:rFonts w:eastAsia="Calibri"/>
        </w:rPr>
        <w:t xml:space="preserve">, as established in the 2017 </w:t>
      </w:r>
      <w:r w:rsidR="00A27210">
        <w:rPr>
          <w:rFonts w:eastAsia="Calibri"/>
        </w:rPr>
        <w:t xml:space="preserve">Quality Payment Program </w:t>
      </w:r>
      <w:r w:rsidR="003F4804">
        <w:rPr>
          <w:rFonts w:eastAsia="Calibri"/>
        </w:rPr>
        <w:t>f</w:t>
      </w:r>
      <w:r w:rsidR="005E7EE5">
        <w:rPr>
          <w:rFonts w:eastAsia="Calibri"/>
        </w:rPr>
        <w:t xml:space="preserve">inal </w:t>
      </w:r>
      <w:r w:rsidR="003F4804">
        <w:rPr>
          <w:rFonts w:eastAsia="Calibri"/>
        </w:rPr>
        <w:t>r</w:t>
      </w:r>
      <w:r w:rsidR="005E7EE5">
        <w:rPr>
          <w:rFonts w:eastAsia="Calibri"/>
        </w:rPr>
        <w:t>ule</w:t>
      </w:r>
      <w:r w:rsidRPr="738A46D6">
        <w:rPr>
          <w:rFonts w:eastAsia="Calibri"/>
        </w:rPr>
        <w:t xml:space="preserve"> (81 FR 30132). We also stated that MIPS eligible clinicians participating in an APM for a performance period may receive an improvement activity score higher than 50 percent (81 FR 30132). To provide clarity for APM participants not scored under the APP, we revised § 414.1380(b)(3)(i) to state that a MIPS eligible clinician participating in an APM receives an improvement activities performance category score of at least 50 percent if the MIPS eligible clinician reports a completed improvement activity or submits data for the quality and Promoting Interoperability performance categories</w:t>
      </w:r>
      <w:r w:rsidR="00A27210">
        <w:rPr>
          <w:rFonts w:eastAsia="Calibri"/>
        </w:rPr>
        <w:t>, as finalized in the CY 202</w:t>
      </w:r>
      <w:r w:rsidR="009E5ABF">
        <w:rPr>
          <w:rFonts w:eastAsia="Calibri"/>
        </w:rPr>
        <w:t xml:space="preserve">4 </w:t>
      </w:r>
      <w:r w:rsidR="000C2EC7">
        <w:rPr>
          <w:rFonts w:eastAsia="Calibri"/>
        </w:rPr>
        <w:t xml:space="preserve">PFS </w:t>
      </w:r>
      <w:r w:rsidR="003F4804">
        <w:rPr>
          <w:rFonts w:eastAsia="Calibri"/>
        </w:rPr>
        <w:t>f</w:t>
      </w:r>
      <w:r w:rsidR="009E5ABF">
        <w:rPr>
          <w:rFonts w:eastAsia="Calibri"/>
        </w:rPr>
        <w:t xml:space="preserve">inal </w:t>
      </w:r>
      <w:r w:rsidR="003F4804">
        <w:rPr>
          <w:rFonts w:eastAsia="Calibri"/>
        </w:rPr>
        <w:t>r</w:t>
      </w:r>
      <w:r w:rsidR="009E5ABF">
        <w:rPr>
          <w:rFonts w:eastAsia="Calibri"/>
        </w:rPr>
        <w:t>ule</w:t>
      </w:r>
      <w:r w:rsidRPr="738A46D6">
        <w:rPr>
          <w:rFonts w:eastAsia="Calibri"/>
        </w:rPr>
        <w:t xml:space="preserve"> (88 FR 79365 through 79367). We assume that MIPS eligible clinicians in MIPS APMs will submit the improvement activities performance category via traditional MIPS </w:t>
      </w:r>
      <w:r w:rsidRPr="738A46D6" w:rsidR="0A141CA4">
        <w:rPr>
          <w:rFonts w:eastAsia="Calibri"/>
        </w:rPr>
        <w:t xml:space="preserve">or MVPs </w:t>
      </w:r>
      <w:r w:rsidRPr="738A46D6">
        <w:rPr>
          <w:rFonts w:eastAsia="Calibri"/>
        </w:rPr>
        <w:t>as an individual or group rather than as an APM Entity</w:t>
      </w:r>
      <w:r w:rsidRPr="738A46D6" w:rsidR="00156E6F">
        <w:rPr>
          <w:rFonts w:eastAsia="Calibri"/>
        </w:rPr>
        <w:t xml:space="preserve">. </w:t>
      </w:r>
    </w:p>
    <w:p w:rsidR="00F27981" w:rsidP="004F54FB" w14:paraId="19A10BD8" w14:textId="629DFF14">
      <w:pPr>
        <w:pStyle w:val="BodyText"/>
        <w:rPr>
          <w:b/>
          <w:color w:val="000000" w:themeColor="text1"/>
        </w:rPr>
      </w:pPr>
      <w:r w:rsidRPr="00FF0643">
        <w:rPr>
          <w:rFonts w:eastAsia="Calibri"/>
        </w:rPr>
        <w:t>MIPS eligible clinicians who attain Partial QP status may incur additional burden if they elect to participate in MIPS, which is discussed in more detail in the CY 2018 Quality Payment Program final rule (82 FR 53841 through 53844).</w:t>
      </w:r>
      <w:r>
        <w:rPr>
          <w:b/>
          <w:color w:val="000000" w:themeColor="text1"/>
        </w:rPr>
        <w:t xml:space="preserve"> </w:t>
      </w:r>
    </w:p>
    <w:p w:rsidR="005104FF" w:rsidRPr="006815B5" w:rsidP="004F54FB" w14:paraId="1881186F" w14:textId="0BCB4B11">
      <w:pPr>
        <w:pStyle w:val="ExhibitTitle"/>
        <w:rPr>
          <w:b w:val="0"/>
          <w:bCs/>
        </w:rPr>
      </w:pPr>
      <w:r w:rsidRPr="006815B5">
        <w:rPr>
          <w:b w:val="0"/>
          <w:bCs/>
        </w:rPr>
        <w:t>T</w:t>
      </w:r>
      <w:r w:rsidRPr="006815B5" w:rsidR="001E07DC">
        <w:rPr>
          <w:b w:val="0"/>
          <w:bCs/>
        </w:rPr>
        <w:t>able</w:t>
      </w:r>
      <w:r w:rsidRPr="006815B5">
        <w:rPr>
          <w:b w:val="0"/>
          <w:bCs/>
        </w:rPr>
        <w:t xml:space="preserve"> 2: Clinicians or Organizations Submitting MIPS Data on Behalf of Clinicians, by Type of Data and Category of Clinician</w:t>
      </w:r>
    </w:p>
    <w:tbl>
      <w:tblPr>
        <w:tblStyle w:val="TableGrid"/>
        <w:tblDescription w:val="Table 2: the types of M I P S data submitted and the participation types for eligible clinicians participating in M I P S. "/>
        <w:tblW w:w="0" w:type="auto"/>
        <w:tblLook w:val="04A0"/>
      </w:tblPr>
      <w:tblGrid>
        <w:gridCol w:w="2661"/>
        <w:gridCol w:w="6679"/>
      </w:tblGrid>
      <w:tr w14:paraId="54890646" w14:textId="77777777" w:rsidTr="00BA5E1B">
        <w:tblPrEx>
          <w:tblW w:w="0" w:type="auto"/>
          <w:tblLook w:val="04A0"/>
        </w:tblPrEx>
        <w:trPr>
          <w:cantSplit/>
          <w:trHeight w:val="136"/>
          <w:tblHeader/>
        </w:trPr>
        <w:tc>
          <w:tcPr>
            <w:tcW w:w="2661" w:type="dxa"/>
            <w:hideMark/>
          </w:tcPr>
          <w:p w:rsidR="005104FF" w:rsidRPr="00656864" w:rsidP="004F54FB" w14:paraId="2B931718" w14:textId="77777777">
            <w:pPr>
              <w:pStyle w:val="Table11-ColumnHeading"/>
              <w:rPr>
                <w:rFonts w:eastAsia="Calibri"/>
              </w:rPr>
            </w:pPr>
            <w:r w:rsidRPr="00656864">
              <w:rPr>
                <w:rFonts w:eastAsia="Calibri"/>
              </w:rPr>
              <w:t>Type of Data Submitted</w:t>
            </w:r>
          </w:p>
        </w:tc>
        <w:tc>
          <w:tcPr>
            <w:tcW w:w="6679" w:type="dxa"/>
            <w:hideMark/>
          </w:tcPr>
          <w:p w:rsidR="005104FF" w:rsidRPr="00656864" w:rsidP="004F54FB" w14:paraId="44E9B31C" w14:textId="77777777">
            <w:pPr>
              <w:pStyle w:val="Table11-ColumnHeading"/>
              <w:rPr>
                <w:rFonts w:eastAsia="Calibri"/>
              </w:rPr>
            </w:pPr>
            <w:r w:rsidRPr="00656864">
              <w:rPr>
                <w:rFonts w:eastAsia="Calibri"/>
              </w:rPr>
              <w:t>Category of Clinician</w:t>
            </w:r>
          </w:p>
        </w:tc>
      </w:tr>
      <w:tr w14:paraId="31FC8D10" w14:textId="77777777" w:rsidTr="00BA5E1B">
        <w:tblPrEx>
          <w:tblW w:w="0" w:type="auto"/>
          <w:tblLook w:val="04A0"/>
        </w:tblPrEx>
        <w:trPr>
          <w:cantSplit/>
          <w:trHeight w:val="1402"/>
        </w:trPr>
        <w:tc>
          <w:tcPr>
            <w:tcW w:w="2661" w:type="dxa"/>
            <w:hideMark/>
          </w:tcPr>
          <w:p w:rsidR="005104FF" w:rsidRPr="00F4499C" w:rsidP="004F54FB" w14:paraId="27C281C0" w14:textId="77777777">
            <w:pPr>
              <w:pStyle w:val="Table11Basic"/>
              <w:rPr>
                <w:rFonts w:eastAsia="Calibri"/>
              </w:rPr>
            </w:pPr>
            <w:r w:rsidRPr="00F4499C">
              <w:rPr>
                <w:rFonts w:eastAsia="Calibri"/>
              </w:rPr>
              <w:t>Quality Performance Category</w:t>
            </w:r>
          </w:p>
        </w:tc>
        <w:tc>
          <w:tcPr>
            <w:tcW w:w="6679" w:type="dxa"/>
          </w:tcPr>
          <w:p w:rsidR="005104FF" w:rsidRPr="00F4499C" w:rsidP="004F54FB" w14:paraId="6BF85FD0" w14:textId="77777777">
            <w:pPr>
              <w:pStyle w:val="Table11Basic"/>
              <w:rPr>
                <w:rFonts w:eastAsia="Calibri"/>
              </w:rPr>
            </w:pPr>
            <w:r w:rsidRPr="738A46D6">
              <w:rPr>
                <w:rFonts w:eastAsia="Calibri"/>
              </w:rPr>
              <w:t>Individual clinician (MIPS eligible, voluntary, opt-in), group, virtual group, subgroup, or APM Entity.</w:t>
            </w:r>
          </w:p>
          <w:p w:rsidR="005104FF" w:rsidP="004F54FB" w14:paraId="3280B031" w14:textId="77777777">
            <w:pPr>
              <w:pStyle w:val="Table11Basic"/>
              <w:rPr>
                <w:rFonts w:eastAsia="Calibri"/>
              </w:rPr>
            </w:pPr>
            <w:r w:rsidRPr="00F4499C">
              <w:rPr>
                <w:rFonts w:eastAsia="Calibri"/>
              </w:rPr>
              <w:t>Subgroup reporting is only available for clinicians participating in MVP reporting.</w:t>
            </w:r>
          </w:p>
          <w:p w:rsidR="005104FF" w:rsidRPr="002976DA" w:rsidP="004F54FB" w14:paraId="0DF40492" w14:textId="77777777">
            <w:pPr>
              <w:pStyle w:val="Table11Basic"/>
              <w:rPr>
                <w:rFonts w:eastAsia="Calibri"/>
              </w:rPr>
            </w:pPr>
            <w:r w:rsidRPr="2BE9B231">
              <w:rPr>
                <w:rFonts w:eastAsia="Calibri"/>
              </w:rPr>
              <w:t>Voluntary reporting and virtual group reporting are only available for clinicians participating in traditional MIPS.</w:t>
            </w:r>
          </w:p>
          <w:p w:rsidR="005104FF" w:rsidRPr="00F4499C" w:rsidP="004F54FB" w14:paraId="6560146D" w14:textId="1F3F98F4">
            <w:pPr>
              <w:pStyle w:val="Table11Basic"/>
              <w:rPr>
                <w:rFonts w:eastAsia="Calibri"/>
              </w:rPr>
            </w:pPr>
            <w:r w:rsidRPr="2BE9B231">
              <w:rPr>
                <w:rFonts w:eastAsia="Calibri"/>
              </w:rPr>
              <w:t xml:space="preserve">Opt-in reporting is only available for clinicians participating in traditional MIPS and the </w:t>
            </w:r>
            <w:r w:rsidR="003B2C38">
              <w:rPr>
                <w:rFonts w:eastAsia="Calibri"/>
              </w:rPr>
              <w:t>APP</w:t>
            </w:r>
            <w:r w:rsidRPr="2BE9B231">
              <w:rPr>
                <w:rFonts w:eastAsia="Calibri"/>
              </w:rPr>
              <w:t xml:space="preserve">. </w:t>
            </w:r>
          </w:p>
        </w:tc>
      </w:tr>
      <w:tr w14:paraId="02C05556" w14:textId="77777777" w:rsidTr="00BA5E1B">
        <w:tblPrEx>
          <w:tblW w:w="0" w:type="auto"/>
          <w:tblLook w:val="04A0"/>
        </w:tblPrEx>
        <w:trPr>
          <w:cantSplit/>
          <w:trHeight w:val="136"/>
        </w:trPr>
        <w:tc>
          <w:tcPr>
            <w:tcW w:w="2661" w:type="dxa"/>
            <w:hideMark/>
          </w:tcPr>
          <w:p w:rsidR="005104FF" w:rsidRPr="00F4499C" w:rsidP="004F54FB" w14:paraId="40BC7521" w14:textId="77777777">
            <w:pPr>
              <w:pStyle w:val="Table11Basic"/>
              <w:rPr>
                <w:rFonts w:eastAsia="Calibri"/>
              </w:rPr>
            </w:pPr>
            <w:r w:rsidRPr="00F4499C">
              <w:rPr>
                <w:rFonts w:eastAsia="Calibri"/>
              </w:rPr>
              <w:t>Promoting Interoperability Performance Category</w:t>
            </w:r>
          </w:p>
        </w:tc>
        <w:tc>
          <w:tcPr>
            <w:tcW w:w="6679" w:type="dxa"/>
          </w:tcPr>
          <w:p w:rsidR="005104FF" w:rsidRPr="00F4499C" w:rsidP="004F54FB" w14:paraId="18E6566C" w14:textId="77777777">
            <w:pPr>
              <w:pStyle w:val="Table11Basic"/>
              <w:rPr>
                <w:rFonts w:eastAsia="Calibri"/>
              </w:rPr>
            </w:pPr>
            <w:r w:rsidRPr="00F4499C">
              <w:rPr>
                <w:rFonts w:eastAsia="Calibri"/>
              </w:rPr>
              <w:t>Individual clinician (MIPS eligible, voluntary, opt-in), group, virtual group, subgroup, or APM Entity.</w:t>
            </w:r>
          </w:p>
          <w:p w:rsidR="005104FF" w:rsidRPr="00F4499C" w:rsidP="004F54FB" w14:paraId="578E2222" w14:textId="48829C82">
            <w:pPr>
              <w:pStyle w:val="Table11Basic"/>
              <w:rPr>
                <w:rFonts w:eastAsia="Calibri"/>
              </w:rPr>
            </w:pPr>
            <w:r w:rsidRPr="00F4499C">
              <w:rPr>
                <w:rFonts w:eastAsia="Calibri"/>
              </w:rPr>
              <w:t xml:space="preserve">Each eligible clinician in an APM Entity could report data for the Promoting Interoperability performance category at the individual level, or as part of their group TIN, or under their APM Entity TIN. The burden estimates for </w:t>
            </w:r>
            <w:r w:rsidRPr="12852F47" w:rsidR="4846F24B">
              <w:rPr>
                <w:rFonts w:eastAsia="Calibri"/>
              </w:rPr>
              <w:t xml:space="preserve">the CY 2025 PFS </w:t>
            </w:r>
            <w:r w:rsidR="00811C2A">
              <w:rPr>
                <w:rFonts w:eastAsia="Calibri"/>
              </w:rPr>
              <w:t>final</w:t>
            </w:r>
            <w:r w:rsidRPr="00F4499C" w:rsidR="00811C2A">
              <w:rPr>
                <w:rFonts w:eastAsia="Calibri"/>
              </w:rPr>
              <w:t xml:space="preserve"> </w:t>
            </w:r>
            <w:r w:rsidRPr="00F4499C">
              <w:rPr>
                <w:rFonts w:eastAsia="Calibri"/>
              </w:rPr>
              <w:t>rule assume group TIN-level reporting.</w:t>
            </w:r>
          </w:p>
        </w:tc>
      </w:tr>
      <w:tr w14:paraId="20B35505" w14:textId="77777777" w:rsidTr="00BA5E1B">
        <w:tblPrEx>
          <w:tblW w:w="0" w:type="auto"/>
          <w:tblLook w:val="04A0"/>
        </w:tblPrEx>
        <w:trPr>
          <w:cantSplit/>
          <w:trHeight w:val="136"/>
        </w:trPr>
        <w:tc>
          <w:tcPr>
            <w:tcW w:w="2661" w:type="dxa"/>
            <w:hideMark/>
          </w:tcPr>
          <w:p w:rsidR="005104FF" w:rsidRPr="00F4499C" w:rsidP="004F54FB" w14:paraId="279675B2" w14:textId="77777777">
            <w:pPr>
              <w:pStyle w:val="Table11Basic"/>
              <w:rPr>
                <w:rFonts w:eastAsia="Calibri"/>
              </w:rPr>
            </w:pPr>
            <w:r w:rsidRPr="00F4499C">
              <w:rPr>
                <w:rFonts w:eastAsia="Calibri"/>
              </w:rPr>
              <w:t>Improvement Activities Performance Category</w:t>
            </w:r>
          </w:p>
        </w:tc>
        <w:tc>
          <w:tcPr>
            <w:tcW w:w="6679" w:type="dxa"/>
          </w:tcPr>
          <w:p w:rsidR="005104FF" w:rsidRPr="00F4499C" w:rsidP="004F54FB" w14:paraId="522E0302" w14:textId="77777777">
            <w:pPr>
              <w:pStyle w:val="Table11Basic"/>
              <w:rPr>
                <w:rFonts w:eastAsia="Calibri"/>
              </w:rPr>
            </w:pPr>
            <w:r w:rsidRPr="00F4499C">
              <w:rPr>
                <w:rFonts w:eastAsia="Calibri"/>
              </w:rPr>
              <w:t>Individual clinician (MIPS eligible, voluntary, opt-in), group, virtual group, subgroup, or APM Entity.</w:t>
            </w:r>
          </w:p>
          <w:p w:rsidR="005104FF" w:rsidRPr="00F4499C" w:rsidP="004F54FB" w14:paraId="4A36504C" w14:textId="55BB0D94">
            <w:pPr>
              <w:pStyle w:val="Table11Basic"/>
              <w:rPr>
                <w:rFonts w:eastAsia="Calibri"/>
              </w:rPr>
            </w:pPr>
            <w:r w:rsidRPr="2BE9B231">
              <w:rPr>
                <w:rFonts w:eastAsia="Calibri"/>
              </w:rPr>
              <w:t xml:space="preserve">For eligible clinicians in an APM Entity, the burden estimates for </w:t>
            </w:r>
            <w:r w:rsidRPr="536A1065" w:rsidR="5AC0E237">
              <w:rPr>
                <w:rFonts w:eastAsia="Calibri"/>
              </w:rPr>
              <w:t xml:space="preserve">the CY 2025 PFS </w:t>
            </w:r>
            <w:r w:rsidR="00811C2A">
              <w:rPr>
                <w:rFonts w:eastAsia="Calibri"/>
              </w:rPr>
              <w:t>final</w:t>
            </w:r>
            <w:r w:rsidRPr="2BE9B231" w:rsidR="00811C2A">
              <w:rPr>
                <w:rFonts w:eastAsia="Calibri"/>
              </w:rPr>
              <w:t xml:space="preserve"> </w:t>
            </w:r>
            <w:r w:rsidRPr="2BE9B231">
              <w:rPr>
                <w:rFonts w:eastAsia="Calibri"/>
              </w:rPr>
              <w:t xml:space="preserve">rule assume individual or group TIN-level reporting. </w:t>
            </w:r>
          </w:p>
        </w:tc>
      </w:tr>
      <w:tr w14:paraId="4434C6EE" w14:textId="77777777" w:rsidTr="00BA5E1B">
        <w:tblPrEx>
          <w:tblW w:w="0" w:type="auto"/>
          <w:tblLook w:val="04A0"/>
        </w:tblPrEx>
        <w:trPr>
          <w:cantSplit/>
          <w:trHeight w:val="136"/>
        </w:trPr>
        <w:tc>
          <w:tcPr>
            <w:tcW w:w="2661" w:type="dxa"/>
            <w:hideMark/>
          </w:tcPr>
          <w:p w:rsidR="005104FF" w:rsidRPr="00F4499C" w:rsidP="004F54FB" w14:paraId="1AD15964" w14:textId="46B73ECC">
            <w:pPr>
              <w:pStyle w:val="Table11Basic"/>
              <w:rPr>
                <w:rFonts w:eastAsia="Calibri"/>
              </w:rPr>
            </w:pPr>
            <w:r w:rsidRPr="00F4499C">
              <w:rPr>
                <w:rFonts w:eastAsia="Calibri"/>
              </w:rPr>
              <w:t>Reweighting Applications for extreme and uncontrollable circumstances</w:t>
            </w:r>
            <w:r w:rsidR="000264E5">
              <w:rPr>
                <w:rFonts w:eastAsia="Calibri"/>
              </w:rPr>
              <w:t>,</w:t>
            </w:r>
            <w:r w:rsidRPr="00F4499C">
              <w:rPr>
                <w:rFonts w:eastAsia="Calibri"/>
              </w:rPr>
              <w:t xml:space="preserve"> significant hardship</w:t>
            </w:r>
            <w:r w:rsidR="000264E5">
              <w:rPr>
                <w:rFonts w:eastAsia="Calibri"/>
              </w:rPr>
              <w:t>,</w:t>
            </w:r>
            <w:r w:rsidRPr="00F4499C">
              <w:rPr>
                <w:rFonts w:eastAsia="Calibri"/>
              </w:rPr>
              <w:t xml:space="preserve"> or other exceptions</w:t>
            </w:r>
          </w:p>
        </w:tc>
        <w:tc>
          <w:tcPr>
            <w:tcW w:w="6679" w:type="dxa"/>
          </w:tcPr>
          <w:p w:rsidR="005104FF" w:rsidRPr="00F4499C" w:rsidP="004F54FB" w14:paraId="6C5F0A1F" w14:textId="77777777">
            <w:pPr>
              <w:pStyle w:val="Table11Basic"/>
              <w:rPr>
                <w:rFonts w:eastAsia="Calibri"/>
              </w:rPr>
            </w:pPr>
            <w:r w:rsidRPr="00F4499C">
              <w:rPr>
                <w:rFonts w:eastAsia="Calibri"/>
              </w:rPr>
              <w:t>Clinicians who submit an application may be eligible for a reweighting of the approved performance category to zero percent under specific circumstances as set forth in §</w:t>
            </w:r>
            <w:r>
              <w:rPr>
                <w:rFonts w:eastAsia="Calibri"/>
              </w:rPr>
              <w:t> </w:t>
            </w:r>
            <w:r w:rsidRPr="00F4499C">
              <w:rPr>
                <w:rFonts w:eastAsia="Calibri"/>
              </w:rPr>
              <w:t>414.1380(c)(2), including, but not limited to, extreme and uncontrollable circumstances and significant hardship or another type of exception.</w:t>
            </w:r>
          </w:p>
          <w:p w:rsidR="005104FF" w:rsidRPr="00F4499C" w:rsidP="004F54FB" w14:paraId="15143B54" w14:textId="77777777">
            <w:pPr>
              <w:pStyle w:val="Table11Basic"/>
              <w:rPr>
                <w:rFonts w:eastAsia="Calibri"/>
              </w:rPr>
            </w:pPr>
            <w:r w:rsidRPr="00F4499C">
              <w:rPr>
                <w:rFonts w:eastAsia="Calibri"/>
              </w:rPr>
              <w:t>Certain types of MIPS eligible clinicians are automatically eligible for a zero percent weighting for the Promoting Interoperability performance category as described in §</w:t>
            </w:r>
            <w:r>
              <w:rPr>
                <w:rFonts w:eastAsia="Calibri"/>
              </w:rPr>
              <w:t> </w:t>
            </w:r>
            <w:r w:rsidRPr="00F4499C">
              <w:rPr>
                <w:rFonts w:eastAsia="Calibri"/>
              </w:rPr>
              <w:t>414.1380(c)(2)(i)(</w:t>
            </w:r>
            <w:r>
              <w:rPr>
                <w:rFonts w:eastAsia="Calibri"/>
              </w:rPr>
              <w:t>C</w:t>
            </w:r>
            <w:r w:rsidRPr="00F4499C">
              <w:rPr>
                <w:rFonts w:eastAsia="Calibri"/>
              </w:rPr>
              <w:t>)</w:t>
            </w:r>
            <w:r>
              <w:rPr>
                <w:rFonts w:eastAsia="Calibri"/>
              </w:rPr>
              <w:t>.</w:t>
            </w:r>
          </w:p>
        </w:tc>
      </w:tr>
      <w:tr w14:paraId="22878E47" w14:textId="77777777" w:rsidTr="00BA5E1B">
        <w:tblPrEx>
          <w:tblW w:w="0" w:type="auto"/>
          <w:tblLook w:val="04A0"/>
        </w:tblPrEx>
        <w:trPr>
          <w:cantSplit/>
          <w:trHeight w:val="136"/>
        </w:trPr>
        <w:tc>
          <w:tcPr>
            <w:tcW w:w="2661" w:type="dxa"/>
            <w:hideMark/>
          </w:tcPr>
          <w:p w:rsidR="005104FF" w:rsidRPr="00F4499C" w:rsidP="004F54FB" w14:paraId="37C061E4" w14:textId="77777777">
            <w:pPr>
              <w:pStyle w:val="Table11Basic"/>
              <w:rPr>
                <w:rFonts w:eastAsia="Calibri"/>
              </w:rPr>
            </w:pPr>
            <w:r w:rsidRPr="00F4499C">
              <w:rPr>
                <w:rFonts w:eastAsia="Calibri"/>
              </w:rPr>
              <w:t xml:space="preserve">MVP and Subgroup Registration </w:t>
            </w:r>
          </w:p>
        </w:tc>
        <w:tc>
          <w:tcPr>
            <w:tcW w:w="6679" w:type="dxa"/>
            <w:hideMark/>
          </w:tcPr>
          <w:p w:rsidR="005104FF" w:rsidRPr="00F4499C" w:rsidP="004F54FB" w14:paraId="6A7841F7" w14:textId="0404C541">
            <w:pPr>
              <w:pStyle w:val="Table11Basic"/>
              <w:rPr>
                <w:rFonts w:eastAsia="Calibri"/>
              </w:rPr>
            </w:pPr>
            <w:r w:rsidRPr="00F4499C">
              <w:rPr>
                <w:rFonts w:eastAsia="Calibri"/>
              </w:rPr>
              <w:t xml:space="preserve">An MVP </w:t>
            </w:r>
            <w:r w:rsidR="004C74B3">
              <w:rPr>
                <w:rFonts w:eastAsia="Calibri"/>
              </w:rPr>
              <w:t>P</w:t>
            </w:r>
            <w:r w:rsidRPr="00F4499C">
              <w:rPr>
                <w:rFonts w:eastAsia="Calibri"/>
              </w:rPr>
              <w:t>articipant, as described at §</w:t>
            </w:r>
            <w:r>
              <w:rPr>
                <w:rFonts w:eastAsia="Calibri"/>
              </w:rPr>
              <w:t> </w:t>
            </w:r>
            <w:r w:rsidRPr="00F4499C">
              <w:rPr>
                <w:rFonts w:eastAsia="Calibri"/>
              </w:rPr>
              <w:t>414.1305, electing to submit data for the measures and activities in an MVP must register. Clinicians who choose to participate as a subgroup for reporting an MVP must also register.</w:t>
            </w:r>
          </w:p>
        </w:tc>
      </w:tr>
      <w:tr w14:paraId="1C5115C8" w14:textId="77777777" w:rsidTr="00BA5E1B">
        <w:tblPrEx>
          <w:tblW w:w="0" w:type="auto"/>
          <w:tblLook w:val="04A0"/>
        </w:tblPrEx>
        <w:trPr>
          <w:cantSplit/>
          <w:trHeight w:val="136"/>
        </w:trPr>
        <w:tc>
          <w:tcPr>
            <w:tcW w:w="2661" w:type="dxa"/>
            <w:hideMark/>
          </w:tcPr>
          <w:p w:rsidR="005104FF" w:rsidRPr="00F4499C" w:rsidP="004F54FB" w14:paraId="456A02B3" w14:textId="77777777">
            <w:pPr>
              <w:pStyle w:val="Table11Basic"/>
              <w:rPr>
                <w:rFonts w:eastAsia="Calibri"/>
              </w:rPr>
            </w:pPr>
            <w:r w:rsidRPr="00F4499C">
              <w:rPr>
                <w:rFonts w:eastAsia="Calibri"/>
              </w:rPr>
              <w:t>Partial QP Election</w:t>
            </w:r>
          </w:p>
        </w:tc>
        <w:tc>
          <w:tcPr>
            <w:tcW w:w="6679" w:type="dxa"/>
            <w:hideMark/>
          </w:tcPr>
          <w:p w:rsidR="005104FF" w:rsidRPr="00F4499C" w:rsidP="004F54FB" w14:paraId="0EF65CC1" w14:textId="77777777">
            <w:pPr>
              <w:pStyle w:val="Table11Basic"/>
              <w:rPr>
                <w:rFonts w:eastAsia="Calibri"/>
              </w:rPr>
            </w:pPr>
            <w:r w:rsidRPr="00F4499C">
              <w:rPr>
                <w:rFonts w:eastAsia="Calibri"/>
              </w:rPr>
              <w:t xml:space="preserve">Eligible clinicians who attain Partial QP status and choose to participate in MIPS </w:t>
            </w:r>
            <w:r>
              <w:rPr>
                <w:rFonts w:eastAsia="Calibri"/>
              </w:rPr>
              <w:t>must</w:t>
            </w:r>
            <w:r w:rsidRPr="00F4499C">
              <w:rPr>
                <w:rFonts w:eastAsia="Calibri"/>
              </w:rPr>
              <w:t xml:space="preserve"> submit a partial QP election form.</w:t>
            </w:r>
          </w:p>
        </w:tc>
      </w:tr>
      <w:tr w14:paraId="16D00934" w14:textId="77777777" w:rsidTr="00BA5E1B">
        <w:tblPrEx>
          <w:tblW w:w="0" w:type="auto"/>
          <w:tblLook w:val="04A0"/>
        </w:tblPrEx>
        <w:trPr>
          <w:cantSplit/>
          <w:trHeight w:val="136"/>
        </w:trPr>
        <w:tc>
          <w:tcPr>
            <w:tcW w:w="2661" w:type="dxa"/>
            <w:hideMark/>
          </w:tcPr>
          <w:p w:rsidR="005104FF" w:rsidRPr="00F4499C" w:rsidP="004F54FB" w14:paraId="6DBD5FF0" w14:textId="77777777">
            <w:pPr>
              <w:pStyle w:val="Table11Basic"/>
              <w:rPr>
                <w:rFonts w:eastAsia="Calibri"/>
              </w:rPr>
            </w:pPr>
            <w:r w:rsidRPr="00F4499C">
              <w:rPr>
                <w:rFonts w:eastAsia="Calibri"/>
              </w:rPr>
              <w:t xml:space="preserve">Registration for the CAHPS for MIPS Survey </w:t>
            </w:r>
          </w:p>
        </w:tc>
        <w:tc>
          <w:tcPr>
            <w:tcW w:w="6679" w:type="dxa"/>
            <w:hideMark/>
          </w:tcPr>
          <w:p w:rsidR="005104FF" w:rsidRPr="00F4499C" w:rsidP="004F54FB" w14:paraId="15166291" w14:textId="3F2A5B14">
            <w:pPr>
              <w:pStyle w:val="Table11Basic"/>
              <w:rPr>
                <w:rFonts w:eastAsia="Calibri"/>
              </w:rPr>
            </w:pPr>
            <w:r w:rsidRPr="00F4499C">
              <w:rPr>
                <w:rFonts w:eastAsia="Calibri"/>
              </w:rPr>
              <w:t xml:space="preserve">Groups electing to use a CMS-approved survey vendor to administer the CAHPS for MIPS </w:t>
            </w:r>
            <w:r>
              <w:rPr>
                <w:rFonts w:eastAsia="Calibri"/>
              </w:rPr>
              <w:t>S</w:t>
            </w:r>
            <w:r w:rsidRPr="00F4499C">
              <w:rPr>
                <w:rFonts w:eastAsia="Calibri"/>
              </w:rPr>
              <w:t>urvey must register</w:t>
            </w:r>
            <w:r w:rsidRPr="00F4499C" w:rsidR="00156E6F">
              <w:rPr>
                <w:rFonts w:eastAsia="Calibri"/>
              </w:rPr>
              <w:t xml:space="preserve">. </w:t>
            </w:r>
          </w:p>
        </w:tc>
      </w:tr>
      <w:tr w14:paraId="08ED3F34" w14:textId="77777777" w:rsidTr="00BA5E1B">
        <w:tblPrEx>
          <w:tblW w:w="0" w:type="auto"/>
          <w:tblLook w:val="04A0"/>
        </w:tblPrEx>
        <w:trPr>
          <w:cantSplit/>
          <w:trHeight w:val="136"/>
        </w:trPr>
        <w:tc>
          <w:tcPr>
            <w:tcW w:w="2661" w:type="dxa"/>
            <w:hideMark/>
          </w:tcPr>
          <w:p w:rsidR="005104FF" w:rsidRPr="00F4499C" w:rsidP="004F54FB" w14:paraId="45FDD007" w14:textId="77777777">
            <w:pPr>
              <w:pStyle w:val="Table11Basic"/>
              <w:rPr>
                <w:rFonts w:eastAsia="Calibri"/>
              </w:rPr>
            </w:pPr>
            <w:r w:rsidRPr="00F4499C">
              <w:rPr>
                <w:rFonts w:eastAsia="Calibri"/>
              </w:rPr>
              <w:t>Virtual Group Registration</w:t>
            </w:r>
          </w:p>
        </w:tc>
        <w:tc>
          <w:tcPr>
            <w:tcW w:w="6679" w:type="dxa"/>
            <w:hideMark/>
          </w:tcPr>
          <w:p w:rsidR="005104FF" w:rsidRPr="00F4499C" w:rsidP="004F54FB" w14:paraId="352288F7" w14:textId="77777777">
            <w:pPr>
              <w:pStyle w:val="Table11Basic"/>
              <w:rPr>
                <w:rFonts w:eastAsia="Calibri"/>
              </w:rPr>
            </w:pPr>
            <w:r w:rsidRPr="00F4499C">
              <w:rPr>
                <w:rFonts w:eastAsia="Calibri"/>
              </w:rPr>
              <w:t xml:space="preserve">Virtual groups must register via email. Virtual group participation is limited to MIPS eligible clinicians, specifically, solo practitioners </w:t>
            </w:r>
            <w:r>
              <w:rPr>
                <w:rFonts w:eastAsia="Calibri"/>
              </w:rPr>
              <w:t xml:space="preserve">who are MIPS eligible </w:t>
            </w:r>
            <w:r w:rsidRPr="00F4499C">
              <w:rPr>
                <w:rFonts w:eastAsia="Calibri"/>
              </w:rPr>
              <w:t>and groups consisting of 10 eligible clinicians or fewer</w:t>
            </w:r>
            <w:r>
              <w:rPr>
                <w:rFonts w:eastAsia="Calibri"/>
              </w:rPr>
              <w:t xml:space="preserve"> that have at least one MIPS eligible clinician.</w:t>
            </w:r>
          </w:p>
        </w:tc>
      </w:tr>
      <w:tr w14:paraId="78290637" w14:textId="77777777" w:rsidTr="00BA5E1B">
        <w:tblPrEx>
          <w:tblW w:w="0" w:type="auto"/>
          <w:tblLook w:val="04A0"/>
        </w:tblPrEx>
        <w:trPr>
          <w:cantSplit/>
          <w:trHeight w:val="952"/>
        </w:trPr>
        <w:tc>
          <w:tcPr>
            <w:tcW w:w="2661" w:type="dxa"/>
            <w:hideMark/>
          </w:tcPr>
          <w:p w:rsidR="005104FF" w:rsidRPr="00F4499C" w:rsidP="004F54FB" w14:paraId="109E6EB5" w14:textId="77777777">
            <w:pPr>
              <w:pStyle w:val="Table11Basic"/>
              <w:rPr>
                <w:rFonts w:eastAsia="Calibri"/>
              </w:rPr>
            </w:pPr>
            <w:r w:rsidRPr="00F4499C">
              <w:rPr>
                <w:rFonts w:eastAsia="Calibri"/>
              </w:rPr>
              <w:t>APM Performance Pathway</w:t>
            </w:r>
            <w:r>
              <w:rPr>
                <w:rFonts w:eastAsia="Calibri"/>
              </w:rPr>
              <w:t xml:space="preserve"> (APP)</w:t>
            </w:r>
          </w:p>
        </w:tc>
        <w:tc>
          <w:tcPr>
            <w:tcW w:w="6679" w:type="dxa"/>
            <w:hideMark/>
          </w:tcPr>
          <w:p w:rsidR="005104FF" w:rsidRPr="00F4499C" w:rsidP="004F54FB" w14:paraId="2909CDCD" w14:textId="6F74DACB">
            <w:pPr>
              <w:pStyle w:val="Table11Basic"/>
              <w:rPr>
                <w:rFonts w:eastAsia="Calibri"/>
              </w:rPr>
            </w:pPr>
            <w:r w:rsidRPr="00F4499C">
              <w:rPr>
                <w:rFonts w:eastAsia="Calibri"/>
              </w:rPr>
              <w:t xml:space="preserve">Clinicians in MIPS APMs electing the </w:t>
            </w:r>
            <w:r>
              <w:rPr>
                <w:rFonts w:eastAsia="Calibri"/>
              </w:rPr>
              <w:t>APP</w:t>
            </w:r>
            <w:r w:rsidRPr="00F4499C">
              <w:rPr>
                <w:rFonts w:eastAsia="Calibri"/>
              </w:rPr>
              <w:t xml:space="preserve">. The burden estimates for </w:t>
            </w:r>
            <w:r w:rsidRPr="1F48C665" w:rsidR="1CCCD3E9">
              <w:rPr>
                <w:rFonts w:eastAsia="Calibri"/>
              </w:rPr>
              <w:t xml:space="preserve">the CY 2025 PFS </w:t>
            </w:r>
            <w:r w:rsidR="00811C2A">
              <w:rPr>
                <w:rFonts w:eastAsia="Calibri"/>
              </w:rPr>
              <w:t>final</w:t>
            </w:r>
            <w:r w:rsidRPr="00F4499C" w:rsidR="00811C2A">
              <w:rPr>
                <w:rFonts w:eastAsia="Calibri"/>
              </w:rPr>
              <w:t xml:space="preserve"> </w:t>
            </w:r>
            <w:r w:rsidRPr="00F4499C">
              <w:rPr>
                <w:rFonts w:eastAsia="Calibri"/>
              </w:rPr>
              <w:t xml:space="preserve">rule assume that </w:t>
            </w:r>
            <w:r w:rsidR="00430885">
              <w:rPr>
                <w:rFonts w:eastAsia="Calibri"/>
              </w:rPr>
              <w:t xml:space="preserve">Shared Savings Program </w:t>
            </w:r>
            <w:r w:rsidRPr="00F4499C">
              <w:rPr>
                <w:rFonts w:eastAsia="Calibri"/>
              </w:rPr>
              <w:t xml:space="preserve">ACO APM Entities will submit data through the </w:t>
            </w:r>
            <w:r>
              <w:rPr>
                <w:rFonts w:eastAsia="Calibri"/>
              </w:rPr>
              <w:t>APP</w:t>
            </w:r>
            <w:r w:rsidR="00430885">
              <w:rPr>
                <w:rFonts w:eastAsia="Calibri"/>
              </w:rPr>
              <w:t xml:space="preserve"> via the APP Plus Measure set beginning in the CY 2025 performance period/2027 MIPS payment year</w:t>
            </w:r>
            <w:r w:rsidRPr="00F4499C">
              <w:rPr>
                <w:rFonts w:eastAsia="Calibri"/>
              </w:rPr>
              <w:t>, and non-</w:t>
            </w:r>
            <w:r w:rsidR="00430885">
              <w:rPr>
                <w:rFonts w:eastAsia="Calibri"/>
              </w:rPr>
              <w:t xml:space="preserve">Shared Savins Program </w:t>
            </w:r>
            <w:r w:rsidRPr="00F4499C">
              <w:rPr>
                <w:rFonts w:eastAsia="Calibri"/>
              </w:rPr>
              <w:t>ACO APM Entities will participate through traditional MIPS</w:t>
            </w:r>
            <w:r w:rsidR="00B06A10">
              <w:rPr>
                <w:rFonts w:eastAsia="Calibri"/>
              </w:rPr>
              <w:t xml:space="preserve"> or MVPs</w:t>
            </w:r>
            <w:r w:rsidRPr="00F4499C">
              <w:rPr>
                <w:rFonts w:eastAsia="Calibri"/>
              </w:rPr>
              <w:t>, submitting as an individual or group rather than as an APM Entity.</w:t>
            </w:r>
          </w:p>
        </w:tc>
      </w:tr>
    </w:tbl>
    <w:p w:rsidR="00C90045" w:rsidP="004F54FB" w14:paraId="63FDD90A" w14:textId="55881344">
      <w:pPr>
        <w:pStyle w:val="BodyText"/>
      </w:pPr>
      <w:r>
        <w:t xml:space="preserve">The policies finalized in the CY 2017 and CY 2018 </w:t>
      </w:r>
      <w:r w:rsidR="000264E5">
        <w:t>Quality Payment Program</w:t>
      </w:r>
      <w:r>
        <w:t xml:space="preserve"> final rules</w:t>
      </w:r>
      <w:r w:rsidR="00367CC8">
        <w:rPr>
          <w:rFonts w:eastAsia="Calibri"/>
        </w:rPr>
        <w:t xml:space="preserve"> </w:t>
      </w:r>
      <w:r w:rsidRPr="6D810F4F">
        <w:rPr>
          <w:rFonts w:eastAsia="Calibri"/>
        </w:rPr>
        <w:t>(81 FR 77008 and 82 FR 53568),</w:t>
      </w:r>
      <w:r>
        <w:t xml:space="preserve"> the CY 2019, CY 2020, CY 2021</w:t>
      </w:r>
      <w:r w:rsidRPr="6D810F4F">
        <w:rPr>
          <w:rFonts w:eastAsia="Calibri"/>
        </w:rPr>
        <w:t>, CY 2022, CY 2023, and CY 2024</w:t>
      </w:r>
      <w:r>
        <w:t xml:space="preserve"> PFS final rules</w:t>
      </w:r>
      <w:r w:rsidRPr="6D810F4F">
        <w:rPr>
          <w:rFonts w:eastAsia="Calibri"/>
        </w:rPr>
        <w:t xml:space="preserve"> (83 FR 59452, 84 FR 62568, 85 FR 84472, 86 FR 64996, 87 FR 70131, and 88 FR 78818), and </w:t>
      </w:r>
      <w:r>
        <w:t xml:space="preserve">continued in </w:t>
      </w:r>
      <w:r w:rsidR="28C38204">
        <w:t xml:space="preserve">the CY 2025 PFS </w:t>
      </w:r>
      <w:r w:rsidR="00811C2A">
        <w:rPr>
          <w:rFonts w:eastAsia="Calibri"/>
        </w:rPr>
        <w:t>final</w:t>
      </w:r>
      <w:r w:rsidRPr="6D810F4F" w:rsidR="00811C2A">
        <w:rPr>
          <w:rFonts w:eastAsia="Calibri"/>
        </w:rPr>
        <w:t xml:space="preserve"> </w:t>
      </w:r>
      <w:r>
        <w:t>rule create some additional data collection requirements not listed in Table 2.</w:t>
      </w:r>
      <w:r>
        <w:t>These additional data collections</w:t>
      </w:r>
      <w:r w:rsidR="00DC2761">
        <w:t xml:space="preserve"> </w:t>
      </w:r>
      <w:r w:rsidR="00571D87">
        <w:t>consist of:</w:t>
      </w:r>
    </w:p>
    <w:p w:rsidR="00C90045" w:rsidP="004F54FB" w14:paraId="075A11CD" w14:textId="3042F144">
      <w:pPr>
        <w:pStyle w:val="Bullet1"/>
      </w:pPr>
      <w:r w:rsidRPr="00DB082D">
        <w:t xml:space="preserve">Self-nomination of new QCDRs </w:t>
      </w:r>
    </w:p>
    <w:p w:rsidR="00EB2815" w:rsidP="004F54FB" w14:paraId="1C14A0E5" w14:textId="5A7B8C3E">
      <w:pPr>
        <w:pStyle w:val="Bullet1"/>
      </w:pPr>
      <w:r>
        <w:t>Simplified self-nomination process of returning QCDRs</w:t>
      </w:r>
    </w:p>
    <w:p w:rsidR="00D75002" w:rsidP="004F54FB" w14:paraId="78B99E69" w14:textId="132E8304">
      <w:pPr>
        <w:pStyle w:val="Bullet1"/>
      </w:pPr>
      <w:r>
        <w:t>Self-nomination of new qualified</w:t>
      </w:r>
      <w:r w:rsidRPr="00DB082D">
        <w:t xml:space="preserve"> registries</w:t>
      </w:r>
    </w:p>
    <w:p w:rsidR="00397918" w:rsidP="004F54FB" w14:paraId="171BC60D" w14:textId="2AA47C6E">
      <w:pPr>
        <w:pStyle w:val="Bullet1"/>
      </w:pPr>
      <w:r>
        <w:t>Simplified self-nomination process of returning qualified registries</w:t>
      </w:r>
    </w:p>
    <w:p w:rsidR="00C90045" w:rsidP="004F54FB" w14:paraId="25699F8B" w14:textId="031E4887">
      <w:pPr>
        <w:pStyle w:val="Bullet1"/>
      </w:pPr>
      <w:r>
        <w:t xml:space="preserve">Third party intermediary plan audits </w:t>
      </w:r>
      <w:r w:rsidR="37FA224F">
        <w:t xml:space="preserve"> </w:t>
      </w:r>
    </w:p>
    <w:p w:rsidR="00D54DB9" w:rsidP="004F54FB" w14:paraId="2B776315" w14:textId="12CB53C6">
      <w:pPr>
        <w:pStyle w:val="Bullet1"/>
      </w:pPr>
      <w:r>
        <w:t>Open Authorization Credentialing and Token Request Process</w:t>
      </w:r>
    </w:p>
    <w:p w:rsidR="00C90045" w:rsidP="004F54FB" w14:paraId="601A6891" w14:textId="6FEA8C70">
      <w:pPr>
        <w:pStyle w:val="Bullet1"/>
      </w:pPr>
      <w:r>
        <w:t>Quality Payment Program Identity Management Application Process</w:t>
      </w:r>
    </w:p>
    <w:p w:rsidR="00C90045" w:rsidRPr="00DB082D" w:rsidP="004F54FB" w14:paraId="702A710B" w14:textId="0BA2D1F9">
      <w:pPr>
        <w:pStyle w:val="Bullet1"/>
      </w:pPr>
      <w:r>
        <w:t xml:space="preserve">Reweighting </w:t>
      </w:r>
      <w:r w:rsidR="37FA224F">
        <w:t>Application</w:t>
      </w:r>
      <w:r>
        <w:t>s</w:t>
      </w:r>
      <w:r w:rsidR="37FA224F">
        <w:t xml:space="preserve"> for </w:t>
      </w:r>
      <w:r w:rsidRPr="00DF26B3" w:rsidR="00DF26B3">
        <w:t>MIPS Performance Categories</w:t>
      </w:r>
      <w:r w:rsidRPr="00DF26B3" w:rsidR="00DF26B3">
        <w:t xml:space="preserve"> </w:t>
      </w:r>
    </w:p>
    <w:p w:rsidR="00C90045" w:rsidP="004F54FB" w14:paraId="273FA231" w14:textId="77777777">
      <w:pPr>
        <w:pStyle w:val="Bullet1"/>
      </w:pPr>
      <w:r>
        <w:t>Call for quality measures</w:t>
      </w:r>
    </w:p>
    <w:p w:rsidR="00C90045" w:rsidP="004F54FB" w14:paraId="4F3DFA8E" w14:textId="3BD10416">
      <w:pPr>
        <w:pStyle w:val="Bullet1"/>
      </w:pPr>
      <w:r>
        <w:t>Nomination of</w:t>
      </w:r>
      <w:r w:rsidR="37FA224F">
        <w:t xml:space="preserve"> improvement activities</w:t>
      </w:r>
    </w:p>
    <w:p w:rsidR="00D54DB9" w:rsidP="004F54FB" w14:paraId="1279E7EF" w14:textId="3C501427">
      <w:pPr>
        <w:pStyle w:val="Bullet1"/>
      </w:pPr>
      <w:r>
        <w:t>Nomination of MVPs</w:t>
      </w:r>
    </w:p>
    <w:p w:rsidR="00C90045" w:rsidP="004F54FB" w14:paraId="67B82832" w14:textId="5C969DCE">
      <w:pPr>
        <w:pStyle w:val="Bullet1"/>
      </w:pPr>
      <w:r>
        <w:t xml:space="preserve">Opt out of performance data display on Compare </w:t>
      </w:r>
      <w:r w:rsidR="02483E07">
        <w:t xml:space="preserve">Tools </w:t>
      </w:r>
      <w:r>
        <w:t>for voluntary reporters under MIPS</w:t>
      </w:r>
    </w:p>
    <w:p w:rsidR="00C90045" w:rsidRPr="00DB082D" w:rsidP="004F54FB" w14:paraId="51A764B9" w14:textId="77777777">
      <w:pPr>
        <w:pStyle w:val="Bullet1"/>
      </w:pPr>
      <w:r>
        <w:t xml:space="preserve">Partial Qualifying APM Participant (Partial QP) election </w:t>
      </w:r>
    </w:p>
    <w:p w:rsidR="00C90045" w:rsidP="004F54FB" w14:paraId="1DCFE4A7" w14:textId="77777777">
      <w:pPr>
        <w:pStyle w:val="Bullet1"/>
      </w:pPr>
      <w:r>
        <w:t>Other Payer Advanced APM determinations: Payer Initiated Process</w:t>
      </w:r>
    </w:p>
    <w:p w:rsidR="00C90045" w:rsidP="004F54FB" w14:paraId="4B838D2B" w14:textId="53A893D0">
      <w:pPr>
        <w:pStyle w:val="Bullet1"/>
      </w:pPr>
      <w:r>
        <w:t xml:space="preserve">Other Payer Advanced APM determinations: </w:t>
      </w:r>
      <w:r w:rsidR="4AF038B1">
        <w:t xml:space="preserve">Eligible </w:t>
      </w:r>
      <w:r>
        <w:t xml:space="preserve">Clinician Initiated Process </w:t>
      </w:r>
    </w:p>
    <w:p w:rsidR="00BB0598" w:rsidP="004F54FB" w14:paraId="151B99CB" w14:textId="308267AD">
      <w:pPr>
        <w:pStyle w:val="Bullet1"/>
      </w:pPr>
      <w:r>
        <w:t>Submission of Data for All-Payer QP Determinations</w:t>
      </w:r>
      <w:r w:rsidR="2C0EB883">
        <w:t xml:space="preserve"> Framework for Understanding the Burden of MIPS Data Submission</w:t>
      </w:r>
    </w:p>
    <w:p w:rsidR="00BB0598" w:rsidRPr="006E6DEB" w:rsidP="006E6DEB" w14:paraId="37072A9E" w14:textId="644E09B9">
      <w:pPr>
        <w:pStyle w:val="Heading4"/>
        <w:rPr>
          <w:bCs/>
        </w:rPr>
      </w:pPr>
      <w:r w:rsidRPr="006E6DEB">
        <w:rPr>
          <w:bCs/>
        </w:rPr>
        <w:t>c.</w:t>
      </w:r>
      <w:r w:rsidRPr="006E6DEB">
        <w:rPr>
          <w:bCs/>
        </w:rPr>
        <w:tab/>
      </w:r>
      <w:r w:rsidRPr="006E6DEB" w:rsidR="0004680F">
        <w:rPr>
          <w:bCs/>
        </w:rPr>
        <w:t xml:space="preserve">Burden for Third Party </w:t>
      </w:r>
      <w:r w:rsidRPr="006E6DEB" w:rsidR="00BD0FB4">
        <w:rPr>
          <w:bCs/>
        </w:rPr>
        <w:t xml:space="preserve">Self-Nomination </w:t>
      </w:r>
      <w:r w:rsidRPr="006E6DEB" w:rsidR="00040287">
        <w:rPr>
          <w:bCs/>
        </w:rPr>
        <w:t xml:space="preserve">Process </w:t>
      </w:r>
      <w:r w:rsidRPr="006E6DEB" w:rsidR="00BD0FB4">
        <w:rPr>
          <w:bCs/>
        </w:rPr>
        <w:t>and Other Requirements</w:t>
      </w:r>
    </w:p>
    <w:p w:rsidR="00987AC6" w:rsidP="0067016B" w14:paraId="02F75869" w14:textId="0E36B170">
      <w:pPr>
        <w:pStyle w:val="BodyText-PostHead"/>
        <w:spacing w:before="240"/>
      </w:pPr>
      <w:r w:rsidRPr="00B4313F">
        <w:t>Under MIPS, the quality, Promoting Interoperability, and improvement activities performance category data may be submitted via relevant third</w:t>
      </w:r>
      <w:r w:rsidR="00B353A0">
        <w:t xml:space="preserve"> </w:t>
      </w:r>
      <w:r w:rsidRPr="00B4313F">
        <w:t xml:space="preserve">party intermediaries, such </w:t>
      </w:r>
      <w:r w:rsidRPr="00B4313F">
        <w:t xml:space="preserve">as </w:t>
      </w:r>
      <w:r w:rsidRPr="00B4313F">
        <w:t>QCDRs</w:t>
      </w:r>
      <w:r w:rsidR="00557787">
        <w:t xml:space="preserve"> and qualified registries</w:t>
      </w:r>
      <w:r w:rsidRPr="00B4313F">
        <w:t>.</w:t>
      </w:r>
      <w:r w:rsidR="00FF451C">
        <w:t xml:space="preserve"> </w:t>
      </w:r>
      <w:r w:rsidRPr="00F4499C" w:rsidR="00A853F3">
        <w:t xml:space="preserve">Entities seeking approval to submit data on behalf of clinicians as a </w:t>
      </w:r>
      <w:r w:rsidR="00A853F3">
        <w:t>QCDR</w:t>
      </w:r>
      <w:r w:rsidR="6C32B793">
        <w:t xml:space="preserve"> or</w:t>
      </w:r>
      <w:r w:rsidR="00A853F3">
        <w:t xml:space="preserve"> </w:t>
      </w:r>
      <w:r w:rsidRPr="00F4499C" w:rsidR="00A853F3">
        <w:t xml:space="preserve">qualified registry must complete a self-nomination process annually. The processes for self-nomination </w:t>
      </w:r>
      <w:r w:rsidRPr="00F4499C" w:rsidR="00A853F3">
        <w:rPr>
          <w:rFonts w:eastAsia="Calibri"/>
        </w:rPr>
        <w:t>of</w:t>
      </w:r>
      <w:r w:rsidRPr="00F4499C" w:rsidR="00A853F3">
        <w:t xml:space="preserve"> entities seeking approval as </w:t>
      </w:r>
      <w:r w:rsidR="00A853F3">
        <w:t xml:space="preserve">QCDRs and </w:t>
      </w:r>
      <w:r w:rsidRPr="00F4499C" w:rsidR="00A853F3">
        <w:t xml:space="preserve">qualified registries are similar with the exception that QCDRs have the option to nominate QCDR measures for </w:t>
      </w:r>
      <w:r w:rsidR="00A853F3">
        <w:t xml:space="preserve">CMS consideration </w:t>
      </w:r>
      <w:r w:rsidRPr="00F4499C" w:rsidR="00A853F3">
        <w:t>for the reporting of quality performance category data</w:t>
      </w:r>
      <w:r w:rsidRPr="009E5A6C" w:rsidR="00A853F3">
        <w:t xml:space="preserve">. </w:t>
      </w:r>
      <w:r w:rsidRPr="00DF1428" w:rsidR="00A853F3">
        <w:t>Therefore, the difference between the QCDR and qualified registry self-nomination is associated with the preparation of QCDR measures for CMS consideration</w:t>
      </w:r>
      <w:r w:rsidRPr="00DF1428" w:rsidR="00156E6F">
        <w:t xml:space="preserve">. </w:t>
      </w:r>
    </w:p>
    <w:p w:rsidR="000F0B82" w:rsidP="00184B7F" w14:paraId="7A910C69" w14:textId="2CE5049D">
      <w:pPr>
        <w:pStyle w:val="BodyText"/>
      </w:pPr>
      <w:r w:rsidRPr="001C02A4">
        <w:t xml:space="preserve">As established in the CY 2024 PFS final rule (88 FR 79425), we continue to estimate burden separately for the simplified and full self-nominations of QCDRs and qualified registries, to more accurately capture the distinct number of estimated respondents and burden per self-nomination for the different </w:t>
      </w:r>
      <w:r>
        <w:t>processes. In the CY 2024 PFS final rule (</w:t>
      </w:r>
      <w:r w:rsidRPr="5B5F5372">
        <w:rPr>
          <w:rFonts w:eastAsia="Calibri"/>
        </w:rPr>
        <w:t>88 FR 79390 and 79391</w:t>
      </w:r>
      <w:r>
        <w:t xml:space="preserve">), we eliminated the category of health information technology (IT) vendors from MIPS third party intermediaries beginning with the CY 2025 performance period/2027 MIPS payment </w:t>
      </w:r>
      <w:r w:rsidR="006457D1">
        <w:t>year</w:t>
      </w:r>
      <w:r>
        <w:t>.</w:t>
      </w:r>
    </w:p>
    <w:p w:rsidR="009B7BAA" w:rsidRPr="00640806" w:rsidP="00184B7F" w14:paraId="6F31732F" w14:textId="68EEBAA6">
      <w:pPr>
        <w:pStyle w:val="BodyText"/>
        <w:rPr>
          <w:rFonts w:eastAsia="Calibri"/>
        </w:rPr>
      </w:pPr>
      <w:r w:rsidRPr="00987AC6">
        <w:rPr>
          <w:rFonts w:eastAsia="Calibri"/>
        </w:rPr>
        <w:t xml:space="preserve">Qualified registries </w:t>
      </w:r>
      <w:r w:rsidR="00AA1AB8">
        <w:rPr>
          <w:rFonts w:eastAsia="Calibri"/>
        </w:rPr>
        <w:t xml:space="preserve">and QCDRs </w:t>
      </w:r>
      <w:r w:rsidRPr="00987AC6">
        <w:rPr>
          <w:rFonts w:eastAsia="Calibri"/>
        </w:rPr>
        <w:t xml:space="preserve">must comply with requirements on the submission of MIPS data to CMS. The burden associated with qualified registry </w:t>
      </w:r>
      <w:r w:rsidR="00AA1AB8">
        <w:rPr>
          <w:rFonts w:eastAsia="Calibri"/>
        </w:rPr>
        <w:t xml:space="preserve">and QCDR data </w:t>
      </w:r>
      <w:r w:rsidRPr="00987AC6">
        <w:rPr>
          <w:rFonts w:eastAsia="Calibri"/>
        </w:rPr>
        <w:t xml:space="preserve">submission requirements will be the time and effort associated with calculating quality measure results from the data submitted to the qualified registry </w:t>
      </w:r>
      <w:r w:rsidR="00AA1AB8">
        <w:rPr>
          <w:rFonts w:eastAsia="Calibri"/>
        </w:rPr>
        <w:t xml:space="preserve">and QCDR </w:t>
      </w:r>
      <w:r w:rsidRPr="00987AC6">
        <w:rPr>
          <w:rFonts w:eastAsia="Calibri"/>
        </w:rPr>
        <w:t xml:space="preserve">by its participants and submitting these results, the </w:t>
      </w:r>
      <w:r w:rsidRPr="00987AC6">
        <w:rPr>
          <w:rFonts w:eastAsia="Calibri"/>
        </w:rPr>
        <w:t>numerator and denominator data on quality measures, the Promoting Interoperability performance category, and improvement activities data to us on behalf of their participants. We expect that the time needed for a qualified registry</w:t>
      </w:r>
      <w:r w:rsidR="00AA1AB8">
        <w:rPr>
          <w:rFonts w:eastAsia="Calibri"/>
        </w:rPr>
        <w:t xml:space="preserve"> or a QCDR</w:t>
      </w:r>
      <w:r w:rsidRPr="00987AC6">
        <w:rPr>
          <w:rFonts w:eastAsia="Calibri"/>
        </w:rPr>
        <w:t xml:space="preserve"> to accomplish these tasks will vary along with the number of MIPS eligible clinicians submitting data to the qualified registry and the number of applicable measures. However, we believe that qualified registries </w:t>
      </w:r>
      <w:r w:rsidR="00AA1AB8">
        <w:rPr>
          <w:rFonts w:eastAsia="Calibri"/>
        </w:rPr>
        <w:t xml:space="preserve">and QCDRs </w:t>
      </w:r>
      <w:r w:rsidRPr="00987AC6">
        <w:rPr>
          <w:rFonts w:eastAsia="Calibri"/>
        </w:rPr>
        <w:t xml:space="preserve">already perform many of these activities for their participants. </w:t>
      </w:r>
      <w:r w:rsidRPr="00514BE6">
        <w:rPr>
          <w:rFonts w:eastAsia="Calibri"/>
        </w:rPr>
        <w:t>Therefore, we believe the estima</w:t>
      </w:r>
      <w:r>
        <w:rPr>
          <w:rFonts w:eastAsia="Calibri"/>
        </w:rPr>
        <w:t xml:space="preserve">tes </w:t>
      </w:r>
      <w:r w:rsidRPr="00514BE6">
        <w:rPr>
          <w:rFonts w:eastAsia="Calibri"/>
        </w:rPr>
        <w:t>shown in Table</w:t>
      </w:r>
      <w:r>
        <w:rPr>
          <w:rFonts w:eastAsia="Calibri"/>
        </w:rPr>
        <w:t>s</w:t>
      </w:r>
      <w:r w:rsidRPr="00514BE6">
        <w:rPr>
          <w:rFonts w:eastAsia="Calibri"/>
        </w:rPr>
        <w:t xml:space="preserve"> </w:t>
      </w:r>
      <w:r>
        <w:rPr>
          <w:rFonts w:eastAsia="Calibri"/>
        </w:rPr>
        <w:t>3,4,5, and 6</w:t>
      </w:r>
      <w:r w:rsidRPr="00640806">
        <w:rPr>
          <w:rFonts w:eastAsia="Calibri"/>
        </w:rPr>
        <w:t xml:space="preserve"> represent</w:t>
      </w:r>
      <w:r>
        <w:rPr>
          <w:rFonts w:eastAsia="Calibri"/>
        </w:rPr>
        <w:t>s</w:t>
      </w:r>
      <w:r w:rsidRPr="00640806">
        <w:rPr>
          <w:rFonts w:eastAsia="Calibri"/>
        </w:rPr>
        <w:t xml:space="preserve"> the upper bound for qualified registry </w:t>
      </w:r>
      <w:r w:rsidR="00AA1AB8">
        <w:rPr>
          <w:rFonts w:eastAsia="Calibri"/>
        </w:rPr>
        <w:t xml:space="preserve">and QCDR </w:t>
      </w:r>
      <w:r w:rsidRPr="00640806">
        <w:rPr>
          <w:rFonts w:eastAsia="Calibri"/>
        </w:rPr>
        <w:t xml:space="preserve">burden, with the potential for less additional MIPS burden if the qualified registry </w:t>
      </w:r>
      <w:r w:rsidR="00AA1AB8">
        <w:rPr>
          <w:rFonts w:eastAsia="Calibri"/>
        </w:rPr>
        <w:t xml:space="preserve">or the QCDR </w:t>
      </w:r>
      <w:r w:rsidRPr="00640806">
        <w:rPr>
          <w:rFonts w:eastAsia="Calibri"/>
        </w:rPr>
        <w:t>already provides similar data submission services.</w:t>
      </w:r>
    </w:p>
    <w:p w:rsidR="0004680F" w:rsidRPr="0004680F" w:rsidP="00184B7F" w14:paraId="0C6A94E8" w14:textId="53B9BD2C">
      <w:pPr>
        <w:pStyle w:val="BodyText"/>
      </w:pPr>
      <w:r w:rsidRPr="00AD3EE3">
        <w:rPr>
          <w:rFonts w:eastAsia="Calibri"/>
        </w:rPr>
        <w:t>The burden associated with qualified registry self-nomination</w:t>
      </w:r>
      <w:r w:rsidR="00AD3EE3">
        <w:rPr>
          <w:rFonts w:eastAsia="Calibri"/>
        </w:rPr>
        <w:t xml:space="preserve"> and</w:t>
      </w:r>
      <w:r w:rsidRPr="00AD3EE3">
        <w:rPr>
          <w:rFonts w:eastAsia="Calibri"/>
        </w:rPr>
        <w:t xml:space="preserve"> QCDR self-nomination </w:t>
      </w:r>
      <w:r w:rsidR="0047388C">
        <w:rPr>
          <w:rFonts w:eastAsia="Calibri"/>
        </w:rPr>
        <w:t xml:space="preserve">and measure submission </w:t>
      </w:r>
      <w:r w:rsidRPr="00AD3EE3">
        <w:rPr>
          <w:rFonts w:eastAsia="Calibri"/>
        </w:rPr>
        <w:t>follow:</w:t>
      </w:r>
    </w:p>
    <w:p w:rsidR="0076539F" w:rsidRPr="00E03843" w:rsidP="00E03843" w14:paraId="3C642C85" w14:textId="76268EAB">
      <w:pPr>
        <w:pStyle w:val="Heading5"/>
      </w:pPr>
      <w:r w:rsidRPr="00E03843">
        <w:t>i.</w:t>
      </w:r>
      <w:r w:rsidRPr="00E03843">
        <w:tab/>
      </w:r>
      <w:r w:rsidRPr="00E03843" w:rsidR="0004680F">
        <w:t xml:space="preserve">Burden for </w:t>
      </w:r>
      <w:r w:rsidRPr="00E03843" w:rsidR="00585D3D">
        <w:t xml:space="preserve">Simplified </w:t>
      </w:r>
      <w:r w:rsidRPr="00E03843" w:rsidR="0004680F">
        <w:t>Qualified Registry</w:t>
      </w:r>
      <w:r w:rsidRPr="00E03843" w:rsidR="00040287">
        <w:t xml:space="preserve"> </w:t>
      </w:r>
      <w:r w:rsidRPr="00E03843" w:rsidR="0004680F">
        <w:t>Self-Nomination</w:t>
      </w:r>
      <w:r w:rsidRPr="00E03843" w:rsidR="001351E4">
        <w:t xml:space="preserve"> </w:t>
      </w:r>
      <w:r w:rsidRPr="00E03843" w:rsidR="00040287">
        <w:t>Process</w:t>
      </w:r>
      <w:r w:rsidRPr="00E03843" w:rsidR="00830B72">
        <w:t xml:space="preserve"> </w:t>
      </w:r>
      <w:r w:rsidRPr="00E03843" w:rsidR="001351E4">
        <w:t>and other Requirements</w:t>
      </w:r>
      <w:r w:rsidRPr="00E03843">
        <w:t xml:space="preserve">  </w:t>
      </w:r>
    </w:p>
    <w:p w:rsidR="0076539F" w:rsidP="0067016B" w14:paraId="6A0CBD43" w14:textId="3295AED5">
      <w:pPr>
        <w:spacing w:before="240"/>
        <w:rPr>
          <w:rFonts w:eastAsia="Calibri"/>
        </w:rPr>
      </w:pPr>
      <w:r w:rsidRPr="5B5F5372">
        <w:rPr>
          <w:rFonts w:eastAsia="Calibri"/>
        </w:rPr>
        <w:t>P</w:t>
      </w:r>
      <w:r w:rsidRPr="5B5F5372" w:rsidR="1E8C9E72">
        <w:rPr>
          <w:rFonts w:eastAsia="Calibri"/>
        </w:rPr>
        <w:t>reviously approved qualified registries in good standing (</w:t>
      </w:r>
      <w:r w:rsidR="00B33B7E">
        <w:rPr>
          <w:rFonts w:eastAsia="Calibri"/>
        </w:rPr>
        <w:t>i.e.</w:t>
      </w:r>
      <w:r w:rsidRPr="5B5F5372" w:rsidR="1E8C9E72">
        <w:rPr>
          <w:rFonts w:eastAsia="Calibri"/>
        </w:rPr>
        <w:t xml:space="preserve">, that are not on </w:t>
      </w:r>
      <w:r w:rsidRPr="5B5F5372" w:rsidR="767256BD">
        <w:rPr>
          <w:rFonts w:eastAsia="Calibri"/>
        </w:rPr>
        <w:t xml:space="preserve">remedial action </w:t>
      </w:r>
      <w:r w:rsidRPr="5B5F5372" w:rsidR="1E8C9E72">
        <w:rPr>
          <w:rFonts w:eastAsia="Calibri"/>
        </w:rPr>
        <w:t>or</w:t>
      </w:r>
      <w:r w:rsidRPr="5B5F5372" w:rsidR="767256BD">
        <w:rPr>
          <w:rFonts w:eastAsia="Calibri"/>
        </w:rPr>
        <w:t xml:space="preserve"> have been terminated</w:t>
      </w:r>
      <w:r w:rsidRPr="5B5F5372" w:rsidR="1E8C9E72">
        <w:rPr>
          <w:rFonts w:eastAsia="Calibri"/>
        </w:rPr>
        <w:t xml:space="preserve">) may attest that certain aspects of their previous year's approved self-nomination have not changed and will be used for the applicable performance period. </w:t>
      </w:r>
      <w:r w:rsidRPr="5B5F5372">
        <w:rPr>
          <w:rFonts w:eastAsia="Calibri"/>
        </w:rPr>
        <w:t>Q</w:t>
      </w:r>
      <w:r w:rsidRPr="5B5F5372" w:rsidR="1E8C9E72">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w:t>
      </w:r>
    </w:p>
    <w:p w:rsidR="0056224C" w:rsidP="00730BEF" w14:paraId="19260656" w14:textId="0B9CF4EA">
      <w:pPr>
        <w:rPr>
          <w:rFonts w:eastAsia="Calibri"/>
        </w:rPr>
      </w:pPr>
      <w:r>
        <w:t xml:space="preserve">Based on the number of applications </w:t>
      </w:r>
      <w:r w:rsidR="2F374ED8">
        <w:t xml:space="preserve">we </w:t>
      </w:r>
      <w:r w:rsidR="1863A3ED">
        <w:t>receive</w:t>
      </w:r>
      <w:r w:rsidR="00A02E59">
        <w:t>d</w:t>
      </w:r>
      <w:r w:rsidR="1863A3ED">
        <w:t xml:space="preserve"> </w:t>
      </w:r>
      <w:r>
        <w:t xml:space="preserve">under the simplified process during the </w:t>
      </w:r>
      <w:r w:rsidR="63C794EE">
        <w:t xml:space="preserve">CY </w:t>
      </w:r>
      <w:r>
        <w:t>202</w:t>
      </w:r>
      <w:r w:rsidR="588DD4E8">
        <w:t>4</w:t>
      </w:r>
      <w:r>
        <w:t xml:space="preserve"> self-nomination period, w</w:t>
      </w:r>
      <w:r w:rsidR="1417AA5B">
        <w:t xml:space="preserve">e </w:t>
      </w:r>
      <w:r w:rsidR="67A93190">
        <w:t>estimate</w:t>
      </w:r>
      <w:r w:rsidR="1417AA5B">
        <w:t xml:space="preserve"> </w:t>
      </w:r>
      <w:r w:rsidR="3132BF5D">
        <w:t>that</w:t>
      </w:r>
      <w:r w:rsidR="00903520">
        <w:t xml:space="preserve"> </w:t>
      </w:r>
      <w:bookmarkStart w:id="2" w:name="_1789295061"/>
      <w:bookmarkEnd w:id="2"/>
      <w:r w:rsidR="3132BF5D">
        <w:t xml:space="preserve">qualified registries </w:t>
      </w:r>
      <w:r w:rsidR="1417AA5B">
        <w:t xml:space="preserve">will </w:t>
      </w:r>
      <w:r w:rsidR="43C96B13">
        <w:t xml:space="preserve">submit an application under the simplified </w:t>
      </w:r>
      <w:r w:rsidR="1863A3ED">
        <w:t xml:space="preserve">qualified registry </w:t>
      </w:r>
      <w:r w:rsidR="1417AA5B">
        <w:t>self-nominat</w:t>
      </w:r>
      <w:r w:rsidR="43C96B13">
        <w:t>ion process</w:t>
      </w:r>
      <w:r w:rsidR="1417AA5B">
        <w:t xml:space="preserve"> </w:t>
      </w:r>
      <w:r w:rsidR="43C96B13">
        <w:t>for the CY 202</w:t>
      </w:r>
      <w:r w:rsidR="4637906F">
        <w:t>5</w:t>
      </w:r>
      <w:r w:rsidR="43C96B13">
        <w:t xml:space="preserve"> performance period/202</w:t>
      </w:r>
      <w:r w:rsidR="64B251C2">
        <w:t>7</w:t>
      </w:r>
      <w:r w:rsidR="43C96B13">
        <w:t xml:space="preserve"> MIPS payment year</w:t>
      </w:r>
      <w:r w:rsidR="3132BF5D">
        <w:t>.</w:t>
      </w:r>
      <w:r w:rsidR="5A1C64EB">
        <w:t xml:space="preserve"> </w:t>
      </w:r>
      <w:r w:rsidR="39D366FE">
        <w:t xml:space="preserve">We </w:t>
      </w:r>
      <w:r w:rsidR="5AC67825">
        <w:t xml:space="preserve">estimate that it would take 0.5 hours to submit an application for the </w:t>
      </w:r>
      <w:r w:rsidR="3674E637">
        <w:t xml:space="preserve">simplified </w:t>
      </w:r>
      <w:r w:rsidR="5AC67825">
        <w:t xml:space="preserve">qualified registry self-nomination process. We </w:t>
      </w:r>
      <w:r w:rsidR="39D366FE">
        <w:t xml:space="preserve">assume that the staff involved in the </w:t>
      </w:r>
      <w:r w:rsidR="545B233D">
        <w:t xml:space="preserve">simplified </w:t>
      </w:r>
      <w:r w:rsidR="39D366FE">
        <w:t>qualified registry self-nomination process will be computer systems analysts or their equivalent, who have an average labor rate of</w:t>
      </w:r>
      <w:bookmarkStart w:id="3" w:name="_1779610885"/>
      <w:bookmarkStart w:id="4" w:name="_1777365699"/>
      <w:bookmarkStart w:id="5" w:name="_1777204771"/>
      <w:bookmarkStart w:id="6" w:name="_1777391843"/>
      <w:bookmarkStart w:id="7" w:name="_1777393327"/>
      <w:bookmarkStart w:id="8" w:name="_1777395984"/>
      <w:bookmarkEnd w:id="3"/>
      <w:bookmarkEnd w:id="4"/>
      <w:bookmarkEnd w:id="5"/>
      <w:bookmarkEnd w:id="6"/>
      <w:bookmarkEnd w:id="7"/>
      <w:bookmarkEnd w:id="8"/>
      <w:r w:rsidR="6CB0091B">
        <w:t xml:space="preserve"> $106.54</w:t>
      </w:r>
      <w:r w:rsidR="39D366FE">
        <w:t xml:space="preserve">/hr. </w:t>
      </w:r>
      <w:r w:rsidR="5AC67825">
        <w:t>We estimate the burden per response would be</w:t>
      </w:r>
      <w:bookmarkStart w:id="9" w:name="_1777365704"/>
      <w:bookmarkStart w:id="10" w:name="_1777204778"/>
      <w:bookmarkStart w:id="11" w:name="_1777391849"/>
      <w:bookmarkStart w:id="12" w:name="_1777393335"/>
      <w:bookmarkStart w:id="13" w:name="_1777395992"/>
      <w:bookmarkEnd w:id="9"/>
      <w:bookmarkEnd w:id="10"/>
      <w:bookmarkEnd w:id="11"/>
      <w:bookmarkEnd w:id="12"/>
      <w:bookmarkEnd w:id="13"/>
      <w:r w:rsidR="66047DBA">
        <w:t xml:space="preserve"> $53.27 </w:t>
      </w:r>
      <w:r w:rsidR="5AC67825">
        <w:t>(</w:t>
      </w:r>
      <w:bookmarkStart w:id="14" w:name="_Hlk178862767"/>
      <w:r w:rsidR="5AC67825">
        <w:t xml:space="preserve">0.5 hr </w:t>
      </w:r>
      <w:r w:rsidR="00E9230F">
        <w:t>×</w:t>
      </w:r>
      <w:bookmarkStart w:id="15" w:name="_1777365709"/>
      <w:bookmarkStart w:id="16" w:name="_1777204785"/>
      <w:bookmarkStart w:id="17" w:name="_1777391855"/>
      <w:bookmarkStart w:id="18" w:name="_1777393344"/>
      <w:bookmarkStart w:id="19" w:name="_1777396000"/>
      <w:bookmarkEnd w:id="15"/>
      <w:bookmarkEnd w:id="16"/>
      <w:bookmarkEnd w:id="17"/>
      <w:bookmarkEnd w:id="18"/>
      <w:bookmarkEnd w:id="19"/>
      <w:r w:rsidR="6CB0091B">
        <w:t xml:space="preserve"> $106.54</w:t>
      </w:r>
      <w:r w:rsidR="5AC67825">
        <w:t>/hr</w:t>
      </w:r>
      <w:bookmarkEnd w:id="14"/>
      <w:r w:rsidR="5AC67825">
        <w:t xml:space="preserve">). </w:t>
      </w:r>
      <w:r w:rsidR="00903520">
        <w:t xml:space="preserve">In aggregate, </w:t>
      </w:r>
      <w:r w:rsidRPr="5B5F5372" w:rsidR="00903520">
        <w:rPr>
          <w:rFonts w:eastAsia="Calibri"/>
        </w:rPr>
        <w:t>as shown in Table 3, we estimate that the annual burden for the simplified qualified registry self-nomination process would be</w:t>
      </w:r>
      <w:r w:rsidR="00903520">
        <w:t xml:space="preserve"> </w:t>
      </w:r>
      <w:r w:rsidRPr="00BA50AE" w:rsidR="00903520">
        <w:t>37</w:t>
      </w:r>
      <w:r w:rsidRPr="00BA50AE" w:rsidR="00903520">
        <w:rPr>
          <w:rFonts w:eastAsia="Calibri"/>
        </w:rPr>
        <w:t xml:space="preserve"> hours (</w:t>
      </w:r>
      <w:bookmarkStart w:id="20" w:name="_1777365714"/>
      <w:bookmarkStart w:id="21" w:name="_1777204792"/>
      <w:bookmarkStart w:id="22" w:name="_1777391862"/>
      <w:bookmarkStart w:id="23" w:name="_1777393351"/>
      <w:bookmarkStart w:id="24" w:name="_1777396008"/>
      <w:bookmarkEnd w:id="20"/>
      <w:bookmarkEnd w:id="21"/>
      <w:bookmarkEnd w:id="22"/>
      <w:bookmarkEnd w:id="23"/>
      <w:bookmarkEnd w:id="24"/>
      <w:r w:rsidRPr="00BA50AE" w:rsidR="00903520">
        <w:t xml:space="preserve">74 </w:t>
      </w:r>
      <w:r w:rsidRPr="5B5F5372" w:rsidR="00903520">
        <w:rPr>
          <w:rFonts w:eastAsia="Calibri"/>
        </w:rPr>
        <w:t xml:space="preserve">applications </w:t>
      </w:r>
      <w:r w:rsidR="00903520">
        <w:t>×</w:t>
      </w:r>
      <w:r w:rsidRPr="5B5F5372" w:rsidR="00903520">
        <w:rPr>
          <w:rFonts w:eastAsia="Calibri"/>
        </w:rPr>
        <w:t xml:space="preserve"> 0.5hr) at a cost of</w:t>
      </w:r>
      <w:bookmarkStart w:id="25" w:name="_1789295128"/>
      <w:bookmarkStart w:id="26" w:name="_1777365720"/>
      <w:bookmarkStart w:id="27" w:name="_1777204797"/>
      <w:bookmarkStart w:id="28" w:name="_1777391868"/>
      <w:bookmarkStart w:id="29" w:name="_1777393358"/>
      <w:bookmarkStart w:id="30" w:name="_1777396016"/>
      <w:bookmarkStart w:id="31" w:name="_1788934698"/>
      <w:bookmarkEnd w:id="25"/>
      <w:bookmarkEnd w:id="26"/>
      <w:bookmarkEnd w:id="27"/>
      <w:bookmarkEnd w:id="28"/>
      <w:bookmarkEnd w:id="29"/>
      <w:bookmarkEnd w:id="30"/>
      <w:bookmarkEnd w:id="31"/>
      <w:r w:rsidRPr="00BA50AE" w:rsidR="00903520">
        <w:t xml:space="preserve"> $3,942 </w:t>
      </w:r>
      <w:r w:rsidRPr="00BA50AE" w:rsidR="00903520">
        <w:rPr>
          <w:rFonts w:eastAsia="Calibri"/>
        </w:rPr>
        <w:t>(</w:t>
      </w:r>
      <w:bookmarkStart w:id="32" w:name="_1777365725"/>
      <w:bookmarkStart w:id="33" w:name="_1777204804"/>
      <w:bookmarkStart w:id="34" w:name="_1777391875"/>
      <w:bookmarkStart w:id="35" w:name="_1777393364"/>
      <w:bookmarkStart w:id="36" w:name="_1777396024"/>
      <w:bookmarkEnd w:id="32"/>
      <w:bookmarkEnd w:id="33"/>
      <w:bookmarkEnd w:id="34"/>
      <w:bookmarkEnd w:id="35"/>
      <w:bookmarkEnd w:id="36"/>
      <w:r w:rsidRPr="00BA50AE" w:rsidR="00903520">
        <w:t xml:space="preserve">74 </w:t>
      </w:r>
      <w:r w:rsidRPr="5B5F5372" w:rsidR="00903520">
        <w:rPr>
          <w:rFonts w:eastAsia="Calibri"/>
        </w:rPr>
        <w:t xml:space="preserve">applications </w:t>
      </w:r>
      <w:r w:rsidR="00903520">
        <w:t>×</w:t>
      </w:r>
      <w:bookmarkStart w:id="37" w:name="_1777365730"/>
      <w:bookmarkStart w:id="38" w:name="_1777204811"/>
      <w:bookmarkStart w:id="39" w:name="_1777391882"/>
      <w:bookmarkStart w:id="40" w:name="_1777393370"/>
      <w:bookmarkStart w:id="41" w:name="_1777396032"/>
      <w:bookmarkEnd w:id="37"/>
      <w:bookmarkEnd w:id="38"/>
      <w:bookmarkEnd w:id="39"/>
      <w:bookmarkEnd w:id="40"/>
      <w:bookmarkEnd w:id="41"/>
      <w:r w:rsidR="00903520">
        <w:t xml:space="preserve"> $53.27</w:t>
      </w:r>
      <w:r w:rsidRPr="5B5F5372" w:rsidR="00903520">
        <w:rPr>
          <w:rFonts w:eastAsia="Calibri"/>
        </w:rPr>
        <w:t>/application).</w:t>
      </w:r>
    </w:p>
    <w:p w:rsidR="00B05B18" w:rsidRPr="00961ED2" w:rsidP="00830B72" w14:paraId="1D6183E4" w14:textId="09A59CB3">
      <w:pPr>
        <w:pStyle w:val="ExhibitTitle"/>
        <w:rPr>
          <w:b w:val="0"/>
          <w:bCs/>
        </w:rPr>
      </w:pPr>
      <w:r w:rsidRPr="00961ED2">
        <w:rPr>
          <w:b w:val="0"/>
          <w:bCs/>
        </w:rPr>
        <w:t>T</w:t>
      </w:r>
      <w:r w:rsidRPr="00961ED2" w:rsidR="00C32539">
        <w:rPr>
          <w:b w:val="0"/>
          <w:bCs/>
        </w:rPr>
        <w:t>able</w:t>
      </w:r>
      <w:r w:rsidRPr="00961ED2">
        <w:rPr>
          <w:b w:val="0"/>
          <w:bCs/>
        </w:rPr>
        <w:t xml:space="preserve"> 3: Estimated Burden for </w:t>
      </w:r>
      <w:r w:rsidRPr="00961ED2" w:rsidR="00376AF5">
        <w:rPr>
          <w:b w:val="0"/>
          <w:bCs/>
        </w:rPr>
        <w:t xml:space="preserve">Simplified </w:t>
      </w:r>
      <w:r w:rsidRPr="00961ED2">
        <w:rPr>
          <w:b w:val="0"/>
          <w:bCs/>
        </w:rPr>
        <w:t>Qualified Registry Self-Nomination</w:t>
      </w:r>
    </w:p>
    <w:tbl>
      <w:tblPr>
        <w:tblStyle w:val="TableGrid"/>
        <w:tblDescription w:val="Table 3: the estimated burden for previously approved qualified registries, and are currently in good standing, submitting a self-nomination application under the simplified self-nomination process."/>
        <w:tblW w:w="9620" w:type="dxa"/>
        <w:tblLayout w:type="fixed"/>
        <w:tblLook w:val="04A0"/>
      </w:tblPr>
      <w:tblGrid>
        <w:gridCol w:w="7010"/>
        <w:gridCol w:w="2610"/>
      </w:tblGrid>
      <w:tr w14:paraId="189B07F8" w14:textId="77777777" w:rsidTr="00BA5E1B">
        <w:tblPrEx>
          <w:tblW w:w="9620" w:type="dxa"/>
          <w:tblLayout w:type="fixed"/>
          <w:tblLook w:val="04A0"/>
        </w:tblPrEx>
        <w:trPr>
          <w:cantSplit/>
          <w:trHeight w:val="305"/>
          <w:tblHeader/>
        </w:trPr>
        <w:tc>
          <w:tcPr>
            <w:tcW w:w="7010" w:type="dxa"/>
          </w:tcPr>
          <w:p w:rsidR="00653E56" w:rsidRPr="00B05B18" w:rsidP="00830B72" w14:paraId="410D7BE6" w14:textId="0410811C">
            <w:pPr>
              <w:pStyle w:val="Table11-ColumnHeading"/>
            </w:pPr>
            <w:r>
              <w:t>Burden and Respondent Descriptions</w:t>
            </w:r>
          </w:p>
        </w:tc>
        <w:tc>
          <w:tcPr>
            <w:tcW w:w="2610" w:type="dxa"/>
          </w:tcPr>
          <w:p w:rsidR="00653E56" w:rsidRPr="007C52BE" w:rsidP="00830B72" w14:paraId="3D56F7A1" w14:textId="0CD66E57">
            <w:pPr>
              <w:pStyle w:val="Table11-ColumnHeading"/>
            </w:pPr>
            <w:r>
              <w:rPr>
                <w:rFonts w:eastAsia="Calibri"/>
              </w:rPr>
              <w:t>Burden Estimate</w:t>
            </w:r>
          </w:p>
        </w:tc>
      </w:tr>
      <w:tr w14:paraId="49A15009" w14:textId="77777777" w:rsidTr="00BA5E1B">
        <w:tblPrEx>
          <w:tblW w:w="9620" w:type="dxa"/>
          <w:tblLayout w:type="fixed"/>
          <w:tblLook w:val="04A0"/>
        </w:tblPrEx>
        <w:trPr>
          <w:cantSplit/>
          <w:trHeight w:val="268"/>
        </w:trPr>
        <w:tc>
          <w:tcPr>
            <w:tcW w:w="7010" w:type="dxa"/>
          </w:tcPr>
          <w:p w:rsidR="00653E56" w:rsidRPr="00051B4D" w:rsidP="00830B72" w14:paraId="0E8D7DDA" w14:textId="1A149A12">
            <w:pPr>
              <w:pStyle w:val="Table11Basic"/>
            </w:pPr>
            <w:r w:rsidRPr="00051B4D">
              <w:rPr>
                <w:rFonts w:eastAsia="Calibri"/>
              </w:rPr>
              <w:t xml:space="preserve"># of </w:t>
            </w:r>
            <w:r w:rsidRPr="0F8DC218" w:rsidR="088878A5">
              <w:rPr>
                <w:rFonts w:eastAsia="Calibri"/>
              </w:rPr>
              <w:t>Simplified</w:t>
            </w:r>
            <w:r w:rsidRPr="00051B4D">
              <w:rPr>
                <w:rFonts w:eastAsia="Calibri"/>
              </w:rPr>
              <w:t xml:space="preserve"> Self-Nomination Applications </w:t>
            </w:r>
            <w:r w:rsidRPr="0F8DC218" w:rsidR="4AFCC23C">
              <w:rPr>
                <w:rFonts w:eastAsia="Calibri"/>
              </w:rPr>
              <w:t>S</w:t>
            </w:r>
            <w:r w:rsidRPr="0F8DC218" w:rsidR="79ED2F5F">
              <w:rPr>
                <w:rFonts w:eastAsia="Calibri"/>
              </w:rPr>
              <w:t>ubmitted</w:t>
            </w:r>
            <w:r w:rsidRPr="00051B4D">
              <w:rPr>
                <w:rFonts w:eastAsia="Calibri"/>
              </w:rPr>
              <w:t xml:space="preserve"> (a)</w:t>
            </w:r>
          </w:p>
        </w:tc>
        <w:tc>
          <w:tcPr>
            <w:tcW w:w="2610" w:type="dxa"/>
          </w:tcPr>
          <w:p w:rsidR="00653E56" w:rsidRPr="00051B4D" w:rsidP="00830B72" w14:paraId="6521D5FB" w14:textId="4F774228">
            <w:pPr>
              <w:pStyle w:val="Table11Centered"/>
            </w:pPr>
            <w:r>
              <w:rPr>
                <w:rFonts w:eastAsia="Calibri"/>
              </w:rPr>
              <w:t>74</w:t>
            </w:r>
            <w:bookmarkStart w:id="42" w:name="_1789295168"/>
            <w:bookmarkStart w:id="43" w:name="_1777396039"/>
            <w:bookmarkStart w:id="44" w:name="_1777393377"/>
            <w:bookmarkStart w:id="45" w:name="_1777391888"/>
            <w:bookmarkStart w:id="46" w:name="_1777204816"/>
            <w:bookmarkStart w:id="47" w:name="_1777365735"/>
            <w:bookmarkEnd w:id="42"/>
            <w:bookmarkEnd w:id="43"/>
            <w:bookmarkEnd w:id="44"/>
            <w:bookmarkEnd w:id="45"/>
            <w:bookmarkEnd w:id="46"/>
            <w:bookmarkEnd w:id="47"/>
          </w:p>
        </w:tc>
      </w:tr>
      <w:tr w14:paraId="1F32A58C" w14:textId="77777777" w:rsidTr="00BA5E1B">
        <w:tblPrEx>
          <w:tblW w:w="9620" w:type="dxa"/>
          <w:tblLayout w:type="fixed"/>
          <w:tblLook w:val="04A0"/>
        </w:tblPrEx>
        <w:trPr>
          <w:cantSplit/>
          <w:trHeight w:val="268"/>
        </w:trPr>
        <w:tc>
          <w:tcPr>
            <w:tcW w:w="7010" w:type="dxa"/>
            <w:tcBorders>
              <w:bottom w:val="single" w:sz="4" w:space="0" w:color="auto"/>
            </w:tcBorders>
          </w:tcPr>
          <w:p w:rsidR="00653E56" w:rsidRPr="00051B4D" w:rsidP="00830B72" w14:paraId="4C8858B0" w14:textId="27595C6C">
            <w:pPr>
              <w:pStyle w:val="Table11Basic"/>
              <w:rPr>
                <w:rFonts w:eastAsia="Calibri"/>
              </w:rPr>
            </w:pPr>
            <w:r w:rsidRPr="0F8DC218">
              <w:rPr>
                <w:rFonts w:eastAsia="Calibri"/>
              </w:rPr>
              <w:t>Annual</w:t>
            </w:r>
            <w:r w:rsidRPr="00051B4D" w:rsidR="00DB7732">
              <w:rPr>
                <w:rFonts w:eastAsia="Calibri"/>
              </w:rPr>
              <w:t xml:space="preserve"> Hours per</w:t>
            </w:r>
            <w:r w:rsidRPr="00051B4D">
              <w:rPr>
                <w:rFonts w:eastAsia="Calibri"/>
              </w:rPr>
              <w:t xml:space="preserve"> Qualified Registry </w:t>
            </w:r>
            <w:r w:rsidRPr="0F8DC218" w:rsidR="15AA765B">
              <w:rPr>
                <w:rFonts w:eastAsia="Calibri"/>
              </w:rPr>
              <w:t>for Simplified Process</w:t>
            </w:r>
            <w:r w:rsidRPr="00051B4D">
              <w:rPr>
                <w:rFonts w:eastAsia="Calibri"/>
              </w:rPr>
              <w:t xml:space="preserve"> (b)</w:t>
            </w:r>
          </w:p>
        </w:tc>
        <w:tc>
          <w:tcPr>
            <w:tcW w:w="2610" w:type="dxa"/>
            <w:tcBorders>
              <w:bottom w:val="single" w:sz="4" w:space="0" w:color="auto"/>
            </w:tcBorders>
          </w:tcPr>
          <w:p w:rsidR="00653E56" w:rsidRPr="00051B4D" w:rsidP="00830B72" w14:paraId="25BF359A" w14:textId="0FB3991C">
            <w:pPr>
              <w:pStyle w:val="Table11Centered"/>
            </w:pPr>
            <w:r w:rsidRPr="00051B4D">
              <w:rPr>
                <w:rFonts w:eastAsia="Calibri"/>
              </w:rPr>
              <w:t>0</w:t>
            </w:r>
            <w:r w:rsidRPr="00051B4D" w:rsidR="00DB7732">
              <w:rPr>
                <w:rFonts w:eastAsia="Calibri"/>
              </w:rPr>
              <w:t>.5</w:t>
            </w:r>
          </w:p>
        </w:tc>
      </w:tr>
      <w:tr w14:paraId="09F4ED01" w14:textId="77777777" w:rsidTr="00F2375E">
        <w:tblPrEx>
          <w:tblW w:w="9620" w:type="dxa"/>
          <w:tblLayout w:type="fixed"/>
          <w:tblLook w:val="04A0"/>
        </w:tblPrEx>
        <w:trPr>
          <w:cantSplit/>
          <w:trHeight w:val="323"/>
        </w:trPr>
        <w:tc>
          <w:tcPr>
            <w:tcW w:w="7010" w:type="dxa"/>
            <w:shd w:val="clear" w:color="auto" w:fill="E7E6E6" w:themeFill="background2"/>
          </w:tcPr>
          <w:p w:rsidR="00DB7732" w:rsidRPr="004D5E64" w:rsidP="00830B72" w14:paraId="670F51EC" w14:textId="1731D867">
            <w:pPr>
              <w:pStyle w:val="Table11Basic"/>
              <w:rPr>
                <w:b/>
                <w:bCs/>
                <w:highlight w:val="yellow"/>
              </w:rPr>
            </w:pPr>
            <w:r w:rsidRPr="00BA50AE">
              <w:rPr>
                <w:b/>
                <w:bCs/>
                <w:color w:val="000000" w:themeColor="text1"/>
              </w:rPr>
              <w:t>Total Annual Hours for Simplified</w:t>
            </w:r>
            <w:r w:rsidRPr="00BA50AE" w:rsidR="00F805B2">
              <w:rPr>
                <w:b/>
                <w:bCs/>
                <w:color w:val="000000" w:themeColor="text1"/>
              </w:rPr>
              <w:t xml:space="preserve"> </w:t>
            </w:r>
            <w:r w:rsidRPr="00BA50AE">
              <w:rPr>
                <w:b/>
                <w:bCs/>
                <w:color w:val="000000" w:themeColor="text1"/>
              </w:rPr>
              <w:t>Self-</w:t>
            </w:r>
            <w:r w:rsidRPr="00BA50AE" w:rsidR="447D1177">
              <w:rPr>
                <w:b/>
                <w:bCs/>
                <w:color w:val="000000" w:themeColor="text1"/>
              </w:rPr>
              <w:t>N</w:t>
            </w:r>
            <w:r w:rsidRPr="00BA50AE" w:rsidR="1781B190">
              <w:rPr>
                <w:b/>
                <w:bCs/>
                <w:color w:val="000000" w:themeColor="text1"/>
              </w:rPr>
              <w:t>omination</w:t>
            </w:r>
            <w:r w:rsidRPr="00BA50AE">
              <w:rPr>
                <w:b/>
                <w:bCs/>
                <w:color w:val="000000" w:themeColor="text1"/>
              </w:rPr>
              <w:t xml:space="preserve"> (c) = (a) [</w:t>
            </w:r>
            <w:r w:rsidRPr="00E9230F" w:rsidR="00E9230F">
              <w:rPr>
                <w:b/>
                <w:bCs/>
              </w:rPr>
              <w:t>×</w:t>
            </w:r>
            <w:r w:rsidRPr="00BA50AE">
              <w:rPr>
                <w:b/>
                <w:bCs/>
                <w:color w:val="000000" w:themeColor="text1"/>
              </w:rPr>
              <w:t>] (b)</w:t>
            </w:r>
          </w:p>
        </w:tc>
        <w:tc>
          <w:tcPr>
            <w:tcW w:w="2610" w:type="dxa"/>
            <w:shd w:val="clear" w:color="auto" w:fill="E7E6E6" w:themeFill="background2"/>
          </w:tcPr>
          <w:p w:rsidR="00DB7732" w:rsidRPr="00F16FDB" w:rsidP="00830B72" w14:paraId="51C6AFBD" w14:textId="0C3969A8">
            <w:pPr>
              <w:pStyle w:val="Table11Centered"/>
              <w:rPr>
                <w:rFonts w:eastAsia="Calibri"/>
                <w:b/>
                <w:highlight w:val="yellow"/>
              </w:rPr>
            </w:pPr>
            <w:r w:rsidRPr="00F16FDB">
              <w:rPr>
                <w:b/>
                <w:color w:val="000000" w:themeColor="text1"/>
              </w:rPr>
              <w:t>37</w:t>
            </w:r>
          </w:p>
        </w:tc>
      </w:tr>
      <w:tr w14:paraId="6883D6FB" w14:textId="77777777" w:rsidTr="00BA5E1B">
        <w:tblPrEx>
          <w:tblW w:w="9620" w:type="dxa"/>
          <w:tblLayout w:type="fixed"/>
          <w:tblLook w:val="04A0"/>
        </w:tblPrEx>
        <w:trPr>
          <w:cantSplit/>
          <w:trHeight w:val="188"/>
        </w:trPr>
        <w:tc>
          <w:tcPr>
            <w:tcW w:w="7010" w:type="dxa"/>
            <w:tcBorders>
              <w:bottom w:val="single" w:sz="4" w:space="0" w:color="auto"/>
            </w:tcBorders>
          </w:tcPr>
          <w:p w:rsidR="00653E56" w:rsidRPr="00051B4D" w:rsidP="00830B72" w14:paraId="441FAE79" w14:textId="394F6CFA">
            <w:pPr>
              <w:pStyle w:val="Table11Basic"/>
            </w:pPr>
            <w:r w:rsidRPr="00051B4D">
              <w:rPr>
                <w:rFonts w:eastAsia="Calibri"/>
              </w:rPr>
              <w:t xml:space="preserve">Cost </w:t>
            </w:r>
            <w:r w:rsidRPr="3D7B620B" w:rsidR="3731ACA7">
              <w:rPr>
                <w:rFonts w:eastAsia="Calibri"/>
              </w:rPr>
              <w:t>p</w:t>
            </w:r>
            <w:r w:rsidRPr="3D7B620B" w:rsidR="79ED2F5F">
              <w:rPr>
                <w:rFonts w:eastAsia="Calibri"/>
              </w:rPr>
              <w:t>er</w:t>
            </w:r>
            <w:r w:rsidRPr="00051B4D">
              <w:rPr>
                <w:rFonts w:eastAsia="Calibri"/>
              </w:rPr>
              <w:t xml:space="preserve"> </w:t>
            </w:r>
            <w:r w:rsidRPr="00051B4D" w:rsidR="0087609B">
              <w:rPr>
                <w:rFonts w:eastAsia="Calibri"/>
              </w:rPr>
              <w:t>Application</w:t>
            </w:r>
            <w:r w:rsidRPr="00051B4D">
              <w:rPr>
                <w:rFonts w:eastAsia="Calibri"/>
              </w:rPr>
              <w:t xml:space="preserve"> </w:t>
            </w:r>
            <w:r w:rsidRPr="422F5B8E" w:rsidR="0F9FF1DB">
              <w:rPr>
                <w:rFonts w:eastAsia="Calibri"/>
              </w:rPr>
              <w:t>at</w:t>
            </w:r>
            <w:r w:rsidRPr="00051B4D">
              <w:rPr>
                <w:rFonts w:eastAsia="Calibri"/>
              </w:rPr>
              <w:t xml:space="preserve"> </w:t>
            </w:r>
            <w:r w:rsidRPr="3D7B620B" w:rsidR="4763FFFE">
              <w:rPr>
                <w:rFonts w:eastAsia="Calibri"/>
              </w:rPr>
              <w:t>Labor Cost Computer Systems Analyst</w:t>
            </w:r>
            <w:r w:rsidRPr="00051B4D">
              <w:rPr>
                <w:rFonts w:eastAsia="Calibri"/>
              </w:rPr>
              <w:t xml:space="preserve"> </w:t>
            </w:r>
            <w:bookmarkStart w:id="48" w:name="_1777396056"/>
            <w:bookmarkStart w:id="49" w:name="_1777393390"/>
            <w:bookmarkStart w:id="50" w:name="_1777391901"/>
            <w:bookmarkStart w:id="51" w:name="_1777204831"/>
            <w:bookmarkStart w:id="52" w:name="_1777365746"/>
            <w:bookmarkEnd w:id="48"/>
            <w:bookmarkEnd w:id="49"/>
            <w:bookmarkEnd w:id="50"/>
            <w:bookmarkEnd w:id="51"/>
            <w:bookmarkEnd w:id="52"/>
            <w:r w:rsidRPr="00051B4D" w:rsidR="004D17B1">
              <w:rPr>
                <w:rFonts w:eastAsia="Calibri"/>
              </w:rPr>
              <w:t xml:space="preserve">of </w:t>
            </w:r>
            <w:r w:rsidRPr="00051B4D" w:rsidR="004D17B1">
              <w:t>$</w:t>
            </w:r>
            <w:r w:rsidRPr="00051B4D" w:rsidR="00B365D7">
              <w:t>106.54</w:t>
            </w:r>
            <w:r w:rsidRPr="00051B4D">
              <w:rPr>
                <w:rFonts w:eastAsia="Calibri"/>
              </w:rPr>
              <w:t>/hr) (</w:t>
            </w:r>
            <w:r w:rsidRPr="00051B4D" w:rsidR="0087609B">
              <w:rPr>
                <w:rFonts w:eastAsia="Calibri"/>
              </w:rPr>
              <w:t>d</w:t>
            </w:r>
            <w:r w:rsidRPr="00051B4D">
              <w:rPr>
                <w:rFonts w:eastAsia="Calibri"/>
              </w:rPr>
              <w:t>)</w:t>
            </w:r>
            <w:r w:rsidRPr="00051B4D" w:rsidR="0087609B">
              <w:rPr>
                <w:rFonts w:eastAsia="Calibri"/>
              </w:rPr>
              <w:t xml:space="preserve"> = (b) [</w:t>
            </w:r>
            <w:r w:rsidR="00E9230F">
              <w:t>×</w:t>
            </w:r>
            <w:r w:rsidRPr="00051B4D" w:rsidR="0087609B">
              <w:rPr>
                <w:rFonts w:eastAsia="Calibri"/>
              </w:rPr>
              <w:t>]</w:t>
            </w:r>
            <w:bookmarkStart w:id="53" w:name="_1777396064"/>
            <w:bookmarkStart w:id="54" w:name="_1777393395"/>
            <w:bookmarkStart w:id="55" w:name="_1777391908"/>
            <w:bookmarkStart w:id="56" w:name="_1777204838"/>
            <w:bookmarkStart w:id="57" w:name="_1777365751"/>
            <w:bookmarkEnd w:id="53"/>
            <w:bookmarkEnd w:id="54"/>
            <w:bookmarkEnd w:id="55"/>
            <w:bookmarkEnd w:id="56"/>
            <w:bookmarkEnd w:id="57"/>
            <w:r w:rsidRPr="00051B4D" w:rsidR="00B365D7">
              <w:t xml:space="preserve"> $106.54</w:t>
            </w:r>
            <w:r w:rsidRPr="00051B4D" w:rsidR="0087609B">
              <w:rPr>
                <w:rFonts w:eastAsia="Calibri"/>
              </w:rPr>
              <w:t>/hr</w:t>
            </w:r>
          </w:p>
        </w:tc>
        <w:tc>
          <w:tcPr>
            <w:tcW w:w="2610" w:type="dxa"/>
            <w:tcBorders>
              <w:bottom w:val="single" w:sz="4" w:space="0" w:color="auto"/>
            </w:tcBorders>
          </w:tcPr>
          <w:p w:rsidR="00653E56" w:rsidRPr="00051B4D" w:rsidP="00830B72" w14:paraId="0E7533E6" w14:textId="34FEACDD">
            <w:pPr>
              <w:pStyle w:val="Table11Centered"/>
            </w:pPr>
            <w:bookmarkStart w:id="58" w:name="_1777396072"/>
            <w:bookmarkStart w:id="59" w:name="_1777393403"/>
            <w:bookmarkStart w:id="60" w:name="_1777391914"/>
            <w:bookmarkStart w:id="61" w:name="_1777204845"/>
            <w:bookmarkEnd w:id="58"/>
            <w:bookmarkEnd w:id="59"/>
            <w:bookmarkEnd w:id="60"/>
            <w:bookmarkEnd w:id="61"/>
            <w:r w:rsidRPr="00051B4D">
              <w:t xml:space="preserve">$53.27 </w:t>
            </w:r>
          </w:p>
        </w:tc>
      </w:tr>
      <w:tr w14:paraId="6B44768B" w14:textId="77777777" w:rsidTr="00BA5E1B">
        <w:tblPrEx>
          <w:tblW w:w="9620" w:type="dxa"/>
          <w:tblLayout w:type="fixed"/>
          <w:tblLook w:val="04A0"/>
        </w:tblPrEx>
        <w:trPr>
          <w:cantSplit/>
          <w:trHeight w:val="332"/>
        </w:trPr>
        <w:tc>
          <w:tcPr>
            <w:tcW w:w="7010" w:type="dxa"/>
            <w:shd w:val="clear" w:color="auto" w:fill="E7E6E6" w:themeFill="background2"/>
            <w:hideMark/>
          </w:tcPr>
          <w:p w:rsidR="00653E56" w:rsidRPr="00051B4D" w:rsidP="00830B72" w14:paraId="7274044E" w14:textId="11B27AB1">
            <w:pPr>
              <w:pStyle w:val="Table11Basic"/>
              <w:rPr>
                <w:rFonts w:eastAsia="Calibri"/>
                <w:b/>
                <w:bCs/>
              </w:rPr>
            </w:pPr>
            <w:r w:rsidRPr="00051B4D">
              <w:rPr>
                <w:rFonts w:eastAsia="Calibri"/>
                <w:b/>
                <w:bCs/>
              </w:rPr>
              <w:t>Total Annual Cost (</w:t>
            </w:r>
            <w:r w:rsidRPr="00051B4D" w:rsidR="0087609B">
              <w:rPr>
                <w:rFonts w:eastAsia="Calibri"/>
                <w:b/>
                <w:bCs/>
              </w:rPr>
              <w:t>e)</w:t>
            </w:r>
            <w:r w:rsidRPr="00051B4D">
              <w:rPr>
                <w:rFonts w:eastAsia="Calibri"/>
                <w:b/>
                <w:bCs/>
              </w:rPr>
              <w:t xml:space="preserve"> = (a) [</w:t>
            </w:r>
            <w:r w:rsidRPr="00E9230F" w:rsidR="00E9230F">
              <w:rPr>
                <w:b/>
                <w:bCs/>
              </w:rPr>
              <w:t>×</w:t>
            </w:r>
            <w:r w:rsidRPr="00051B4D">
              <w:rPr>
                <w:rFonts w:eastAsia="Calibri"/>
                <w:b/>
                <w:bCs/>
              </w:rPr>
              <w:t>]</w:t>
            </w:r>
            <w:r w:rsidRPr="00051B4D">
              <w:rPr>
                <w:rFonts w:eastAsia="Calibri"/>
                <w:b/>
                <w:bCs/>
              </w:rPr>
              <w:t xml:space="preserve"> </w:t>
            </w:r>
            <w:r w:rsidRPr="00051B4D">
              <w:rPr>
                <w:rFonts w:eastAsia="Calibri"/>
                <w:b/>
                <w:bCs/>
              </w:rPr>
              <w:t>(</w:t>
            </w:r>
            <w:r w:rsidRPr="00051B4D" w:rsidR="0087609B">
              <w:rPr>
                <w:rFonts w:eastAsia="Calibri"/>
                <w:b/>
                <w:bCs/>
              </w:rPr>
              <w:t>d</w:t>
            </w:r>
            <w:r w:rsidRPr="00051B4D">
              <w:rPr>
                <w:rFonts w:eastAsia="Calibri"/>
                <w:b/>
                <w:bCs/>
              </w:rPr>
              <w:t>)</w:t>
            </w:r>
          </w:p>
        </w:tc>
        <w:tc>
          <w:tcPr>
            <w:tcW w:w="2610" w:type="dxa"/>
            <w:shd w:val="clear" w:color="auto" w:fill="E7E6E6" w:themeFill="background2"/>
          </w:tcPr>
          <w:p w:rsidR="00653E56" w:rsidRPr="00F16FDB" w:rsidP="00830B72" w14:paraId="67D615ED" w14:textId="1234220B">
            <w:pPr>
              <w:pStyle w:val="Table11Centered"/>
              <w:rPr>
                <w:rFonts w:eastAsia="Calibri"/>
                <w:b/>
              </w:rPr>
            </w:pPr>
            <w:bookmarkStart w:id="62" w:name="_1777396079"/>
            <w:bookmarkStart w:id="63" w:name="_1777393410"/>
            <w:bookmarkStart w:id="64" w:name="_1777391920"/>
            <w:bookmarkStart w:id="65" w:name="_1777204852"/>
            <w:bookmarkEnd w:id="62"/>
            <w:bookmarkEnd w:id="63"/>
            <w:bookmarkEnd w:id="64"/>
            <w:bookmarkEnd w:id="65"/>
            <w:r w:rsidRPr="00F16FDB">
              <w:rPr>
                <w:b/>
              </w:rPr>
              <w:t xml:space="preserve"> $</w:t>
            </w:r>
            <w:r w:rsidRPr="00F16FDB" w:rsidR="00BA50AE">
              <w:rPr>
                <w:b/>
              </w:rPr>
              <w:t>3,942</w:t>
            </w:r>
          </w:p>
        </w:tc>
      </w:tr>
    </w:tbl>
    <w:p w:rsidR="00040287" w:rsidRPr="001E07DC" w:rsidP="00E03843" w14:paraId="15606249" w14:textId="75ADBED1">
      <w:pPr>
        <w:pStyle w:val="Heading5"/>
        <w:rPr>
          <w:iCs/>
        </w:rPr>
      </w:pPr>
      <w:r>
        <w:t>ii.</w:t>
      </w:r>
      <w:r>
        <w:tab/>
      </w:r>
      <w:r w:rsidRPr="001E07DC">
        <w:t xml:space="preserve">Burden for </w:t>
      </w:r>
      <w:r w:rsidRPr="001E07DC" w:rsidR="00376AF5">
        <w:t xml:space="preserve">Full </w:t>
      </w:r>
      <w:r w:rsidRPr="001E07DC">
        <w:t>Qualified Registry Self-Nomination Process and Other Requirements</w:t>
      </w:r>
    </w:p>
    <w:p w:rsidR="00040287" w:rsidP="0067016B" w14:paraId="05698126" w14:textId="3C8F9667">
      <w:pPr>
        <w:pStyle w:val="BodyText-PostHead"/>
        <w:spacing w:before="240"/>
        <w:rPr>
          <w:rFonts w:eastAsia="Calibri"/>
        </w:rPr>
      </w:pPr>
      <w:r w:rsidRPr="0076539F">
        <w:rPr>
          <w:rFonts w:eastAsia="Calibri"/>
        </w:rPr>
        <w:t xml:space="preserve">Qualified registries interested in submitting MIPS data to us on their participants’ behalf need to complete a self-nomination process to be considered </w:t>
      </w:r>
      <w:r>
        <w:rPr>
          <w:rFonts w:eastAsia="Calibri"/>
        </w:rPr>
        <w:t>for approval to do so</w:t>
      </w:r>
      <w:r w:rsidRPr="0076539F">
        <w:rPr>
          <w:rFonts w:eastAsia="Calibri"/>
        </w:rPr>
        <w:t xml:space="preserve"> (82 FR 53815).</w:t>
      </w:r>
      <w:r>
        <w:rPr>
          <w:rFonts w:eastAsia="Calibri"/>
        </w:rPr>
        <w:t xml:space="preserve"> </w:t>
      </w:r>
      <w:r w:rsidRPr="006C31CB">
        <w:rPr>
          <w:rFonts w:eastAsia="Calibri"/>
        </w:rPr>
        <w:t>The self-nomination period is from July 1 to September 1 of the calendar year prior to the applicable performance period.</w:t>
      </w:r>
    </w:p>
    <w:p w:rsidR="00AA30C6" w:rsidP="00830B72" w14:paraId="11C9EC4F" w14:textId="4865F551">
      <w:pPr>
        <w:pStyle w:val="BodyText"/>
        <w:rPr>
          <w:rFonts w:eastAsia="Calibri"/>
        </w:rPr>
      </w:pPr>
      <w:r>
        <w:t xml:space="preserve">Based on the number of applications </w:t>
      </w:r>
      <w:r w:rsidR="4662A4BF">
        <w:t>receive</w:t>
      </w:r>
      <w:r w:rsidR="000A0F6D">
        <w:t>d</w:t>
      </w:r>
      <w:r w:rsidR="23C67668">
        <w:t xml:space="preserve"> </w:t>
      </w:r>
      <w:r w:rsidR="0A55AF0D">
        <w:t xml:space="preserve">under the full process </w:t>
      </w:r>
      <w:r w:rsidR="000A0F6D">
        <w:t xml:space="preserve">for </w:t>
      </w:r>
      <w:r>
        <w:t xml:space="preserve">the </w:t>
      </w:r>
      <w:r w:rsidR="5E32979C">
        <w:t xml:space="preserve">CY </w:t>
      </w:r>
      <w:r>
        <w:t>202</w:t>
      </w:r>
      <w:r w:rsidR="70EB21E1">
        <w:t>4</w:t>
      </w:r>
      <w:r>
        <w:t xml:space="preserve"> self-nomination period, w</w:t>
      </w:r>
      <w:r w:rsidR="643EFFA6">
        <w:t xml:space="preserve">e estimate that </w:t>
      </w:r>
      <w:r w:rsidRPr="00995C4C" w:rsidR="00995C4C">
        <w:t>14</w:t>
      </w:r>
      <w:r w:rsidR="4637906F">
        <w:t xml:space="preserve"> </w:t>
      </w:r>
      <w:r w:rsidR="643EFFA6">
        <w:t xml:space="preserve">qualified registries will self-nominate </w:t>
      </w:r>
      <w:r w:rsidR="7AEC2AB1">
        <w:t xml:space="preserve">under the full qualified registry self-nomination process </w:t>
      </w:r>
      <w:r w:rsidR="58340490">
        <w:t>for the CY 202</w:t>
      </w:r>
      <w:r w:rsidR="4637906F">
        <w:t>5</w:t>
      </w:r>
      <w:r w:rsidR="58340490">
        <w:t xml:space="preserve"> performance period/202</w:t>
      </w:r>
      <w:r w:rsidR="4637906F">
        <w:t>7</w:t>
      </w:r>
      <w:r w:rsidR="58340490">
        <w:t xml:space="preserve"> MIPS payment year</w:t>
      </w:r>
      <w:r w:rsidR="643EFFA6">
        <w:t>.</w:t>
      </w:r>
      <w:r w:rsidR="390CF625">
        <w:t xml:space="preserve"> </w:t>
      </w:r>
      <w:r w:rsidR="58340490">
        <w:t xml:space="preserve">We estimate that it would take </w:t>
      </w:r>
      <w:r w:rsidR="401675B6">
        <w:t>2</w:t>
      </w:r>
      <w:r w:rsidR="58340490">
        <w:t xml:space="preserve"> hours to submit an application for the </w:t>
      </w:r>
      <w:r w:rsidR="32B81A19">
        <w:t xml:space="preserve">full </w:t>
      </w:r>
      <w:r w:rsidR="58340490">
        <w:t xml:space="preserve">qualified registry self-nomination process. We assume that the staff involved in the </w:t>
      </w:r>
      <w:r w:rsidR="545B233D">
        <w:t xml:space="preserve">full </w:t>
      </w:r>
      <w:r w:rsidR="58340490">
        <w:t>qualified registry self-nomination process will continue to be computer systems analysts or their equivalent, who have an average labor rate of</w:t>
      </w:r>
      <w:bookmarkStart w:id="66" w:name="_1777396085"/>
      <w:bookmarkStart w:id="67" w:name="_1777393416"/>
      <w:bookmarkStart w:id="68" w:name="_1777391927"/>
      <w:bookmarkStart w:id="69" w:name="_1777204859"/>
      <w:bookmarkStart w:id="70" w:name="_1777365765"/>
      <w:bookmarkEnd w:id="66"/>
      <w:bookmarkEnd w:id="67"/>
      <w:bookmarkEnd w:id="68"/>
      <w:bookmarkEnd w:id="69"/>
      <w:bookmarkEnd w:id="70"/>
      <w:r w:rsidR="7CFD89C6">
        <w:t xml:space="preserve"> $106.54</w:t>
      </w:r>
      <w:r w:rsidR="58340490">
        <w:t xml:space="preserve">/hr. We estimate the burden per response would be </w:t>
      </w:r>
      <w:r w:rsidR="64B251C2">
        <w:t xml:space="preserve">$213.08 </w:t>
      </w:r>
      <w:r w:rsidR="58340490">
        <w:t>(</w:t>
      </w:r>
      <w:r w:rsidR="401675B6">
        <w:t>2</w:t>
      </w:r>
      <w:r w:rsidR="58340490">
        <w:t xml:space="preserve"> hr </w:t>
      </w:r>
      <w:r w:rsidR="00E9230F">
        <w:t>×</w:t>
      </w:r>
      <w:bookmarkStart w:id="71" w:name="_1777396091"/>
      <w:bookmarkStart w:id="72" w:name="_1777393423"/>
      <w:bookmarkStart w:id="73" w:name="_1777391934"/>
      <w:bookmarkStart w:id="74" w:name="_1777204866"/>
      <w:bookmarkStart w:id="75" w:name="_1777365771"/>
      <w:bookmarkEnd w:id="71"/>
      <w:bookmarkEnd w:id="72"/>
      <w:bookmarkEnd w:id="73"/>
      <w:bookmarkEnd w:id="74"/>
      <w:bookmarkEnd w:id="75"/>
      <w:r w:rsidR="7CFD89C6">
        <w:t xml:space="preserve"> $106.54</w:t>
      </w:r>
      <w:r w:rsidR="58340490">
        <w:t xml:space="preserve">/hr). In aggregate, </w:t>
      </w:r>
      <w:r w:rsidRPr="5B5F5372" w:rsidR="58340490">
        <w:rPr>
          <w:rFonts w:eastAsia="Calibri"/>
        </w:rPr>
        <w:t xml:space="preserve">as shown in Table </w:t>
      </w:r>
      <w:r w:rsidRPr="5B5F5372" w:rsidR="401675B6">
        <w:rPr>
          <w:rFonts w:eastAsia="Calibri"/>
        </w:rPr>
        <w:t>4</w:t>
      </w:r>
      <w:r w:rsidRPr="5B5F5372" w:rsidR="58340490">
        <w:rPr>
          <w:rFonts w:eastAsia="Calibri"/>
        </w:rPr>
        <w:t xml:space="preserve">, we estimate that the annual burden for the </w:t>
      </w:r>
      <w:r w:rsidRPr="5B5F5372" w:rsidR="3674E637">
        <w:rPr>
          <w:rFonts w:eastAsia="Calibri"/>
        </w:rPr>
        <w:t xml:space="preserve">full </w:t>
      </w:r>
      <w:r w:rsidRPr="5B5F5372" w:rsidR="58340490">
        <w:rPr>
          <w:rFonts w:eastAsia="Calibri"/>
        </w:rPr>
        <w:t xml:space="preserve">qualified registry self-nomination process would be </w:t>
      </w:r>
      <w:r w:rsidRPr="00A46125" w:rsidR="00125005">
        <w:rPr>
          <w:rFonts w:eastAsia="Calibri"/>
        </w:rPr>
        <w:t xml:space="preserve">28 </w:t>
      </w:r>
      <w:r w:rsidRPr="00A46125" w:rsidR="58340490">
        <w:rPr>
          <w:rFonts w:eastAsia="Calibri"/>
        </w:rPr>
        <w:t>hours (</w:t>
      </w:r>
      <w:r w:rsidRPr="00A46125" w:rsidR="00125005">
        <w:rPr>
          <w:rFonts w:eastAsia="Calibri"/>
        </w:rPr>
        <w:t xml:space="preserve">14 </w:t>
      </w:r>
      <w:r w:rsidRPr="00A46125" w:rsidR="58340490">
        <w:rPr>
          <w:rFonts w:eastAsia="Calibri"/>
        </w:rPr>
        <w:t>applications</w:t>
      </w:r>
      <w:r w:rsidRPr="5B5F5372" w:rsidR="58340490">
        <w:rPr>
          <w:rFonts w:eastAsia="Calibri"/>
        </w:rPr>
        <w:t xml:space="preserve"> </w:t>
      </w:r>
      <w:r w:rsidR="00E9230F">
        <w:t>×</w:t>
      </w:r>
      <w:r w:rsidRPr="5B5F5372" w:rsidR="58340490">
        <w:rPr>
          <w:rFonts w:eastAsia="Calibri"/>
        </w:rPr>
        <w:t xml:space="preserve"> </w:t>
      </w:r>
      <w:r w:rsidRPr="5B5F5372" w:rsidR="401675B6">
        <w:rPr>
          <w:rFonts w:eastAsia="Calibri"/>
        </w:rPr>
        <w:t xml:space="preserve">2 </w:t>
      </w:r>
      <w:r w:rsidRPr="5B5F5372" w:rsidR="58340490">
        <w:rPr>
          <w:rFonts w:eastAsia="Calibri"/>
        </w:rPr>
        <w:t xml:space="preserve">hr) at a cost of </w:t>
      </w:r>
      <w:r w:rsidRPr="5B5F5372" w:rsidR="64B251C2">
        <w:rPr>
          <w:rFonts w:eastAsia="Calibri"/>
        </w:rPr>
        <w:t>$</w:t>
      </w:r>
      <w:r w:rsidRPr="00A46125" w:rsidR="00A46125">
        <w:rPr>
          <w:rFonts w:eastAsia="Calibri"/>
        </w:rPr>
        <w:t>2,983</w:t>
      </w:r>
      <w:r w:rsidRPr="00A46125" w:rsidR="64B251C2">
        <w:rPr>
          <w:rFonts w:eastAsia="Calibri"/>
        </w:rPr>
        <w:t xml:space="preserve"> </w:t>
      </w:r>
      <w:r w:rsidRPr="00A46125" w:rsidR="58340490">
        <w:rPr>
          <w:rFonts w:eastAsia="Calibri"/>
        </w:rPr>
        <w:t>(</w:t>
      </w:r>
      <w:r w:rsidRPr="00A46125" w:rsidR="00A46125">
        <w:rPr>
          <w:rFonts w:eastAsia="Calibri"/>
        </w:rPr>
        <w:t>14</w:t>
      </w:r>
      <w:r w:rsidRPr="00A46125" w:rsidR="58340490">
        <w:rPr>
          <w:rFonts w:eastAsia="Calibri"/>
        </w:rPr>
        <w:t xml:space="preserve"> applications</w:t>
      </w:r>
      <w:r w:rsidRPr="5B5F5372" w:rsidR="58340490">
        <w:rPr>
          <w:rFonts w:eastAsia="Calibri"/>
        </w:rPr>
        <w:t xml:space="preserve"> </w:t>
      </w:r>
      <w:r w:rsidR="00E9230F">
        <w:t>×</w:t>
      </w:r>
      <w:r w:rsidRPr="5B5F5372" w:rsidR="58340490">
        <w:rPr>
          <w:rFonts w:eastAsia="Calibri"/>
        </w:rPr>
        <w:t xml:space="preserve"> </w:t>
      </w:r>
      <w:r w:rsidRPr="5B5F5372" w:rsidR="64B251C2">
        <w:rPr>
          <w:rFonts w:eastAsia="Calibri"/>
        </w:rPr>
        <w:t>$213.08</w:t>
      </w:r>
      <w:r w:rsidRPr="5B5F5372" w:rsidR="58340490">
        <w:rPr>
          <w:rFonts w:eastAsia="Calibri"/>
        </w:rPr>
        <w:t xml:space="preserve">/application). </w:t>
      </w:r>
    </w:p>
    <w:p w:rsidR="00AA30C6" w:rsidRPr="00961ED2" w:rsidP="00830B72" w14:paraId="0A7B46C7" w14:textId="1872427E">
      <w:pPr>
        <w:pStyle w:val="ExhibitTitle"/>
        <w:rPr>
          <w:b w:val="0"/>
          <w:bCs/>
        </w:rPr>
      </w:pPr>
      <w:r w:rsidRPr="00961ED2">
        <w:rPr>
          <w:b w:val="0"/>
          <w:bCs/>
        </w:rPr>
        <w:t>T</w:t>
      </w:r>
      <w:r w:rsidRPr="00961ED2" w:rsidR="00C32539">
        <w:rPr>
          <w:b w:val="0"/>
          <w:bCs/>
        </w:rPr>
        <w:t>able</w:t>
      </w:r>
      <w:r w:rsidRPr="00961ED2">
        <w:rPr>
          <w:b w:val="0"/>
          <w:bCs/>
        </w:rPr>
        <w:t xml:space="preserve"> </w:t>
      </w:r>
      <w:r w:rsidRPr="00961ED2" w:rsidR="00AF1F78">
        <w:rPr>
          <w:b w:val="0"/>
          <w:bCs/>
        </w:rPr>
        <w:t>4</w:t>
      </w:r>
      <w:r w:rsidRPr="00961ED2">
        <w:rPr>
          <w:b w:val="0"/>
          <w:bCs/>
        </w:rPr>
        <w:t xml:space="preserve">: Estimated Burden for </w:t>
      </w:r>
      <w:r w:rsidRPr="00961ED2" w:rsidR="00376AF5">
        <w:rPr>
          <w:b w:val="0"/>
          <w:bCs/>
        </w:rPr>
        <w:t xml:space="preserve">Full </w:t>
      </w:r>
      <w:r w:rsidRPr="00961ED2">
        <w:rPr>
          <w:b w:val="0"/>
          <w:bCs/>
        </w:rPr>
        <w:t xml:space="preserve">Qualified Registry Self-Nomination </w:t>
      </w:r>
    </w:p>
    <w:tbl>
      <w:tblPr>
        <w:tblStyle w:val="TableGrid"/>
        <w:tblDescription w:val="Table 4: the estimated burden for new qualified registries submitting a self-nomination application under the full self-nomination process."/>
        <w:tblW w:w="9620" w:type="dxa"/>
        <w:tblLayout w:type="fixed"/>
        <w:tblLook w:val="04A0"/>
      </w:tblPr>
      <w:tblGrid>
        <w:gridCol w:w="7010"/>
        <w:gridCol w:w="2610"/>
      </w:tblGrid>
      <w:tr w14:paraId="66E24419" w14:textId="4B2CE07E" w:rsidTr="00BA5E1B">
        <w:tblPrEx>
          <w:tblW w:w="9620" w:type="dxa"/>
          <w:tblLayout w:type="fixed"/>
          <w:tblLook w:val="04A0"/>
        </w:tblPrEx>
        <w:trPr>
          <w:cantSplit/>
          <w:tblHeader/>
        </w:trPr>
        <w:tc>
          <w:tcPr>
            <w:tcW w:w="7010" w:type="dxa"/>
          </w:tcPr>
          <w:p w:rsidR="00AA30C6" w:rsidRPr="00B05B18" w:rsidP="00AB5AC8" w14:paraId="3656FCFC" w14:textId="546A016B">
            <w:pPr>
              <w:pStyle w:val="Table11-ColumnHeading"/>
            </w:pPr>
            <w:r>
              <w:t>Burden and Respondent Descriptions</w:t>
            </w:r>
          </w:p>
        </w:tc>
        <w:tc>
          <w:tcPr>
            <w:tcW w:w="2610" w:type="dxa"/>
          </w:tcPr>
          <w:p w:rsidR="00AA30C6" w:rsidRPr="007C52BE" w:rsidP="00AB5AC8" w14:paraId="42342E55" w14:textId="06C83F31">
            <w:pPr>
              <w:pStyle w:val="Table11-ColumnHeading"/>
            </w:pPr>
            <w:r>
              <w:rPr>
                <w:rFonts w:eastAsia="Calibri"/>
              </w:rPr>
              <w:t>Burden Estimate</w:t>
            </w:r>
          </w:p>
        </w:tc>
      </w:tr>
      <w:tr w14:paraId="04E873E1" w14:textId="622B4DAB" w:rsidTr="00BA5E1B">
        <w:tblPrEx>
          <w:tblW w:w="9620" w:type="dxa"/>
          <w:tblLayout w:type="fixed"/>
          <w:tblLook w:val="04A0"/>
        </w:tblPrEx>
        <w:trPr>
          <w:cantSplit/>
        </w:trPr>
        <w:tc>
          <w:tcPr>
            <w:tcW w:w="7010" w:type="dxa"/>
          </w:tcPr>
          <w:p w:rsidR="00AA30C6" w:rsidRPr="007C52BE" w:rsidP="00AB5AC8" w14:paraId="115B6F64" w14:textId="2F5EBB46">
            <w:pPr>
              <w:pStyle w:val="Table11Basic"/>
            </w:pPr>
            <w:r w:rsidRPr="00871E51">
              <w:rPr>
                <w:rFonts w:eastAsia="Calibri"/>
              </w:rPr>
              <w:t xml:space="preserve"># of Qualified Registry </w:t>
            </w:r>
            <w:r w:rsidRPr="3D7B620B" w:rsidR="6986AB18">
              <w:rPr>
                <w:rFonts w:eastAsia="Calibri"/>
              </w:rPr>
              <w:t xml:space="preserve">Full </w:t>
            </w:r>
            <w:r w:rsidRPr="00871E51">
              <w:rPr>
                <w:rFonts w:eastAsia="Calibri"/>
              </w:rPr>
              <w:t xml:space="preserve">Self-Nomination Applications </w:t>
            </w:r>
            <w:r w:rsidRPr="422F5B8E" w:rsidR="681B9390">
              <w:rPr>
                <w:rFonts w:eastAsia="Calibri"/>
              </w:rPr>
              <w:t>S</w:t>
            </w:r>
            <w:r w:rsidRPr="422F5B8E">
              <w:rPr>
                <w:rFonts w:eastAsia="Calibri"/>
              </w:rPr>
              <w:t>ubmitted</w:t>
            </w:r>
            <w:r w:rsidRPr="00871E51">
              <w:rPr>
                <w:rFonts w:eastAsia="Calibri"/>
              </w:rPr>
              <w:t xml:space="preserve"> (a)</w:t>
            </w:r>
          </w:p>
        </w:tc>
        <w:tc>
          <w:tcPr>
            <w:tcW w:w="2610" w:type="dxa"/>
          </w:tcPr>
          <w:p w:rsidR="00AA30C6" w:rsidRPr="007C52BE" w:rsidP="00AB5AC8" w14:paraId="7BCD0FEA" w14:textId="6E2A4E51">
            <w:pPr>
              <w:pStyle w:val="Table11Centered"/>
            </w:pPr>
            <w:r w:rsidRPr="00A46125">
              <w:rPr>
                <w:rFonts w:eastAsia="Calibri"/>
              </w:rPr>
              <w:t>14</w:t>
            </w:r>
          </w:p>
        </w:tc>
      </w:tr>
      <w:tr w14:paraId="35CE1E58" w14:textId="50BE5990" w:rsidTr="00BA5E1B">
        <w:tblPrEx>
          <w:tblW w:w="9620" w:type="dxa"/>
          <w:tblLayout w:type="fixed"/>
          <w:tblLook w:val="04A0"/>
        </w:tblPrEx>
        <w:trPr>
          <w:cantSplit/>
        </w:trPr>
        <w:tc>
          <w:tcPr>
            <w:tcW w:w="7010" w:type="dxa"/>
          </w:tcPr>
          <w:p w:rsidR="00AA30C6" w:rsidRPr="007C52BE" w:rsidP="00AB5AC8" w14:paraId="64B2398E" w14:textId="60742CCF">
            <w:pPr>
              <w:pStyle w:val="Table11Basic"/>
              <w:rPr>
                <w:rFonts w:eastAsia="Calibri"/>
              </w:rPr>
            </w:pPr>
            <w:r w:rsidRPr="422F5B8E">
              <w:rPr>
                <w:rFonts w:eastAsia="Calibri"/>
              </w:rPr>
              <w:t>Annual</w:t>
            </w:r>
            <w:r>
              <w:rPr>
                <w:rFonts w:eastAsia="Calibri"/>
              </w:rPr>
              <w:t xml:space="preserve"> Hours per</w:t>
            </w:r>
            <w:r w:rsidRPr="00871E51">
              <w:rPr>
                <w:rFonts w:eastAsia="Calibri"/>
              </w:rPr>
              <w:t xml:space="preserve"> Qualified Registry </w:t>
            </w:r>
            <w:r w:rsidRPr="422F5B8E" w:rsidR="1592A8D7">
              <w:rPr>
                <w:rFonts w:eastAsia="Calibri"/>
              </w:rPr>
              <w:t>for Full Process</w:t>
            </w:r>
            <w:r w:rsidRPr="00871E51">
              <w:rPr>
                <w:rFonts w:eastAsia="Calibri"/>
              </w:rPr>
              <w:t xml:space="preserve"> (b)</w:t>
            </w:r>
          </w:p>
        </w:tc>
        <w:tc>
          <w:tcPr>
            <w:tcW w:w="2610" w:type="dxa"/>
          </w:tcPr>
          <w:p w:rsidR="00AA30C6" w:rsidRPr="007C52BE" w:rsidP="00AB5AC8" w14:paraId="2456ECFB" w14:textId="7066CE8D">
            <w:pPr>
              <w:pStyle w:val="Table11Centered"/>
            </w:pPr>
            <w:r>
              <w:rPr>
                <w:rFonts w:eastAsia="Calibri"/>
              </w:rPr>
              <w:t>2</w:t>
            </w:r>
          </w:p>
        </w:tc>
      </w:tr>
      <w:tr w14:paraId="42BC72C1" w14:textId="5DD2BCFE" w:rsidTr="00BA5E1B">
        <w:tblPrEx>
          <w:tblW w:w="9620" w:type="dxa"/>
          <w:tblLayout w:type="fixed"/>
          <w:tblLook w:val="04A0"/>
        </w:tblPrEx>
        <w:trPr>
          <w:cantSplit/>
        </w:trPr>
        <w:tc>
          <w:tcPr>
            <w:tcW w:w="7010" w:type="dxa"/>
            <w:shd w:val="clear" w:color="auto" w:fill="E7E6E6" w:themeFill="background2"/>
          </w:tcPr>
          <w:p w:rsidR="00AA30C6" w:rsidRPr="00DB7732" w:rsidP="00AB5AC8" w14:paraId="3F6EE28C" w14:textId="6197BD8D">
            <w:pPr>
              <w:pStyle w:val="Table11Basic"/>
              <w:rPr>
                <w:b/>
                <w:bCs/>
              </w:rPr>
            </w:pPr>
            <w:r w:rsidRPr="00FE6458">
              <w:rPr>
                <w:b/>
                <w:bCs/>
                <w:color w:val="000000" w:themeColor="text1"/>
              </w:rPr>
              <w:t xml:space="preserve">Total Annual Hours for </w:t>
            </w:r>
            <w:r w:rsidR="00AF1F78">
              <w:rPr>
                <w:b/>
                <w:bCs/>
                <w:color w:val="000000" w:themeColor="text1"/>
              </w:rPr>
              <w:t xml:space="preserve">Full </w:t>
            </w:r>
            <w:r w:rsidRPr="00FE6458">
              <w:rPr>
                <w:b/>
                <w:bCs/>
                <w:color w:val="000000" w:themeColor="text1"/>
              </w:rPr>
              <w:t xml:space="preserve">Self-nomination (c) = (a) </w:t>
            </w:r>
            <w:r>
              <w:rPr>
                <w:b/>
                <w:bCs/>
                <w:color w:val="000000" w:themeColor="text1"/>
              </w:rPr>
              <w:t>[</w:t>
            </w:r>
            <w:r w:rsidRPr="00E9230F" w:rsidR="00E9230F">
              <w:rPr>
                <w:b/>
                <w:bCs/>
              </w:rPr>
              <w:t>×</w:t>
            </w:r>
            <w:r>
              <w:rPr>
                <w:b/>
                <w:bCs/>
                <w:color w:val="000000" w:themeColor="text1"/>
              </w:rPr>
              <w:t>]</w:t>
            </w:r>
            <w:r w:rsidRPr="00FE6458">
              <w:rPr>
                <w:b/>
                <w:bCs/>
                <w:color w:val="000000" w:themeColor="text1"/>
              </w:rPr>
              <w:t xml:space="preserve"> (b) </w:t>
            </w:r>
          </w:p>
        </w:tc>
        <w:tc>
          <w:tcPr>
            <w:tcW w:w="2610" w:type="dxa"/>
            <w:shd w:val="clear" w:color="auto" w:fill="E7E6E6" w:themeFill="background2"/>
          </w:tcPr>
          <w:p w:rsidR="00AA30C6" w:rsidRPr="00DB7732" w:rsidP="00AB5AC8" w14:paraId="1BF5E0C4" w14:textId="680B6E63">
            <w:pPr>
              <w:pStyle w:val="Table11Centered"/>
              <w:rPr>
                <w:rFonts w:eastAsia="Calibri"/>
                <w:b/>
                <w:bCs/>
              </w:rPr>
            </w:pPr>
            <w:r w:rsidRPr="00A46125">
              <w:rPr>
                <w:b/>
                <w:bCs/>
                <w:color w:val="000000" w:themeColor="text1"/>
              </w:rPr>
              <w:t>28</w:t>
            </w:r>
          </w:p>
        </w:tc>
      </w:tr>
      <w:tr w14:paraId="0E29B934" w14:textId="368CE8BE" w:rsidTr="00BA5E1B">
        <w:tblPrEx>
          <w:tblW w:w="9620" w:type="dxa"/>
          <w:tblLayout w:type="fixed"/>
          <w:tblLook w:val="04A0"/>
        </w:tblPrEx>
        <w:trPr>
          <w:cantSplit/>
        </w:trPr>
        <w:tc>
          <w:tcPr>
            <w:tcW w:w="7010" w:type="dxa"/>
          </w:tcPr>
          <w:p w:rsidR="00AA30C6" w:rsidRPr="001376EC" w:rsidP="00AB5AC8" w14:paraId="528B2EC1" w14:textId="03A942CF">
            <w:pPr>
              <w:pStyle w:val="Table11Basic"/>
            </w:pPr>
            <w:r w:rsidRPr="00871E51">
              <w:rPr>
                <w:rFonts w:eastAsia="Calibri"/>
              </w:rPr>
              <w:t xml:space="preserve">Cost </w:t>
            </w:r>
            <w:r w:rsidRPr="422F5B8E" w:rsidR="57DE40E0">
              <w:rPr>
                <w:rFonts w:eastAsia="Calibri"/>
              </w:rPr>
              <w:t>p</w:t>
            </w:r>
            <w:r w:rsidRPr="422F5B8E">
              <w:rPr>
                <w:rFonts w:eastAsia="Calibri"/>
              </w:rPr>
              <w:t>er</w:t>
            </w:r>
            <w:r w:rsidRPr="00871E51">
              <w:rPr>
                <w:rFonts w:eastAsia="Calibri"/>
              </w:rPr>
              <w:t xml:space="preserve"> </w:t>
            </w:r>
            <w:r>
              <w:rPr>
                <w:rFonts w:eastAsia="Calibri"/>
              </w:rPr>
              <w:t>Application</w:t>
            </w:r>
            <w:r w:rsidRPr="00871E51">
              <w:rPr>
                <w:rFonts w:eastAsia="Calibri"/>
              </w:rPr>
              <w:t xml:space="preserve"> </w:t>
            </w:r>
            <w:r w:rsidRPr="7B77C670" w:rsidR="431F12BA">
              <w:rPr>
                <w:rFonts w:eastAsia="Calibri"/>
              </w:rPr>
              <w:t>at Labor Cost Computer Systems Analyst</w:t>
            </w:r>
            <w:r w:rsidRPr="00871E51">
              <w:rPr>
                <w:rFonts w:eastAsia="Calibri"/>
              </w:rPr>
              <w:t xml:space="preserve"> </w:t>
            </w:r>
            <w:r w:rsidRPr="00871E51" w:rsidR="00EA15C7">
              <w:rPr>
                <w:rFonts w:eastAsia="Calibri"/>
              </w:rPr>
              <w:t xml:space="preserve">of </w:t>
            </w:r>
            <w:r w:rsidRPr="10A6DA64" w:rsidR="00EA15C7">
              <w:rPr>
                <w:rFonts w:eastAsia="Calibri"/>
              </w:rPr>
              <w:t>$</w:t>
            </w:r>
            <w:r w:rsidR="00051B4D">
              <w:rPr>
                <w:rFonts w:eastAsia="Calibri"/>
              </w:rPr>
              <w:t>106.54</w:t>
            </w:r>
            <w:r w:rsidRPr="00871E51">
              <w:rPr>
                <w:rFonts w:eastAsia="Calibri"/>
              </w:rPr>
              <w:t>/hr) (</w:t>
            </w:r>
            <w:r>
              <w:rPr>
                <w:rFonts w:eastAsia="Calibri"/>
              </w:rPr>
              <w:t>d</w:t>
            </w:r>
            <w:r w:rsidRPr="00871E51">
              <w:rPr>
                <w:rFonts w:eastAsia="Calibri"/>
              </w:rPr>
              <w:t>)</w:t>
            </w:r>
            <w:r>
              <w:rPr>
                <w:rFonts w:eastAsia="Calibri"/>
              </w:rPr>
              <w:t xml:space="preserve"> = (b) [</w:t>
            </w:r>
            <w:r w:rsidR="00E9230F">
              <w:t>×</w:t>
            </w:r>
            <w:r>
              <w:rPr>
                <w:rFonts w:eastAsia="Calibri"/>
              </w:rPr>
              <w:t>] $</w:t>
            </w:r>
            <w:r w:rsidR="00051B4D">
              <w:rPr>
                <w:rFonts w:eastAsia="Calibri"/>
              </w:rPr>
              <w:t>106.54</w:t>
            </w:r>
            <w:r>
              <w:rPr>
                <w:rFonts w:eastAsia="Calibri"/>
              </w:rPr>
              <w:t>/hr</w:t>
            </w:r>
          </w:p>
        </w:tc>
        <w:tc>
          <w:tcPr>
            <w:tcW w:w="2610" w:type="dxa"/>
          </w:tcPr>
          <w:p w:rsidR="00AA30C6" w:rsidRPr="003D29BA" w:rsidP="00AB5AC8" w14:paraId="408D7762" w14:textId="472BE746">
            <w:pPr>
              <w:pStyle w:val="Table11Centered"/>
              <w:rPr>
                <w:rFonts w:eastAsia="Calibri"/>
              </w:rPr>
            </w:pPr>
            <w:r>
              <w:rPr>
                <w:rFonts w:eastAsia="Calibri"/>
              </w:rPr>
              <w:t>$</w:t>
            </w:r>
            <w:r w:rsidR="00051B4D">
              <w:rPr>
                <w:rFonts w:eastAsia="Calibri"/>
              </w:rPr>
              <w:t>213.08</w:t>
            </w:r>
          </w:p>
        </w:tc>
      </w:tr>
      <w:tr w14:paraId="04E25B79" w14:textId="5EEE49DD" w:rsidTr="00BA5E1B">
        <w:tblPrEx>
          <w:tblW w:w="9620" w:type="dxa"/>
          <w:tblLayout w:type="fixed"/>
          <w:tblLook w:val="04A0"/>
        </w:tblPrEx>
        <w:trPr>
          <w:cantSplit/>
        </w:trPr>
        <w:tc>
          <w:tcPr>
            <w:tcW w:w="7010" w:type="dxa"/>
            <w:shd w:val="clear" w:color="auto" w:fill="E7E6E6" w:themeFill="background2"/>
            <w:hideMark/>
          </w:tcPr>
          <w:p w:rsidR="00AA30C6" w:rsidRPr="001376EC" w:rsidP="00AB5AC8" w14:paraId="71B2C81E" w14:textId="77379677">
            <w:pPr>
              <w:pStyle w:val="Table11Basic"/>
              <w:rPr>
                <w:rFonts w:eastAsia="Calibri"/>
                <w:b/>
                <w:bCs/>
              </w:rPr>
            </w:pPr>
            <w:r w:rsidRPr="001376EC">
              <w:rPr>
                <w:rFonts w:eastAsia="Calibri"/>
                <w:b/>
                <w:bCs/>
              </w:rPr>
              <w:t>Total Annual Cost (</w:t>
            </w:r>
            <w:r>
              <w:rPr>
                <w:rFonts w:eastAsia="Calibri"/>
                <w:b/>
                <w:bCs/>
              </w:rPr>
              <w:t>e)</w:t>
            </w:r>
            <w:r w:rsidRPr="001376EC">
              <w:rPr>
                <w:rFonts w:eastAsia="Calibri"/>
                <w:b/>
                <w:bCs/>
              </w:rPr>
              <w:t xml:space="preserve"> = (a) </w:t>
            </w:r>
            <w:r>
              <w:rPr>
                <w:rFonts w:eastAsia="Calibri"/>
                <w:b/>
                <w:bCs/>
              </w:rPr>
              <w:t>[</w:t>
            </w:r>
            <w:r w:rsidRPr="00E9230F" w:rsidR="00E9230F">
              <w:rPr>
                <w:b/>
                <w:bCs/>
              </w:rPr>
              <w:t>×</w:t>
            </w:r>
            <w:r>
              <w:rPr>
                <w:rFonts w:eastAsia="Calibri"/>
                <w:b/>
                <w:bCs/>
              </w:rPr>
              <w:t>]</w:t>
            </w:r>
            <w:r w:rsidRPr="00502002">
              <w:rPr>
                <w:rFonts w:eastAsia="Calibri"/>
                <w:b/>
                <w:bCs/>
              </w:rPr>
              <w:t xml:space="preserve"> </w:t>
            </w:r>
            <w:r w:rsidRPr="001376EC">
              <w:rPr>
                <w:rFonts w:eastAsia="Calibri"/>
                <w:b/>
                <w:bCs/>
              </w:rPr>
              <w:t>(</w:t>
            </w:r>
            <w:r>
              <w:rPr>
                <w:rFonts w:eastAsia="Calibri"/>
                <w:b/>
                <w:bCs/>
              </w:rPr>
              <w:t>d</w:t>
            </w:r>
            <w:r w:rsidRPr="001376EC">
              <w:rPr>
                <w:rFonts w:eastAsia="Calibri"/>
                <w:b/>
                <w:bCs/>
              </w:rPr>
              <w:t>)</w:t>
            </w:r>
            <w:r>
              <w:rPr>
                <w:rFonts w:eastAsia="Calibri"/>
                <w:b/>
                <w:bCs/>
              </w:rPr>
              <w:t xml:space="preserve"> </w:t>
            </w:r>
          </w:p>
        </w:tc>
        <w:tc>
          <w:tcPr>
            <w:tcW w:w="2610" w:type="dxa"/>
            <w:shd w:val="clear" w:color="auto" w:fill="E7E6E6" w:themeFill="background2"/>
          </w:tcPr>
          <w:p w:rsidR="00AA30C6" w:rsidRPr="001376EC" w:rsidP="00AB5AC8" w14:paraId="72B42AFF" w14:textId="1996BAA3">
            <w:pPr>
              <w:pStyle w:val="Table11Centered"/>
              <w:rPr>
                <w:rFonts w:eastAsia="Calibri"/>
                <w:b/>
                <w:bCs/>
              </w:rPr>
            </w:pPr>
            <w:r w:rsidRPr="00A46125">
              <w:rPr>
                <w:rFonts w:eastAsia="Calibri"/>
                <w:b/>
                <w:bCs/>
              </w:rPr>
              <w:t>$</w:t>
            </w:r>
            <w:r w:rsidRPr="00A46125" w:rsidR="00A46125">
              <w:rPr>
                <w:rFonts w:eastAsia="Calibri"/>
                <w:b/>
                <w:bCs/>
              </w:rPr>
              <w:t>2,</w:t>
            </w:r>
            <w:r w:rsidR="00A46125">
              <w:rPr>
                <w:rFonts w:eastAsia="Calibri"/>
                <w:b/>
                <w:bCs/>
              </w:rPr>
              <w:t>983</w:t>
            </w:r>
          </w:p>
        </w:tc>
      </w:tr>
    </w:tbl>
    <w:p w:rsidR="008D7566" w:rsidRPr="001E07DC" w:rsidP="00E03843" w14:paraId="19707942" w14:textId="117AC91C">
      <w:pPr>
        <w:pStyle w:val="Heading5"/>
        <w:rPr>
          <w:iCs/>
        </w:rPr>
      </w:pPr>
      <w:r>
        <w:t>iii.</w:t>
      </w:r>
      <w:r>
        <w:tab/>
      </w:r>
      <w:r w:rsidRPr="001E07DC" w:rsidR="0004680F">
        <w:t xml:space="preserve">Burden for </w:t>
      </w:r>
      <w:r w:rsidRPr="001E07DC" w:rsidR="00A05A9E">
        <w:t xml:space="preserve">Simplified </w:t>
      </w:r>
      <w:r w:rsidRPr="001E07DC" w:rsidR="0004680F">
        <w:t>QCDR Self-Nomination</w:t>
      </w:r>
      <w:r w:rsidRPr="001E07DC" w:rsidR="00891A14">
        <w:t xml:space="preserve"> </w:t>
      </w:r>
      <w:r w:rsidRPr="001E07DC" w:rsidR="008F170D">
        <w:t xml:space="preserve">Process </w:t>
      </w:r>
      <w:r w:rsidRPr="001E07DC" w:rsidR="00891A14">
        <w:t xml:space="preserve">and </w:t>
      </w:r>
      <w:r w:rsidRPr="00D71B6C" w:rsidR="00D71B6C">
        <w:t>QCDR Measure Submission</w:t>
      </w:r>
    </w:p>
    <w:p w:rsidR="00DB53F8" w:rsidP="0067016B" w14:paraId="3E4EBEC9" w14:textId="0FD17221">
      <w:pPr>
        <w:pStyle w:val="BodyText-PostHead"/>
        <w:spacing w:before="240"/>
        <w:rPr>
          <w:rFonts w:eastAsia="Calibri"/>
        </w:rPr>
      </w:pPr>
      <w:r>
        <w:rPr>
          <w:rFonts w:eastAsia="Calibri"/>
        </w:rPr>
        <w:t>P</w:t>
      </w:r>
      <w:r w:rsidRPr="002F0EDC" w:rsidR="002F0EDC">
        <w:rPr>
          <w:rFonts w:eastAsia="Calibri"/>
        </w:rPr>
        <w:t xml:space="preserve">reviously approved QCDRs in good standing (that are not on </w:t>
      </w:r>
      <w:r w:rsidR="00A61FB3">
        <w:rPr>
          <w:rFonts w:eastAsia="Calibri"/>
        </w:rPr>
        <w:t>remedial action</w:t>
      </w:r>
      <w:r w:rsidRPr="002F0EDC" w:rsidR="00A61FB3">
        <w:rPr>
          <w:rFonts w:eastAsia="Calibri"/>
        </w:rPr>
        <w:t xml:space="preserve"> </w:t>
      </w:r>
      <w:r w:rsidRPr="002F0EDC" w:rsidR="002F0EDC">
        <w:rPr>
          <w:rFonts w:eastAsia="Calibri"/>
        </w:rPr>
        <w:t xml:space="preserve">or </w:t>
      </w:r>
      <w:r w:rsidR="00A61FB3">
        <w:rPr>
          <w:rFonts w:eastAsia="Calibri"/>
        </w:rPr>
        <w:t>have been terminated</w:t>
      </w:r>
      <w:r w:rsidRPr="002F0EDC" w:rsidR="002F0EDC">
        <w:rPr>
          <w:rFonts w:eastAsia="Calibri"/>
        </w:rPr>
        <w:t>) that wish to self-nominate u</w:t>
      </w:r>
      <w:r w:rsidR="00E71E68">
        <w:rPr>
          <w:rFonts w:eastAsia="Calibri"/>
        </w:rPr>
        <w:t>nder</w:t>
      </w:r>
      <w:r w:rsidRPr="002F0EDC" w:rsidR="002F0EDC">
        <w:rPr>
          <w:rFonts w:eastAsia="Calibri"/>
        </w:rPr>
        <w:t xml:space="preserve">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(83 FR 59898</w:t>
      </w:r>
      <w:r w:rsidRPr="00DB53F8">
        <w:rPr>
          <w:rFonts w:eastAsia="Calibri"/>
        </w:rPr>
        <w:t>).</w:t>
      </w:r>
    </w:p>
    <w:p w:rsidR="00B05B18" w:rsidP="00723AB8" w14:paraId="3393B32A" w14:textId="05A1E8D8">
      <w:pPr>
        <w:pStyle w:val="BodyText"/>
      </w:pPr>
      <w:r>
        <w:t>Based on the number of</w:t>
      </w:r>
      <w:r w:rsidR="40EEE354">
        <w:t xml:space="preserve"> applications</w:t>
      </w:r>
      <w:r>
        <w:t xml:space="preserve"> </w:t>
      </w:r>
      <w:r w:rsidR="2C9A9DCF">
        <w:t xml:space="preserve">we </w:t>
      </w:r>
      <w:r>
        <w:t>receive</w:t>
      </w:r>
      <w:r w:rsidR="00A14D72">
        <w:t>d</w:t>
      </w:r>
      <w:r>
        <w:t xml:space="preserve"> </w:t>
      </w:r>
      <w:r w:rsidR="6A41301A">
        <w:t xml:space="preserve">under the simplified process during the </w:t>
      </w:r>
      <w:r w:rsidR="62F5591B">
        <w:t xml:space="preserve">CY </w:t>
      </w:r>
      <w:r w:rsidR="6A41301A">
        <w:t>202</w:t>
      </w:r>
      <w:r w:rsidR="054594A9">
        <w:t>4</w:t>
      </w:r>
      <w:r w:rsidR="6A41301A">
        <w:t xml:space="preserve"> self-nomination period</w:t>
      </w:r>
      <w:r w:rsidR="1214A43E">
        <w:t>, w</w:t>
      </w:r>
      <w:r w:rsidR="06FDDEB3">
        <w:t xml:space="preserve">e estimate that </w:t>
      </w:r>
      <w:r w:rsidR="00141AD7">
        <w:t xml:space="preserve">41 </w:t>
      </w:r>
      <w:r w:rsidR="06FDDEB3">
        <w:t>QCDRs will self-nominate</w:t>
      </w:r>
      <w:r w:rsidR="0C3EDE6D">
        <w:t xml:space="preserve"> under the simplified QCDR self-nomination process</w:t>
      </w:r>
      <w:r w:rsidR="06FDDEB3">
        <w:t xml:space="preserve"> for the CY 202</w:t>
      </w:r>
      <w:r w:rsidR="054594A9">
        <w:t>5</w:t>
      </w:r>
      <w:r w:rsidR="06FDDEB3">
        <w:t xml:space="preserve"> performance period/202</w:t>
      </w:r>
      <w:r w:rsidR="054594A9">
        <w:t>7</w:t>
      </w:r>
      <w:r w:rsidR="06FDDEB3">
        <w:t xml:space="preserve"> MIPS payment year. </w:t>
      </w:r>
      <w:r w:rsidR="1BFC635E">
        <w:t xml:space="preserve">We estimate that it will take 0.5 hours for a QCDR to submit an application under the simplified self-nomination process. </w:t>
      </w:r>
      <w:r w:rsidR="55C19044">
        <w:t>Additionally, w</w:t>
      </w:r>
      <w:r w:rsidR="1BFC635E">
        <w:t xml:space="preserve">e </w:t>
      </w:r>
      <w:r w:rsidR="5D16BC74">
        <w:t>estimate that each QCDR will submit 1</w:t>
      </w:r>
      <w:r w:rsidR="00801DC2">
        <w:t>3</w:t>
      </w:r>
      <w:r w:rsidR="5D16BC74">
        <w:t xml:space="preserve"> measures</w:t>
      </w:r>
      <w:r w:rsidR="76BEE4D4">
        <w:t xml:space="preserve"> on average</w:t>
      </w:r>
      <w:r w:rsidR="5D16BC74">
        <w:t xml:space="preserve">, </w:t>
      </w:r>
      <w:r w:rsidR="5FACF9D8">
        <w:t xml:space="preserve">approximately </w:t>
      </w:r>
      <w:r w:rsidR="00AA7227">
        <w:t>2</w:t>
      </w:r>
      <w:r w:rsidR="5FACF9D8">
        <w:t xml:space="preserve"> new measures and 1</w:t>
      </w:r>
      <w:r w:rsidR="0C8362BF">
        <w:t>1</w:t>
      </w:r>
      <w:r w:rsidR="5FACF9D8">
        <w:t xml:space="preserve"> existing or borrowed measures</w:t>
      </w:r>
      <w:r w:rsidR="602D7F90">
        <w:t>, per QCDR</w:t>
      </w:r>
      <w:r w:rsidR="5FACF9D8">
        <w:t>.</w:t>
      </w:r>
      <w:r w:rsidR="17C42BE6">
        <w:t xml:space="preserve"> </w:t>
      </w:r>
      <w:r w:rsidR="2ACA8A81">
        <w:t>W</w:t>
      </w:r>
      <w:r w:rsidR="5FACF9D8">
        <w:t>e estimate</w:t>
      </w:r>
      <w:r w:rsidR="1EA6CDE8">
        <w:t xml:space="preserve"> </w:t>
      </w:r>
      <w:r w:rsidR="58D007F4">
        <w:t xml:space="preserve">that it will take 2 hours for a QCDR to submit a new measure and 0.5 hours to submit an existing measure. </w:t>
      </w:r>
      <w:r w:rsidR="1AD4071B">
        <w:t>In aggregate</w:t>
      </w:r>
      <w:r w:rsidR="5D16BC74">
        <w:t xml:space="preserve">, we estimate that it will take </w:t>
      </w:r>
      <w:r w:rsidR="00B731E0">
        <w:t>10</w:t>
      </w:r>
      <w:r w:rsidR="5D16BC74">
        <w:t xml:space="preserve"> hours</w:t>
      </w:r>
      <w:r w:rsidR="009755EB">
        <w:t xml:space="preserve"> [0.5hr for the simplified </w:t>
      </w:r>
      <w:r w:rsidR="009755EB">
        <w:t xml:space="preserve">self-nomination process </w:t>
      </w:r>
      <w:r w:rsidR="00FF086C">
        <w:t xml:space="preserve">+ (2 </w:t>
      </w:r>
      <w:r w:rsidR="00A939C5">
        <w:t>hr</w:t>
      </w:r>
      <w:r w:rsidR="00FF086C">
        <w:t xml:space="preserve"> per new measure </w:t>
      </w:r>
      <w:r w:rsidR="00E9230F">
        <w:t>×</w:t>
      </w:r>
      <w:r w:rsidR="00FF086C">
        <w:t xml:space="preserve"> 2 new measures) + (</w:t>
      </w:r>
      <w:r w:rsidR="00FC563C">
        <w:t xml:space="preserve">0.5 </w:t>
      </w:r>
      <w:r w:rsidR="00A939C5">
        <w:t>hr</w:t>
      </w:r>
      <w:r w:rsidR="00FC563C">
        <w:t xml:space="preserve"> per existing or borrow measures </w:t>
      </w:r>
      <w:r w:rsidR="00E9230F">
        <w:t>×</w:t>
      </w:r>
      <w:r w:rsidR="00FC563C">
        <w:t xml:space="preserve"> 11 measures)]</w:t>
      </w:r>
      <w:r w:rsidR="5D16BC74">
        <w:t xml:space="preserve"> for a QCDR to submit an application under the simplified self-nomination process. </w:t>
      </w:r>
      <w:r w:rsidR="00D44E18">
        <w:t xml:space="preserve">On average, the time to nominate each measure is approximately </w:t>
      </w:r>
      <w:r w:rsidR="006B6ABB">
        <w:t>0</w:t>
      </w:r>
      <w:r w:rsidR="00D44E18">
        <w:t xml:space="preserve">.73 hours per measure. </w:t>
      </w:r>
      <w:r w:rsidR="06FDDEB3">
        <w:t xml:space="preserve">We assume that the staff involved in the </w:t>
      </w:r>
      <w:r w:rsidR="5EB72535">
        <w:t xml:space="preserve">simplified </w:t>
      </w:r>
      <w:r w:rsidR="35D399B6">
        <w:t>QCDR</w:t>
      </w:r>
      <w:r w:rsidR="06FDDEB3">
        <w:t xml:space="preserve"> self-nomination process will be computer systems analysts or their equivalent, who have an average labor rate of </w:t>
      </w:r>
      <w:bookmarkStart w:id="76" w:name="_1777396109"/>
      <w:bookmarkStart w:id="77" w:name="_1777393442"/>
      <w:bookmarkStart w:id="78" w:name="_1777391954"/>
      <w:bookmarkStart w:id="79" w:name="_1777204887"/>
      <w:bookmarkStart w:id="80" w:name="_1777365787"/>
      <w:bookmarkEnd w:id="76"/>
      <w:bookmarkEnd w:id="77"/>
      <w:bookmarkEnd w:id="78"/>
      <w:bookmarkEnd w:id="79"/>
      <w:bookmarkEnd w:id="80"/>
      <w:r w:rsidR="3C869341">
        <w:t>106.54</w:t>
      </w:r>
      <w:r w:rsidR="06FDDEB3">
        <w:t xml:space="preserve">/hr. We estimate the burden per response would be </w:t>
      </w:r>
      <w:r w:rsidR="5073419B">
        <w:t>$1,</w:t>
      </w:r>
      <w:r w:rsidR="00127470">
        <w:t>065.40</w:t>
      </w:r>
      <w:r w:rsidR="5073419B">
        <w:t xml:space="preserve"> </w:t>
      </w:r>
      <w:r w:rsidR="06FDDEB3">
        <w:t>(</w:t>
      </w:r>
      <w:r w:rsidR="00127470">
        <w:t>10</w:t>
      </w:r>
      <w:r w:rsidR="06FDDEB3">
        <w:t xml:space="preserve"> hr </w:t>
      </w:r>
      <w:bookmarkStart w:id="81" w:name="_1777396115"/>
      <w:bookmarkStart w:id="82" w:name="_1777393447"/>
      <w:bookmarkStart w:id="83" w:name="_1777391960"/>
      <w:bookmarkStart w:id="84" w:name="_1777204894"/>
      <w:bookmarkStart w:id="85" w:name="_1777365791"/>
      <w:bookmarkEnd w:id="81"/>
      <w:bookmarkEnd w:id="82"/>
      <w:bookmarkEnd w:id="83"/>
      <w:bookmarkEnd w:id="84"/>
      <w:bookmarkEnd w:id="85"/>
      <w:r w:rsidR="004D17B1">
        <w:t>× $</w:t>
      </w:r>
      <w:r w:rsidR="3C869341">
        <w:t>106.54</w:t>
      </w:r>
      <w:r w:rsidR="06FDDEB3">
        <w:t xml:space="preserve">/hr). In aggregate, </w:t>
      </w:r>
      <w:r w:rsidRPr="5B5F5372" w:rsidR="06FDDEB3">
        <w:rPr>
          <w:rFonts w:eastAsia="Calibri"/>
        </w:rPr>
        <w:t xml:space="preserve">as shown in Table 5, we estimate that the annual burden for the </w:t>
      </w:r>
      <w:r w:rsidRPr="5B5F5372" w:rsidR="57FC7A71">
        <w:rPr>
          <w:rFonts w:eastAsia="Calibri"/>
        </w:rPr>
        <w:t xml:space="preserve">simplified </w:t>
      </w:r>
      <w:r w:rsidRPr="5B5F5372" w:rsidR="06FDDEB3">
        <w:rPr>
          <w:rFonts w:eastAsia="Calibri"/>
        </w:rPr>
        <w:t>QCD</w:t>
      </w:r>
      <w:r w:rsidRPr="5B5F5372" w:rsidR="57FC7A71">
        <w:rPr>
          <w:rFonts w:eastAsia="Calibri"/>
        </w:rPr>
        <w:t xml:space="preserve">R </w:t>
      </w:r>
      <w:r w:rsidRPr="5B5F5372" w:rsidR="06FDDEB3">
        <w:rPr>
          <w:rFonts w:eastAsia="Calibri"/>
        </w:rPr>
        <w:t xml:space="preserve">self-nomination process would be </w:t>
      </w:r>
      <w:r w:rsidR="00F71F61">
        <w:rPr>
          <w:rFonts w:eastAsia="Calibri"/>
        </w:rPr>
        <w:t>410</w:t>
      </w:r>
      <w:r w:rsidRPr="5B5F5372" w:rsidR="00F71F61">
        <w:rPr>
          <w:rFonts w:eastAsia="Calibri"/>
        </w:rPr>
        <w:t xml:space="preserve"> </w:t>
      </w:r>
      <w:r w:rsidRPr="5B5F5372" w:rsidR="06FDDEB3">
        <w:rPr>
          <w:rFonts w:eastAsia="Calibri"/>
        </w:rPr>
        <w:t>hours (</w:t>
      </w:r>
      <w:r w:rsidR="00F71F61">
        <w:rPr>
          <w:rFonts w:eastAsia="Calibri"/>
        </w:rPr>
        <w:t>41</w:t>
      </w:r>
      <w:r w:rsidRPr="5B5F5372" w:rsidR="00F71F61">
        <w:rPr>
          <w:rFonts w:eastAsia="Calibri"/>
        </w:rPr>
        <w:t xml:space="preserve"> </w:t>
      </w:r>
      <w:r w:rsidRPr="5B5F5372" w:rsidR="06FDDEB3">
        <w:rPr>
          <w:rFonts w:eastAsia="Calibri"/>
        </w:rPr>
        <w:t xml:space="preserve">applications </w:t>
      </w:r>
      <w:r w:rsidR="00E9230F">
        <w:t>×</w:t>
      </w:r>
      <w:r w:rsidRPr="5B5F5372" w:rsidR="06FDDEB3">
        <w:rPr>
          <w:rFonts w:eastAsia="Calibri"/>
        </w:rPr>
        <w:t xml:space="preserve"> </w:t>
      </w:r>
      <w:r w:rsidR="00F71F61">
        <w:rPr>
          <w:rFonts w:eastAsia="Calibri"/>
        </w:rPr>
        <w:t>10</w:t>
      </w:r>
      <w:r w:rsidRPr="5B5F5372" w:rsidR="06FDDEB3">
        <w:rPr>
          <w:rFonts w:eastAsia="Calibri"/>
        </w:rPr>
        <w:t xml:space="preserve"> hr) at a cost of $</w:t>
      </w:r>
      <w:r w:rsidR="00F71F61">
        <w:rPr>
          <w:rFonts w:eastAsia="Calibri"/>
        </w:rPr>
        <w:t>43,681</w:t>
      </w:r>
      <w:r w:rsidRPr="5B5F5372" w:rsidR="06FDDEB3">
        <w:rPr>
          <w:rFonts w:eastAsia="Calibri"/>
        </w:rPr>
        <w:t xml:space="preserve"> (</w:t>
      </w:r>
      <w:r w:rsidR="00F71F61">
        <w:rPr>
          <w:rFonts w:eastAsia="Calibri"/>
        </w:rPr>
        <w:t>41</w:t>
      </w:r>
      <w:r w:rsidRPr="5B5F5372" w:rsidR="00F71F61">
        <w:rPr>
          <w:rFonts w:eastAsia="Calibri"/>
        </w:rPr>
        <w:t xml:space="preserve"> </w:t>
      </w:r>
      <w:r w:rsidRPr="5B5F5372" w:rsidR="06FDDEB3">
        <w:rPr>
          <w:rFonts w:eastAsia="Calibri"/>
        </w:rPr>
        <w:t xml:space="preserve">applications </w:t>
      </w:r>
      <w:r w:rsidR="00E9230F">
        <w:t>×</w:t>
      </w:r>
      <w:r w:rsidRPr="5B5F5372" w:rsidR="06FDDEB3">
        <w:rPr>
          <w:rFonts w:eastAsia="Calibri"/>
        </w:rPr>
        <w:t xml:space="preserve"> </w:t>
      </w:r>
      <w:r w:rsidRPr="5B5F5372" w:rsidR="6F88FABD">
        <w:rPr>
          <w:rFonts w:eastAsia="Calibri"/>
        </w:rPr>
        <w:t>$1,</w:t>
      </w:r>
      <w:r w:rsidR="00F71F61">
        <w:rPr>
          <w:rFonts w:eastAsia="Calibri"/>
        </w:rPr>
        <w:t>065.40</w:t>
      </w:r>
      <w:r w:rsidRPr="5B5F5372" w:rsidR="06FDDEB3">
        <w:rPr>
          <w:rFonts w:eastAsia="Calibri"/>
        </w:rPr>
        <w:t xml:space="preserve">/application). </w:t>
      </w:r>
    </w:p>
    <w:p w:rsidR="00B05B18" w:rsidRPr="00961ED2" w:rsidP="00723AB8" w14:paraId="0DAD826A" w14:textId="5748C1D9">
      <w:pPr>
        <w:pStyle w:val="ExhibitTitle"/>
        <w:rPr>
          <w:b w:val="0"/>
          <w:bCs/>
        </w:rPr>
      </w:pPr>
      <w:r w:rsidRPr="00961ED2">
        <w:rPr>
          <w:b w:val="0"/>
          <w:bCs/>
        </w:rPr>
        <w:t>T</w:t>
      </w:r>
      <w:r w:rsidRPr="00961ED2" w:rsidR="009F034E">
        <w:rPr>
          <w:b w:val="0"/>
          <w:bCs/>
        </w:rPr>
        <w:t>able</w:t>
      </w:r>
      <w:r w:rsidRPr="00961ED2">
        <w:rPr>
          <w:b w:val="0"/>
          <w:bCs/>
        </w:rPr>
        <w:t xml:space="preserve"> </w:t>
      </w:r>
      <w:r w:rsidRPr="00961ED2" w:rsidR="00CB03DF">
        <w:rPr>
          <w:b w:val="0"/>
          <w:bCs/>
        </w:rPr>
        <w:t>5</w:t>
      </w:r>
      <w:r w:rsidRPr="00961ED2">
        <w:rPr>
          <w:b w:val="0"/>
          <w:bCs/>
        </w:rPr>
        <w:t xml:space="preserve">: Estimated Burden for </w:t>
      </w:r>
      <w:r w:rsidRPr="00961ED2" w:rsidR="00B71768">
        <w:rPr>
          <w:b w:val="0"/>
          <w:bCs/>
        </w:rPr>
        <w:t xml:space="preserve">Simplified </w:t>
      </w:r>
      <w:r w:rsidRPr="00961ED2">
        <w:rPr>
          <w:b w:val="0"/>
          <w:bCs/>
        </w:rPr>
        <w:t>QCDR Self-Nomination</w:t>
      </w:r>
      <w:r w:rsidRPr="00961ED2" w:rsidR="00D71B6C">
        <w:rPr>
          <w:b w:val="0"/>
          <w:bCs/>
        </w:rPr>
        <w:t xml:space="preserve"> and QCDR Measure Submission</w:t>
      </w:r>
      <w:r w:rsidRPr="00961ED2" w:rsidR="002F7695">
        <w:rPr>
          <w:b w:val="0"/>
          <w:bCs/>
        </w:rPr>
        <w:t xml:space="preserve"> </w:t>
      </w:r>
    </w:p>
    <w:tbl>
      <w:tblPr>
        <w:tblStyle w:val="TableGrid"/>
        <w:tblDescription w:val="Table 5: the estimated burden for previously approved Q C D R s, and are currently in good standing, submitting a self-nomination application under the simplified self-nomination process."/>
        <w:tblW w:w="9620" w:type="dxa"/>
        <w:tblLayout w:type="fixed"/>
        <w:tblLook w:val="04A0"/>
      </w:tblPr>
      <w:tblGrid>
        <w:gridCol w:w="7010"/>
        <w:gridCol w:w="2610"/>
      </w:tblGrid>
      <w:tr w14:paraId="71104228" w14:textId="78312EA6" w:rsidTr="00BA5E1B">
        <w:tblPrEx>
          <w:tblW w:w="9620" w:type="dxa"/>
          <w:tblLayout w:type="fixed"/>
          <w:tblLook w:val="04A0"/>
        </w:tblPrEx>
        <w:trPr>
          <w:cantSplit/>
          <w:tblHeader/>
        </w:trPr>
        <w:tc>
          <w:tcPr>
            <w:tcW w:w="7010" w:type="dxa"/>
          </w:tcPr>
          <w:p w:rsidR="00CB03DF" w:rsidRPr="00B05B18" w:rsidP="00AB5AC8" w14:paraId="0D5E299D" w14:textId="71511E64">
            <w:pPr>
              <w:pStyle w:val="Table11-ColumnHeading"/>
            </w:pPr>
            <w:r>
              <w:t>Burden and Respondent Descriptions</w:t>
            </w:r>
          </w:p>
        </w:tc>
        <w:tc>
          <w:tcPr>
            <w:tcW w:w="2610" w:type="dxa"/>
          </w:tcPr>
          <w:p w:rsidR="00CB03DF" w:rsidRPr="007C52BE" w:rsidP="00AB5AC8" w14:paraId="706F189D" w14:textId="1A7E9EE3">
            <w:pPr>
              <w:pStyle w:val="Table11-ColumnHeading"/>
            </w:pPr>
            <w:r>
              <w:rPr>
                <w:rFonts w:eastAsia="Calibri"/>
              </w:rPr>
              <w:t>Burden Estimate</w:t>
            </w:r>
          </w:p>
        </w:tc>
      </w:tr>
      <w:tr w14:paraId="38D03792" w14:textId="1E3BD4EF" w:rsidTr="00BA5E1B">
        <w:tblPrEx>
          <w:tblW w:w="9620" w:type="dxa"/>
          <w:tblLayout w:type="fixed"/>
          <w:tblLook w:val="04A0"/>
        </w:tblPrEx>
        <w:trPr>
          <w:cantSplit/>
        </w:trPr>
        <w:tc>
          <w:tcPr>
            <w:tcW w:w="7010" w:type="dxa"/>
          </w:tcPr>
          <w:p w:rsidR="00CB03DF" w:rsidRPr="007C52BE" w:rsidP="00AB5AC8" w14:paraId="17C6F3CB" w14:textId="2C25AF3B">
            <w:pPr>
              <w:pStyle w:val="Table11Basic"/>
            </w:pPr>
            <w:r w:rsidRPr="00871E51">
              <w:rPr>
                <w:rFonts w:eastAsia="Calibri"/>
              </w:rPr>
              <w:t xml:space="preserve"># of </w:t>
            </w:r>
            <w:r w:rsidRPr="2B22557D" w:rsidR="5B7E1EC0">
              <w:rPr>
                <w:rFonts w:eastAsia="Calibri"/>
              </w:rPr>
              <w:t xml:space="preserve">Simplified </w:t>
            </w:r>
            <w:r w:rsidRPr="00871E51">
              <w:rPr>
                <w:rFonts w:eastAsia="Calibri"/>
              </w:rPr>
              <w:t>Q</w:t>
            </w:r>
            <w:r>
              <w:rPr>
                <w:rFonts w:eastAsia="Calibri"/>
              </w:rPr>
              <w:t>CDR</w:t>
            </w:r>
            <w:r w:rsidRPr="00871E51">
              <w:rPr>
                <w:rFonts w:eastAsia="Calibri"/>
              </w:rPr>
              <w:t xml:space="preserve"> Self-Nomination Applications </w:t>
            </w:r>
            <w:r w:rsidRPr="2B22557D" w:rsidR="02CBE13A">
              <w:rPr>
                <w:rFonts w:eastAsia="Calibri"/>
              </w:rPr>
              <w:t>S</w:t>
            </w:r>
            <w:r w:rsidRPr="2B22557D">
              <w:rPr>
                <w:rFonts w:eastAsia="Calibri"/>
              </w:rPr>
              <w:t>ubmitted</w:t>
            </w:r>
            <w:r w:rsidRPr="00871E51">
              <w:rPr>
                <w:rFonts w:eastAsia="Calibri"/>
              </w:rPr>
              <w:t xml:space="preserve"> (a)</w:t>
            </w:r>
          </w:p>
        </w:tc>
        <w:tc>
          <w:tcPr>
            <w:tcW w:w="2610" w:type="dxa"/>
          </w:tcPr>
          <w:p w:rsidR="00CB03DF" w:rsidRPr="007C52BE" w:rsidP="00AB5AC8" w14:paraId="46835E94" w14:textId="6D0DE114">
            <w:pPr>
              <w:pStyle w:val="Table11Centered"/>
            </w:pPr>
            <w:r>
              <w:rPr>
                <w:rFonts w:eastAsia="Calibri"/>
              </w:rPr>
              <w:t>41</w:t>
            </w:r>
          </w:p>
        </w:tc>
      </w:tr>
      <w:tr w14:paraId="2745E299" w14:textId="3F97A079" w:rsidTr="00BA5E1B">
        <w:tblPrEx>
          <w:tblW w:w="9620" w:type="dxa"/>
          <w:tblLayout w:type="fixed"/>
          <w:tblLook w:val="04A0"/>
        </w:tblPrEx>
        <w:trPr>
          <w:cantSplit/>
        </w:trPr>
        <w:tc>
          <w:tcPr>
            <w:tcW w:w="7010" w:type="dxa"/>
          </w:tcPr>
          <w:p w:rsidR="00CB03DF" w:rsidRPr="007C52BE" w:rsidP="00AB5AC8" w14:paraId="26F0B3C8" w14:textId="48CDCB6E">
            <w:pPr>
              <w:pStyle w:val="Table11Basic"/>
              <w:rPr>
                <w:rFonts w:eastAsia="Calibri"/>
              </w:rPr>
            </w:pPr>
            <w:r w:rsidRPr="2B22557D">
              <w:rPr>
                <w:rFonts w:eastAsia="Calibri"/>
              </w:rPr>
              <w:t>Annual</w:t>
            </w:r>
            <w:r>
              <w:rPr>
                <w:rFonts w:eastAsia="Calibri"/>
              </w:rPr>
              <w:t xml:space="preserve"> Hours per</w:t>
            </w:r>
            <w:r w:rsidRPr="00871E51">
              <w:rPr>
                <w:rFonts w:eastAsia="Calibri"/>
              </w:rPr>
              <w:t xml:space="preserve"> Q</w:t>
            </w:r>
            <w:r>
              <w:rPr>
                <w:rFonts w:eastAsia="Calibri"/>
              </w:rPr>
              <w:t>CDR</w:t>
            </w:r>
            <w:r w:rsidRPr="00871E51">
              <w:rPr>
                <w:rFonts w:eastAsia="Calibri"/>
              </w:rPr>
              <w:t xml:space="preserve"> </w:t>
            </w:r>
            <w:r w:rsidRPr="2B22557D" w:rsidR="47E4D128">
              <w:rPr>
                <w:rFonts w:eastAsia="Calibri"/>
              </w:rPr>
              <w:t>for Simplified Process</w:t>
            </w:r>
            <w:r w:rsidRPr="00871E51">
              <w:rPr>
                <w:rFonts w:eastAsia="Calibri"/>
              </w:rPr>
              <w:t xml:space="preserve"> (b)</w:t>
            </w:r>
          </w:p>
        </w:tc>
        <w:tc>
          <w:tcPr>
            <w:tcW w:w="2610" w:type="dxa"/>
          </w:tcPr>
          <w:p w:rsidR="00CB03DF" w:rsidRPr="007C52BE" w:rsidP="00AB5AC8" w14:paraId="7B2DCE07" w14:textId="48809F3F">
            <w:pPr>
              <w:pStyle w:val="Table11Centered"/>
            </w:pPr>
            <w:r>
              <w:rPr>
                <w:rFonts w:eastAsia="Calibri"/>
              </w:rPr>
              <w:t>10</w:t>
            </w:r>
          </w:p>
        </w:tc>
      </w:tr>
      <w:tr w14:paraId="72CAAAD0" w14:textId="5FEB9792" w:rsidTr="00BA5E1B">
        <w:tblPrEx>
          <w:tblW w:w="9620" w:type="dxa"/>
          <w:tblLayout w:type="fixed"/>
          <w:tblLook w:val="04A0"/>
        </w:tblPrEx>
        <w:trPr>
          <w:cantSplit/>
        </w:trPr>
        <w:tc>
          <w:tcPr>
            <w:tcW w:w="7010" w:type="dxa"/>
            <w:shd w:val="clear" w:color="auto" w:fill="E7E6E6" w:themeFill="background2"/>
          </w:tcPr>
          <w:p w:rsidR="00CB03DF" w:rsidRPr="00DB7732" w:rsidP="00AB5AC8" w14:paraId="3F12CB64" w14:textId="6046BB8E">
            <w:pPr>
              <w:pStyle w:val="Table11Basic"/>
              <w:rPr>
                <w:b/>
                <w:bCs/>
              </w:rPr>
            </w:pPr>
            <w:r w:rsidRPr="00FE6458">
              <w:rPr>
                <w:b/>
                <w:bCs/>
                <w:color w:val="000000" w:themeColor="text1"/>
              </w:rPr>
              <w:t>Total Annual Hours for Simplified Self-</w:t>
            </w:r>
            <w:r w:rsidRPr="2B22557D" w:rsidR="7AB930C7">
              <w:rPr>
                <w:b/>
                <w:bCs/>
                <w:color w:val="000000" w:themeColor="text1"/>
              </w:rPr>
              <w:t>N</w:t>
            </w:r>
            <w:r w:rsidRPr="2B22557D">
              <w:rPr>
                <w:b/>
                <w:bCs/>
                <w:color w:val="000000" w:themeColor="text1"/>
              </w:rPr>
              <w:t>omination</w:t>
            </w:r>
            <w:r w:rsidRPr="00FE6458">
              <w:rPr>
                <w:b/>
                <w:bCs/>
                <w:color w:val="000000" w:themeColor="text1"/>
              </w:rPr>
              <w:t xml:space="preserve"> (c) = (a) </w:t>
            </w:r>
            <w:r>
              <w:rPr>
                <w:b/>
                <w:bCs/>
                <w:color w:val="000000" w:themeColor="text1"/>
              </w:rPr>
              <w:t>[</w:t>
            </w:r>
            <w:r w:rsidRPr="00E9230F" w:rsidR="00E9230F">
              <w:rPr>
                <w:b/>
                <w:bCs/>
              </w:rPr>
              <w:t>×</w:t>
            </w:r>
            <w:r>
              <w:rPr>
                <w:b/>
                <w:bCs/>
                <w:color w:val="000000" w:themeColor="text1"/>
              </w:rPr>
              <w:t>]</w:t>
            </w:r>
            <w:r w:rsidRPr="00FE6458">
              <w:rPr>
                <w:b/>
                <w:bCs/>
                <w:color w:val="000000" w:themeColor="text1"/>
              </w:rPr>
              <w:t xml:space="preserve"> (b) </w:t>
            </w:r>
          </w:p>
        </w:tc>
        <w:tc>
          <w:tcPr>
            <w:tcW w:w="2610" w:type="dxa"/>
            <w:shd w:val="clear" w:color="auto" w:fill="E7E6E6" w:themeFill="background2"/>
          </w:tcPr>
          <w:p w:rsidR="00CB03DF" w:rsidRPr="00DB7732" w:rsidP="00AB5AC8" w14:paraId="4F11A3ED" w14:textId="096A0BC8">
            <w:pPr>
              <w:pStyle w:val="Table11Centered"/>
              <w:rPr>
                <w:rFonts w:eastAsia="Calibri"/>
                <w:b/>
                <w:bCs/>
              </w:rPr>
            </w:pPr>
            <w:r>
              <w:rPr>
                <w:b/>
                <w:bCs/>
                <w:color w:val="000000" w:themeColor="text1"/>
              </w:rPr>
              <w:t>410</w:t>
            </w:r>
          </w:p>
        </w:tc>
      </w:tr>
      <w:tr w14:paraId="1D591F7F" w14:textId="786F27FD" w:rsidTr="00BA5E1B">
        <w:tblPrEx>
          <w:tblW w:w="9620" w:type="dxa"/>
          <w:tblLayout w:type="fixed"/>
          <w:tblLook w:val="04A0"/>
        </w:tblPrEx>
        <w:trPr>
          <w:cantSplit/>
        </w:trPr>
        <w:tc>
          <w:tcPr>
            <w:tcW w:w="7010" w:type="dxa"/>
          </w:tcPr>
          <w:p w:rsidR="00CB03DF" w:rsidRPr="001376EC" w:rsidP="00AB5AC8" w14:paraId="6407E718" w14:textId="0766617A">
            <w:pPr>
              <w:pStyle w:val="Table11Basic"/>
            </w:pPr>
            <w:r w:rsidRPr="00871E51">
              <w:rPr>
                <w:rFonts w:eastAsia="Calibri"/>
              </w:rPr>
              <w:t xml:space="preserve">Cost </w:t>
            </w:r>
            <w:r w:rsidRPr="3B55EED5" w:rsidR="0268238B">
              <w:rPr>
                <w:rFonts w:eastAsia="Calibri"/>
              </w:rPr>
              <w:t>p</w:t>
            </w:r>
            <w:r w:rsidRPr="3B55EED5">
              <w:rPr>
                <w:rFonts w:eastAsia="Calibri"/>
              </w:rPr>
              <w:t>er</w:t>
            </w:r>
            <w:r w:rsidRPr="00871E51">
              <w:rPr>
                <w:rFonts w:eastAsia="Calibri"/>
              </w:rPr>
              <w:t xml:space="preserve"> </w:t>
            </w:r>
            <w:r>
              <w:rPr>
                <w:rFonts w:eastAsia="Calibri"/>
              </w:rPr>
              <w:t>Application</w:t>
            </w:r>
            <w:r w:rsidRPr="00871E51">
              <w:rPr>
                <w:rFonts w:eastAsia="Calibri"/>
              </w:rPr>
              <w:t xml:space="preserve"> </w:t>
            </w:r>
            <w:r w:rsidRPr="76345212" w:rsidR="5899C642">
              <w:rPr>
                <w:rFonts w:eastAsia="Calibri"/>
              </w:rPr>
              <w:t>at Labor Cost Computer Systems Analyst</w:t>
            </w:r>
            <w:r w:rsidRPr="00871E51">
              <w:rPr>
                <w:rFonts w:eastAsia="Calibri"/>
              </w:rPr>
              <w:t xml:space="preserve"> of $</w:t>
            </w:r>
            <w:r w:rsidR="00051B4D">
              <w:rPr>
                <w:rFonts w:eastAsia="Calibri"/>
              </w:rPr>
              <w:t>106.54</w:t>
            </w:r>
            <w:r w:rsidRPr="00871E51">
              <w:rPr>
                <w:rFonts w:eastAsia="Calibri"/>
              </w:rPr>
              <w:t>/hr) (</w:t>
            </w:r>
            <w:r>
              <w:rPr>
                <w:rFonts w:eastAsia="Calibri"/>
              </w:rPr>
              <w:t>d</w:t>
            </w:r>
            <w:r w:rsidRPr="00871E51">
              <w:rPr>
                <w:rFonts w:eastAsia="Calibri"/>
              </w:rPr>
              <w:t>)</w:t>
            </w:r>
            <w:r>
              <w:rPr>
                <w:rFonts w:eastAsia="Calibri"/>
              </w:rPr>
              <w:t xml:space="preserve"> = (b) [</w:t>
            </w:r>
            <w:r w:rsidR="00E9230F">
              <w:t>×</w:t>
            </w:r>
            <w:r>
              <w:rPr>
                <w:rFonts w:eastAsia="Calibri"/>
              </w:rPr>
              <w:t>] $</w:t>
            </w:r>
            <w:r w:rsidR="00051B4D">
              <w:rPr>
                <w:rFonts w:eastAsia="Calibri"/>
              </w:rPr>
              <w:t>106.54</w:t>
            </w:r>
            <w:r>
              <w:rPr>
                <w:rFonts w:eastAsia="Calibri"/>
              </w:rPr>
              <w:t>/hr</w:t>
            </w:r>
          </w:p>
        </w:tc>
        <w:tc>
          <w:tcPr>
            <w:tcW w:w="2610" w:type="dxa"/>
          </w:tcPr>
          <w:p w:rsidR="00CB03DF" w:rsidRPr="001376EC" w:rsidP="00AB5AC8" w14:paraId="1E397563" w14:textId="4452AD9B">
            <w:pPr>
              <w:pStyle w:val="Table11Centered"/>
            </w:pPr>
            <w:r w:rsidRPr="00871E51">
              <w:rPr>
                <w:rFonts w:eastAsia="Calibri"/>
              </w:rPr>
              <w:t>$</w:t>
            </w:r>
            <w:r w:rsidR="00051B4D">
              <w:rPr>
                <w:rFonts w:eastAsia="Calibri"/>
              </w:rPr>
              <w:t>1,</w:t>
            </w:r>
            <w:r w:rsidR="00F61143">
              <w:rPr>
                <w:rFonts w:eastAsia="Calibri"/>
              </w:rPr>
              <w:t>065.40</w:t>
            </w:r>
          </w:p>
        </w:tc>
      </w:tr>
      <w:tr w14:paraId="7EF9C0C8" w14:textId="00E46365" w:rsidTr="00BA5E1B">
        <w:tblPrEx>
          <w:tblW w:w="9620" w:type="dxa"/>
          <w:tblLayout w:type="fixed"/>
          <w:tblLook w:val="04A0"/>
        </w:tblPrEx>
        <w:trPr>
          <w:cantSplit/>
        </w:trPr>
        <w:tc>
          <w:tcPr>
            <w:tcW w:w="7010" w:type="dxa"/>
            <w:shd w:val="clear" w:color="auto" w:fill="E7E6E6" w:themeFill="background2"/>
            <w:hideMark/>
          </w:tcPr>
          <w:p w:rsidR="00CB03DF" w:rsidRPr="001376EC" w:rsidP="00AB5AC8" w14:paraId="7F1A1E61" w14:textId="0DCCCE5C">
            <w:pPr>
              <w:pStyle w:val="Table11Basic"/>
              <w:rPr>
                <w:rFonts w:eastAsia="Calibri"/>
                <w:b/>
                <w:bCs/>
              </w:rPr>
            </w:pPr>
            <w:r w:rsidRPr="001376EC">
              <w:rPr>
                <w:rFonts w:eastAsia="Calibri"/>
                <w:b/>
                <w:bCs/>
              </w:rPr>
              <w:t>Total Annual Cost (</w:t>
            </w:r>
            <w:r>
              <w:rPr>
                <w:rFonts w:eastAsia="Calibri"/>
                <w:b/>
                <w:bCs/>
              </w:rPr>
              <w:t>e)</w:t>
            </w:r>
            <w:r w:rsidRPr="001376EC">
              <w:rPr>
                <w:rFonts w:eastAsia="Calibri"/>
                <w:b/>
                <w:bCs/>
              </w:rPr>
              <w:t xml:space="preserve"> = (a) </w:t>
            </w:r>
            <w:r>
              <w:rPr>
                <w:rFonts w:eastAsia="Calibri"/>
                <w:b/>
                <w:bCs/>
              </w:rPr>
              <w:t>[</w:t>
            </w:r>
            <w:r w:rsidRPr="00E9230F" w:rsidR="00E9230F">
              <w:rPr>
                <w:b/>
                <w:bCs/>
              </w:rPr>
              <w:t>×</w:t>
            </w:r>
            <w:r>
              <w:rPr>
                <w:rFonts w:eastAsia="Calibri"/>
                <w:b/>
                <w:bCs/>
              </w:rPr>
              <w:t>]</w:t>
            </w:r>
            <w:r w:rsidRPr="00502002">
              <w:rPr>
                <w:rFonts w:eastAsia="Calibri"/>
                <w:b/>
                <w:bCs/>
              </w:rPr>
              <w:t xml:space="preserve"> </w:t>
            </w:r>
            <w:r w:rsidRPr="001376EC">
              <w:rPr>
                <w:rFonts w:eastAsia="Calibri"/>
                <w:b/>
                <w:bCs/>
              </w:rPr>
              <w:t>(</w:t>
            </w:r>
            <w:r>
              <w:rPr>
                <w:rFonts w:eastAsia="Calibri"/>
                <w:b/>
                <w:bCs/>
              </w:rPr>
              <w:t>d</w:t>
            </w:r>
            <w:r w:rsidRPr="001376EC">
              <w:rPr>
                <w:rFonts w:eastAsia="Calibri"/>
                <w:b/>
                <w:bCs/>
              </w:rPr>
              <w:t>)</w:t>
            </w:r>
            <w:r>
              <w:rPr>
                <w:rFonts w:eastAsia="Calibri"/>
                <w:b/>
                <w:bCs/>
              </w:rPr>
              <w:t xml:space="preserve"> </w:t>
            </w:r>
          </w:p>
        </w:tc>
        <w:tc>
          <w:tcPr>
            <w:tcW w:w="2610" w:type="dxa"/>
            <w:shd w:val="clear" w:color="auto" w:fill="E7E6E6" w:themeFill="background2"/>
          </w:tcPr>
          <w:p w:rsidR="00CB03DF" w:rsidRPr="001376EC" w:rsidP="00AB5AC8" w14:paraId="280C67E0" w14:textId="32DAE4C2">
            <w:pPr>
              <w:pStyle w:val="Table11Centered"/>
              <w:rPr>
                <w:rFonts w:eastAsia="Calibri"/>
                <w:b/>
                <w:bCs/>
              </w:rPr>
            </w:pPr>
            <w:r w:rsidRPr="001376EC">
              <w:rPr>
                <w:rFonts w:eastAsia="Calibri"/>
                <w:b/>
                <w:bCs/>
              </w:rPr>
              <w:t>$</w:t>
            </w:r>
            <w:r w:rsidR="00141AD7">
              <w:rPr>
                <w:rFonts w:eastAsia="Calibri"/>
                <w:b/>
                <w:bCs/>
              </w:rPr>
              <w:t>43,681</w:t>
            </w:r>
          </w:p>
        </w:tc>
      </w:tr>
    </w:tbl>
    <w:p w:rsidR="00947579" w:rsidRPr="00077DD0" w:rsidP="00E03843" w14:paraId="7E6C8157" w14:textId="5A3B4639">
      <w:pPr>
        <w:pStyle w:val="Heading5"/>
      </w:pPr>
      <w:r>
        <w:t>iv.</w:t>
      </w:r>
      <w:r>
        <w:tab/>
      </w:r>
      <w:r w:rsidRPr="00077DD0">
        <w:t xml:space="preserve">Burden for </w:t>
      </w:r>
      <w:r w:rsidRPr="00077DD0" w:rsidR="00D840E6">
        <w:t xml:space="preserve">Full </w:t>
      </w:r>
      <w:r w:rsidRPr="00077DD0">
        <w:t xml:space="preserve">QCDR Self-Nomination Process and </w:t>
      </w:r>
      <w:r w:rsidRPr="00077DD0" w:rsidR="00C864AA">
        <w:t>QCDR Measure Submission</w:t>
      </w:r>
    </w:p>
    <w:p w:rsidR="00947579" w:rsidRPr="003D29BA" w:rsidP="0067016B" w14:paraId="1C888535" w14:textId="33F6A222">
      <w:pPr>
        <w:pStyle w:val="BodyText-PostHead"/>
        <w:spacing w:before="240"/>
        <w:rPr>
          <w:rFonts w:eastAsia="Calibri"/>
        </w:rPr>
      </w:pPr>
      <w:r>
        <w:rPr>
          <w:rFonts w:eastAsia="Calibri"/>
        </w:rPr>
        <w:t xml:space="preserve">New </w:t>
      </w:r>
      <w:r w:rsidRPr="0076539F">
        <w:rPr>
          <w:rFonts w:eastAsia="Calibri"/>
        </w:rPr>
        <w:t>Q</w:t>
      </w:r>
      <w:r>
        <w:rPr>
          <w:rFonts w:eastAsia="Calibri"/>
        </w:rPr>
        <w:t>CDRs</w:t>
      </w:r>
      <w:r w:rsidRPr="0076539F">
        <w:rPr>
          <w:rFonts w:eastAsia="Calibri"/>
        </w:rPr>
        <w:t xml:space="preserve"> interested in submitting MIPS data to us on their participants’ behalf need to complete a self-nomination process to be considered </w:t>
      </w:r>
      <w:r>
        <w:rPr>
          <w:rFonts w:eastAsia="Calibri"/>
        </w:rPr>
        <w:t>for approval to do so</w:t>
      </w:r>
      <w:r w:rsidRPr="0076539F">
        <w:rPr>
          <w:rFonts w:eastAsia="Calibri"/>
        </w:rPr>
        <w:t xml:space="preserve"> (82 FR 53815).</w:t>
      </w:r>
      <w:r>
        <w:rPr>
          <w:rFonts w:eastAsia="Calibri"/>
        </w:rPr>
        <w:t xml:space="preserve"> </w:t>
      </w:r>
      <w:r w:rsidRPr="006C31CB">
        <w:rPr>
          <w:rFonts w:eastAsia="Calibri"/>
        </w:rPr>
        <w:t>The self-nomination period is from July 1 to September 1 of the calendar year prior to the applicable performance period.</w:t>
      </w:r>
    </w:p>
    <w:p w:rsidR="00947579" w:rsidP="00723AB8" w14:paraId="3EFD39BE" w14:textId="39719415">
      <w:pPr>
        <w:pStyle w:val="BodyText"/>
        <w:rPr>
          <w:rFonts w:eastAsia="Calibri"/>
        </w:rPr>
      </w:pPr>
      <w:r>
        <w:t xml:space="preserve">Based on the number of applications </w:t>
      </w:r>
      <w:r w:rsidR="33F65EBB">
        <w:t>we receive</w:t>
      </w:r>
      <w:r w:rsidR="00350CEB">
        <w:t>d</w:t>
      </w:r>
      <w:r>
        <w:t xml:space="preserve"> under the </w:t>
      </w:r>
      <w:r w:rsidR="4D40237D">
        <w:t>full QCDR self-</w:t>
      </w:r>
      <w:r w:rsidR="7FFD3D7B">
        <w:t>nomination</w:t>
      </w:r>
      <w:r w:rsidR="4D40237D">
        <w:t xml:space="preserve"> </w:t>
      </w:r>
      <w:r w:rsidRPr="00287E3D" w:rsidR="4D40237D">
        <w:t xml:space="preserve">process </w:t>
      </w:r>
      <w:r w:rsidRPr="00287E3D" w:rsidR="3C4129E7">
        <w:t xml:space="preserve">for </w:t>
      </w:r>
      <w:r w:rsidRPr="00287E3D" w:rsidR="4D40237D">
        <w:t xml:space="preserve">the </w:t>
      </w:r>
      <w:r w:rsidRPr="00287E3D" w:rsidR="19246F05">
        <w:t xml:space="preserve">CY </w:t>
      </w:r>
      <w:r w:rsidRPr="00287E3D" w:rsidR="4D40237D">
        <w:t>202</w:t>
      </w:r>
      <w:r w:rsidRPr="001C02A4" w:rsidR="3BFB41EA">
        <w:t>4</w:t>
      </w:r>
      <w:r w:rsidRPr="00287E3D" w:rsidR="4D40237D">
        <w:t xml:space="preserve"> self-nomination</w:t>
      </w:r>
      <w:r w:rsidR="4D40237D">
        <w:t xml:space="preserve"> period, w</w:t>
      </w:r>
      <w:r w:rsidR="7CFF9D5F">
        <w:t xml:space="preserve">e estimate that </w:t>
      </w:r>
      <w:r w:rsidR="35D399B6">
        <w:t>1</w:t>
      </w:r>
      <w:r w:rsidR="00DD3268">
        <w:t>1</w:t>
      </w:r>
      <w:r w:rsidR="7CFF9D5F">
        <w:t xml:space="preserve"> QCDRs will self-nominate under the </w:t>
      </w:r>
      <w:r w:rsidR="35D399B6">
        <w:t>full</w:t>
      </w:r>
      <w:r w:rsidR="7CFF9D5F">
        <w:t xml:space="preserve"> </w:t>
      </w:r>
      <w:r w:rsidR="649B152C">
        <w:t xml:space="preserve">QCDR self-nomination </w:t>
      </w:r>
      <w:r w:rsidR="7CFF9D5F">
        <w:t>process for the CY 202</w:t>
      </w:r>
      <w:r w:rsidR="17C42BE6">
        <w:t>5</w:t>
      </w:r>
      <w:r w:rsidR="7CFF9D5F">
        <w:t xml:space="preserve"> performance period/202</w:t>
      </w:r>
      <w:r w:rsidR="17C42BE6">
        <w:t>7</w:t>
      </w:r>
      <w:r w:rsidR="7CFF9D5F">
        <w:t xml:space="preserve"> MIPS payment year. </w:t>
      </w:r>
      <w:r w:rsidR="0BC69576">
        <w:t>We estimate that it will take 2</w:t>
      </w:r>
      <w:r w:rsidR="5C5D8531">
        <w:t>.5</w:t>
      </w:r>
      <w:r w:rsidR="0BC69576">
        <w:t xml:space="preserve"> hours for a QCDR to submit an application under the full self-nomination process. Additionally, we estimate that each QCDR will submit 1</w:t>
      </w:r>
      <w:r w:rsidR="005A2203">
        <w:t>3</w:t>
      </w:r>
      <w:r w:rsidR="0BC69576">
        <w:t xml:space="preserve"> measures on average, approximately </w:t>
      </w:r>
      <w:r w:rsidR="005A2203">
        <w:t>2</w:t>
      </w:r>
      <w:r w:rsidR="0BC69576">
        <w:t xml:space="preserve"> new measures and 1</w:t>
      </w:r>
      <w:r w:rsidR="4DA97462">
        <w:t>1</w:t>
      </w:r>
      <w:r w:rsidR="0BC69576">
        <w:t xml:space="preserve"> existing or borrowed measures</w:t>
      </w:r>
      <w:r w:rsidR="5D6CC1C5">
        <w:t>, per QCDR</w:t>
      </w:r>
      <w:r w:rsidR="0BC69576">
        <w:t>.</w:t>
      </w:r>
      <w:r w:rsidR="43D5CF85">
        <w:t xml:space="preserve"> </w:t>
      </w:r>
      <w:r w:rsidR="0BC69576">
        <w:t xml:space="preserve">We estimate that it will take 2 hours for a QCDR to submit a new measure and 0.5 hours to submit an existing measure. In aggregate, we estimate that it will take </w:t>
      </w:r>
      <w:r w:rsidR="00D54596">
        <w:t>12</w:t>
      </w:r>
      <w:r w:rsidR="0BC69576">
        <w:t xml:space="preserve"> hours </w:t>
      </w:r>
      <w:r w:rsidR="0BC69576">
        <w:t>[</w:t>
      </w:r>
      <w:r w:rsidR="715A691E">
        <w:t>2</w:t>
      </w:r>
      <w:r w:rsidR="5C5D8531">
        <w:t>.5</w:t>
      </w:r>
      <w:r w:rsidR="715A691E">
        <w:t xml:space="preserve"> hours </w:t>
      </w:r>
      <w:r w:rsidR="0BC69576">
        <w:t xml:space="preserve">for the </w:t>
      </w:r>
      <w:r w:rsidR="715A691E">
        <w:t>full</w:t>
      </w:r>
      <w:r w:rsidR="0BC69576">
        <w:t xml:space="preserve"> self- nomination process +</w:t>
      </w:r>
      <w:r w:rsidR="2454F9A8">
        <w:t xml:space="preserve"> </w:t>
      </w:r>
      <w:r w:rsidR="00C27CA5">
        <w:t>(</w:t>
      </w:r>
      <w:r w:rsidR="00715612">
        <w:t xml:space="preserve">2 </w:t>
      </w:r>
      <w:r w:rsidR="00A939C5">
        <w:t>hr</w:t>
      </w:r>
      <w:r w:rsidR="00715612">
        <w:t xml:space="preserve"> per new measure </w:t>
      </w:r>
      <w:r w:rsidR="00832F3F">
        <w:t>×</w:t>
      </w:r>
      <w:r w:rsidR="00715612">
        <w:t xml:space="preserve"> 2 measures) + (</w:t>
      </w:r>
      <w:r w:rsidR="008160AA">
        <w:t xml:space="preserve">0.5 </w:t>
      </w:r>
      <w:r w:rsidR="00A939C5">
        <w:t>hr</w:t>
      </w:r>
      <w:r w:rsidR="008160AA">
        <w:t xml:space="preserve"> per existing or borrowed measure </w:t>
      </w:r>
      <w:r w:rsidR="00832F3F">
        <w:t>×</w:t>
      </w:r>
      <w:r w:rsidR="008160AA">
        <w:t xml:space="preserve"> 11 measures)] </w:t>
      </w:r>
      <w:r w:rsidR="0BC69576">
        <w:t xml:space="preserve">for a QCDR to submit an application under the </w:t>
      </w:r>
      <w:r w:rsidR="2667DDC7">
        <w:t>full</w:t>
      </w:r>
      <w:r w:rsidR="0BC69576">
        <w:t xml:space="preserve"> self-nomination process. </w:t>
      </w:r>
      <w:r w:rsidR="006E028F">
        <w:t xml:space="preserve">On average, the time to nominate each measure is approximately </w:t>
      </w:r>
      <w:r w:rsidR="00602F42">
        <w:t>0</w:t>
      </w:r>
      <w:r w:rsidR="006E028F">
        <w:t xml:space="preserve">.73 hours per measure. </w:t>
      </w:r>
      <w:r w:rsidR="7CFF9D5F">
        <w:t xml:space="preserve">We assume that the staff involved in the </w:t>
      </w:r>
      <w:r w:rsidR="5EB72535">
        <w:t xml:space="preserve">full </w:t>
      </w:r>
      <w:r w:rsidR="35D399B6">
        <w:t>QCDR</w:t>
      </w:r>
      <w:r w:rsidR="7CFF9D5F">
        <w:t xml:space="preserve"> self-nomination process will be computer systems analysts or their equivalent, who have an average labor rate of </w:t>
      </w:r>
      <w:bookmarkStart w:id="86" w:name="_1777393467"/>
      <w:bookmarkStart w:id="87" w:name="_1777391978"/>
      <w:bookmarkStart w:id="88" w:name="_1777204917"/>
      <w:bookmarkStart w:id="89" w:name="_1777365807"/>
      <w:bookmarkEnd w:id="86"/>
      <w:bookmarkEnd w:id="87"/>
      <w:bookmarkEnd w:id="88"/>
      <w:bookmarkEnd w:id="89"/>
      <w:r w:rsidR="3C869341">
        <w:t>$106.54</w:t>
      </w:r>
      <w:r w:rsidR="7CFF9D5F">
        <w:t>/hr. We estimate the burden per response would be $</w:t>
      </w:r>
      <w:r w:rsidR="35D399B6">
        <w:t>1,</w:t>
      </w:r>
      <w:r w:rsidR="0049691B">
        <w:t>278.48</w:t>
      </w:r>
      <w:r w:rsidR="7CFF9D5F">
        <w:t xml:space="preserve"> (</w:t>
      </w:r>
      <w:r w:rsidR="0049691B">
        <w:t>12</w:t>
      </w:r>
      <w:r w:rsidR="7CFF9D5F">
        <w:t xml:space="preserve"> hr </w:t>
      </w:r>
      <w:r w:rsidR="00832F3F">
        <w:t>×</w:t>
      </w:r>
      <w:bookmarkStart w:id="90" w:name="_1777393473"/>
      <w:bookmarkStart w:id="91" w:name="_1777391985"/>
      <w:bookmarkStart w:id="92" w:name="_1777204923"/>
      <w:bookmarkStart w:id="93" w:name="_1777365813"/>
      <w:bookmarkEnd w:id="90"/>
      <w:bookmarkEnd w:id="91"/>
      <w:bookmarkEnd w:id="92"/>
      <w:bookmarkEnd w:id="93"/>
      <w:r w:rsidR="3C869341">
        <w:t xml:space="preserve"> $106.54</w:t>
      </w:r>
      <w:r w:rsidR="7CFF9D5F">
        <w:t xml:space="preserve">/hr). In aggregate, </w:t>
      </w:r>
      <w:r w:rsidRPr="5B5F5372" w:rsidR="7CFF9D5F">
        <w:rPr>
          <w:rFonts w:eastAsia="Calibri"/>
        </w:rPr>
        <w:t xml:space="preserve">as shown in Table 6, we estimate that the annual burden for the </w:t>
      </w:r>
      <w:r w:rsidRPr="5B5F5372" w:rsidR="44B382F3">
        <w:rPr>
          <w:rFonts w:eastAsia="Calibri"/>
        </w:rPr>
        <w:t xml:space="preserve">full </w:t>
      </w:r>
      <w:r w:rsidRPr="5B5F5372" w:rsidR="7CFF9D5F">
        <w:rPr>
          <w:rFonts w:eastAsia="Calibri"/>
        </w:rPr>
        <w:t>QCDR self-nomination process w</w:t>
      </w:r>
      <w:r w:rsidRPr="5B5F5372" w:rsidR="1C681B6F">
        <w:rPr>
          <w:rFonts w:eastAsia="Calibri"/>
        </w:rPr>
        <w:t>ill</w:t>
      </w:r>
      <w:r w:rsidRPr="5B5F5372" w:rsidR="7CFF9D5F">
        <w:rPr>
          <w:rFonts w:eastAsia="Calibri"/>
        </w:rPr>
        <w:t xml:space="preserve"> be </w:t>
      </w:r>
      <w:r w:rsidR="00677399">
        <w:rPr>
          <w:rFonts w:eastAsia="Calibri"/>
        </w:rPr>
        <w:t xml:space="preserve">132 </w:t>
      </w:r>
      <w:r w:rsidRPr="5B5F5372" w:rsidR="7CFF9D5F">
        <w:rPr>
          <w:rFonts w:eastAsia="Calibri"/>
        </w:rPr>
        <w:t>hours (</w:t>
      </w:r>
      <w:r w:rsidRPr="5B5F5372" w:rsidR="35D399B6">
        <w:rPr>
          <w:rFonts w:eastAsia="Calibri"/>
        </w:rPr>
        <w:t>1</w:t>
      </w:r>
      <w:r w:rsidR="0083364B">
        <w:rPr>
          <w:rFonts w:eastAsia="Calibri"/>
        </w:rPr>
        <w:t>1</w:t>
      </w:r>
      <w:r w:rsidRPr="5B5F5372" w:rsidR="7CFF9D5F">
        <w:rPr>
          <w:rFonts w:eastAsia="Calibri"/>
        </w:rPr>
        <w:t xml:space="preserve"> applications </w:t>
      </w:r>
      <w:r w:rsidR="00832F3F">
        <w:t>×</w:t>
      </w:r>
      <w:r w:rsidRPr="5B5F5372" w:rsidR="7CFF9D5F">
        <w:rPr>
          <w:rFonts w:eastAsia="Calibri"/>
        </w:rPr>
        <w:t xml:space="preserve"> </w:t>
      </w:r>
      <w:r w:rsidR="0083364B">
        <w:rPr>
          <w:rFonts w:eastAsia="Calibri"/>
        </w:rPr>
        <w:t>12</w:t>
      </w:r>
      <w:r w:rsidRPr="5B5F5372" w:rsidR="338FC18F">
        <w:rPr>
          <w:rFonts w:eastAsia="Calibri"/>
        </w:rPr>
        <w:t xml:space="preserve"> </w:t>
      </w:r>
      <w:r w:rsidRPr="5B5F5372" w:rsidR="7CFF9D5F">
        <w:rPr>
          <w:rFonts w:eastAsia="Calibri"/>
        </w:rPr>
        <w:t>hr) at a cost of $</w:t>
      </w:r>
      <w:r w:rsidR="00677399">
        <w:rPr>
          <w:rFonts w:eastAsia="Calibri"/>
        </w:rPr>
        <w:t>14,063</w:t>
      </w:r>
      <w:r w:rsidRPr="5B5F5372" w:rsidR="7CFF9D5F">
        <w:rPr>
          <w:rFonts w:eastAsia="Calibri"/>
        </w:rPr>
        <w:t xml:space="preserve"> (</w:t>
      </w:r>
      <w:r w:rsidRPr="5B5F5372" w:rsidR="35D399B6">
        <w:rPr>
          <w:rFonts w:eastAsia="Calibri"/>
        </w:rPr>
        <w:t>1</w:t>
      </w:r>
      <w:r w:rsidR="00677399">
        <w:rPr>
          <w:rFonts w:eastAsia="Calibri"/>
        </w:rPr>
        <w:t>1</w:t>
      </w:r>
      <w:r w:rsidRPr="5B5F5372" w:rsidR="7CFF9D5F">
        <w:rPr>
          <w:rFonts w:eastAsia="Calibri"/>
        </w:rPr>
        <w:t xml:space="preserve"> applications </w:t>
      </w:r>
      <w:r w:rsidR="00832F3F">
        <w:t>×</w:t>
      </w:r>
      <w:r w:rsidRPr="5B5F5372" w:rsidR="7CFF9D5F">
        <w:rPr>
          <w:rFonts w:eastAsia="Calibri"/>
        </w:rPr>
        <w:t xml:space="preserve"> $</w:t>
      </w:r>
      <w:r w:rsidRPr="5B5F5372" w:rsidR="35D399B6">
        <w:rPr>
          <w:rFonts w:eastAsia="Calibri"/>
        </w:rPr>
        <w:t>1,</w:t>
      </w:r>
      <w:r w:rsidR="00677399">
        <w:rPr>
          <w:rFonts w:eastAsia="Calibri"/>
        </w:rPr>
        <w:t>278</w:t>
      </w:r>
      <w:r w:rsidR="008C4B48">
        <w:rPr>
          <w:rFonts w:eastAsia="Calibri"/>
        </w:rPr>
        <w:t>.48</w:t>
      </w:r>
      <w:r w:rsidRPr="5B5F5372" w:rsidR="7CFF9D5F">
        <w:rPr>
          <w:rFonts w:eastAsia="Calibri"/>
        </w:rPr>
        <w:t xml:space="preserve">/application). </w:t>
      </w:r>
    </w:p>
    <w:p w:rsidR="00947579" w:rsidRPr="004A78E6" w:rsidP="00723AB8" w14:paraId="139CF193" w14:textId="6692BF10">
      <w:pPr>
        <w:pStyle w:val="ExhibitTitle"/>
        <w:rPr>
          <w:b w:val="0"/>
          <w:bCs/>
        </w:rPr>
      </w:pPr>
      <w:r w:rsidRPr="004A78E6">
        <w:rPr>
          <w:b w:val="0"/>
          <w:bCs/>
        </w:rPr>
        <w:t>T</w:t>
      </w:r>
      <w:r w:rsidRPr="004A78E6" w:rsidR="00C32539">
        <w:rPr>
          <w:b w:val="0"/>
          <w:bCs/>
        </w:rPr>
        <w:t>able</w:t>
      </w:r>
      <w:r w:rsidRPr="004A78E6">
        <w:rPr>
          <w:b w:val="0"/>
          <w:bCs/>
        </w:rPr>
        <w:t xml:space="preserve"> 6: Estimated Burden for </w:t>
      </w:r>
      <w:r w:rsidRPr="004A78E6" w:rsidR="00D70EEF">
        <w:rPr>
          <w:b w:val="0"/>
          <w:bCs/>
        </w:rPr>
        <w:t xml:space="preserve">Full </w:t>
      </w:r>
      <w:r w:rsidRPr="004A78E6">
        <w:rPr>
          <w:b w:val="0"/>
          <w:bCs/>
        </w:rPr>
        <w:t>QCDR Self-Nomination</w:t>
      </w:r>
      <w:r w:rsidRPr="004A78E6" w:rsidR="003A40EC">
        <w:rPr>
          <w:b w:val="0"/>
          <w:bCs/>
        </w:rPr>
        <w:t xml:space="preserve"> and QCDR Measure Submission</w:t>
      </w:r>
    </w:p>
    <w:tbl>
      <w:tblPr>
        <w:tblStyle w:val="TableGrid"/>
        <w:tblDescription w:val="Table 6: the estimated burden for new Q C D R s submitting a self-nomination application under the full self-nomination process."/>
        <w:tblW w:w="9620" w:type="dxa"/>
        <w:tblLayout w:type="fixed"/>
        <w:tblLook w:val="04A0"/>
      </w:tblPr>
      <w:tblGrid>
        <w:gridCol w:w="7010"/>
        <w:gridCol w:w="2610"/>
      </w:tblGrid>
      <w:tr w14:paraId="5F7E0B8A" w14:textId="77777777" w:rsidTr="00EB03A4">
        <w:tblPrEx>
          <w:tblW w:w="9620" w:type="dxa"/>
          <w:tblLayout w:type="fixed"/>
          <w:tblLook w:val="04A0"/>
        </w:tblPrEx>
        <w:trPr>
          <w:cantSplit/>
          <w:tblHeader/>
        </w:trPr>
        <w:tc>
          <w:tcPr>
            <w:tcW w:w="7010" w:type="dxa"/>
          </w:tcPr>
          <w:p w:rsidR="00947579" w:rsidRPr="00B05B18" w:rsidP="00DE32C0" w14:paraId="06EC5179" w14:textId="248FE8A1">
            <w:pPr>
              <w:pStyle w:val="Table11-ColumnHeading"/>
              <w:keepNext/>
              <w:keepLines/>
            </w:pPr>
            <w:r>
              <w:t>Burden and Respondent Descriptions</w:t>
            </w:r>
          </w:p>
        </w:tc>
        <w:tc>
          <w:tcPr>
            <w:tcW w:w="2610" w:type="dxa"/>
          </w:tcPr>
          <w:p w:rsidR="00947579" w:rsidRPr="007C52BE" w:rsidP="00DE32C0" w14:paraId="32FE43DC" w14:textId="7C9C4835">
            <w:pPr>
              <w:pStyle w:val="Table11-ColumnHeading"/>
              <w:keepNext/>
              <w:keepLines/>
            </w:pPr>
            <w:r>
              <w:rPr>
                <w:rFonts w:eastAsia="Calibri"/>
              </w:rPr>
              <w:t>Burden Estimate</w:t>
            </w:r>
          </w:p>
        </w:tc>
      </w:tr>
      <w:tr w14:paraId="79F33054" w14:textId="77777777" w:rsidTr="00EB03A4">
        <w:tblPrEx>
          <w:tblW w:w="9620" w:type="dxa"/>
          <w:tblLayout w:type="fixed"/>
          <w:tblLook w:val="04A0"/>
        </w:tblPrEx>
        <w:trPr>
          <w:cantSplit/>
        </w:trPr>
        <w:tc>
          <w:tcPr>
            <w:tcW w:w="7010" w:type="dxa"/>
          </w:tcPr>
          <w:p w:rsidR="00947579" w:rsidRPr="007C52BE" w:rsidP="00DE32C0" w14:paraId="018D84F4" w14:textId="733865D3">
            <w:pPr>
              <w:pStyle w:val="Table11Basic"/>
              <w:keepNext/>
              <w:keepLines/>
            </w:pPr>
            <w:r w:rsidRPr="00871E51">
              <w:rPr>
                <w:rFonts w:eastAsia="Calibri"/>
              </w:rPr>
              <w:t xml:space="preserve"># of </w:t>
            </w:r>
            <w:r w:rsidRPr="76345212" w:rsidR="42AF0A6D">
              <w:rPr>
                <w:rFonts w:eastAsia="Calibri"/>
              </w:rPr>
              <w:t xml:space="preserve">Full </w:t>
            </w:r>
            <w:r w:rsidRPr="00871E51">
              <w:rPr>
                <w:rFonts w:eastAsia="Calibri"/>
              </w:rPr>
              <w:t>Q</w:t>
            </w:r>
            <w:r>
              <w:rPr>
                <w:rFonts w:eastAsia="Calibri"/>
              </w:rPr>
              <w:t>CDR</w:t>
            </w:r>
            <w:r w:rsidRPr="00871E51">
              <w:rPr>
                <w:rFonts w:eastAsia="Calibri"/>
              </w:rPr>
              <w:t xml:space="preserve"> Self-Nomination Applications </w:t>
            </w:r>
            <w:r w:rsidRPr="76345212" w:rsidR="51FDCF41">
              <w:rPr>
                <w:rFonts w:eastAsia="Calibri"/>
              </w:rPr>
              <w:t>S</w:t>
            </w:r>
            <w:r w:rsidRPr="76345212">
              <w:rPr>
                <w:rFonts w:eastAsia="Calibri"/>
              </w:rPr>
              <w:t>ubmitted</w:t>
            </w:r>
            <w:r w:rsidR="00ED052D">
              <w:rPr>
                <w:rFonts w:eastAsia="Calibri"/>
              </w:rPr>
              <w:t xml:space="preserve"> </w:t>
            </w:r>
            <w:r w:rsidRPr="00871E51">
              <w:rPr>
                <w:rFonts w:eastAsia="Calibri"/>
              </w:rPr>
              <w:t>(a)</w:t>
            </w:r>
          </w:p>
        </w:tc>
        <w:tc>
          <w:tcPr>
            <w:tcW w:w="2610" w:type="dxa"/>
          </w:tcPr>
          <w:p w:rsidR="00947579" w:rsidRPr="007C52BE" w:rsidP="00DE32C0" w14:paraId="2D32339F" w14:textId="2561F01A">
            <w:pPr>
              <w:pStyle w:val="Table11Centered"/>
              <w:keepNext/>
              <w:keepLines/>
            </w:pPr>
            <w:r>
              <w:rPr>
                <w:rFonts w:eastAsia="Calibri"/>
              </w:rPr>
              <w:t>1</w:t>
            </w:r>
            <w:r w:rsidR="008C4B48">
              <w:rPr>
                <w:rFonts w:eastAsia="Calibri"/>
              </w:rPr>
              <w:t>1</w:t>
            </w:r>
          </w:p>
        </w:tc>
      </w:tr>
      <w:tr w14:paraId="2F2CC556" w14:textId="77777777" w:rsidTr="00EB03A4">
        <w:tblPrEx>
          <w:tblW w:w="9620" w:type="dxa"/>
          <w:tblLayout w:type="fixed"/>
          <w:tblLook w:val="04A0"/>
        </w:tblPrEx>
        <w:trPr>
          <w:cantSplit/>
        </w:trPr>
        <w:tc>
          <w:tcPr>
            <w:tcW w:w="7010" w:type="dxa"/>
          </w:tcPr>
          <w:p w:rsidR="00947579" w:rsidRPr="007C52BE" w:rsidP="00DE32C0" w14:paraId="0191FC7F" w14:textId="7377165B">
            <w:pPr>
              <w:pStyle w:val="Table11Basic"/>
              <w:keepNext/>
              <w:keepLines/>
              <w:rPr>
                <w:rFonts w:eastAsia="Calibri"/>
              </w:rPr>
            </w:pPr>
            <w:r w:rsidRPr="76345212">
              <w:rPr>
                <w:rFonts w:eastAsia="Calibri"/>
              </w:rPr>
              <w:t>Annual</w:t>
            </w:r>
            <w:r>
              <w:rPr>
                <w:rFonts w:eastAsia="Calibri"/>
              </w:rPr>
              <w:t xml:space="preserve"> Hours per</w:t>
            </w:r>
            <w:r w:rsidRPr="00871E51">
              <w:rPr>
                <w:rFonts w:eastAsia="Calibri"/>
              </w:rPr>
              <w:t xml:space="preserve"> Q</w:t>
            </w:r>
            <w:r>
              <w:rPr>
                <w:rFonts w:eastAsia="Calibri"/>
              </w:rPr>
              <w:t>CDR</w:t>
            </w:r>
            <w:r w:rsidRPr="00871E51">
              <w:rPr>
                <w:rFonts w:eastAsia="Calibri"/>
              </w:rPr>
              <w:t xml:space="preserve"> </w:t>
            </w:r>
            <w:r w:rsidRPr="3B55EED5" w:rsidR="21B4EC2C">
              <w:rPr>
                <w:rFonts w:eastAsia="Calibri"/>
              </w:rPr>
              <w:t>for Full Process</w:t>
            </w:r>
            <w:r w:rsidRPr="00871E51">
              <w:rPr>
                <w:rFonts w:eastAsia="Calibri"/>
              </w:rPr>
              <w:t xml:space="preserve"> (b)</w:t>
            </w:r>
          </w:p>
        </w:tc>
        <w:tc>
          <w:tcPr>
            <w:tcW w:w="2610" w:type="dxa"/>
          </w:tcPr>
          <w:p w:rsidR="00947579" w:rsidRPr="007C52BE" w:rsidP="00DE32C0" w14:paraId="58903421" w14:textId="3944E4F2">
            <w:pPr>
              <w:pStyle w:val="Table11Centered"/>
              <w:keepNext/>
              <w:keepLines/>
            </w:pPr>
            <w:r>
              <w:rPr>
                <w:rFonts w:eastAsia="Calibri"/>
              </w:rPr>
              <w:t>12</w:t>
            </w:r>
          </w:p>
        </w:tc>
      </w:tr>
      <w:tr w14:paraId="21C97E35" w14:textId="77777777" w:rsidTr="00EB03A4">
        <w:tblPrEx>
          <w:tblW w:w="9620" w:type="dxa"/>
          <w:tblLayout w:type="fixed"/>
          <w:tblLook w:val="04A0"/>
        </w:tblPrEx>
        <w:trPr>
          <w:cantSplit/>
        </w:trPr>
        <w:tc>
          <w:tcPr>
            <w:tcW w:w="7010" w:type="dxa"/>
            <w:shd w:val="clear" w:color="auto" w:fill="E7E6E6" w:themeFill="background2"/>
          </w:tcPr>
          <w:p w:rsidR="00947579" w:rsidRPr="00DB7732" w:rsidP="00DE32C0" w14:paraId="639B3008" w14:textId="5B2BC7EF">
            <w:pPr>
              <w:pStyle w:val="Table11Basic"/>
              <w:keepNext/>
              <w:keepLines/>
              <w:rPr>
                <w:b/>
                <w:bCs/>
              </w:rPr>
            </w:pPr>
            <w:r w:rsidRPr="00FE6458">
              <w:rPr>
                <w:b/>
                <w:bCs/>
                <w:color w:val="000000" w:themeColor="text1"/>
              </w:rPr>
              <w:t xml:space="preserve">Total Annual Hours for </w:t>
            </w:r>
            <w:r w:rsidR="0074172B">
              <w:rPr>
                <w:b/>
                <w:bCs/>
                <w:color w:val="000000" w:themeColor="text1"/>
              </w:rPr>
              <w:t xml:space="preserve">Full </w:t>
            </w:r>
            <w:r w:rsidRPr="00FE6458">
              <w:rPr>
                <w:b/>
                <w:bCs/>
                <w:color w:val="000000" w:themeColor="text1"/>
              </w:rPr>
              <w:t>Self-</w:t>
            </w:r>
            <w:r w:rsidRPr="3B55EED5" w:rsidR="460B4470">
              <w:rPr>
                <w:b/>
                <w:bCs/>
                <w:color w:val="000000" w:themeColor="text1"/>
              </w:rPr>
              <w:t>N</w:t>
            </w:r>
            <w:r w:rsidRPr="3B55EED5">
              <w:rPr>
                <w:b/>
                <w:bCs/>
                <w:color w:val="000000" w:themeColor="text1"/>
              </w:rPr>
              <w:t>omination</w:t>
            </w:r>
            <w:r w:rsidRPr="00FE6458">
              <w:rPr>
                <w:b/>
                <w:bCs/>
                <w:color w:val="000000" w:themeColor="text1"/>
              </w:rPr>
              <w:t xml:space="preserve"> (c) = (a) </w:t>
            </w:r>
            <w:r>
              <w:rPr>
                <w:b/>
                <w:bCs/>
                <w:color w:val="000000" w:themeColor="text1"/>
              </w:rPr>
              <w:t>[</w:t>
            </w:r>
            <w:r w:rsidRPr="00832F3F" w:rsidR="00832F3F">
              <w:rPr>
                <w:b/>
                <w:bCs/>
              </w:rPr>
              <w:t>×</w:t>
            </w:r>
            <w:r>
              <w:rPr>
                <w:b/>
                <w:bCs/>
                <w:color w:val="000000" w:themeColor="text1"/>
              </w:rPr>
              <w:t>]</w:t>
            </w:r>
            <w:r w:rsidRPr="00FE6458">
              <w:rPr>
                <w:b/>
                <w:bCs/>
                <w:color w:val="000000" w:themeColor="text1"/>
              </w:rPr>
              <w:t xml:space="preserve"> (b) </w:t>
            </w:r>
          </w:p>
        </w:tc>
        <w:tc>
          <w:tcPr>
            <w:tcW w:w="2610" w:type="dxa"/>
            <w:shd w:val="clear" w:color="auto" w:fill="E7E6E6" w:themeFill="background2"/>
          </w:tcPr>
          <w:p w:rsidR="00947579" w:rsidRPr="00DB7732" w:rsidP="00DE32C0" w14:paraId="538EA129" w14:textId="230FE70A">
            <w:pPr>
              <w:pStyle w:val="Table11Centered"/>
              <w:keepNext/>
              <w:keepLines/>
              <w:rPr>
                <w:rFonts w:eastAsia="Calibri"/>
                <w:b/>
                <w:bCs/>
              </w:rPr>
            </w:pPr>
            <w:r>
              <w:rPr>
                <w:b/>
                <w:bCs/>
                <w:color w:val="000000" w:themeColor="text1"/>
              </w:rPr>
              <w:t>132</w:t>
            </w:r>
          </w:p>
        </w:tc>
      </w:tr>
      <w:tr w14:paraId="2091DCF7" w14:textId="77777777" w:rsidTr="00EB03A4">
        <w:tblPrEx>
          <w:tblW w:w="9620" w:type="dxa"/>
          <w:tblLayout w:type="fixed"/>
          <w:tblLook w:val="04A0"/>
        </w:tblPrEx>
        <w:trPr>
          <w:cantSplit/>
        </w:trPr>
        <w:tc>
          <w:tcPr>
            <w:tcW w:w="7010" w:type="dxa"/>
          </w:tcPr>
          <w:p w:rsidR="00947579" w:rsidRPr="001376EC" w:rsidP="00DE32C0" w14:paraId="49FB88B3" w14:textId="6C3D26BD">
            <w:pPr>
              <w:pStyle w:val="Table11Basic"/>
              <w:keepNext/>
              <w:keepLines/>
            </w:pPr>
            <w:r w:rsidRPr="00871E51">
              <w:rPr>
                <w:rFonts w:eastAsia="Calibri"/>
              </w:rPr>
              <w:t xml:space="preserve">Cost </w:t>
            </w:r>
            <w:r w:rsidRPr="3B55EED5" w:rsidR="2D54B987">
              <w:rPr>
                <w:rFonts w:eastAsia="Calibri"/>
              </w:rPr>
              <w:t>p</w:t>
            </w:r>
            <w:r w:rsidRPr="3B55EED5">
              <w:rPr>
                <w:rFonts w:eastAsia="Calibri"/>
              </w:rPr>
              <w:t>er</w:t>
            </w:r>
            <w:r w:rsidRPr="00871E51">
              <w:rPr>
                <w:rFonts w:eastAsia="Calibri"/>
              </w:rPr>
              <w:t xml:space="preserve"> </w:t>
            </w:r>
            <w:r>
              <w:rPr>
                <w:rFonts w:eastAsia="Calibri"/>
              </w:rPr>
              <w:t>Application</w:t>
            </w:r>
            <w:r w:rsidRPr="00871E51">
              <w:rPr>
                <w:rFonts w:eastAsia="Calibri"/>
              </w:rPr>
              <w:t xml:space="preserve"> </w:t>
            </w:r>
            <w:r w:rsidRPr="3B55EED5" w:rsidR="5E2C0374">
              <w:rPr>
                <w:rFonts w:eastAsia="Calibri"/>
              </w:rPr>
              <w:t>at Labor Cost Computer Systems Analyst</w:t>
            </w:r>
            <w:r w:rsidRPr="00871E51">
              <w:rPr>
                <w:rFonts w:eastAsia="Calibri"/>
              </w:rPr>
              <w:t xml:space="preserve"> of $</w:t>
            </w:r>
            <w:r w:rsidR="00DA41B3">
              <w:rPr>
                <w:rFonts w:eastAsia="Calibri"/>
              </w:rPr>
              <w:t>106.54</w:t>
            </w:r>
            <w:r w:rsidRPr="00871E51">
              <w:rPr>
                <w:rFonts w:eastAsia="Calibri"/>
              </w:rPr>
              <w:t>/hr) (</w:t>
            </w:r>
            <w:r>
              <w:rPr>
                <w:rFonts w:eastAsia="Calibri"/>
              </w:rPr>
              <w:t>d</w:t>
            </w:r>
            <w:r w:rsidRPr="00871E51">
              <w:rPr>
                <w:rFonts w:eastAsia="Calibri"/>
              </w:rPr>
              <w:t>)</w:t>
            </w:r>
            <w:r>
              <w:rPr>
                <w:rFonts w:eastAsia="Calibri"/>
              </w:rPr>
              <w:t xml:space="preserve"> = (b) [</w:t>
            </w:r>
            <w:r w:rsidR="00832F3F">
              <w:t>×</w:t>
            </w:r>
            <w:r>
              <w:rPr>
                <w:rFonts w:eastAsia="Calibri"/>
              </w:rPr>
              <w:t>] $</w:t>
            </w:r>
            <w:r w:rsidR="00DA41B3">
              <w:rPr>
                <w:rFonts w:eastAsia="Calibri"/>
              </w:rPr>
              <w:t>106.54</w:t>
            </w:r>
            <w:r>
              <w:rPr>
                <w:rFonts w:eastAsia="Calibri"/>
              </w:rPr>
              <w:t>/hr</w:t>
            </w:r>
          </w:p>
        </w:tc>
        <w:tc>
          <w:tcPr>
            <w:tcW w:w="2610" w:type="dxa"/>
          </w:tcPr>
          <w:p w:rsidR="00947579" w:rsidRPr="001376EC" w:rsidP="00DE32C0" w14:paraId="51B825E0" w14:textId="341F3D48">
            <w:pPr>
              <w:pStyle w:val="Table11Centered"/>
              <w:keepNext/>
              <w:keepLines/>
            </w:pPr>
            <w:r>
              <w:t>$</w:t>
            </w:r>
            <w:r w:rsidR="00DA41B3">
              <w:t>1,</w:t>
            </w:r>
            <w:r w:rsidR="008C4B48">
              <w:t>278.48</w:t>
            </w:r>
          </w:p>
        </w:tc>
      </w:tr>
      <w:tr w14:paraId="2361A2B4" w14:textId="77777777" w:rsidTr="00EB03A4">
        <w:tblPrEx>
          <w:tblW w:w="9620" w:type="dxa"/>
          <w:tblLayout w:type="fixed"/>
          <w:tblLook w:val="04A0"/>
        </w:tblPrEx>
        <w:trPr>
          <w:cantSplit/>
        </w:trPr>
        <w:tc>
          <w:tcPr>
            <w:tcW w:w="7010" w:type="dxa"/>
            <w:shd w:val="clear" w:color="auto" w:fill="E7E6E6" w:themeFill="background2"/>
            <w:hideMark/>
          </w:tcPr>
          <w:p w:rsidR="00947579" w:rsidRPr="001376EC" w:rsidP="00AB5AC8" w14:paraId="16D6BA5D" w14:textId="5916D5A2">
            <w:pPr>
              <w:pStyle w:val="Table11Basic"/>
              <w:rPr>
                <w:rFonts w:eastAsia="Calibri"/>
                <w:b/>
                <w:bCs/>
              </w:rPr>
            </w:pPr>
            <w:r w:rsidRPr="001376EC">
              <w:rPr>
                <w:rFonts w:eastAsia="Calibri"/>
                <w:b/>
                <w:bCs/>
              </w:rPr>
              <w:t>Total Annual Cost (</w:t>
            </w:r>
            <w:r>
              <w:rPr>
                <w:rFonts w:eastAsia="Calibri"/>
                <w:b/>
                <w:bCs/>
              </w:rPr>
              <w:t>e)</w:t>
            </w:r>
            <w:r w:rsidRPr="001376EC">
              <w:rPr>
                <w:rFonts w:eastAsia="Calibri"/>
                <w:b/>
                <w:bCs/>
              </w:rPr>
              <w:t xml:space="preserve"> = (a) </w:t>
            </w:r>
            <w:r>
              <w:rPr>
                <w:rFonts w:eastAsia="Calibri"/>
                <w:b/>
                <w:bCs/>
              </w:rPr>
              <w:t>[</w:t>
            </w:r>
            <w:r w:rsidRPr="00832F3F" w:rsidR="00832F3F">
              <w:rPr>
                <w:b/>
                <w:bCs/>
              </w:rPr>
              <w:t>×</w:t>
            </w:r>
            <w:r>
              <w:rPr>
                <w:rFonts w:eastAsia="Calibri"/>
                <w:b/>
                <w:bCs/>
              </w:rPr>
              <w:t>]</w:t>
            </w:r>
            <w:r w:rsidRPr="00502002">
              <w:rPr>
                <w:rFonts w:eastAsia="Calibri"/>
                <w:b/>
                <w:bCs/>
              </w:rPr>
              <w:t xml:space="preserve"> </w:t>
            </w:r>
            <w:r w:rsidRPr="001376EC">
              <w:rPr>
                <w:rFonts w:eastAsia="Calibri"/>
                <w:b/>
                <w:bCs/>
              </w:rPr>
              <w:t>(</w:t>
            </w:r>
            <w:r>
              <w:rPr>
                <w:rFonts w:eastAsia="Calibri"/>
                <w:b/>
                <w:bCs/>
              </w:rPr>
              <w:t>d</w:t>
            </w:r>
            <w:r w:rsidRPr="001376EC">
              <w:rPr>
                <w:rFonts w:eastAsia="Calibri"/>
                <w:b/>
                <w:bCs/>
              </w:rPr>
              <w:t>)</w:t>
            </w:r>
            <w:r>
              <w:rPr>
                <w:rFonts w:eastAsia="Calibri"/>
                <w:b/>
                <w:bCs/>
              </w:rPr>
              <w:t xml:space="preserve"> </w:t>
            </w:r>
          </w:p>
        </w:tc>
        <w:tc>
          <w:tcPr>
            <w:tcW w:w="2610" w:type="dxa"/>
            <w:shd w:val="clear" w:color="auto" w:fill="E7E6E6" w:themeFill="background2"/>
          </w:tcPr>
          <w:p w:rsidR="00947579" w:rsidRPr="001376EC" w:rsidP="00AB5AC8" w14:paraId="46B831F7" w14:textId="2D7EB40C">
            <w:pPr>
              <w:pStyle w:val="Table11Centered"/>
              <w:rPr>
                <w:rFonts w:eastAsia="Calibri"/>
                <w:b/>
                <w:bCs/>
              </w:rPr>
            </w:pPr>
            <w:r w:rsidRPr="001376EC">
              <w:rPr>
                <w:rFonts w:eastAsia="Calibri"/>
                <w:b/>
                <w:bCs/>
              </w:rPr>
              <w:t>$</w:t>
            </w:r>
            <w:r w:rsidR="00DC2870">
              <w:rPr>
                <w:rFonts w:eastAsia="Calibri"/>
                <w:b/>
                <w:bCs/>
              </w:rPr>
              <w:t>14,063</w:t>
            </w:r>
          </w:p>
        </w:tc>
      </w:tr>
    </w:tbl>
    <w:p w:rsidR="00620B1B" w:rsidRPr="00077DD0" w:rsidP="00E03843" w14:paraId="65357044" w14:textId="05345626">
      <w:pPr>
        <w:pStyle w:val="Heading5"/>
      </w:pPr>
      <w:r>
        <w:t>v.</w:t>
      </w:r>
      <w:r>
        <w:tab/>
      </w:r>
      <w:r w:rsidRPr="00077DD0" w:rsidR="00234D99">
        <w:t>Third Party Intermediary Plan Audits</w:t>
      </w:r>
    </w:p>
    <w:p w:rsidR="0025451F" w:rsidRPr="00077DD0" w:rsidP="006E6DEB" w14:paraId="57CDB241" w14:textId="44622D3C">
      <w:pPr>
        <w:pStyle w:val="Heading4"/>
      </w:pPr>
      <w:r>
        <w:t>d.</w:t>
      </w:r>
      <w:r>
        <w:tab/>
      </w:r>
      <w:r w:rsidRPr="00077DD0" w:rsidR="0010613E">
        <w:t>Targeted Audits</w:t>
      </w:r>
    </w:p>
    <w:p w:rsidR="001A20C8" w:rsidP="00723AB8" w14:paraId="41CE8885" w14:textId="629521B6">
      <w:pPr>
        <w:pStyle w:val="BodyText-PostHead"/>
      </w:pPr>
      <w:r w:rsidRPr="001A20C8">
        <w:t xml:space="preserve">In the CY 2022 PFS final rule (86 FR 65547 through 65548), we finalized that beginning with the CY 2021 performance period/2023 MIPS payment year, the QCDR or qualified registry must conduct targeted audits in accordance with requirements at § 414.1400(b)(3)(vi). </w:t>
      </w:r>
      <w:r w:rsidR="006410F4">
        <w:t>For the CY 202</w:t>
      </w:r>
      <w:r w:rsidR="00CE7B5E">
        <w:t>5</w:t>
      </w:r>
      <w:r w:rsidR="006410F4">
        <w:t xml:space="preserve"> performance period/202</w:t>
      </w:r>
      <w:r w:rsidR="00CE7B5E">
        <w:t>7</w:t>
      </w:r>
      <w:r w:rsidR="006410F4">
        <w:t xml:space="preserve"> MIPS payment year, </w:t>
      </w:r>
      <w:r w:rsidRPr="001A20C8">
        <w:t xml:space="preserve">we estimate that the time required for a QCDR or qualified registry to submit a targeted audit ranges between 5 and 10 hours </w:t>
      </w:r>
      <w:r w:rsidR="00EB3328">
        <w:t>under</w:t>
      </w:r>
      <w:r w:rsidRPr="001A20C8">
        <w:t xml:space="preserve"> the simplified and full self-nomination process, respectively. We assume that the staff involved in submitting the targeted audits will be computer systems analysts or their equivalent, who have an average labor rate of</w:t>
      </w:r>
      <w:bookmarkStart w:id="94" w:name="_1777393492"/>
      <w:bookmarkStart w:id="95" w:name="_1777392004"/>
      <w:bookmarkStart w:id="96" w:name="_1777204945"/>
      <w:bookmarkStart w:id="97" w:name="_1777365830"/>
      <w:bookmarkEnd w:id="94"/>
      <w:bookmarkEnd w:id="95"/>
      <w:bookmarkEnd w:id="96"/>
      <w:bookmarkEnd w:id="97"/>
      <w:r w:rsidR="00231FF0">
        <w:t xml:space="preserve"> $106.54</w:t>
      </w:r>
      <w:r w:rsidRPr="001A20C8">
        <w:t>/hr.</w:t>
      </w:r>
    </w:p>
    <w:p w:rsidR="001A4F37" w:rsidRPr="0033211B" w:rsidP="00723AB8" w14:paraId="6EE23639" w14:textId="488480D5">
      <w:pPr>
        <w:pStyle w:val="BodyText"/>
      </w:pPr>
      <w:r w:rsidRPr="0033211B">
        <w:t>W</w:t>
      </w:r>
      <w:r w:rsidRPr="0033211B" w:rsidR="00764EF8">
        <w:t xml:space="preserve">e estimate that </w:t>
      </w:r>
      <w:r w:rsidRPr="00890471" w:rsidR="003C2C30">
        <w:t>22</w:t>
      </w:r>
      <w:r w:rsidRPr="0033211B" w:rsidR="00764EF8">
        <w:t xml:space="preserve"> third party intermediaries w</w:t>
      </w:r>
      <w:r w:rsidRPr="0033211B" w:rsidR="003F3817">
        <w:t>ill</w:t>
      </w:r>
      <w:r w:rsidRPr="0033211B" w:rsidR="00764EF8">
        <w:t xml:space="preserve"> submit targeted audits for the CY 202</w:t>
      </w:r>
      <w:r w:rsidR="00856589">
        <w:t>5</w:t>
      </w:r>
      <w:r w:rsidRPr="0033211B" w:rsidR="00764EF8">
        <w:t xml:space="preserve"> performance period/202</w:t>
      </w:r>
      <w:r w:rsidR="00856589">
        <w:t>7</w:t>
      </w:r>
      <w:r w:rsidRPr="0033211B" w:rsidR="00764EF8">
        <w:t xml:space="preserve"> MIPS payment year.</w:t>
      </w:r>
      <w:r w:rsidRPr="0033211B" w:rsidR="00AE31CD">
        <w:t xml:space="preserve"> </w:t>
      </w:r>
      <w:r w:rsidR="00801695">
        <w:t>W</w:t>
      </w:r>
      <w:r w:rsidRPr="00801695" w:rsidR="00801695">
        <w:t xml:space="preserve">e estimate the time required for a QCDR or qualified registry to submit a targeted audit ranges between 5 </w:t>
      </w:r>
      <w:r w:rsidR="009E7CBA">
        <w:t xml:space="preserve">hours for the simplified self-nomination process </w:t>
      </w:r>
      <w:r w:rsidRPr="00801695" w:rsidR="00801695">
        <w:t xml:space="preserve">and 10 hours </w:t>
      </w:r>
      <w:r w:rsidR="009E7CBA">
        <w:t xml:space="preserve">for </w:t>
      </w:r>
      <w:r w:rsidRPr="00801695" w:rsidR="00801695">
        <w:t xml:space="preserve">the full self-nomination process, </w:t>
      </w:r>
      <w:r w:rsidR="00801695">
        <w:t>and</w:t>
      </w:r>
      <w:r w:rsidRPr="00801695" w:rsidR="00801695">
        <w:t xml:space="preserve"> that the cost for a QCDR or a qualified registry to submit a targeted audit will range from $</w:t>
      </w:r>
      <w:r w:rsidRPr="00801695" w:rsidR="002D4C75">
        <w:t>5</w:t>
      </w:r>
      <w:r w:rsidR="002D4C75">
        <w:t>32.70</w:t>
      </w:r>
      <w:r w:rsidRPr="00801695" w:rsidR="002D4C75">
        <w:t xml:space="preserve"> </w:t>
      </w:r>
      <w:r w:rsidRPr="00801695" w:rsidR="00801695">
        <w:t xml:space="preserve">(5 hr </w:t>
      </w:r>
      <w:r w:rsidR="00832F3F">
        <w:t>×</w:t>
      </w:r>
      <w:r w:rsidRPr="00801695" w:rsidR="00801695">
        <w:t xml:space="preserve"> </w:t>
      </w:r>
      <w:bookmarkStart w:id="98" w:name="_1777393499"/>
      <w:bookmarkStart w:id="99" w:name="_1777392010"/>
      <w:bookmarkStart w:id="100" w:name="_1777204952"/>
      <w:bookmarkStart w:id="101" w:name="_1777365835"/>
      <w:bookmarkEnd w:id="98"/>
      <w:bookmarkEnd w:id="99"/>
      <w:bookmarkEnd w:id="100"/>
      <w:bookmarkEnd w:id="101"/>
      <w:r w:rsidR="00231FF0">
        <w:t>106.54</w:t>
      </w:r>
      <w:r w:rsidRPr="00801695" w:rsidR="00801695">
        <w:t>/hr) to $1,</w:t>
      </w:r>
      <w:r w:rsidRPr="00801695" w:rsidR="003E14F6">
        <w:t>0</w:t>
      </w:r>
      <w:r w:rsidR="003E14F6">
        <w:t>65.40</w:t>
      </w:r>
      <w:r w:rsidRPr="00801695" w:rsidR="003E14F6">
        <w:t xml:space="preserve"> </w:t>
      </w:r>
      <w:r w:rsidRPr="00801695" w:rsidR="00801695">
        <w:t xml:space="preserve">(10 hr </w:t>
      </w:r>
      <w:r w:rsidR="00832F3F">
        <w:t>×</w:t>
      </w:r>
      <w:r w:rsidRPr="00801695" w:rsidR="00801695">
        <w:t xml:space="preserve"> </w:t>
      </w:r>
      <w:bookmarkStart w:id="102" w:name="_1777393505"/>
      <w:bookmarkStart w:id="103" w:name="_1777392016"/>
      <w:bookmarkStart w:id="104" w:name="_1777204959"/>
      <w:bookmarkStart w:id="105" w:name="_1777365840"/>
      <w:bookmarkEnd w:id="102"/>
      <w:bookmarkEnd w:id="103"/>
      <w:bookmarkEnd w:id="104"/>
      <w:bookmarkEnd w:id="105"/>
      <w:r w:rsidR="00231FF0">
        <w:t>106.54</w:t>
      </w:r>
      <w:r w:rsidRPr="00801695" w:rsidR="00801695">
        <w:t>/hr).</w:t>
      </w:r>
      <w:r w:rsidR="00801695">
        <w:t xml:space="preserve"> In aggregate, w</w:t>
      </w:r>
      <w:r w:rsidRPr="0033211B" w:rsidR="00AE31CD">
        <w:t xml:space="preserve">e estimate the total impact associated with QCDRs and qualified registries completing targeted audits will range </w:t>
      </w:r>
      <w:r w:rsidRPr="00890471" w:rsidR="00AE31CD">
        <w:t xml:space="preserve">from </w:t>
      </w:r>
      <w:r w:rsidRPr="00890471" w:rsidR="00DB1B14">
        <w:t>1</w:t>
      </w:r>
      <w:r w:rsidRPr="00890471" w:rsidR="00781B5B">
        <w:t>10</w:t>
      </w:r>
      <w:r w:rsidRPr="00890471" w:rsidR="00AE31CD">
        <w:t xml:space="preserve"> hours (</w:t>
      </w:r>
      <w:r w:rsidRPr="00890471" w:rsidR="006870A6">
        <w:t xml:space="preserve">22 </w:t>
      </w:r>
      <w:r w:rsidRPr="00890471" w:rsidR="00AE31CD">
        <w:t>respon</w:t>
      </w:r>
      <w:r w:rsidRPr="00890471" w:rsidR="00CD5A70">
        <w:t>ses</w:t>
      </w:r>
      <w:r w:rsidRPr="00890471" w:rsidR="00AE31CD">
        <w:t xml:space="preserve"> × 5 hours/audit) at a cost of $</w:t>
      </w:r>
      <w:r w:rsidRPr="00890471" w:rsidR="00301720">
        <w:t>11,719</w:t>
      </w:r>
      <w:r w:rsidRPr="00890471" w:rsidR="00AE31CD">
        <w:t xml:space="preserve"> (</w:t>
      </w:r>
      <w:r w:rsidRPr="00890471" w:rsidR="00781B5B">
        <w:t>22</w:t>
      </w:r>
      <w:r w:rsidRPr="00890471" w:rsidR="00AE31CD">
        <w:t xml:space="preserve"> respon</w:t>
      </w:r>
      <w:r w:rsidRPr="00890471" w:rsidR="00CD5A70">
        <w:t>ses</w:t>
      </w:r>
      <w:r w:rsidRPr="00890471" w:rsidR="00AE31CD">
        <w:t xml:space="preserve"> × $</w:t>
      </w:r>
      <w:r w:rsidRPr="00890471" w:rsidR="0070232A">
        <w:t>532.70</w:t>
      </w:r>
      <w:r w:rsidRPr="00890471" w:rsidR="00AE31CD">
        <w:t xml:space="preserve">/audit) to </w:t>
      </w:r>
      <w:r w:rsidRPr="00890471" w:rsidR="006870A6">
        <w:t xml:space="preserve">220 </w:t>
      </w:r>
      <w:r w:rsidRPr="00890471" w:rsidR="00AE31CD">
        <w:t>hours (</w:t>
      </w:r>
      <w:r w:rsidRPr="00890471" w:rsidR="006870A6">
        <w:t xml:space="preserve">22 </w:t>
      </w:r>
      <w:r w:rsidRPr="00890471" w:rsidR="00AE31CD">
        <w:t>respon</w:t>
      </w:r>
      <w:r w:rsidRPr="00890471" w:rsidR="00CD5A70">
        <w:t>ses</w:t>
      </w:r>
      <w:r w:rsidRPr="00890471" w:rsidR="00AE31CD">
        <w:t xml:space="preserve"> × 10 hours/audit) at a cost of $</w:t>
      </w:r>
      <w:r w:rsidRPr="00890471" w:rsidR="00301720">
        <w:t>23,439</w:t>
      </w:r>
      <w:r w:rsidRPr="00890471" w:rsidR="00AE31CD">
        <w:t xml:space="preserve"> (</w:t>
      </w:r>
      <w:r w:rsidRPr="00890471" w:rsidR="00301720">
        <w:t>22</w:t>
      </w:r>
      <w:r w:rsidRPr="00890471" w:rsidR="00AE31CD">
        <w:t xml:space="preserve"> respon</w:t>
      </w:r>
      <w:r w:rsidRPr="00890471" w:rsidR="00CD5A70">
        <w:t>ses</w:t>
      </w:r>
      <w:r w:rsidRPr="00890471" w:rsidR="00AE31CD">
        <w:t xml:space="preserve"> × $</w:t>
      </w:r>
      <w:r w:rsidRPr="00890471" w:rsidR="00801695">
        <w:t>1,0</w:t>
      </w:r>
      <w:r w:rsidRPr="00890471" w:rsidR="00AF4F8B">
        <w:t>65.40</w:t>
      </w:r>
      <w:r w:rsidRPr="00890471" w:rsidR="00AE31CD">
        <w:t xml:space="preserve">/audit) </w:t>
      </w:r>
      <w:r w:rsidRPr="00890471" w:rsidR="003C77BF">
        <w:t>under</w:t>
      </w:r>
      <w:r w:rsidRPr="00890471" w:rsidR="00AE31CD">
        <w:t xml:space="preserve"> the</w:t>
      </w:r>
      <w:r w:rsidRPr="0033211B" w:rsidR="00AE31CD">
        <w:t xml:space="preserve"> simplified and full self-nomination process, respectively (See </w:t>
      </w:r>
      <w:r w:rsidRPr="0033211B" w:rsidR="009651EF">
        <w:t>T</w:t>
      </w:r>
      <w:r w:rsidRPr="0033211B" w:rsidR="00AE31CD">
        <w:t>able</w:t>
      </w:r>
      <w:r w:rsidRPr="0033211B" w:rsidR="00941451">
        <w:t xml:space="preserve">s </w:t>
      </w:r>
      <w:r w:rsidR="00801695">
        <w:t>7</w:t>
      </w:r>
      <w:r w:rsidRPr="0033211B" w:rsidR="00941451">
        <w:t xml:space="preserve"> and</w:t>
      </w:r>
      <w:r w:rsidRPr="0033211B" w:rsidR="00AE31CD">
        <w:t xml:space="preserve"> </w:t>
      </w:r>
      <w:r w:rsidR="00801695">
        <w:t>8</w:t>
      </w:r>
      <w:r w:rsidRPr="0033211B" w:rsidR="00AE31CD">
        <w:t xml:space="preserve">). </w:t>
      </w:r>
    </w:p>
    <w:p w:rsidR="00BF33B5" w:rsidRPr="00077DD0" w:rsidP="006E6DEB" w14:paraId="4D758CC3" w14:textId="71E71A2D">
      <w:pPr>
        <w:pStyle w:val="Heading4"/>
      </w:pPr>
      <w:r>
        <w:t>e.</w:t>
      </w:r>
      <w:r>
        <w:tab/>
      </w:r>
      <w:r w:rsidRPr="00077DD0">
        <w:t>Participation Plans</w:t>
      </w:r>
    </w:p>
    <w:p w:rsidR="00ED2C0F" w:rsidP="00723AB8" w14:paraId="28B39E04" w14:textId="72EED158">
      <w:pPr>
        <w:pStyle w:val="BodyText-PostHead"/>
      </w:pPr>
      <w:r w:rsidRPr="00ED2C0F">
        <w:t>In the CY 2022 PFS final rule (86 FR 65546), we finalized requirements for approved QCDRs and qualified registries that have not submitted performance data to submit a participation plan as part of their self-nomination process.</w:t>
      </w:r>
      <w:r w:rsidR="00594793">
        <w:t xml:space="preserve"> </w:t>
      </w:r>
      <w:r w:rsidR="00112A29">
        <w:t>For the CY 202</w:t>
      </w:r>
      <w:r w:rsidR="001D666B">
        <w:t>5</w:t>
      </w:r>
      <w:r w:rsidR="00112A29">
        <w:t xml:space="preserve"> performance period/202</w:t>
      </w:r>
      <w:r w:rsidR="001D666B">
        <w:t>7</w:t>
      </w:r>
      <w:r w:rsidR="00112A29">
        <w:t xml:space="preserve"> MIPS payment year, </w:t>
      </w:r>
      <w:r w:rsidRPr="00594793" w:rsidR="00594793">
        <w:t>we estimate that it w</w:t>
      </w:r>
      <w:r w:rsidR="004A3908">
        <w:t>ill</w:t>
      </w:r>
      <w:r w:rsidRPr="00594793" w:rsidR="00594793">
        <w:t xml:space="preserve"> take </w:t>
      </w:r>
      <w:r w:rsidR="004A3908">
        <w:t>2</w:t>
      </w:r>
      <w:r w:rsidRPr="00594793" w:rsidR="00594793">
        <w:t xml:space="preserve"> hours for a QCDR or qualified registry to submit a participation plan during the self-nomination process. We assume that the staff involved in submitting a participation plan will be computer systems analysts or their equivalent, who have an average labor rate of</w:t>
      </w:r>
      <w:bookmarkStart w:id="106" w:name="_1777393510"/>
      <w:bookmarkStart w:id="107" w:name="_1777392022"/>
      <w:bookmarkStart w:id="108" w:name="_1777204967"/>
      <w:bookmarkStart w:id="109" w:name="_1777365845"/>
      <w:bookmarkEnd w:id="106"/>
      <w:bookmarkEnd w:id="107"/>
      <w:bookmarkEnd w:id="108"/>
      <w:bookmarkEnd w:id="109"/>
      <w:r w:rsidR="00231FF0">
        <w:t xml:space="preserve"> $106.54</w:t>
      </w:r>
      <w:r w:rsidRPr="00594793" w:rsidR="00594793">
        <w:t>/hr.</w:t>
      </w:r>
      <w:r w:rsidR="007F50B3">
        <w:t xml:space="preserve"> </w:t>
      </w:r>
    </w:p>
    <w:p w:rsidR="00A20E26" w:rsidP="00DE32C0" w14:paraId="5A162BBA" w14:textId="43D456AF">
      <w:pPr>
        <w:pStyle w:val="BodyText"/>
      </w:pPr>
      <w:r>
        <w:t>W</w:t>
      </w:r>
      <w:r w:rsidRPr="00A20E26">
        <w:t xml:space="preserve">e estimate that </w:t>
      </w:r>
      <w:r w:rsidRPr="00890471" w:rsidR="00361E32">
        <w:t>11</w:t>
      </w:r>
      <w:r w:rsidRPr="00890471">
        <w:t xml:space="preserve"> third party intermediaries w</w:t>
      </w:r>
      <w:r w:rsidRPr="00890471" w:rsidR="009035D1">
        <w:t>ill</w:t>
      </w:r>
      <w:r w:rsidRPr="00890471">
        <w:t xml:space="preserve"> submit participation plans for the CY 202</w:t>
      </w:r>
      <w:r w:rsidRPr="00890471" w:rsidR="00D308E7">
        <w:t>5</w:t>
      </w:r>
      <w:r w:rsidRPr="00890471">
        <w:t xml:space="preserve"> performance period/202</w:t>
      </w:r>
      <w:r w:rsidRPr="00890471" w:rsidR="00D308E7">
        <w:t>7</w:t>
      </w:r>
      <w:r w:rsidRPr="00890471">
        <w:t xml:space="preserve"> MIPS payment year. </w:t>
      </w:r>
      <w:r w:rsidRPr="00890471" w:rsidR="00DE2226">
        <w:t>We estimate that the cost for a QCDR or a qualified registry to submit a participation plan is $</w:t>
      </w:r>
      <w:r w:rsidRPr="00890471" w:rsidR="00D308E7">
        <w:t>213.08</w:t>
      </w:r>
      <w:r w:rsidRPr="00890471" w:rsidR="00DE2226">
        <w:t xml:space="preserve"> (</w:t>
      </w:r>
      <w:r w:rsidRPr="00890471" w:rsidR="000E44DF">
        <w:t>2</w:t>
      </w:r>
      <w:r w:rsidRPr="00890471" w:rsidR="00DE2226">
        <w:t xml:space="preserve"> hours </w:t>
      </w:r>
      <w:r w:rsidR="00832F3F">
        <w:t>×</w:t>
      </w:r>
      <w:r w:rsidRPr="00890471" w:rsidR="00DE2226">
        <w:t xml:space="preserve"> </w:t>
      </w:r>
      <w:bookmarkStart w:id="110" w:name="_1777393517"/>
      <w:bookmarkStart w:id="111" w:name="_1777392028"/>
      <w:bookmarkStart w:id="112" w:name="_1777204974"/>
      <w:bookmarkStart w:id="113" w:name="_1777365850"/>
      <w:bookmarkEnd w:id="110"/>
      <w:bookmarkEnd w:id="111"/>
      <w:bookmarkEnd w:id="112"/>
      <w:bookmarkEnd w:id="113"/>
      <w:r w:rsidRPr="00890471" w:rsidR="00231FF0">
        <w:t>106.54</w:t>
      </w:r>
      <w:r w:rsidRPr="00890471" w:rsidR="00DE2226">
        <w:t>/hr).</w:t>
      </w:r>
      <w:r w:rsidRPr="00890471" w:rsidR="00FA417B">
        <w:t xml:space="preserve"> </w:t>
      </w:r>
      <w:r w:rsidRPr="00890471" w:rsidR="00DE2226">
        <w:t>In aggregate</w:t>
      </w:r>
      <w:r w:rsidRPr="00890471">
        <w:t xml:space="preserve">, </w:t>
      </w:r>
      <w:r w:rsidRPr="00890471">
        <w:t>we estimate the total impact associated with QCDRs and qualified registries to submit participation plans w</w:t>
      </w:r>
      <w:r w:rsidRPr="00890471" w:rsidR="004C5CFE">
        <w:t>ill</w:t>
      </w:r>
      <w:r w:rsidRPr="00890471">
        <w:t xml:space="preserve"> be </w:t>
      </w:r>
      <w:r w:rsidRPr="00890471" w:rsidR="00361E32">
        <w:t>22</w:t>
      </w:r>
      <w:r w:rsidRPr="00890471" w:rsidR="00D308E7">
        <w:t xml:space="preserve"> </w:t>
      </w:r>
      <w:r w:rsidRPr="00890471">
        <w:t>hours (</w:t>
      </w:r>
      <w:r w:rsidRPr="00890471" w:rsidR="00361E32">
        <w:t>11</w:t>
      </w:r>
      <w:r w:rsidRPr="00890471">
        <w:t xml:space="preserve"> </w:t>
      </w:r>
      <w:r w:rsidRPr="00890471" w:rsidR="00DE2226">
        <w:t>participation plans</w:t>
      </w:r>
      <w:r w:rsidRPr="00890471">
        <w:t xml:space="preserve"> × </w:t>
      </w:r>
      <w:r w:rsidRPr="00890471" w:rsidR="00840E66">
        <w:t>2</w:t>
      </w:r>
      <w:r w:rsidRPr="00890471">
        <w:t xml:space="preserve"> hours/</w:t>
      </w:r>
      <w:r w:rsidRPr="00890471" w:rsidR="00DE2226">
        <w:t>plan</w:t>
      </w:r>
      <w:r w:rsidRPr="00890471">
        <w:t>) at a cost of $</w:t>
      </w:r>
      <w:r w:rsidRPr="00890471" w:rsidR="00291AAC">
        <w:t>2,344</w:t>
      </w:r>
      <w:r w:rsidRPr="00890471">
        <w:t xml:space="preserve"> (</w:t>
      </w:r>
      <w:r w:rsidRPr="00890471" w:rsidR="00361E32">
        <w:t>11</w:t>
      </w:r>
      <w:r w:rsidRPr="00890471">
        <w:t xml:space="preserve"> </w:t>
      </w:r>
      <w:r w:rsidRPr="00890471" w:rsidR="00DE2226">
        <w:t>participation plans</w:t>
      </w:r>
      <w:r w:rsidRPr="00890471">
        <w:t xml:space="preserve"> × $</w:t>
      </w:r>
      <w:r w:rsidRPr="00890471" w:rsidR="00E2325F">
        <w:t>213.08</w:t>
      </w:r>
      <w:r w:rsidRPr="00890471">
        <w:t>/</w:t>
      </w:r>
      <w:r w:rsidRPr="00890471" w:rsidR="00DE2226">
        <w:t>plan</w:t>
      </w:r>
      <w:r w:rsidRPr="00890471">
        <w:t>)</w:t>
      </w:r>
      <w:r w:rsidRPr="00890471" w:rsidR="00C36DEB">
        <w:t xml:space="preserve"> (See </w:t>
      </w:r>
      <w:r w:rsidRPr="00890471" w:rsidR="009651EF">
        <w:t>T</w:t>
      </w:r>
      <w:r w:rsidRPr="00890471" w:rsidR="00C36DEB">
        <w:t xml:space="preserve">ables </w:t>
      </w:r>
      <w:r w:rsidRPr="00890471" w:rsidR="00DE2226">
        <w:t>7</w:t>
      </w:r>
      <w:r w:rsidRPr="00890471" w:rsidR="00C36DEB">
        <w:t xml:space="preserve"> an</w:t>
      </w:r>
      <w:r w:rsidR="00C36DEB">
        <w:t xml:space="preserve">d </w:t>
      </w:r>
      <w:r w:rsidR="00DE2226">
        <w:t>8</w:t>
      </w:r>
      <w:r w:rsidR="00C36DEB">
        <w:t>)</w:t>
      </w:r>
      <w:r w:rsidRPr="00A20E26">
        <w:t>.</w:t>
      </w:r>
    </w:p>
    <w:p w:rsidR="00232BE8" w:rsidP="006E6DEB" w14:paraId="38FF0035" w14:textId="307342B4">
      <w:pPr>
        <w:pStyle w:val="Heading4"/>
      </w:pPr>
      <w:r>
        <w:t>f.</w:t>
      </w:r>
      <w:r>
        <w:tab/>
      </w:r>
      <w:r>
        <w:t>Corrective Action Plans (CAPs)</w:t>
      </w:r>
    </w:p>
    <w:p w:rsidR="003429B0" w:rsidP="00723AB8" w14:paraId="58B27EBF" w14:textId="6C77D9C2">
      <w:pPr>
        <w:pStyle w:val="BodyText-PostHead"/>
      </w:pPr>
      <w:r w:rsidRPr="00011FE7">
        <w:rPr>
          <w:color w:val="000000"/>
          <w:shd w:val="clear" w:color="auto" w:fill="FFFFFF"/>
        </w:rPr>
        <w:t xml:space="preserve">In the CY 2017 Quality Payment Program final rule, we established the process for </w:t>
      </w:r>
      <w:r w:rsidRPr="00011FE7">
        <w:rPr>
          <w:color w:val="000000"/>
        </w:rPr>
        <w:t>corrective ac</w:t>
      </w:r>
      <w:r w:rsidRPr="00011FE7">
        <w:rPr>
          <w:color w:val="000000"/>
          <w:shd w:val="clear" w:color="auto" w:fill="FFFFFF"/>
        </w:rPr>
        <w:t>tion plans (CAPs) (81 FR 77386 through 77389). </w:t>
      </w:r>
      <w:r w:rsidR="00DE5E26">
        <w:t>W</w:t>
      </w:r>
      <w:r>
        <w:t xml:space="preserve">e </w:t>
      </w:r>
      <w:r w:rsidRPr="00890471">
        <w:t xml:space="preserve">estimate that </w:t>
      </w:r>
      <w:r w:rsidRPr="00890471" w:rsidR="004B3CFE">
        <w:t>6</w:t>
      </w:r>
      <w:r w:rsidRPr="00890471">
        <w:t xml:space="preserve"> third party intermediaries w</w:t>
      </w:r>
      <w:r w:rsidRPr="00890471" w:rsidR="0090421A">
        <w:t>ill</w:t>
      </w:r>
      <w:r w:rsidRPr="00890471">
        <w:t xml:space="preserve"> submit CAPs for the CY 202</w:t>
      </w:r>
      <w:r w:rsidRPr="00890471" w:rsidR="00E2325F">
        <w:t>5</w:t>
      </w:r>
      <w:r w:rsidRPr="00890471">
        <w:t xml:space="preserve"> performance period/202</w:t>
      </w:r>
      <w:r w:rsidRPr="00890471" w:rsidR="00E2325F">
        <w:t>7</w:t>
      </w:r>
      <w:r w:rsidRPr="00890471">
        <w:t xml:space="preserve"> MIPS payment year. Additionally, we estimate that it w</w:t>
      </w:r>
      <w:r w:rsidRPr="00890471" w:rsidR="00126CEF">
        <w:t>ill</w:t>
      </w:r>
      <w:r w:rsidRPr="00890471">
        <w:t xml:space="preserve"> take 3 hours for a QCDR or qualified registry to submit a </w:t>
      </w:r>
      <w:r w:rsidRPr="00890471" w:rsidR="00F33C54">
        <w:t>CAP</w:t>
      </w:r>
      <w:r w:rsidRPr="00890471" w:rsidR="005B79FC">
        <w:t>.</w:t>
      </w:r>
      <w:r w:rsidRPr="00890471">
        <w:t xml:space="preserve"> We assume that the staff involved in submitting the </w:t>
      </w:r>
      <w:r w:rsidRPr="00890471" w:rsidR="00DE5E26">
        <w:t>CAPs</w:t>
      </w:r>
      <w:r w:rsidRPr="00890471">
        <w:t xml:space="preserve"> will be computer systems analysts or their equivalent, who have an average labor rate of </w:t>
      </w:r>
      <w:bookmarkStart w:id="114" w:name="_1777393523"/>
      <w:bookmarkStart w:id="115" w:name="_1777392035"/>
      <w:bookmarkStart w:id="116" w:name="_1777204981"/>
      <w:bookmarkStart w:id="117" w:name="_1777365855"/>
      <w:bookmarkEnd w:id="114"/>
      <w:bookmarkEnd w:id="115"/>
      <w:bookmarkEnd w:id="116"/>
      <w:bookmarkEnd w:id="117"/>
      <w:r w:rsidRPr="00890471" w:rsidR="00231FF0">
        <w:t>106.54</w:t>
      </w:r>
      <w:r w:rsidRPr="00890471">
        <w:t xml:space="preserve">/hr. </w:t>
      </w:r>
      <w:r w:rsidRPr="00890471" w:rsidR="005B79FC">
        <w:t>We estimate that the cost for a QCDR or a qualified registry to submit a CAP is $</w:t>
      </w:r>
      <w:r w:rsidRPr="00890471" w:rsidR="00E2325F">
        <w:t>319.62</w:t>
      </w:r>
      <w:r w:rsidRPr="00890471" w:rsidR="005B79FC">
        <w:t xml:space="preserve"> (3 hours </w:t>
      </w:r>
      <w:r w:rsidR="00832F3F">
        <w:t>×</w:t>
      </w:r>
      <w:bookmarkStart w:id="118" w:name="_1777393528"/>
      <w:bookmarkStart w:id="119" w:name="_1777392041"/>
      <w:bookmarkStart w:id="120" w:name="_1777204988"/>
      <w:bookmarkStart w:id="121" w:name="_1777365861"/>
      <w:bookmarkEnd w:id="118"/>
      <w:bookmarkEnd w:id="119"/>
      <w:bookmarkEnd w:id="120"/>
      <w:bookmarkEnd w:id="121"/>
      <w:r w:rsidRPr="00890471" w:rsidR="00231FF0">
        <w:t xml:space="preserve"> $106.54</w:t>
      </w:r>
      <w:r w:rsidRPr="00890471" w:rsidR="005B79FC">
        <w:t>/hr). In aggregate</w:t>
      </w:r>
      <w:r w:rsidRPr="00890471">
        <w:t xml:space="preserve">, we estimate the total impact associated with QCDRs and qualified registries to CAPs would be </w:t>
      </w:r>
      <w:r w:rsidRPr="00890471" w:rsidR="007C65BD">
        <w:t>18</w:t>
      </w:r>
      <w:r w:rsidRPr="00890471">
        <w:t xml:space="preserve"> hours (</w:t>
      </w:r>
      <w:r w:rsidRPr="00890471" w:rsidR="004B3CFE">
        <w:t>6</w:t>
      </w:r>
      <w:r w:rsidRPr="00890471">
        <w:t xml:space="preserve"> </w:t>
      </w:r>
      <w:r w:rsidRPr="00890471" w:rsidR="005B79FC">
        <w:t>CAPs</w:t>
      </w:r>
      <w:r w:rsidRPr="00890471">
        <w:t xml:space="preserve"> × 3 hours/</w:t>
      </w:r>
      <w:r w:rsidRPr="00890471" w:rsidR="005E3ED5">
        <w:t>response</w:t>
      </w:r>
      <w:r w:rsidRPr="00890471">
        <w:t>) at a cost of $</w:t>
      </w:r>
      <w:r w:rsidRPr="00890471" w:rsidR="007C65BD">
        <w:t>1,918</w:t>
      </w:r>
      <w:r w:rsidRPr="00890471">
        <w:t xml:space="preserve"> (</w:t>
      </w:r>
      <w:r w:rsidRPr="00890471" w:rsidR="007C65BD">
        <w:t>6</w:t>
      </w:r>
      <w:r w:rsidRPr="00890471">
        <w:t xml:space="preserve"> </w:t>
      </w:r>
      <w:r w:rsidRPr="00890471" w:rsidR="005B79FC">
        <w:t>CAPs</w:t>
      </w:r>
      <w:r w:rsidRPr="00890471">
        <w:t xml:space="preserve"> × $</w:t>
      </w:r>
      <w:r w:rsidRPr="00890471" w:rsidR="00734583">
        <w:t>319.62</w:t>
      </w:r>
      <w:r w:rsidRPr="00890471">
        <w:t>/</w:t>
      </w:r>
      <w:r w:rsidRPr="00890471" w:rsidR="005E3ED5">
        <w:t>response</w:t>
      </w:r>
      <w:r w:rsidRPr="00890471">
        <w:t>)</w:t>
      </w:r>
      <w:r w:rsidRPr="00890471" w:rsidR="009651EF">
        <w:t xml:space="preserve"> (See Tables </w:t>
      </w:r>
      <w:r w:rsidRPr="00890471" w:rsidR="005B79FC">
        <w:t>7</w:t>
      </w:r>
      <w:r w:rsidRPr="00890471" w:rsidR="009651EF">
        <w:t xml:space="preserve"> and </w:t>
      </w:r>
      <w:r w:rsidRPr="00890471" w:rsidR="005B79FC">
        <w:t>8</w:t>
      </w:r>
      <w:r w:rsidRPr="00890471" w:rsidR="009651EF">
        <w:t>)</w:t>
      </w:r>
      <w:r w:rsidRPr="00890471">
        <w:t>.</w:t>
      </w:r>
    </w:p>
    <w:p w:rsidR="00CC5E5E" w:rsidP="006E6DEB" w14:paraId="6A64E619" w14:textId="331F796A">
      <w:pPr>
        <w:pStyle w:val="Heading4"/>
      </w:pPr>
      <w:r>
        <w:t>g.</w:t>
      </w:r>
      <w:r>
        <w:tab/>
      </w:r>
      <w:r>
        <w:t>Transition Plans</w:t>
      </w:r>
    </w:p>
    <w:p w:rsidR="00610CB4" w:rsidP="00723AB8" w14:paraId="097B8C0B" w14:textId="72A210C3">
      <w:pPr>
        <w:pStyle w:val="BodyText-PostHead"/>
      </w:pPr>
      <w:r w:rsidRPr="00082C6F">
        <w:t>In the CY 2020 PFS final rule (84 FR 63052 through 63053), we established a policy at § 414.1400(a)(</w:t>
      </w:r>
      <w:r w:rsidR="00045F6B">
        <w:t>3</w:t>
      </w:r>
      <w:r w:rsidRPr="00082C6F">
        <w:t xml:space="preserve">)(vi) that a condition of approval for the third party intermediary is to agree that prior to discontinuing services to any MIPS eligible clinician, group or virtual group during a performance period, the third party intermediary must support the transition of such MIPS eligible clinician, group, or virtual group to an alternate third party intermediary, submitter type, or, for any measure on which data has been collected, collection type according to a CMS approved transition plan. </w:t>
      </w:r>
    </w:p>
    <w:p w:rsidR="00CC5E5E" w:rsidRPr="00890471" w:rsidP="00723AB8" w14:paraId="42267719" w14:textId="61C10AA7">
      <w:pPr>
        <w:pStyle w:val="BodyText"/>
      </w:pPr>
      <w:r>
        <w:t>W</w:t>
      </w:r>
      <w:r w:rsidRPr="00082C6F" w:rsidR="00082C6F">
        <w:t>e estimate t</w:t>
      </w:r>
      <w:r w:rsidR="009D3B28">
        <w:t>hat we will</w:t>
      </w:r>
      <w:r w:rsidRPr="00082C6F" w:rsidR="00082C6F">
        <w:t xml:space="preserve"> receive </w:t>
      </w:r>
      <w:r w:rsidR="00081D78">
        <w:t>3</w:t>
      </w:r>
      <w:r w:rsidRPr="00082C6F" w:rsidR="00082C6F">
        <w:t xml:space="preserve"> transition plans from QCDRs and qualified registries for the CY 202</w:t>
      </w:r>
      <w:r w:rsidR="00F14AE1">
        <w:t>5</w:t>
      </w:r>
      <w:r w:rsidRPr="00082C6F" w:rsidR="00082C6F">
        <w:t xml:space="preserve"> performance period/202</w:t>
      </w:r>
      <w:r w:rsidR="00F14AE1">
        <w:t>7</w:t>
      </w:r>
      <w:r w:rsidRPr="00082C6F" w:rsidR="00082C6F">
        <w:t xml:space="preserve"> MIPS payment year. We estimate that it w</w:t>
      </w:r>
      <w:r w:rsidR="0032258C">
        <w:t>ill</w:t>
      </w:r>
      <w:r w:rsidRPr="00082C6F" w:rsidR="00082C6F">
        <w:t xml:space="preserve"> take 1 hour for a computer system analyst or their equivalent at a labor rate of</w:t>
      </w:r>
      <w:bookmarkStart w:id="122" w:name="_1777393534"/>
      <w:bookmarkStart w:id="123" w:name="_1777392048"/>
      <w:bookmarkStart w:id="124" w:name="_1777204995"/>
      <w:bookmarkStart w:id="125" w:name="_1777365866"/>
      <w:bookmarkEnd w:id="122"/>
      <w:bookmarkEnd w:id="123"/>
      <w:bookmarkEnd w:id="124"/>
      <w:bookmarkEnd w:id="125"/>
      <w:r w:rsidR="00231FF0">
        <w:t xml:space="preserve"> $106.54</w:t>
      </w:r>
      <w:r w:rsidRPr="00082C6F" w:rsidR="00082C6F">
        <w:t xml:space="preserve">/hr to develop a transition plan on behalf of each QCDR or qualified registry during the self-nomination period. However, we are unable to estimate the burden for implementing the actions in the transition plan because the level of effort may vary for each QCDR or qualified registry. Therefore, we estimate the total impact associated with qualified registries completing transition </w:t>
      </w:r>
      <w:r w:rsidRPr="00890471" w:rsidR="00082C6F">
        <w:t xml:space="preserve">plans is </w:t>
      </w:r>
      <w:r w:rsidRPr="00890471" w:rsidR="00081D78">
        <w:t>3</w:t>
      </w:r>
      <w:r w:rsidRPr="00890471" w:rsidR="00082C6F">
        <w:t xml:space="preserve"> hours (</w:t>
      </w:r>
      <w:r w:rsidRPr="00890471" w:rsidR="00081D78">
        <w:t>3</w:t>
      </w:r>
      <w:r w:rsidRPr="00890471">
        <w:t xml:space="preserve"> transition plans</w:t>
      </w:r>
      <w:r w:rsidRPr="00890471" w:rsidR="00082C6F">
        <w:t xml:space="preserve"> × 1 hour/</w:t>
      </w:r>
      <w:r w:rsidRPr="00890471">
        <w:t>plan</w:t>
      </w:r>
      <w:r w:rsidRPr="00890471" w:rsidR="00082C6F">
        <w:t>) at a cost of $</w:t>
      </w:r>
      <w:r w:rsidRPr="00890471" w:rsidR="00081D78">
        <w:t xml:space="preserve">320 </w:t>
      </w:r>
      <w:r w:rsidRPr="00890471" w:rsidR="00082C6F">
        <w:t>(</w:t>
      </w:r>
      <w:r w:rsidRPr="00890471" w:rsidR="00081D78">
        <w:t>3</w:t>
      </w:r>
      <w:r w:rsidRPr="00890471" w:rsidR="00082C6F">
        <w:t xml:space="preserve"> </w:t>
      </w:r>
      <w:r w:rsidRPr="00890471">
        <w:t>transition plans</w:t>
      </w:r>
      <w:r w:rsidRPr="00890471" w:rsidR="00082C6F">
        <w:t xml:space="preserve"> ×</w:t>
      </w:r>
      <w:bookmarkStart w:id="126" w:name="_1777393540"/>
      <w:bookmarkStart w:id="127" w:name="_1777392056"/>
      <w:bookmarkStart w:id="128" w:name="_1777205003"/>
      <w:bookmarkStart w:id="129" w:name="_1777365872"/>
      <w:bookmarkEnd w:id="126"/>
      <w:bookmarkEnd w:id="127"/>
      <w:bookmarkEnd w:id="128"/>
      <w:bookmarkEnd w:id="129"/>
      <w:r w:rsidRPr="00890471" w:rsidR="00231FF0">
        <w:t xml:space="preserve"> $106.54</w:t>
      </w:r>
      <w:r w:rsidRPr="00890471" w:rsidR="00082C6F">
        <w:t>/</w:t>
      </w:r>
      <w:r w:rsidRPr="00890471">
        <w:t>plan</w:t>
      </w:r>
      <w:r w:rsidRPr="00890471" w:rsidR="00082C6F">
        <w:t>).</w:t>
      </w:r>
    </w:p>
    <w:p w:rsidR="00290C4A" w:rsidP="00723AB8" w14:paraId="7D3B1C76" w14:textId="77777777">
      <w:pPr>
        <w:pStyle w:val="BodyText-PostHead"/>
      </w:pPr>
    </w:p>
    <w:p w:rsidR="00714B80" w:rsidP="00723AB8" w14:paraId="120BA962" w14:textId="24521D4F">
      <w:pPr>
        <w:pStyle w:val="BodyText-PostHead"/>
      </w:pPr>
      <w:r w:rsidRPr="00890471">
        <w:t xml:space="preserve">In aggregate, as shown in Table </w:t>
      </w:r>
      <w:r w:rsidRPr="00890471" w:rsidR="00D532BA">
        <w:t>7</w:t>
      </w:r>
      <w:r w:rsidRPr="00890471">
        <w:t xml:space="preserve">, we assume that </w:t>
      </w:r>
      <w:r w:rsidRPr="00890471" w:rsidR="003949C7">
        <w:t>42</w:t>
      </w:r>
      <w:r w:rsidRPr="00890471" w:rsidR="008A39F9">
        <w:t xml:space="preserve"> </w:t>
      </w:r>
      <w:r w:rsidRPr="00890471">
        <w:t>third party intermediaries will submit plan audits (</w:t>
      </w:r>
      <w:r w:rsidRPr="00890471" w:rsidR="00375D2B">
        <w:t>22</w:t>
      </w:r>
      <w:r w:rsidRPr="00890471">
        <w:t xml:space="preserve"> targeted audits, </w:t>
      </w:r>
      <w:r w:rsidRPr="00890471" w:rsidR="00375D2B">
        <w:t>11</w:t>
      </w:r>
      <w:r w:rsidRPr="00890471">
        <w:t xml:space="preserve"> participation plans, </w:t>
      </w:r>
      <w:r w:rsidRPr="00890471" w:rsidR="00375D2B">
        <w:t>6</w:t>
      </w:r>
      <w:r w:rsidRPr="00890471">
        <w:t xml:space="preserve"> CAPs, and </w:t>
      </w:r>
      <w:r w:rsidRPr="00890471" w:rsidR="00375D2B">
        <w:t>3</w:t>
      </w:r>
      <w:r w:rsidRPr="00890471" w:rsidR="00D532BA">
        <w:t xml:space="preserve"> </w:t>
      </w:r>
      <w:r w:rsidRPr="00890471">
        <w:t>transition plans).</w:t>
      </w:r>
    </w:p>
    <w:p w:rsidR="00E55187" w:rsidRPr="004A78E6" w:rsidP="00723AB8" w14:paraId="0B317F50" w14:textId="27CB1031">
      <w:pPr>
        <w:pStyle w:val="ExhibitTitle"/>
        <w:rPr>
          <w:b w:val="0"/>
          <w:bCs/>
        </w:rPr>
      </w:pPr>
      <w:r w:rsidRPr="004A78E6">
        <w:rPr>
          <w:b w:val="0"/>
          <w:bCs/>
        </w:rPr>
        <w:t>T</w:t>
      </w:r>
      <w:r w:rsidRPr="004A78E6" w:rsidR="009A134B">
        <w:rPr>
          <w:b w:val="0"/>
          <w:bCs/>
        </w:rPr>
        <w:t>able</w:t>
      </w:r>
      <w:r w:rsidRPr="004A78E6">
        <w:rPr>
          <w:b w:val="0"/>
          <w:bCs/>
        </w:rPr>
        <w:t xml:space="preserve"> </w:t>
      </w:r>
      <w:r w:rsidRPr="004A78E6" w:rsidR="00815465">
        <w:rPr>
          <w:b w:val="0"/>
          <w:bCs/>
        </w:rPr>
        <w:t>7</w:t>
      </w:r>
      <w:r w:rsidRPr="004A78E6">
        <w:rPr>
          <w:b w:val="0"/>
          <w:bCs/>
        </w:rPr>
        <w:t xml:space="preserve">: Estimated </w:t>
      </w:r>
      <w:r w:rsidRPr="004A78E6" w:rsidR="009C3D5F">
        <w:rPr>
          <w:b w:val="0"/>
          <w:bCs/>
        </w:rPr>
        <w:t>Number of Respondents to Submit Plan Audits</w:t>
      </w:r>
    </w:p>
    <w:tbl>
      <w:tblPr>
        <w:tblStyle w:val="TableGrid"/>
        <w:tblDescription w:val="Table 7: the number of respondents submitting targeted audits, corrective action plans, participation plans and transition plans."/>
        <w:tblW w:w="7640" w:type="dxa"/>
        <w:tblLayout w:type="fixed"/>
        <w:tblLook w:val="04A0"/>
      </w:tblPr>
      <w:tblGrid>
        <w:gridCol w:w="4490"/>
        <w:gridCol w:w="3150"/>
      </w:tblGrid>
      <w:tr w14:paraId="251EEE25" w14:textId="77777777" w:rsidTr="00DE32C0">
        <w:tblPrEx>
          <w:tblW w:w="7640" w:type="dxa"/>
          <w:tblLayout w:type="fixed"/>
          <w:tblLook w:val="04A0"/>
        </w:tblPrEx>
        <w:trPr>
          <w:cantSplit/>
          <w:tblHeader/>
        </w:trPr>
        <w:tc>
          <w:tcPr>
            <w:tcW w:w="4490" w:type="dxa"/>
          </w:tcPr>
          <w:p w:rsidR="009C3D5F" w:rsidRPr="00B05B18" w:rsidP="00AB5AC8" w14:paraId="04EDDFAE" w14:textId="77777777">
            <w:pPr>
              <w:pStyle w:val="Table11-ColumnHeading"/>
            </w:pPr>
            <w:r w:rsidRPr="00B05B18">
              <w:t>Burden and Respondent Descriptions</w:t>
            </w:r>
          </w:p>
        </w:tc>
        <w:tc>
          <w:tcPr>
            <w:tcW w:w="3150" w:type="dxa"/>
          </w:tcPr>
          <w:p w:rsidR="009C3D5F" w:rsidRPr="007C52BE" w:rsidP="00AB5AC8" w14:paraId="34AAD1DB" w14:textId="108442AF">
            <w:pPr>
              <w:pStyle w:val="Table11-ColumnHeading"/>
            </w:pPr>
            <w:r>
              <w:t># of Respondents</w:t>
            </w:r>
          </w:p>
        </w:tc>
      </w:tr>
      <w:tr w14:paraId="04A58B46" w14:textId="77777777" w:rsidTr="00DE32C0">
        <w:tblPrEx>
          <w:tblW w:w="7640" w:type="dxa"/>
          <w:tblLayout w:type="fixed"/>
          <w:tblLook w:val="04A0"/>
        </w:tblPrEx>
        <w:trPr>
          <w:cantSplit/>
        </w:trPr>
        <w:tc>
          <w:tcPr>
            <w:tcW w:w="4490" w:type="dxa"/>
          </w:tcPr>
          <w:p w:rsidR="009C3D5F" w:rsidRPr="007C52BE" w:rsidP="00AB5AC8" w14:paraId="2EA2D224" w14:textId="4F521E38">
            <w:pPr>
              <w:pStyle w:val="Table11Basic"/>
            </w:pPr>
            <w:r>
              <w:t xml:space="preserve"># of Targeted Audits </w:t>
            </w:r>
            <w:r w:rsidRPr="007C52BE">
              <w:t>(a)</w:t>
            </w:r>
          </w:p>
        </w:tc>
        <w:tc>
          <w:tcPr>
            <w:tcW w:w="3150" w:type="dxa"/>
          </w:tcPr>
          <w:p w:rsidR="009C3D5F" w:rsidRPr="00890471" w:rsidP="00AB5AC8" w14:paraId="37647A9B" w14:textId="0D21AF8B">
            <w:pPr>
              <w:pStyle w:val="Table11Centered"/>
            </w:pPr>
            <w:r w:rsidRPr="00890471">
              <w:rPr>
                <w:rFonts w:eastAsia="Calibri"/>
              </w:rPr>
              <w:t>22</w:t>
            </w:r>
          </w:p>
        </w:tc>
      </w:tr>
      <w:tr w14:paraId="557EF9C4" w14:textId="77777777" w:rsidTr="00DE32C0">
        <w:tblPrEx>
          <w:tblW w:w="7640" w:type="dxa"/>
          <w:tblLayout w:type="fixed"/>
          <w:tblLook w:val="04A0"/>
        </w:tblPrEx>
        <w:trPr>
          <w:cantSplit/>
        </w:trPr>
        <w:tc>
          <w:tcPr>
            <w:tcW w:w="4490" w:type="dxa"/>
          </w:tcPr>
          <w:p w:rsidR="009C3D5F" w:rsidRPr="007C52BE" w:rsidP="00AB5AC8" w14:paraId="5DDCA976" w14:textId="4AC3DB1A">
            <w:pPr>
              <w:pStyle w:val="Table11Basic"/>
            </w:pPr>
            <w:r w:rsidRPr="007C52BE">
              <w:t xml:space="preserve"># of </w:t>
            </w:r>
            <w:r w:rsidR="002D51E2">
              <w:t>Participation Plans</w:t>
            </w:r>
            <w:r>
              <w:t xml:space="preserve"> </w:t>
            </w:r>
            <w:r w:rsidRPr="007C52BE">
              <w:t>(</w:t>
            </w:r>
            <w:r>
              <w:t>b</w:t>
            </w:r>
            <w:r w:rsidRPr="007C52BE">
              <w:t>)</w:t>
            </w:r>
          </w:p>
        </w:tc>
        <w:tc>
          <w:tcPr>
            <w:tcW w:w="3150" w:type="dxa"/>
          </w:tcPr>
          <w:p w:rsidR="009C3D5F" w:rsidRPr="00890471" w:rsidP="00AB5AC8" w14:paraId="755DF412" w14:textId="60582F80">
            <w:pPr>
              <w:pStyle w:val="Table11Centered"/>
            </w:pPr>
            <w:r w:rsidRPr="00890471">
              <w:rPr>
                <w:rFonts w:eastAsia="Calibri"/>
              </w:rPr>
              <w:t>11</w:t>
            </w:r>
          </w:p>
        </w:tc>
      </w:tr>
      <w:tr w14:paraId="12B00A6D" w14:textId="77777777" w:rsidTr="00DE32C0">
        <w:tblPrEx>
          <w:tblW w:w="7640" w:type="dxa"/>
          <w:tblLayout w:type="fixed"/>
          <w:tblLook w:val="04A0"/>
        </w:tblPrEx>
        <w:trPr>
          <w:cantSplit/>
        </w:trPr>
        <w:tc>
          <w:tcPr>
            <w:tcW w:w="4490" w:type="dxa"/>
          </w:tcPr>
          <w:p w:rsidR="009C3D5F" w:rsidRPr="00925EE7" w:rsidP="00AB5AC8" w14:paraId="0340C93F" w14:textId="1ECC0EE2">
            <w:pPr>
              <w:pStyle w:val="Table11Basic"/>
            </w:pPr>
            <w:r>
              <w:t># of Corrective Action Plans</w:t>
            </w:r>
            <w:r w:rsidR="00F10B60">
              <w:t xml:space="preserve"> (CAPs)</w:t>
            </w:r>
            <w:r w:rsidRPr="00925EE7">
              <w:t xml:space="preserve"> (c)</w:t>
            </w:r>
          </w:p>
        </w:tc>
        <w:tc>
          <w:tcPr>
            <w:tcW w:w="3150" w:type="dxa"/>
          </w:tcPr>
          <w:p w:rsidR="009C3D5F" w:rsidRPr="00890471" w:rsidP="00AB5AC8" w14:paraId="67751EB8" w14:textId="322330B2">
            <w:pPr>
              <w:pStyle w:val="Table11Centered"/>
              <w:rPr>
                <w:rFonts w:eastAsia="Calibri"/>
              </w:rPr>
            </w:pPr>
            <w:r w:rsidRPr="00890471">
              <w:rPr>
                <w:rFonts w:eastAsia="Calibri"/>
              </w:rPr>
              <w:t>6</w:t>
            </w:r>
          </w:p>
        </w:tc>
      </w:tr>
      <w:tr w14:paraId="3E9052AD" w14:textId="77777777" w:rsidTr="00DE32C0">
        <w:tblPrEx>
          <w:tblW w:w="7640" w:type="dxa"/>
          <w:tblLayout w:type="fixed"/>
          <w:tblLook w:val="04A0"/>
        </w:tblPrEx>
        <w:trPr>
          <w:cantSplit/>
        </w:trPr>
        <w:tc>
          <w:tcPr>
            <w:tcW w:w="4490" w:type="dxa"/>
          </w:tcPr>
          <w:p w:rsidR="009C3D5F" w:rsidRPr="007C52BE" w:rsidP="00AB5AC8" w14:paraId="068CADED" w14:textId="57C7DBD9">
            <w:pPr>
              <w:pStyle w:val="Table11Basic"/>
            </w:pPr>
            <w:r>
              <w:t># of Transition Plans</w:t>
            </w:r>
            <w:r>
              <w:t xml:space="preserve"> (d</w:t>
            </w:r>
            <w:r w:rsidRPr="007C52BE">
              <w:t>)</w:t>
            </w:r>
          </w:p>
        </w:tc>
        <w:tc>
          <w:tcPr>
            <w:tcW w:w="3150" w:type="dxa"/>
          </w:tcPr>
          <w:p w:rsidR="009C3D5F" w:rsidRPr="00890471" w:rsidP="00AB5AC8" w14:paraId="5DF904A9" w14:textId="0B0FE56C">
            <w:pPr>
              <w:pStyle w:val="Table11Centered"/>
            </w:pPr>
            <w:r w:rsidRPr="00890471">
              <w:rPr>
                <w:rFonts w:eastAsia="Calibri"/>
              </w:rPr>
              <w:t>3</w:t>
            </w:r>
          </w:p>
        </w:tc>
      </w:tr>
      <w:tr w14:paraId="0518BE0C" w14:textId="77777777" w:rsidTr="00DE32C0">
        <w:tblPrEx>
          <w:tblW w:w="7640" w:type="dxa"/>
          <w:tblLayout w:type="fixed"/>
          <w:tblLook w:val="04A0"/>
        </w:tblPrEx>
        <w:trPr>
          <w:cantSplit/>
        </w:trPr>
        <w:tc>
          <w:tcPr>
            <w:tcW w:w="4490" w:type="dxa"/>
            <w:shd w:val="clear" w:color="auto" w:fill="E7E6E6" w:themeFill="background2"/>
            <w:hideMark/>
          </w:tcPr>
          <w:p w:rsidR="009C3D5F" w:rsidRPr="00925EE7" w:rsidP="00AB5AC8" w14:paraId="41C0963B" w14:textId="3B2439C7">
            <w:pPr>
              <w:pStyle w:val="Table11Basic"/>
              <w:rPr>
                <w:b/>
                <w:bCs/>
              </w:rPr>
            </w:pPr>
            <w:r w:rsidRPr="00925EE7">
              <w:rPr>
                <w:b/>
                <w:bCs/>
              </w:rPr>
              <w:t xml:space="preserve">Total </w:t>
            </w:r>
            <w:r w:rsidRPr="00925EE7" w:rsidR="00F10B60">
              <w:rPr>
                <w:b/>
                <w:bCs/>
              </w:rPr>
              <w:t>Respondents</w:t>
            </w:r>
            <w:r w:rsidRPr="00925EE7">
              <w:rPr>
                <w:b/>
                <w:bCs/>
              </w:rPr>
              <w:t xml:space="preserve"> (e)</w:t>
            </w:r>
            <w:r w:rsidR="00FA1DF5">
              <w:rPr>
                <w:b/>
                <w:bCs/>
              </w:rPr>
              <w:t xml:space="preserve"> = (a) + (b) + (c)</w:t>
            </w:r>
            <w:r w:rsidR="004C12FD">
              <w:rPr>
                <w:b/>
                <w:bCs/>
              </w:rPr>
              <w:t xml:space="preserve"> + (d)</w:t>
            </w:r>
          </w:p>
        </w:tc>
        <w:tc>
          <w:tcPr>
            <w:tcW w:w="3150" w:type="dxa"/>
            <w:shd w:val="clear" w:color="auto" w:fill="E7E6E6" w:themeFill="background2"/>
          </w:tcPr>
          <w:p w:rsidR="009C3D5F" w:rsidRPr="00890471" w:rsidP="00AB5AC8" w14:paraId="1450380B" w14:textId="7BE12205">
            <w:pPr>
              <w:pStyle w:val="Table11Centered"/>
              <w:rPr>
                <w:b/>
                <w:bCs/>
              </w:rPr>
            </w:pPr>
            <w:r w:rsidRPr="00890471">
              <w:rPr>
                <w:rFonts w:eastAsia="Calibri"/>
                <w:b/>
                <w:bCs/>
              </w:rPr>
              <w:t>42</w:t>
            </w:r>
          </w:p>
        </w:tc>
      </w:tr>
    </w:tbl>
    <w:p w:rsidR="005437CB" w:rsidP="00AB5AC8" w14:paraId="61BEC30C" w14:textId="02974DAE">
      <w:pPr>
        <w:pStyle w:val="BodyText"/>
      </w:pPr>
      <w:r>
        <w:t>As shown in Table 8, f</w:t>
      </w:r>
      <w:r w:rsidRPr="00C038CB" w:rsidR="00C038CB">
        <w:t xml:space="preserve">or the CY </w:t>
      </w:r>
      <w:r w:rsidRPr="00C038CB" w:rsidR="00500CC0">
        <w:t>202</w:t>
      </w:r>
      <w:r w:rsidR="00500CC0">
        <w:t>5</w:t>
      </w:r>
      <w:r w:rsidRPr="00C038CB" w:rsidR="00500CC0">
        <w:t xml:space="preserve"> </w:t>
      </w:r>
      <w:r w:rsidRPr="00C038CB" w:rsidR="00C038CB">
        <w:t>performance period/</w:t>
      </w:r>
      <w:r w:rsidRPr="00C038CB" w:rsidR="00500CC0">
        <w:t>202</w:t>
      </w:r>
      <w:r w:rsidR="00500CC0">
        <w:t>7</w:t>
      </w:r>
      <w:r w:rsidRPr="00C038CB" w:rsidR="00C038CB">
        <w:t xml:space="preserve"> MIPS payment year, in aggregate, the estimated annual burden </w:t>
      </w:r>
      <w:r w:rsidR="003B568B">
        <w:t xml:space="preserve">to submit plan audits </w:t>
      </w:r>
      <w:r w:rsidR="00752D68">
        <w:t>under</w:t>
      </w:r>
      <w:r w:rsidRPr="00C038CB" w:rsidR="00C038CB">
        <w:t xml:space="preserve"> the simplified and full</w:t>
      </w:r>
      <w:r w:rsidR="00A17590">
        <w:t xml:space="preserve"> </w:t>
      </w:r>
      <w:r w:rsidRPr="00C038CB" w:rsidR="00C038CB">
        <w:t xml:space="preserve">self-nomination process will range </w:t>
      </w:r>
      <w:r w:rsidRPr="00890471" w:rsidR="00C038CB">
        <w:t xml:space="preserve">from </w:t>
      </w:r>
      <w:r w:rsidRPr="00890471" w:rsidR="00656731">
        <w:t xml:space="preserve">297 </w:t>
      </w:r>
      <w:r w:rsidRPr="00890471" w:rsidR="00C038CB">
        <w:t xml:space="preserve">hours to </w:t>
      </w:r>
      <w:r w:rsidRPr="00890471" w:rsidR="00656731">
        <w:t>472</w:t>
      </w:r>
      <w:r w:rsidRPr="00890471" w:rsidR="00C038CB">
        <w:t xml:space="preserve"> hours at a cost ranging from $</w:t>
      </w:r>
      <w:r w:rsidRPr="00890471" w:rsidR="00656731">
        <w:t>31,642</w:t>
      </w:r>
      <w:r w:rsidRPr="00890471" w:rsidR="00C038CB">
        <w:t xml:space="preserve"> (</w:t>
      </w:r>
      <w:r w:rsidRPr="00890471" w:rsidR="00656731">
        <w:t xml:space="preserve">297 </w:t>
      </w:r>
      <w:r w:rsidRPr="00890471" w:rsidR="00C038CB">
        <w:t xml:space="preserve">hr </w:t>
      </w:r>
      <w:r w:rsidR="00832F3F">
        <w:t>×</w:t>
      </w:r>
      <w:r w:rsidRPr="00890471" w:rsidR="00C038CB">
        <w:t xml:space="preserve"> </w:t>
      </w:r>
      <w:bookmarkStart w:id="130" w:name="_1777393547"/>
      <w:bookmarkStart w:id="131" w:name="_1777392063"/>
      <w:bookmarkStart w:id="132" w:name="_1777205010"/>
      <w:bookmarkStart w:id="133" w:name="_1777365878"/>
      <w:bookmarkEnd w:id="130"/>
      <w:bookmarkEnd w:id="131"/>
      <w:bookmarkEnd w:id="132"/>
      <w:bookmarkEnd w:id="133"/>
      <w:r w:rsidRPr="00890471" w:rsidR="00231FF0">
        <w:t>106.54</w:t>
      </w:r>
      <w:r w:rsidRPr="00890471" w:rsidR="00C038CB">
        <w:t>/hr) and $</w:t>
      </w:r>
      <w:r w:rsidRPr="00890471" w:rsidR="00656731">
        <w:t>50,286</w:t>
      </w:r>
      <w:r w:rsidRPr="00890471" w:rsidR="00C038CB">
        <w:t xml:space="preserve"> (</w:t>
      </w:r>
      <w:r w:rsidRPr="00890471" w:rsidR="00656731">
        <w:t xml:space="preserve">472 </w:t>
      </w:r>
      <w:r w:rsidRPr="00890471" w:rsidR="00C038CB">
        <w:t xml:space="preserve">hr </w:t>
      </w:r>
      <w:r w:rsidR="00832F3F">
        <w:t>×</w:t>
      </w:r>
      <w:r w:rsidRPr="00890471" w:rsidR="00C038CB">
        <w:t xml:space="preserve"> </w:t>
      </w:r>
      <w:bookmarkStart w:id="134" w:name="_1777393552"/>
      <w:bookmarkStart w:id="135" w:name="_1777392072"/>
      <w:bookmarkStart w:id="136" w:name="_1777205017"/>
      <w:bookmarkStart w:id="137" w:name="_1777365884"/>
      <w:bookmarkEnd w:id="134"/>
      <w:bookmarkEnd w:id="135"/>
      <w:bookmarkEnd w:id="136"/>
      <w:bookmarkEnd w:id="137"/>
      <w:r w:rsidRPr="00890471" w:rsidR="00231FF0">
        <w:t>106.54</w:t>
      </w:r>
      <w:r w:rsidRPr="00890471" w:rsidR="00C038CB">
        <w:t>/hr), respectively.</w:t>
      </w:r>
    </w:p>
    <w:p w:rsidR="009A134B" w:rsidRPr="004A78E6" w:rsidP="00AB5AC8" w14:paraId="3A4877BC" w14:textId="44FAA8E1">
      <w:pPr>
        <w:pStyle w:val="ExhibitTitle"/>
        <w:rPr>
          <w:b w:val="0"/>
          <w:bCs/>
        </w:rPr>
      </w:pPr>
      <w:r w:rsidRPr="004A78E6">
        <w:rPr>
          <w:b w:val="0"/>
          <w:bCs/>
        </w:rPr>
        <w:t>T</w:t>
      </w:r>
      <w:r w:rsidRPr="004A78E6">
        <w:rPr>
          <w:b w:val="0"/>
          <w:bCs/>
        </w:rPr>
        <w:t>able</w:t>
      </w:r>
      <w:r w:rsidRPr="004A78E6">
        <w:rPr>
          <w:b w:val="0"/>
          <w:bCs/>
        </w:rPr>
        <w:t xml:space="preserve"> </w:t>
      </w:r>
      <w:r w:rsidRPr="004A78E6" w:rsidR="00815465">
        <w:rPr>
          <w:b w:val="0"/>
          <w:bCs/>
        </w:rPr>
        <w:t>8</w:t>
      </w:r>
      <w:r w:rsidRPr="004A78E6">
        <w:rPr>
          <w:b w:val="0"/>
          <w:bCs/>
        </w:rPr>
        <w:t>: Estimated Burden for Third Party Intermediary Plan Audits</w:t>
      </w:r>
    </w:p>
    <w:tbl>
      <w:tblPr>
        <w:tblStyle w:val="TableGrid"/>
        <w:tblDescription w:val="Table 8: the estimated burden for submitting targeted audits, corrective action plans, participation plans and transition plans."/>
        <w:tblW w:w="9344" w:type="dxa"/>
        <w:tblLook w:val="04A0"/>
      </w:tblPr>
      <w:tblGrid>
        <w:gridCol w:w="6804"/>
        <w:gridCol w:w="1369"/>
        <w:gridCol w:w="1171"/>
      </w:tblGrid>
      <w:tr w14:paraId="2C0EBD50" w14:textId="77777777" w:rsidTr="007F25A7">
        <w:tblPrEx>
          <w:tblW w:w="9344" w:type="dxa"/>
          <w:tblLook w:val="04A0"/>
        </w:tblPrEx>
        <w:trPr>
          <w:cantSplit/>
          <w:trHeight w:val="462"/>
          <w:tblHeader/>
        </w:trPr>
        <w:tc>
          <w:tcPr>
            <w:tcW w:w="6937" w:type="dxa"/>
            <w:hideMark/>
          </w:tcPr>
          <w:p w:rsidR="00C038CB" w:rsidRPr="00C038CB" w:rsidP="00AB5AC8" w14:paraId="6B9A7E4F" w14:textId="45236622">
            <w:pPr>
              <w:pStyle w:val="Table11-ColumnHeading"/>
              <w:keepNext/>
            </w:pPr>
            <w:r w:rsidRPr="00C038CB">
              <w:t>Burden and Respondent Descriptions</w:t>
            </w:r>
          </w:p>
        </w:tc>
        <w:tc>
          <w:tcPr>
            <w:tcW w:w="1234" w:type="dxa"/>
            <w:hideMark/>
          </w:tcPr>
          <w:p w:rsidR="00C038CB" w:rsidRPr="003D29BA" w:rsidP="00AB5AC8" w14:paraId="20EC9AF5" w14:textId="183E9E8E">
            <w:pPr>
              <w:pStyle w:val="Table11-ColumnHeading"/>
              <w:keepNext/>
            </w:pPr>
            <w:r w:rsidRPr="003D29BA">
              <w:t>Simplified</w:t>
            </w:r>
            <w:r>
              <w:t xml:space="preserve"> Process</w:t>
            </w:r>
          </w:p>
        </w:tc>
        <w:tc>
          <w:tcPr>
            <w:tcW w:w="1173" w:type="dxa"/>
            <w:hideMark/>
          </w:tcPr>
          <w:p w:rsidR="00C038CB" w:rsidRPr="003D29BA" w:rsidP="00AB5AC8" w14:paraId="30015F07" w14:textId="28D264F8">
            <w:pPr>
              <w:pStyle w:val="Table11-ColumnHeading"/>
              <w:keepNext/>
            </w:pPr>
            <w:r w:rsidRPr="003D29BA">
              <w:t>Full</w:t>
            </w:r>
            <w:r>
              <w:t xml:space="preserve"> Process</w:t>
            </w:r>
          </w:p>
        </w:tc>
      </w:tr>
      <w:tr w14:paraId="02B7C9B3" w14:textId="77777777" w:rsidTr="007F25A7">
        <w:tblPrEx>
          <w:tblW w:w="9344" w:type="dxa"/>
          <w:tblLook w:val="04A0"/>
        </w:tblPrEx>
        <w:trPr>
          <w:cantSplit/>
          <w:trHeight w:val="255"/>
        </w:trPr>
        <w:tc>
          <w:tcPr>
            <w:tcW w:w="6937" w:type="dxa"/>
            <w:hideMark/>
          </w:tcPr>
          <w:p w:rsidR="00C038CB" w:rsidRPr="00C038CB" w:rsidP="00AB5AC8" w14:paraId="144C08BC" w14:textId="7A11FCBE">
            <w:pPr>
              <w:pStyle w:val="Table11Basic"/>
              <w:keepNext/>
            </w:pPr>
            <w:r w:rsidRPr="00C038CB">
              <w:t># of Hours per Completion of Targeted Audit (a)</w:t>
            </w:r>
          </w:p>
        </w:tc>
        <w:tc>
          <w:tcPr>
            <w:tcW w:w="1234" w:type="dxa"/>
            <w:hideMark/>
          </w:tcPr>
          <w:p w:rsidR="00C038CB" w:rsidRPr="00C038CB" w:rsidP="00AB5AC8" w14:paraId="43F7C8E6" w14:textId="1F19EF6D">
            <w:pPr>
              <w:pStyle w:val="Table11Centered"/>
              <w:keepNext/>
            </w:pPr>
            <w:r w:rsidRPr="00C038CB">
              <w:t>5</w:t>
            </w:r>
          </w:p>
        </w:tc>
        <w:tc>
          <w:tcPr>
            <w:tcW w:w="1173" w:type="dxa"/>
            <w:hideMark/>
          </w:tcPr>
          <w:p w:rsidR="00C038CB" w:rsidRPr="00C038CB" w:rsidP="00AB5AC8" w14:paraId="13E2E6AA" w14:textId="4102D960">
            <w:pPr>
              <w:pStyle w:val="Table11Centered"/>
              <w:keepNext/>
            </w:pPr>
            <w:r w:rsidRPr="00C038CB">
              <w:t>10</w:t>
            </w:r>
          </w:p>
        </w:tc>
      </w:tr>
      <w:tr w14:paraId="6CDE2531" w14:textId="77777777" w:rsidTr="007F25A7">
        <w:tblPrEx>
          <w:tblW w:w="9344" w:type="dxa"/>
          <w:tblLook w:val="04A0"/>
        </w:tblPrEx>
        <w:trPr>
          <w:cantSplit/>
          <w:trHeight w:val="255"/>
        </w:trPr>
        <w:tc>
          <w:tcPr>
            <w:tcW w:w="6937" w:type="dxa"/>
            <w:shd w:val="clear" w:color="auto" w:fill="E7E6E6" w:themeFill="background2"/>
            <w:hideMark/>
          </w:tcPr>
          <w:p w:rsidR="00C038CB" w:rsidRPr="00890471" w:rsidP="00AB5AC8" w14:paraId="5FC18582" w14:textId="7A8117D4">
            <w:pPr>
              <w:pStyle w:val="Table11Basic"/>
              <w:keepNext/>
            </w:pPr>
            <w:r w:rsidRPr="00890471">
              <w:rPr>
                <w:b/>
                <w:bCs/>
              </w:rPr>
              <w:t xml:space="preserve">Total Annual Hours for Completion of </w:t>
            </w:r>
            <w:r w:rsidRPr="00890471" w:rsidR="005D4D02">
              <w:rPr>
                <w:b/>
                <w:bCs/>
              </w:rPr>
              <w:t>22</w:t>
            </w:r>
            <w:r w:rsidRPr="00890471" w:rsidR="00752D68">
              <w:rPr>
                <w:b/>
                <w:bCs/>
              </w:rPr>
              <w:t xml:space="preserve"> </w:t>
            </w:r>
            <w:r w:rsidRPr="00890471">
              <w:rPr>
                <w:b/>
                <w:bCs/>
              </w:rPr>
              <w:t>Targeted Audits (b)</w:t>
            </w:r>
          </w:p>
        </w:tc>
        <w:tc>
          <w:tcPr>
            <w:tcW w:w="1234" w:type="dxa"/>
            <w:shd w:val="clear" w:color="auto" w:fill="E7E6E6" w:themeFill="background2"/>
            <w:hideMark/>
          </w:tcPr>
          <w:p w:rsidR="00C038CB" w:rsidRPr="00890471" w:rsidP="00AB5AC8" w14:paraId="1E2BAFE3" w14:textId="457C09E4">
            <w:pPr>
              <w:pStyle w:val="Table11Centered"/>
              <w:keepNext/>
            </w:pPr>
            <w:r w:rsidRPr="00890471">
              <w:rPr>
                <w:b/>
                <w:bCs/>
              </w:rPr>
              <w:t>1</w:t>
            </w:r>
            <w:r w:rsidRPr="00890471" w:rsidR="00680523">
              <w:rPr>
                <w:b/>
                <w:bCs/>
              </w:rPr>
              <w:t>10</w:t>
            </w:r>
          </w:p>
        </w:tc>
        <w:tc>
          <w:tcPr>
            <w:tcW w:w="1173" w:type="dxa"/>
            <w:shd w:val="clear" w:color="auto" w:fill="E7E6E6" w:themeFill="background2"/>
            <w:hideMark/>
          </w:tcPr>
          <w:p w:rsidR="00C038CB" w:rsidRPr="00890471" w:rsidP="00AB5AC8" w14:paraId="0D0751EA" w14:textId="42943CA1">
            <w:pPr>
              <w:pStyle w:val="Table11Centered"/>
              <w:keepNext/>
            </w:pPr>
            <w:r w:rsidRPr="00890471">
              <w:rPr>
                <w:b/>
                <w:bCs/>
              </w:rPr>
              <w:t>220</w:t>
            </w:r>
          </w:p>
        </w:tc>
      </w:tr>
      <w:tr w14:paraId="12A67434" w14:textId="77777777" w:rsidTr="007F25A7">
        <w:tblPrEx>
          <w:tblW w:w="9344" w:type="dxa"/>
          <w:tblLook w:val="04A0"/>
        </w:tblPrEx>
        <w:trPr>
          <w:cantSplit/>
          <w:trHeight w:val="255"/>
        </w:trPr>
        <w:tc>
          <w:tcPr>
            <w:tcW w:w="6937" w:type="dxa"/>
            <w:hideMark/>
          </w:tcPr>
          <w:p w:rsidR="00C038CB" w:rsidRPr="00890471" w:rsidP="00AB5AC8" w14:paraId="2145C8EE" w14:textId="281818AC">
            <w:pPr>
              <w:pStyle w:val="Table11Basic"/>
              <w:keepNext/>
            </w:pPr>
            <w:r w:rsidRPr="00890471">
              <w:t># of Hours per Submission of Participation Plan (c)</w:t>
            </w:r>
          </w:p>
        </w:tc>
        <w:tc>
          <w:tcPr>
            <w:tcW w:w="1234" w:type="dxa"/>
            <w:hideMark/>
          </w:tcPr>
          <w:p w:rsidR="00C038CB" w:rsidRPr="00890471" w:rsidP="00AB5AC8" w14:paraId="0D3A1D51" w14:textId="3F7755ED">
            <w:pPr>
              <w:pStyle w:val="Table11Centered"/>
              <w:keepNext/>
            </w:pPr>
            <w:r w:rsidRPr="00890471">
              <w:t>2</w:t>
            </w:r>
          </w:p>
        </w:tc>
        <w:tc>
          <w:tcPr>
            <w:tcW w:w="1173" w:type="dxa"/>
            <w:hideMark/>
          </w:tcPr>
          <w:p w:rsidR="00C038CB" w:rsidRPr="00890471" w:rsidP="00AB5AC8" w14:paraId="09837183" w14:textId="379C48C1">
            <w:pPr>
              <w:pStyle w:val="Table11Centered"/>
              <w:keepNext/>
            </w:pPr>
            <w:r w:rsidRPr="00890471">
              <w:t>2</w:t>
            </w:r>
          </w:p>
        </w:tc>
      </w:tr>
      <w:tr w14:paraId="724ACCDF" w14:textId="77777777" w:rsidTr="007F25A7">
        <w:tblPrEx>
          <w:tblW w:w="9344" w:type="dxa"/>
          <w:tblLook w:val="04A0"/>
        </w:tblPrEx>
        <w:trPr>
          <w:cantSplit/>
          <w:trHeight w:val="255"/>
        </w:trPr>
        <w:tc>
          <w:tcPr>
            <w:tcW w:w="6937" w:type="dxa"/>
            <w:shd w:val="clear" w:color="auto" w:fill="E7E6E6" w:themeFill="background2"/>
            <w:hideMark/>
          </w:tcPr>
          <w:p w:rsidR="00C038CB" w:rsidRPr="00890471" w:rsidP="00AB5AC8" w14:paraId="16C4988E" w14:textId="4BE6CD4C">
            <w:pPr>
              <w:pStyle w:val="Table11Basic"/>
              <w:keepNext/>
            </w:pPr>
            <w:r w:rsidRPr="00890471">
              <w:rPr>
                <w:b/>
                <w:bCs/>
              </w:rPr>
              <w:t xml:space="preserve">Total Annual Hours for Submission of </w:t>
            </w:r>
            <w:r w:rsidRPr="00890471" w:rsidR="005D4D02">
              <w:rPr>
                <w:b/>
                <w:bCs/>
              </w:rPr>
              <w:t>11</w:t>
            </w:r>
            <w:r w:rsidRPr="00890471">
              <w:rPr>
                <w:b/>
                <w:bCs/>
              </w:rPr>
              <w:t xml:space="preserve"> Participation Plans</w:t>
            </w:r>
            <w:r w:rsidRPr="00890471">
              <w:t xml:space="preserve"> (d)</w:t>
            </w:r>
          </w:p>
        </w:tc>
        <w:tc>
          <w:tcPr>
            <w:tcW w:w="1234" w:type="dxa"/>
            <w:shd w:val="clear" w:color="auto" w:fill="E7E6E6" w:themeFill="background2"/>
            <w:hideMark/>
          </w:tcPr>
          <w:p w:rsidR="00C038CB" w:rsidRPr="00290C4A" w:rsidP="00AB5AC8" w14:paraId="0F1D32C4" w14:textId="705EAA28">
            <w:pPr>
              <w:pStyle w:val="Table11Centered"/>
              <w:keepNext/>
              <w:rPr>
                <w:b/>
                <w:bCs/>
              </w:rPr>
            </w:pPr>
            <w:r w:rsidRPr="00290C4A">
              <w:rPr>
                <w:b/>
                <w:bCs/>
              </w:rPr>
              <w:t>22</w:t>
            </w:r>
          </w:p>
        </w:tc>
        <w:tc>
          <w:tcPr>
            <w:tcW w:w="1173" w:type="dxa"/>
            <w:shd w:val="clear" w:color="auto" w:fill="E7E6E6" w:themeFill="background2"/>
            <w:hideMark/>
          </w:tcPr>
          <w:p w:rsidR="00C038CB" w:rsidRPr="00890471" w:rsidP="00AB5AC8" w14:paraId="6E313F00" w14:textId="7AB2C0A8">
            <w:pPr>
              <w:pStyle w:val="Table11Centered"/>
              <w:keepNext/>
            </w:pPr>
            <w:r w:rsidRPr="00890471">
              <w:rPr>
                <w:b/>
                <w:bCs/>
              </w:rPr>
              <w:t>22</w:t>
            </w:r>
          </w:p>
        </w:tc>
      </w:tr>
      <w:tr w14:paraId="2BB9BE49" w14:textId="77777777" w:rsidTr="007F25A7">
        <w:tblPrEx>
          <w:tblW w:w="9344" w:type="dxa"/>
          <w:tblLook w:val="04A0"/>
        </w:tblPrEx>
        <w:trPr>
          <w:cantSplit/>
          <w:trHeight w:val="165"/>
        </w:trPr>
        <w:tc>
          <w:tcPr>
            <w:tcW w:w="6937" w:type="dxa"/>
            <w:hideMark/>
          </w:tcPr>
          <w:p w:rsidR="00C038CB" w:rsidRPr="00890471" w:rsidP="00AB5AC8" w14:paraId="3AA27A2D" w14:textId="02DDF08B">
            <w:pPr>
              <w:pStyle w:val="Table11Basic"/>
            </w:pPr>
            <w:r w:rsidRPr="00890471">
              <w:t># of Hours per Submission of CAP (e)</w:t>
            </w:r>
          </w:p>
        </w:tc>
        <w:tc>
          <w:tcPr>
            <w:tcW w:w="1234" w:type="dxa"/>
            <w:hideMark/>
          </w:tcPr>
          <w:p w:rsidR="00C038CB" w:rsidRPr="00890471" w:rsidP="00AB5AC8" w14:paraId="0635F13C" w14:textId="1761C6BC">
            <w:pPr>
              <w:pStyle w:val="Table11Centered"/>
            </w:pPr>
            <w:r w:rsidRPr="00890471">
              <w:t>3</w:t>
            </w:r>
          </w:p>
        </w:tc>
        <w:tc>
          <w:tcPr>
            <w:tcW w:w="1173" w:type="dxa"/>
            <w:hideMark/>
          </w:tcPr>
          <w:p w:rsidR="00C038CB" w:rsidRPr="00890471" w:rsidP="00AB5AC8" w14:paraId="5E7438F4" w14:textId="1D11E3A8">
            <w:pPr>
              <w:pStyle w:val="Table11Centered"/>
            </w:pPr>
            <w:r w:rsidRPr="00890471">
              <w:t>3</w:t>
            </w:r>
          </w:p>
        </w:tc>
      </w:tr>
      <w:tr w14:paraId="31EC7574" w14:textId="77777777" w:rsidTr="007F25A7">
        <w:tblPrEx>
          <w:tblW w:w="9344" w:type="dxa"/>
          <w:tblLook w:val="04A0"/>
        </w:tblPrEx>
        <w:trPr>
          <w:cantSplit/>
          <w:trHeight w:val="255"/>
        </w:trPr>
        <w:tc>
          <w:tcPr>
            <w:tcW w:w="6937" w:type="dxa"/>
            <w:shd w:val="clear" w:color="auto" w:fill="E7E6E6" w:themeFill="background2"/>
            <w:hideMark/>
          </w:tcPr>
          <w:p w:rsidR="00C038CB" w:rsidRPr="00890471" w:rsidP="00AB5AC8" w14:paraId="0FC5C19A" w14:textId="2E7C0269">
            <w:pPr>
              <w:pStyle w:val="Table11Basic"/>
            </w:pPr>
            <w:r w:rsidRPr="00890471">
              <w:rPr>
                <w:b/>
                <w:bCs/>
              </w:rPr>
              <w:t xml:space="preserve">Total Annual Hours for Submission of </w:t>
            </w:r>
            <w:r w:rsidRPr="00890471" w:rsidR="005D4D02">
              <w:rPr>
                <w:b/>
                <w:bCs/>
              </w:rPr>
              <w:t>6</w:t>
            </w:r>
            <w:r w:rsidRPr="00890471" w:rsidR="00A17590">
              <w:rPr>
                <w:b/>
                <w:bCs/>
              </w:rPr>
              <w:t xml:space="preserve"> </w:t>
            </w:r>
            <w:r w:rsidRPr="00890471">
              <w:rPr>
                <w:b/>
                <w:bCs/>
              </w:rPr>
              <w:t>CAPs (f)</w:t>
            </w:r>
          </w:p>
        </w:tc>
        <w:tc>
          <w:tcPr>
            <w:tcW w:w="1234" w:type="dxa"/>
            <w:shd w:val="clear" w:color="auto" w:fill="E7E6E6" w:themeFill="background2"/>
            <w:hideMark/>
          </w:tcPr>
          <w:p w:rsidR="00C038CB" w:rsidRPr="00890471" w:rsidP="00AB5AC8" w14:paraId="30A0E492" w14:textId="667542B8">
            <w:pPr>
              <w:pStyle w:val="Table11Centered"/>
              <w:rPr>
                <w:b/>
                <w:bCs/>
              </w:rPr>
            </w:pPr>
            <w:r w:rsidRPr="00890471">
              <w:rPr>
                <w:b/>
                <w:bCs/>
              </w:rPr>
              <w:t>18</w:t>
            </w:r>
          </w:p>
        </w:tc>
        <w:tc>
          <w:tcPr>
            <w:tcW w:w="1173" w:type="dxa"/>
            <w:shd w:val="clear" w:color="auto" w:fill="E7E6E6" w:themeFill="background2"/>
            <w:hideMark/>
          </w:tcPr>
          <w:p w:rsidR="00C038CB" w:rsidRPr="00890471" w:rsidP="00AB5AC8" w14:paraId="276D94A6" w14:textId="3B8D7F1C">
            <w:pPr>
              <w:pStyle w:val="Table11Centered"/>
              <w:rPr>
                <w:b/>
                <w:bCs/>
              </w:rPr>
            </w:pPr>
            <w:r w:rsidRPr="00890471">
              <w:rPr>
                <w:b/>
                <w:bCs/>
              </w:rPr>
              <w:t>18</w:t>
            </w:r>
          </w:p>
        </w:tc>
      </w:tr>
      <w:tr w14:paraId="5766971A" w14:textId="77777777" w:rsidTr="007F25A7">
        <w:tblPrEx>
          <w:tblW w:w="9344" w:type="dxa"/>
          <w:tblLook w:val="04A0"/>
        </w:tblPrEx>
        <w:trPr>
          <w:cantSplit/>
          <w:trHeight w:val="255"/>
        </w:trPr>
        <w:tc>
          <w:tcPr>
            <w:tcW w:w="6937" w:type="dxa"/>
            <w:hideMark/>
          </w:tcPr>
          <w:p w:rsidR="00C038CB" w:rsidRPr="00890471" w:rsidP="00AB5AC8" w14:paraId="5762B21D" w14:textId="7E378BB4">
            <w:pPr>
              <w:pStyle w:val="Table11Basic"/>
            </w:pPr>
            <w:r w:rsidRPr="00890471">
              <w:t># of Hours per Submission of Transition Plan (g)</w:t>
            </w:r>
          </w:p>
        </w:tc>
        <w:tc>
          <w:tcPr>
            <w:tcW w:w="1234" w:type="dxa"/>
            <w:hideMark/>
          </w:tcPr>
          <w:p w:rsidR="00C038CB" w:rsidRPr="00890471" w:rsidP="00AB5AC8" w14:paraId="0057ED9D" w14:textId="33F7681C">
            <w:pPr>
              <w:pStyle w:val="Table11Centered"/>
            </w:pPr>
            <w:r w:rsidRPr="00890471">
              <w:t>1</w:t>
            </w:r>
          </w:p>
        </w:tc>
        <w:tc>
          <w:tcPr>
            <w:tcW w:w="1173" w:type="dxa"/>
            <w:hideMark/>
          </w:tcPr>
          <w:p w:rsidR="00C038CB" w:rsidRPr="00890471" w:rsidP="00AB5AC8" w14:paraId="484342CD" w14:textId="3561CD6B">
            <w:pPr>
              <w:pStyle w:val="Table11Centered"/>
            </w:pPr>
            <w:r w:rsidRPr="00890471">
              <w:t>1</w:t>
            </w:r>
          </w:p>
        </w:tc>
      </w:tr>
      <w:tr w14:paraId="23365814" w14:textId="77777777" w:rsidTr="007F25A7">
        <w:tblPrEx>
          <w:tblW w:w="9344" w:type="dxa"/>
          <w:tblLook w:val="04A0"/>
        </w:tblPrEx>
        <w:trPr>
          <w:cantSplit/>
        </w:trPr>
        <w:tc>
          <w:tcPr>
            <w:tcW w:w="6937" w:type="dxa"/>
            <w:shd w:val="clear" w:color="auto" w:fill="E7E6E6" w:themeFill="background2"/>
            <w:hideMark/>
          </w:tcPr>
          <w:p w:rsidR="00C038CB" w:rsidRPr="00890471" w:rsidP="00AB5AC8" w14:paraId="15BFA680" w14:textId="3E522F16">
            <w:pPr>
              <w:pStyle w:val="Table11Basic"/>
            </w:pPr>
            <w:r w:rsidRPr="00890471">
              <w:rPr>
                <w:b/>
                <w:bCs/>
              </w:rPr>
              <w:t xml:space="preserve">Total Annual Hours for Submission of </w:t>
            </w:r>
            <w:r w:rsidRPr="00890471" w:rsidR="005D4D02">
              <w:rPr>
                <w:b/>
                <w:bCs/>
              </w:rPr>
              <w:t>3</w:t>
            </w:r>
            <w:r w:rsidRPr="00890471">
              <w:rPr>
                <w:b/>
                <w:bCs/>
              </w:rPr>
              <w:t xml:space="preserve"> Transition Plans (h)</w:t>
            </w:r>
          </w:p>
        </w:tc>
        <w:tc>
          <w:tcPr>
            <w:tcW w:w="1234" w:type="dxa"/>
            <w:shd w:val="clear" w:color="auto" w:fill="E7E6E6" w:themeFill="background2"/>
            <w:hideMark/>
          </w:tcPr>
          <w:p w:rsidR="00C038CB" w:rsidRPr="00890471" w:rsidP="00AB5AC8" w14:paraId="74633F1C" w14:textId="71E537A1">
            <w:pPr>
              <w:pStyle w:val="Table11Centered"/>
              <w:rPr>
                <w:b/>
                <w:bCs/>
              </w:rPr>
            </w:pPr>
            <w:r w:rsidRPr="00890471">
              <w:rPr>
                <w:b/>
                <w:bCs/>
              </w:rPr>
              <w:t>3</w:t>
            </w:r>
          </w:p>
        </w:tc>
        <w:tc>
          <w:tcPr>
            <w:tcW w:w="1173" w:type="dxa"/>
            <w:shd w:val="clear" w:color="auto" w:fill="E7E6E6" w:themeFill="background2"/>
            <w:hideMark/>
          </w:tcPr>
          <w:p w:rsidR="00C038CB" w:rsidRPr="00890471" w:rsidP="00AB5AC8" w14:paraId="1E79015F" w14:textId="01941720">
            <w:pPr>
              <w:pStyle w:val="Table11Centered"/>
              <w:rPr>
                <w:b/>
                <w:bCs/>
              </w:rPr>
            </w:pPr>
            <w:r w:rsidRPr="00890471">
              <w:rPr>
                <w:b/>
                <w:bCs/>
              </w:rPr>
              <w:t>3</w:t>
            </w:r>
          </w:p>
        </w:tc>
      </w:tr>
      <w:tr w14:paraId="63C256BB" w14:textId="77777777" w:rsidTr="007F25A7">
        <w:tblPrEx>
          <w:tblW w:w="9344" w:type="dxa"/>
          <w:tblLook w:val="04A0"/>
        </w:tblPrEx>
        <w:trPr>
          <w:cantSplit/>
        </w:trPr>
        <w:tc>
          <w:tcPr>
            <w:tcW w:w="6937" w:type="dxa"/>
            <w:shd w:val="clear" w:color="auto" w:fill="E7E6E6" w:themeFill="background2"/>
            <w:hideMark/>
          </w:tcPr>
          <w:p w:rsidR="00C038CB" w:rsidRPr="00890471" w:rsidP="00AB5AC8" w14:paraId="76DDC470" w14:textId="4E32D3DA">
            <w:pPr>
              <w:pStyle w:val="Table11Basic"/>
            </w:pPr>
            <w:r w:rsidRPr="00890471">
              <w:rPr>
                <w:b/>
                <w:bCs/>
              </w:rPr>
              <w:t>Total Annual Hours for Submission of Plan Audits (i) = (b) + (d) + (f) + (h)</w:t>
            </w:r>
          </w:p>
        </w:tc>
        <w:tc>
          <w:tcPr>
            <w:tcW w:w="1234" w:type="dxa"/>
            <w:shd w:val="clear" w:color="auto" w:fill="E7E6E6" w:themeFill="background2"/>
            <w:hideMark/>
          </w:tcPr>
          <w:p w:rsidR="00C038CB" w:rsidRPr="00890471" w:rsidP="00AB5AC8" w14:paraId="34C60056" w14:textId="2947CF03">
            <w:pPr>
              <w:pStyle w:val="Table11Centered"/>
              <w:rPr>
                <w:b/>
                <w:bCs/>
              </w:rPr>
            </w:pPr>
            <w:r w:rsidRPr="00890471">
              <w:rPr>
                <w:b/>
                <w:bCs/>
              </w:rPr>
              <w:t>153</w:t>
            </w:r>
          </w:p>
        </w:tc>
        <w:tc>
          <w:tcPr>
            <w:tcW w:w="1173" w:type="dxa"/>
            <w:shd w:val="clear" w:color="auto" w:fill="E7E6E6" w:themeFill="background2"/>
            <w:hideMark/>
          </w:tcPr>
          <w:p w:rsidR="00C038CB" w:rsidRPr="00890471" w:rsidP="00AB5AC8" w14:paraId="2B07C2A1" w14:textId="42DD7C42">
            <w:pPr>
              <w:pStyle w:val="Table11Centered"/>
              <w:rPr>
                <w:b/>
                <w:bCs/>
              </w:rPr>
            </w:pPr>
            <w:r w:rsidRPr="00890471">
              <w:rPr>
                <w:b/>
                <w:bCs/>
              </w:rPr>
              <w:t>263</w:t>
            </w:r>
          </w:p>
        </w:tc>
      </w:tr>
      <w:tr w14:paraId="2936C487" w14:textId="77777777" w:rsidTr="007F25A7">
        <w:tblPrEx>
          <w:tblW w:w="9344" w:type="dxa"/>
          <w:tblLook w:val="04A0"/>
        </w:tblPrEx>
        <w:trPr>
          <w:cantSplit/>
        </w:trPr>
        <w:tc>
          <w:tcPr>
            <w:tcW w:w="6937" w:type="dxa"/>
            <w:hideMark/>
          </w:tcPr>
          <w:p w:rsidR="00C038CB" w:rsidRPr="00890471" w:rsidP="00AB5AC8" w14:paraId="31861F46" w14:textId="3A80238F">
            <w:pPr>
              <w:pStyle w:val="Table11Basic"/>
            </w:pPr>
            <w:r w:rsidRPr="00890471">
              <w:rPr>
                <w:color w:val="000000" w:themeColor="text1"/>
              </w:rPr>
              <w:t xml:space="preserve">Cost </w:t>
            </w:r>
            <w:r w:rsidRPr="00890471" w:rsidR="3FA27043">
              <w:rPr>
                <w:color w:val="000000" w:themeColor="text1"/>
              </w:rPr>
              <w:t>p</w:t>
            </w:r>
            <w:r w:rsidRPr="00890471">
              <w:rPr>
                <w:color w:val="000000" w:themeColor="text1"/>
              </w:rPr>
              <w:t>er Targeted Audit (</w:t>
            </w:r>
            <w:r w:rsidRPr="00890471" w:rsidR="00482D43">
              <w:rPr>
                <w:color w:val="000000" w:themeColor="text1"/>
              </w:rPr>
              <w:t>at</w:t>
            </w:r>
            <w:r w:rsidRPr="00890471">
              <w:rPr>
                <w:color w:val="000000" w:themeColor="text1"/>
              </w:rPr>
              <w:t xml:space="preserve"> </w:t>
            </w:r>
            <w:r w:rsidRPr="00890471" w:rsidR="205F4A7F">
              <w:rPr>
                <w:color w:val="000000" w:themeColor="text1"/>
              </w:rPr>
              <w:t>C</w:t>
            </w:r>
            <w:r w:rsidRPr="00890471">
              <w:rPr>
                <w:color w:val="000000" w:themeColor="text1"/>
              </w:rPr>
              <w:t xml:space="preserve">omputer </w:t>
            </w:r>
            <w:r w:rsidRPr="00890471" w:rsidR="4087F3AA">
              <w:rPr>
                <w:color w:val="000000" w:themeColor="text1"/>
              </w:rPr>
              <w:t>S</w:t>
            </w:r>
            <w:r w:rsidRPr="00890471">
              <w:rPr>
                <w:color w:val="000000" w:themeColor="text1"/>
              </w:rPr>
              <w:t xml:space="preserve">ystems </w:t>
            </w:r>
            <w:r w:rsidRPr="00890471" w:rsidR="55C7351E">
              <w:rPr>
                <w:color w:val="000000" w:themeColor="text1"/>
              </w:rPr>
              <w:t>A</w:t>
            </w:r>
            <w:r w:rsidRPr="00890471">
              <w:rPr>
                <w:color w:val="000000" w:themeColor="text1"/>
              </w:rPr>
              <w:t xml:space="preserve">nalyst’s </w:t>
            </w:r>
            <w:r w:rsidRPr="00890471" w:rsidR="3F439546">
              <w:rPr>
                <w:color w:val="000000" w:themeColor="text1"/>
              </w:rPr>
              <w:t>L</w:t>
            </w:r>
            <w:r w:rsidRPr="00890471">
              <w:rPr>
                <w:color w:val="000000" w:themeColor="text1"/>
              </w:rPr>
              <w:t xml:space="preserve">abor </w:t>
            </w:r>
            <w:r w:rsidRPr="00890471" w:rsidR="30CD2D26">
              <w:rPr>
                <w:color w:val="000000" w:themeColor="text1"/>
              </w:rPr>
              <w:t>R</w:t>
            </w:r>
            <w:r w:rsidRPr="00890471">
              <w:rPr>
                <w:color w:val="000000" w:themeColor="text1"/>
              </w:rPr>
              <w:t>ate of</w:t>
            </w:r>
            <w:bookmarkStart w:id="138" w:name="_1777393559"/>
            <w:bookmarkStart w:id="139" w:name="_1777392082"/>
            <w:bookmarkStart w:id="140" w:name="_1777205024"/>
            <w:bookmarkEnd w:id="138"/>
            <w:bookmarkEnd w:id="139"/>
            <w:bookmarkEnd w:id="140"/>
            <w:r w:rsidRPr="00890471" w:rsidR="00231FF0">
              <w:t xml:space="preserve"> $106.54</w:t>
            </w:r>
            <w:r w:rsidRPr="00890471">
              <w:rPr>
                <w:color w:val="000000" w:themeColor="text1"/>
              </w:rPr>
              <w:t xml:space="preserve">/hr) (j) = (a) </w:t>
            </w:r>
            <w:r w:rsidRPr="00890471" w:rsidR="00873289">
              <w:rPr>
                <w:color w:val="000000" w:themeColor="text1"/>
              </w:rPr>
              <w:t>[</w:t>
            </w:r>
            <w:r w:rsidR="00832F3F">
              <w:t>×</w:t>
            </w:r>
            <w:r w:rsidRPr="00890471" w:rsidR="5ADA7B01">
              <w:rPr>
                <w:color w:val="000000" w:themeColor="text1"/>
              </w:rPr>
              <w:t>]</w:t>
            </w:r>
            <w:bookmarkStart w:id="141" w:name="_1777393565"/>
            <w:bookmarkStart w:id="142" w:name="_1777392089"/>
            <w:bookmarkStart w:id="143" w:name="_1777205031"/>
            <w:bookmarkEnd w:id="141"/>
            <w:bookmarkEnd w:id="142"/>
            <w:bookmarkEnd w:id="143"/>
            <w:r w:rsidRPr="00890471" w:rsidR="00231FF0">
              <w:t xml:space="preserve"> $106.54</w:t>
            </w:r>
            <w:r w:rsidRPr="00890471">
              <w:rPr>
                <w:color w:val="000000" w:themeColor="text1"/>
              </w:rPr>
              <w:t>/hr</w:t>
            </w:r>
          </w:p>
        </w:tc>
        <w:tc>
          <w:tcPr>
            <w:tcW w:w="1234" w:type="dxa"/>
            <w:hideMark/>
          </w:tcPr>
          <w:p w:rsidR="00C038CB" w:rsidRPr="00890471" w:rsidP="00AB5AC8" w14:paraId="73D71BF2" w14:textId="097EE075">
            <w:pPr>
              <w:pStyle w:val="Table11Centered"/>
            </w:pPr>
            <w:r w:rsidRPr="00890471">
              <w:t>$</w:t>
            </w:r>
            <w:r w:rsidRPr="00890471" w:rsidR="00101D31">
              <w:t>532.70</w:t>
            </w:r>
          </w:p>
          <w:p w:rsidR="00C3455C" w:rsidRPr="00890471" w:rsidP="00AB5AC8" w14:paraId="016A8405" w14:textId="0FDC2EBA">
            <w:pPr>
              <w:pStyle w:val="Table11Centered"/>
            </w:pPr>
          </w:p>
        </w:tc>
        <w:tc>
          <w:tcPr>
            <w:tcW w:w="1173" w:type="dxa"/>
            <w:hideMark/>
          </w:tcPr>
          <w:p w:rsidR="00C3455C" w:rsidRPr="00890471" w:rsidP="00AB5AC8" w14:paraId="6E576125" w14:textId="6375AB6A">
            <w:pPr>
              <w:pStyle w:val="Table11Centered"/>
            </w:pPr>
            <w:r w:rsidRPr="00890471">
              <w:t>$</w:t>
            </w:r>
            <w:r w:rsidRPr="00890471" w:rsidR="00101D31">
              <w:t>1,065.40</w:t>
            </w:r>
          </w:p>
        </w:tc>
      </w:tr>
      <w:tr w14:paraId="3F427A56" w14:textId="77777777" w:rsidTr="007F25A7">
        <w:tblPrEx>
          <w:tblW w:w="9344" w:type="dxa"/>
          <w:tblLook w:val="04A0"/>
        </w:tblPrEx>
        <w:trPr>
          <w:cantSplit/>
        </w:trPr>
        <w:tc>
          <w:tcPr>
            <w:tcW w:w="6937" w:type="dxa"/>
            <w:hideMark/>
          </w:tcPr>
          <w:p w:rsidR="00C038CB" w:rsidRPr="00890471" w:rsidP="00AB5AC8" w14:paraId="351E2644" w14:textId="54BD693D">
            <w:pPr>
              <w:pStyle w:val="Table11Basic"/>
            </w:pPr>
            <w:r w:rsidRPr="00890471">
              <w:rPr>
                <w:color w:val="000000" w:themeColor="text1"/>
              </w:rPr>
              <w:t xml:space="preserve">Cost </w:t>
            </w:r>
            <w:r w:rsidRPr="00890471" w:rsidR="6E50F4C9">
              <w:rPr>
                <w:color w:val="000000" w:themeColor="text1"/>
              </w:rPr>
              <w:t>p</w:t>
            </w:r>
            <w:r w:rsidRPr="00890471">
              <w:rPr>
                <w:color w:val="000000" w:themeColor="text1"/>
              </w:rPr>
              <w:t>er Participation Plan (</w:t>
            </w:r>
            <w:r w:rsidRPr="00890471" w:rsidR="00482D43">
              <w:rPr>
                <w:color w:val="000000" w:themeColor="text1"/>
              </w:rPr>
              <w:t>at</w:t>
            </w:r>
            <w:r w:rsidRPr="00890471">
              <w:rPr>
                <w:color w:val="000000" w:themeColor="text1"/>
              </w:rPr>
              <w:t xml:space="preserve"> </w:t>
            </w:r>
            <w:r w:rsidRPr="00890471" w:rsidR="66EE1F3E">
              <w:rPr>
                <w:color w:val="000000" w:themeColor="text1"/>
              </w:rPr>
              <w:t>Computer Systems Analyst’s Labor Rate</w:t>
            </w:r>
            <w:r w:rsidRPr="00890471">
              <w:rPr>
                <w:color w:val="000000" w:themeColor="text1"/>
              </w:rPr>
              <w:t xml:space="preserve"> of </w:t>
            </w:r>
            <w:r w:rsidRPr="00890471" w:rsidR="00231FF0">
              <w:rPr>
                <w:color w:val="000000" w:themeColor="text1"/>
              </w:rPr>
              <w:t>$</w:t>
            </w:r>
            <w:bookmarkStart w:id="144" w:name="_1777393571"/>
            <w:bookmarkStart w:id="145" w:name="_1777392095"/>
            <w:bookmarkStart w:id="146" w:name="_1777205038"/>
            <w:bookmarkEnd w:id="144"/>
            <w:bookmarkEnd w:id="145"/>
            <w:bookmarkEnd w:id="146"/>
            <w:r w:rsidRPr="00890471" w:rsidR="00231FF0">
              <w:t>106.54</w:t>
            </w:r>
            <w:r w:rsidRPr="00890471">
              <w:rPr>
                <w:color w:val="000000" w:themeColor="text1"/>
              </w:rPr>
              <w:t xml:space="preserve">/hr) (k) = (c) </w:t>
            </w:r>
            <w:r w:rsidRPr="00890471" w:rsidR="00873289">
              <w:rPr>
                <w:color w:val="000000" w:themeColor="text1"/>
              </w:rPr>
              <w:t>[</w:t>
            </w:r>
            <w:r w:rsidR="00832F3F">
              <w:t>×</w:t>
            </w:r>
            <w:r w:rsidRPr="00890471" w:rsidR="5ADA7B01">
              <w:rPr>
                <w:color w:val="000000" w:themeColor="text1"/>
              </w:rPr>
              <w:t>]</w:t>
            </w:r>
            <w:bookmarkStart w:id="147" w:name="_1777393577"/>
            <w:bookmarkStart w:id="148" w:name="_1777392102"/>
            <w:bookmarkStart w:id="149" w:name="_1777205045"/>
            <w:bookmarkEnd w:id="147"/>
            <w:bookmarkEnd w:id="148"/>
            <w:bookmarkEnd w:id="149"/>
            <w:r w:rsidRPr="00890471" w:rsidR="00231FF0">
              <w:t xml:space="preserve"> $106.54</w:t>
            </w:r>
            <w:r w:rsidRPr="00890471">
              <w:rPr>
                <w:color w:val="000000" w:themeColor="text1"/>
              </w:rPr>
              <w:t>/hr</w:t>
            </w:r>
          </w:p>
        </w:tc>
        <w:tc>
          <w:tcPr>
            <w:tcW w:w="1234" w:type="dxa"/>
            <w:hideMark/>
          </w:tcPr>
          <w:p w:rsidR="00C3455C" w:rsidRPr="00890471" w:rsidP="00AB5AC8" w14:paraId="60AED385" w14:textId="0110102C">
            <w:pPr>
              <w:pStyle w:val="Table11Centered"/>
            </w:pPr>
            <w:r w:rsidRPr="00890471">
              <w:t>$</w:t>
            </w:r>
            <w:r w:rsidRPr="00890471" w:rsidR="00101D31">
              <w:t>213.08</w:t>
            </w:r>
          </w:p>
        </w:tc>
        <w:tc>
          <w:tcPr>
            <w:tcW w:w="1173" w:type="dxa"/>
            <w:hideMark/>
          </w:tcPr>
          <w:p w:rsidR="00C3455C" w:rsidRPr="00890471" w:rsidP="00AB5AC8" w14:paraId="2DF586D6" w14:textId="2730DB39">
            <w:pPr>
              <w:pStyle w:val="Table11Centered"/>
            </w:pPr>
            <w:r w:rsidRPr="00890471">
              <w:t>$</w:t>
            </w:r>
            <w:r w:rsidRPr="00890471" w:rsidR="00101D31">
              <w:t>213.08</w:t>
            </w:r>
          </w:p>
        </w:tc>
      </w:tr>
      <w:tr w14:paraId="3A9FD379" w14:textId="77777777" w:rsidTr="007F25A7">
        <w:tblPrEx>
          <w:tblW w:w="9344" w:type="dxa"/>
          <w:tblLook w:val="04A0"/>
        </w:tblPrEx>
        <w:trPr>
          <w:cantSplit/>
        </w:trPr>
        <w:tc>
          <w:tcPr>
            <w:tcW w:w="6937" w:type="dxa"/>
            <w:hideMark/>
          </w:tcPr>
          <w:p w:rsidR="00C038CB" w:rsidRPr="00890471" w:rsidP="00AB5AC8" w14:paraId="745C10BA" w14:textId="0DD0D8AA">
            <w:pPr>
              <w:pStyle w:val="Table11Basic"/>
            </w:pPr>
            <w:r w:rsidRPr="00890471">
              <w:rPr>
                <w:color w:val="000000" w:themeColor="text1"/>
              </w:rPr>
              <w:t>Cost per CAP (</w:t>
            </w:r>
            <w:r w:rsidRPr="00890471" w:rsidR="00482D43">
              <w:rPr>
                <w:color w:val="000000" w:themeColor="text1"/>
              </w:rPr>
              <w:t>at</w:t>
            </w:r>
            <w:r w:rsidRPr="00890471">
              <w:rPr>
                <w:color w:val="000000" w:themeColor="text1"/>
              </w:rPr>
              <w:t xml:space="preserve"> </w:t>
            </w:r>
            <w:r w:rsidRPr="00890471" w:rsidR="4C8DB4E5">
              <w:rPr>
                <w:color w:val="000000" w:themeColor="text1"/>
              </w:rPr>
              <w:t>Computer Systems Analyst’s Labor Rate</w:t>
            </w:r>
            <w:r w:rsidRPr="00890471">
              <w:rPr>
                <w:color w:val="000000" w:themeColor="text1"/>
              </w:rPr>
              <w:t xml:space="preserve"> of</w:t>
            </w:r>
            <w:bookmarkStart w:id="150" w:name="_1777393582"/>
            <w:bookmarkStart w:id="151" w:name="_1777392109"/>
            <w:bookmarkStart w:id="152" w:name="_1777205052"/>
            <w:bookmarkEnd w:id="150"/>
            <w:bookmarkEnd w:id="151"/>
            <w:bookmarkEnd w:id="152"/>
            <w:r w:rsidRPr="00890471" w:rsidR="00231FF0">
              <w:t xml:space="preserve"> $106.54</w:t>
            </w:r>
            <w:r w:rsidRPr="00890471">
              <w:rPr>
                <w:color w:val="000000" w:themeColor="text1"/>
              </w:rPr>
              <w:t xml:space="preserve">/hr) (l) = (e) </w:t>
            </w:r>
            <w:r w:rsidRPr="00890471" w:rsidR="00873289">
              <w:rPr>
                <w:color w:val="000000" w:themeColor="text1"/>
              </w:rPr>
              <w:t>[</w:t>
            </w:r>
            <w:r w:rsidR="00832F3F">
              <w:t>×</w:t>
            </w:r>
            <w:r w:rsidRPr="00890471" w:rsidR="00873289">
              <w:rPr>
                <w:color w:val="000000" w:themeColor="text1"/>
              </w:rPr>
              <w:t>]</w:t>
            </w:r>
            <w:bookmarkStart w:id="153" w:name="_1777393588"/>
            <w:bookmarkStart w:id="154" w:name="_1777392116"/>
            <w:bookmarkStart w:id="155" w:name="_1777205059"/>
            <w:bookmarkEnd w:id="153"/>
            <w:bookmarkEnd w:id="154"/>
            <w:bookmarkEnd w:id="155"/>
            <w:r w:rsidRPr="00890471" w:rsidR="00231FF0">
              <w:t xml:space="preserve"> $106.54</w:t>
            </w:r>
            <w:r w:rsidRPr="00890471">
              <w:rPr>
                <w:color w:val="000000" w:themeColor="text1"/>
              </w:rPr>
              <w:t>/hr</w:t>
            </w:r>
          </w:p>
        </w:tc>
        <w:tc>
          <w:tcPr>
            <w:tcW w:w="1234" w:type="dxa"/>
            <w:hideMark/>
          </w:tcPr>
          <w:p w:rsidR="00C3455C" w:rsidRPr="00890471" w:rsidP="00AB5AC8" w14:paraId="0AFAA776" w14:textId="671EE3B0">
            <w:pPr>
              <w:pStyle w:val="Table11Centered"/>
            </w:pPr>
            <w:r w:rsidRPr="00890471">
              <w:t>$</w:t>
            </w:r>
            <w:r w:rsidRPr="00890471" w:rsidR="00101D31">
              <w:t>319.62</w:t>
            </w:r>
          </w:p>
        </w:tc>
        <w:tc>
          <w:tcPr>
            <w:tcW w:w="1173" w:type="dxa"/>
            <w:hideMark/>
          </w:tcPr>
          <w:p w:rsidR="00C3455C" w:rsidRPr="00890471" w:rsidP="00AB5AC8" w14:paraId="4CF6FEF5" w14:textId="2711C1F0">
            <w:pPr>
              <w:pStyle w:val="Table11Centered"/>
            </w:pPr>
            <w:r w:rsidRPr="00890471">
              <w:t>$</w:t>
            </w:r>
            <w:r w:rsidRPr="00890471" w:rsidR="00101D31">
              <w:t>319.62</w:t>
            </w:r>
          </w:p>
        </w:tc>
      </w:tr>
      <w:tr w14:paraId="28FDC183" w14:textId="77777777" w:rsidTr="007F25A7">
        <w:tblPrEx>
          <w:tblW w:w="9344" w:type="dxa"/>
          <w:tblLook w:val="04A0"/>
        </w:tblPrEx>
        <w:trPr>
          <w:cantSplit/>
        </w:trPr>
        <w:tc>
          <w:tcPr>
            <w:tcW w:w="6937" w:type="dxa"/>
            <w:hideMark/>
          </w:tcPr>
          <w:p w:rsidR="00C038CB" w:rsidRPr="00890471" w:rsidP="00AB5AC8" w14:paraId="208093F6" w14:textId="306C8CD4">
            <w:pPr>
              <w:pStyle w:val="Table11Basic"/>
            </w:pPr>
            <w:r w:rsidRPr="00890471">
              <w:rPr>
                <w:color w:val="000000" w:themeColor="text1"/>
              </w:rPr>
              <w:t xml:space="preserve">Cost per Transition Plan </w:t>
            </w:r>
            <w:r w:rsidRPr="00890471" w:rsidR="00482D43">
              <w:rPr>
                <w:color w:val="000000" w:themeColor="text1"/>
              </w:rPr>
              <w:t>at</w:t>
            </w:r>
            <w:r w:rsidRPr="00890471" w:rsidR="5B0F4E61">
              <w:rPr>
                <w:color w:val="000000" w:themeColor="text1"/>
              </w:rPr>
              <w:t xml:space="preserve"> Computer Systems Analyst’s Labor Rate</w:t>
            </w:r>
            <w:r w:rsidRPr="00890471">
              <w:rPr>
                <w:color w:val="000000" w:themeColor="text1"/>
              </w:rPr>
              <w:t xml:space="preserve"> of</w:t>
            </w:r>
            <w:bookmarkStart w:id="156" w:name="_1777393594"/>
            <w:bookmarkStart w:id="157" w:name="_1777392123"/>
            <w:bookmarkStart w:id="158" w:name="_1777205066"/>
            <w:bookmarkEnd w:id="156"/>
            <w:bookmarkEnd w:id="157"/>
            <w:bookmarkEnd w:id="158"/>
            <w:r w:rsidRPr="00890471" w:rsidR="00231FF0">
              <w:t xml:space="preserve"> $106.54</w:t>
            </w:r>
            <w:r w:rsidRPr="00890471">
              <w:rPr>
                <w:color w:val="000000" w:themeColor="text1"/>
              </w:rPr>
              <w:t xml:space="preserve">/hr (m) = (g) </w:t>
            </w:r>
            <w:r w:rsidRPr="00890471" w:rsidR="00873289">
              <w:rPr>
                <w:color w:val="000000" w:themeColor="text1"/>
              </w:rPr>
              <w:t>[</w:t>
            </w:r>
            <w:r w:rsidR="00832F3F">
              <w:t>×</w:t>
            </w:r>
            <w:r w:rsidRPr="00890471" w:rsidR="5ADA7B01">
              <w:rPr>
                <w:color w:val="000000" w:themeColor="text1"/>
              </w:rPr>
              <w:t>]</w:t>
            </w:r>
            <w:bookmarkStart w:id="159" w:name="_1777393601"/>
            <w:bookmarkStart w:id="160" w:name="_1777392128"/>
            <w:bookmarkStart w:id="161" w:name="_1777205073"/>
            <w:bookmarkEnd w:id="159"/>
            <w:bookmarkEnd w:id="160"/>
            <w:bookmarkEnd w:id="161"/>
            <w:r w:rsidRPr="00890471" w:rsidR="00231FF0">
              <w:t xml:space="preserve"> $106.54</w:t>
            </w:r>
            <w:r w:rsidRPr="00890471">
              <w:rPr>
                <w:color w:val="000000" w:themeColor="text1"/>
              </w:rPr>
              <w:t>/hr</w:t>
            </w:r>
          </w:p>
        </w:tc>
        <w:tc>
          <w:tcPr>
            <w:tcW w:w="1234" w:type="dxa"/>
            <w:hideMark/>
          </w:tcPr>
          <w:p w:rsidR="00C3455C" w:rsidRPr="00890471" w:rsidP="00AB5AC8" w14:paraId="7FB91762" w14:textId="5600E958">
            <w:pPr>
              <w:pStyle w:val="Table11Centered"/>
            </w:pPr>
            <w:r w:rsidRPr="00890471">
              <w:t>$</w:t>
            </w:r>
            <w:r w:rsidRPr="00890471" w:rsidR="000B1ABC">
              <w:t>106.54</w:t>
            </w:r>
          </w:p>
        </w:tc>
        <w:tc>
          <w:tcPr>
            <w:tcW w:w="1173" w:type="dxa"/>
            <w:hideMark/>
          </w:tcPr>
          <w:p w:rsidR="00C3455C" w:rsidRPr="00890471" w:rsidP="00AB5AC8" w14:paraId="7AC314B1" w14:textId="7C04C50F">
            <w:pPr>
              <w:pStyle w:val="Table11Centered"/>
            </w:pPr>
            <w:r w:rsidRPr="00890471">
              <w:t>$</w:t>
            </w:r>
            <w:r w:rsidRPr="00890471" w:rsidR="000B1ABC">
              <w:t>106.54</w:t>
            </w:r>
          </w:p>
        </w:tc>
      </w:tr>
      <w:tr w14:paraId="33F5D9F2" w14:textId="77777777" w:rsidTr="007F25A7">
        <w:tblPrEx>
          <w:tblW w:w="9344" w:type="dxa"/>
          <w:tblLook w:val="04A0"/>
        </w:tblPrEx>
        <w:trPr>
          <w:cantSplit/>
        </w:trPr>
        <w:tc>
          <w:tcPr>
            <w:tcW w:w="6937" w:type="dxa"/>
          </w:tcPr>
          <w:p w:rsidR="0088248E" w:rsidRPr="00890471" w:rsidP="00AB5AC8" w14:paraId="187137BC" w14:textId="61CE48C6">
            <w:pPr>
              <w:pStyle w:val="Table11Basic"/>
              <w:rPr>
                <w:color w:val="000000" w:themeColor="text1"/>
              </w:rPr>
            </w:pPr>
            <w:r w:rsidRPr="00890471">
              <w:rPr>
                <w:color w:val="000000" w:themeColor="text1"/>
              </w:rPr>
              <w:t>Total Cost of Targeted Audits (n) = j [</w:t>
            </w:r>
            <w:r w:rsidR="00832F3F">
              <w:t>×</w:t>
            </w:r>
            <w:r w:rsidRPr="00890471">
              <w:rPr>
                <w:color w:val="000000" w:themeColor="text1"/>
              </w:rPr>
              <w:t xml:space="preserve">] </w:t>
            </w:r>
            <w:r w:rsidRPr="00890471" w:rsidR="008A007D">
              <w:rPr>
                <w:color w:val="000000" w:themeColor="text1"/>
              </w:rPr>
              <w:t>22</w:t>
            </w:r>
          </w:p>
        </w:tc>
        <w:tc>
          <w:tcPr>
            <w:tcW w:w="1234" w:type="dxa"/>
          </w:tcPr>
          <w:p w:rsidR="0088248E" w:rsidRPr="00890471" w:rsidP="00AB5AC8" w14:paraId="4A73D84D" w14:textId="7E6919A6">
            <w:pPr>
              <w:pStyle w:val="Table11Centered"/>
            </w:pPr>
            <w:r>
              <w:t>$</w:t>
            </w:r>
            <w:r w:rsidRPr="00890471" w:rsidR="00BA42DD">
              <w:t>11,719</w:t>
            </w:r>
          </w:p>
        </w:tc>
        <w:tc>
          <w:tcPr>
            <w:tcW w:w="1173" w:type="dxa"/>
          </w:tcPr>
          <w:p w:rsidR="0088248E" w:rsidRPr="00890471" w:rsidP="00AB5AC8" w14:paraId="593DD3DE" w14:textId="1B7427A4">
            <w:pPr>
              <w:pStyle w:val="Table11Centered"/>
            </w:pPr>
            <w:r w:rsidRPr="00890471">
              <w:t>$23,439</w:t>
            </w:r>
          </w:p>
        </w:tc>
      </w:tr>
      <w:tr w14:paraId="3003C1C0" w14:textId="77777777" w:rsidTr="007F25A7">
        <w:tblPrEx>
          <w:tblW w:w="9344" w:type="dxa"/>
          <w:tblLook w:val="04A0"/>
        </w:tblPrEx>
        <w:trPr>
          <w:cantSplit/>
        </w:trPr>
        <w:tc>
          <w:tcPr>
            <w:tcW w:w="6937" w:type="dxa"/>
          </w:tcPr>
          <w:p w:rsidR="0088248E" w:rsidRPr="00C52971" w:rsidP="00AB5AC8" w14:paraId="1AE34E52" w14:textId="7915A711">
            <w:pPr>
              <w:pStyle w:val="Table11Basic"/>
              <w:rPr>
                <w:color w:val="000000" w:themeColor="text1"/>
              </w:rPr>
            </w:pPr>
            <w:r>
              <w:rPr>
                <w:color w:val="000000" w:themeColor="text1"/>
              </w:rPr>
              <w:t xml:space="preserve">Total Cost of Participation Plans (o) = (k) </w:t>
            </w:r>
            <w:r w:rsidRPr="00C52971">
              <w:rPr>
                <w:color w:val="000000" w:themeColor="text1"/>
              </w:rPr>
              <w:t>[</w:t>
            </w:r>
            <w:r w:rsidR="00832F3F">
              <w:t>×</w:t>
            </w:r>
            <w:r w:rsidRPr="00C52971">
              <w:rPr>
                <w:color w:val="000000" w:themeColor="text1"/>
              </w:rPr>
              <w:t>]</w:t>
            </w:r>
            <w:r w:rsidR="008A007D">
              <w:rPr>
                <w:color w:val="000000" w:themeColor="text1"/>
              </w:rPr>
              <w:t xml:space="preserve"> 11</w:t>
            </w:r>
          </w:p>
        </w:tc>
        <w:tc>
          <w:tcPr>
            <w:tcW w:w="1234" w:type="dxa"/>
          </w:tcPr>
          <w:p w:rsidR="0088248E" w:rsidRPr="00C038CB" w:rsidP="00AB5AC8" w14:paraId="1D407117" w14:textId="16491A6D">
            <w:pPr>
              <w:pStyle w:val="Table11Centered"/>
            </w:pPr>
            <w:r>
              <w:t>$,344</w:t>
            </w:r>
          </w:p>
        </w:tc>
        <w:tc>
          <w:tcPr>
            <w:tcW w:w="1173" w:type="dxa"/>
          </w:tcPr>
          <w:p w:rsidR="0088248E" w:rsidRPr="00C038CB" w:rsidP="00AB5AC8" w14:paraId="4C3F35E7" w14:textId="0D878006">
            <w:pPr>
              <w:pStyle w:val="Table11Centered"/>
            </w:pPr>
            <w:r>
              <w:t>$</w:t>
            </w:r>
            <w:r w:rsidR="4BCAE69B">
              <w:t>2</w:t>
            </w:r>
            <w:r w:rsidR="00BA42DD">
              <w:t>,344</w:t>
            </w:r>
          </w:p>
        </w:tc>
      </w:tr>
      <w:tr w14:paraId="62AD7BFE" w14:textId="77777777" w:rsidTr="007F25A7">
        <w:tblPrEx>
          <w:tblW w:w="9344" w:type="dxa"/>
          <w:tblLook w:val="04A0"/>
        </w:tblPrEx>
        <w:trPr>
          <w:cantSplit/>
        </w:trPr>
        <w:tc>
          <w:tcPr>
            <w:tcW w:w="6937" w:type="dxa"/>
          </w:tcPr>
          <w:p w:rsidR="0088248E" w:rsidRPr="00C52971" w:rsidP="00AB5AC8" w14:paraId="6EB86544" w14:textId="1CA19EFE">
            <w:pPr>
              <w:pStyle w:val="Table11Basic"/>
              <w:rPr>
                <w:color w:val="000000" w:themeColor="text1"/>
              </w:rPr>
            </w:pPr>
            <w:r>
              <w:rPr>
                <w:color w:val="000000" w:themeColor="text1"/>
              </w:rPr>
              <w:t>Total Cost of CAP</w:t>
            </w:r>
            <w:r w:rsidR="00DB534B">
              <w:rPr>
                <w:color w:val="000000" w:themeColor="text1"/>
              </w:rPr>
              <w:t xml:space="preserve">s (p) = (l) </w:t>
            </w:r>
            <w:r w:rsidRPr="00C52971" w:rsidR="00DB534B">
              <w:rPr>
                <w:color w:val="000000" w:themeColor="text1"/>
              </w:rPr>
              <w:t>[</w:t>
            </w:r>
            <w:r w:rsidR="00832F3F">
              <w:t>×</w:t>
            </w:r>
            <w:r w:rsidRPr="00C52971" w:rsidR="00DB534B">
              <w:rPr>
                <w:color w:val="000000" w:themeColor="text1"/>
              </w:rPr>
              <w:t>]</w:t>
            </w:r>
            <w:r w:rsidR="00DB534B">
              <w:rPr>
                <w:color w:val="000000" w:themeColor="text1"/>
              </w:rPr>
              <w:t xml:space="preserve"> </w:t>
            </w:r>
            <w:r w:rsidR="008A007D">
              <w:rPr>
                <w:color w:val="000000" w:themeColor="text1"/>
              </w:rPr>
              <w:t>6</w:t>
            </w:r>
          </w:p>
        </w:tc>
        <w:tc>
          <w:tcPr>
            <w:tcW w:w="1234" w:type="dxa"/>
          </w:tcPr>
          <w:p w:rsidR="0088248E" w:rsidRPr="00C038CB" w:rsidP="00AB5AC8" w14:paraId="3311CA74" w14:textId="1FD4D6BC">
            <w:pPr>
              <w:pStyle w:val="Table11Centered"/>
            </w:pPr>
            <w:r>
              <w:t>$1,918</w:t>
            </w:r>
          </w:p>
        </w:tc>
        <w:tc>
          <w:tcPr>
            <w:tcW w:w="1173" w:type="dxa"/>
          </w:tcPr>
          <w:p w:rsidR="0088248E" w:rsidRPr="00C038CB" w:rsidP="00AB5AC8" w14:paraId="4C909B95" w14:textId="47516D81">
            <w:pPr>
              <w:pStyle w:val="Table11Centered"/>
            </w:pPr>
            <w:r>
              <w:t>$1,918</w:t>
            </w:r>
          </w:p>
        </w:tc>
      </w:tr>
      <w:tr w14:paraId="7EAB7AE1" w14:textId="77777777" w:rsidTr="007F25A7">
        <w:tblPrEx>
          <w:tblW w:w="9344" w:type="dxa"/>
          <w:tblLook w:val="04A0"/>
        </w:tblPrEx>
        <w:trPr>
          <w:cantSplit/>
        </w:trPr>
        <w:tc>
          <w:tcPr>
            <w:tcW w:w="6937" w:type="dxa"/>
          </w:tcPr>
          <w:p w:rsidR="0088248E" w:rsidRPr="00C52971" w:rsidP="00AB5AC8" w14:paraId="736177ED" w14:textId="754481F9">
            <w:pPr>
              <w:pStyle w:val="Table11Basic"/>
              <w:rPr>
                <w:color w:val="000000" w:themeColor="text1"/>
              </w:rPr>
            </w:pPr>
            <w:r>
              <w:rPr>
                <w:color w:val="000000" w:themeColor="text1"/>
              </w:rPr>
              <w:t xml:space="preserve">Total Cost of Transition Plans (q) = (m) </w:t>
            </w:r>
            <w:r w:rsidRPr="00C52971">
              <w:rPr>
                <w:color w:val="000000" w:themeColor="text1"/>
              </w:rPr>
              <w:t>[</w:t>
            </w:r>
            <w:r w:rsidR="00832F3F">
              <w:t>×</w:t>
            </w:r>
            <w:r w:rsidRPr="00C52971">
              <w:rPr>
                <w:color w:val="000000" w:themeColor="text1"/>
              </w:rPr>
              <w:t>]</w:t>
            </w:r>
            <w:r>
              <w:rPr>
                <w:color w:val="000000" w:themeColor="text1"/>
              </w:rPr>
              <w:t xml:space="preserve"> </w:t>
            </w:r>
            <w:r w:rsidR="008A007D">
              <w:rPr>
                <w:color w:val="000000" w:themeColor="text1"/>
              </w:rPr>
              <w:t>3</w:t>
            </w:r>
          </w:p>
        </w:tc>
        <w:tc>
          <w:tcPr>
            <w:tcW w:w="1234" w:type="dxa"/>
          </w:tcPr>
          <w:p w:rsidR="0088248E" w:rsidRPr="00C038CB" w:rsidP="00AB5AC8" w14:paraId="7D42C238" w14:textId="3830A819">
            <w:pPr>
              <w:pStyle w:val="Table11Centered"/>
            </w:pPr>
            <w:r>
              <w:t>$320</w:t>
            </w:r>
          </w:p>
        </w:tc>
        <w:tc>
          <w:tcPr>
            <w:tcW w:w="1173" w:type="dxa"/>
          </w:tcPr>
          <w:p w:rsidR="0088248E" w:rsidRPr="00C038CB" w:rsidP="00AB5AC8" w14:paraId="0521D9C1" w14:textId="044A7EC1">
            <w:pPr>
              <w:pStyle w:val="Table11Centered"/>
            </w:pPr>
            <w:r>
              <w:t>$320</w:t>
            </w:r>
          </w:p>
        </w:tc>
      </w:tr>
      <w:tr w14:paraId="4487E4F0" w14:textId="77777777" w:rsidTr="007F25A7">
        <w:tblPrEx>
          <w:tblW w:w="9344" w:type="dxa"/>
          <w:tblLook w:val="04A0"/>
        </w:tblPrEx>
        <w:trPr>
          <w:cantSplit/>
          <w:trHeight w:val="225"/>
        </w:trPr>
        <w:tc>
          <w:tcPr>
            <w:tcW w:w="6937" w:type="dxa"/>
            <w:shd w:val="clear" w:color="auto" w:fill="E7E6E6" w:themeFill="background2"/>
            <w:hideMark/>
          </w:tcPr>
          <w:p w:rsidR="00C038CB" w:rsidRPr="001C02A4" w:rsidP="00AB5AC8" w14:paraId="29F59821" w14:textId="056017D3">
            <w:pPr>
              <w:pStyle w:val="Table11Basic"/>
              <w:rPr>
                <w:b/>
              </w:rPr>
            </w:pPr>
            <w:r w:rsidRPr="00C52971">
              <w:rPr>
                <w:b/>
                <w:bCs/>
              </w:rPr>
              <w:t>Total Annual Cost (</w:t>
            </w:r>
            <w:r w:rsidR="008A007D">
              <w:rPr>
                <w:b/>
                <w:bCs/>
              </w:rPr>
              <w:t>r</w:t>
            </w:r>
            <w:r w:rsidRPr="00C52971">
              <w:rPr>
                <w:b/>
                <w:bCs/>
              </w:rPr>
              <w:t xml:space="preserve">) </w:t>
            </w:r>
            <w:r w:rsidRPr="00C52971" w:rsidR="00EA15C7">
              <w:rPr>
                <w:b/>
                <w:bCs/>
              </w:rPr>
              <w:t xml:space="preserve">= </w:t>
            </w:r>
            <w:r w:rsidR="00EA15C7">
              <w:rPr>
                <w:b/>
                <w:bCs/>
              </w:rPr>
              <w:t>(</w:t>
            </w:r>
            <w:r w:rsidRPr="00C52971">
              <w:rPr>
                <w:b/>
                <w:bCs/>
              </w:rPr>
              <w:t xml:space="preserve">n) </w:t>
            </w:r>
            <w:r w:rsidR="008A007D">
              <w:rPr>
                <w:b/>
                <w:bCs/>
              </w:rPr>
              <w:t>+ (o) + (p) + (q)</w:t>
            </w:r>
            <w:r w:rsidRPr="00C52971">
              <w:rPr>
                <w:b/>
                <w:bCs/>
              </w:rPr>
              <w:t xml:space="preserve">  </w:t>
            </w:r>
            <w:r w:rsidRPr="00C52971" w:rsidR="001C5B06">
              <w:rPr>
                <w:b/>
                <w:bCs/>
              </w:rPr>
              <w:t xml:space="preserve">(simplified) </w:t>
            </w:r>
            <w:r w:rsidRPr="00C52971">
              <w:rPr>
                <w:b/>
                <w:bCs/>
              </w:rPr>
              <w:t xml:space="preserve">and </w:t>
            </w:r>
            <w:r w:rsidRPr="00C52971" w:rsidR="008A007D">
              <w:rPr>
                <w:b/>
                <w:bCs/>
              </w:rPr>
              <w:t>(</w:t>
            </w:r>
            <w:r w:rsidR="008A007D">
              <w:rPr>
                <w:b/>
                <w:bCs/>
              </w:rPr>
              <w:t>r</w:t>
            </w:r>
            <w:r w:rsidRPr="00C52971" w:rsidR="008A007D">
              <w:rPr>
                <w:b/>
                <w:bCs/>
              </w:rPr>
              <w:t xml:space="preserve">) = </w:t>
            </w:r>
            <w:r w:rsidR="008A007D">
              <w:rPr>
                <w:b/>
                <w:bCs/>
              </w:rPr>
              <w:t xml:space="preserve"> (n) + (o) + (p) + (q)</w:t>
            </w:r>
            <w:r w:rsidRPr="00C52971" w:rsidR="001C5B06">
              <w:rPr>
                <w:b/>
                <w:bCs/>
              </w:rPr>
              <w:t>(full)</w:t>
            </w:r>
          </w:p>
        </w:tc>
        <w:tc>
          <w:tcPr>
            <w:tcW w:w="1234" w:type="dxa"/>
            <w:shd w:val="clear" w:color="auto" w:fill="E7E6E6" w:themeFill="background2"/>
            <w:hideMark/>
          </w:tcPr>
          <w:p w:rsidR="00C038CB" w:rsidRPr="00890471" w:rsidP="00AB5AC8" w14:paraId="4DDA0626" w14:textId="033AFD16">
            <w:pPr>
              <w:pStyle w:val="Table11Centered"/>
            </w:pPr>
            <w:r w:rsidRPr="00890471">
              <w:rPr>
                <w:b/>
                <w:bCs/>
              </w:rPr>
              <w:t>$</w:t>
            </w:r>
            <w:r w:rsidRPr="00890471" w:rsidR="001655F3">
              <w:rPr>
                <w:b/>
                <w:bCs/>
              </w:rPr>
              <w:t>16</w:t>
            </w:r>
            <w:r w:rsidRPr="00890471" w:rsidR="00140745">
              <w:rPr>
                <w:b/>
                <w:bCs/>
              </w:rPr>
              <w:t>,301</w:t>
            </w:r>
          </w:p>
        </w:tc>
        <w:tc>
          <w:tcPr>
            <w:tcW w:w="1173" w:type="dxa"/>
            <w:shd w:val="clear" w:color="auto" w:fill="E7E6E6" w:themeFill="background2"/>
            <w:hideMark/>
          </w:tcPr>
          <w:p w:rsidR="00C038CB" w:rsidRPr="00890471" w:rsidP="00AB5AC8" w14:paraId="402AC9AE" w14:textId="2755671E">
            <w:pPr>
              <w:pStyle w:val="Table11Centered"/>
            </w:pPr>
            <w:r w:rsidRPr="00890471">
              <w:rPr>
                <w:b/>
                <w:bCs/>
              </w:rPr>
              <w:t>$</w:t>
            </w:r>
            <w:r w:rsidRPr="00890471" w:rsidR="0037181F">
              <w:rPr>
                <w:b/>
                <w:bCs/>
              </w:rPr>
              <w:t>28,02</w:t>
            </w:r>
            <w:r w:rsidRPr="00890471" w:rsidR="009F4417">
              <w:rPr>
                <w:b/>
                <w:bCs/>
              </w:rPr>
              <w:t>1</w:t>
            </w:r>
          </w:p>
        </w:tc>
      </w:tr>
    </w:tbl>
    <w:p w:rsidR="002A669C" w:rsidRPr="00041A6A" w:rsidP="006C27BB" w14:paraId="14BACB7A" w14:textId="35C091E0">
      <w:pPr>
        <w:pStyle w:val="Heading5"/>
      </w:pPr>
      <w:r>
        <w:t>i.</w:t>
      </w:r>
      <w:r>
        <w:tab/>
      </w:r>
      <w:r w:rsidR="000E7E06">
        <w:t xml:space="preserve">Burden Estimate for the </w:t>
      </w:r>
      <w:r w:rsidRPr="00041A6A">
        <w:t xml:space="preserve">Open Authorization </w:t>
      </w:r>
      <w:r w:rsidRPr="00041A6A" w:rsidR="00360243">
        <w:t xml:space="preserve">(OAuth) </w:t>
      </w:r>
      <w:r w:rsidRPr="00041A6A">
        <w:t>Credentialing and Token Request Process</w:t>
      </w:r>
    </w:p>
    <w:p w:rsidR="002A669C" w:rsidP="0067016B" w14:paraId="07174314" w14:textId="3E915EC2">
      <w:pPr>
        <w:pStyle w:val="BodyText-PostHead"/>
        <w:spacing w:before="240"/>
      </w:pPr>
      <w:r>
        <w:t>T</w:t>
      </w:r>
      <w:r w:rsidR="00E933A5">
        <w:t xml:space="preserve">he </w:t>
      </w:r>
      <w:r w:rsidR="00F45B05">
        <w:t xml:space="preserve">OAuth Credentialing and </w:t>
      </w:r>
      <w:r w:rsidR="007F2C6B">
        <w:t xml:space="preserve">Token Request Process </w:t>
      </w:r>
      <w:r w:rsidR="00BF7A88">
        <w:t xml:space="preserve">is available to all </w:t>
      </w:r>
      <w:r w:rsidR="00AC5FEC">
        <w:t>submitter type</w:t>
      </w:r>
      <w:r w:rsidR="002A537D">
        <w:t xml:space="preserve">s </w:t>
      </w:r>
      <w:r w:rsidR="00990EFA">
        <w:t>who are approved to submit data via the direct submission type.</w:t>
      </w:r>
      <w:r w:rsidR="00925227">
        <w:t xml:space="preserve"> </w:t>
      </w:r>
      <w:r>
        <w:t xml:space="preserve">Individual </w:t>
      </w:r>
      <w:r w:rsidRPr="003B2895" w:rsidR="003B2895">
        <w:t>clinicians or groups may submit their quality measures using the direct submission type via the MIPS CQM</w:t>
      </w:r>
      <w:r w:rsidR="00DD147F">
        <w:t xml:space="preserve">, </w:t>
      </w:r>
      <w:r w:rsidRPr="003B2895" w:rsidR="003B2895">
        <w:t xml:space="preserve">QCDR or eCQM collection types as well as their Promoting Interoperability measures and improvement activities through the same direct submission type. </w:t>
      </w:r>
      <w:r w:rsidRPr="00E12445" w:rsidR="00E12445">
        <w:t xml:space="preserve">The burden associated with this ICR belongs only to the application developer; QPP participants will not be required to do anything additional </w:t>
      </w:r>
      <w:r w:rsidRPr="00E12445" w:rsidR="00E12445">
        <w:t xml:space="preserve">to submit their data. For third party intermediaries, OAuth Credentialing will allow QPP participants to use their own QPP credentials to login through the </w:t>
      </w:r>
      <w:r w:rsidRPr="00E12445" w:rsidR="00EA15C7">
        <w:t>third</w:t>
      </w:r>
      <w:r w:rsidR="00EA15C7">
        <w:t>-party</w:t>
      </w:r>
      <w:r w:rsidRPr="00E12445" w:rsidR="00E12445">
        <w:t xml:space="preserve"> intermediary’s application to submit their data and view performance feedback from QPP</w:t>
      </w:r>
      <w:r w:rsidR="00E12445">
        <w:t>.</w:t>
      </w:r>
      <w:r>
        <w:t xml:space="preserve"> </w:t>
      </w:r>
      <w:r w:rsidRPr="00397C02" w:rsidR="00397C02">
        <w:t xml:space="preserve">Entities that receive approval for their applications through this process will be able to provide QPP participants </w:t>
      </w:r>
      <w:r w:rsidR="002C6DF3">
        <w:t xml:space="preserve">with </w:t>
      </w:r>
      <w:r w:rsidRPr="00397C02" w:rsidR="00397C02">
        <w:t>a more comprehensive and less administratively burdensome experience using the direct submission type</w:t>
      </w:r>
      <w:r>
        <w:t>.</w:t>
      </w:r>
    </w:p>
    <w:p w:rsidR="00BD5E37" w:rsidP="00AB5AC8" w14:paraId="7D222A8C" w14:textId="31EE909C">
      <w:pPr>
        <w:pStyle w:val="BodyText"/>
      </w:pPr>
      <w:r>
        <w:t xml:space="preserve">As shown in Table </w:t>
      </w:r>
      <w:r w:rsidR="00CF2335">
        <w:t>9</w:t>
      </w:r>
      <w:r>
        <w:t>, w</w:t>
      </w:r>
      <w:r w:rsidR="002A669C">
        <w:t xml:space="preserve">e </w:t>
      </w:r>
      <w:r w:rsidR="007B7A7B">
        <w:t xml:space="preserve">estimate </w:t>
      </w:r>
      <w:r w:rsidR="00DF3AC7">
        <w:t>that we will receive</w:t>
      </w:r>
      <w:r w:rsidR="00976E76">
        <w:t xml:space="preserve"> </w:t>
      </w:r>
      <w:r w:rsidR="00EE368E">
        <w:t xml:space="preserve">15 </w:t>
      </w:r>
      <w:r w:rsidR="00FD4AF2">
        <w:t>requests</w:t>
      </w:r>
      <w:r w:rsidR="008E692F">
        <w:t xml:space="preserve"> to complete this process </w:t>
      </w:r>
      <w:r w:rsidR="002A669C">
        <w:t xml:space="preserve">for the </w:t>
      </w:r>
      <w:r w:rsidR="00135074">
        <w:t xml:space="preserve">CY </w:t>
      </w:r>
      <w:r w:rsidR="002A669C">
        <w:t>202</w:t>
      </w:r>
      <w:r w:rsidR="007918C9">
        <w:t>5</w:t>
      </w:r>
      <w:r w:rsidR="002A669C">
        <w:t xml:space="preserve"> performance period</w:t>
      </w:r>
      <w:r w:rsidR="00135074">
        <w:t>/202</w:t>
      </w:r>
      <w:r w:rsidR="007918C9">
        <w:t>7</w:t>
      </w:r>
      <w:r w:rsidR="00135074">
        <w:t xml:space="preserve"> MIPS payment year</w:t>
      </w:r>
      <w:r w:rsidR="00135A30">
        <w:t>.</w:t>
      </w:r>
      <w:r w:rsidR="002A669C">
        <w:t xml:space="preserve"> </w:t>
      </w:r>
      <w:r w:rsidR="00A1167F">
        <w:t xml:space="preserve">We estimate that it would take 2 hours at </w:t>
      </w:r>
      <w:bookmarkStart w:id="162" w:name="_1777393607"/>
      <w:bookmarkStart w:id="163" w:name="_1777392134"/>
      <w:bookmarkStart w:id="164" w:name="_1777205081"/>
      <w:bookmarkStart w:id="165" w:name="_1777365934"/>
      <w:bookmarkEnd w:id="162"/>
      <w:bookmarkEnd w:id="163"/>
      <w:bookmarkEnd w:id="164"/>
      <w:bookmarkEnd w:id="165"/>
      <w:r w:rsidR="00231FF0">
        <w:t>$106.54</w:t>
      </w:r>
      <w:r w:rsidR="00A1167F">
        <w:t>/hr for a computer systems analyst (or their equivalent) to complete the process, resulting in an estimated cost of $</w:t>
      </w:r>
      <w:r w:rsidR="00DA7A88">
        <w:t>213.08</w:t>
      </w:r>
      <w:r w:rsidR="00A1167F">
        <w:t xml:space="preserve"> (2 hours </w:t>
      </w:r>
      <w:r w:rsidR="00832F3F">
        <w:t>×</w:t>
      </w:r>
      <w:bookmarkStart w:id="166" w:name="_1777393613"/>
      <w:bookmarkStart w:id="167" w:name="_1777392141"/>
      <w:bookmarkStart w:id="168" w:name="_1777205088"/>
      <w:bookmarkStart w:id="169" w:name="_1777365939"/>
      <w:bookmarkEnd w:id="166"/>
      <w:bookmarkEnd w:id="167"/>
      <w:bookmarkEnd w:id="168"/>
      <w:bookmarkEnd w:id="169"/>
      <w:r w:rsidR="00231FF0">
        <w:t xml:space="preserve"> $106.54</w:t>
      </w:r>
      <w:r w:rsidR="00A1167F">
        <w:t xml:space="preserve">/hr) per response. </w:t>
      </w:r>
      <w:r w:rsidR="00135A30">
        <w:t>In aggregate</w:t>
      </w:r>
      <w:r w:rsidR="002A669C">
        <w:t xml:space="preserve">, </w:t>
      </w:r>
      <w:r w:rsidR="00A1167F">
        <w:t>w</w:t>
      </w:r>
      <w:r w:rsidR="002A669C">
        <w:t xml:space="preserve">e estimate an annual burden of </w:t>
      </w:r>
      <w:r w:rsidR="00926603">
        <w:t>30</w:t>
      </w:r>
      <w:r w:rsidR="002A669C">
        <w:t xml:space="preserve"> hours (15 vendors </w:t>
      </w:r>
      <w:r w:rsidR="00832F3F">
        <w:t>×</w:t>
      </w:r>
      <w:r w:rsidR="002A669C">
        <w:t xml:space="preserve"> </w:t>
      </w:r>
      <w:r w:rsidR="00926603">
        <w:t>2</w:t>
      </w:r>
      <w:r w:rsidR="002A669C">
        <w:t xml:space="preserve"> </w:t>
      </w:r>
      <w:r w:rsidR="00A939C5">
        <w:t>hr</w:t>
      </w:r>
      <w:r w:rsidR="002A669C">
        <w:t>) at a cost of $</w:t>
      </w:r>
      <w:r w:rsidR="00A1167F">
        <w:t>3,</w:t>
      </w:r>
      <w:r w:rsidR="00DA7A88">
        <w:t xml:space="preserve">196 </w:t>
      </w:r>
      <w:r w:rsidR="002A669C">
        <w:t>(</w:t>
      </w:r>
      <w:r w:rsidR="00A1167F">
        <w:t>15 requests</w:t>
      </w:r>
      <w:r w:rsidR="002A669C">
        <w:t xml:space="preserve"> </w:t>
      </w:r>
      <w:r w:rsidR="00832F3F">
        <w:t>×</w:t>
      </w:r>
      <w:r w:rsidR="002A669C">
        <w:t xml:space="preserve"> $</w:t>
      </w:r>
      <w:r w:rsidR="00DA7A88">
        <w:t>213.08</w:t>
      </w:r>
      <w:r w:rsidR="002A669C">
        <w:t>/r</w:t>
      </w:r>
      <w:r w:rsidR="007C6F6F">
        <w:t>equest</w:t>
      </w:r>
      <w:r w:rsidR="004545C0">
        <w:t>)</w:t>
      </w:r>
      <w:r w:rsidR="002A669C">
        <w:t>.</w:t>
      </w:r>
    </w:p>
    <w:p w:rsidR="002B769B" w:rsidRPr="002C0022" w:rsidP="00AB5AC8" w14:paraId="5C79ED9A" w14:textId="2761C43C">
      <w:pPr>
        <w:pStyle w:val="ExhibitTitle"/>
        <w:rPr>
          <w:rFonts w:eastAsia="Calibri"/>
          <w:b w:val="0"/>
          <w:bCs/>
        </w:rPr>
      </w:pPr>
      <w:r w:rsidRPr="002C0022">
        <w:rPr>
          <w:rFonts w:eastAsia="Calibri"/>
          <w:b w:val="0"/>
          <w:bCs/>
        </w:rPr>
        <w:t>T</w:t>
      </w:r>
      <w:r w:rsidRPr="002C0022" w:rsidR="009A134B">
        <w:rPr>
          <w:rFonts w:eastAsia="Calibri"/>
          <w:b w:val="0"/>
          <w:bCs/>
        </w:rPr>
        <w:t>able</w:t>
      </w:r>
      <w:r w:rsidRPr="002C0022">
        <w:rPr>
          <w:rFonts w:eastAsia="Calibri"/>
          <w:b w:val="0"/>
          <w:bCs/>
        </w:rPr>
        <w:t xml:space="preserve"> </w:t>
      </w:r>
      <w:r w:rsidRPr="002C0022" w:rsidR="00CF2335">
        <w:rPr>
          <w:rFonts w:eastAsia="Calibri"/>
          <w:b w:val="0"/>
          <w:bCs/>
        </w:rPr>
        <w:t>9</w:t>
      </w:r>
      <w:r w:rsidRPr="002C0022">
        <w:rPr>
          <w:rFonts w:eastAsia="Calibri"/>
          <w:b w:val="0"/>
          <w:bCs/>
        </w:rPr>
        <w:t>: Estimated Burden for the OAuth Credentialing and Token Request Process</w:t>
      </w:r>
    </w:p>
    <w:tbl>
      <w:tblPr>
        <w:tblStyle w:val="TableGrid"/>
        <w:tblDescription w:val="Table 9: the estimated burden for the O Auth credentialing and token request process."/>
        <w:tblW w:w="9154" w:type="dxa"/>
        <w:tblLook w:val="04A0"/>
      </w:tblPr>
      <w:tblGrid>
        <w:gridCol w:w="7465"/>
        <w:gridCol w:w="1689"/>
      </w:tblGrid>
      <w:tr w14:paraId="30E58231" w14:textId="77777777" w:rsidTr="007F25A7">
        <w:tblPrEx>
          <w:tblW w:w="9154" w:type="dxa"/>
          <w:tblLook w:val="04A0"/>
        </w:tblPrEx>
        <w:trPr>
          <w:cantSplit/>
          <w:tblHeader/>
        </w:trPr>
        <w:tc>
          <w:tcPr>
            <w:tcW w:w="7465" w:type="dxa"/>
            <w:hideMark/>
          </w:tcPr>
          <w:p w:rsidR="002B769B" w:rsidRPr="00A96897" w:rsidP="00AB5AC8" w14:paraId="4C9D092E" w14:textId="2401872A">
            <w:pPr>
              <w:pStyle w:val="Table11-ColumnHeading"/>
              <w:rPr>
                <w:rFonts w:eastAsia="Calibri"/>
              </w:rPr>
            </w:pPr>
            <w:r w:rsidRPr="00A96897">
              <w:t>Burden and Respondent Descriptions</w:t>
            </w:r>
          </w:p>
        </w:tc>
        <w:tc>
          <w:tcPr>
            <w:tcW w:w="1689" w:type="dxa"/>
            <w:hideMark/>
          </w:tcPr>
          <w:p w:rsidR="002B769B" w:rsidRPr="00A96897" w:rsidP="00AB5AC8" w14:paraId="3F761A8E" w14:textId="77777777">
            <w:pPr>
              <w:pStyle w:val="Table11-ColumnHeading"/>
              <w:rPr>
                <w:rFonts w:eastAsia="Calibri"/>
              </w:rPr>
            </w:pPr>
            <w:r w:rsidRPr="00A96897">
              <w:rPr>
                <w:rFonts w:eastAsia="Calibri"/>
              </w:rPr>
              <w:t>Burden Estimate</w:t>
            </w:r>
          </w:p>
        </w:tc>
      </w:tr>
      <w:tr w14:paraId="4E1D362B" w14:textId="77777777" w:rsidTr="007F25A7">
        <w:tblPrEx>
          <w:tblW w:w="9154" w:type="dxa"/>
          <w:tblLook w:val="04A0"/>
        </w:tblPrEx>
        <w:trPr>
          <w:cantSplit/>
        </w:trPr>
        <w:tc>
          <w:tcPr>
            <w:tcW w:w="7465" w:type="dxa"/>
            <w:hideMark/>
          </w:tcPr>
          <w:p w:rsidR="002B769B" w:rsidRPr="00A96897" w:rsidP="00AB5AC8" w14:paraId="6FC06C03" w14:textId="4E96212B">
            <w:pPr>
              <w:pStyle w:val="Table11Basic"/>
              <w:rPr>
                <w:rFonts w:eastAsia="Calibri"/>
              </w:rPr>
            </w:pPr>
            <w:r w:rsidRPr="00A96897">
              <w:rPr>
                <w:rFonts w:eastAsia="Calibri"/>
              </w:rPr>
              <w:t># of Organizations (a)</w:t>
            </w:r>
          </w:p>
        </w:tc>
        <w:tc>
          <w:tcPr>
            <w:tcW w:w="1689" w:type="dxa"/>
            <w:hideMark/>
          </w:tcPr>
          <w:p w:rsidR="002B769B" w:rsidRPr="00A96897" w:rsidP="00AB5AC8" w14:paraId="43FCA39A" w14:textId="77777777">
            <w:pPr>
              <w:pStyle w:val="Table11Centered"/>
              <w:rPr>
                <w:rFonts w:eastAsia="Calibri"/>
              </w:rPr>
            </w:pPr>
            <w:r w:rsidRPr="00A96897">
              <w:rPr>
                <w:rFonts w:eastAsia="Calibri"/>
              </w:rPr>
              <w:t>15</w:t>
            </w:r>
          </w:p>
        </w:tc>
      </w:tr>
      <w:tr w14:paraId="5C4FAA91" w14:textId="77777777" w:rsidTr="007F25A7">
        <w:tblPrEx>
          <w:tblW w:w="9154" w:type="dxa"/>
          <w:tblLook w:val="04A0"/>
        </w:tblPrEx>
        <w:trPr>
          <w:cantSplit/>
        </w:trPr>
        <w:tc>
          <w:tcPr>
            <w:tcW w:w="7465" w:type="dxa"/>
            <w:hideMark/>
          </w:tcPr>
          <w:p w:rsidR="002B769B" w:rsidRPr="00A96897" w:rsidP="00AB5AC8" w14:paraId="51B3E6B0" w14:textId="71DB15CD">
            <w:pPr>
              <w:pStyle w:val="Table11Basic"/>
              <w:rPr>
                <w:rFonts w:eastAsia="Calibri"/>
              </w:rPr>
            </w:pPr>
            <w:r w:rsidRPr="00A96897">
              <w:rPr>
                <w:rFonts w:eastAsia="Calibri"/>
              </w:rPr>
              <w:t xml:space="preserve">Total Annual Hours </w:t>
            </w:r>
            <w:r w:rsidRPr="7328A4BD" w:rsidR="2F6DCE79">
              <w:rPr>
                <w:rFonts w:eastAsia="Calibri"/>
              </w:rPr>
              <w:t>p</w:t>
            </w:r>
            <w:r w:rsidRPr="7328A4BD">
              <w:rPr>
                <w:rFonts w:eastAsia="Calibri"/>
              </w:rPr>
              <w:t>er</w:t>
            </w:r>
            <w:r w:rsidRPr="00A96897">
              <w:rPr>
                <w:rFonts w:eastAsia="Calibri"/>
              </w:rPr>
              <w:t xml:space="preserve"> Organization to Submit (b)</w:t>
            </w:r>
          </w:p>
        </w:tc>
        <w:tc>
          <w:tcPr>
            <w:tcW w:w="1689" w:type="dxa"/>
            <w:hideMark/>
          </w:tcPr>
          <w:p w:rsidR="002B769B" w:rsidRPr="00A96897" w:rsidP="00AB5AC8" w14:paraId="7DA5CA52" w14:textId="534EC24C">
            <w:pPr>
              <w:pStyle w:val="Table11Centered"/>
              <w:rPr>
                <w:rFonts w:eastAsia="Calibri"/>
              </w:rPr>
            </w:pPr>
            <w:r w:rsidRPr="00A96897">
              <w:rPr>
                <w:rFonts w:eastAsia="Calibri"/>
              </w:rPr>
              <w:t>2</w:t>
            </w:r>
          </w:p>
        </w:tc>
      </w:tr>
      <w:tr w14:paraId="4DCA13DC" w14:textId="77777777" w:rsidTr="007F25A7">
        <w:tblPrEx>
          <w:tblW w:w="9154" w:type="dxa"/>
          <w:tblLook w:val="04A0"/>
        </w:tblPrEx>
        <w:trPr>
          <w:cantSplit/>
        </w:trPr>
        <w:tc>
          <w:tcPr>
            <w:tcW w:w="7465" w:type="dxa"/>
            <w:shd w:val="clear" w:color="auto" w:fill="E7E6E6" w:themeFill="background2"/>
            <w:hideMark/>
          </w:tcPr>
          <w:p w:rsidR="002B769B" w:rsidRPr="00A96897" w:rsidP="00AB5AC8" w14:paraId="774F6366" w14:textId="6819DA97">
            <w:pPr>
              <w:pStyle w:val="Table11Basic"/>
              <w:rPr>
                <w:rFonts w:eastAsia="Calibri"/>
                <w:b/>
                <w:bCs/>
              </w:rPr>
            </w:pPr>
            <w:r w:rsidRPr="00A96897">
              <w:rPr>
                <w:rFonts w:eastAsia="Calibri"/>
                <w:b/>
                <w:bCs/>
              </w:rPr>
              <w:t>Total Annual Hours (c) = (a)</w:t>
            </w:r>
            <w:r w:rsidRPr="00A96897" w:rsidR="003409E5">
              <w:t xml:space="preserve"> </w:t>
            </w:r>
            <w:r w:rsidRPr="00A96897" w:rsidR="005F738C">
              <w:t>[</w:t>
            </w:r>
            <w:r w:rsidRPr="00832F3F" w:rsidR="00832F3F">
              <w:rPr>
                <w:b/>
                <w:bCs/>
              </w:rPr>
              <w:t>×</w:t>
            </w:r>
            <w:r w:rsidRPr="00A96897" w:rsidR="00C964AD">
              <w:rPr>
                <w:rFonts w:eastAsia="Calibri"/>
                <w:b/>
                <w:bCs/>
              </w:rPr>
              <w:t>]</w:t>
            </w:r>
            <w:r w:rsidRPr="00A96897" w:rsidR="003409E5">
              <w:rPr>
                <w:rFonts w:eastAsia="Calibri"/>
                <w:b/>
                <w:bCs/>
              </w:rPr>
              <w:t xml:space="preserve"> </w:t>
            </w:r>
            <w:r w:rsidRPr="00A96897">
              <w:rPr>
                <w:rFonts w:eastAsia="Calibri"/>
                <w:b/>
                <w:bCs/>
              </w:rPr>
              <w:t>(b)</w:t>
            </w:r>
          </w:p>
        </w:tc>
        <w:tc>
          <w:tcPr>
            <w:tcW w:w="1689" w:type="dxa"/>
            <w:shd w:val="clear" w:color="auto" w:fill="E7E6E6" w:themeFill="background2"/>
            <w:hideMark/>
          </w:tcPr>
          <w:p w:rsidR="002B769B" w:rsidRPr="00A96897" w:rsidP="00AB5AC8" w14:paraId="3BA54162" w14:textId="0F80BCFF">
            <w:pPr>
              <w:pStyle w:val="Table11Centered"/>
              <w:rPr>
                <w:rFonts w:eastAsia="Calibri"/>
                <w:b/>
                <w:bCs/>
              </w:rPr>
            </w:pPr>
            <w:r w:rsidRPr="00A96897">
              <w:rPr>
                <w:rFonts w:eastAsia="Calibri"/>
                <w:b/>
                <w:bCs/>
              </w:rPr>
              <w:t>30</w:t>
            </w:r>
          </w:p>
        </w:tc>
      </w:tr>
      <w:tr w14:paraId="125D9186" w14:textId="77777777" w:rsidTr="007F25A7">
        <w:tblPrEx>
          <w:tblW w:w="9154" w:type="dxa"/>
          <w:tblLook w:val="04A0"/>
        </w:tblPrEx>
        <w:trPr>
          <w:cantSplit/>
        </w:trPr>
        <w:tc>
          <w:tcPr>
            <w:tcW w:w="7465" w:type="dxa"/>
            <w:hideMark/>
          </w:tcPr>
          <w:p w:rsidR="002B769B" w:rsidRPr="00A96897" w:rsidP="00AB5AC8" w14:paraId="5C68AECB" w14:textId="5AE6BA3F">
            <w:pPr>
              <w:pStyle w:val="Table11Basic"/>
              <w:rPr>
                <w:rFonts w:eastAsia="Calibri"/>
              </w:rPr>
            </w:pPr>
            <w:r w:rsidRPr="00A96897">
              <w:rPr>
                <w:rFonts w:eastAsia="Calibri"/>
              </w:rPr>
              <w:t xml:space="preserve">Cost </w:t>
            </w:r>
            <w:r w:rsidRPr="7328A4BD" w:rsidR="423310E0">
              <w:rPr>
                <w:rFonts w:eastAsia="Calibri"/>
              </w:rPr>
              <w:t>p</w:t>
            </w:r>
            <w:r w:rsidRPr="7328A4BD">
              <w:rPr>
                <w:rFonts w:eastAsia="Calibri"/>
              </w:rPr>
              <w:t>er</w:t>
            </w:r>
            <w:r w:rsidRPr="00A96897">
              <w:rPr>
                <w:rFonts w:eastAsia="Calibri"/>
              </w:rPr>
              <w:t xml:space="preserve"> Organization </w:t>
            </w:r>
            <w:r w:rsidR="00482D43">
              <w:rPr>
                <w:rFonts w:eastAsia="Calibri"/>
              </w:rPr>
              <w:t>at</w:t>
            </w:r>
            <w:r w:rsidRPr="00A96897">
              <w:rPr>
                <w:rFonts w:eastAsia="Calibri"/>
              </w:rPr>
              <w:t xml:space="preserve"> </w:t>
            </w:r>
            <w:r w:rsidRPr="7328A4BD" w:rsidR="5E5713D5">
              <w:rPr>
                <w:color w:val="000000" w:themeColor="text1"/>
              </w:rPr>
              <w:t>Computer Systems Analyst’s Labor Rate</w:t>
            </w:r>
            <w:r w:rsidRPr="00A96897">
              <w:rPr>
                <w:rFonts w:eastAsia="Calibri"/>
              </w:rPr>
              <w:t xml:space="preserve"> of</w:t>
            </w:r>
            <w:bookmarkStart w:id="170" w:name="_1777393619"/>
            <w:bookmarkStart w:id="171" w:name="_1777392147"/>
            <w:bookmarkStart w:id="172" w:name="_1777205095"/>
            <w:bookmarkEnd w:id="170"/>
            <w:bookmarkEnd w:id="171"/>
            <w:bookmarkEnd w:id="172"/>
            <w:r w:rsidRPr="00A96897" w:rsidR="00231FF0">
              <w:t xml:space="preserve"> $106.54</w:t>
            </w:r>
            <w:r w:rsidRPr="00A96897">
              <w:rPr>
                <w:rFonts w:eastAsia="Calibri"/>
              </w:rPr>
              <w:t xml:space="preserve">/hr (d) </w:t>
            </w:r>
            <w:r w:rsidRPr="00A96897" w:rsidR="002B3F87">
              <w:rPr>
                <w:rFonts w:eastAsia="Calibri"/>
              </w:rPr>
              <w:t>= (b)</w:t>
            </w:r>
            <w:r w:rsidRPr="00A96897">
              <w:rPr>
                <w:rFonts w:eastAsia="Calibri"/>
              </w:rPr>
              <w:t xml:space="preserve"> </w:t>
            </w:r>
            <w:r w:rsidRPr="00A96897" w:rsidR="002B3F87">
              <w:t>[</w:t>
            </w:r>
            <w:r w:rsidR="00832F3F">
              <w:t>×</w:t>
            </w:r>
            <w:r w:rsidRPr="7328A4BD" w:rsidR="002B3F87">
              <w:rPr>
                <w:rFonts w:eastAsia="Calibri"/>
              </w:rPr>
              <w:t>]</w:t>
            </w:r>
            <w:bookmarkStart w:id="173" w:name="_1777393626"/>
            <w:bookmarkStart w:id="174" w:name="_1777392154"/>
            <w:bookmarkStart w:id="175" w:name="_1777205103"/>
            <w:bookmarkEnd w:id="173"/>
            <w:bookmarkEnd w:id="174"/>
            <w:bookmarkEnd w:id="175"/>
            <w:r w:rsidRPr="00A96897" w:rsidR="00231FF0">
              <w:t xml:space="preserve"> $106.54</w:t>
            </w:r>
            <w:r w:rsidRPr="00A96897" w:rsidR="002B3F87">
              <w:rPr>
                <w:rFonts w:eastAsia="Calibri"/>
              </w:rPr>
              <w:t>/hr</w:t>
            </w:r>
          </w:p>
        </w:tc>
        <w:tc>
          <w:tcPr>
            <w:tcW w:w="1689" w:type="dxa"/>
            <w:hideMark/>
          </w:tcPr>
          <w:p w:rsidR="002B769B" w:rsidRPr="00A96897" w:rsidP="00AB5AC8" w14:paraId="370693B7" w14:textId="5517A7B0">
            <w:pPr>
              <w:pStyle w:val="Table11Centered"/>
              <w:rPr>
                <w:rFonts w:eastAsia="Calibri"/>
              </w:rPr>
            </w:pPr>
            <w:r w:rsidRPr="00A96897">
              <w:rPr>
                <w:rFonts w:eastAsia="Calibri"/>
              </w:rPr>
              <w:t>$</w:t>
            </w:r>
            <w:r w:rsidRPr="00A96897" w:rsidR="000559A0">
              <w:rPr>
                <w:rFonts w:eastAsia="Calibri"/>
              </w:rPr>
              <w:t>213.08</w:t>
            </w:r>
          </w:p>
        </w:tc>
      </w:tr>
      <w:tr w14:paraId="4C6772FA" w14:textId="77777777" w:rsidTr="007F25A7">
        <w:tblPrEx>
          <w:tblW w:w="9154" w:type="dxa"/>
          <w:tblLook w:val="04A0"/>
        </w:tblPrEx>
        <w:trPr>
          <w:cantSplit/>
        </w:trPr>
        <w:tc>
          <w:tcPr>
            <w:tcW w:w="7465" w:type="dxa"/>
            <w:shd w:val="clear" w:color="auto" w:fill="E7E6E6" w:themeFill="background2"/>
            <w:hideMark/>
          </w:tcPr>
          <w:p w:rsidR="002B769B" w:rsidRPr="00A96897" w:rsidP="00AB5AC8" w14:paraId="2AA48471" w14:textId="299036BB">
            <w:pPr>
              <w:pStyle w:val="Table11Basic"/>
              <w:rPr>
                <w:rFonts w:eastAsia="Calibri"/>
                <w:b/>
                <w:bCs/>
              </w:rPr>
            </w:pPr>
            <w:r w:rsidRPr="00A96897">
              <w:rPr>
                <w:rFonts w:eastAsia="Calibri"/>
                <w:b/>
                <w:bCs/>
              </w:rPr>
              <w:t>Total Annual Cost (e) = (a)</w:t>
            </w:r>
            <w:r w:rsidRPr="00A96897" w:rsidR="003409E5">
              <w:t xml:space="preserve"> </w:t>
            </w:r>
            <w:r w:rsidRPr="00A96897" w:rsidR="005F738C">
              <w:t>[</w:t>
            </w:r>
            <w:r w:rsidRPr="00832F3F" w:rsidR="00832F3F">
              <w:rPr>
                <w:b/>
                <w:bCs/>
              </w:rPr>
              <w:t>×</w:t>
            </w:r>
            <w:r w:rsidRPr="00A96897" w:rsidR="00904AD8">
              <w:rPr>
                <w:rFonts w:eastAsia="Calibri"/>
                <w:b/>
                <w:bCs/>
              </w:rPr>
              <w:t>]</w:t>
            </w:r>
            <w:r w:rsidRPr="00A96897" w:rsidR="003409E5">
              <w:rPr>
                <w:rFonts w:eastAsia="Calibri"/>
                <w:b/>
                <w:bCs/>
              </w:rPr>
              <w:t xml:space="preserve"> </w:t>
            </w:r>
            <w:r w:rsidRPr="00A96897">
              <w:rPr>
                <w:rFonts w:eastAsia="Calibri"/>
                <w:b/>
                <w:bCs/>
              </w:rPr>
              <w:t>(d)</w:t>
            </w:r>
          </w:p>
        </w:tc>
        <w:tc>
          <w:tcPr>
            <w:tcW w:w="1689" w:type="dxa"/>
            <w:shd w:val="clear" w:color="auto" w:fill="E7E6E6" w:themeFill="background2"/>
            <w:hideMark/>
          </w:tcPr>
          <w:p w:rsidR="002B769B" w:rsidRPr="00A96897" w:rsidP="00AB5AC8" w14:paraId="0479B6D3" w14:textId="0788F3D7">
            <w:pPr>
              <w:pStyle w:val="Table11Centered"/>
              <w:rPr>
                <w:rFonts w:eastAsia="Calibri"/>
                <w:b/>
                <w:bCs/>
              </w:rPr>
            </w:pPr>
            <w:r w:rsidRPr="00A96897">
              <w:rPr>
                <w:rFonts w:eastAsia="Calibri"/>
                <w:b/>
                <w:bCs/>
              </w:rPr>
              <w:t>$</w:t>
            </w:r>
            <w:r w:rsidRPr="00A96897" w:rsidR="002B3F87">
              <w:rPr>
                <w:rFonts w:eastAsia="Calibri"/>
                <w:b/>
                <w:bCs/>
              </w:rPr>
              <w:t>3,1</w:t>
            </w:r>
            <w:r w:rsidRPr="00A96897" w:rsidR="00A6528D">
              <w:rPr>
                <w:rFonts w:eastAsia="Calibri"/>
                <w:b/>
                <w:bCs/>
              </w:rPr>
              <w:t>96</w:t>
            </w:r>
          </w:p>
        </w:tc>
      </w:tr>
    </w:tbl>
    <w:p w:rsidR="00B05B18" w:rsidRPr="00041A6A" w:rsidP="00E03843" w14:paraId="50273D17" w14:textId="5CB893E8">
      <w:pPr>
        <w:pStyle w:val="Heading5"/>
      </w:pPr>
      <w:r>
        <w:t>ii.</w:t>
      </w:r>
      <w:r>
        <w:tab/>
      </w:r>
      <w:r w:rsidR="3FE5CD71">
        <w:t>Burden Estimate for the Quality Performance Category</w:t>
      </w:r>
    </w:p>
    <w:p w:rsidR="002B769B" w:rsidP="0067016B" w14:paraId="0E782F13" w14:textId="6AE20272">
      <w:pPr>
        <w:spacing w:before="240"/>
        <w:rPr>
          <w:rFonts w:eastAsia="Calibri"/>
        </w:rPr>
      </w:pPr>
      <w:r>
        <w:rPr>
          <w:color w:val="000000"/>
          <w:shd w:val="clear" w:color="auto" w:fill="FFFFFF"/>
        </w:rPr>
        <w:t xml:space="preserve">Under our current policies, two groups of clinicians submit data for the quality performance category under MIPS: those who submit data as MIPS eligible clinicians, and those who submit data voluntarily but are not subject to MIPS payment adjustments. Clinicians are ineligible for MIPS payment adjustments if they are newly enrolled to Medicare; are QPs; are </w:t>
      </w:r>
      <w:r>
        <w:rPr>
          <w:rStyle w:val="findhit"/>
          <w:color w:val="000000"/>
          <w:shd w:val="clear" w:color="auto" w:fill="FFFFFF"/>
        </w:rPr>
        <w:t>partial QP</w:t>
      </w:r>
      <w:r>
        <w:rPr>
          <w:color w:val="000000"/>
          <w:shd w:val="clear" w:color="auto" w:fill="FFFFFF"/>
        </w:rPr>
        <w:t>s who elect to not participate in MIPS; are not one of the clinician types included in the definition for MIPS eligible clinician; or do not exceed the low-volume threshold as an individual or as a group.</w:t>
      </w:r>
    </w:p>
    <w:p w:rsidR="00617569" w:rsidRPr="00617569" w:rsidP="00730BEF" w14:paraId="2CADF926" w14:textId="1201A347">
      <w:pPr>
        <w:rPr>
          <w:rFonts w:eastAsia="Calibri"/>
        </w:rPr>
      </w:pPr>
      <w:r w:rsidRPr="0016102D">
        <w:rPr>
          <w:rFonts w:eastAsia="Calibri"/>
        </w:rPr>
        <w:t>To determine which QPs should be excluded from MIPS, we used the</w:t>
      </w:r>
      <w:r w:rsidR="00F403A8">
        <w:rPr>
          <w:rFonts w:eastAsia="Calibri"/>
        </w:rPr>
        <w:t xml:space="preserve"> </w:t>
      </w:r>
      <w:r w:rsidRPr="00E610CD" w:rsidR="00F403A8">
        <w:rPr>
          <w:rFonts w:eastAsia="Calibri"/>
          <w:snapToGrid w:val="0"/>
        </w:rPr>
        <w:t xml:space="preserve">Advanced APM payment and patient percentages from the APM </w:t>
      </w:r>
      <w:r w:rsidRPr="00287E3D" w:rsidR="00F403A8">
        <w:rPr>
          <w:rFonts w:eastAsia="Calibri"/>
          <w:snapToGrid w:val="0"/>
        </w:rPr>
        <w:t xml:space="preserve">Participant List for </w:t>
      </w:r>
      <w:r w:rsidRPr="001C02A4" w:rsidR="00F403A8">
        <w:rPr>
          <w:rFonts w:eastAsia="Calibri"/>
          <w:snapToGrid w:val="0"/>
        </w:rPr>
        <w:t xml:space="preserve">the </w:t>
      </w:r>
      <w:r w:rsidRPr="001C02A4" w:rsidR="0052624A">
        <w:rPr>
          <w:rFonts w:eastAsia="Calibri"/>
          <w:snapToGrid w:val="0"/>
        </w:rPr>
        <w:t xml:space="preserve">final </w:t>
      </w:r>
      <w:r w:rsidRPr="001C02A4" w:rsidR="00F403A8">
        <w:rPr>
          <w:rFonts w:eastAsia="Calibri"/>
          <w:snapToGrid w:val="0"/>
        </w:rPr>
        <w:t xml:space="preserve">snapshot date for the </w:t>
      </w:r>
      <w:r w:rsidRPr="001C02A4" w:rsidR="00615426">
        <w:rPr>
          <w:rFonts w:eastAsia="Calibri"/>
          <w:snapToGrid w:val="0"/>
        </w:rPr>
        <w:t xml:space="preserve">CY </w:t>
      </w:r>
      <w:r w:rsidRPr="001C02A4" w:rsidR="00F403A8">
        <w:rPr>
          <w:rFonts w:eastAsia="Calibri"/>
          <w:snapToGrid w:val="0"/>
        </w:rPr>
        <w:t>20</w:t>
      </w:r>
      <w:r w:rsidRPr="001C02A4" w:rsidR="0097023D">
        <w:rPr>
          <w:rFonts w:eastAsia="Calibri"/>
          <w:snapToGrid w:val="0"/>
        </w:rPr>
        <w:t>2</w:t>
      </w:r>
      <w:r w:rsidRPr="001C02A4" w:rsidR="00C75B39">
        <w:rPr>
          <w:rFonts w:eastAsia="Calibri"/>
          <w:snapToGrid w:val="0"/>
        </w:rPr>
        <w:t xml:space="preserve">2 </w:t>
      </w:r>
      <w:r w:rsidRPr="001C02A4" w:rsidR="00F403A8">
        <w:rPr>
          <w:rFonts w:eastAsia="Calibri"/>
          <w:snapToGrid w:val="0"/>
        </w:rPr>
        <w:t>QP performance period</w:t>
      </w:r>
      <w:r w:rsidRPr="3DFE5A6D" w:rsidR="00E51443">
        <w:rPr>
          <w:rFonts w:eastAsia="Calibri"/>
        </w:rPr>
        <w:t xml:space="preserve"> </w:t>
      </w:r>
      <w:r w:rsidR="00E51443">
        <w:rPr>
          <w:rFonts w:eastAsia="Calibri"/>
        </w:rPr>
        <w:t>and the QP thresholds applied to the regulatory impact analysis</w:t>
      </w:r>
      <w:r w:rsidRPr="00287E3D" w:rsidR="00F403A8">
        <w:rPr>
          <w:rFonts w:eastAsia="Calibri"/>
          <w:snapToGrid w:val="0"/>
        </w:rPr>
        <w:t>.</w:t>
      </w:r>
      <w:r w:rsidRPr="00287E3D">
        <w:rPr>
          <w:rFonts w:eastAsia="Calibri"/>
        </w:rPr>
        <w:t xml:space="preserve"> Due to data limitations</w:t>
      </w:r>
      <w:r w:rsidRPr="0016102D">
        <w:rPr>
          <w:rFonts w:eastAsia="Calibri"/>
        </w:rPr>
        <w:t xml:space="preserve">, we could not identify specific clinicians who have not yet enrolled in APMs, but who may become QPs in the </w:t>
      </w:r>
      <w:r w:rsidR="006653AC">
        <w:rPr>
          <w:rFonts w:eastAsia="Calibri"/>
        </w:rPr>
        <w:t xml:space="preserve">CY </w:t>
      </w:r>
      <w:r w:rsidRPr="0016102D">
        <w:rPr>
          <w:rFonts w:eastAsia="Calibri"/>
        </w:rPr>
        <w:t>202</w:t>
      </w:r>
      <w:r w:rsidR="00F616E6">
        <w:rPr>
          <w:rFonts w:eastAsia="Calibri"/>
        </w:rPr>
        <w:t>5</w:t>
      </w:r>
      <w:r w:rsidR="00F47A81">
        <w:rPr>
          <w:rFonts w:eastAsia="Calibri"/>
        </w:rPr>
        <w:t xml:space="preserve"> </w:t>
      </w:r>
      <w:r w:rsidR="00D8279B">
        <w:rPr>
          <w:rFonts w:eastAsia="Calibri"/>
        </w:rPr>
        <w:t>p</w:t>
      </w:r>
      <w:r w:rsidRPr="0016102D">
        <w:rPr>
          <w:rFonts w:eastAsia="Calibri"/>
        </w:rPr>
        <w:t xml:space="preserve">erformance </w:t>
      </w:r>
      <w:r w:rsidR="00D8279B">
        <w:rPr>
          <w:rFonts w:eastAsia="Calibri"/>
        </w:rPr>
        <w:t>p</w:t>
      </w:r>
      <w:r w:rsidRPr="0016102D">
        <w:rPr>
          <w:rFonts w:eastAsia="Calibri"/>
        </w:rPr>
        <w:t>eriod</w:t>
      </w:r>
      <w:r w:rsidR="00F40360">
        <w:rPr>
          <w:rFonts w:eastAsia="Calibri"/>
        </w:rPr>
        <w:t>/202</w:t>
      </w:r>
      <w:r w:rsidR="00F616E6">
        <w:rPr>
          <w:rFonts w:eastAsia="Calibri"/>
        </w:rPr>
        <w:t>7</w:t>
      </w:r>
      <w:r w:rsidR="00F40360">
        <w:rPr>
          <w:rFonts w:eastAsia="Calibri"/>
        </w:rPr>
        <w:t xml:space="preserve"> MIPS payment year </w:t>
      </w:r>
      <w:r w:rsidRPr="0016102D">
        <w:rPr>
          <w:rFonts w:eastAsia="Calibri"/>
        </w:rPr>
        <w:t>(and therefore will no longer need to submit data to MIPS); hence, our model may underestimate or overestimate the number of respondents</w:t>
      </w:r>
      <w:r w:rsidRPr="00617569">
        <w:rPr>
          <w:rFonts w:eastAsia="Calibri"/>
        </w:rPr>
        <w:t xml:space="preserve">. </w:t>
      </w:r>
    </w:p>
    <w:p w:rsidR="00F2156B" w:rsidP="00BD5E37" w14:paraId="396E0805" w14:textId="4F48036E">
      <w:pPr>
        <w:rPr>
          <w:rFonts w:eastAsia="Calibri"/>
        </w:rPr>
      </w:pPr>
      <w:r>
        <w:rPr>
          <w:rFonts w:eastAsia="Calibri"/>
          <w:color w:val="000000"/>
          <w:shd w:val="clear" w:color="auto" w:fill="FFFFFF"/>
        </w:rPr>
        <w:t xml:space="preserve">The burden associated with the submission of quality performance category data </w:t>
      </w:r>
      <w:r>
        <w:rPr>
          <w:rStyle w:val="findhit"/>
          <w:rFonts w:eastAsia="Calibri"/>
          <w:color w:val="000000"/>
          <w:shd w:val="clear" w:color="auto" w:fill="FFFFFF"/>
        </w:rPr>
        <w:t>ha</w:t>
      </w:r>
      <w:r w:rsidR="0014173D">
        <w:rPr>
          <w:rStyle w:val="findhit"/>
          <w:rFonts w:eastAsia="Calibri"/>
          <w:color w:val="000000"/>
          <w:shd w:val="clear" w:color="auto" w:fill="FFFFFF"/>
        </w:rPr>
        <w:t>s</w:t>
      </w:r>
      <w:r>
        <w:rPr>
          <w:rStyle w:val="findhit"/>
          <w:rFonts w:eastAsia="Calibri"/>
          <w:color w:val="000000"/>
          <w:shd w:val="clear" w:color="auto" w:fill="FFFFFF"/>
        </w:rPr>
        <w:t xml:space="preserve"> some limi</w:t>
      </w:r>
      <w:r>
        <w:rPr>
          <w:rFonts w:eastAsia="Calibri"/>
          <w:color w:val="000000"/>
          <w:shd w:val="clear" w:color="auto" w:fill="FFFFFF"/>
        </w:rPr>
        <w:t xml:space="preserve">tations. We believe it is difficult to quantify the burden accurately because clinicians and groups may have different processes for integrating quality data submission into their practices’ workflows. Moreover, the time needed for a clinician to review quality measures and other </w:t>
      </w:r>
      <w:r>
        <w:rPr>
          <w:rFonts w:eastAsia="Calibri"/>
          <w:color w:val="000000"/>
          <w:shd w:val="clear" w:color="auto" w:fill="FFFFFF"/>
        </w:rPr>
        <w:t>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w:t>
      </w:r>
      <w:r>
        <w:rPr>
          <w:color w:val="000000"/>
          <w:shd w:val="clear" w:color="auto" w:fill="FFFFFF"/>
        </w:rPr>
        <w:t xml:space="preserve"> For example, clinicians submitting data via the Medicare Part B claims collection type need to integrate the capture of quality data codes for each encounter whereas clinicians submitting via the eCQM collection types may have quality measures automated as part of their electronic health record (EHR) implementation.</w:t>
      </w:r>
    </w:p>
    <w:p w:rsidR="003874C5" w:rsidRPr="003874C5" w:rsidP="001416D2" w14:paraId="38EB9B79" w14:textId="78592246">
      <w:pPr>
        <w:rPr>
          <w:i/>
        </w:rPr>
      </w:pPr>
      <w:r w:rsidRPr="00311FB2">
        <w:rPr>
          <w:rFonts w:eastAsia="Calibri"/>
        </w:rPr>
        <w:t>We believe the burden associated with submitting quality measures data will vary depending on the collection type selected by the clinician, group, or third</w:t>
      </w:r>
      <w:r w:rsidR="005539D1">
        <w:rPr>
          <w:rFonts w:eastAsia="Calibri"/>
        </w:rPr>
        <w:t xml:space="preserve"> </w:t>
      </w:r>
      <w:r w:rsidRPr="00311FB2">
        <w:rPr>
          <w:rFonts w:eastAsia="Calibri"/>
        </w:rPr>
        <w:t>party. As such, we separately estimated the burden for clinicians, groups, and third parties to submit quality measures data by the collection type used. For the purposes of our burden estimates for the Medicare Part B claims, MIPS CQM</w:t>
      </w:r>
      <w:r w:rsidR="004E6A00">
        <w:rPr>
          <w:rFonts w:eastAsia="Calibri"/>
        </w:rPr>
        <w:t>,</w:t>
      </w:r>
      <w:r w:rsidRPr="00311FB2">
        <w:rPr>
          <w:rFonts w:eastAsia="Calibri"/>
        </w:rPr>
        <w:t xml:space="preserve"> QCDR, and eCQM collection types, we also assume that each clinician or group will submit</w:t>
      </w:r>
      <w:r w:rsidR="00500CC0">
        <w:rPr>
          <w:rFonts w:eastAsia="Calibri"/>
        </w:rPr>
        <w:t>, on average,</w:t>
      </w:r>
      <w:r w:rsidRPr="00311FB2">
        <w:rPr>
          <w:rFonts w:eastAsia="Calibri"/>
        </w:rPr>
        <w:t xml:space="preserve"> </w:t>
      </w:r>
      <w:r w:rsidR="00536979">
        <w:rPr>
          <w:rFonts w:eastAsia="Calibri"/>
        </w:rPr>
        <w:t xml:space="preserve">six </w:t>
      </w:r>
      <w:r w:rsidRPr="00311FB2">
        <w:rPr>
          <w:rFonts w:eastAsia="Calibri"/>
        </w:rPr>
        <w:t>quality measures</w:t>
      </w:r>
      <w:r w:rsidRPr="00AD36DE" w:rsidR="00AD36DE">
        <w:rPr>
          <w:rFonts w:eastAsia="Calibri"/>
        </w:rPr>
        <w:t xml:space="preserve">. </w:t>
      </w:r>
      <w:r w:rsidRPr="008667F9" w:rsidR="008667F9">
        <w:rPr>
          <w:rFonts w:eastAsia="Calibri"/>
        </w:rPr>
        <w:t xml:space="preserve">Additionally, we </w:t>
      </w:r>
      <w:r w:rsidR="005B48A1">
        <w:rPr>
          <w:rFonts w:eastAsia="Calibri"/>
        </w:rPr>
        <w:t xml:space="preserve">separately </w:t>
      </w:r>
      <w:r w:rsidRPr="008667F9" w:rsidR="008667F9">
        <w:rPr>
          <w:rFonts w:eastAsia="Calibri"/>
        </w:rPr>
        <w:t>capture the burden for clinicians who choose to submit via these collection types for the quality performance category of MVPs.</w:t>
      </w:r>
      <w:r w:rsidRPr="00500CC0" w:rsidR="008667F9">
        <w:rPr>
          <w:rFonts w:eastAsia="Calibri"/>
          <w:color w:val="000000"/>
          <w:shd w:val="clear" w:color="auto" w:fill="FFFFFF"/>
        </w:rPr>
        <w:t xml:space="preserve"> </w:t>
      </w:r>
      <w:r w:rsidR="00500CC0">
        <w:rPr>
          <w:color w:val="000000"/>
          <w:shd w:val="clear" w:color="auto" w:fill="FFFFFF"/>
        </w:rPr>
        <w:t>Additionally, as finalized in the CY 2022 PFS final rule (86 FR 65394 through 65397), group tax identification numbers (TINs) could also choose to participate as subgroups for MVP reporting beginning with the CY 2023 performance period/2025 MIPS payment year.</w:t>
      </w:r>
      <w:r w:rsidR="008667F9">
        <w:rPr>
          <w:rFonts w:eastAsia="Calibri"/>
        </w:rPr>
        <w:t xml:space="preserve"> </w:t>
      </w:r>
      <w:r w:rsidRPr="000559A3" w:rsidR="00927146">
        <w:rPr>
          <w:rFonts w:eastAsia="Calibri"/>
        </w:rPr>
        <w:t>We finalized i</w:t>
      </w:r>
      <w:r w:rsidRPr="000559A3" w:rsidR="00A3749B">
        <w:rPr>
          <w:rFonts w:eastAsia="Calibri"/>
        </w:rPr>
        <w:t xml:space="preserve">n the CY 2022 PFS </w:t>
      </w:r>
      <w:r w:rsidRPr="000559A3" w:rsidR="00325F29">
        <w:rPr>
          <w:rFonts w:eastAsia="Calibri"/>
        </w:rPr>
        <w:t>final</w:t>
      </w:r>
      <w:r w:rsidRPr="000559A3" w:rsidR="00A3749B">
        <w:rPr>
          <w:rFonts w:eastAsia="Calibri"/>
        </w:rPr>
        <w:t xml:space="preserve"> rule</w:t>
      </w:r>
      <w:r w:rsidRPr="000559A3" w:rsidR="00830DDB">
        <w:rPr>
          <w:rFonts w:eastAsia="Calibri"/>
        </w:rPr>
        <w:t xml:space="preserve"> (</w:t>
      </w:r>
      <w:r w:rsidRPr="000559A3" w:rsidR="00E2068C">
        <w:rPr>
          <w:rFonts w:eastAsia="Calibri"/>
        </w:rPr>
        <w:t>86 FR</w:t>
      </w:r>
      <w:r w:rsidRPr="000559A3" w:rsidR="009A5A87">
        <w:rPr>
          <w:rFonts w:eastAsia="Calibri"/>
        </w:rPr>
        <w:t xml:space="preserve"> 65411 through 65412</w:t>
      </w:r>
      <w:r w:rsidRPr="000559A3" w:rsidR="00830DDB">
        <w:rPr>
          <w:rFonts w:eastAsia="Calibri"/>
        </w:rPr>
        <w:t>)</w:t>
      </w:r>
      <w:r w:rsidRPr="000559A3" w:rsidR="00B07CA9">
        <w:t xml:space="preserve"> </w:t>
      </w:r>
      <w:r w:rsidRPr="000559A3" w:rsidR="00A3749B">
        <w:t xml:space="preserve">that except as provided in paragraph § 414.1365(c)(1)(i), an MVP Participant must select and report </w:t>
      </w:r>
      <w:r w:rsidR="00536979">
        <w:t>four</w:t>
      </w:r>
      <w:r w:rsidRPr="000559A3" w:rsidR="00536979">
        <w:t xml:space="preserve"> </w:t>
      </w:r>
      <w:r w:rsidRPr="000559A3" w:rsidR="00A3749B">
        <w:t xml:space="preserve">quality measures, including </w:t>
      </w:r>
      <w:r w:rsidR="00536979">
        <w:t>one</w:t>
      </w:r>
      <w:r w:rsidRPr="000559A3" w:rsidR="00536979">
        <w:t xml:space="preserve"> </w:t>
      </w:r>
      <w:r w:rsidRPr="000559A3" w:rsidR="00A3749B">
        <w:t xml:space="preserve">outcome measure (or, if an outcome measure is not available, </w:t>
      </w:r>
      <w:r w:rsidR="00536979">
        <w:t>one</w:t>
      </w:r>
      <w:r w:rsidRPr="000559A3" w:rsidR="00536979">
        <w:t xml:space="preserve"> </w:t>
      </w:r>
      <w:r w:rsidRPr="000559A3" w:rsidR="00A3749B">
        <w:t>high priority measure</w:t>
      </w:r>
      <w:r w:rsidR="005B48A1">
        <w:t>)</w:t>
      </w:r>
      <w:r w:rsidRPr="000559A3" w:rsidR="00A3749B">
        <w:t>, included in the MVP.</w:t>
      </w:r>
    </w:p>
    <w:p w:rsidR="006B22A9" w:rsidRPr="001E07DC" w:rsidP="00E03843" w14:paraId="12E32A07" w14:textId="73AFCE2D">
      <w:pPr>
        <w:pStyle w:val="Heading5"/>
        <w:rPr>
          <w:iCs/>
        </w:rPr>
      </w:pPr>
      <w:r>
        <w:t>iii.</w:t>
      </w:r>
      <w:r>
        <w:tab/>
      </w:r>
      <w:r w:rsidRPr="001E07DC" w:rsidR="00C351ED">
        <w:t xml:space="preserve">Burden for </w:t>
      </w:r>
      <w:r w:rsidRPr="001E07DC" w:rsidR="006B4818">
        <w:t>Quality Payment Program Identity Management Application Process</w:t>
      </w:r>
    </w:p>
    <w:p w:rsidR="00FD19D7" w:rsidP="0067016B" w14:paraId="353B1117" w14:textId="0897459E">
      <w:pPr>
        <w:pStyle w:val="BodyText-PostHead"/>
        <w:spacing w:before="240"/>
        <w:rPr>
          <w:rFonts w:eastAsia="Calibri"/>
        </w:rPr>
      </w:pPr>
      <w:r w:rsidRPr="003428D4">
        <w:rPr>
          <w:rFonts w:eastAsia="Calibri"/>
        </w:rPr>
        <w:t>For an individual, group, or third</w:t>
      </w:r>
      <w:r w:rsidR="003C43FE">
        <w:rPr>
          <w:rFonts w:eastAsia="Calibri"/>
        </w:rPr>
        <w:t xml:space="preserve"> </w:t>
      </w:r>
      <w:r w:rsidRPr="003428D4">
        <w:rPr>
          <w:rFonts w:eastAsia="Calibri"/>
        </w:rPr>
        <w:t>party to submit MIPS quality, improvement activities, or Promoting Interoperability performance category data using either the log in and upload or the log in and attest submission type or to access feedback reports, the submitter must have a CMS</w:t>
      </w:r>
      <w:r w:rsidR="002B68CF">
        <w:rPr>
          <w:rFonts w:eastAsia="Calibri"/>
        </w:rPr>
        <w:t xml:space="preserve"> </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AB5AC8" w14:paraId="12E1517F" w14:textId="38EC8CD7">
      <w:pPr>
        <w:pStyle w:val="BodyText"/>
      </w:pPr>
      <w:r>
        <w:t xml:space="preserve">As shown in Table </w:t>
      </w:r>
      <w:r w:rsidR="00FB6E19">
        <w:t>10</w:t>
      </w:r>
      <w:r w:rsidRPr="00554E7A" w:rsidR="00554E7A">
        <w:t>, we estimate</w:t>
      </w:r>
      <w:r w:rsidR="00617023">
        <w:t xml:space="preserve"> that </w:t>
      </w:r>
      <w:r w:rsidRPr="00554E7A" w:rsidR="00554E7A">
        <w:t>6,</w:t>
      </w:r>
      <w:r w:rsidR="002B5955">
        <w:t>237</w:t>
      </w:r>
      <w:r w:rsidRPr="00554E7A" w:rsidR="002B5955">
        <w:t xml:space="preserve"> </w:t>
      </w:r>
      <w:r w:rsidR="219A8301">
        <w:t>unique TINs</w:t>
      </w:r>
      <w:r w:rsidR="00554E7A">
        <w:t xml:space="preserve"> </w:t>
      </w:r>
      <w:r w:rsidRPr="00554E7A" w:rsidR="00554E7A">
        <w:t>w</w:t>
      </w:r>
      <w:r w:rsidR="00617023">
        <w:t>ill</w:t>
      </w:r>
      <w:r w:rsidRPr="00554E7A" w:rsidR="00554E7A">
        <w:t xml:space="preserve"> submit their information to obtain new user accounts in the HARP system for the CY 202</w:t>
      </w:r>
      <w:r w:rsidR="002B5955">
        <w:t>5</w:t>
      </w:r>
      <w:r w:rsidRPr="00554E7A" w:rsidR="00554E7A">
        <w:t xml:space="preserve"> performance period/202</w:t>
      </w:r>
      <w:r w:rsidR="002B5955">
        <w:t>7</w:t>
      </w:r>
      <w:r w:rsidRPr="00554E7A" w:rsidR="00554E7A">
        <w:t xml:space="preserve"> MIPS payment year</w:t>
      </w:r>
      <w:r w:rsidR="48E63F56">
        <w:t>, based up updated data from March 2022 to February 2023</w:t>
      </w:r>
      <w:r w:rsidR="00554E7A">
        <w:t>.</w:t>
      </w:r>
      <w:r w:rsidR="00FD19D7">
        <w:t xml:space="preserve"> </w:t>
      </w:r>
      <w:r w:rsidR="00BA660A">
        <w:t xml:space="preserve">We estimate that </w:t>
      </w:r>
      <w:r w:rsidRPr="006B4818" w:rsidR="006B4818">
        <w:t>it would take 1 hour at</w:t>
      </w:r>
      <w:bookmarkStart w:id="176" w:name="_1777393632"/>
      <w:bookmarkStart w:id="177" w:name="_1777392160"/>
      <w:bookmarkStart w:id="178" w:name="_1777205111"/>
      <w:bookmarkStart w:id="179" w:name="_1777365956"/>
      <w:bookmarkEnd w:id="176"/>
      <w:bookmarkEnd w:id="177"/>
      <w:bookmarkEnd w:id="178"/>
      <w:bookmarkEnd w:id="179"/>
      <w:r w:rsidR="00231FF0">
        <w:t xml:space="preserve"> $106.54</w:t>
      </w:r>
      <w:r w:rsidRPr="006B4818" w:rsidR="006B4818">
        <w:t xml:space="preserve">/hr for a computer systems analyst (or their equivalent) to obtain an account for the </w:t>
      </w:r>
      <w:r w:rsidR="004E1925">
        <w:t>HARP system</w:t>
      </w:r>
      <w:r w:rsidR="00BA660A">
        <w:t xml:space="preserve">, resulting in an estimated cost of </w:t>
      </w:r>
      <w:r w:rsidR="007D530F">
        <w:t xml:space="preserve">$106.54 </w:t>
      </w:r>
      <w:r w:rsidR="00BA660A">
        <w:t>per application</w:t>
      </w:r>
      <w:r w:rsidRPr="006B4818" w:rsidR="006B4818">
        <w:t xml:space="preserve">. In aggregate we estimate an annual burden of </w:t>
      </w:r>
      <w:r w:rsidR="002B5955">
        <w:t>6</w:t>
      </w:r>
      <w:r w:rsidR="000C6E5C">
        <w:t>,</w:t>
      </w:r>
      <w:r w:rsidR="002B5955">
        <w:t>237</w:t>
      </w:r>
      <w:r w:rsidRPr="006B4818" w:rsidR="006B4818">
        <w:t xml:space="preserve"> hours (</w:t>
      </w:r>
      <w:r w:rsidR="002B5955">
        <w:t>6</w:t>
      </w:r>
      <w:r w:rsidR="000C6E5C">
        <w:t>,</w:t>
      </w:r>
      <w:r w:rsidR="002B5955">
        <w:t>237</w:t>
      </w:r>
      <w:r w:rsidRPr="006B4818" w:rsidR="006B4818">
        <w:t xml:space="preserve"> </w:t>
      </w:r>
      <w:r w:rsidR="00BA660A">
        <w:t>applications</w:t>
      </w:r>
      <w:r w:rsidRPr="006B4818" w:rsidR="006B4818">
        <w:t xml:space="preserve"> </w:t>
      </w:r>
      <w:r w:rsidR="00F81FDB">
        <w:t>×</w:t>
      </w:r>
      <w:r w:rsidRPr="006B4818" w:rsidR="006B4818">
        <w:t xml:space="preserve"> 1 hr/registration) at a cost of $</w:t>
      </w:r>
      <w:r w:rsidR="002B5955">
        <w:t>664,490</w:t>
      </w:r>
      <w:r w:rsidRPr="006B4818" w:rsidR="006B4818">
        <w:t xml:space="preserve"> (</w:t>
      </w:r>
      <w:r w:rsidR="002B5955">
        <w:t>6,237</w:t>
      </w:r>
      <w:r w:rsidRPr="006B4818" w:rsidR="006B4818">
        <w:t xml:space="preserve"> </w:t>
      </w:r>
      <w:r w:rsidR="00BA660A">
        <w:t>applications</w:t>
      </w:r>
      <w:r w:rsidRPr="006B4818" w:rsidR="006B4818">
        <w:t xml:space="preserve"> </w:t>
      </w:r>
      <w:r w:rsidR="00F81FDB">
        <w:t>×</w:t>
      </w:r>
      <w:r w:rsidRPr="006B4818" w:rsidR="006B4818">
        <w:t xml:space="preserve"> </w:t>
      </w:r>
      <w:r w:rsidR="007D530F">
        <w:t>$106.54</w:t>
      </w:r>
      <w:r w:rsidRPr="006B4818" w:rsidR="006B4818">
        <w:t>/</w:t>
      </w:r>
      <w:r w:rsidR="00BA660A">
        <w:t>application</w:t>
      </w:r>
      <w:r w:rsidRPr="006B4818" w:rsidR="006B4818">
        <w:t>).</w:t>
      </w:r>
      <w:r>
        <w:t xml:space="preserve"> </w:t>
      </w:r>
    </w:p>
    <w:p w:rsidR="009A134B" w:rsidRPr="002D1D81" w:rsidP="00AB5AC8" w14:paraId="04250784" w14:textId="7F390218">
      <w:pPr>
        <w:pStyle w:val="ExhibitTitle"/>
        <w:rPr>
          <w:b w:val="0"/>
          <w:bCs/>
        </w:rPr>
      </w:pPr>
      <w:r w:rsidRPr="002D1D81">
        <w:rPr>
          <w:b w:val="0"/>
          <w:bCs/>
        </w:rPr>
        <w:t>T</w:t>
      </w:r>
      <w:r w:rsidRPr="002D1D81">
        <w:rPr>
          <w:b w:val="0"/>
          <w:bCs/>
        </w:rPr>
        <w:t>able</w:t>
      </w:r>
      <w:r w:rsidRPr="002D1D81">
        <w:rPr>
          <w:b w:val="0"/>
          <w:bCs/>
        </w:rPr>
        <w:t xml:space="preserve"> </w:t>
      </w:r>
      <w:r w:rsidRPr="002D1D81" w:rsidR="00FB6E19">
        <w:rPr>
          <w:b w:val="0"/>
          <w:bCs/>
        </w:rPr>
        <w:t>10</w:t>
      </w:r>
      <w:r w:rsidRPr="002D1D81">
        <w:rPr>
          <w:b w:val="0"/>
          <w:bCs/>
        </w:rPr>
        <w:t xml:space="preserve">: Estimated Burden for </w:t>
      </w:r>
      <w:r w:rsidRPr="002D1D81" w:rsidR="006B4818">
        <w:rPr>
          <w:b w:val="0"/>
          <w:bCs/>
        </w:rPr>
        <w:t>Quality Payment Program Identity Management Application Process</w:t>
      </w:r>
    </w:p>
    <w:tbl>
      <w:tblPr>
        <w:tblStyle w:val="TableGrid"/>
        <w:tblDescription w:val="Table 10: the estimated burden for the Q P P identity management application process (account for HARP system)."/>
        <w:tblW w:w="9355" w:type="dxa"/>
        <w:tblLook w:val="04A0"/>
      </w:tblPr>
      <w:tblGrid>
        <w:gridCol w:w="7195"/>
        <w:gridCol w:w="2160"/>
      </w:tblGrid>
      <w:tr w14:paraId="3A9F9226" w14:textId="77777777" w:rsidTr="007F25A7">
        <w:tblPrEx>
          <w:tblW w:w="9355" w:type="dxa"/>
          <w:tblLook w:val="04A0"/>
        </w:tblPrEx>
        <w:trPr>
          <w:cantSplit/>
          <w:trHeight w:val="315"/>
          <w:tblHeader/>
        </w:trPr>
        <w:tc>
          <w:tcPr>
            <w:tcW w:w="7195" w:type="dxa"/>
            <w:hideMark/>
          </w:tcPr>
          <w:p w:rsidR="00C351ED" w:rsidRPr="00C351ED" w:rsidP="00AB5AC8" w14:paraId="2226A6BB" w14:textId="6889A0D7">
            <w:pPr>
              <w:pStyle w:val="Table11-ColumnHeading"/>
            </w:pPr>
            <w:r w:rsidRPr="00C351ED">
              <w:t>Burden and Respondent Descriptions</w:t>
            </w:r>
          </w:p>
        </w:tc>
        <w:tc>
          <w:tcPr>
            <w:tcW w:w="2160" w:type="dxa"/>
            <w:hideMark/>
          </w:tcPr>
          <w:p w:rsidR="00C351ED" w:rsidRPr="00732012" w:rsidP="00AB5AC8" w14:paraId="3FD71DD0" w14:textId="77777777">
            <w:pPr>
              <w:pStyle w:val="Table11-ColumnHeading"/>
            </w:pPr>
            <w:r w:rsidRPr="00732012">
              <w:t>Burden Estimate</w:t>
            </w:r>
          </w:p>
        </w:tc>
      </w:tr>
      <w:tr w14:paraId="7A5825BF" w14:textId="77777777" w:rsidTr="007F25A7">
        <w:tblPrEx>
          <w:tblW w:w="9355" w:type="dxa"/>
          <w:tblLook w:val="04A0"/>
        </w:tblPrEx>
        <w:trPr>
          <w:cantSplit/>
          <w:trHeight w:val="188"/>
        </w:trPr>
        <w:tc>
          <w:tcPr>
            <w:tcW w:w="7195" w:type="dxa"/>
            <w:hideMark/>
          </w:tcPr>
          <w:p w:rsidR="00C351ED" w:rsidRPr="00732012" w:rsidP="00AB5AC8" w14:paraId="16B690A0" w14:textId="11757609">
            <w:pPr>
              <w:pStyle w:val="Table11Basic"/>
            </w:pPr>
            <w:r w:rsidRPr="00732012">
              <w:t xml:space="preserve"># of New TINs </w:t>
            </w:r>
            <w:r w:rsidRPr="7328A4BD" w:rsidR="340D08CD">
              <w:t>C</w:t>
            </w:r>
            <w:r w:rsidRPr="7328A4BD" w:rsidR="006B4818">
              <w:t>ompleting</w:t>
            </w:r>
            <w:r w:rsidR="006B4818">
              <w:t xml:space="preserve"> the Identity Management Application Process</w:t>
            </w:r>
            <w:r w:rsidRPr="001B7241" w:rsidR="006B4818">
              <w:t xml:space="preserve"> </w:t>
            </w:r>
            <w:r w:rsidRPr="00732012">
              <w:t>(a)</w:t>
            </w:r>
          </w:p>
        </w:tc>
        <w:tc>
          <w:tcPr>
            <w:tcW w:w="2160" w:type="dxa"/>
            <w:hideMark/>
          </w:tcPr>
          <w:p w:rsidR="00C351ED" w:rsidRPr="00732012" w:rsidP="00AB5AC8" w14:paraId="74D71546" w14:textId="7314336A">
            <w:pPr>
              <w:pStyle w:val="Table11Centered"/>
            </w:pPr>
            <w:r>
              <w:t>6,</w:t>
            </w:r>
            <w:r w:rsidR="00124E27">
              <w:t>237</w:t>
            </w:r>
          </w:p>
        </w:tc>
      </w:tr>
      <w:tr w14:paraId="7F3BDBAD" w14:textId="77777777" w:rsidTr="007F25A7">
        <w:tblPrEx>
          <w:tblW w:w="9355" w:type="dxa"/>
          <w:tblLook w:val="04A0"/>
        </w:tblPrEx>
        <w:trPr>
          <w:cantSplit/>
          <w:trHeight w:val="215"/>
        </w:trPr>
        <w:tc>
          <w:tcPr>
            <w:tcW w:w="7195" w:type="dxa"/>
            <w:hideMark/>
          </w:tcPr>
          <w:p w:rsidR="00C351ED" w:rsidRPr="00732012" w:rsidP="00AB5AC8" w14:paraId="22AD1264" w14:textId="3E35EA56">
            <w:pPr>
              <w:pStyle w:val="Table11Basic"/>
            </w:pPr>
            <w:r>
              <w:t>Total Hours Per Application</w:t>
            </w:r>
            <w:r w:rsidRPr="00732012">
              <w:t xml:space="preserve"> (b)</w:t>
            </w:r>
          </w:p>
        </w:tc>
        <w:tc>
          <w:tcPr>
            <w:tcW w:w="2160" w:type="dxa"/>
            <w:hideMark/>
          </w:tcPr>
          <w:p w:rsidR="00C351ED" w:rsidRPr="00732012" w:rsidP="00AB5AC8" w14:paraId="64A73F7F" w14:textId="77777777">
            <w:pPr>
              <w:pStyle w:val="Table11Centered"/>
            </w:pPr>
            <w:r w:rsidRPr="00732012">
              <w:t>1</w:t>
            </w:r>
          </w:p>
        </w:tc>
      </w:tr>
      <w:tr w14:paraId="7D9F31CA" w14:textId="77777777" w:rsidTr="007F25A7">
        <w:tblPrEx>
          <w:tblW w:w="9355" w:type="dxa"/>
          <w:tblLook w:val="04A0"/>
        </w:tblPrEx>
        <w:trPr>
          <w:cantSplit/>
          <w:trHeight w:val="260"/>
        </w:trPr>
        <w:tc>
          <w:tcPr>
            <w:tcW w:w="7195" w:type="dxa"/>
            <w:shd w:val="clear" w:color="auto" w:fill="E7E6E6" w:themeFill="background2"/>
            <w:hideMark/>
          </w:tcPr>
          <w:p w:rsidR="00C351ED" w:rsidRPr="006C4F1A" w:rsidP="00AB5AC8" w14:paraId="3667754F" w14:textId="4314DEAF">
            <w:pPr>
              <w:pStyle w:val="Table11Basic"/>
              <w:rPr>
                <w:b/>
                <w:bCs/>
              </w:rPr>
            </w:pPr>
            <w:r w:rsidRPr="006C4F1A">
              <w:rPr>
                <w:b/>
                <w:bCs/>
              </w:rPr>
              <w:t xml:space="preserve">Total Annual Hours for </w:t>
            </w:r>
            <w:r w:rsidRPr="7328A4BD" w:rsidR="3FB540D1">
              <w:rPr>
                <w:b/>
                <w:bCs/>
              </w:rPr>
              <w:t>C</w:t>
            </w:r>
            <w:r w:rsidRPr="7328A4BD">
              <w:rPr>
                <w:b/>
                <w:bCs/>
              </w:rPr>
              <w:t>ompleting</w:t>
            </w:r>
            <w:r w:rsidRPr="006C4F1A">
              <w:rPr>
                <w:b/>
                <w:bCs/>
              </w:rPr>
              <w:t xml:space="preserve"> the Identity Management Application Process (c) = (a)</w:t>
            </w:r>
            <w:r w:rsidR="009D5A7D">
              <w:t xml:space="preserve"> </w:t>
            </w:r>
            <w:r w:rsidRPr="003D29BA" w:rsidR="00C07474">
              <w:rPr>
                <w:b/>
                <w:bCs/>
              </w:rPr>
              <w:t>[</w:t>
            </w:r>
            <w:r w:rsidRPr="00F81FDB" w:rsidR="00F81FDB">
              <w:rPr>
                <w:b/>
                <w:bCs/>
              </w:rPr>
              <w:t>×</w:t>
            </w:r>
            <w:r w:rsidRPr="00C07474" w:rsidR="00C07474">
              <w:rPr>
                <w:b/>
                <w:bCs/>
              </w:rPr>
              <w:t>]</w:t>
            </w:r>
            <w:r w:rsidRPr="009D5A7D" w:rsidR="009D5A7D">
              <w:rPr>
                <w:b/>
                <w:bCs/>
              </w:rPr>
              <w:t xml:space="preserve"> </w:t>
            </w:r>
            <w:r w:rsidRPr="006C4F1A">
              <w:rPr>
                <w:b/>
                <w:bCs/>
              </w:rPr>
              <w:t>(b)</w:t>
            </w:r>
          </w:p>
        </w:tc>
        <w:tc>
          <w:tcPr>
            <w:tcW w:w="2160" w:type="dxa"/>
            <w:shd w:val="clear" w:color="auto" w:fill="E7E6E6" w:themeFill="background2"/>
            <w:hideMark/>
          </w:tcPr>
          <w:p w:rsidR="00C351ED" w:rsidRPr="006C4F1A" w:rsidP="00AB5AC8" w14:paraId="3A0C1C1C" w14:textId="69056E5A">
            <w:pPr>
              <w:pStyle w:val="Table11Centered"/>
              <w:rPr>
                <w:b/>
                <w:bCs/>
              </w:rPr>
            </w:pPr>
            <w:r w:rsidRPr="006C4F1A">
              <w:rPr>
                <w:b/>
                <w:bCs/>
              </w:rPr>
              <w:t>6,</w:t>
            </w:r>
            <w:r w:rsidR="00124E27">
              <w:rPr>
                <w:b/>
                <w:bCs/>
              </w:rPr>
              <w:t>237</w:t>
            </w:r>
          </w:p>
        </w:tc>
      </w:tr>
      <w:tr w14:paraId="6AC98AB3" w14:textId="77777777" w:rsidTr="007F25A7">
        <w:tblPrEx>
          <w:tblW w:w="9355" w:type="dxa"/>
          <w:tblLook w:val="04A0"/>
        </w:tblPrEx>
        <w:trPr>
          <w:cantSplit/>
          <w:trHeight w:val="314"/>
        </w:trPr>
        <w:tc>
          <w:tcPr>
            <w:tcW w:w="7195" w:type="dxa"/>
            <w:hideMark/>
          </w:tcPr>
          <w:p w:rsidR="00C351ED" w:rsidRPr="00732012" w:rsidP="00AB5AC8" w14:paraId="5F46077F" w14:textId="6B576E5E">
            <w:pPr>
              <w:pStyle w:val="Table11Basic"/>
            </w:pPr>
            <w:r w:rsidRPr="00732012">
              <w:t xml:space="preserve">Cost </w:t>
            </w:r>
            <w:r w:rsidRPr="7328A4BD" w:rsidR="7398A9D5">
              <w:t>p</w:t>
            </w:r>
            <w:r w:rsidRPr="7328A4BD">
              <w:t>er</w:t>
            </w:r>
            <w:r w:rsidRPr="00732012">
              <w:t xml:space="preserve"> </w:t>
            </w:r>
            <w:r w:rsidR="006B4818">
              <w:t>Application</w:t>
            </w:r>
            <w:r w:rsidRPr="00732012">
              <w:t xml:space="preserve"> </w:t>
            </w:r>
            <w:r w:rsidR="00482D43">
              <w:t>at</w:t>
            </w:r>
            <w:r w:rsidRPr="00732012">
              <w:t xml:space="preserve"> </w:t>
            </w:r>
            <w:r w:rsidRPr="7328A4BD" w:rsidR="72095C93">
              <w:rPr>
                <w:color w:val="000000" w:themeColor="text1"/>
              </w:rPr>
              <w:t>Computer Systems Analyst’s Labor Rate</w:t>
            </w:r>
            <w:r w:rsidRPr="00732012">
              <w:t xml:space="preserve"> of </w:t>
            </w:r>
            <w:r w:rsidR="007D530F">
              <w:t>$106.54</w:t>
            </w:r>
            <w:r w:rsidRPr="00732012">
              <w:t>/hr (d)</w:t>
            </w:r>
            <w:r w:rsidR="00BA660A">
              <w:t xml:space="preserve"> = (b) </w:t>
            </w:r>
            <w:r w:rsidRPr="00C07474" w:rsidR="00BA660A">
              <w:t>[</w:t>
            </w:r>
            <w:r w:rsidR="00F81FDB">
              <w:t>×</w:t>
            </w:r>
            <w:r w:rsidRPr="003D29BA" w:rsidR="00BA660A">
              <w:t xml:space="preserve">] </w:t>
            </w:r>
            <w:r w:rsidR="007D530F">
              <w:t>$106.54</w:t>
            </w:r>
            <w:r w:rsidRPr="003D29BA" w:rsidR="00BA660A">
              <w:t>/hr</w:t>
            </w:r>
          </w:p>
        </w:tc>
        <w:tc>
          <w:tcPr>
            <w:tcW w:w="2160" w:type="dxa"/>
            <w:hideMark/>
          </w:tcPr>
          <w:p w:rsidR="00C351ED" w:rsidRPr="00732012" w:rsidP="00AB5AC8" w14:paraId="1C9A6962" w14:textId="301C65F0">
            <w:pPr>
              <w:pStyle w:val="Table11Centered"/>
            </w:pPr>
            <w:r w:rsidRPr="00732012">
              <w:t>$</w:t>
            </w:r>
            <w:r w:rsidR="00124E27">
              <w:t>106.54</w:t>
            </w:r>
          </w:p>
        </w:tc>
      </w:tr>
      <w:tr w14:paraId="6A5A5AF5" w14:textId="77777777" w:rsidTr="007F25A7">
        <w:tblPrEx>
          <w:tblW w:w="9355" w:type="dxa"/>
          <w:tblLook w:val="04A0"/>
        </w:tblPrEx>
        <w:trPr>
          <w:cantSplit/>
          <w:trHeight w:val="242"/>
        </w:trPr>
        <w:tc>
          <w:tcPr>
            <w:tcW w:w="7195" w:type="dxa"/>
            <w:shd w:val="clear" w:color="auto" w:fill="E7E6E6" w:themeFill="background2"/>
            <w:hideMark/>
          </w:tcPr>
          <w:p w:rsidR="00C351ED" w:rsidRPr="006C4F1A" w:rsidP="00AB5AC8" w14:paraId="50DAD469" w14:textId="395CA620">
            <w:pPr>
              <w:pStyle w:val="Table11Basic"/>
              <w:rPr>
                <w:b/>
                <w:bCs/>
              </w:rPr>
            </w:pPr>
            <w:r w:rsidRPr="006C4F1A">
              <w:rPr>
                <w:b/>
                <w:bCs/>
              </w:rPr>
              <w:t xml:space="preserve">Total Annual Cost for </w:t>
            </w:r>
            <w:r w:rsidRPr="7328A4BD" w:rsidR="614B3CC1">
              <w:rPr>
                <w:b/>
                <w:bCs/>
              </w:rPr>
              <w:t>C</w:t>
            </w:r>
            <w:r w:rsidRPr="7328A4BD" w:rsidR="006B4818">
              <w:rPr>
                <w:b/>
                <w:bCs/>
              </w:rPr>
              <w:t>ompleting</w:t>
            </w:r>
            <w:r w:rsidRPr="006C4F1A" w:rsidR="006B4818">
              <w:rPr>
                <w:b/>
                <w:bCs/>
              </w:rPr>
              <w:t xml:space="preserve"> the Identity Management Application Process </w:t>
            </w:r>
            <w:r w:rsidRPr="006C4F1A">
              <w:rPr>
                <w:b/>
                <w:bCs/>
              </w:rPr>
              <w:t>(e) = (a)</w:t>
            </w:r>
            <w:r w:rsidR="009D5A7D">
              <w:t xml:space="preserve"> </w:t>
            </w:r>
            <w:r w:rsidRPr="00C07474" w:rsidR="00C07474">
              <w:t>[</w:t>
            </w:r>
            <w:r w:rsidRPr="00F81FDB" w:rsidR="00F81FDB">
              <w:rPr>
                <w:b/>
                <w:bCs/>
              </w:rPr>
              <w:t>×</w:t>
            </w:r>
            <w:r w:rsidRPr="00C07474" w:rsidR="00C07474">
              <w:rPr>
                <w:b/>
                <w:bCs/>
              </w:rPr>
              <w:t>]</w:t>
            </w:r>
            <w:r w:rsidRPr="009D5A7D" w:rsidR="009D5A7D">
              <w:rPr>
                <w:b/>
                <w:bCs/>
              </w:rPr>
              <w:t xml:space="preserve"> </w:t>
            </w:r>
            <w:r w:rsidRPr="006C4F1A">
              <w:rPr>
                <w:b/>
                <w:bCs/>
              </w:rPr>
              <w:t>(d)</w:t>
            </w:r>
          </w:p>
        </w:tc>
        <w:tc>
          <w:tcPr>
            <w:tcW w:w="2160" w:type="dxa"/>
            <w:shd w:val="clear" w:color="auto" w:fill="E7E6E6" w:themeFill="background2"/>
            <w:hideMark/>
          </w:tcPr>
          <w:p w:rsidR="00C351ED" w:rsidRPr="006C4F1A" w:rsidP="00AB5AC8" w14:paraId="7613A2D2" w14:textId="51E5C123">
            <w:pPr>
              <w:pStyle w:val="Table11Centered"/>
              <w:rPr>
                <w:b/>
                <w:bCs/>
              </w:rPr>
            </w:pPr>
            <w:r w:rsidRPr="006C4F1A">
              <w:rPr>
                <w:b/>
                <w:bCs/>
              </w:rPr>
              <w:t>$</w:t>
            </w:r>
            <w:r w:rsidR="00CC3D39">
              <w:rPr>
                <w:b/>
                <w:bCs/>
              </w:rPr>
              <w:t>664,490</w:t>
            </w:r>
          </w:p>
        </w:tc>
      </w:tr>
    </w:tbl>
    <w:p w:rsidR="00C351ED" w:rsidRPr="001E07DC" w:rsidP="00E03843" w14:paraId="028821FD" w14:textId="4ED83F55">
      <w:pPr>
        <w:pStyle w:val="Heading5"/>
        <w:rPr>
          <w:iCs/>
        </w:rPr>
      </w:pPr>
      <w:r>
        <w:t>iv.</w:t>
      </w:r>
      <w:r>
        <w:tab/>
      </w:r>
      <w:r w:rsidRPr="001E07DC">
        <w:t xml:space="preserve">Burden for Quality Data Submission by Clinicians: </w:t>
      </w:r>
      <w:r w:rsidRPr="001E07DC" w:rsidR="00925739">
        <w:t xml:space="preserve">Medicare Part B </w:t>
      </w:r>
      <w:r w:rsidRPr="001E07DC">
        <w:t>Claims-Based Collection Type</w:t>
      </w:r>
    </w:p>
    <w:p w:rsidR="00942FC4" w:rsidRPr="00942FC4" w:rsidP="0067016B" w14:paraId="3210B6B5" w14:textId="00250274">
      <w:pPr>
        <w:pStyle w:val="BodyText-PostHead"/>
        <w:spacing w:before="240"/>
        <w:rPr>
          <w:rFonts w:eastAsia="Calibri"/>
        </w:rPr>
      </w:pPr>
      <w:r w:rsidRPr="00942FC4">
        <w:rPr>
          <w:rFonts w:eastAsia="Calibri"/>
        </w:rPr>
        <w:t xml:space="preserve">As noted in Table </w:t>
      </w:r>
      <w:r w:rsidR="00FB6E19">
        <w:rPr>
          <w:rFonts w:eastAsia="Calibri"/>
        </w:rPr>
        <w:t>11</w:t>
      </w:r>
      <w:r w:rsidR="007E478C">
        <w:rPr>
          <w:rFonts w:eastAsia="Calibri"/>
        </w:rPr>
        <w:t>,</w:t>
      </w:r>
      <w:r w:rsidRPr="00942FC4">
        <w:rPr>
          <w:rFonts w:eastAsia="Calibri"/>
        </w:rPr>
        <w:t xml:space="preserve"> </w:t>
      </w:r>
      <w:r w:rsidR="00B17713">
        <w:rPr>
          <w:rFonts w:eastAsia="Calibri"/>
          <w:shd w:val="clear" w:color="auto" w:fill="FFFFFF"/>
        </w:rPr>
        <w:t xml:space="preserve">based on </w:t>
      </w:r>
      <w:r w:rsidR="00BA6700">
        <w:rPr>
          <w:shd w:val="clear" w:color="auto" w:fill="FFFFFF"/>
        </w:rPr>
        <w:t xml:space="preserve">updated data available from the CY 2022 performance period/2024 MIPS payment year and updated MVP reporting </w:t>
      </w:r>
      <w:r w:rsidR="00556A53">
        <w:rPr>
          <w:shd w:val="clear" w:color="auto" w:fill="FFFFFF"/>
        </w:rPr>
        <w:t>assumptions, for the CY 2025 performance period/2027 MIPS payment year</w:t>
      </w:r>
      <w:r w:rsidRPr="00B17713" w:rsidR="00B17713">
        <w:rPr>
          <w:rFonts w:eastAsia="Calibri"/>
        </w:rPr>
        <w:t xml:space="preserve">, we assume that </w:t>
      </w:r>
      <w:r w:rsidR="0097607D">
        <w:rPr>
          <w:rFonts w:eastAsia="Calibri"/>
        </w:rPr>
        <w:t>12,197</w:t>
      </w:r>
      <w:r w:rsidRPr="00B17713" w:rsidR="00B17713">
        <w:rPr>
          <w:rFonts w:eastAsia="Calibri"/>
        </w:rPr>
        <w:t xml:space="preserve"> individual clinicians will collect and submit quality data via the Medicare Part B claims collection type</w:t>
      </w:r>
      <w:r w:rsidR="00044D61">
        <w:rPr>
          <w:rFonts w:eastAsia="Calibri"/>
        </w:rPr>
        <w:t xml:space="preserve">. </w:t>
      </w:r>
    </w:p>
    <w:p w:rsidR="00942FC4" w:rsidRPr="00942FC4" w:rsidP="003A4007" w14:paraId="5386FD25" w14:textId="4F87C71C">
      <w:pPr>
        <w:pStyle w:val="BodyText"/>
        <w:rPr>
          <w:rFonts w:eastAsia="Calibri"/>
        </w:rPr>
      </w:pPr>
      <w:r w:rsidRPr="00942FC4">
        <w:rPr>
          <w:rFonts w:eastAsia="Calibri"/>
        </w:rPr>
        <w:t xml:space="preserve">As shown in Table </w:t>
      </w:r>
      <w:r w:rsidR="00FB6E19">
        <w:rPr>
          <w:rFonts w:eastAsia="Calibri"/>
        </w:rPr>
        <w:t>11</w:t>
      </w:r>
      <w:r w:rsidRPr="00942FC4">
        <w:rPr>
          <w:rFonts w:eastAsia="Calibri"/>
        </w:rPr>
        <w:t>,</w:t>
      </w:r>
      <w:r w:rsidRPr="00B17713" w:rsidR="00B17713">
        <w:rPr>
          <w:rFonts w:eastAsia="Calibri"/>
        </w:rPr>
        <w:t xml:space="preserve"> we estimate that the burden of quality data submission using Medicare Part B claims will range from 0.15 hours (9 minutes) at a cost of $1</w:t>
      </w:r>
      <w:r w:rsidR="00FB6E19">
        <w:rPr>
          <w:rFonts w:eastAsia="Calibri"/>
        </w:rPr>
        <w:t>5.</w:t>
      </w:r>
      <w:r w:rsidR="00D1558F">
        <w:rPr>
          <w:rFonts w:eastAsia="Calibri"/>
        </w:rPr>
        <w:t>98</w:t>
      </w:r>
      <w:r w:rsidR="00FB6E19">
        <w:rPr>
          <w:rFonts w:eastAsia="Calibri"/>
        </w:rPr>
        <w:t xml:space="preserve"> </w:t>
      </w:r>
      <w:r w:rsidRPr="00B17713" w:rsidR="00B17713">
        <w:rPr>
          <w:rFonts w:eastAsia="Calibri"/>
        </w:rPr>
        <w:t xml:space="preserve">(0.15 hr </w:t>
      </w:r>
      <w:r w:rsidR="00F81FDB">
        <w:t>×</w:t>
      </w:r>
      <w:r w:rsidRPr="00B17713" w:rsidR="00B17713">
        <w:rPr>
          <w:rFonts w:eastAsia="Calibri"/>
        </w:rPr>
        <w:t xml:space="preserve"> </w:t>
      </w:r>
      <w:r w:rsidR="007D530F">
        <w:rPr>
          <w:rFonts w:eastAsia="Calibri"/>
        </w:rPr>
        <w:t>$106.54</w:t>
      </w:r>
      <w:r w:rsidRPr="00B17713" w:rsidR="00B17713">
        <w:rPr>
          <w:rFonts w:eastAsia="Calibri"/>
        </w:rPr>
        <w:t>/hr) to 7.2 hours at a cost of $</w:t>
      </w:r>
      <w:r w:rsidR="004E1AAC">
        <w:rPr>
          <w:rFonts w:eastAsia="Calibri"/>
        </w:rPr>
        <w:t>767.09</w:t>
      </w:r>
      <w:r w:rsidRPr="00B17713" w:rsidR="00B17713">
        <w:rPr>
          <w:rFonts w:eastAsia="Calibri"/>
        </w:rPr>
        <w:t xml:space="preserve"> (7.2 hr </w:t>
      </w:r>
      <w:r w:rsidR="00F81FDB">
        <w:t>×</w:t>
      </w:r>
      <w:r w:rsidRPr="00B17713" w:rsidR="00B17713">
        <w:rPr>
          <w:rFonts w:eastAsia="Calibri"/>
        </w:rPr>
        <w:t xml:space="preserve"> </w:t>
      </w:r>
      <w:r w:rsidR="007D530F">
        <w:rPr>
          <w:rFonts w:eastAsia="Calibri"/>
        </w:rPr>
        <w:t>$106.54</w:t>
      </w:r>
      <w:r w:rsidRPr="00B17713" w:rsidR="00B17713">
        <w:rPr>
          <w:rFonts w:eastAsia="Calibri"/>
        </w:rPr>
        <w:t>/hr). The burden will involve becoming familiar with MIPS quality measure specifications. We believe that the start-up cost for a clinician’s practice to review measure specifications is 7 hours, consisting of 3 hours at $1</w:t>
      </w:r>
      <w:r w:rsidR="00FB6E19">
        <w:rPr>
          <w:rFonts w:eastAsia="Calibri"/>
        </w:rPr>
        <w:t>2</w:t>
      </w:r>
      <w:r w:rsidR="004E1AAC">
        <w:rPr>
          <w:rFonts w:eastAsia="Calibri"/>
        </w:rPr>
        <w:t>9.28</w:t>
      </w:r>
      <w:r w:rsidRPr="00B17713" w:rsidR="00B17713">
        <w:rPr>
          <w:rFonts w:eastAsia="Calibri"/>
        </w:rPr>
        <w:t>/hr for a medical and health services manager, 1 hour at $</w:t>
      </w:r>
      <w:r w:rsidR="009D0268">
        <w:rPr>
          <w:rFonts w:eastAsia="Calibri"/>
        </w:rPr>
        <w:t>291.64</w:t>
      </w:r>
      <w:r w:rsidRPr="00B17713" w:rsidR="00B17713">
        <w:rPr>
          <w:rFonts w:eastAsia="Calibri"/>
        </w:rPr>
        <w:t>/hr for a physician, 1 hour at $</w:t>
      </w:r>
      <w:r w:rsidR="00FB6E19">
        <w:rPr>
          <w:rFonts w:eastAsia="Calibri"/>
        </w:rPr>
        <w:t>5</w:t>
      </w:r>
      <w:r w:rsidR="009D0268">
        <w:rPr>
          <w:rFonts w:eastAsia="Calibri"/>
        </w:rPr>
        <w:t>8.46</w:t>
      </w:r>
      <w:r w:rsidRPr="00B17713" w:rsidR="00B17713">
        <w:rPr>
          <w:rFonts w:eastAsia="Calibri"/>
        </w:rPr>
        <w:t xml:space="preserve">/hr for an LPN, 1 hour at </w:t>
      </w:r>
      <w:r w:rsidR="007D530F">
        <w:rPr>
          <w:rFonts w:eastAsia="Calibri"/>
        </w:rPr>
        <w:t>$106.54</w:t>
      </w:r>
      <w:r w:rsidRPr="00B17713" w:rsidR="00B17713">
        <w:rPr>
          <w:rFonts w:eastAsia="Calibri"/>
        </w:rPr>
        <w:t>/hr for a computer systems analyst, and 1 hour at $</w:t>
      </w:r>
      <w:r w:rsidR="00BD0177">
        <w:rPr>
          <w:rFonts w:eastAsia="Calibri"/>
        </w:rPr>
        <w:t>4</w:t>
      </w:r>
      <w:r w:rsidR="009D0268">
        <w:rPr>
          <w:rFonts w:eastAsia="Calibri"/>
        </w:rPr>
        <w:t>5.32</w:t>
      </w:r>
      <w:r w:rsidRPr="00B17713" w:rsidR="00B17713">
        <w:rPr>
          <w:rFonts w:eastAsia="Calibri"/>
        </w:rPr>
        <w:t>/hr for a billing and posting clerk.</w:t>
      </w:r>
    </w:p>
    <w:p w:rsidR="00942FC4" w:rsidRPr="00942FC4" w:rsidP="003A4007" w14:paraId="7CAA5818" w14:textId="26EE60C1">
      <w:pPr>
        <w:pStyle w:val="BodyText"/>
        <w:rPr>
          <w:rFonts w:eastAsia="Calibri"/>
        </w:rPr>
      </w:pPr>
      <w:r w:rsidRPr="00942FC4">
        <w:rPr>
          <w:rFonts w:eastAsia="Calibri"/>
        </w:rPr>
        <w:t>The estimate for reviewing and incorporating measure specifications for the claims collection type is higher than that of QCDRs/</w:t>
      </w:r>
      <w:r w:rsidR="00036231">
        <w:rPr>
          <w:rFonts w:eastAsia="Calibri"/>
        </w:rPr>
        <w:t>r</w:t>
      </w:r>
      <w:r w:rsidRPr="00942FC4">
        <w:rPr>
          <w:rFonts w:eastAsia="Calibri"/>
        </w:rPr>
        <w:t>egistries or eCQM collection types due to the more manual, and therefore, more burdensome nature of Medicare Part B claims measures.</w:t>
      </w:r>
    </w:p>
    <w:p w:rsidR="00B17713" w:rsidP="003A4007" w14:paraId="48F38D92" w14:textId="5578EB1E">
      <w:pPr>
        <w:pStyle w:val="BodyText"/>
        <w:rPr>
          <w:rFonts w:eastAsia="Calibri"/>
        </w:rPr>
      </w:pPr>
      <w:r>
        <w:rPr>
          <w:rFonts w:eastAsia="Calibri"/>
        </w:rPr>
        <w:t xml:space="preserve">As shown in Table </w:t>
      </w:r>
      <w:r w:rsidR="00FB6E19">
        <w:rPr>
          <w:rFonts w:eastAsia="Calibri"/>
        </w:rPr>
        <w:t>11</w:t>
      </w:r>
      <w:r>
        <w:rPr>
          <w:rFonts w:eastAsia="Calibri"/>
        </w:rPr>
        <w:t xml:space="preserve">, </w:t>
      </w:r>
      <w:r w:rsidR="00EC6DA2">
        <w:rPr>
          <w:rFonts w:eastAsia="Calibri"/>
        </w:rPr>
        <w:t>f</w:t>
      </w:r>
      <w:r w:rsidR="00E85FD2">
        <w:rPr>
          <w:rFonts w:eastAsia="Calibri"/>
        </w:rPr>
        <w:t>or the CY 202</w:t>
      </w:r>
      <w:r w:rsidR="007C52D3">
        <w:rPr>
          <w:rFonts w:eastAsia="Calibri"/>
        </w:rPr>
        <w:t>5</w:t>
      </w:r>
      <w:r w:rsidR="00E85FD2">
        <w:rPr>
          <w:rFonts w:eastAsia="Calibri"/>
        </w:rPr>
        <w:t xml:space="preserve"> performance period/202</w:t>
      </w:r>
      <w:r w:rsidR="007C52D3">
        <w:rPr>
          <w:rFonts w:eastAsia="Calibri"/>
        </w:rPr>
        <w:t>7</w:t>
      </w:r>
      <w:r w:rsidR="00E85FD2">
        <w:rPr>
          <w:rFonts w:eastAsia="Calibri"/>
        </w:rPr>
        <w:t xml:space="preserve"> MIPS payment year, c</w:t>
      </w:r>
      <w:r w:rsidRPr="000709BE" w:rsidR="000709BE">
        <w:rPr>
          <w:rFonts w:eastAsia="Calibri"/>
        </w:rPr>
        <w:t xml:space="preserve">onsidering both data submission and start-up requirements, the estimated time (per clinician) ranges from a minimum of 7.15 hours (0.15 hr + 7 hr) to a maximum of 14.2 hours (7.2 hr + 7 hr). In </w:t>
      </w:r>
      <w:r w:rsidR="006477EC">
        <w:rPr>
          <w:rFonts w:eastAsia="Calibri"/>
        </w:rPr>
        <w:t>aggregate,</w:t>
      </w:r>
      <w:r w:rsidRPr="000709BE" w:rsidR="000709BE">
        <w:rPr>
          <w:rFonts w:eastAsia="Calibri"/>
        </w:rPr>
        <w:t xml:space="preserve"> the total annual time ranges from </w:t>
      </w:r>
      <w:r w:rsidR="000324C8">
        <w:rPr>
          <w:rFonts w:eastAsia="Calibri"/>
        </w:rPr>
        <w:t>87,209</w:t>
      </w:r>
      <w:r w:rsidRPr="00306E88" w:rsidR="00306E88">
        <w:rPr>
          <w:rFonts w:eastAsia="Calibri"/>
        </w:rPr>
        <w:t xml:space="preserve"> hours (7.15 hr </w:t>
      </w:r>
      <w:r w:rsidR="00F81FDB">
        <w:t>×</w:t>
      </w:r>
      <w:r w:rsidRPr="00306E88" w:rsidR="00306E88">
        <w:rPr>
          <w:rFonts w:eastAsia="Calibri"/>
        </w:rPr>
        <w:t xml:space="preserve"> </w:t>
      </w:r>
      <w:r w:rsidR="000324C8">
        <w:rPr>
          <w:rFonts w:eastAsia="Calibri"/>
        </w:rPr>
        <w:t>12,197</w:t>
      </w:r>
      <w:r w:rsidR="003C76A5">
        <w:rPr>
          <w:rFonts w:eastAsia="Calibri"/>
        </w:rPr>
        <w:t xml:space="preserve"> </w:t>
      </w:r>
      <w:r w:rsidRPr="00306E88" w:rsidR="00306E88">
        <w:rPr>
          <w:rFonts w:eastAsia="Calibri"/>
        </w:rPr>
        <w:t xml:space="preserve">clinicians) to </w:t>
      </w:r>
      <w:r w:rsidR="000324C8">
        <w:rPr>
          <w:rFonts w:eastAsia="Calibri"/>
        </w:rPr>
        <w:t>173,197</w:t>
      </w:r>
      <w:r w:rsidRPr="00306E88" w:rsidR="00306E88">
        <w:rPr>
          <w:rFonts w:eastAsia="Calibri"/>
        </w:rPr>
        <w:t xml:space="preserve"> hours (14.2 hr </w:t>
      </w:r>
      <w:r w:rsidR="00F81FDB">
        <w:t>×</w:t>
      </w:r>
      <w:r w:rsidRPr="00306E88" w:rsidR="00306E88">
        <w:rPr>
          <w:rFonts w:eastAsia="Calibri"/>
        </w:rPr>
        <w:t xml:space="preserve"> </w:t>
      </w:r>
      <w:r w:rsidR="000324C8">
        <w:rPr>
          <w:rFonts w:eastAsia="Calibri"/>
        </w:rPr>
        <w:t>12,197</w:t>
      </w:r>
      <w:r w:rsidRPr="00306E88" w:rsidR="00306E88">
        <w:rPr>
          <w:rFonts w:eastAsia="Calibri"/>
        </w:rPr>
        <w:t xml:space="preserve"> clinicians)</w:t>
      </w:r>
      <w:r w:rsidRPr="000709BE" w:rsidR="000709BE">
        <w:rPr>
          <w:rFonts w:eastAsia="Calibri"/>
        </w:rPr>
        <w:t>. The estimated annual cost (per clinician) ranges from $</w:t>
      </w:r>
      <w:r w:rsidR="004A768F">
        <w:rPr>
          <w:rFonts w:eastAsia="Calibri"/>
        </w:rPr>
        <w:t>905.78</w:t>
      </w:r>
      <w:r w:rsidRPr="000709BE" w:rsidR="000709BE">
        <w:rPr>
          <w:rFonts w:eastAsia="Calibri"/>
        </w:rPr>
        <w:t xml:space="preserve"> [(0.15 hr </w:t>
      </w:r>
      <w:r w:rsidR="00F81FDB">
        <w:t>×</w:t>
      </w:r>
      <w:r w:rsidRPr="000709BE" w:rsidR="000709BE">
        <w:rPr>
          <w:rFonts w:eastAsia="Calibri"/>
        </w:rPr>
        <w:t xml:space="preserve"> </w:t>
      </w:r>
      <w:r w:rsidR="007D530F">
        <w:rPr>
          <w:rFonts w:eastAsia="Calibri"/>
        </w:rPr>
        <w:t>$106.54</w:t>
      </w:r>
      <w:r w:rsidRPr="000709BE" w:rsidR="000709BE">
        <w:rPr>
          <w:rFonts w:eastAsia="Calibri"/>
        </w:rPr>
        <w:t xml:space="preserve">/hr) + (3 hr </w:t>
      </w:r>
      <w:r w:rsidR="00F81FDB">
        <w:t>×</w:t>
      </w:r>
      <w:r w:rsidRPr="000709BE" w:rsidR="000709BE">
        <w:rPr>
          <w:rFonts w:eastAsia="Calibri"/>
        </w:rPr>
        <w:t xml:space="preserve"> $</w:t>
      </w:r>
      <w:r w:rsidR="00CD64CC">
        <w:rPr>
          <w:rFonts w:eastAsia="Calibri"/>
        </w:rPr>
        <w:t>129.28</w:t>
      </w:r>
      <w:r w:rsidRPr="000709BE" w:rsidR="000709BE">
        <w:rPr>
          <w:rFonts w:eastAsia="Calibri"/>
        </w:rPr>
        <w:t xml:space="preserve">/hr) + (1 hr </w:t>
      </w:r>
      <w:r w:rsidR="00F81FDB">
        <w:t>×</w:t>
      </w:r>
      <w:r w:rsidRPr="000709BE" w:rsidR="000709BE">
        <w:rPr>
          <w:rFonts w:eastAsia="Calibri"/>
        </w:rPr>
        <w:t xml:space="preserve"> </w:t>
      </w:r>
      <w:r w:rsidR="007D530F">
        <w:rPr>
          <w:rFonts w:eastAsia="Calibri"/>
        </w:rPr>
        <w:t>$106.54</w:t>
      </w:r>
      <w:r w:rsidRPr="000709BE" w:rsidR="000709BE">
        <w:rPr>
          <w:rFonts w:eastAsia="Calibri"/>
        </w:rPr>
        <w:t xml:space="preserve">/hr) + (1 hr </w:t>
      </w:r>
      <w:r w:rsidR="00F81FDB">
        <w:t>×</w:t>
      </w:r>
      <w:r w:rsidRPr="000709BE" w:rsidR="000709BE">
        <w:rPr>
          <w:rFonts w:eastAsia="Calibri"/>
        </w:rPr>
        <w:t xml:space="preserve"> $</w:t>
      </w:r>
      <w:r w:rsidR="00FB6E19">
        <w:rPr>
          <w:rFonts w:eastAsia="Calibri"/>
        </w:rPr>
        <w:t>5</w:t>
      </w:r>
      <w:r w:rsidR="00A54E07">
        <w:rPr>
          <w:rFonts w:eastAsia="Calibri"/>
        </w:rPr>
        <w:t>8.46</w:t>
      </w:r>
      <w:r w:rsidRPr="000709BE" w:rsidR="000709BE">
        <w:rPr>
          <w:rFonts w:eastAsia="Calibri"/>
        </w:rPr>
        <w:t xml:space="preserve">/hr) + (1 hr </w:t>
      </w:r>
      <w:r w:rsidR="00F81FDB">
        <w:t>×</w:t>
      </w:r>
      <w:r w:rsidRPr="000709BE" w:rsidR="000709BE">
        <w:rPr>
          <w:rFonts w:eastAsia="Calibri"/>
        </w:rPr>
        <w:t xml:space="preserve"> $</w:t>
      </w:r>
      <w:r w:rsidR="001C6451">
        <w:rPr>
          <w:rFonts w:eastAsia="Calibri"/>
        </w:rPr>
        <w:t>4</w:t>
      </w:r>
      <w:r w:rsidR="00A54E07">
        <w:rPr>
          <w:rFonts w:eastAsia="Calibri"/>
        </w:rPr>
        <w:t>5.32</w:t>
      </w:r>
      <w:r w:rsidRPr="000709BE" w:rsidR="000709BE">
        <w:rPr>
          <w:rFonts w:eastAsia="Calibri"/>
        </w:rPr>
        <w:t xml:space="preserve">/hr) + (1 hr </w:t>
      </w:r>
      <w:r w:rsidR="00F81FDB">
        <w:t>×</w:t>
      </w:r>
      <w:r w:rsidRPr="000709BE" w:rsidR="000709BE">
        <w:rPr>
          <w:rFonts w:eastAsia="Calibri"/>
        </w:rPr>
        <w:t xml:space="preserve"> $2</w:t>
      </w:r>
      <w:r w:rsidR="00A54E07">
        <w:rPr>
          <w:rFonts w:eastAsia="Calibri"/>
        </w:rPr>
        <w:t>91.64</w:t>
      </w:r>
      <w:r w:rsidRPr="000709BE" w:rsidR="000709BE">
        <w:rPr>
          <w:rFonts w:eastAsia="Calibri"/>
        </w:rPr>
        <w:t>/hr)] to a maximum of $</w:t>
      </w:r>
      <w:r w:rsidR="00BF0282">
        <w:rPr>
          <w:rFonts w:eastAsia="Calibri"/>
        </w:rPr>
        <w:t>1,656.89</w:t>
      </w:r>
      <w:r w:rsidRPr="000709BE" w:rsidR="000709BE">
        <w:rPr>
          <w:rFonts w:eastAsia="Calibri"/>
        </w:rPr>
        <w:t xml:space="preserve"> [(7.2 hr </w:t>
      </w:r>
      <w:r w:rsidR="00F81FDB">
        <w:t>×</w:t>
      </w:r>
      <w:r w:rsidRPr="000709BE" w:rsidR="000709BE">
        <w:rPr>
          <w:rFonts w:eastAsia="Calibri"/>
        </w:rPr>
        <w:t xml:space="preserve"> </w:t>
      </w:r>
      <w:r w:rsidR="007D530F">
        <w:rPr>
          <w:rFonts w:eastAsia="Calibri"/>
        </w:rPr>
        <w:t>$106.54</w:t>
      </w:r>
      <w:r w:rsidRPr="000709BE" w:rsidR="000709BE">
        <w:rPr>
          <w:rFonts w:eastAsia="Calibri"/>
        </w:rPr>
        <w:t xml:space="preserve">/hr) + (3 hr </w:t>
      </w:r>
      <w:r w:rsidR="00F81FDB">
        <w:t>×</w:t>
      </w:r>
      <w:r w:rsidRPr="000709BE" w:rsidR="000709BE">
        <w:rPr>
          <w:rFonts w:eastAsia="Calibri"/>
        </w:rPr>
        <w:t xml:space="preserve"> $</w:t>
      </w:r>
      <w:r w:rsidR="00603DA0">
        <w:rPr>
          <w:rFonts w:eastAsia="Calibri"/>
        </w:rPr>
        <w:t>129.28</w:t>
      </w:r>
      <w:r w:rsidRPr="000709BE" w:rsidR="000709BE">
        <w:rPr>
          <w:rFonts w:eastAsia="Calibri"/>
        </w:rPr>
        <w:t xml:space="preserve">/hr) + (1 hr </w:t>
      </w:r>
      <w:r w:rsidR="00F81FDB">
        <w:t>×</w:t>
      </w:r>
      <w:r w:rsidRPr="000709BE" w:rsidR="000709BE">
        <w:rPr>
          <w:rFonts w:eastAsia="Calibri"/>
        </w:rPr>
        <w:t xml:space="preserve"> </w:t>
      </w:r>
      <w:r w:rsidR="007D530F">
        <w:rPr>
          <w:rFonts w:eastAsia="Calibri"/>
        </w:rPr>
        <w:t>$106.54</w:t>
      </w:r>
      <w:r w:rsidRPr="000709BE" w:rsidR="000709BE">
        <w:rPr>
          <w:rFonts w:eastAsia="Calibri"/>
        </w:rPr>
        <w:t xml:space="preserve">/hr) + (1 hr </w:t>
      </w:r>
      <w:r w:rsidR="00F81FDB">
        <w:t>×</w:t>
      </w:r>
      <w:r w:rsidRPr="000709BE" w:rsidR="000709BE">
        <w:rPr>
          <w:rFonts w:eastAsia="Calibri"/>
        </w:rPr>
        <w:t xml:space="preserve"> $</w:t>
      </w:r>
      <w:r w:rsidR="00603DA0">
        <w:rPr>
          <w:rFonts w:eastAsia="Calibri"/>
        </w:rPr>
        <w:t>58.46</w:t>
      </w:r>
      <w:r w:rsidRPr="000709BE" w:rsidR="000709BE">
        <w:rPr>
          <w:rFonts w:eastAsia="Calibri"/>
        </w:rPr>
        <w:t xml:space="preserve">/hr) + (1 hr </w:t>
      </w:r>
      <w:r w:rsidR="00F81FDB">
        <w:t>×</w:t>
      </w:r>
      <w:r w:rsidRPr="000709BE" w:rsidR="000709BE">
        <w:rPr>
          <w:rFonts w:eastAsia="Calibri"/>
        </w:rPr>
        <w:t xml:space="preserve"> $</w:t>
      </w:r>
      <w:r w:rsidR="00603DA0">
        <w:rPr>
          <w:rFonts w:eastAsia="Calibri"/>
        </w:rPr>
        <w:t>45.32</w:t>
      </w:r>
      <w:r w:rsidRPr="000709BE" w:rsidR="000709BE">
        <w:rPr>
          <w:rFonts w:eastAsia="Calibri"/>
        </w:rPr>
        <w:t xml:space="preserve">/hr) + (1 hr </w:t>
      </w:r>
      <w:r w:rsidR="00F81FDB">
        <w:t>×</w:t>
      </w:r>
      <w:r w:rsidRPr="000709BE" w:rsidR="000709BE">
        <w:rPr>
          <w:rFonts w:eastAsia="Calibri"/>
        </w:rPr>
        <w:t xml:space="preserve"> $</w:t>
      </w:r>
      <w:r w:rsidR="004A768F">
        <w:rPr>
          <w:rFonts w:eastAsia="Calibri"/>
        </w:rPr>
        <w:t>291.64</w:t>
      </w:r>
      <w:r w:rsidRPr="000709BE" w:rsidR="000709BE">
        <w:rPr>
          <w:rFonts w:eastAsia="Calibri"/>
        </w:rPr>
        <w:t xml:space="preserve">/hr)]. The total annual cost </w:t>
      </w:r>
      <w:r w:rsidR="0001401A">
        <w:rPr>
          <w:rFonts w:eastAsia="Calibri"/>
        </w:rPr>
        <w:t>for the CY 202</w:t>
      </w:r>
      <w:r w:rsidR="005A42AA">
        <w:rPr>
          <w:rFonts w:eastAsia="Calibri"/>
        </w:rPr>
        <w:t>5</w:t>
      </w:r>
      <w:r w:rsidR="0001401A">
        <w:rPr>
          <w:rFonts w:eastAsia="Calibri"/>
        </w:rPr>
        <w:t xml:space="preserve"> performance period/202</w:t>
      </w:r>
      <w:r w:rsidR="005A42AA">
        <w:rPr>
          <w:rFonts w:eastAsia="Calibri"/>
        </w:rPr>
        <w:t>7</w:t>
      </w:r>
      <w:r w:rsidR="0001401A">
        <w:rPr>
          <w:rFonts w:eastAsia="Calibri"/>
        </w:rPr>
        <w:t xml:space="preserve"> MIPS payment year </w:t>
      </w:r>
      <w:r w:rsidRPr="000709BE" w:rsidR="000709BE">
        <w:rPr>
          <w:rFonts w:eastAsia="Calibri"/>
        </w:rPr>
        <w:t>ranges from a minimum of $</w:t>
      </w:r>
      <w:r w:rsidR="005A42AA">
        <w:rPr>
          <w:rFonts w:eastAsia="Calibri"/>
        </w:rPr>
        <w:t>11,047,799</w:t>
      </w:r>
      <w:r w:rsidRPr="000709BE" w:rsidR="000709BE">
        <w:rPr>
          <w:rFonts w:eastAsia="Calibri"/>
        </w:rPr>
        <w:t xml:space="preserve"> (</w:t>
      </w:r>
      <w:r w:rsidR="005A42AA">
        <w:rPr>
          <w:rFonts w:eastAsia="Calibri"/>
        </w:rPr>
        <w:t>12,197</w:t>
      </w:r>
      <w:r w:rsidRPr="000709BE" w:rsidR="000709BE">
        <w:rPr>
          <w:rFonts w:eastAsia="Calibri"/>
        </w:rPr>
        <w:t xml:space="preserve"> clinicians </w:t>
      </w:r>
      <w:r w:rsidR="00F81FDB">
        <w:t>×</w:t>
      </w:r>
      <w:r w:rsidRPr="000709BE" w:rsidR="000709BE">
        <w:rPr>
          <w:rFonts w:eastAsia="Calibri"/>
        </w:rPr>
        <w:t xml:space="preserve"> $</w:t>
      </w:r>
      <w:r w:rsidR="005A42AA">
        <w:rPr>
          <w:rFonts w:eastAsia="Calibri"/>
        </w:rPr>
        <w:t>905.78</w:t>
      </w:r>
      <w:r w:rsidRPr="000709BE" w:rsidR="000709BE">
        <w:rPr>
          <w:rFonts w:eastAsia="Calibri"/>
        </w:rPr>
        <w:t>) to a maximum of $</w:t>
      </w:r>
      <w:r w:rsidR="005A42AA">
        <w:rPr>
          <w:rFonts w:eastAsia="Calibri"/>
        </w:rPr>
        <w:t>20,209,087</w:t>
      </w:r>
      <w:r w:rsidRPr="000709BE" w:rsidR="000709BE">
        <w:rPr>
          <w:rFonts w:eastAsia="Calibri"/>
        </w:rPr>
        <w:t xml:space="preserve"> (</w:t>
      </w:r>
      <w:r w:rsidR="005A42AA">
        <w:rPr>
          <w:rFonts w:eastAsia="Calibri"/>
        </w:rPr>
        <w:t>12,197</w:t>
      </w:r>
      <w:r w:rsidRPr="000709BE" w:rsidR="000709BE">
        <w:rPr>
          <w:rFonts w:eastAsia="Calibri"/>
        </w:rPr>
        <w:t xml:space="preserve"> clinicians </w:t>
      </w:r>
      <w:r w:rsidR="00F81FDB">
        <w:t>×</w:t>
      </w:r>
      <w:r w:rsidRPr="000709BE" w:rsidR="000709BE">
        <w:rPr>
          <w:rFonts w:eastAsia="Calibri"/>
        </w:rPr>
        <w:t xml:space="preserve"> $1,</w:t>
      </w:r>
      <w:r w:rsidR="00E853F1">
        <w:rPr>
          <w:rFonts w:eastAsia="Calibri"/>
        </w:rPr>
        <w:t>656.89</w:t>
      </w:r>
      <w:r w:rsidRPr="000709BE" w:rsidR="000709BE">
        <w:rPr>
          <w:rFonts w:eastAsia="Calibri"/>
        </w:rPr>
        <w:t>)</w:t>
      </w:r>
      <w:r>
        <w:rPr>
          <w:rFonts w:eastAsia="Calibri"/>
        </w:rPr>
        <w:t>.</w:t>
      </w:r>
    </w:p>
    <w:p w:rsidR="00C351ED" w:rsidRPr="003450D5" w:rsidP="003A4007" w14:paraId="4A56D872" w14:textId="0FA8D45F">
      <w:pPr>
        <w:pStyle w:val="ExhibitTitle"/>
        <w:rPr>
          <w:b w:val="0"/>
          <w:bCs/>
        </w:rPr>
      </w:pPr>
      <w:r w:rsidRPr="003450D5">
        <w:rPr>
          <w:b w:val="0"/>
          <w:bCs/>
        </w:rPr>
        <w:t>T</w:t>
      </w:r>
      <w:r w:rsidRPr="003450D5" w:rsidR="009A134B">
        <w:rPr>
          <w:b w:val="0"/>
          <w:bCs/>
        </w:rPr>
        <w:t>able</w:t>
      </w:r>
      <w:r w:rsidRPr="003450D5">
        <w:rPr>
          <w:b w:val="0"/>
          <w:bCs/>
        </w:rPr>
        <w:t xml:space="preserve"> </w:t>
      </w:r>
      <w:r w:rsidRPr="003450D5" w:rsidR="00FB6E19">
        <w:rPr>
          <w:b w:val="0"/>
          <w:bCs/>
        </w:rPr>
        <w:t>11</w:t>
      </w:r>
      <w:r w:rsidRPr="003450D5">
        <w:rPr>
          <w:b w:val="0"/>
          <w:bCs/>
        </w:rPr>
        <w:t xml:space="preserve">: </w:t>
      </w:r>
      <w:r w:rsidRPr="003450D5" w:rsidR="001B3AA6">
        <w:rPr>
          <w:b w:val="0"/>
          <w:bCs/>
        </w:rPr>
        <w:t xml:space="preserve">Estimated </w:t>
      </w:r>
      <w:r w:rsidRPr="003450D5">
        <w:rPr>
          <w:b w:val="0"/>
          <w:bCs/>
        </w:rPr>
        <w:t>Burden for Quality Performance C</w:t>
      </w:r>
      <w:r w:rsidRPr="003450D5" w:rsidR="2D3A4936">
        <w:rPr>
          <w:b w:val="0"/>
          <w:bCs/>
        </w:rPr>
        <w:t>a</w:t>
      </w:r>
      <w:r w:rsidRPr="003450D5">
        <w:rPr>
          <w:b w:val="0"/>
          <w:bCs/>
        </w:rPr>
        <w:t>tegory: Clinicians Using the Claims Collection Type</w:t>
      </w:r>
    </w:p>
    <w:tbl>
      <w:tblPr>
        <w:tblStyle w:val="TableGrid"/>
        <w:tblDescription w:val="Table 11: the estimated burden for submitting data for the M I P S quality performance category via the Medicare Part B claims collection type."/>
        <w:tblW w:w="9355" w:type="dxa"/>
        <w:tblLook w:val="04A0"/>
      </w:tblPr>
      <w:tblGrid>
        <w:gridCol w:w="3415"/>
        <w:gridCol w:w="1980"/>
        <w:gridCol w:w="1980"/>
        <w:gridCol w:w="1980"/>
      </w:tblGrid>
      <w:tr w14:paraId="654BD251" w14:textId="7DFF0031" w:rsidTr="00166E89">
        <w:tblPrEx>
          <w:tblW w:w="9355" w:type="dxa"/>
          <w:tblLook w:val="04A0"/>
        </w:tblPrEx>
        <w:trPr>
          <w:cantSplit/>
          <w:trHeight w:val="530"/>
          <w:tblHeader/>
        </w:trPr>
        <w:tc>
          <w:tcPr>
            <w:tcW w:w="3415" w:type="dxa"/>
            <w:hideMark/>
          </w:tcPr>
          <w:p w:rsidR="002753EA" w:rsidRPr="00C351ED" w:rsidP="003A4007" w14:paraId="00BA7BA3" w14:textId="32A91879">
            <w:pPr>
              <w:pStyle w:val="Table11-ColumnHeading"/>
            </w:pPr>
            <w:r w:rsidRPr="00C351ED">
              <w:t>Burden and Respondent Descriptions</w:t>
            </w:r>
          </w:p>
        </w:tc>
        <w:tc>
          <w:tcPr>
            <w:tcW w:w="1980" w:type="dxa"/>
            <w:hideMark/>
          </w:tcPr>
          <w:p w:rsidR="002753EA" w:rsidRPr="00732012" w:rsidP="003A4007" w14:paraId="0D25D71D" w14:textId="55AC8312">
            <w:pPr>
              <w:pStyle w:val="Table11-ColumnHeading"/>
            </w:pPr>
            <w:r w:rsidRPr="00732012">
              <w:t>Minimum Burden</w:t>
            </w:r>
            <w:r>
              <w:t xml:space="preserve"> Estimate</w:t>
            </w:r>
          </w:p>
        </w:tc>
        <w:tc>
          <w:tcPr>
            <w:tcW w:w="1980" w:type="dxa"/>
            <w:hideMark/>
          </w:tcPr>
          <w:p w:rsidR="002753EA" w:rsidRPr="00732012" w:rsidP="003A4007" w14:paraId="7FBA1E2B" w14:textId="26648276">
            <w:pPr>
              <w:pStyle w:val="Table11-ColumnHeading"/>
            </w:pPr>
            <w:r w:rsidRPr="00732012">
              <w:t>Median Burden</w:t>
            </w:r>
            <w:r>
              <w:t xml:space="preserve"> Estimate</w:t>
            </w:r>
          </w:p>
        </w:tc>
        <w:tc>
          <w:tcPr>
            <w:tcW w:w="1980" w:type="dxa"/>
            <w:hideMark/>
          </w:tcPr>
          <w:p w:rsidR="002753EA" w:rsidRPr="00732012" w:rsidP="003A4007" w14:paraId="22244A87" w14:textId="534AF753">
            <w:pPr>
              <w:pStyle w:val="Table11-ColumnHeading"/>
            </w:pPr>
            <w:r w:rsidRPr="00732012">
              <w:t>Maximum Burden Estimate</w:t>
            </w:r>
          </w:p>
        </w:tc>
      </w:tr>
      <w:tr w14:paraId="1AA9F1F7" w14:textId="75ED6B1C" w:rsidTr="00166E89">
        <w:tblPrEx>
          <w:tblW w:w="9355" w:type="dxa"/>
          <w:tblLook w:val="04A0"/>
        </w:tblPrEx>
        <w:trPr>
          <w:cantSplit/>
          <w:trHeight w:val="315"/>
        </w:trPr>
        <w:tc>
          <w:tcPr>
            <w:tcW w:w="3415" w:type="dxa"/>
            <w:hideMark/>
          </w:tcPr>
          <w:p w:rsidR="002753EA" w:rsidRPr="00732012" w:rsidP="003A4007" w14:paraId="28D04CE3" w14:textId="27A68574">
            <w:pPr>
              <w:pStyle w:val="Table11Basic"/>
            </w:pPr>
            <w:r w:rsidRPr="00732012">
              <w:t># of Clinicians (a)</w:t>
            </w:r>
          </w:p>
        </w:tc>
        <w:tc>
          <w:tcPr>
            <w:tcW w:w="1980" w:type="dxa"/>
            <w:noWrap/>
          </w:tcPr>
          <w:p w:rsidR="002753EA" w:rsidRPr="00E538DA" w:rsidP="003A4007" w14:paraId="5A2263AD" w14:textId="195881AE">
            <w:pPr>
              <w:pStyle w:val="Table11Centered"/>
            </w:pPr>
            <w:r>
              <w:rPr>
                <w:rFonts w:eastAsia="Calibri"/>
              </w:rPr>
              <w:t>12,197</w:t>
            </w:r>
          </w:p>
        </w:tc>
        <w:tc>
          <w:tcPr>
            <w:tcW w:w="1980" w:type="dxa"/>
            <w:noWrap/>
          </w:tcPr>
          <w:p w:rsidR="002753EA" w:rsidRPr="00E538DA" w:rsidP="003A4007" w14:paraId="7456BB10" w14:textId="359AD146">
            <w:pPr>
              <w:pStyle w:val="Table11Centered"/>
            </w:pPr>
            <w:r>
              <w:rPr>
                <w:rFonts w:eastAsia="Calibri"/>
              </w:rPr>
              <w:t>12,197</w:t>
            </w:r>
          </w:p>
        </w:tc>
        <w:tc>
          <w:tcPr>
            <w:tcW w:w="1980" w:type="dxa"/>
            <w:noWrap/>
          </w:tcPr>
          <w:p w:rsidR="002753EA" w:rsidRPr="00E538DA" w:rsidP="003A4007" w14:paraId="3E533F23" w14:textId="0F5B4B77">
            <w:pPr>
              <w:pStyle w:val="Table11Centered"/>
            </w:pPr>
            <w:r>
              <w:rPr>
                <w:rFonts w:eastAsia="Calibri"/>
              </w:rPr>
              <w:t>12,197</w:t>
            </w:r>
          </w:p>
        </w:tc>
      </w:tr>
      <w:tr w14:paraId="36D8AB84" w14:textId="51E897EC" w:rsidTr="00166E89">
        <w:tblPrEx>
          <w:tblW w:w="9355" w:type="dxa"/>
          <w:tblLook w:val="04A0"/>
        </w:tblPrEx>
        <w:trPr>
          <w:cantSplit/>
          <w:trHeight w:val="358"/>
        </w:trPr>
        <w:tc>
          <w:tcPr>
            <w:tcW w:w="3415" w:type="dxa"/>
            <w:hideMark/>
          </w:tcPr>
          <w:p w:rsidR="002753EA" w:rsidRPr="00732012" w:rsidP="003A4007" w14:paraId="04B458D1" w14:textId="769159C3">
            <w:pPr>
              <w:pStyle w:val="Table11Basic"/>
            </w:pPr>
            <w:r w:rsidRPr="00732012">
              <w:t xml:space="preserve">Hours Per </w:t>
            </w:r>
            <w:r w:rsidR="0020093E">
              <w:t>Computer Systems Analyst</w:t>
            </w:r>
            <w:r w:rsidRPr="00732012">
              <w:t xml:space="preserve"> to Submit Quality Data (b)</w:t>
            </w:r>
          </w:p>
        </w:tc>
        <w:tc>
          <w:tcPr>
            <w:tcW w:w="1980" w:type="dxa"/>
            <w:hideMark/>
          </w:tcPr>
          <w:p w:rsidR="002753EA" w:rsidRPr="00732012" w:rsidP="003A4007" w14:paraId="15BFF35D" w14:textId="3D1996A9">
            <w:pPr>
              <w:pStyle w:val="Table11Centered"/>
            </w:pPr>
            <w:r w:rsidRPr="003428D4">
              <w:rPr>
                <w:rFonts w:eastAsia="Calibri"/>
              </w:rPr>
              <w:t>0.15</w:t>
            </w:r>
          </w:p>
        </w:tc>
        <w:tc>
          <w:tcPr>
            <w:tcW w:w="1980" w:type="dxa"/>
            <w:hideMark/>
          </w:tcPr>
          <w:p w:rsidR="002753EA" w:rsidRPr="00732012" w:rsidP="003A4007" w14:paraId="7FE7FB6A" w14:textId="6903F3A4">
            <w:pPr>
              <w:pStyle w:val="Table11Centered"/>
            </w:pPr>
            <w:r w:rsidRPr="003428D4">
              <w:rPr>
                <w:rFonts w:eastAsia="Calibri"/>
              </w:rPr>
              <w:t>1.05</w:t>
            </w:r>
          </w:p>
        </w:tc>
        <w:tc>
          <w:tcPr>
            <w:tcW w:w="1980" w:type="dxa"/>
            <w:hideMark/>
          </w:tcPr>
          <w:p w:rsidR="002753EA" w:rsidRPr="00732012" w:rsidP="003A4007" w14:paraId="01A52066" w14:textId="3307EBAA">
            <w:pPr>
              <w:pStyle w:val="Table11Centered"/>
            </w:pPr>
            <w:r w:rsidRPr="003428D4">
              <w:rPr>
                <w:rFonts w:eastAsia="Calibri"/>
              </w:rPr>
              <w:t>7.2</w:t>
            </w:r>
          </w:p>
        </w:tc>
      </w:tr>
      <w:tr w14:paraId="2BC8F339" w14:textId="10785985" w:rsidTr="00166E89">
        <w:tblPrEx>
          <w:tblW w:w="9355" w:type="dxa"/>
          <w:tblLook w:val="04A0"/>
        </w:tblPrEx>
        <w:trPr>
          <w:cantSplit/>
          <w:trHeight w:val="525"/>
        </w:trPr>
        <w:tc>
          <w:tcPr>
            <w:tcW w:w="3415" w:type="dxa"/>
            <w:hideMark/>
          </w:tcPr>
          <w:p w:rsidR="002753EA" w:rsidRPr="00732012" w:rsidP="003A4007" w14:paraId="3138C537" w14:textId="219EEA6E">
            <w:pPr>
              <w:pStyle w:val="Table11Basic"/>
            </w:pPr>
            <w:r w:rsidRPr="00732012">
              <w:t xml:space="preserve"># of Hours </w:t>
            </w:r>
            <w:r>
              <w:t xml:space="preserve">Medical and </w:t>
            </w:r>
            <w:r w:rsidR="00CB6498">
              <w:t>H</w:t>
            </w:r>
            <w:r w:rsidRPr="00CB6498">
              <w:t xml:space="preserve">ealth </w:t>
            </w:r>
            <w:r w:rsidR="00CB6498">
              <w:t>S</w:t>
            </w:r>
            <w:r w:rsidRPr="00CB6498">
              <w:t xml:space="preserve">ervices </w:t>
            </w:r>
            <w:r w:rsidR="00CB6498">
              <w:t>M</w:t>
            </w:r>
            <w:r w:rsidRPr="00CB6498">
              <w:t>anager</w:t>
            </w:r>
            <w:r w:rsidRPr="00732012">
              <w:t xml:space="preserve"> Review Measure Specifications (c)</w:t>
            </w:r>
          </w:p>
        </w:tc>
        <w:tc>
          <w:tcPr>
            <w:tcW w:w="1980" w:type="dxa"/>
            <w:hideMark/>
          </w:tcPr>
          <w:p w:rsidR="002753EA" w:rsidRPr="00732012" w:rsidP="003A4007" w14:paraId="69F2A140" w14:textId="494A9233">
            <w:pPr>
              <w:pStyle w:val="Table11Centered"/>
            </w:pPr>
            <w:r w:rsidRPr="003428D4">
              <w:rPr>
                <w:rFonts w:eastAsia="Calibri"/>
              </w:rPr>
              <w:t>3</w:t>
            </w:r>
          </w:p>
        </w:tc>
        <w:tc>
          <w:tcPr>
            <w:tcW w:w="1980" w:type="dxa"/>
            <w:hideMark/>
          </w:tcPr>
          <w:p w:rsidR="002753EA" w:rsidRPr="00732012" w:rsidP="003A4007" w14:paraId="1C20FF06" w14:textId="05159EA0">
            <w:pPr>
              <w:pStyle w:val="Table11Centered"/>
            </w:pPr>
            <w:r w:rsidRPr="003428D4">
              <w:rPr>
                <w:rFonts w:eastAsia="Calibri"/>
              </w:rPr>
              <w:t>3</w:t>
            </w:r>
          </w:p>
        </w:tc>
        <w:tc>
          <w:tcPr>
            <w:tcW w:w="1980" w:type="dxa"/>
            <w:hideMark/>
          </w:tcPr>
          <w:p w:rsidR="002753EA" w:rsidRPr="00732012" w:rsidP="003A4007" w14:paraId="38E45CCD" w14:textId="3D0C0068">
            <w:pPr>
              <w:pStyle w:val="Table11Centered"/>
            </w:pPr>
            <w:r w:rsidRPr="003428D4">
              <w:rPr>
                <w:rFonts w:eastAsia="Calibri"/>
              </w:rPr>
              <w:t>3</w:t>
            </w:r>
          </w:p>
        </w:tc>
      </w:tr>
      <w:tr w14:paraId="507376EA" w14:textId="118F6049" w:rsidTr="00166E89">
        <w:tblPrEx>
          <w:tblW w:w="9355" w:type="dxa"/>
          <w:tblLook w:val="04A0"/>
        </w:tblPrEx>
        <w:trPr>
          <w:cantSplit/>
          <w:trHeight w:val="520"/>
        </w:trPr>
        <w:tc>
          <w:tcPr>
            <w:tcW w:w="3415" w:type="dxa"/>
            <w:hideMark/>
          </w:tcPr>
          <w:p w:rsidR="002753EA" w:rsidRPr="00732012" w:rsidP="003A4007" w14:paraId="5727A7E0" w14:textId="7E498DF7">
            <w:pPr>
              <w:pStyle w:val="Table11Basic"/>
            </w:pPr>
            <w:r w:rsidRPr="00732012">
              <w:t># of Hours Computer Systems Analyst Review Measure Specifications (d)</w:t>
            </w:r>
          </w:p>
        </w:tc>
        <w:tc>
          <w:tcPr>
            <w:tcW w:w="1980" w:type="dxa"/>
            <w:hideMark/>
          </w:tcPr>
          <w:p w:rsidR="002753EA" w:rsidRPr="00732012" w:rsidP="003A4007" w14:paraId="276011DF" w14:textId="0F9DFA79">
            <w:pPr>
              <w:pStyle w:val="Table11Centered"/>
            </w:pPr>
            <w:r w:rsidRPr="003428D4">
              <w:rPr>
                <w:rFonts w:eastAsia="Calibri"/>
              </w:rPr>
              <w:t>1</w:t>
            </w:r>
          </w:p>
        </w:tc>
        <w:tc>
          <w:tcPr>
            <w:tcW w:w="1980" w:type="dxa"/>
            <w:hideMark/>
          </w:tcPr>
          <w:p w:rsidR="002753EA" w:rsidRPr="00732012" w:rsidP="003A4007" w14:paraId="2B9A5528" w14:textId="73D7BB80">
            <w:pPr>
              <w:pStyle w:val="Table11Centered"/>
            </w:pPr>
            <w:r w:rsidRPr="003428D4">
              <w:rPr>
                <w:rFonts w:eastAsia="Calibri"/>
              </w:rPr>
              <w:t>1</w:t>
            </w:r>
          </w:p>
        </w:tc>
        <w:tc>
          <w:tcPr>
            <w:tcW w:w="1980" w:type="dxa"/>
            <w:hideMark/>
          </w:tcPr>
          <w:p w:rsidR="002753EA" w:rsidRPr="00732012" w:rsidP="003A4007" w14:paraId="5AC19B66" w14:textId="7B9EAE3D">
            <w:pPr>
              <w:pStyle w:val="Table11Centered"/>
            </w:pPr>
            <w:r w:rsidRPr="003428D4">
              <w:rPr>
                <w:rFonts w:eastAsia="Calibri"/>
              </w:rPr>
              <w:t>1</w:t>
            </w:r>
          </w:p>
        </w:tc>
      </w:tr>
      <w:tr w14:paraId="214A14BE" w14:textId="7D14711B" w:rsidTr="00166E89">
        <w:tblPrEx>
          <w:tblW w:w="9355" w:type="dxa"/>
          <w:tblLook w:val="04A0"/>
        </w:tblPrEx>
        <w:trPr>
          <w:cantSplit/>
          <w:trHeight w:val="525"/>
        </w:trPr>
        <w:tc>
          <w:tcPr>
            <w:tcW w:w="3415" w:type="dxa"/>
            <w:hideMark/>
          </w:tcPr>
          <w:p w:rsidR="002753EA" w:rsidRPr="00732012" w:rsidP="003A4007" w14:paraId="78A5C732" w14:textId="393C95FF">
            <w:pPr>
              <w:pStyle w:val="Table11Basic"/>
            </w:pPr>
            <w:r w:rsidRPr="00732012">
              <w:t># of Hours LPN Review Measure Specifications (e)</w:t>
            </w:r>
          </w:p>
        </w:tc>
        <w:tc>
          <w:tcPr>
            <w:tcW w:w="1980" w:type="dxa"/>
            <w:hideMark/>
          </w:tcPr>
          <w:p w:rsidR="002753EA" w:rsidRPr="00732012" w:rsidP="003A4007" w14:paraId="0AD7C15A" w14:textId="6813962D">
            <w:pPr>
              <w:pStyle w:val="Table11Centered"/>
            </w:pPr>
            <w:r w:rsidRPr="003428D4">
              <w:rPr>
                <w:rFonts w:eastAsia="Calibri"/>
              </w:rPr>
              <w:t>1</w:t>
            </w:r>
          </w:p>
        </w:tc>
        <w:tc>
          <w:tcPr>
            <w:tcW w:w="1980" w:type="dxa"/>
            <w:hideMark/>
          </w:tcPr>
          <w:p w:rsidR="002753EA" w:rsidRPr="00732012" w:rsidP="003A4007" w14:paraId="12215AA9" w14:textId="76C33D57">
            <w:pPr>
              <w:pStyle w:val="Table11Centered"/>
            </w:pPr>
            <w:r w:rsidRPr="003428D4">
              <w:rPr>
                <w:rFonts w:eastAsia="Calibri"/>
              </w:rPr>
              <w:t>1</w:t>
            </w:r>
          </w:p>
        </w:tc>
        <w:tc>
          <w:tcPr>
            <w:tcW w:w="1980" w:type="dxa"/>
            <w:hideMark/>
          </w:tcPr>
          <w:p w:rsidR="002753EA" w:rsidRPr="00732012" w:rsidP="003A4007" w14:paraId="249FCB61" w14:textId="359054DD">
            <w:pPr>
              <w:pStyle w:val="Table11Centered"/>
            </w:pPr>
            <w:r w:rsidRPr="003428D4">
              <w:rPr>
                <w:rFonts w:eastAsia="Calibri"/>
              </w:rPr>
              <w:t>1</w:t>
            </w:r>
          </w:p>
        </w:tc>
      </w:tr>
      <w:tr w14:paraId="0681AC2D" w14:textId="44BD5DDB" w:rsidTr="00166E89">
        <w:tblPrEx>
          <w:tblW w:w="9355" w:type="dxa"/>
          <w:tblLook w:val="04A0"/>
        </w:tblPrEx>
        <w:trPr>
          <w:cantSplit/>
          <w:trHeight w:val="525"/>
        </w:trPr>
        <w:tc>
          <w:tcPr>
            <w:tcW w:w="3415" w:type="dxa"/>
            <w:hideMark/>
          </w:tcPr>
          <w:p w:rsidR="002753EA" w:rsidRPr="00732012" w:rsidP="003A4007" w14:paraId="320A81F5" w14:textId="321D7A4A">
            <w:pPr>
              <w:pStyle w:val="Table11Basic"/>
            </w:pPr>
            <w:r w:rsidRPr="00732012">
              <w:t># of Hours Billing Clerk Review Measure Specifications (f)</w:t>
            </w:r>
          </w:p>
        </w:tc>
        <w:tc>
          <w:tcPr>
            <w:tcW w:w="1980" w:type="dxa"/>
            <w:hideMark/>
          </w:tcPr>
          <w:p w:rsidR="002753EA" w:rsidRPr="00732012" w:rsidP="003A4007" w14:paraId="5828720A" w14:textId="22CE4396">
            <w:pPr>
              <w:pStyle w:val="Table11Centered"/>
            </w:pPr>
            <w:r w:rsidRPr="003428D4">
              <w:rPr>
                <w:rFonts w:eastAsia="Calibri"/>
              </w:rPr>
              <w:t>1</w:t>
            </w:r>
          </w:p>
        </w:tc>
        <w:tc>
          <w:tcPr>
            <w:tcW w:w="1980" w:type="dxa"/>
            <w:hideMark/>
          </w:tcPr>
          <w:p w:rsidR="002753EA" w:rsidRPr="00732012" w:rsidP="003A4007" w14:paraId="22ABC1E7" w14:textId="4D52333E">
            <w:pPr>
              <w:pStyle w:val="Table11Centered"/>
            </w:pPr>
            <w:r w:rsidRPr="003428D4">
              <w:rPr>
                <w:rFonts w:eastAsia="Calibri"/>
              </w:rPr>
              <w:t>1</w:t>
            </w:r>
          </w:p>
        </w:tc>
        <w:tc>
          <w:tcPr>
            <w:tcW w:w="1980" w:type="dxa"/>
            <w:hideMark/>
          </w:tcPr>
          <w:p w:rsidR="002753EA" w:rsidRPr="00732012" w:rsidP="003A4007" w14:paraId="323A6D59" w14:textId="2C0B3357">
            <w:pPr>
              <w:pStyle w:val="Table11Centered"/>
            </w:pPr>
            <w:r w:rsidRPr="003428D4">
              <w:rPr>
                <w:rFonts w:eastAsia="Calibri"/>
              </w:rPr>
              <w:t>1</w:t>
            </w:r>
          </w:p>
        </w:tc>
      </w:tr>
      <w:tr w14:paraId="289074F4" w14:textId="77F6CE78" w:rsidTr="00166E89">
        <w:tblPrEx>
          <w:tblW w:w="9355" w:type="dxa"/>
          <w:tblLook w:val="04A0"/>
        </w:tblPrEx>
        <w:trPr>
          <w:cantSplit/>
          <w:trHeight w:val="502"/>
        </w:trPr>
        <w:tc>
          <w:tcPr>
            <w:tcW w:w="3415" w:type="dxa"/>
            <w:hideMark/>
          </w:tcPr>
          <w:p w:rsidR="002753EA" w:rsidRPr="00732012" w:rsidP="003A4007" w14:paraId="37B700B5" w14:textId="7502DE99">
            <w:pPr>
              <w:pStyle w:val="Table11Basic"/>
            </w:pPr>
            <w:r w:rsidRPr="00732012">
              <w:t xml:space="preserve"># of Hours </w:t>
            </w:r>
            <w:r w:rsidR="0020093E">
              <w:t>Physician</w:t>
            </w:r>
            <w:r w:rsidRPr="00732012">
              <w:t xml:space="preserve"> Review Measure Specifications (g)</w:t>
            </w:r>
          </w:p>
        </w:tc>
        <w:tc>
          <w:tcPr>
            <w:tcW w:w="1980" w:type="dxa"/>
            <w:hideMark/>
          </w:tcPr>
          <w:p w:rsidR="002753EA" w:rsidRPr="00732012" w:rsidP="003A4007" w14:paraId="02A2E8BD" w14:textId="527EBDC7">
            <w:pPr>
              <w:pStyle w:val="Table11Centered"/>
            </w:pPr>
            <w:r w:rsidRPr="003428D4">
              <w:rPr>
                <w:rFonts w:eastAsia="Calibri"/>
              </w:rPr>
              <w:t>1</w:t>
            </w:r>
          </w:p>
        </w:tc>
        <w:tc>
          <w:tcPr>
            <w:tcW w:w="1980" w:type="dxa"/>
            <w:hideMark/>
          </w:tcPr>
          <w:p w:rsidR="002753EA" w:rsidRPr="00732012" w:rsidP="003A4007" w14:paraId="3EC74AFD" w14:textId="286AF36E">
            <w:pPr>
              <w:pStyle w:val="Table11Centered"/>
            </w:pPr>
            <w:r w:rsidRPr="003428D4">
              <w:rPr>
                <w:rFonts w:eastAsia="Calibri"/>
              </w:rPr>
              <w:t>1</w:t>
            </w:r>
          </w:p>
        </w:tc>
        <w:tc>
          <w:tcPr>
            <w:tcW w:w="1980" w:type="dxa"/>
            <w:hideMark/>
          </w:tcPr>
          <w:p w:rsidR="002753EA" w:rsidRPr="00732012" w:rsidP="003A4007" w14:paraId="7E94ABD1" w14:textId="4DA61815">
            <w:pPr>
              <w:pStyle w:val="Table11Centered"/>
            </w:pPr>
            <w:r w:rsidRPr="003428D4">
              <w:rPr>
                <w:rFonts w:eastAsia="Calibri"/>
              </w:rPr>
              <w:t>1</w:t>
            </w:r>
          </w:p>
        </w:tc>
      </w:tr>
      <w:tr w14:paraId="3D37EF86" w14:textId="3E530D25" w:rsidTr="00166E89">
        <w:tblPrEx>
          <w:tblW w:w="9355" w:type="dxa"/>
          <w:tblLook w:val="04A0"/>
        </w:tblPrEx>
        <w:trPr>
          <w:cantSplit/>
          <w:trHeight w:val="525"/>
        </w:trPr>
        <w:tc>
          <w:tcPr>
            <w:tcW w:w="3415" w:type="dxa"/>
            <w:hideMark/>
          </w:tcPr>
          <w:p w:rsidR="002753EA" w:rsidRPr="00732012" w:rsidP="003A4007" w14:paraId="48E36A37" w14:textId="24F72E9A">
            <w:pPr>
              <w:pStyle w:val="Table11Basic"/>
            </w:pPr>
            <w:r w:rsidRPr="00732012">
              <w:t>Annual Hours per Clinician (h) = (b)+(c)+(d)+(e)+(f)+(g)</w:t>
            </w:r>
          </w:p>
        </w:tc>
        <w:tc>
          <w:tcPr>
            <w:tcW w:w="1980" w:type="dxa"/>
            <w:hideMark/>
          </w:tcPr>
          <w:p w:rsidR="002753EA" w:rsidRPr="00732012" w:rsidP="003A4007" w14:paraId="576E94F3" w14:textId="20BA0FD7">
            <w:pPr>
              <w:pStyle w:val="Table11Centered"/>
            </w:pPr>
            <w:r w:rsidRPr="003428D4">
              <w:rPr>
                <w:rFonts w:eastAsia="Calibri"/>
              </w:rPr>
              <w:t>7.15</w:t>
            </w:r>
          </w:p>
        </w:tc>
        <w:tc>
          <w:tcPr>
            <w:tcW w:w="1980" w:type="dxa"/>
            <w:hideMark/>
          </w:tcPr>
          <w:p w:rsidR="002753EA" w:rsidRPr="00732012" w:rsidP="003A4007" w14:paraId="4855075E" w14:textId="69D7B9C0">
            <w:pPr>
              <w:pStyle w:val="Table11Centered"/>
            </w:pPr>
            <w:r w:rsidRPr="003428D4">
              <w:rPr>
                <w:rFonts w:eastAsia="Calibri"/>
              </w:rPr>
              <w:t>8.05</w:t>
            </w:r>
          </w:p>
        </w:tc>
        <w:tc>
          <w:tcPr>
            <w:tcW w:w="1980" w:type="dxa"/>
            <w:hideMark/>
          </w:tcPr>
          <w:p w:rsidR="002753EA" w:rsidRPr="00732012" w:rsidP="003A4007" w14:paraId="010879DE" w14:textId="0E35BAFC">
            <w:pPr>
              <w:pStyle w:val="Table11Centered"/>
            </w:pPr>
            <w:r w:rsidRPr="003428D4">
              <w:rPr>
                <w:rFonts w:eastAsia="Calibri"/>
              </w:rPr>
              <w:t>14.2</w:t>
            </w:r>
          </w:p>
        </w:tc>
      </w:tr>
      <w:tr w14:paraId="6D6A47A8" w14:textId="590E0F47" w:rsidTr="00166E89">
        <w:tblPrEx>
          <w:tblW w:w="9355" w:type="dxa"/>
          <w:tblLook w:val="04A0"/>
        </w:tblPrEx>
        <w:trPr>
          <w:cantSplit/>
          <w:trHeight w:val="251"/>
        </w:trPr>
        <w:tc>
          <w:tcPr>
            <w:tcW w:w="3415" w:type="dxa"/>
            <w:shd w:val="clear" w:color="auto" w:fill="E7E6E6" w:themeFill="background2"/>
            <w:hideMark/>
          </w:tcPr>
          <w:p w:rsidR="004E4507" w:rsidRPr="00732012" w:rsidP="003A4007" w14:paraId="25ECB229" w14:textId="5B0CA145">
            <w:pPr>
              <w:pStyle w:val="Table11Basic"/>
              <w:rPr>
                <w:b/>
                <w:bCs/>
              </w:rPr>
            </w:pPr>
            <w:r w:rsidRPr="00732012">
              <w:rPr>
                <w:b/>
                <w:bCs/>
              </w:rPr>
              <w:t>Total Annual Hours (i) = (a)</w:t>
            </w:r>
            <w:r>
              <w:t xml:space="preserve"> </w:t>
            </w:r>
            <w:r w:rsidRPr="007C77E5">
              <w:t>[</w:t>
            </w:r>
            <w:r w:rsidRPr="00F81FDB" w:rsidR="00F81FDB">
              <w:rPr>
                <w:b/>
                <w:bCs/>
              </w:rPr>
              <w:t>×</w:t>
            </w:r>
            <w:r w:rsidRPr="007C77E5">
              <w:rPr>
                <w:b/>
                <w:bCs/>
              </w:rPr>
              <w:t>]</w:t>
            </w:r>
            <w:r w:rsidRPr="00DE6BD8">
              <w:rPr>
                <w:b/>
                <w:bCs/>
              </w:rPr>
              <w:t xml:space="preserve"> </w:t>
            </w:r>
            <w:r w:rsidRPr="00732012">
              <w:rPr>
                <w:b/>
                <w:bCs/>
              </w:rPr>
              <w:t>(h)</w:t>
            </w:r>
          </w:p>
        </w:tc>
        <w:tc>
          <w:tcPr>
            <w:tcW w:w="1980" w:type="dxa"/>
            <w:shd w:val="clear" w:color="auto" w:fill="E7E6E6" w:themeFill="background2"/>
          </w:tcPr>
          <w:p w:rsidR="004E4507" w:rsidRPr="00804D97" w:rsidP="003A4007" w14:paraId="047BA2F8" w14:textId="3C6AD053">
            <w:pPr>
              <w:pStyle w:val="Table11Centered"/>
              <w:rPr>
                <w:b/>
                <w:bCs/>
              </w:rPr>
            </w:pPr>
            <w:r>
              <w:rPr>
                <w:b/>
                <w:bCs/>
                <w:color w:val="000000" w:themeColor="text1"/>
              </w:rPr>
              <w:t>87,209</w:t>
            </w:r>
          </w:p>
        </w:tc>
        <w:tc>
          <w:tcPr>
            <w:tcW w:w="1980" w:type="dxa"/>
            <w:shd w:val="clear" w:color="auto" w:fill="E7E6E6" w:themeFill="background2"/>
          </w:tcPr>
          <w:p w:rsidR="004E4507" w:rsidRPr="00804D97" w:rsidP="003A4007" w14:paraId="1627AFEE" w14:textId="2DC88C6A">
            <w:pPr>
              <w:pStyle w:val="Table11Centered"/>
              <w:rPr>
                <w:b/>
                <w:bCs/>
              </w:rPr>
            </w:pPr>
            <w:r>
              <w:rPr>
                <w:b/>
                <w:bCs/>
                <w:color w:val="000000" w:themeColor="text1"/>
              </w:rPr>
              <w:t>98,186</w:t>
            </w:r>
          </w:p>
        </w:tc>
        <w:tc>
          <w:tcPr>
            <w:tcW w:w="1980" w:type="dxa"/>
            <w:shd w:val="clear" w:color="auto" w:fill="E7E6E6" w:themeFill="background2"/>
          </w:tcPr>
          <w:p w:rsidR="004E4507" w:rsidRPr="00804D97" w:rsidP="003A4007" w14:paraId="0B94FAE8" w14:textId="01BF9175">
            <w:pPr>
              <w:pStyle w:val="Table11Centered"/>
              <w:rPr>
                <w:b/>
                <w:bCs/>
              </w:rPr>
            </w:pPr>
            <w:r>
              <w:rPr>
                <w:b/>
                <w:bCs/>
                <w:color w:val="000000" w:themeColor="text1"/>
              </w:rPr>
              <w:t>173,197</w:t>
            </w:r>
          </w:p>
        </w:tc>
      </w:tr>
      <w:tr w14:paraId="3637C460" w14:textId="351962D0" w:rsidTr="00166E89">
        <w:tblPrEx>
          <w:tblW w:w="9355" w:type="dxa"/>
          <w:tblLook w:val="04A0"/>
        </w:tblPrEx>
        <w:trPr>
          <w:cantSplit/>
          <w:trHeight w:val="520"/>
        </w:trPr>
        <w:tc>
          <w:tcPr>
            <w:tcW w:w="3415" w:type="dxa"/>
            <w:hideMark/>
          </w:tcPr>
          <w:p w:rsidR="007355CD" w:rsidRPr="00B17713" w:rsidP="003A4007" w14:paraId="214BECC6" w14:textId="1AE0B09F">
            <w:pPr>
              <w:pStyle w:val="Table11Basic"/>
            </w:pPr>
            <w:r w:rsidRPr="00B17713">
              <w:t>Cost to Submit Quality Data (</w:t>
            </w:r>
            <w:r w:rsidR="00482D43">
              <w:t>at</w:t>
            </w:r>
            <w:r w:rsidRPr="00B17713">
              <w:t xml:space="preserve"> </w:t>
            </w:r>
            <w:r w:rsidR="00CB6498">
              <w:t>C</w:t>
            </w:r>
            <w:r w:rsidRPr="00CB6498">
              <w:t xml:space="preserve">omputer </w:t>
            </w:r>
            <w:r w:rsidR="00CB6498">
              <w:t>S</w:t>
            </w:r>
            <w:r w:rsidRPr="00CB6498">
              <w:t xml:space="preserve">ystems </w:t>
            </w:r>
            <w:r w:rsidR="00CB6498">
              <w:t>A</w:t>
            </w:r>
            <w:r w:rsidRPr="00CB6498">
              <w:t xml:space="preserve">nalyst’s </w:t>
            </w:r>
            <w:r w:rsidRPr="00CB6498" w:rsidR="00CB6498">
              <w:t>Labor Rate</w:t>
            </w:r>
            <w:r w:rsidRPr="00B17713">
              <w:t xml:space="preserve"> of $</w:t>
            </w:r>
            <w:r w:rsidR="00CB6498">
              <w:t>106</w:t>
            </w:r>
            <w:r w:rsidR="007D530F">
              <w:t>.54</w:t>
            </w:r>
            <w:r w:rsidRPr="00B17713">
              <w:t xml:space="preserve">/hr </w:t>
            </w:r>
            <w:r w:rsidR="00A87331">
              <w:t>at</w:t>
            </w:r>
            <w:r w:rsidRPr="00B17713">
              <w:t xml:space="preserve"> varying times) (j)</w:t>
            </w:r>
          </w:p>
        </w:tc>
        <w:tc>
          <w:tcPr>
            <w:tcW w:w="1980" w:type="dxa"/>
          </w:tcPr>
          <w:p w:rsidR="007355CD" w:rsidRPr="00B17713" w:rsidP="003A4007" w14:paraId="78C71B67" w14:textId="555090C8">
            <w:pPr>
              <w:pStyle w:val="Table11Centered"/>
            </w:pPr>
            <w:r w:rsidRPr="001375BC">
              <w:rPr>
                <w:color w:val="000000" w:themeColor="text1"/>
              </w:rPr>
              <w:t>$</w:t>
            </w:r>
            <w:r w:rsidR="00CB6498">
              <w:rPr>
                <w:color w:val="000000" w:themeColor="text1"/>
              </w:rPr>
              <w:t>15.98</w:t>
            </w:r>
          </w:p>
        </w:tc>
        <w:tc>
          <w:tcPr>
            <w:tcW w:w="1980" w:type="dxa"/>
          </w:tcPr>
          <w:p w:rsidR="007355CD" w:rsidRPr="00B17713" w:rsidP="003A4007" w14:paraId="09733675" w14:textId="3CE3C2DE">
            <w:pPr>
              <w:pStyle w:val="Table11Centered"/>
            </w:pPr>
            <w:r w:rsidRPr="001375BC">
              <w:rPr>
                <w:color w:val="000000" w:themeColor="text1"/>
              </w:rPr>
              <w:t>$</w:t>
            </w:r>
            <w:r w:rsidR="00CB6498">
              <w:rPr>
                <w:color w:val="000000" w:themeColor="text1"/>
              </w:rPr>
              <w:t>111.87</w:t>
            </w:r>
          </w:p>
        </w:tc>
        <w:tc>
          <w:tcPr>
            <w:tcW w:w="1980" w:type="dxa"/>
          </w:tcPr>
          <w:p w:rsidR="007355CD" w:rsidRPr="00B17713" w:rsidP="003A4007" w14:paraId="23FCD9AF" w14:textId="05E62AA6">
            <w:pPr>
              <w:pStyle w:val="Table11Centered"/>
            </w:pPr>
            <w:r w:rsidRPr="001375BC">
              <w:rPr>
                <w:color w:val="000000" w:themeColor="text1"/>
              </w:rPr>
              <w:t>$</w:t>
            </w:r>
            <w:r w:rsidR="00CB6498">
              <w:rPr>
                <w:color w:val="000000" w:themeColor="text1"/>
              </w:rPr>
              <w:t>767.09</w:t>
            </w:r>
          </w:p>
        </w:tc>
      </w:tr>
      <w:tr w14:paraId="77B72102" w14:textId="106F4FAA" w:rsidTr="00166E89">
        <w:tblPrEx>
          <w:tblW w:w="9355" w:type="dxa"/>
          <w:tblLook w:val="04A0"/>
        </w:tblPrEx>
        <w:trPr>
          <w:cantSplit/>
          <w:trHeight w:val="520"/>
        </w:trPr>
        <w:tc>
          <w:tcPr>
            <w:tcW w:w="3415" w:type="dxa"/>
            <w:hideMark/>
          </w:tcPr>
          <w:p w:rsidR="007355CD" w:rsidRPr="00B17713" w:rsidP="003A4007" w14:paraId="14755A63" w14:textId="38E48B9E">
            <w:pPr>
              <w:pStyle w:val="Table11Basic"/>
            </w:pPr>
            <w:r w:rsidRPr="00B17713">
              <w:t>Cost to Review Measure Specifications (</w:t>
            </w:r>
            <w:r w:rsidR="00482D43">
              <w:t>at</w:t>
            </w:r>
            <w:r w:rsidRPr="00B17713">
              <w:t xml:space="preserve"> </w:t>
            </w:r>
            <w:r w:rsidRPr="00CB6498" w:rsidR="00CB6498">
              <w:t>Medical</w:t>
            </w:r>
            <w:r w:rsidRPr="00B17713">
              <w:t xml:space="preserve"> and </w:t>
            </w:r>
            <w:r w:rsidRPr="00CB6498" w:rsidR="00CB6498">
              <w:t>Health Services Manager's Labor Rate</w:t>
            </w:r>
            <w:r w:rsidRPr="00B17713">
              <w:t xml:space="preserve"> of $</w:t>
            </w:r>
            <w:r w:rsidR="00CB6498">
              <w:t>129.28</w:t>
            </w:r>
            <w:r w:rsidRPr="00B17713">
              <w:t>/hr</w:t>
            </w:r>
            <w:r w:rsidR="00A87331">
              <w:t xml:space="preserve"> at</w:t>
            </w:r>
            <w:r w:rsidRPr="00B17713">
              <w:t xml:space="preserve"> 3 hr) (k)</w:t>
            </w:r>
          </w:p>
        </w:tc>
        <w:tc>
          <w:tcPr>
            <w:tcW w:w="1980" w:type="dxa"/>
          </w:tcPr>
          <w:p w:rsidR="007355CD" w:rsidRPr="00B17713" w:rsidP="003A4007" w14:paraId="751954B0" w14:textId="5A1B35CF">
            <w:pPr>
              <w:pStyle w:val="Table11Centered"/>
            </w:pPr>
            <w:r w:rsidRPr="001375BC">
              <w:rPr>
                <w:color w:val="000000" w:themeColor="text1"/>
              </w:rPr>
              <w:t>$</w:t>
            </w:r>
            <w:r w:rsidR="00CB6498">
              <w:rPr>
                <w:color w:val="000000" w:themeColor="text1"/>
              </w:rPr>
              <w:t>387.84</w:t>
            </w:r>
          </w:p>
        </w:tc>
        <w:tc>
          <w:tcPr>
            <w:tcW w:w="1980" w:type="dxa"/>
          </w:tcPr>
          <w:p w:rsidR="007355CD" w:rsidRPr="00B17713" w:rsidP="003A4007" w14:paraId="67D2E423" w14:textId="610B4978">
            <w:pPr>
              <w:pStyle w:val="Table11Centered"/>
            </w:pPr>
            <w:r w:rsidRPr="001375BC">
              <w:rPr>
                <w:color w:val="000000" w:themeColor="text1"/>
              </w:rPr>
              <w:t>$</w:t>
            </w:r>
            <w:r w:rsidR="00CB6498">
              <w:rPr>
                <w:color w:val="000000" w:themeColor="text1"/>
              </w:rPr>
              <w:t>387.84</w:t>
            </w:r>
          </w:p>
        </w:tc>
        <w:tc>
          <w:tcPr>
            <w:tcW w:w="1980" w:type="dxa"/>
          </w:tcPr>
          <w:p w:rsidR="007355CD" w:rsidRPr="00B17713" w:rsidP="003A4007" w14:paraId="20870AD4" w14:textId="0BE02A40">
            <w:pPr>
              <w:pStyle w:val="Table11Centered"/>
            </w:pPr>
            <w:r w:rsidRPr="001375BC">
              <w:rPr>
                <w:color w:val="000000" w:themeColor="text1"/>
              </w:rPr>
              <w:t>$</w:t>
            </w:r>
            <w:r w:rsidR="00CB6498">
              <w:rPr>
                <w:color w:val="000000" w:themeColor="text1"/>
              </w:rPr>
              <w:t>387.84</w:t>
            </w:r>
          </w:p>
        </w:tc>
      </w:tr>
      <w:tr w14:paraId="470510B7" w14:textId="0E0AC840" w:rsidTr="00166E89">
        <w:tblPrEx>
          <w:tblW w:w="9355" w:type="dxa"/>
          <w:tblLook w:val="04A0"/>
        </w:tblPrEx>
        <w:trPr>
          <w:cantSplit/>
          <w:trHeight w:val="520"/>
        </w:trPr>
        <w:tc>
          <w:tcPr>
            <w:tcW w:w="3415" w:type="dxa"/>
            <w:hideMark/>
          </w:tcPr>
          <w:p w:rsidR="007355CD" w:rsidRPr="00B17713" w:rsidP="003A4007" w14:paraId="477A3A32" w14:textId="32CD0DA8">
            <w:pPr>
              <w:pStyle w:val="Table11Basic"/>
            </w:pPr>
            <w:r w:rsidRPr="00B17713">
              <w:t>Cost to Review Measure Specifications (</w:t>
            </w:r>
            <w:r w:rsidR="00482D43">
              <w:t>at</w:t>
            </w:r>
            <w:r w:rsidRPr="00B17713">
              <w:t xml:space="preserve"> </w:t>
            </w:r>
            <w:r w:rsidRPr="00CB6498" w:rsidR="00CB6498">
              <w:t>Computer Systems Analyst’s Labor Rate</w:t>
            </w:r>
            <w:r w:rsidRPr="00B17713">
              <w:t xml:space="preserve"> of $</w:t>
            </w:r>
            <w:r w:rsidR="00CB6498">
              <w:t>106</w:t>
            </w:r>
            <w:r w:rsidR="007D530F">
              <w:t>.54</w:t>
            </w:r>
            <w:r w:rsidRPr="00B17713">
              <w:t xml:space="preserve">/hr </w:t>
            </w:r>
            <w:r w:rsidR="00A87331">
              <w:t>at</w:t>
            </w:r>
            <w:r w:rsidRPr="00B17713">
              <w:t xml:space="preserve"> 1 hr) (l)</w:t>
            </w:r>
          </w:p>
        </w:tc>
        <w:tc>
          <w:tcPr>
            <w:tcW w:w="1980" w:type="dxa"/>
          </w:tcPr>
          <w:p w:rsidR="007355CD" w:rsidRPr="00B17713" w:rsidP="003A4007" w14:paraId="37175C5E" w14:textId="2F1378CC">
            <w:pPr>
              <w:pStyle w:val="Table11Centered"/>
            </w:pPr>
            <w:r w:rsidRPr="001375BC">
              <w:rPr>
                <w:color w:val="000000" w:themeColor="text1"/>
              </w:rPr>
              <w:t>$</w:t>
            </w:r>
            <w:r w:rsidR="00CB6498">
              <w:rPr>
                <w:color w:val="000000" w:themeColor="text1"/>
              </w:rPr>
              <w:t>106.54</w:t>
            </w:r>
          </w:p>
        </w:tc>
        <w:tc>
          <w:tcPr>
            <w:tcW w:w="1980" w:type="dxa"/>
          </w:tcPr>
          <w:p w:rsidR="007355CD" w:rsidRPr="00B17713" w:rsidP="003A4007" w14:paraId="163F5193" w14:textId="190DF09F">
            <w:pPr>
              <w:pStyle w:val="Table11Centered"/>
            </w:pPr>
            <w:r w:rsidRPr="001375BC">
              <w:rPr>
                <w:color w:val="000000" w:themeColor="text1"/>
              </w:rPr>
              <w:t>$</w:t>
            </w:r>
            <w:r w:rsidR="00CB6498">
              <w:rPr>
                <w:color w:val="000000" w:themeColor="text1"/>
              </w:rPr>
              <w:t>106.54</w:t>
            </w:r>
          </w:p>
        </w:tc>
        <w:tc>
          <w:tcPr>
            <w:tcW w:w="1980" w:type="dxa"/>
          </w:tcPr>
          <w:p w:rsidR="007355CD" w:rsidRPr="00B17713" w:rsidP="003A4007" w14:paraId="16293C90" w14:textId="46D4B451">
            <w:pPr>
              <w:pStyle w:val="Table11Centered"/>
            </w:pPr>
            <w:r w:rsidRPr="001375BC">
              <w:rPr>
                <w:color w:val="000000" w:themeColor="text1"/>
              </w:rPr>
              <w:t>$</w:t>
            </w:r>
            <w:r w:rsidR="00CB6498">
              <w:rPr>
                <w:color w:val="000000" w:themeColor="text1"/>
              </w:rPr>
              <w:t>106.54</w:t>
            </w:r>
          </w:p>
        </w:tc>
      </w:tr>
      <w:tr w14:paraId="7C82E7FF" w14:textId="4AFF0BFF" w:rsidTr="00166E89">
        <w:tblPrEx>
          <w:tblW w:w="9355" w:type="dxa"/>
          <w:tblLook w:val="04A0"/>
        </w:tblPrEx>
        <w:trPr>
          <w:cantSplit/>
          <w:trHeight w:val="520"/>
        </w:trPr>
        <w:tc>
          <w:tcPr>
            <w:tcW w:w="3415" w:type="dxa"/>
            <w:hideMark/>
          </w:tcPr>
          <w:p w:rsidR="007355CD" w:rsidRPr="00B17713" w:rsidP="003A4007" w14:paraId="285F235C" w14:textId="7F91B706">
            <w:pPr>
              <w:pStyle w:val="Table11Basic"/>
            </w:pPr>
            <w:r w:rsidRPr="00B17713">
              <w:t>Cost to Review Measu</w:t>
            </w:r>
            <w:r>
              <w:t>r</w:t>
            </w:r>
            <w:r w:rsidRPr="00B17713">
              <w:t>e Specifications (</w:t>
            </w:r>
            <w:r w:rsidR="00482D43">
              <w:t>at</w:t>
            </w:r>
            <w:r w:rsidRPr="00B17713">
              <w:t xml:space="preserve"> LPN's </w:t>
            </w:r>
            <w:r w:rsidRPr="00CB6498" w:rsidR="00CB6498">
              <w:t>Labor Rate</w:t>
            </w:r>
            <w:r w:rsidRPr="00B17713">
              <w:t xml:space="preserve"> of $</w:t>
            </w:r>
            <w:r w:rsidR="00CB6498">
              <w:t>58.46</w:t>
            </w:r>
            <w:r w:rsidRPr="00B17713">
              <w:t xml:space="preserve">/hr </w:t>
            </w:r>
            <w:r w:rsidR="00A87331">
              <w:t>at</w:t>
            </w:r>
            <w:r w:rsidR="00E77F96">
              <w:t xml:space="preserve"> </w:t>
            </w:r>
            <w:r w:rsidRPr="00B17713">
              <w:t>1 hr) (m)</w:t>
            </w:r>
          </w:p>
        </w:tc>
        <w:tc>
          <w:tcPr>
            <w:tcW w:w="1980" w:type="dxa"/>
          </w:tcPr>
          <w:p w:rsidR="007355CD" w:rsidRPr="00B17713" w:rsidP="003A4007" w14:paraId="64DC42F5" w14:textId="4A233FE2">
            <w:pPr>
              <w:pStyle w:val="Table11Centered"/>
            </w:pPr>
            <w:r w:rsidRPr="001375BC">
              <w:rPr>
                <w:color w:val="000000" w:themeColor="text1"/>
              </w:rPr>
              <w:t>$</w:t>
            </w:r>
            <w:r w:rsidR="00CB6498">
              <w:rPr>
                <w:color w:val="000000" w:themeColor="text1"/>
              </w:rPr>
              <w:t>58.46</w:t>
            </w:r>
          </w:p>
        </w:tc>
        <w:tc>
          <w:tcPr>
            <w:tcW w:w="1980" w:type="dxa"/>
          </w:tcPr>
          <w:p w:rsidR="007355CD" w:rsidRPr="00B17713" w:rsidP="003A4007" w14:paraId="7101963B" w14:textId="4556A31C">
            <w:pPr>
              <w:pStyle w:val="Table11Centered"/>
            </w:pPr>
            <w:r w:rsidRPr="001375BC">
              <w:rPr>
                <w:color w:val="000000" w:themeColor="text1"/>
              </w:rPr>
              <w:t>$</w:t>
            </w:r>
            <w:r w:rsidR="00CB6498">
              <w:rPr>
                <w:color w:val="000000" w:themeColor="text1"/>
              </w:rPr>
              <w:t>58.46</w:t>
            </w:r>
          </w:p>
        </w:tc>
        <w:tc>
          <w:tcPr>
            <w:tcW w:w="1980" w:type="dxa"/>
          </w:tcPr>
          <w:p w:rsidR="007355CD" w:rsidRPr="00B17713" w:rsidP="003A4007" w14:paraId="64ED3E7B" w14:textId="27BC3321">
            <w:pPr>
              <w:pStyle w:val="Table11Centered"/>
            </w:pPr>
            <w:r w:rsidRPr="001375BC">
              <w:rPr>
                <w:color w:val="000000" w:themeColor="text1"/>
              </w:rPr>
              <w:t>$</w:t>
            </w:r>
            <w:r w:rsidR="00CB6498">
              <w:rPr>
                <w:color w:val="000000" w:themeColor="text1"/>
              </w:rPr>
              <w:t>58.46</w:t>
            </w:r>
          </w:p>
        </w:tc>
      </w:tr>
      <w:tr w14:paraId="459D0BA8" w14:textId="13ECFBA4" w:rsidTr="00166E89">
        <w:tblPrEx>
          <w:tblW w:w="9355" w:type="dxa"/>
          <w:tblLook w:val="04A0"/>
        </w:tblPrEx>
        <w:trPr>
          <w:cantSplit/>
          <w:trHeight w:val="520"/>
        </w:trPr>
        <w:tc>
          <w:tcPr>
            <w:tcW w:w="3415" w:type="dxa"/>
            <w:hideMark/>
          </w:tcPr>
          <w:p w:rsidR="007355CD" w:rsidRPr="00B17713" w:rsidP="003A4007" w14:paraId="450B1061" w14:textId="14276EF2">
            <w:pPr>
              <w:pStyle w:val="Table11Basic"/>
            </w:pPr>
            <w:r w:rsidRPr="00B17713">
              <w:t>Cost to Review Measure Specifications (</w:t>
            </w:r>
            <w:r w:rsidR="00482D43">
              <w:t>at</w:t>
            </w:r>
            <w:r w:rsidRPr="00B17713">
              <w:t xml:space="preserve"> </w:t>
            </w:r>
            <w:r w:rsidRPr="00CB6498" w:rsidR="00CB6498">
              <w:t>Billing Clerk’s Labor Rate</w:t>
            </w:r>
            <w:r w:rsidRPr="00B17713">
              <w:t xml:space="preserve"> of $</w:t>
            </w:r>
            <w:r w:rsidR="00CB6498">
              <w:t>45.32</w:t>
            </w:r>
            <w:r w:rsidRPr="00B17713">
              <w:t xml:space="preserve">/hr </w:t>
            </w:r>
            <w:r w:rsidR="00A87331">
              <w:t>at</w:t>
            </w:r>
            <w:r w:rsidRPr="00B17713">
              <w:t xml:space="preserve"> 1 hr) (n)</w:t>
            </w:r>
          </w:p>
        </w:tc>
        <w:tc>
          <w:tcPr>
            <w:tcW w:w="1980" w:type="dxa"/>
          </w:tcPr>
          <w:p w:rsidR="007355CD" w:rsidRPr="00B17713" w:rsidP="003A4007" w14:paraId="5480450F" w14:textId="7CADBECA">
            <w:pPr>
              <w:pStyle w:val="Table11Centered"/>
            </w:pPr>
            <w:r w:rsidRPr="001375BC">
              <w:rPr>
                <w:color w:val="000000" w:themeColor="text1"/>
              </w:rPr>
              <w:t>$</w:t>
            </w:r>
            <w:r w:rsidR="00B32AC3">
              <w:rPr>
                <w:color w:val="000000" w:themeColor="text1"/>
              </w:rPr>
              <w:t>45.32</w:t>
            </w:r>
          </w:p>
        </w:tc>
        <w:tc>
          <w:tcPr>
            <w:tcW w:w="1980" w:type="dxa"/>
          </w:tcPr>
          <w:p w:rsidR="007355CD" w:rsidRPr="00B17713" w:rsidP="003A4007" w14:paraId="57E638E6" w14:textId="307D3482">
            <w:pPr>
              <w:pStyle w:val="Table11Centered"/>
            </w:pPr>
            <w:r w:rsidRPr="001375BC">
              <w:rPr>
                <w:color w:val="000000" w:themeColor="text1"/>
              </w:rPr>
              <w:t>$</w:t>
            </w:r>
            <w:r w:rsidR="00B32AC3">
              <w:rPr>
                <w:color w:val="000000" w:themeColor="text1"/>
              </w:rPr>
              <w:t>45.32</w:t>
            </w:r>
          </w:p>
        </w:tc>
        <w:tc>
          <w:tcPr>
            <w:tcW w:w="1980" w:type="dxa"/>
          </w:tcPr>
          <w:p w:rsidR="007355CD" w:rsidRPr="00B17713" w:rsidP="003A4007" w14:paraId="3621B156" w14:textId="4E543312">
            <w:pPr>
              <w:pStyle w:val="Table11Centered"/>
            </w:pPr>
            <w:r w:rsidRPr="001375BC">
              <w:rPr>
                <w:color w:val="000000" w:themeColor="text1"/>
              </w:rPr>
              <w:t>$</w:t>
            </w:r>
            <w:r w:rsidR="00B32AC3">
              <w:rPr>
                <w:color w:val="000000" w:themeColor="text1"/>
              </w:rPr>
              <w:t>45.32</w:t>
            </w:r>
          </w:p>
        </w:tc>
      </w:tr>
      <w:tr w14:paraId="42CF337B" w14:textId="68E9BF5F" w:rsidTr="00166E89">
        <w:tblPrEx>
          <w:tblW w:w="9355" w:type="dxa"/>
          <w:tblLook w:val="04A0"/>
        </w:tblPrEx>
        <w:trPr>
          <w:cantSplit/>
          <w:trHeight w:val="520"/>
        </w:trPr>
        <w:tc>
          <w:tcPr>
            <w:tcW w:w="3415" w:type="dxa"/>
            <w:hideMark/>
          </w:tcPr>
          <w:p w:rsidR="007355CD" w:rsidRPr="00B17713" w:rsidP="003A4007" w14:paraId="34D4F696" w14:textId="26696F0F">
            <w:pPr>
              <w:pStyle w:val="Table11Basic"/>
            </w:pPr>
            <w:r w:rsidRPr="00B17713">
              <w:t>Cost to Review Measure Specifications (</w:t>
            </w:r>
            <w:r w:rsidR="00482D43">
              <w:t>at</w:t>
            </w:r>
            <w:r w:rsidRPr="00B17713">
              <w:t xml:space="preserve"> </w:t>
            </w:r>
            <w:r w:rsidRPr="00CB6498" w:rsidR="00CB6498">
              <w:t>Physician’s Labor Rate</w:t>
            </w:r>
            <w:r w:rsidRPr="00B17713">
              <w:t xml:space="preserve"> of $</w:t>
            </w:r>
            <w:r w:rsidR="00B32AC3">
              <w:t>291.64</w:t>
            </w:r>
            <w:r w:rsidRPr="00B17713">
              <w:t xml:space="preserve">/hr </w:t>
            </w:r>
            <w:r w:rsidR="00482D43">
              <w:t>at</w:t>
            </w:r>
            <w:r w:rsidRPr="00B17713">
              <w:t xml:space="preserve"> 1 hr) (o)</w:t>
            </w:r>
          </w:p>
        </w:tc>
        <w:tc>
          <w:tcPr>
            <w:tcW w:w="1980" w:type="dxa"/>
          </w:tcPr>
          <w:p w:rsidR="007355CD" w:rsidRPr="00B17713" w:rsidP="003A4007" w14:paraId="6904A810" w14:textId="7BC63E6B">
            <w:pPr>
              <w:pStyle w:val="Table11Centered"/>
            </w:pPr>
            <w:r w:rsidRPr="001375BC">
              <w:rPr>
                <w:color w:val="000000" w:themeColor="text1"/>
              </w:rPr>
              <w:t>$</w:t>
            </w:r>
            <w:r w:rsidR="00B32AC3">
              <w:rPr>
                <w:color w:val="000000" w:themeColor="text1"/>
              </w:rPr>
              <w:t>291.64</w:t>
            </w:r>
          </w:p>
        </w:tc>
        <w:tc>
          <w:tcPr>
            <w:tcW w:w="1980" w:type="dxa"/>
          </w:tcPr>
          <w:p w:rsidR="007355CD" w:rsidRPr="00B17713" w:rsidP="003A4007" w14:paraId="72B06A44" w14:textId="0D568092">
            <w:pPr>
              <w:pStyle w:val="Table11Centered"/>
            </w:pPr>
            <w:r w:rsidRPr="001375BC">
              <w:rPr>
                <w:color w:val="000000" w:themeColor="text1"/>
              </w:rPr>
              <w:t>$</w:t>
            </w:r>
            <w:r w:rsidR="00B32AC3">
              <w:rPr>
                <w:color w:val="000000" w:themeColor="text1"/>
              </w:rPr>
              <w:t>291.64</w:t>
            </w:r>
          </w:p>
        </w:tc>
        <w:tc>
          <w:tcPr>
            <w:tcW w:w="1980" w:type="dxa"/>
          </w:tcPr>
          <w:p w:rsidR="007355CD" w:rsidRPr="00B17713" w:rsidP="003A4007" w14:paraId="74E9A797" w14:textId="6F1591FC">
            <w:pPr>
              <w:pStyle w:val="Table11Centered"/>
            </w:pPr>
            <w:r w:rsidRPr="001375BC">
              <w:rPr>
                <w:color w:val="000000" w:themeColor="text1"/>
              </w:rPr>
              <w:t>$</w:t>
            </w:r>
            <w:r w:rsidR="00B32AC3">
              <w:rPr>
                <w:color w:val="000000" w:themeColor="text1"/>
              </w:rPr>
              <w:t>291.64</w:t>
            </w:r>
          </w:p>
        </w:tc>
      </w:tr>
      <w:tr w14:paraId="37ED80F3" w14:textId="1E8BB12A" w:rsidTr="00166E89">
        <w:tblPrEx>
          <w:tblW w:w="9355" w:type="dxa"/>
          <w:tblLook w:val="04A0"/>
        </w:tblPrEx>
        <w:trPr>
          <w:cantSplit/>
          <w:trHeight w:val="525"/>
        </w:trPr>
        <w:tc>
          <w:tcPr>
            <w:tcW w:w="3415" w:type="dxa"/>
            <w:hideMark/>
          </w:tcPr>
          <w:p w:rsidR="007355CD" w:rsidRPr="00B17713" w:rsidP="003A4007" w14:paraId="21F6D79E" w14:textId="6F2EDBCA">
            <w:pPr>
              <w:pStyle w:val="Table11Basic"/>
            </w:pPr>
            <w:r w:rsidRPr="00B17713">
              <w:t>Total Annual Cost Per Clinician (p) = (j)+(k)+(l)+(m)+(n)+(o)</w:t>
            </w:r>
          </w:p>
        </w:tc>
        <w:tc>
          <w:tcPr>
            <w:tcW w:w="1980" w:type="dxa"/>
          </w:tcPr>
          <w:p w:rsidR="007355CD" w:rsidRPr="00B17713" w:rsidP="003A4007" w14:paraId="15BA8B63" w14:textId="549FF480">
            <w:pPr>
              <w:pStyle w:val="Table11Centered"/>
            </w:pPr>
            <w:r w:rsidRPr="001375BC">
              <w:rPr>
                <w:color w:val="000000" w:themeColor="text1"/>
              </w:rPr>
              <w:t>$</w:t>
            </w:r>
            <w:r w:rsidR="00B32AC3">
              <w:rPr>
                <w:color w:val="000000" w:themeColor="text1"/>
              </w:rPr>
              <w:t>905.78</w:t>
            </w:r>
          </w:p>
        </w:tc>
        <w:tc>
          <w:tcPr>
            <w:tcW w:w="1980" w:type="dxa"/>
          </w:tcPr>
          <w:p w:rsidR="007355CD" w:rsidRPr="00B17713" w:rsidP="003A4007" w14:paraId="30821747" w14:textId="1773C18C">
            <w:pPr>
              <w:pStyle w:val="Table11Centered"/>
            </w:pPr>
            <w:r w:rsidRPr="001375BC">
              <w:rPr>
                <w:color w:val="000000" w:themeColor="text1"/>
              </w:rPr>
              <w:t>$</w:t>
            </w:r>
            <w:r w:rsidR="00B32AC3">
              <w:rPr>
                <w:color w:val="000000" w:themeColor="text1"/>
              </w:rPr>
              <w:t>1,001.67</w:t>
            </w:r>
          </w:p>
        </w:tc>
        <w:tc>
          <w:tcPr>
            <w:tcW w:w="1980" w:type="dxa"/>
          </w:tcPr>
          <w:p w:rsidR="007355CD" w:rsidRPr="00B17713" w:rsidP="003A4007" w14:paraId="09C3CF1F" w14:textId="55A3273D">
            <w:pPr>
              <w:pStyle w:val="Table11Centered"/>
            </w:pPr>
            <w:r w:rsidRPr="001375BC">
              <w:rPr>
                <w:color w:val="000000" w:themeColor="text1"/>
              </w:rPr>
              <w:t>$</w:t>
            </w:r>
            <w:r w:rsidR="00B32AC3">
              <w:rPr>
                <w:color w:val="000000" w:themeColor="text1"/>
              </w:rPr>
              <w:t>1,656.89</w:t>
            </w:r>
          </w:p>
        </w:tc>
      </w:tr>
      <w:tr w14:paraId="54D57C73" w14:textId="32BCB82F" w:rsidTr="00166E89">
        <w:tblPrEx>
          <w:tblW w:w="9355" w:type="dxa"/>
          <w:tblLook w:val="04A0"/>
        </w:tblPrEx>
        <w:trPr>
          <w:cantSplit/>
          <w:trHeight w:val="305"/>
        </w:trPr>
        <w:tc>
          <w:tcPr>
            <w:tcW w:w="3415" w:type="dxa"/>
            <w:shd w:val="clear" w:color="auto" w:fill="E7E6E6" w:themeFill="background2"/>
            <w:hideMark/>
          </w:tcPr>
          <w:p w:rsidR="00A01750" w:rsidRPr="00732012" w:rsidP="003A4007" w14:paraId="2D78B5F5" w14:textId="35BDD463">
            <w:pPr>
              <w:pStyle w:val="Table11Basic"/>
              <w:rPr>
                <w:b/>
                <w:bCs/>
              </w:rPr>
            </w:pPr>
            <w:r w:rsidRPr="00732012">
              <w:rPr>
                <w:b/>
                <w:bCs/>
              </w:rPr>
              <w:t>Total Annual Cost (q) = (a)</w:t>
            </w:r>
            <w:r>
              <w:t xml:space="preserve"> </w:t>
            </w:r>
            <w:r w:rsidRPr="002810D2">
              <w:t>[</w:t>
            </w:r>
            <w:r w:rsidRPr="00F81FDB" w:rsidR="00F81FDB">
              <w:rPr>
                <w:b/>
                <w:bCs/>
              </w:rPr>
              <w:t>×</w:t>
            </w:r>
            <w:r w:rsidRPr="002810D2">
              <w:rPr>
                <w:b/>
                <w:bCs/>
              </w:rPr>
              <w:t>]</w:t>
            </w:r>
            <w:r w:rsidRPr="00533172">
              <w:rPr>
                <w:b/>
                <w:bCs/>
              </w:rPr>
              <w:t xml:space="preserve"> </w:t>
            </w:r>
            <w:r w:rsidRPr="00732012">
              <w:rPr>
                <w:b/>
                <w:bCs/>
              </w:rPr>
              <w:t>(p)</w:t>
            </w:r>
          </w:p>
        </w:tc>
        <w:tc>
          <w:tcPr>
            <w:tcW w:w="1980" w:type="dxa"/>
            <w:shd w:val="clear" w:color="auto" w:fill="E7E6E6" w:themeFill="background2"/>
          </w:tcPr>
          <w:p w:rsidR="00A01750" w:rsidRPr="00B17713" w:rsidP="003A4007" w14:paraId="0AE93D04" w14:textId="49305C38">
            <w:pPr>
              <w:pStyle w:val="Table11Centered"/>
              <w:rPr>
                <w:b/>
                <w:bCs/>
              </w:rPr>
            </w:pPr>
            <w:r w:rsidRPr="001375BC">
              <w:rPr>
                <w:color w:val="000000" w:themeColor="text1"/>
              </w:rPr>
              <w:t>$</w:t>
            </w:r>
            <w:r w:rsidRPr="004F5699">
              <w:rPr>
                <w:b/>
                <w:color w:val="000000"/>
              </w:rPr>
              <w:t>1</w:t>
            </w:r>
            <w:r w:rsidRPr="004F5699" w:rsidR="00EB68C2">
              <w:rPr>
                <w:b/>
                <w:color w:val="000000"/>
              </w:rPr>
              <w:t>1,</w:t>
            </w:r>
            <w:r w:rsidRPr="004F5699" w:rsidR="00B32AC3">
              <w:rPr>
                <w:b/>
                <w:color w:val="000000"/>
              </w:rPr>
              <w:t>047,</w:t>
            </w:r>
            <w:r w:rsidRPr="004F5699" w:rsidR="00B32AC3">
              <w:rPr>
                <w:b/>
                <w:bCs/>
                <w:color w:val="000000"/>
              </w:rPr>
              <w:t>799</w:t>
            </w:r>
          </w:p>
        </w:tc>
        <w:tc>
          <w:tcPr>
            <w:tcW w:w="1980" w:type="dxa"/>
            <w:shd w:val="clear" w:color="auto" w:fill="E7E6E6" w:themeFill="background2"/>
          </w:tcPr>
          <w:p w:rsidR="00A01750" w:rsidRPr="00B17713" w:rsidP="003A4007" w14:paraId="30D68118" w14:textId="69FD3D90">
            <w:pPr>
              <w:pStyle w:val="Table11Centered"/>
              <w:rPr>
                <w:b/>
                <w:bCs/>
              </w:rPr>
            </w:pPr>
            <w:r w:rsidRPr="00CB6498">
              <w:rPr>
                <w:color w:val="000000" w:themeColor="text1"/>
              </w:rPr>
              <w:t>$</w:t>
            </w:r>
            <w:r w:rsidRPr="004F5699" w:rsidR="00B32AC3">
              <w:rPr>
                <w:b/>
                <w:color w:val="000000"/>
              </w:rPr>
              <w:t>12,217,369</w:t>
            </w:r>
          </w:p>
        </w:tc>
        <w:tc>
          <w:tcPr>
            <w:tcW w:w="1980" w:type="dxa"/>
            <w:shd w:val="clear" w:color="auto" w:fill="E7E6E6" w:themeFill="background2"/>
          </w:tcPr>
          <w:p w:rsidR="00A01750" w:rsidRPr="00B17713" w:rsidP="003A4007" w14:paraId="302349DD" w14:textId="4797D8DE">
            <w:pPr>
              <w:pStyle w:val="Table11Centered"/>
              <w:rPr>
                <w:b/>
                <w:bCs/>
              </w:rPr>
            </w:pPr>
            <w:r w:rsidRPr="001375BC">
              <w:rPr>
                <w:color w:val="000000" w:themeColor="text1"/>
              </w:rPr>
              <w:t>$</w:t>
            </w:r>
            <w:r w:rsidRPr="004F5699" w:rsidR="00B32AC3">
              <w:rPr>
                <w:b/>
                <w:color w:val="000000"/>
              </w:rPr>
              <w:t>20,209,087</w:t>
            </w:r>
          </w:p>
        </w:tc>
      </w:tr>
    </w:tbl>
    <w:p w:rsidR="00C351ED" w:rsidRPr="001E07DC" w:rsidP="00E03843" w14:paraId="66F748FE" w14:textId="6CB3D48D">
      <w:pPr>
        <w:pStyle w:val="Heading5"/>
        <w:rPr>
          <w:iCs/>
        </w:rPr>
      </w:pPr>
      <w:r>
        <w:t>v.</w:t>
      </w:r>
      <w:r>
        <w:tab/>
      </w:r>
      <w:r w:rsidRPr="001E07DC">
        <w:t>Burden for Quality Data Submission by Individuals</w:t>
      </w:r>
      <w:r w:rsidRPr="001E07DC" w:rsidR="001964ED">
        <w:t xml:space="preserve"> and</w:t>
      </w:r>
      <w:r w:rsidRPr="001E07DC">
        <w:t xml:space="preserve"> Groups: </w:t>
      </w:r>
      <w:r w:rsidRPr="001E07DC" w:rsidR="00037FF8">
        <w:t>MIPS CQM</w:t>
      </w:r>
      <w:r w:rsidRPr="001E07DC">
        <w:t xml:space="preserve"> and QCDR Collection Types</w:t>
      </w:r>
    </w:p>
    <w:p w:rsidR="00423A87" w:rsidRPr="00423A87" w:rsidP="0067016B" w14:paraId="51A7F991" w14:textId="41773FB7">
      <w:pPr>
        <w:pStyle w:val="BodyText-PostHead"/>
        <w:spacing w:before="240"/>
        <w:rPr>
          <w:rFonts w:eastAsia="Calibri"/>
        </w:rPr>
      </w:pPr>
      <w:r>
        <w:rPr>
          <w:shd w:val="clear" w:color="auto" w:fill="FFFFFF"/>
        </w:rPr>
        <w:t>Based on updated data available from the CY 2022 performance period/2024 MIPS payment year and updated MVP reporting assumptions, for the CY 2025 performance period/2027 MIPS payment year</w:t>
      </w:r>
      <w:r w:rsidRPr="00F13BBE" w:rsidR="00F13BBE">
        <w:rPr>
          <w:rFonts w:eastAsia="Calibri"/>
        </w:rPr>
        <w:t xml:space="preserve">, we </w:t>
      </w:r>
      <w:r w:rsidR="00855649">
        <w:rPr>
          <w:rFonts w:eastAsia="Calibri"/>
        </w:rPr>
        <w:t>estimat</w:t>
      </w:r>
      <w:r w:rsidRPr="00F13BBE" w:rsidR="00F13BBE">
        <w:rPr>
          <w:rFonts w:eastAsia="Calibri"/>
        </w:rPr>
        <w:t xml:space="preserve">e that </w:t>
      </w:r>
      <w:r w:rsidR="00521E87">
        <w:rPr>
          <w:rFonts w:eastAsia="Calibri"/>
        </w:rPr>
        <w:t>17,008</w:t>
      </w:r>
      <w:r w:rsidR="005E6830">
        <w:rPr>
          <w:rFonts w:eastAsia="Calibri"/>
        </w:rPr>
        <w:t xml:space="preserve"> clinicians</w:t>
      </w:r>
      <w:r w:rsidR="001B0A87">
        <w:rPr>
          <w:rFonts w:eastAsia="Calibri"/>
        </w:rPr>
        <w:t xml:space="preserve"> (1</w:t>
      </w:r>
      <w:r w:rsidR="00855649">
        <w:rPr>
          <w:rFonts w:eastAsia="Calibri"/>
        </w:rPr>
        <w:t>0,</w:t>
      </w:r>
      <w:r w:rsidR="00521E87">
        <w:rPr>
          <w:rFonts w:eastAsia="Calibri"/>
        </w:rPr>
        <w:t>850</w:t>
      </w:r>
      <w:r w:rsidRPr="00F13BBE" w:rsidR="00F13BBE">
        <w:rPr>
          <w:rFonts w:eastAsia="Calibri"/>
        </w:rPr>
        <w:t xml:space="preserve"> </w:t>
      </w:r>
      <w:r w:rsidR="00F51E87">
        <w:rPr>
          <w:rFonts w:eastAsia="Calibri"/>
        </w:rPr>
        <w:t xml:space="preserve">individual </w:t>
      </w:r>
      <w:r w:rsidRPr="00F13BBE" w:rsidR="00F13BBE">
        <w:rPr>
          <w:rFonts w:eastAsia="Calibri"/>
        </w:rPr>
        <w:t xml:space="preserve">clinicians and </w:t>
      </w:r>
      <w:r w:rsidR="00CD1A75">
        <w:rPr>
          <w:rFonts w:eastAsia="Calibri"/>
        </w:rPr>
        <w:t>6,158</w:t>
      </w:r>
      <w:r w:rsidRPr="00F13BBE" w:rsidR="00F13BBE">
        <w:rPr>
          <w:rFonts w:eastAsia="Calibri"/>
        </w:rPr>
        <w:t xml:space="preserve"> groups and virtual groups</w:t>
      </w:r>
      <w:r w:rsidR="001B0A87">
        <w:rPr>
          <w:rFonts w:eastAsia="Calibri"/>
        </w:rPr>
        <w:t>)</w:t>
      </w:r>
      <w:r w:rsidR="00F51E87">
        <w:rPr>
          <w:rFonts w:eastAsia="Calibri"/>
        </w:rPr>
        <w:t xml:space="preserve"> will submit quality data for the MIPS CQM and QCDR collection types</w:t>
      </w:r>
      <w:r w:rsidR="00880913">
        <w:rPr>
          <w:rFonts w:eastAsia="Calibri"/>
        </w:rPr>
        <w:t>.</w:t>
      </w:r>
      <w:r w:rsidRPr="00F13BBE" w:rsidR="00F13BBE">
        <w:rPr>
          <w:rFonts w:eastAsia="Calibri"/>
        </w:rPr>
        <w:t xml:space="preserve"> Given that the number of measures required is the same for clinicians and groups, we expect the burden to be the same for each respondent collecting data via MIPS CQM or QCDR</w:t>
      </w:r>
      <w:r w:rsidR="00AB3709">
        <w:rPr>
          <w:rFonts w:eastAsia="Calibri"/>
        </w:rPr>
        <w:t xml:space="preserve"> collection type</w:t>
      </w:r>
      <w:r w:rsidRPr="00F13BBE" w:rsidR="00F13BBE">
        <w:rPr>
          <w:rFonts w:eastAsia="Calibri"/>
        </w:rPr>
        <w:t>, whether the clinician is participating in MIPS as an individual or group</w:t>
      </w:r>
      <w:r w:rsidR="00B17713">
        <w:rPr>
          <w:rFonts w:eastAsia="Calibri"/>
        </w:rPr>
        <w:t>.</w:t>
      </w:r>
    </w:p>
    <w:p w:rsidR="00350382" w:rsidP="003A4007" w14:paraId="4CE15E62" w14:textId="0B66C4E2">
      <w:pPr>
        <w:pStyle w:val="BodyText"/>
        <w:rPr>
          <w:rFonts w:eastAsia="Calibri"/>
        </w:rPr>
      </w:pPr>
      <w:r w:rsidRPr="00B17713">
        <w:rPr>
          <w:rFonts w:eastAsia="Calibri"/>
        </w:rPr>
        <w:t>Under the MIPS CQM and QCDR collection types, the individual clinician or group may either submit the quality measures data directly to us, log in and upload a file, or utilize a third</w:t>
      </w:r>
      <w:r w:rsidR="00A01A93">
        <w:rPr>
          <w:rFonts w:eastAsia="Calibri"/>
        </w:rPr>
        <w:t xml:space="preserve"> </w:t>
      </w:r>
      <w:r w:rsidRPr="00B17713">
        <w:rPr>
          <w:rFonts w:eastAsia="Calibri"/>
        </w:rPr>
        <w:t>party intermediary to submit the data to us on the clinician’s or group’s behalf. 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quality measure specifications and, in some cases, specialty measure sets and QCDR measures. Therefore, we believe that the burden for an individual clinician or group to review measure specifications and submit quality data total</w:t>
      </w:r>
      <w:r w:rsidR="002136EE">
        <w:rPr>
          <w:rFonts w:eastAsia="Calibri"/>
        </w:rPr>
        <w:t>s</w:t>
      </w:r>
      <w:r w:rsidRPr="00B17713">
        <w:rPr>
          <w:rFonts w:eastAsia="Calibri"/>
        </w:rPr>
        <w:t xml:space="preserve"> 9</w:t>
      </w:r>
      <w:r w:rsidR="001F57B2">
        <w:rPr>
          <w:rFonts w:eastAsia="Calibri"/>
        </w:rPr>
        <w:t xml:space="preserve"> </w:t>
      </w:r>
      <w:r w:rsidRPr="00B17713">
        <w:rPr>
          <w:rFonts w:eastAsia="Calibri"/>
        </w:rPr>
        <w:t xml:space="preserve">hours. This consists of 3 hours at </w:t>
      </w:r>
      <w:r w:rsidR="007D530F">
        <w:rPr>
          <w:rFonts w:eastAsia="Calibri"/>
        </w:rPr>
        <w:t>$106.54</w:t>
      </w:r>
      <w:r w:rsidRPr="00B17713">
        <w:rPr>
          <w:rFonts w:eastAsia="Calibri"/>
        </w:rPr>
        <w:t>/hr for a computer systems analyst (or their equivalent) to submit quality data along with 2 hours at $</w:t>
      </w:r>
      <w:r w:rsidR="00C02258">
        <w:rPr>
          <w:rFonts w:eastAsia="Calibri"/>
        </w:rPr>
        <w:t>129.28</w:t>
      </w:r>
      <w:r w:rsidRPr="00B17713">
        <w:rPr>
          <w:rFonts w:eastAsia="Calibri"/>
        </w:rPr>
        <w:t xml:space="preserve">/hr for a medical and health services manager, 1 hour at </w:t>
      </w:r>
      <w:r w:rsidR="007D530F">
        <w:rPr>
          <w:rFonts w:eastAsia="Calibri"/>
        </w:rPr>
        <w:t>$106.54</w:t>
      </w:r>
      <w:r w:rsidRPr="00B17713">
        <w:rPr>
          <w:rFonts w:eastAsia="Calibri"/>
        </w:rPr>
        <w:t>/hr for a computer systems analyst, 1 hour at $</w:t>
      </w:r>
      <w:r w:rsidR="00E43D34">
        <w:rPr>
          <w:rFonts w:eastAsia="Calibri"/>
        </w:rPr>
        <w:t>5</w:t>
      </w:r>
      <w:r w:rsidR="00DA419A">
        <w:rPr>
          <w:rFonts w:eastAsia="Calibri"/>
        </w:rPr>
        <w:t>8.46</w:t>
      </w:r>
      <w:r w:rsidRPr="00B17713">
        <w:rPr>
          <w:rFonts w:eastAsia="Calibri"/>
        </w:rPr>
        <w:t>/hr for a LPN, 1 hour at $</w:t>
      </w:r>
      <w:r w:rsidR="00E74637">
        <w:rPr>
          <w:rFonts w:eastAsia="Calibri"/>
        </w:rPr>
        <w:t>4</w:t>
      </w:r>
      <w:r w:rsidR="00DA419A">
        <w:rPr>
          <w:rFonts w:eastAsia="Calibri"/>
        </w:rPr>
        <w:t>5.32</w:t>
      </w:r>
      <w:r w:rsidRPr="00B17713">
        <w:rPr>
          <w:rFonts w:eastAsia="Calibri"/>
        </w:rPr>
        <w:t>/hr for a billing clerk, and 1 hour at $2</w:t>
      </w:r>
      <w:r w:rsidR="00DA419A">
        <w:rPr>
          <w:rFonts w:eastAsia="Calibri"/>
        </w:rPr>
        <w:t>91.64</w:t>
      </w:r>
      <w:r w:rsidRPr="00B17713">
        <w:rPr>
          <w:rFonts w:eastAsia="Calibri"/>
        </w:rPr>
        <w:t xml:space="preserve">/hr for a physician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at </w:t>
      </w:r>
      <w:r w:rsidR="007D530F">
        <w:rPr>
          <w:rFonts w:eastAsia="Calibri"/>
        </w:rPr>
        <w:t>$106.54</w:t>
      </w:r>
      <w:r w:rsidRPr="00B17713">
        <w:rPr>
          <w:rFonts w:eastAsia="Calibri"/>
        </w:rPr>
        <w:t>/hr for a computer systems analyst at a cost of $</w:t>
      </w:r>
      <w:r w:rsidR="00EC568D">
        <w:rPr>
          <w:rFonts w:eastAsia="Calibri"/>
        </w:rPr>
        <w:t>8</w:t>
      </w:r>
      <w:r w:rsidRPr="00B17713">
        <w:rPr>
          <w:rFonts w:eastAsia="Calibri"/>
        </w:rPr>
        <w:t>.</w:t>
      </w:r>
      <w:r w:rsidR="001D3E42">
        <w:rPr>
          <w:rFonts w:eastAsia="Calibri"/>
        </w:rPr>
        <w:t>84</w:t>
      </w:r>
      <w:r w:rsidRPr="00B17713">
        <w:rPr>
          <w:rFonts w:eastAsia="Calibri"/>
        </w:rPr>
        <w:t xml:space="preserve"> (0.083 hr </w:t>
      </w:r>
      <w:r w:rsidR="00F81FDB">
        <w:t>×</w:t>
      </w:r>
      <w:r w:rsidRPr="00B17713">
        <w:rPr>
          <w:rFonts w:eastAsia="Calibri"/>
        </w:rPr>
        <w:t xml:space="preserve"> </w:t>
      </w:r>
      <w:r w:rsidR="007D530F">
        <w:rPr>
          <w:rFonts w:eastAsia="Calibri"/>
        </w:rPr>
        <w:t>$106.54</w:t>
      </w:r>
      <w:r w:rsidRPr="00B17713">
        <w:rPr>
          <w:rFonts w:eastAsia="Calibri"/>
        </w:rPr>
        <w:t xml:space="preserve">/hr). </w:t>
      </w:r>
      <w:r w:rsidRPr="00913B61">
        <w:rPr>
          <w:rFonts w:eastAsia="Calibri"/>
        </w:rPr>
        <w:t>Overall</w:t>
      </w:r>
      <w:r w:rsidRPr="00913B61" w:rsidR="00E36F4F">
        <w:rPr>
          <w:rFonts w:eastAsia="Calibri"/>
        </w:rPr>
        <w:t>,</w:t>
      </w:r>
      <w:r w:rsidRPr="00913B61">
        <w:rPr>
          <w:rFonts w:eastAsia="Calibri"/>
        </w:rPr>
        <w:t xml:space="preserve"> we estimate</w:t>
      </w:r>
      <w:r w:rsidRPr="00913B61" w:rsidR="005F4145">
        <w:rPr>
          <w:rFonts w:eastAsia="Calibri"/>
        </w:rPr>
        <w:t xml:space="preserve"> </w:t>
      </w:r>
      <w:r w:rsidRPr="00913B61" w:rsidR="005F4145">
        <w:rPr>
          <w:color w:val="000000"/>
          <w:shd w:val="clear" w:color="auto" w:fill="FFFFFF"/>
        </w:rPr>
        <w:t xml:space="preserve">9.083 </w:t>
      </w:r>
      <w:r w:rsidR="00A939C5">
        <w:rPr>
          <w:color w:val="000000"/>
          <w:shd w:val="clear" w:color="auto" w:fill="FFFFFF"/>
        </w:rPr>
        <w:t>hr</w:t>
      </w:r>
      <w:r w:rsidRPr="00913B61" w:rsidR="005F4145">
        <w:rPr>
          <w:color w:val="000000"/>
          <w:shd w:val="clear" w:color="auto" w:fill="FFFFFF"/>
        </w:rPr>
        <w:t>/response</w:t>
      </w:r>
      <w:r w:rsidR="005F4145">
        <w:rPr>
          <w:color w:val="000000"/>
          <w:shd w:val="clear" w:color="auto" w:fill="FFFFFF"/>
        </w:rPr>
        <w:t xml:space="preserve"> (3 </w:t>
      </w:r>
      <w:r w:rsidR="00A939C5">
        <w:rPr>
          <w:color w:val="000000"/>
          <w:shd w:val="clear" w:color="auto" w:fill="FFFFFF"/>
        </w:rPr>
        <w:t>hr</w:t>
      </w:r>
      <w:r w:rsidR="005F4145">
        <w:rPr>
          <w:color w:val="000000"/>
          <w:shd w:val="clear" w:color="auto" w:fill="FFFFFF"/>
        </w:rPr>
        <w:t xml:space="preserve"> + 2 </w:t>
      </w:r>
      <w:r w:rsidR="00A939C5">
        <w:rPr>
          <w:color w:val="000000"/>
          <w:shd w:val="clear" w:color="auto" w:fill="FFFFFF"/>
        </w:rPr>
        <w:t>hr</w:t>
      </w:r>
      <w:r w:rsidR="005F4145">
        <w:rPr>
          <w:color w:val="000000"/>
          <w:shd w:val="clear" w:color="auto" w:fill="FFFFFF"/>
        </w:rPr>
        <w:t xml:space="preserve"> + 1 hr + 1 hr + 1 hr + 1 hr + 0.083 </w:t>
      </w:r>
      <w:r w:rsidR="00A939C5">
        <w:rPr>
          <w:color w:val="000000"/>
          <w:shd w:val="clear" w:color="auto" w:fill="FFFFFF"/>
        </w:rPr>
        <w:t>hr</w:t>
      </w:r>
      <w:r w:rsidR="005F4145">
        <w:rPr>
          <w:color w:val="000000"/>
          <w:shd w:val="clear" w:color="auto" w:fill="FFFFFF"/>
        </w:rPr>
        <w:t>) at</w:t>
      </w:r>
      <w:r w:rsidRPr="00B17713">
        <w:rPr>
          <w:rFonts w:eastAsia="Calibri"/>
        </w:rPr>
        <w:t xml:space="preserve"> a cost of $</w:t>
      </w:r>
      <w:r w:rsidR="00F93236">
        <w:rPr>
          <w:rFonts w:eastAsia="Calibri"/>
        </w:rPr>
        <w:t>1,0</w:t>
      </w:r>
      <w:r w:rsidR="001D3E42">
        <w:rPr>
          <w:rFonts w:eastAsia="Calibri"/>
        </w:rPr>
        <w:t>88.98</w:t>
      </w:r>
      <w:r w:rsidRPr="00B17713">
        <w:rPr>
          <w:rFonts w:eastAsia="Calibri"/>
        </w:rPr>
        <w:t xml:space="preserve">/response [(3 hr </w:t>
      </w:r>
      <w:r w:rsidR="00F81FDB">
        <w:t>×</w:t>
      </w:r>
      <w:r w:rsidRPr="00B17713">
        <w:rPr>
          <w:rFonts w:eastAsia="Calibri"/>
        </w:rPr>
        <w:t xml:space="preserve"> </w:t>
      </w:r>
      <w:r w:rsidR="007D530F">
        <w:rPr>
          <w:rFonts w:eastAsia="Calibri"/>
        </w:rPr>
        <w:t>$106.54</w:t>
      </w:r>
      <w:r w:rsidRPr="00B17713">
        <w:rPr>
          <w:rFonts w:eastAsia="Calibri"/>
        </w:rPr>
        <w:t xml:space="preserve">/hr) + (2 hr </w:t>
      </w:r>
      <w:r w:rsidR="00F81FDB">
        <w:t>×</w:t>
      </w:r>
      <w:r w:rsidRPr="00B17713">
        <w:rPr>
          <w:rFonts w:eastAsia="Calibri"/>
        </w:rPr>
        <w:t xml:space="preserve"> $</w:t>
      </w:r>
      <w:r w:rsidR="00480C3A">
        <w:rPr>
          <w:rFonts w:eastAsia="Calibri"/>
        </w:rPr>
        <w:t>129.28</w:t>
      </w:r>
      <w:r w:rsidRPr="00B17713">
        <w:rPr>
          <w:rFonts w:eastAsia="Calibri"/>
        </w:rPr>
        <w:t xml:space="preserve">/hr) + (1 hr </w:t>
      </w:r>
      <w:r w:rsidR="00F81FDB">
        <w:t>×</w:t>
      </w:r>
      <w:r w:rsidRPr="00B17713">
        <w:rPr>
          <w:rFonts w:eastAsia="Calibri"/>
        </w:rPr>
        <w:t xml:space="preserve"> $</w:t>
      </w:r>
      <w:r w:rsidR="00480C3A">
        <w:rPr>
          <w:rFonts w:eastAsia="Calibri"/>
        </w:rPr>
        <w:t>291.64</w:t>
      </w:r>
      <w:r w:rsidRPr="00B17713">
        <w:rPr>
          <w:rFonts w:eastAsia="Calibri"/>
        </w:rPr>
        <w:t xml:space="preserve">/hr) + (1 hr </w:t>
      </w:r>
      <w:r w:rsidR="00F81FDB">
        <w:t>×</w:t>
      </w:r>
      <w:r w:rsidRPr="00B17713">
        <w:rPr>
          <w:rFonts w:eastAsia="Calibri"/>
        </w:rPr>
        <w:t xml:space="preserve"> </w:t>
      </w:r>
      <w:r w:rsidR="007D530F">
        <w:rPr>
          <w:rFonts w:eastAsia="Calibri"/>
        </w:rPr>
        <w:t>$106.54</w:t>
      </w:r>
      <w:r w:rsidRPr="00B17713">
        <w:rPr>
          <w:rFonts w:eastAsia="Calibri"/>
        </w:rPr>
        <w:t xml:space="preserve">/hr) + (1 hr </w:t>
      </w:r>
      <w:r w:rsidR="00F81FDB">
        <w:t>×</w:t>
      </w:r>
      <w:r w:rsidRPr="00B17713">
        <w:rPr>
          <w:rFonts w:eastAsia="Calibri"/>
        </w:rPr>
        <w:t xml:space="preserve"> $</w:t>
      </w:r>
      <w:r w:rsidR="00480C3A">
        <w:rPr>
          <w:rFonts w:eastAsia="Calibri"/>
        </w:rPr>
        <w:t>58.46</w:t>
      </w:r>
      <w:r w:rsidRPr="00B17713">
        <w:rPr>
          <w:rFonts w:eastAsia="Calibri"/>
        </w:rPr>
        <w:t xml:space="preserve">/hr) + (1 hr </w:t>
      </w:r>
      <w:r w:rsidR="00F81FDB">
        <w:t>×</w:t>
      </w:r>
      <w:r w:rsidRPr="00B17713">
        <w:rPr>
          <w:rFonts w:eastAsia="Calibri"/>
        </w:rPr>
        <w:t xml:space="preserve"> $</w:t>
      </w:r>
      <w:r w:rsidR="00480C3A">
        <w:rPr>
          <w:rFonts w:eastAsia="Calibri"/>
        </w:rPr>
        <w:t>45.32</w:t>
      </w:r>
      <w:r w:rsidRPr="00B17713">
        <w:rPr>
          <w:rFonts w:eastAsia="Calibri"/>
        </w:rPr>
        <w:t xml:space="preserve">/hr) + (0.083 hr </w:t>
      </w:r>
      <w:r w:rsidR="00F81FDB">
        <w:t>×</w:t>
      </w:r>
      <w:r w:rsidRPr="00B17713">
        <w:rPr>
          <w:rFonts w:eastAsia="Calibri"/>
        </w:rPr>
        <w:t xml:space="preserve"> </w:t>
      </w:r>
      <w:r w:rsidR="007D530F">
        <w:rPr>
          <w:rFonts w:eastAsia="Calibri"/>
        </w:rPr>
        <w:t>$106.54</w:t>
      </w:r>
      <w:r w:rsidRPr="00B17713">
        <w:rPr>
          <w:rFonts w:eastAsia="Calibri"/>
        </w:rPr>
        <w:t>/hr)]</w:t>
      </w:r>
      <w:r w:rsidRPr="00350382">
        <w:rPr>
          <w:rFonts w:eastAsia="Calibri"/>
        </w:rPr>
        <w:t>.</w:t>
      </w:r>
    </w:p>
    <w:p w:rsidR="002D76B5" w:rsidRPr="00871E51" w:rsidP="003A4007" w14:paraId="4962B367" w14:textId="342476D5">
      <w:pPr>
        <w:pStyle w:val="BodyText"/>
        <w:rPr>
          <w:rFonts w:eastAsia="Calibri"/>
        </w:rPr>
      </w:pPr>
      <w:r>
        <w:rPr>
          <w:rFonts w:eastAsia="Calibri"/>
        </w:rPr>
        <w:t>As shown in Table 1</w:t>
      </w:r>
      <w:r w:rsidR="00C17DCF">
        <w:rPr>
          <w:rFonts w:eastAsia="Calibri"/>
        </w:rPr>
        <w:t>2</w:t>
      </w:r>
      <w:r>
        <w:rPr>
          <w:rFonts w:eastAsia="Calibri"/>
        </w:rPr>
        <w:t>, f</w:t>
      </w:r>
      <w:r w:rsidRPr="00584388" w:rsidR="00584388">
        <w:rPr>
          <w:rFonts w:eastAsia="Calibri"/>
        </w:rPr>
        <w:t>or the CY 202</w:t>
      </w:r>
      <w:r w:rsidR="00480C3A">
        <w:rPr>
          <w:rFonts w:eastAsia="Calibri"/>
        </w:rPr>
        <w:t>5</w:t>
      </w:r>
      <w:r w:rsidRPr="00584388" w:rsidR="00584388">
        <w:rPr>
          <w:rFonts w:eastAsia="Calibri"/>
        </w:rPr>
        <w:t xml:space="preserve"> performance period/202</w:t>
      </w:r>
      <w:r w:rsidR="00480C3A">
        <w:rPr>
          <w:rFonts w:eastAsia="Calibri"/>
        </w:rPr>
        <w:t>7</w:t>
      </w:r>
      <w:r w:rsidRPr="00584388" w:rsidR="00584388">
        <w:rPr>
          <w:rFonts w:eastAsia="Calibri"/>
        </w:rPr>
        <w:t xml:space="preserve"> MIPS payment year</w:t>
      </w:r>
      <w:r w:rsidR="00584388">
        <w:rPr>
          <w:rFonts w:eastAsia="Calibri"/>
        </w:rPr>
        <w:t>, i</w:t>
      </w:r>
      <w:r w:rsidRPr="006B20F0" w:rsidR="006B20F0">
        <w:rPr>
          <w:rFonts w:eastAsia="Calibri"/>
        </w:rPr>
        <w:t xml:space="preserve">n aggregate, we estimate a burden of </w:t>
      </w:r>
      <w:r w:rsidR="00480C3A">
        <w:rPr>
          <w:rFonts w:eastAsia="Calibri"/>
        </w:rPr>
        <w:t>154</w:t>
      </w:r>
      <w:r w:rsidR="00C15DC7">
        <w:rPr>
          <w:rFonts w:eastAsia="Calibri"/>
        </w:rPr>
        <w:t>,484</w:t>
      </w:r>
      <w:r w:rsidRPr="00871E51" w:rsidR="00C26A3A">
        <w:rPr>
          <w:rFonts w:eastAsia="Calibri"/>
        </w:rPr>
        <w:t xml:space="preserve"> </w:t>
      </w:r>
      <w:r w:rsidRPr="006B20F0" w:rsidR="006B20F0">
        <w:rPr>
          <w:rFonts w:eastAsia="Calibri"/>
        </w:rPr>
        <w:t>hours [9.08</w:t>
      </w:r>
      <w:r>
        <w:rPr>
          <w:rFonts w:eastAsia="Calibri"/>
        </w:rPr>
        <w:t>3</w:t>
      </w:r>
      <w:r w:rsidR="00A66D31">
        <w:rPr>
          <w:rFonts w:eastAsia="Calibri"/>
        </w:rPr>
        <w:t xml:space="preserve"> </w:t>
      </w:r>
      <w:r w:rsidRPr="006B20F0" w:rsidR="006B20F0">
        <w:rPr>
          <w:rFonts w:eastAsia="Calibri"/>
        </w:rPr>
        <w:t xml:space="preserve">hr/response </w:t>
      </w:r>
      <w:r w:rsidR="00F81FDB">
        <w:t>×</w:t>
      </w:r>
      <w:r w:rsidRPr="006B20F0" w:rsidR="006B20F0">
        <w:rPr>
          <w:rFonts w:eastAsia="Calibri"/>
        </w:rPr>
        <w:t xml:space="preserve"> </w:t>
      </w:r>
      <w:r w:rsidR="00C15DC7">
        <w:rPr>
          <w:rFonts w:eastAsia="Calibri"/>
        </w:rPr>
        <w:t>17,008</w:t>
      </w:r>
      <w:r w:rsidR="00C17DCF">
        <w:rPr>
          <w:rFonts w:eastAsia="Calibri"/>
        </w:rPr>
        <w:t xml:space="preserve"> responses </w:t>
      </w:r>
      <w:r w:rsidRPr="006B20F0" w:rsidR="006B20F0">
        <w:rPr>
          <w:rFonts w:eastAsia="Calibri"/>
        </w:rPr>
        <w:t>(</w:t>
      </w:r>
      <w:r w:rsidR="00F23397">
        <w:rPr>
          <w:rFonts w:eastAsia="Calibri"/>
        </w:rPr>
        <w:t>1</w:t>
      </w:r>
      <w:r w:rsidR="00CD7A6B">
        <w:rPr>
          <w:rFonts w:eastAsia="Calibri"/>
        </w:rPr>
        <w:t>0,</w:t>
      </w:r>
      <w:r w:rsidR="00C15DC7">
        <w:rPr>
          <w:rFonts w:eastAsia="Calibri"/>
        </w:rPr>
        <w:t>850</w:t>
      </w:r>
      <w:r w:rsidRPr="006B20F0" w:rsidR="006B20F0">
        <w:rPr>
          <w:rFonts w:eastAsia="Calibri"/>
        </w:rPr>
        <w:t xml:space="preserve"> clinicians submitting as individuals + </w:t>
      </w:r>
      <w:r w:rsidR="00414256">
        <w:rPr>
          <w:rFonts w:eastAsia="Calibri"/>
        </w:rPr>
        <w:t>6,158</w:t>
      </w:r>
      <w:r w:rsidR="00B40762">
        <w:rPr>
          <w:rFonts w:eastAsia="Calibri"/>
        </w:rPr>
        <w:t xml:space="preserve"> </w:t>
      </w:r>
      <w:r w:rsidRPr="006B20F0" w:rsidR="006B20F0">
        <w:rPr>
          <w:rFonts w:eastAsia="Calibri"/>
        </w:rPr>
        <w:t>groups submitting via QCDR or MIPS CQM on behalf of individual clinicians)] at a cost of $</w:t>
      </w:r>
      <w:r w:rsidR="00414256">
        <w:rPr>
          <w:rFonts w:eastAsia="Calibri"/>
        </w:rPr>
        <w:t>18,521,372</w:t>
      </w:r>
      <w:r w:rsidR="00A835FC">
        <w:rPr>
          <w:rFonts w:eastAsia="Calibri"/>
        </w:rPr>
        <w:t xml:space="preserve"> </w:t>
      </w:r>
      <w:r w:rsidRPr="006B20F0" w:rsidR="006B20F0">
        <w:rPr>
          <w:rFonts w:eastAsia="Calibri"/>
        </w:rPr>
        <w:t>(</w:t>
      </w:r>
      <w:r w:rsidR="00414256">
        <w:rPr>
          <w:rFonts w:eastAsia="Calibri"/>
        </w:rPr>
        <w:t>17,008</w:t>
      </w:r>
      <w:r w:rsidRPr="006B20F0" w:rsidR="006B20F0">
        <w:rPr>
          <w:rFonts w:eastAsia="Calibri"/>
        </w:rPr>
        <w:t xml:space="preserve"> responses </w:t>
      </w:r>
      <w:r w:rsidR="00F81FDB">
        <w:t>×</w:t>
      </w:r>
      <w:r w:rsidRPr="006B20F0" w:rsidR="006B20F0">
        <w:rPr>
          <w:rFonts w:eastAsia="Calibri"/>
        </w:rPr>
        <w:t xml:space="preserve"> $</w:t>
      </w:r>
      <w:r w:rsidR="00C17DCF">
        <w:rPr>
          <w:rFonts w:eastAsia="Calibri"/>
        </w:rPr>
        <w:t>1</w:t>
      </w:r>
      <w:r w:rsidR="005D1BFD">
        <w:rPr>
          <w:rFonts w:eastAsia="Calibri"/>
        </w:rPr>
        <w:t>,088.98</w:t>
      </w:r>
      <w:r w:rsidRPr="006B20F0" w:rsidR="006B20F0">
        <w:rPr>
          <w:rFonts w:eastAsia="Calibri"/>
        </w:rPr>
        <w:t>/response)</w:t>
      </w:r>
      <w:r>
        <w:rPr>
          <w:rFonts w:eastAsia="Calibri"/>
        </w:rPr>
        <w:t>.</w:t>
      </w:r>
      <w:r w:rsidRPr="002D76B5">
        <w:rPr>
          <w:rFonts w:eastAsia="Calibri"/>
        </w:rPr>
        <w:t xml:space="preserve"> </w:t>
      </w:r>
    </w:p>
    <w:p w:rsidR="00C351ED" w:rsidRPr="00BE0363" w:rsidP="003A4007" w14:paraId="3F53AADF" w14:textId="527B3D37">
      <w:pPr>
        <w:pStyle w:val="ExhibitTitle"/>
        <w:rPr>
          <w:b w:val="0"/>
          <w:bCs/>
        </w:rPr>
      </w:pPr>
      <w:r w:rsidRPr="00BE0363">
        <w:rPr>
          <w:b w:val="0"/>
          <w:bCs/>
        </w:rPr>
        <w:t>T</w:t>
      </w:r>
      <w:r w:rsidRPr="00BE0363" w:rsidR="00DF359E">
        <w:rPr>
          <w:b w:val="0"/>
          <w:bCs/>
        </w:rPr>
        <w:t>able</w:t>
      </w:r>
      <w:r w:rsidRPr="00BE0363">
        <w:rPr>
          <w:b w:val="0"/>
          <w:bCs/>
        </w:rPr>
        <w:t xml:space="preserve"> </w:t>
      </w:r>
      <w:r w:rsidRPr="00BE0363" w:rsidR="00CA1C83">
        <w:rPr>
          <w:b w:val="0"/>
          <w:bCs/>
        </w:rPr>
        <w:t>1</w:t>
      </w:r>
      <w:r w:rsidRPr="00BE0363" w:rsidR="00C17DCF">
        <w:rPr>
          <w:b w:val="0"/>
          <w:bCs/>
        </w:rPr>
        <w:t>2</w:t>
      </w:r>
      <w:r w:rsidRPr="00BE0363" w:rsidR="006B4818">
        <w:rPr>
          <w:b w:val="0"/>
          <w:bCs/>
        </w:rPr>
        <w:t>: Estimated Burden</w:t>
      </w:r>
      <w:r w:rsidRPr="00BE0363">
        <w:rPr>
          <w:b w:val="0"/>
          <w:bCs/>
        </w:rPr>
        <w:t xml:space="preserve"> for Quality Performance Category:</w:t>
      </w:r>
      <w:r w:rsidRPr="00BE0363" w:rsidR="006730F2">
        <w:rPr>
          <w:b w:val="0"/>
          <w:bCs/>
        </w:rPr>
        <w:t xml:space="preserve"> </w:t>
      </w:r>
      <w:r w:rsidRPr="00BE0363">
        <w:rPr>
          <w:b w:val="0"/>
          <w:bCs/>
        </w:rPr>
        <w:t xml:space="preserve">Clinicians (Participating Individually or as Part of a Group) Using the </w:t>
      </w:r>
      <w:r w:rsidRPr="00BE0363" w:rsidR="00037FF8">
        <w:rPr>
          <w:b w:val="0"/>
          <w:bCs/>
        </w:rPr>
        <w:t>MIPS CQM</w:t>
      </w:r>
      <w:r w:rsidRPr="00BE0363" w:rsidR="0052171D">
        <w:rPr>
          <w:b w:val="0"/>
          <w:bCs/>
        </w:rPr>
        <w:t xml:space="preserve"> and </w:t>
      </w:r>
      <w:r w:rsidRPr="00BE0363">
        <w:rPr>
          <w:b w:val="0"/>
          <w:bCs/>
        </w:rPr>
        <w:t>QCDR Collection Type</w:t>
      </w:r>
    </w:p>
    <w:tbl>
      <w:tblPr>
        <w:tblStyle w:val="TableGrid"/>
        <w:tblDescription w:val="Table 12: the estimated burden for submitting data for the M I P S quality performance category via the M I P S C Q M and Q C D R collection type."/>
        <w:tblW w:w="0" w:type="auto"/>
        <w:tblLayout w:type="fixed"/>
        <w:tblLook w:val="04A0"/>
      </w:tblPr>
      <w:tblGrid>
        <w:gridCol w:w="7375"/>
        <w:gridCol w:w="1975"/>
      </w:tblGrid>
      <w:tr w14:paraId="3C352CD2" w14:textId="77777777" w:rsidTr="00166E89">
        <w:tblPrEx>
          <w:tblW w:w="0" w:type="auto"/>
          <w:tblLayout w:type="fixed"/>
          <w:tblLook w:val="04A0"/>
        </w:tblPrEx>
        <w:trPr>
          <w:cantSplit/>
          <w:trHeight w:val="20"/>
          <w:tblHeader/>
        </w:trPr>
        <w:tc>
          <w:tcPr>
            <w:tcW w:w="7375" w:type="dxa"/>
          </w:tcPr>
          <w:p w:rsidR="00893551" w:rsidRPr="004F5699" w:rsidP="003A4007" w14:paraId="3A24E907" w14:textId="77777777">
            <w:pPr>
              <w:pStyle w:val="Table11-ColumnHeading"/>
            </w:pPr>
            <w:r w:rsidRPr="004F5699">
              <w:t>Burden and Respondent Descriptions</w:t>
            </w:r>
          </w:p>
        </w:tc>
        <w:tc>
          <w:tcPr>
            <w:tcW w:w="1975" w:type="dxa"/>
          </w:tcPr>
          <w:p w:rsidR="00893551" w:rsidRPr="004F5699" w:rsidP="003A4007" w14:paraId="350C841D" w14:textId="77777777">
            <w:pPr>
              <w:pStyle w:val="Table11-ColumnHeading"/>
            </w:pPr>
            <w:r w:rsidRPr="004F5699">
              <w:t>Burden Estimate</w:t>
            </w:r>
          </w:p>
        </w:tc>
      </w:tr>
      <w:tr w14:paraId="45F4ECEA" w14:textId="77777777" w:rsidTr="00166E89">
        <w:tblPrEx>
          <w:tblW w:w="0" w:type="auto"/>
          <w:tblLayout w:type="fixed"/>
          <w:tblLook w:val="04A0"/>
        </w:tblPrEx>
        <w:trPr>
          <w:cantSplit/>
          <w:trHeight w:val="20"/>
        </w:trPr>
        <w:tc>
          <w:tcPr>
            <w:tcW w:w="7375" w:type="dxa"/>
          </w:tcPr>
          <w:p w:rsidR="00893551" w:rsidRPr="004F5699" w:rsidP="003A4007" w14:paraId="5F05376C" w14:textId="77777777">
            <w:pPr>
              <w:pStyle w:val="Table11Basic"/>
            </w:pPr>
            <w:r w:rsidRPr="004F5699">
              <w:t># of Clinicians Submitting as Individuals (a)</w:t>
            </w:r>
          </w:p>
        </w:tc>
        <w:tc>
          <w:tcPr>
            <w:tcW w:w="1975" w:type="dxa"/>
          </w:tcPr>
          <w:p w:rsidR="00893551" w:rsidRPr="00DE6C79" w14:paraId="662C20D8" w14:textId="77777777">
            <w:pPr>
              <w:keepNext/>
              <w:keepLines/>
              <w:jc w:val="center"/>
              <w:rPr>
                <w:sz w:val="22"/>
                <w:szCs w:val="22"/>
              </w:rPr>
            </w:pPr>
            <w:r w:rsidRPr="00DE6C79">
              <w:rPr>
                <w:color w:val="000000" w:themeColor="text1"/>
                <w:sz w:val="22"/>
                <w:szCs w:val="22"/>
              </w:rPr>
              <w:t>10,850</w:t>
            </w:r>
          </w:p>
        </w:tc>
      </w:tr>
      <w:tr w14:paraId="050A54E8" w14:textId="77777777" w:rsidTr="00166E89">
        <w:tblPrEx>
          <w:tblW w:w="0" w:type="auto"/>
          <w:tblLayout w:type="fixed"/>
          <w:tblLook w:val="04A0"/>
        </w:tblPrEx>
        <w:trPr>
          <w:cantSplit/>
          <w:trHeight w:val="20"/>
        </w:trPr>
        <w:tc>
          <w:tcPr>
            <w:tcW w:w="7375" w:type="dxa"/>
          </w:tcPr>
          <w:p w:rsidR="00893551" w:rsidRPr="004F5699" w:rsidP="003A4007" w14:paraId="60319CCE" w14:textId="77777777">
            <w:pPr>
              <w:pStyle w:val="Table11Basic"/>
            </w:pPr>
            <w:r w:rsidRPr="004F5699">
              <w:t xml:space="preserve"># of Groups Submitting via QCDR or MIPS CQM on Behalf of Individual Clinicians (b) </w:t>
            </w:r>
          </w:p>
        </w:tc>
        <w:tc>
          <w:tcPr>
            <w:tcW w:w="1975" w:type="dxa"/>
          </w:tcPr>
          <w:p w:rsidR="00893551" w:rsidRPr="00DE6C79" w14:paraId="6A5975D5" w14:textId="77777777">
            <w:pPr>
              <w:keepNext/>
              <w:keepLines/>
              <w:jc w:val="center"/>
              <w:rPr>
                <w:sz w:val="22"/>
                <w:szCs w:val="22"/>
              </w:rPr>
            </w:pPr>
            <w:r w:rsidRPr="00DE6C79">
              <w:rPr>
                <w:color w:val="000000"/>
                <w:sz w:val="22"/>
                <w:szCs w:val="22"/>
              </w:rPr>
              <w:t>6,158</w:t>
            </w:r>
          </w:p>
        </w:tc>
      </w:tr>
      <w:tr w14:paraId="7CD1C282" w14:textId="77777777" w:rsidTr="00166E89">
        <w:tblPrEx>
          <w:tblW w:w="0" w:type="auto"/>
          <w:tblLayout w:type="fixed"/>
          <w:tblLook w:val="04A0"/>
        </w:tblPrEx>
        <w:trPr>
          <w:cantSplit/>
          <w:trHeight w:val="20"/>
        </w:trPr>
        <w:tc>
          <w:tcPr>
            <w:tcW w:w="7375" w:type="dxa"/>
            <w:shd w:val="clear" w:color="auto" w:fill="E7E6E6" w:themeFill="background2"/>
          </w:tcPr>
          <w:p w:rsidR="00893551" w:rsidRPr="004F5699" w:rsidP="003A4007" w14:paraId="78680AAA" w14:textId="77777777">
            <w:pPr>
              <w:pStyle w:val="Table11Basic"/>
              <w:rPr>
                <w:b/>
              </w:rPr>
            </w:pPr>
            <w:sdt>
              <w:sdtPr>
                <w:rPr>
                  <w:b/>
                </w:rPr>
                <w:alias w:val=" "/>
                <w:tag w:val="NAV_SWIFT_61fdd111-3a70-40aa-a62b-50b7b5e9ecd2"/>
                <w:id w:val="1732497127"/>
                <w:placeholder>
                  <w:docPart w:val="7DBFDF84106248B2B34C7F04377D1F48"/>
                </w:placeholder>
                <w:showingPlcHdr/>
                <w:richText/>
                <w15:appearance w15:val="hidden"/>
              </w:sdtPr>
              <w:sdtContent/>
            </w:sdt>
            <w:r w:rsidRPr="004F5699">
              <w:rPr>
                <w:b/>
              </w:rPr>
              <w:t>Total # of Respondents (c) = (a) + (b)</w:t>
            </w:r>
          </w:p>
        </w:tc>
        <w:tc>
          <w:tcPr>
            <w:tcW w:w="1975" w:type="dxa"/>
            <w:shd w:val="clear" w:color="auto" w:fill="E7E6E6" w:themeFill="background2"/>
          </w:tcPr>
          <w:p w:rsidR="00893551" w:rsidRPr="00DE6C79" w14:paraId="4A6E196A" w14:textId="77777777">
            <w:pPr>
              <w:keepNext/>
              <w:keepLines/>
              <w:jc w:val="center"/>
              <w:rPr>
                <w:sz w:val="22"/>
                <w:szCs w:val="22"/>
              </w:rPr>
            </w:pPr>
            <w:r w:rsidRPr="00DE6C79">
              <w:rPr>
                <w:b/>
                <w:color w:val="000000"/>
                <w:sz w:val="22"/>
                <w:szCs w:val="22"/>
              </w:rPr>
              <w:t>17,008</w:t>
            </w:r>
          </w:p>
        </w:tc>
      </w:tr>
      <w:tr w14:paraId="5D28D230" w14:textId="77777777" w:rsidTr="00166E89">
        <w:tblPrEx>
          <w:tblW w:w="0" w:type="auto"/>
          <w:tblLayout w:type="fixed"/>
          <w:tblLook w:val="04A0"/>
        </w:tblPrEx>
        <w:trPr>
          <w:cantSplit/>
          <w:trHeight w:val="20"/>
        </w:trPr>
        <w:tc>
          <w:tcPr>
            <w:tcW w:w="7375" w:type="dxa"/>
          </w:tcPr>
          <w:p w:rsidR="00893551" w:rsidRPr="004F5699" w:rsidP="003A4007" w14:paraId="161FEE9D" w14:textId="77777777">
            <w:pPr>
              <w:pStyle w:val="Table11Basic"/>
            </w:pPr>
            <w:r w:rsidRPr="004F5699">
              <w:t xml:space="preserve"># of Hours Per Respondent to Report Quality Data (d) </w:t>
            </w:r>
          </w:p>
        </w:tc>
        <w:tc>
          <w:tcPr>
            <w:tcW w:w="1975" w:type="dxa"/>
          </w:tcPr>
          <w:p w:rsidR="00893551" w:rsidRPr="00DE6C79" w14:paraId="6211BA66" w14:textId="77777777">
            <w:pPr>
              <w:keepNext/>
              <w:keepLines/>
              <w:jc w:val="center"/>
              <w:rPr>
                <w:sz w:val="22"/>
                <w:szCs w:val="22"/>
              </w:rPr>
            </w:pPr>
            <w:r w:rsidRPr="00DE6C79">
              <w:rPr>
                <w:sz w:val="22"/>
                <w:szCs w:val="22"/>
              </w:rPr>
              <w:t>3</w:t>
            </w:r>
          </w:p>
        </w:tc>
      </w:tr>
      <w:tr w14:paraId="53992B5B" w14:textId="77777777" w:rsidTr="00166E89">
        <w:tblPrEx>
          <w:tblW w:w="0" w:type="auto"/>
          <w:tblLayout w:type="fixed"/>
          <w:tblLook w:val="04A0"/>
        </w:tblPrEx>
        <w:trPr>
          <w:cantSplit/>
          <w:trHeight w:val="20"/>
        </w:trPr>
        <w:tc>
          <w:tcPr>
            <w:tcW w:w="7375" w:type="dxa"/>
          </w:tcPr>
          <w:p w:rsidR="00893551" w:rsidRPr="004F5699" w:rsidP="003A4007" w14:paraId="0214744D" w14:textId="77777777">
            <w:pPr>
              <w:pStyle w:val="Table11Basic"/>
            </w:pPr>
            <w:r w:rsidRPr="004F5699">
              <w:t># of Hours per Medical and Health Services Manager to Review Measure Specifications (e)</w:t>
            </w:r>
          </w:p>
        </w:tc>
        <w:tc>
          <w:tcPr>
            <w:tcW w:w="1975" w:type="dxa"/>
          </w:tcPr>
          <w:p w:rsidR="00893551" w:rsidRPr="00DE6C79" w14:paraId="65BE60EC" w14:textId="77777777">
            <w:pPr>
              <w:keepNext/>
              <w:keepLines/>
              <w:jc w:val="center"/>
              <w:rPr>
                <w:sz w:val="22"/>
                <w:szCs w:val="22"/>
              </w:rPr>
            </w:pPr>
            <w:r w:rsidRPr="00DE6C79">
              <w:rPr>
                <w:sz w:val="22"/>
                <w:szCs w:val="22"/>
              </w:rPr>
              <w:t>2</w:t>
            </w:r>
          </w:p>
        </w:tc>
      </w:tr>
      <w:tr w14:paraId="09E23B70" w14:textId="77777777" w:rsidTr="00166E89">
        <w:tblPrEx>
          <w:tblW w:w="0" w:type="auto"/>
          <w:tblLayout w:type="fixed"/>
          <w:tblLook w:val="04A0"/>
        </w:tblPrEx>
        <w:trPr>
          <w:cantSplit/>
          <w:trHeight w:val="20"/>
        </w:trPr>
        <w:tc>
          <w:tcPr>
            <w:tcW w:w="7375" w:type="dxa"/>
          </w:tcPr>
          <w:p w:rsidR="00893551" w:rsidRPr="004F5699" w:rsidP="003A4007" w14:paraId="362128F0" w14:textId="77777777">
            <w:pPr>
              <w:pStyle w:val="Table11Basic"/>
            </w:pPr>
            <w:r w:rsidRPr="004F5699">
              <w:t># of Hours for Computer Systems Analyst to Review Measure Specifications (f)</w:t>
            </w:r>
          </w:p>
        </w:tc>
        <w:tc>
          <w:tcPr>
            <w:tcW w:w="1975" w:type="dxa"/>
          </w:tcPr>
          <w:p w:rsidR="00893551" w:rsidRPr="00DE6C79" w14:paraId="312C41BA" w14:textId="77777777">
            <w:pPr>
              <w:keepNext/>
              <w:keepLines/>
              <w:jc w:val="center"/>
              <w:rPr>
                <w:sz w:val="22"/>
                <w:szCs w:val="22"/>
              </w:rPr>
            </w:pPr>
            <w:r w:rsidRPr="00DE6C79">
              <w:rPr>
                <w:sz w:val="22"/>
                <w:szCs w:val="22"/>
              </w:rPr>
              <w:t>1</w:t>
            </w:r>
          </w:p>
        </w:tc>
      </w:tr>
      <w:tr w14:paraId="5C552AA7" w14:textId="77777777" w:rsidTr="00166E89">
        <w:tblPrEx>
          <w:tblW w:w="0" w:type="auto"/>
          <w:tblLayout w:type="fixed"/>
          <w:tblLook w:val="04A0"/>
        </w:tblPrEx>
        <w:trPr>
          <w:cantSplit/>
          <w:trHeight w:val="20"/>
        </w:trPr>
        <w:tc>
          <w:tcPr>
            <w:tcW w:w="7375" w:type="dxa"/>
          </w:tcPr>
          <w:p w:rsidR="00893551" w:rsidRPr="004F5699" w:rsidP="003A4007" w14:paraId="470EFA60" w14:textId="77777777">
            <w:pPr>
              <w:pStyle w:val="Table11Basic"/>
            </w:pPr>
            <w:r w:rsidRPr="004F5699">
              <w:t># of Hours for LPN to Review Measure Specifications (g)</w:t>
            </w:r>
          </w:p>
        </w:tc>
        <w:tc>
          <w:tcPr>
            <w:tcW w:w="1975" w:type="dxa"/>
          </w:tcPr>
          <w:p w:rsidR="00893551" w:rsidRPr="00DE6C79" w14:paraId="24A801AE" w14:textId="77777777">
            <w:pPr>
              <w:keepNext/>
              <w:keepLines/>
              <w:jc w:val="center"/>
              <w:rPr>
                <w:sz w:val="22"/>
                <w:szCs w:val="22"/>
              </w:rPr>
            </w:pPr>
            <w:r w:rsidRPr="00DE6C79">
              <w:rPr>
                <w:sz w:val="22"/>
                <w:szCs w:val="22"/>
              </w:rPr>
              <w:t>1</w:t>
            </w:r>
          </w:p>
        </w:tc>
      </w:tr>
      <w:tr w14:paraId="048190E6" w14:textId="77777777" w:rsidTr="00166E89">
        <w:tblPrEx>
          <w:tblW w:w="0" w:type="auto"/>
          <w:tblLayout w:type="fixed"/>
          <w:tblLook w:val="04A0"/>
        </w:tblPrEx>
        <w:trPr>
          <w:cantSplit/>
          <w:trHeight w:val="20"/>
        </w:trPr>
        <w:tc>
          <w:tcPr>
            <w:tcW w:w="7375" w:type="dxa"/>
          </w:tcPr>
          <w:p w:rsidR="00893551" w:rsidRPr="004F5699" w:rsidP="003A4007" w14:paraId="4A523C95" w14:textId="77777777">
            <w:pPr>
              <w:pStyle w:val="Table11Basic"/>
            </w:pPr>
            <w:r w:rsidRPr="004F5699">
              <w:t># of Hours for Billing Clerk to Review Measure Specifications (h)</w:t>
            </w:r>
          </w:p>
        </w:tc>
        <w:tc>
          <w:tcPr>
            <w:tcW w:w="1975" w:type="dxa"/>
          </w:tcPr>
          <w:p w:rsidR="00893551" w:rsidRPr="00DE6C79" w14:paraId="4FEAF9E4" w14:textId="77777777">
            <w:pPr>
              <w:keepNext/>
              <w:keepLines/>
              <w:jc w:val="center"/>
              <w:rPr>
                <w:sz w:val="22"/>
                <w:szCs w:val="22"/>
              </w:rPr>
            </w:pPr>
            <w:r w:rsidRPr="00DE6C79">
              <w:rPr>
                <w:sz w:val="22"/>
                <w:szCs w:val="22"/>
              </w:rPr>
              <w:t>1</w:t>
            </w:r>
          </w:p>
        </w:tc>
      </w:tr>
      <w:tr w14:paraId="5E1C52DF" w14:textId="77777777" w:rsidTr="00166E89">
        <w:tblPrEx>
          <w:tblW w:w="0" w:type="auto"/>
          <w:tblLayout w:type="fixed"/>
          <w:tblLook w:val="04A0"/>
        </w:tblPrEx>
        <w:trPr>
          <w:cantSplit/>
          <w:trHeight w:val="20"/>
        </w:trPr>
        <w:tc>
          <w:tcPr>
            <w:tcW w:w="7375" w:type="dxa"/>
          </w:tcPr>
          <w:p w:rsidR="00893551" w:rsidRPr="004F5699" w:rsidP="003A4007" w14:paraId="79A07EB3" w14:textId="77777777">
            <w:pPr>
              <w:pStyle w:val="Table11Basic"/>
            </w:pPr>
            <w:r w:rsidRPr="004F5699">
              <w:t># of Hours for Physician to Review Measure Specifications (i)</w:t>
            </w:r>
          </w:p>
        </w:tc>
        <w:tc>
          <w:tcPr>
            <w:tcW w:w="1975" w:type="dxa"/>
          </w:tcPr>
          <w:p w:rsidR="00893551" w:rsidRPr="00DE6C79" w14:paraId="1D298D3E" w14:textId="77777777">
            <w:pPr>
              <w:keepNext/>
              <w:keepLines/>
              <w:jc w:val="center"/>
              <w:rPr>
                <w:sz w:val="22"/>
                <w:szCs w:val="22"/>
              </w:rPr>
            </w:pPr>
            <w:r w:rsidRPr="00DE6C79">
              <w:rPr>
                <w:sz w:val="22"/>
                <w:szCs w:val="22"/>
              </w:rPr>
              <w:t>1</w:t>
            </w:r>
          </w:p>
        </w:tc>
      </w:tr>
      <w:tr w14:paraId="5796DA1A" w14:textId="77777777" w:rsidTr="00166E89">
        <w:tblPrEx>
          <w:tblW w:w="0" w:type="auto"/>
          <w:tblLayout w:type="fixed"/>
          <w:tblLook w:val="04A0"/>
        </w:tblPrEx>
        <w:trPr>
          <w:cantSplit/>
          <w:trHeight w:val="20"/>
        </w:trPr>
        <w:tc>
          <w:tcPr>
            <w:tcW w:w="7375" w:type="dxa"/>
          </w:tcPr>
          <w:p w:rsidR="00893551" w:rsidRPr="004F5699" w:rsidP="003A4007" w14:paraId="7FA41C8F" w14:textId="77777777">
            <w:pPr>
              <w:pStyle w:val="Table11Basic"/>
            </w:pPr>
            <w:r w:rsidRPr="004F5699">
              <w:t># of Hours Per Respondent to Authorize Qualified Registry to Report on Respondent’s Behalf (j)</w:t>
            </w:r>
          </w:p>
        </w:tc>
        <w:tc>
          <w:tcPr>
            <w:tcW w:w="1975" w:type="dxa"/>
          </w:tcPr>
          <w:p w:rsidR="00893551" w:rsidRPr="00DE6C79" w:rsidP="003A4007" w14:paraId="55E89B33" w14:textId="77777777">
            <w:pPr>
              <w:pStyle w:val="Table11Centered"/>
            </w:pPr>
            <w:r w:rsidRPr="00DE6C79">
              <w:t>0.083</w:t>
            </w:r>
          </w:p>
        </w:tc>
      </w:tr>
      <w:tr w14:paraId="39B7F0E8" w14:textId="77777777" w:rsidTr="00166E89">
        <w:tblPrEx>
          <w:tblW w:w="0" w:type="auto"/>
          <w:tblLayout w:type="fixed"/>
          <w:tblLook w:val="04A0"/>
        </w:tblPrEx>
        <w:trPr>
          <w:cantSplit/>
          <w:trHeight w:val="20"/>
        </w:trPr>
        <w:tc>
          <w:tcPr>
            <w:tcW w:w="7375" w:type="dxa"/>
          </w:tcPr>
          <w:p w:rsidR="00893551" w:rsidRPr="004F5699" w:rsidP="003A4007" w14:paraId="513A0AD6" w14:textId="77777777">
            <w:pPr>
              <w:pStyle w:val="Table11Basic"/>
            </w:pPr>
            <w:r w:rsidRPr="004F5699">
              <w:t>Annual Hours Per Respondent (k)= (d) + (e) + (f) + (g) + (h) + (i) + (j)</w:t>
            </w:r>
          </w:p>
        </w:tc>
        <w:tc>
          <w:tcPr>
            <w:tcW w:w="1975" w:type="dxa"/>
          </w:tcPr>
          <w:p w:rsidR="00893551" w:rsidRPr="00DE6C79" w:rsidP="003A4007" w14:paraId="3ABE8318" w14:textId="77777777">
            <w:pPr>
              <w:pStyle w:val="Table11Centered"/>
            </w:pPr>
            <w:r w:rsidRPr="00DE6C79">
              <w:t>9.083</w:t>
            </w:r>
          </w:p>
        </w:tc>
      </w:tr>
      <w:tr w14:paraId="160710B0" w14:textId="77777777" w:rsidTr="00166E89">
        <w:tblPrEx>
          <w:tblW w:w="0" w:type="auto"/>
          <w:tblLayout w:type="fixed"/>
          <w:tblLook w:val="04A0"/>
        </w:tblPrEx>
        <w:trPr>
          <w:cantSplit/>
          <w:trHeight w:val="20"/>
        </w:trPr>
        <w:tc>
          <w:tcPr>
            <w:tcW w:w="7375" w:type="dxa"/>
            <w:shd w:val="clear" w:color="auto" w:fill="E7E6E6" w:themeFill="background2"/>
          </w:tcPr>
          <w:p w:rsidR="00893551" w:rsidRPr="004F5699" w:rsidP="003A4007" w14:paraId="60A1CF2B" w14:textId="2EF177BD">
            <w:pPr>
              <w:pStyle w:val="Table11Basic"/>
              <w:rPr>
                <w:b/>
              </w:rPr>
            </w:pPr>
            <w:r w:rsidRPr="004F5699">
              <w:rPr>
                <w:b/>
              </w:rPr>
              <w:t>Total Annual Hours (l) = (c)</w:t>
            </w:r>
            <w:r w:rsidR="00773DB8">
              <w:rPr>
                <w:b/>
                <w:bCs/>
                <w:color w:val="000000" w:themeColor="text1"/>
              </w:rPr>
              <w:t xml:space="preserve"> [</w:t>
            </w:r>
            <w:r w:rsidRPr="00F81FDB" w:rsidR="00F81FDB">
              <w:rPr>
                <w:b/>
                <w:bCs/>
              </w:rPr>
              <w:t>×</w:t>
            </w:r>
            <w:r w:rsidR="00773DB8">
              <w:rPr>
                <w:b/>
                <w:bCs/>
                <w:color w:val="000000" w:themeColor="text1"/>
              </w:rPr>
              <w:t xml:space="preserve">] </w:t>
            </w:r>
            <w:r w:rsidRPr="004F5699">
              <w:rPr>
                <w:b/>
              </w:rPr>
              <w:t>(k)</w:t>
            </w:r>
          </w:p>
        </w:tc>
        <w:tc>
          <w:tcPr>
            <w:tcW w:w="1975" w:type="dxa"/>
            <w:shd w:val="clear" w:color="auto" w:fill="E7E6E6" w:themeFill="background2"/>
          </w:tcPr>
          <w:p w:rsidR="00893551" w:rsidRPr="00DE6C79" w:rsidP="003A4007" w14:paraId="3A958B20" w14:textId="77777777">
            <w:pPr>
              <w:pStyle w:val="Table11Centered"/>
            </w:pPr>
            <w:r w:rsidRPr="00DE6C79">
              <w:rPr>
                <w:b/>
                <w:color w:val="000000"/>
              </w:rPr>
              <w:t>154,484</w:t>
            </w:r>
          </w:p>
        </w:tc>
      </w:tr>
      <w:tr w14:paraId="14303466" w14:textId="77777777" w:rsidTr="00166E89">
        <w:tblPrEx>
          <w:tblW w:w="0" w:type="auto"/>
          <w:tblLayout w:type="fixed"/>
          <w:tblLook w:val="04A0"/>
        </w:tblPrEx>
        <w:trPr>
          <w:cantSplit/>
          <w:trHeight w:val="20"/>
        </w:trPr>
        <w:tc>
          <w:tcPr>
            <w:tcW w:w="7375" w:type="dxa"/>
          </w:tcPr>
          <w:p w:rsidR="00893551" w:rsidRPr="004F5699" w:rsidP="003A4007" w14:paraId="2817DD0C" w14:textId="58BCBB47">
            <w:pPr>
              <w:pStyle w:val="Table11Basic"/>
            </w:pPr>
            <w:r w:rsidRPr="004F5699">
              <w:t>Cost Per Respondent to Submit Quality Data (</w:t>
            </w:r>
            <w:r w:rsidR="00EF518A">
              <w:t>at</w:t>
            </w:r>
            <w:r w:rsidRPr="004F5699">
              <w:t xml:space="preserve"> Computer Systems Analyst’s Labor Rate of $106.54/hr) (m)</w:t>
            </w:r>
            <w:r w:rsidR="00C35099">
              <w:t>=(</w:t>
            </w:r>
            <w:r w:rsidR="001C2BC1">
              <w:t>d) ×</w:t>
            </w:r>
            <w:r w:rsidR="00DC1B0C">
              <w:t xml:space="preserve"> </w:t>
            </w:r>
            <w:r w:rsidR="00997978">
              <w:t>$106.54/hr</w:t>
            </w:r>
          </w:p>
        </w:tc>
        <w:tc>
          <w:tcPr>
            <w:tcW w:w="1975" w:type="dxa"/>
          </w:tcPr>
          <w:p w:rsidR="00893551" w:rsidRPr="00DE6C79" w:rsidP="003A4007" w14:paraId="3687D62C" w14:textId="77777777">
            <w:pPr>
              <w:pStyle w:val="Table11Centered"/>
            </w:pPr>
            <w:r w:rsidRPr="00DE6C79">
              <w:t>$319.62</w:t>
            </w:r>
            <w:r w:rsidRPr="00DE6C79">
              <w:rPr>
                <w:color w:val="000000"/>
              </w:rPr>
              <w:t xml:space="preserve"> </w:t>
            </w:r>
          </w:p>
        </w:tc>
      </w:tr>
      <w:tr w14:paraId="78931F16" w14:textId="77777777" w:rsidTr="00166E89">
        <w:tblPrEx>
          <w:tblW w:w="0" w:type="auto"/>
          <w:tblLayout w:type="fixed"/>
          <w:tblLook w:val="04A0"/>
        </w:tblPrEx>
        <w:trPr>
          <w:cantSplit/>
          <w:trHeight w:val="20"/>
        </w:trPr>
        <w:tc>
          <w:tcPr>
            <w:tcW w:w="7375" w:type="dxa"/>
          </w:tcPr>
          <w:p w:rsidR="00893551" w:rsidRPr="004F5699" w:rsidP="003A4007" w14:paraId="1856DB70" w14:textId="63A5BB84">
            <w:pPr>
              <w:pStyle w:val="Table11Basic"/>
            </w:pPr>
            <w:r w:rsidRPr="004F5699">
              <w:t xml:space="preserve">Cost to Review Measure Specifications </w:t>
            </w:r>
            <w:r w:rsidRPr="004F5699" w:rsidR="00EF518A">
              <w:t>(</w:t>
            </w:r>
            <w:r w:rsidR="00EF518A">
              <w:t>at</w:t>
            </w:r>
            <w:r w:rsidRPr="004F5699" w:rsidR="00EF518A">
              <w:t xml:space="preserve"> </w:t>
            </w:r>
            <w:r w:rsidRPr="004F5699">
              <w:t>Medical and Health Services Manager's Labor Rate of $129.28/hr) (n)</w:t>
            </w:r>
            <w:r w:rsidR="00997978">
              <w:t xml:space="preserve"> =(e) ×</w:t>
            </w:r>
            <w:r w:rsidR="00DC1B0C">
              <w:t xml:space="preserve"> </w:t>
            </w:r>
            <w:r w:rsidR="00997978">
              <w:t>$129.28/hr</w:t>
            </w:r>
          </w:p>
        </w:tc>
        <w:tc>
          <w:tcPr>
            <w:tcW w:w="1975" w:type="dxa"/>
          </w:tcPr>
          <w:p w:rsidR="00893551" w:rsidRPr="00DE6C79" w:rsidP="003A4007" w14:paraId="572D1BDF" w14:textId="77777777">
            <w:pPr>
              <w:pStyle w:val="Table11Centered"/>
            </w:pPr>
            <w:r w:rsidRPr="00DE6C79">
              <w:t>$</w:t>
            </w:r>
            <w:r w:rsidRPr="00DE6C79">
              <w:rPr>
                <w:color w:val="000000"/>
              </w:rPr>
              <w:t>258.56</w:t>
            </w:r>
          </w:p>
        </w:tc>
      </w:tr>
      <w:tr w14:paraId="1BF3ED47" w14:textId="77777777" w:rsidTr="00166E89">
        <w:tblPrEx>
          <w:tblW w:w="0" w:type="auto"/>
          <w:tblLayout w:type="fixed"/>
          <w:tblLook w:val="04A0"/>
        </w:tblPrEx>
        <w:trPr>
          <w:cantSplit/>
          <w:trHeight w:val="20"/>
        </w:trPr>
        <w:tc>
          <w:tcPr>
            <w:tcW w:w="7375" w:type="dxa"/>
          </w:tcPr>
          <w:p w:rsidR="00893551" w:rsidRPr="004F5699" w:rsidP="003A4007" w14:paraId="3F1C9078" w14:textId="3BA4C9C6">
            <w:pPr>
              <w:pStyle w:val="Table11Basic"/>
            </w:pPr>
            <w:r w:rsidRPr="004F5699">
              <w:t xml:space="preserve">Cost per Computer System’s Analyst Review of Measure Specifications </w:t>
            </w:r>
            <w:r w:rsidRPr="004F5699" w:rsidR="00EF518A">
              <w:t>(</w:t>
            </w:r>
            <w:r w:rsidR="00EF518A">
              <w:t>at</w:t>
            </w:r>
            <w:r w:rsidRPr="004F5699" w:rsidR="00EF518A">
              <w:t xml:space="preserve"> </w:t>
            </w:r>
            <w:r w:rsidRPr="004F5699">
              <w:t>Computer Systems Analyst’s Labor Rate of $106.54/hr) (</w:t>
            </w:r>
            <w:r w:rsidR="004E3909">
              <w:t>1</w:t>
            </w:r>
            <w:r w:rsidRPr="004F5699">
              <w:t>)</w:t>
            </w:r>
            <w:r w:rsidR="00997978">
              <w:t xml:space="preserve"> =(e) ×$106.54/hr</w:t>
            </w:r>
          </w:p>
        </w:tc>
        <w:tc>
          <w:tcPr>
            <w:tcW w:w="1975" w:type="dxa"/>
          </w:tcPr>
          <w:p w:rsidR="00893551" w:rsidRPr="00DE6C79" w:rsidP="003A4007" w14:paraId="45DF20A3" w14:textId="77777777">
            <w:pPr>
              <w:pStyle w:val="Table11Centered"/>
            </w:pPr>
            <w:r w:rsidRPr="00DE6C79">
              <w:t>$106.54</w:t>
            </w:r>
            <w:r w:rsidRPr="00DE6C79">
              <w:rPr>
                <w:color w:val="000000"/>
              </w:rPr>
              <w:t xml:space="preserve"> </w:t>
            </w:r>
          </w:p>
        </w:tc>
      </w:tr>
      <w:tr w14:paraId="18BBAFB5" w14:textId="77777777" w:rsidTr="00166E89">
        <w:tblPrEx>
          <w:tblW w:w="0" w:type="auto"/>
          <w:tblLayout w:type="fixed"/>
          <w:tblLook w:val="04A0"/>
        </w:tblPrEx>
        <w:trPr>
          <w:cantSplit/>
          <w:trHeight w:val="20"/>
        </w:trPr>
        <w:tc>
          <w:tcPr>
            <w:tcW w:w="7375" w:type="dxa"/>
          </w:tcPr>
          <w:p w:rsidR="00893551" w:rsidRPr="004F5699" w:rsidP="003A4007" w14:paraId="77E26B05" w14:textId="2AF8DE1B">
            <w:pPr>
              <w:pStyle w:val="Table11Basic"/>
            </w:pPr>
            <w:r w:rsidRPr="004F5699">
              <w:t xml:space="preserve">Cost per LPN to Review Measure Specifications </w:t>
            </w:r>
            <w:r w:rsidRPr="004F5699" w:rsidR="00EF518A">
              <w:t>(</w:t>
            </w:r>
            <w:r w:rsidR="00EF518A">
              <w:t>at</w:t>
            </w:r>
            <w:r w:rsidRPr="004F5699" w:rsidR="00EF518A">
              <w:t xml:space="preserve"> </w:t>
            </w:r>
            <w:r w:rsidRPr="004F5699">
              <w:t>LPN's Labor Rate of $58.46/hr) (p)</w:t>
            </w:r>
            <w:r w:rsidR="004E3909">
              <w:t xml:space="preserve"> =(g) ×</w:t>
            </w:r>
            <w:r w:rsidR="00DC1B0C">
              <w:t xml:space="preserve"> </w:t>
            </w:r>
            <w:r w:rsidR="004E3909">
              <w:t>$58.46/hr</w:t>
            </w:r>
          </w:p>
        </w:tc>
        <w:tc>
          <w:tcPr>
            <w:tcW w:w="1975" w:type="dxa"/>
          </w:tcPr>
          <w:p w:rsidR="00893551" w:rsidRPr="00DE6C79" w:rsidP="003A4007" w14:paraId="4430A1CB" w14:textId="77777777">
            <w:pPr>
              <w:pStyle w:val="Table11Centered"/>
            </w:pPr>
            <w:r w:rsidRPr="00DE6C79">
              <w:t>$</w:t>
            </w:r>
            <w:r w:rsidRPr="00DE6C79">
              <w:rPr>
                <w:color w:val="000000"/>
              </w:rPr>
              <w:t>58.46</w:t>
            </w:r>
          </w:p>
        </w:tc>
      </w:tr>
      <w:tr w14:paraId="2C604582" w14:textId="77777777" w:rsidTr="00166E89">
        <w:tblPrEx>
          <w:tblW w:w="0" w:type="auto"/>
          <w:tblLayout w:type="fixed"/>
          <w:tblLook w:val="04A0"/>
        </w:tblPrEx>
        <w:trPr>
          <w:cantSplit/>
          <w:trHeight w:val="20"/>
        </w:trPr>
        <w:tc>
          <w:tcPr>
            <w:tcW w:w="7375" w:type="dxa"/>
          </w:tcPr>
          <w:p w:rsidR="00893551" w:rsidRPr="004F5699" w:rsidP="003A4007" w14:paraId="735066C0" w14:textId="4C965C80">
            <w:pPr>
              <w:pStyle w:val="Table11Basic"/>
            </w:pPr>
            <w:r w:rsidRPr="004F5699">
              <w:t xml:space="preserve">Cost per Billing Clerk to Review Measure Specifications </w:t>
            </w:r>
            <w:r w:rsidRPr="004F5699" w:rsidR="00EF518A">
              <w:t>(</w:t>
            </w:r>
            <w:r w:rsidR="00EF518A">
              <w:t>at</w:t>
            </w:r>
            <w:r w:rsidRPr="004F5699" w:rsidR="00EF518A">
              <w:t xml:space="preserve"> </w:t>
            </w:r>
            <w:r w:rsidRPr="004F5699">
              <w:t>Clerk’s Labor Rate of $45.32/hr) (q)</w:t>
            </w:r>
            <w:r w:rsidR="004E3909">
              <w:t xml:space="preserve"> =(h) ×</w:t>
            </w:r>
            <w:r w:rsidR="00DC1B0C">
              <w:t xml:space="preserve"> </w:t>
            </w:r>
            <w:r w:rsidR="004E3909">
              <w:t>$</w:t>
            </w:r>
            <w:r w:rsidR="00EB10CB">
              <w:t>45.32</w:t>
            </w:r>
            <w:r w:rsidR="004E3909">
              <w:t>/hr</w:t>
            </w:r>
          </w:p>
        </w:tc>
        <w:tc>
          <w:tcPr>
            <w:tcW w:w="1975" w:type="dxa"/>
          </w:tcPr>
          <w:p w:rsidR="00893551" w:rsidRPr="00DE6C79" w:rsidP="003A4007" w14:paraId="6E82D633" w14:textId="77777777">
            <w:pPr>
              <w:pStyle w:val="Table11Centered"/>
            </w:pPr>
            <w:r w:rsidRPr="00DE6C79">
              <w:t>$</w:t>
            </w:r>
            <w:r w:rsidRPr="00DE6C79">
              <w:rPr>
                <w:color w:val="000000"/>
              </w:rPr>
              <w:t>45.32</w:t>
            </w:r>
          </w:p>
        </w:tc>
      </w:tr>
      <w:tr w14:paraId="0D567C11" w14:textId="77777777" w:rsidTr="00166E89">
        <w:tblPrEx>
          <w:tblW w:w="0" w:type="auto"/>
          <w:tblLayout w:type="fixed"/>
          <w:tblLook w:val="04A0"/>
        </w:tblPrEx>
        <w:trPr>
          <w:cantSplit/>
          <w:trHeight w:val="20"/>
        </w:trPr>
        <w:tc>
          <w:tcPr>
            <w:tcW w:w="7375" w:type="dxa"/>
          </w:tcPr>
          <w:p w:rsidR="00893551" w:rsidRPr="004F5699" w:rsidP="003A4007" w14:paraId="0457641F" w14:textId="48540FA8">
            <w:pPr>
              <w:pStyle w:val="Table11Basic"/>
            </w:pPr>
            <w:r w:rsidRPr="004F5699">
              <w:t xml:space="preserve">Cost for Physician to Review Measure Specifications </w:t>
            </w:r>
            <w:r w:rsidRPr="004F5699" w:rsidR="00EF518A">
              <w:t>(</w:t>
            </w:r>
            <w:r w:rsidR="00EF518A">
              <w:t>at</w:t>
            </w:r>
            <w:r w:rsidRPr="004F5699" w:rsidR="00EF518A">
              <w:t xml:space="preserve"> </w:t>
            </w:r>
            <w:r w:rsidRPr="004F5699">
              <w:t>Physician’s Labor Rate of $291.64/hr) (r)</w:t>
            </w:r>
          </w:p>
        </w:tc>
        <w:tc>
          <w:tcPr>
            <w:tcW w:w="1975" w:type="dxa"/>
          </w:tcPr>
          <w:p w:rsidR="00893551" w:rsidRPr="00DE6C79" w:rsidP="003A4007" w14:paraId="27A8AF36" w14:textId="77777777">
            <w:pPr>
              <w:pStyle w:val="Table11Centered"/>
            </w:pPr>
            <w:r w:rsidRPr="00DE6C79">
              <w:t>$291.64</w:t>
            </w:r>
            <w:r w:rsidRPr="00DE6C79">
              <w:rPr>
                <w:color w:val="000000"/>
              </w:rPr>
              <w:t xml:space="preserve"> </w:t>
            </w:r>
          </w:p>
        </w:tc>
      </w:tr>
      <w:tr w14:paraId="6765232C" w14:textId="77777777" w:rsidTr="00166E89">
        <w:tblPrEx>
          <w:tblW w:w="0" w:type="auto"/>
          <w:tblLayout w:type="fixed"/>
          <w:tblLook w:val="04A0"/>
        </w:tblPrEx>
        <w:trPr>
          <w:cantSplit/>
          <w:trHeight w:val="20"/>
        </w:trPr>
        <w:tc>
          <w:tcPr>
            <w:tcW w:w="7375" w:type="dxa"/>
          </w:tcPr>
          <w:p w:rsidR="00893551" w:rsidRPr="004F5699" w:rsidP="003A4007" w14:paraId="49E25CA9" w14:textId="732BE1F0">
            <w:pPr>
              <w:pStyle w:val="Table11Basic"/>
            </w:pPr>
            <w:r w:rsidRPr="004F5699">
              <w:t xml:space="preserve">Cost for Respondent to Authorize Qualified Registry/QCDR to Report on Respondent's Behalf </w:t>
            </w:r>
            <w:r w:rsidRPr="004F5699" w:rsidR="00EF518A">
              <w:t>(</w:t>
            </w:r>
            <w:r w:rsidR="00EF518A">
              <w:t>at</w:t>
            </w:r>
            <w:r w:rsidRPr="004F5699" w:rsidR="00EF518A">
              <w:t xml:space="preserve"> </w:t>
            </w:r>
            <w:r w:rsidRPr="004F5699">
              <w:t>Computer Systems Analyst’s Labor Rate of $106.54/hr) (s)</w:t>
            </w:r>
            <w:r w:rsidR="00EB10CB">
              <w:t xml:space="preserve"> =(</w:t>
            </w:r>
            <w:r w:rsidR="000B0A90">
              <w:t>j</w:t>
            </w:r>
            <w:r w:rsidR="00EB10CB">
              <w:t>) ×</w:t>
            </w:r>
            <w:r w:rsidR="00DC1B0C">
              <w:t xml:space="preserve"> </w:t>
            </w:r>
            <w:r w:rsidR="00EB10CB">
              <w:t>$</w:t>
            </w:r>
            <w:r w:rsidR="000B0A90">
              <w:t>106.54</w:t>
            </w:r>
            <w:r w:rsidR="00EB10CB">
              <w:t>/hr</w:t>
            </w:r>
          </w:p>
        </w:tc>
        <w:tc>
          <w:tcPr>
            <w:tcW w:w="1975" w:type="dxa"/>
          </w:tcPr>
          <w:p w:rsidR="00893551" w:rsidRPr="00DE6C79" w:rsidP="003A4007" w14:paraId="0C0999FD" w14:textId="77777777">
            <w:pPr>
              <w:pStyle w:val="Table11Centered"/>
            </w:pPr>
            <w:r w:rsidRPr="00DE6C79">
              <w:t xml:space="preserve">$8.84 </w:t>
            </w:r>
          </w:p>
        </w:tc>
      </w:tr>
      <w:tr w14:paraId="7899F65E" w14:textId="77777777" w:rsidTr="00166E89">
        <w:tblPrEx>
          <w:tblW w:w="0" w:type="auto"/>
          <w:tblLayout w:type="fixed"/>
          <w:tblLook w:val="04A0"/>
        </w:tblPrEx>
        <w:trPr>
          <w:cantSplit/>
          <w:trHeight w:val="20"/>
        </w:trPr>
        <w:tc>
          <w:tcPr>
            <w:tcW w:w="7375" w:type="dxa"/>
          </w:tcPr>
          <w:p w:rsidR="00893551" w:rsidRPr="004F5699" w:rsidP="003A4007" w14:paraId="2E034BE4" w14:textId="77777777">
            <w:pPr>
              <w:pStyle w:val="Table11Basic"/>
            </w:pPr>
            <w:r w:rsidRPr="004F5699">
              <w:t>Total Annual Cost Per Respondent (t) = (m) + (n) + (o) + (p) + (q) + (r) + (s)</w:t>
            </w:r>
          </w:p>
        </w:tc>
        <w:tc>
          <w:tcPr>
            <w:tcW w:w="1975" w:type="dxa"/>
          </w:tcPr>
          <w:p w:rsidR="00893551" w:rsidRPr="00DE6C79" w:rsidP="003A4007" w14:paraId="4F833BCD" w14:textId="77777777">
            <w:pPr>
              <w:pStyle w:val="Table11Centered"/>
            </w:pPr>
            <w:r w:rsidRPr="00DE6C79">
              <w:t>$1,088.98</w:t>
            </w:r>
            <w:r w:rsidRPr="00DE6C79">
              <w:rPr>
                <w:color w:val="000000"/>
              </w:rPr>
              <w:t xml:space="preserve"> </w:t>
            </w:r>
          </w:p>
        </w:tc>
      </w:tr>
      <w:tr w14:paraId="75A0048E" w14:textId="77777777" w:rsidTr="00166E89">
        <w:tblPrEx>
          <w:tblW w:w="0" w:type="auto"/>
          <w:tblLayout w:type="fixed"/>
          <w:tblLook w:val="04A0"/>
        </w:tblPrEx>
        <w:trPr>
          <w:cantSplit/>
          <w:trHeight w:val="20"/>
        </w:trPr>
        <w:tc>
          <w:tcPr>
            <w:tcW w:w="7375" w:type="dxa"/>
            <w:shd w:val="clear" w:color="auto" w:fill="E7E6E6" w:themeFill="background2"/>
          </w:tcPr>
          <w:p w:rsidR="00893551" w:rsidRPr="004F5699" w:rsidP="003A4007" w14:paraId="458D7E9E" w14:textId="163148BD">
            <w:pPr>
              <w:pStyle w:val="Table11Basic"/>
            </w:pPr>
            <w:r w:rsidRPr="004F5699">
              <w:rPr>
                <w:b/>
              </w:rPr>
              <w:t xml:space="preserve">Total Annual Cost (u) = (c) </w:t>
            </w:r>
            <w:r w:rsidR="00773DB8">
              <w:rPr>
                <w:b/>
                <w:bCs/>
                <w:color w:val="000000" w:themeColor="text1"/>
              </w:rPr>
              <w:t>[</w:t>
            </w:r>
            <w:r w:rsidRPr="00F81FDB" w:rsidR="00F81FDB">
              <w:rPr>
                <w:b/>
                <w:bCs/>
              </w:rPr>
              <w:t>×</w:t>
            </w:r>
            <w:r w:rsidR="00773DB8">
              <w:rPr>
                <w:b/>
                <w:bCs/>
                <w:color w:val="000000" w:themeColor="text1"/>
              </w:rPr>
              <w:t>]</w:t>
            </w:r>
            <w:r w:rsidRPr="004F5699">
              <w:rPr>
                <w:b/>
              </w:rPr>
              <w:t xml:space="preserve"> (t)</w:t>
            </w:r>
          </w:p>
        </w:tc>
        <w:tc>
          <w:tcPr>
            <w:tcW w:w="1975" w:type="dxa"/>
            <w:shd w:val="clear" w:color="auto" w:fill="E7E6E6" w:themeFill="background2"/>
          </w:tcPr>
          <w:p w:rsidR="00893551" w:rsidRPr="00DE6C79" w:rsidP="003A4007" w14:paraId="603F40A6" w14:textId="77777777">
            <w:pPr>
              <w:pStyle w:val="Table11Centered"/>
            </w:pPr>
            <w:r w:rsidRPr="00DE6C79">
              <w:rPr>
                <w:b/>
              </w:rPr>
              <w:t>$18,521,372</w:t>
            </w:r>
            <w:r w:rsidRPr="00DE6C79">
              <w:rPr>
                <w:b/>
                <w:color w:val="000000"/>
              </w:rPr>
              <w:t xml:space="preserve"> </w:t>
            </w:r>
          </w:p>
        </w:tc>
      </w:tr>
    </w:tbl>
    <w:p w:rsidR="00C351ED" w:rsidRPr="00DF359E" w:rsidP="00E03843" w14:paraId="1EF3F5C6" w14:textId="2CA111F0">
      <w:pPr>
        <w:pStyle w:val="Heading5"/>
        <w:rPr>
          <w:iCs/>
        </w:rPr>
      </w:pPr>
      <w:r>
        <w:t>vi.</w:t>
      </w:r>
      <w:r>
        <w:tab/>
      </w:r>
      <w:r w:rsidRPr="00DF359E">
        <w:t>Burden for Quality Data Submission by Clinicians</w:t>
      </w:r>
      <w:r w:rsidRPr="00DF359E" w:rsidR="001964ED">
        <w:t xml:space="preserve"> and</w:t>
      </w:r>
      <w:r w:rsidRPr="00DF359E">
        <w:t xml:space="preserve"> Groups: eCQM Collection Type</w:t>
      </w:r>
    </w:p>
    <w:p w:rsidR="00597766" w:rsidRPr="00597766" w:rsidP="0067016B" w14:paraId="6122C363" w14:textId="19F8F682">
      <w:pPr>
        <w:pStyle w:val="BodyText-PostHead"/>
        <w:spacing w:before="240"/>
        <w:rPr>
          <w:rFonts w:eastAsia="Calibri"/>
        </w:rPr>
      </w:pPr>
      <w:r w:rsidRPr="00597766">
        <w:rPr>
          <w:rFonts w:eastAsia="Calibri"/>
        </w:rPr>
        <w:t>As noted in Table</w:t>
      </w:r>
      <w:r w:rsidR="004B631D">
        <w:rPr>
          <w:rFonts w:eastAsia="Calibri"/>
        </w:rPr>
        <w:t xml:space="preserve"> </w:t>
      </w:r>
      <w:r w:rsidR="00211F39">
        <w:rPr>
          <w:rFonts w:eastAsia="Calibri"/>
        </w:rPr>
        <w:t>1</w:t>
      </w:r>
      <w:r w:rsidR="009E1F53">
        <w:rPr>
          <w:rFonts w:eastAsia="Calibri"/>
        </w:rPr>
        <w:t>3</w:t>
      </w:r>
      <w:r w:rsidR="004B631D">
        <w:rPr>
          <w:rFonts w:eastAsia="Calibri"/>
        </w:rPr>
        <w:t xml:space="preserve"> below, </w:t>
      </w:r>
      <w:r w:rsidR="00377E40">
        <w:rPr>
          <w:rFonts w:eastAsia="Calibri"/>
          <w:shd w:val="clear" w:color="auto" w:fill="FFFFFF"/>
        </w:rPr>
        <w:t xml:space="preserve">based </w:t>
      </w:r>
      <w:r w:rsidR="003F6059">
        <w:rPr>
          <w:rFonts w:eastAsia="Calibri"/>
          <w:shd w:val="clear" w:color="auto" w:fill="FFFFFF"/>
        </w:rPr>
        <w:t>on</w:t>
      </w:r>
      <w:r w:rsidR="00D915F6">
        <w:rPr>
          <w:rFonts w:eastAsia="Calibri"/>
          <w:shd w:val="clear" w:color="auto" w:fill="FFFFFF"/>
        </w:rPr>
        <w:t xml:space="preserve"> </w:t>
      </w:r>
      <w:r w:rsidR="00D54FB5">
        <w:rPr>
          <w:shd w:val="clear" w:color="auto" w:fill="FFFFFF"/>
        </w:rPr>
        <w:t>updated data available from the CY 2022 performance period/2024 MIPS payment year and updated MVP reporting assumptions</w:t>
      </w:r>
      <w:r w:rsidRPr="003F6059" w:rsidR="003F6059">
        <w:rPr>
          <w:rFonts w:eastAsia="Calibri"/>
        </w:rPr>
        <w:t xml:space="preserve">, </w:t>
      </w:r>
      <w:r w:rsidRPr="00753E2D" w:rsidR="00753E2D">
        <w:rPr>
          <w:rFonts w:eastAsia="Calibri"/>
        </w:rPr>
        <w:t xml:space="preserve">we </w:t>
      </w:r>
      <w:r w:rsidR="008549F8">
        <w:rPr>
          <w:rFonts w:eastAsia="Calibri"/>
        </w:rPr>
        <w:t>estimat</w:t>
      </w:r>
      <w:r w:rsidRPr="00753E2D" w:rsidR="00753E2D">
        <w:rPr>
          <w:rFonts w:eastAsia="Calibri"/>
        </w:rPr>
        <w:t xml:space="preserve">e that </w:t>
      </w:r>
      <w:r w:rsidR="009768EE">
        <w:rPr>
          <w:rFonts w:eastAsia="Calibri"/>
        </w:rPr>
        <w:t>27,179</w:t>
      </w:r>
      <w:r w:rsidR="00FE695C">
        <w:rPr>
          <w:rFonts w:eastAsia="Calibri"/>
        </w:rPr>
        <w:t xml:space="preserve"> </w:t>
      </w:r>
      <w:r w:rsidRPr="00753E2D" w:rsidR="00753E2D">
        <w:rPr>
          <w:rFonts w:eastAsia="Calibri"/>
        </w:rPr>
        <w:t>clinicians</w:t>
      </w:r>
      <w:r w:rsidR="00FE695C">
        <w:rPr>
          <w:rFonts w:eastAsia="Calibri"/>
        </w:rPr>
        <w:t xml:space="preserve"> (</w:t>
      </w:r>
      <w:r w:rsidR="009768EE">
        <w:rPr>
          <w:rFonts w:eastAsia="Calibri"/>
        </w:rPr>
        <w:t>21,240</w:t>
      </w:r>
      <w:r w:rsidR="007150A7">
        <w:rPr>
          <w:rFonts w:eastAsia="Calibri"/>
        </w:rPr>
        <w:t xml:space="preserve"> individual clinicians and 5</w:t>
      </w:r>
      <w:r w:rsidR="009768EE">
        <w:rPr>
          <w:rFonts w:eastAsia="Calibri"/>
        </w:rPr>
        <w:t>,939</w:t>
      </w:r>
      <w:r w:rsidR="007150A7">
        <w:rPr>
          <w:rFonts w:eastAsia="Calibri"/>
        </w:rPr>
        <w:t xml:space="preserve"> groups and virtual groups</w:t>
      </w:r>
      <w:r w:rsidR="00FE695C">
        <w:rPr>
          <w:rFonts w:eastAsia="Calibri"/>
        </w:rPr>
        <w:t>)</w:t>
      </w:r>
      <w:r w:rsidRPr="00753E2D" w:rsidR="00753E2D">
        <w:rPr>
          <w:rFonts w:eastAsia="Calibri"/>
        </w:rPr>
        <w:t xml:space="preserve"> </w:t>
      </w:r>
      <w:r w:rsidR="00C84E67">
        <w:rPr>
          <w:rFonts w:eastAsia="Calibri"/>
        </w:rPr>
        <w:t>will</w:t>
      </w:r>
      <w:r w:rsidRPr="00753E2D" w:rsidR="00753E2D">
        <w:rPr>
          <w:rFonts w:eastAsia="Calibri"/>
        </w:rPr>
        <w:t xml:space="preserve"> submit </w:t>
      </w:r>
      <w:r w:rsidR="00C84E67">
        <w:rPr>
          <w:rFonts w:eastAsia="Calibri"/>
        </w:rPr>
        <w:t xml:space="preserve">quality data </w:t>
      </w:r>
      <w:r w:rsidR="005217B6">
        <w:rPr>
          <w:rFonts w:eastAsia="Calibri"/>
        </w:rPr>
        <w:t xml:space="preserve">using the </w:t>
      </w:r>
      <w:r w:rsidRPr="00753E2D" w:rsidR="00753E2D">
        <w:rPr>
          <w:rFonts w:eastAsia="Calibri"/>
        </w:rPr>
        <w:t>eCQM</w:t>
      </w:r>
      <w:r w:rsidR="005217B6">
        <w:rPr>
          <w:rFonts w:eastAsia="Calibri"/>
        </w:rPr>
        <w:t xml:space="preserve"> collection type</w:t>
      </w:r>
      <w:r w:rsidR="002245A8">
        <w:rPr>
          <w:rFonts w:eastAsia="Calibri"/>
        </w:rPr>
        <w:t xml:space="preserve"> for the CY 202</w:t>
      </w:r>
      <w:r w:rsidR="009768EE">
        <w:rPr>
          <w:rFonts w:eastAsia="Calibri"/>
        </w:rPr>
        <w:t>5</w:t>
      </w:r>
      <w:r w:rsidR="002245A8">
        <w:rPr>
          <w:rFonts w:eastAsia="Calibri"/>
        </w:rPr>
        <w:t xml:space="preserve"> performance period/202</w:t>
      </w:r>
      <w:r w:rsidR="009768EE">
        <w:rPr>
          <w:rFonts w:eastAsia="Calibri"/>
        </w:rPr>
        <w:t>7</w:t>
      </w:r>
      <w:r w:rsidR="002245A8">
        <w:rPr>
          <w:rFonts w:eastAsia="Calibri"/>
        </w:rPr>
        <w:t xml:space="preserve"> MIPS payment year</w:t>
      </w:r>
      <w:r w:rsidR="00FD2F34">
        <w:rPr>
          <w:rFonts w:eastAsia="Calibri"/>
        </w:rPr>
        <w:t xml:space="preserve">. </w:t>
      </w:r>
      <w:r w:rsidRPr="00753E2D" w:rsidR="00753E2D">
        <w:rPr>
          <w:rFonts w:eastAsia="Calibri"/>
        </w:rPr>
        <w:t>We expect the burden to be the same for each respondent using the eCQM collection type, whether the clinician is participating in MIPS as an individual or group</w:t>
      </w:r>
      <w:r w:rsidRPr="00C40280" w:rsidR="00C40280">
        <w:rPr>
          <w:rFonts w:eastAsia="Calibri"/>
        </w:rPr>
        <w:t>.</w:t>
      </w:r>
    </w:p>
    <w:p w:rsidR="0015124B" w:rsidRPr="0015124B" w:rsidP="003A4007" w14:paraId="5FCC58BC" w14:textId="556E3914">
      <w:pPr>
        <w:pStyle w:val="BodyText"/>
        <w:rPr>
          <w:rFonts w:eastAsia="Calibri"/>
        </w:rPr>
      </w:pPr>
      <w:r w:rsidRPr="0015124B">
        <w:rPr>
          <w:rFonts w:eastAsia="Calibri"/>
        </w:rPr>
        <w:t>Under the eCQM collection type, the individual clinician or group may either submit the quality measures data directly to us from their eCQM, log in and upload a file, or utilize a third</w:t>
      </w:r>
      <w:r w:rsidR="008141F3">
        <w:rPr>
          <w:rFonts w:eastAsia="Calibri"/>
        </w:rPr>
        <w:t xml:space="preserve"> </w:t>
      </w:r>
      <w:r w:rsidRPr="0015124B">
        <w:rPr>
          <w:rFonts w:eastAsia="Calibri"/>
        </w:rPr>
        <w:t>party intermediary to derive data from their CEHRT and submit it to us on the clinician’s or group’s behalf.</w:t>
      </w:r>
    </w:p>
    <w:p w:rsidR="00597766" w:rsidRPr="00597766" w:rsidP="003A4007" w14:paraId="7BB59BA9" w14:textId="44077AB9">
      <w:pPr>
        <w:pStyle w:val="BodyText"/>
        <w:rPr>
          <w:rFonts w:eastAsia="Calibri"/>
        </w:rPr>
      </w:pPr>
      <w:r w:rsidRPr="003F6059">
        <w:rPr>
          <w:rFonts w:eastAsia="Calibri"/>
        </w:rPr>
        <w:t xml:space="preserve">To prepare for the eCQM collection type, the clinician or group must review the quality measures on which </w:t>
      </w:r>
      <w:r w:rsidR="0081567C">
        <w:rPr>
          <w:rFonts w:eastAsia="Calibri"/>
        </w:rPr>
        <w:t>CMS</w:t>
      </w:r>
      <w:r w:rsidRPr="003F6059" w:rsidR="0081567C">
        <w:rPr>
          <w:rFonts w:eastAsia="Calibri"/>
        </w:rPr>
        <w:t xml:space="preserve"> </w:t>
      </w:r>
      <w:r w:rsidRPr="003F6059">
        <w:rPr>
          <w:rFonts w:eastAsia="Calibri"/>
        </w:rPr>
        <w:t xml:space="preserve">will be accepting MIPS data extracted from eCQMs, select the appropriate quality measures, extract the necessary clinical data from their CEHRT, and submit the necessary data to a QCDR/qualified registry to submit the data on behalf of the clinician or group. We assume the burden for collecting quality measures data via eCQM is similar for clinicians and groups who submit their data directly to us from their CEHRT and clinicians and groups who use a </w:t>
      </w:r>
      <w:r w:rsidR="0081567C">
        <w:rPr>
          <w:rFonts w:eastAsia="Calibri"/>
        </w:rPr>
        <w:t>third party intermediary</w:t>
      </w:r>
      <w:r w:rsidRPr="003F6059">
        <w:rPr>
          <w:rFonts w:eastAsia="Calibri"/>
        </w:rPr>
        <w:t xml:space="preserve"> to submit the data on their behalf. This includes extracting the necessary clinical data from their CEHRT and submitting the necessary data to the </w:t>
      </w:r>
      <w:r>
        <w:rPr>
          <w:rFonts w:eastAsia="Calibri"/>
        </w:rPr>
        <w:t>QCDR/qualified registry</w:t>
      </w:r>
      <w:r w:rsidRPr="00597766">
        <w:rPr>
          <w:rFonts w:eastAsia="Calibri"/>
        </w:rPr>
        <w:t>.</w:t>
      </w:r>
    </w:p>
    <w:p w:rsidR="00BC2347" w:rsidP="003A4007" w14:paraId="17817310" w14:textId="7FC90904">
      <w:pPr>
        <w:pStyle w:val="BodyText"/>
        <w:rPr>
          <w:rFonts w:eastAsia="Calibri"/>
        </w:rPr>
      </w:pPr>
      <w:r w:rsidRPr="00CC2BFB">
        <w:rPr>
          <w:rFonts w:eastAsia="Calibri"/>
        </w:rPr>
        <w:t xml:space="preserve">We estimate that it will take no more than 2 hours at </w:t>
      </w:r>
      <w:r w:rsidR="007D530F">
        <w:rPr>
          <w:rFonts w:eastAsia="Calibri"/>
        </w:rPr>
        <w:t>$106.54</w:t>
      </w:r>
      <w:r w:rsidRPr="00CC2BFB">
        <w:rPr>
          <w:rFonts w:eastAsia="Calibri"/>
        </w:rPr>
        <w:t xml:space="preserve">/hr for a computer systems analyst to submit the actual data file. The burden will also involve becoming familiar with MIPS submission. In this regard, we estimate it </w:t>
      </w:r>
      <w:r w:rsidRPr="0DBBB1C1">
        <w:rPr>
          <w:rFonts w:eastAsia="Calibri"/>
          <w:snapToGrid w:val="0"/>
        </w:rPr>
        <w:t>will</w:t>
      </w:r>
      <w:r w:rsidRPr="00CC2BFB">
        <w:rPr>
          <w:rFonts w:eastAsia="Calibri"/>
        </w:rPr>
        <w:t xml:space="preserve"> take 6 hours for a clinician or group to review measure specifications. Of that time, </w:t>
      </w:r>
      <w:r w:rsidRPr="003F6059" w:rsidR="003F6059">
        <w:rPr>
          <w:rFonts w:eastAsia="Calibri"/>
        </w:rPr>
        <w:t>we estimate 2 hours at $</w:t>
      </w:r>
      <w:r w:rsidR="008A7526">
        <w:rPr>
          <w:rFonts w:eastAsia="Calibri"/>
        </w:rPr>
        <w:t>129.28</w:t>
      </w:r>
      <w:r w:rsidRPr="003F6059" w:rsidR="003F6059">
        <w:rPr>
          <w:rFonts w:eastAsia="Calibri"/>
        </w:rPr>
        <w:t>/hr for a medical and health services manager, 1 hour at $</w:t>
      </w:r>
      <w:r w:rsidR="001C68CA">
        <w:rPr>
          <w:rFonts w:eastAsia="Calibri"/>
        </w:rPr>
        <w:t>291.64</w:t>
      </w:r>
      <w:r w:rsidRPr="003F6059" w:rsidR="003F6059">
        <w:rPr>
          <w:rFonts w:eastAsia="Calibri"/>
        </w:rPr>
        <w:t xml:space="preserve">/hr for a physician, 1 hour at </w:t>
      </w:r>
      <w:r w:rsidR="007D530F">
        <w:rPr>
          <w:rFonts w:eastAsia="Calibri"/>
        </w:rPr>
        <w:t>$106.54</w:t>
      </w:r>
      <w:r w:rsidRPr="003F6059" w:rsidR="003F6059">
        <w:rPr>
          <w:rFonts w:eastAsia="Calibri"/>
        </w:rPr>
        <w:t>/hr for a computer systems analyst, 1 hour at $</w:t>
      </w:r>
      <w:r w:rsidR="001C68CA">
        <w:rPr>
          <w:rFonts w:eastAsia="Calibri"/>
        </w:rPr>
        <w:t>58.46</w:t>
      </w:r>
      <w:r w:rsidRPr="003F6059" w:rsidR="003F6059">
        <w:rPr>
          <w:rFonts w:eastAsia="Calibri"/>
        </w:rPr>
        <w:t>/hr for an LPN, and 1 hour at $</w:t>
      </w:r>
      <w:r w:rsidR="001C68CA">
        <w:rPr>
          <w:rFonts w:eastAsia="Calibri"/>
        </w:rPr>
        <w:t>45.32</w:t>
      </w:r>
      <w:r w:rsidRPr="003F6059" w:rsidR="003F6059">
        <w:rPr>
          <w:rFonts w:eastAsia="Calibri"/>
        </w:rPr>
        <w:t xml:space="preserve">/hr for a billing clerk. </w:t>
      </w:r>
      <w:r w:rsidR="003F6059">
        <w:rPr>
          <w:rFonts w:eastAsia="Calibri"/>
        </w:rPr>
        <w:t xml:space="preserve">As shown in Table </w:t>
      </w:r>
      <w:r w:rsidR="00E466B5">
        <w:rPr>
          <w:rFonts w:eastAsia="Calibri"/>
        </w:rPr>
        <w:t>1</w:t>
      </w:r>
      <w:r w:rsidR="009E1F53">
        <w:rPr>
          <w:rFonts w:eastAsia="Calibri"/>
        </w:rPr>
        <w:t>3</w:t>
      </w:r>
      <w:r w:rsidR="003F6059">
        <w:rPr>
          <w:rFonts w:eastAsia="Calibri"/>
        </w:rPr>
        <w:t xml:space="preserve">, </w:t>
      </w:r>
      <w:r w:rsidRPr="003F6059" w:rsidR="003F6059">
        <w:rPr>
          <w:rFonts w:eastAsia="Calibri"/>
        </w:rPr>
        <w:t>we estimate a cost of $</w:t>
      </w:r>
      <w:r w:rsidR="001C68CA">
        <w:rPr>
          <w:rFonts w:eastAsia="Calibri"/>
        </w:rPr>
        <w:t>973.60</w:t>
      </w:r>
      <w:r w:rsidRPr="003F6059" w:rsidR="003F6059">
        <w:rPr>
          <w:rFonts w:eastAsia="Calibri"/>
        </w:rPr>
        <w:t xml:space="preserve">/response [(2 hr </w:t>
      </w:r>
      <w:r w:rsidR="00B51A1D">
        <w:t>×</w:t>
      </w:r>
      <w:r w:rsidRPr="003F6059" w:rsidR="003F6059">
        <w:rPr>
          <w:rFonts w:eastAsia="Calibri"/>
        </w:rPr>
        <w:t xml:space="preserve"> </w:t>
      </w:r>
      <w:r w:rsidR="007D530F">
        <w:rPr>
          <w:rFonts w:eastAsia="Calibri"/>
        </w:rPr>
        <w:t>$106.54</w:t>
      </w:r>
      <w:r w:rsidRPr="003F6059" w:rsidR="003F6059">
        <w:rPr>
          <w:rFonts w:eastAsia="Calibri"/>
        </w:rPr>
        <w:t xml:space="preserve">/hr) + (2 hr </w:t>
      </w:r>
      <w:r w:rsidR="00B51A1D">
        <w:t>×</w:t>
      </w:r>
      <w:r w:rsidRPr="003F6059" w:rsidR="003F6059">
        <w:rPr>
          <w:rFonts w:eastAsia="Calibri"/>
        </w:rPr>
        <w:t xml:space="preserve"> $</w:t>
      </w:r>
      <w:r w:rsidR="001C68CA">
        <w:rPr>
          <w:rFonts w:eastAsia="Calibri"/>
        </w:rPr>
        <w:t>129.28</w:t>
      </w:r>
      <w:r w:rsidRPr="003F6059" w:rsidR="003F6059">
        <w:rPr>
          <w:rFonts w:eastAsia="Calibri"/>
        </w:rPr>
        <w:t xml:space="preserve">/hr) + (1 hr </w:t>
      </w:r>
      <w:r w:rsidR="00B51A1D">
        <w:t>×</w:t>
      </w:r>
      <w:r w:rsidRPr="003F6059" w:rsidR="003F6059">
        <w:rPr>
          <w:rFonts w:eastAsia="Calibri"/>
        </w:rPr>
        <w:t xml:space="preserve"> $</w:t>
      </w:r>
      <w:r w:rsidR="00A40007">
        <w:rPr>
          <w:rFonts w:eastAsia="Calibri"/>
        </w:rPr>
        <w:t>291.64</w:t>
      </w:r>
      <w:r w:rsidRPr="003F6059" w:rsidR="003F6059">
        <w:rPr>
          <w:rFonts w:eastAsia="Calibri"/>
        </w:rPr>
        <w:t xml:space="preserve">/hr) + (1 hr </w:t>
      </w:r>
      <w:r w:rsidR="00B51A1D">
        <w:t>×</w:t>
      </w:r>
      <w:r w:rsidRPr="003F6059" w:rsidR="003F6059">
        <w:rPr>
          <w:rFonts w:eastAsia="Calibri"/>
        </w:rPr>
        <w:t xml:space="preserve"> </w:t>
      </w:r>
      <w:r w:rsidR="007D530F">
        <w:rPr>
          <w:rFonts w:eastAsia="Calibri"/>
        </w:rPr>
        <w:t>$106.54</w:t>
      </w:r>
      <w:r w:rsidRPr="003F6059" w:rsidR="003F6059">
        <w:rPr>
          <w:rFonts w:eastAsia="Calibri"/>
        </w:rPr>
        <w:t xml:space="preserve">/hr) + (1 hr </w:t>
      </w:r>
      <w:r w:rsidR="00B51A1D">
        <w:t>×</w:t>
      </w:r>
      <w:r w:rsidRPr="003F6059" w:rsidR="003F6059">
        <w:rPr>
          <w:rFonts w:eastAsia="Calibri"/>
        </w:rPr>
        <w:t xml:space="preserve"> $</w:t>
      </w:r>
      <w:r w:rsidR="00A40007">
        <w:rPr>
          <w:rFonts w:eastAsia="Calibri"/>
        </w:rPr>
        <w:t>58.46</w:t>
      </w:r>
      <w:r w:rsidRPr="003F6059" w:rsidR="003F6059">
        <w:rPr>
          <w:rFonts w:eastAsia="Calibri"/>
        </w:rPr>
        <w:t xml:space="preserve">/hr) + (1 hr </w:t>
      </w:r>
      <w:r w:rsidR="00B51A1D">
        <w:t>×</w:t>
      </w:r>
      <w:r w:rsidRPr="003F6059" w:rsidR="003F6059">
        <w:rPr>
          <w:rFonts w:eastAsia="Calibri"/>
        </w:rPr>
        <w:t xml:space="preserve"> $</w:t>
      </w:r>
      <w:r w:rsidR="00A40007">
        <w:rPr>
          <w:rFonts w:eastAsia="Calibri"/>
        </w:rPr>
        <w:t>45.32</w:t>
      </w:r>
      <w:r w:rsidRPr="003F6059" w:rsidR="003F6059">
        <w:rPr>
          <w:rFonts w:eastAsia="Calibri"/>
        </w:rPr>
        <w:t>/hr)]</w:t>
      </w:r>
      <w:r w:rsidRPr="00BC2347">
        <w:rPr>
          <w:rFonts w:eastAsia="Calibri"/>
        </w:rPr>
        <w:t>.</w:t>
      </w:r>
    </w:p>
    <w:p w:rsidR="001E287C" w:rsidRPr="00BC2347" w:rsidP="003A4007" w14:paraId="27843669" w14:textId="733035F7">
      <w:pPr>
        <w:pStyle w:val="BodyText"/>
        <w:rPr>
          <w:rFonts w:eastAsia="Calibri"/>
        </w:rPr>
      </w:pPr>
      <w:r>
        <w:rPr>
          <w:rFonts w:eastAsia="Calibri"/>
        </w:rPr>
        <w:t xml:space="preserve">As shown in Table </w:t>
      </w:r>
      <w:r w:rsidR="00FA3B6E">
        <w:rPr>
          <w:rFonts w:eastAsia="Calibri"/>
        </w:rPr>
        <w:t>13</w:t>
      </w:r>
      <w:r>
        <w:rPr>
          <w:rFonts w:eastAsia="Calibri"/>
        </w:rPr>
        <w:t xml:space="preserve">, for </w:t>
      </w:r>
      <w:r w:rsidRPr="001E287C">
        <w:rPr>
          <w:rFonts w:eastAsia="Calibri"/>
        </w:rPr>
        <w:t xml:space="preserve">the </w:t>
      </w:r>
      <w:r w:rsidR="00651DBA">
        <w:rPr>
          <w:rFonts w:eastAsia="Calibri"/>
        </w:rPr>
        <w:t xml:space="preserve">CY </w:t>
      </w:r>
      <w:r w:rsidRPr="001E287C">
        <w:rPr>
          <w:rFonts w:eastAsia="Calibri"/>
        </w:rPr>
        <w:t>202</w:t>
      </w:r>
      <w:r w:rsidR="00A40007">
        <w:rPr>
          <w:rFonts w:eastAsia="Calibri"/>
        </w:rPr>
        <w:t>5</w:t>
      </w:r>
      <w:r w:rsidR="00D15369">
        <w:rPr>
          <w:rFonts w:eastAsia="Calibri"/>
        </w:rPr>
        <w:t xml:space="preserve"> </w:t>
      </w:r>
      <w:r w:rsidRPr="001E287C">
        <w:rPr>
          <w:rFonts w:eastAsia="Calibri"/>
        </w:rPr>
        <w:t>performance period</w:t>
      </w:r>
      <w:r w:rsidR="00651DBA">
        <w:rPr>
          <w:rFonts w:eastAsia="Calibri"/>
        </w:rPr>
        <w:t>/202</w:t>
      </w:r>
      <w:r w:rsidR="00A40007">
        <w:rPr>
          <w:rFonts w:eastAsia="Calibri"/>
        </w:rPr>
        <w:t>7</w:t>
      </w:r>
      <w:r w:rsidR="00651DBA">
        <w:rPr>
          <w:rFonts w:eastAsia="Calibri"/>
        </w:rPr>
        <w:t xml:space="preserve"> MIPS payment year</w:t>
      </w:r>
      <w:r w:rsidRPr="001E287C">
        <w:rPr>
          <w:rFonts w:eastAsia="Calibri"/>
        </w:rPr>
        <w:t xml:space="preserve">, we estimate a burden of </w:t>
      </w:r>
      <w:r w:rsidR="00A40007">
        <w:rPr>
          <w:rFonts w:eastAsia="Calibri"/>
        </w:rPr>
        <w:t>217,432</w:t>
      </w:r>
      <w:r w:rsidR="00FA3B6E">
        <w:rPr>
          <w:rFonts w:eastAsia="Calibri"/>
        </w:rPr>
        <w:t xml:space="preserve"> </w:t>
      </w:r>
      <w:r w:rsidRPr="001E287C">
        <w:rPr>
          <w:rFonts w:eastAsia="Calibri"/>
        </w:rPr>
        <w:t xml:space="preserve">hours </w:t>
      </w:r>
      <w:r w:rsidR="00BC30C6">
        <w:rPr>
          <w:rFonts w:eastAsia="Calibri"/>
        </w:rPr>
        <w:t>[</w:t>
      </w:r>
      <w:r w:rsidRPr="001E287C">
        <w:rPr>
          <w:rFonts w:eastAsia="Calibri"/>
        </w:rPr>
        <w:t xml:space="preserve">8 hr </w:t>
      </w:r>
      <w:r w:rsidR="00B51A1D">
        <w:t>×</w:t>
      </w:r>
      <w:r w:rsidRPr="001E287C">
        <w:rPr>
          <w:rFonts w:eastAsia="Calibri"/>
        </w:rPr>
        <w:t xml:space="preserve"> </w:t>
      </w:r>
      <w:r w:rsidR="00A40007">
        <w:rPr>
          <w:rFonts w:eastAsia="Calibri"/>
        </w:rPr>
        <w:t>27,179</w:t>
      </w:r>
      <w:r w:rsidR="006649BC">
        <w:rPr>
          <w:rFonts w:eastAsia="Calibri"/>
        </w:rPr>
        <w:t xml:space="preserve"> (</w:t>
      </w:r>
      <w:r w:rsidR="00F243BC">
        <w:rPr>
          <w:rFonts w:eastAsia="Calibri"/>
        </w:rPr>
        <w:t>5,939</w:t>
      </w:r>
      <w:r w:rsidRPr="001E287C">
        <w:rPr>
          <w:rFonts w:eastAsia="Calibri"/>
        </w:rPr>
        <w:t xml:space="preserve"> groups and </w:t>
      </w:r>
      <w:r w:rsidR="00F243BC">
        <w:rPr>
          <w:rFonts w:eastAsia="Calibri"/>
        </w:rPr>
        <w:t>21,240</w:t>
      </w:r>
      <w:r w:rsidR="00445C09">
        <w:rPr>
          <w:rFonts w:eastAsia="Calibri"/>
        </w:rPr>
        <w:t xml:space="preserve"> </w:t>
      </w:r>
      <w:r w:rsidRPr="001E287C">
        <w:rPr>
          <w:rFonts w:eastAsia="Calibri"/>
        </w:rPr>
        <w:t>clinicians submitting as individuals)</w:t>
      </w:r>
      <w:r w:rsidR="00BC30C6">
        <w:rPr>
          <w:rFonts w:eastAsia="Calibri"/>
        </w:rPr>
        <w:t>]</w:t>
      </w:r>
      <w:r w:rsidRPr="001E287C">
        <w:rPr>
          <w:rFonts w:eastAsia="Calibri"/>
        </w:rPr>
        <w:t xml:space="preserve"> at a cost of $</w:t>
      </w:r>
      <w:r w:rsidR="00E50CC5">
        <w:rPr>
          <w:rFonts w:eastAsia="Calibri"/>
        </w:rPr>
        <w:t>26,461,474</w:t>
      </w:r>
      <w:r w:rsidRPr="001E287C">
        <w:rPr>
          <w:rFonts w:eastAsia="Calibri"/>
        </w:rPr>
        <w:t xml:space="preserve"> (</w:t>
      </w:r>
      <w:r w:rsidR="00E50CC5">
        <w:rPr>
          <w:rFonts w:eastAsia="Calibri"/>
        </w:rPr>
        <w:t>27,179</w:t>
      </w:r>
      <w:r w:rsidRPr="001E287C">
        <w:rPr>
          <w:rFonts w:eastAsia="Calibri"/>
        </w:rPr>
        <w:t xml:space="preserve"> responses </w:t>
      </w:r>
      <w:r w:rsidR="00B51A1D">
        <w:t>×</w:t>
      </w:r>
      <w:r w:rsidRPr="001E287C">
        <w:rPr>
          <w:rFonts w:eastAsia="Calibri"/>
        </w:rPr>
        <w:t xml:space="preserve"> $</w:t>
      </w:r>
      <w:r w:rsidR="00E50CC5">
        <w:rPr>
          <w:rFonts w:eastAsia="Calibri"/>
        </w:rPr>
        <w:t>973.60</w:t>
      </w:r>
      <w:r w:rsidRPr="001E287C">
        <w:rPr>
          <w:rFonts w:eastAsia="Calibri"/>
        </w:rPr>
        <w:t>/response</w:t>
      </w:r>
      <w:r>
        <w:rPr>
          <w:rFonts w:eastAsia="Calibri"/>
        </w:rPr>
        <w:t>).</w:t>
      </w:r>
    </w:p>
    <w:p w:rsidR="00C351ED" w:rsidRPr="00A0296B" w:rsidP="003A4007" w14:paraId="5AD8D160" w14:textId="5F91F2EC">
      <w:pPr>
        <w:pStyle w:val="ExhibitTitle"/>
        <w:rPr>
          <w:b w:val="0"/>
          <w:bCs/>
        </w:rPr>
      </w:pPr>
      <w:r w:rsidRPr="00A0296B">
        <w:rPr>
          <w:b w:val="0"/>
          <w:bCs/>
        </w:rPr>
        <w:t>T</w:t>
      </w:r>
      <w:r w:rsidRPr="00A0296B" w:rsidR="00DF359E">
        <w:rPr>
          <w:b w:val="0"/>
          <w:bCs/>
        </w:rPr>
        <w:t>able</w:t>
      </w:r>
      <w:r w:rsidRPr="00A0296B">
        <w:rPr>
          <w:b w:val="0"/>
          <w:bCs/>
        </w:rPr>
        <w:t xml:space="preserve"> </w:t>
      </w:r>
      <w:r w:rsidRPr="00A0296B" w:rsidR="00181CE4">
        <w:rPr>
          <w:b w:val="0"/>
          <w:bCs/>
        </w:rPr>
        <w:t>1</w:t>
      </w:r>
      <w:r w:rsidRPr="00A0296B" w:rsidR="007E0301">
        <w:rPr>
          <w:b w:val="0"/>
          <w:bCs/>
        </w:rPr>
        <w:t>3</w:t>
      </w:r>
      <w:r w:rsidRPr="00A0296B">
        <w:rPr>
          <w:b w:val="0"/>
          <w:bCs/>
        </w:rPr>
        <w:t xml:space="preserve">: </w:t>
      </w:r>
      <w:r w:rsidRPr="00A0296B" w:rsidR="001B3AA6">
        <w:rPr>
          <w:b w:val="0"/>
          <w:bCs/>
        </w:rPr>
        <w:t xml:space="preserve">Estimated </w:t>
      </w:r>
      <w:r w:rsidRPr="00A0296B">
        <w:rPr>
          <w:b w:val="0"/>
          <w:bCs/>
        </w:rPr>
        <w:t>Burden for Quality Performance Category: Clinicians (Submitting Individually or as Part of a Group) Using the eCQM Collection Type</w:t>
      </w:r>
    </w:p>
    <w:tbl>
      <w:tblPr>
        <w:tblStyle w:val="TableGrid"/>
        <w:tblDescription w:val="Table 13: the estimated burden for submitting data for the M I P S quality performance category via the e C Q M collection type."/>
        <w:tblW w:w="0" w:type="auto"/>
        <w:tblLook w:val="04A0"/>
      </w:tblPr>
      <w:tblGrid>
        <w:gridCol w:w="8000"/>
        <w:gridCol w:w="1350"/>
      </w:tblGrid>
      <w:tr w14:paraId="23AF214A" w14:textId="77777777" w:rsidTr="00F267B9">
        <w:tblPrEx>
          <w:tblW w:w="0" w:type="auto"/>
          <w:tblLook w:val="04A0"/>
        </w:tblPrEx>
        <w:trPr>
          <w:cantSplit/>
          <w:trHeight w:val="20"/>
          <w:tblHeader/>
        </w:trPr>
        <w:tc>
          <w:tcPr>
            <w:tcW w:w="8000" w:type="dxa"/>
          </w:tcPr>
          <w:p w:rsidR="00D9310B" w:rsidRPr="004F5699" w:rsidP="003A4007" w14:paraId="00F4CCB8" w14:textId="77777777">
            <w:pPr>
              <w:pStyle w:val="Table11-ColumnHeading"/>
            </w:pPr>
            <w:r w:rsidRPr="004F5699">
              <w:t>Burden and Respondent Descriptions</w:t>
            </w:r>
          </w:p>
        </w:tc>
        <w:tc>
          <w:tcPr>
            <w:tcW w:w="1350" w:type="dxa"/>
          </w:tcPr>
          <w:p w:rsidR="00D9310B" w:rsidRPr="004F5699" w:rsidP="003A4007" w14:paraId="4A5E6E02" w14:textId="77777777">
            <w:pPr>
              <w:pStyle w:val="Table11-ColumnHeading"/>
            </w:pPr>
            <w:r w:rsidRPr="004F5699">
              <w:t>Burden Estimate</w:t>
            </w:r>
          </w:p>
        </w:tc>
      </w:tr>
      <w:tr w14:paraId="664A187A" w14:textId="77777777" w:rsidTr="00F267B9">
        <w:tblPrEx>
          <w:tblW w:w="0" w:type="auto"/>
          <w:tblLook w:val="04A0"/>
        </w:tblPrEx>
        <w:trPr>
          <w:cantSplit/>
          <w:trHeight w:val="20"/>
        </w:trPr>
        <w:tc>
          <w:tcPr>
            <w:tcW w:w="8000" w:type="dxa"/>
          </w:tcPr>
          <w:p w:rsidR="00D9310B" w:rsidRPr="004F5699" w:rsidP="003A4007" w14:paraId="109CDBAB" w14:textId="77777777">
            <w:pPr>
              <w:pStyle w:val="Table11Basic"/>
            </w:pPr>
            <w:r w:rsidRPr="004F5699">
              <w:t># of Clinicians Submitting as Individuals (a)</w:t>
            </w:r>
          </w:p>
        </w:tc>
        <w:tc>
          <w:tcPr>
            <w:tcW w:w="1350" w:type="dxa"/>
          </w:tcPr>
          <w:p w:rsidR="00D9310B" w:rsidRPr="004F5699" w:rsidP="003A4007" w14:paraId="6CA3E30B" w14:textId="77777777">
            <w:pPr>
              <w:pStyle w:val="Table11Centered"/>
            </w:pPr>
            <w:r w:rsidRPr="004F5699">
              <w:t>21,240</w:t>
            </w:r>
          </w:p>
        </w:tc>
      </w:tr>
      <w:tr w14:paraId="61B0E8D2" w14:textId="77777777" w:rsidTr="00F267B9">
        <w:tblPrEx>
          <w:tblW w:w="0" w:type="auto"/>
          <w:tblLook w:val="04A0"/>
        </w:tblPrEx>
        <w:trPr>
          <w:cantSplit/>
          <w:trHeight w:val="20"/>
        </w:trPr>
        <w:tc>
          <w:tcPr>
            <w:tcW w:w="8000" w:type="dxa"/>
          </w:tcPr>
          <w:p w:rsidR="00D9310B" w:rsidRPr="004F5699" w:rsidP="003A4007" w14:paraId="4399E759" w14:textId="77777777">
            <w:pPr>
              <w:pStyle w:val="Table11Basic"/>
            </w:pPr>
            <w:r w:rsidRPr="004F5699">
              <w:t xml:space="preserve"># of Groups Submitting via EHR on Behalf of Individual Clinicians (b) </w:t>
            </w:r>
          </w:p>
        </w:tc>
        <w:tc>
          <w:tcPr>
            <w:tcW w:w="1350" w:type="dxa"/>
          </w:tcPr>
          <w:p w:rsidR="00D9310B" w:rsidRPr="004F5699" w:rsidP="003A4007" w14:paraId="024D11CF" w14:textId="77777777">
            <w:pPr>
              <w:pStyle w:val="Table11Centered"/>
            </w:pPr>
            <w:r w:rsidRPr="004F5699">
              <w:t>5,939</w:t>
            </w:r>
          </w:p>
        </w:tc>
      </w:tr>
      <w:tr w14:paraId="699F80CA" w14:textId="77777777" w:rsidTr="00F267B9">
        <w:tblPrEx>
          <w:tblW w:w="0" w:type="auto"/>
          <w:tblLook w:val="04A0"/>
        </w:tblPrEx>
        <w:trPr>
          <w:cantSplit/>
          <w:trHeight w:val="20"/>
        </w:trPr>
        <w:tc>
          <w:tcPr>
            <w:tcW w:w="8000" w:type="dxa"/>
            <w:shd w:val="clear" w:color="auto" w:fill="E7E6E6" w:themeFill="background2"/>
          </w:tcPr>
          <w:p w:rsidR="00D9310B" w:rsidRPr="004F5699" w:rsidP="003A4007" w14:paraId="5AE0AA17" w14:textId="77777777">
            <w:pPr>
              <w:pStyle w:val="Table11Basic"/>
              <w:rPr>
                <w:b/>
              </w:rPr>
            </w:pPr>
            <w:r w:rsidRPr="004F5699">
              <w:rPr>
                <w:b/>
              </w:rPr>
              <w:t>Total # of Respondents (c)=(a)+(b)</w:t>
            </w:r>
          </w:p>
        </w:tc>
        <w:tc>
          <w:tcPr>
            <w:tcW w:w="1350" w:type="dxa"/>
            <w:shd w:val="clear" w:color="auto" w:fill="E7E6E6" w:themeFill="background2"/>
          </w:tcPr>
          <w:p w:rsidR="00D9310B" w:rsidRPr="004F5699" w:rsidP="003A4007" w14:paraId="77EA111D" w14:textId="77777777">
            <w:pPr>
              <w:pStyle w:val="Table11Centered"/>
            </w:pPr>
            <w:r w:rsidRPr="004F5699">
              <w:rPr>
                <w:b/>
              </w:rPr>
              <w:t>27,179</w:t>
            </w:r>
          </w:p>
        </w:tc>
      </w:tr>
      <w:tr w14:paraId="32273CCD" w14:textId="77777777" w:rsidTr="00F267B9">
        <w:tblPrEx>
          <w:tblW w:w="0" w:type="auto"/>
          <w:tblLook w:val="04A0"/>
        </w:tblPrEx>
        <w:trPr>
          <w:cantSplit/>
          <w:trHeight w:val="20"/>
        </w:trPr>
        <w:tc>
          <w:tcPr>
            <w:tcW w:w="8000" w:type="dxa"/>
          </w:tcPr>
          <w:p w:rsidR="00D9310B" w:rsidRPr="004F5699" w:rsidP="003A4007" w14:paraId="271CBDF2" w14:textId="77777777">
            <w:pPr>
              <w:pStyle w:val="Table11Basic"/>
            </w:pPr>
            <w:r w:rsidRPr="004F5699">
              <w:t xml:space="preserve"># of Hours Per Respondent to Submit MIPS Quality Data File (d) </w:t>
            </w:r>
          </w:p>
        </w:tc>
        <w:tc>
          <w:tcPr>
            <w:tcW w:w="1350" w:type="dxa"/>
          </w:tcPr>
          <w:p w:rsidR="00D9310B" w:rsidRPr="004F5699" w:rsidP="003A4007" w14:paraId="14AFAA5C" w14:textId="77777777">
            <w:pPr>
              <w:pStyle w:val="Table11Centered"/>
            </w:pPr>
            <w:r w:rsidRPr="004F5699">
              <w:t>2</w:t>
            </w:r>
          </w:p>
        </w:tc>
      </w:tr>
      <w:tr w14:paraId="3D4E606A" w14:textId="77777777" w:rsidTr="00F267B9">
        <w:tblPrEx>
          <w:tblW w:w="0" w:type="auto"/>
          <w:tblLook w:val="04A0"/>
        </w:tblPrEx>
        <w:trPr>
          <w:cantSplit/>
          <w:trHeight w:val="20"/>
        </w:trPr>
        <w:tc>
          <w:tcPr>
            <w:tcW w:w="8000" w:type="dxa"/>
          </w:tcPr>
          <w:p w:rsidR="00D9310B" w:rsidRPr="004F5699" w:rsidP="003A4007" w14:paraId="265452D9" w14:textId="77777777">
            <w:pPr>
              <w:pStyle w:val="Table11Basic"/>
            </w:pPr>
            <w:r w:rsidRPr="004F5699">
              <w:t># of Hours Per Medical and Health Services Manager to Review Measure Specifications (e)</w:t>
            </w:r>
          </w:p>
        </w:tc>
        <w:tc>
          <w:tcPr>
            <w:tcW w:w="1350" w:type="dxa"/>
          </w:tcPr>
          <w:p w:rsidR="00D9310B" w:rsidRPr="004F5699" w:rsidP="003A4007" w14:paraId="0BFB2886" w14:textId="77777777">
            <w:pPr>
              <w:pStyle w:val="Table11Centered"/>
            </w:pPr>
            <w:r w:rsidRPr="004F5699">
              <w:t>2</w:t>
            </w:r>
          </w:p>
        </w:tc>
      </w:tr>
      <w:tr w14:paraId="73FC0862" w14:textId="77777777" w:rsidTr="00F267B9">
        <w:tblPrEx>
          <w:tblW w:w="0" w:type="auto"/>
          <w:tblLook w:val="04A0"/>
        </w:tblPrEx>
        <w:trPr>
          <w:cantSplit/>
          <w:trHeight w:val="20"/>
        </w:trPr>
        <w:tc>
          <w:tcPr>
            <w:tcW w:w="8000" w:type="dxa"/>
          </w:tcPr>
          <w:p w:rsidR="00D9310B" w:rsidRPr="004F5699" w:rsidP="003A4007" w14:paraId="02D5A425" w14:textId="77777777">
            <w:pPr>
              <w:pStyle w:val="Table11Basic"/>
            </w:pPr>
            <w:r w:rsidRPr="004F5699">
              <w:t># of Hours Per Computer Systems Analyst to Review Measure Specifications (f)</w:t>
            </w:r>
          </w:p>
        </w:tc>
        <w:tc>
          <w:tcPr>
            <w:tcW w:w="1350" w:type="dxa"/>
          </w:tcPr>
          <w:p w:rsidR="00D9310B" w:rsidRPr="004F5699" w:rsidP="003A4007" w14:paraId="5906C68E" w14:textId="77777777">
            <w:pPr>
              <w:pStyle w:val="Table11Centered"/>
            </w:pPr>
            <w:r w:rsidRPr="004F5699">
              <w:t>1</w:t>
            </w:r>
          </w:p>
        </w:tc>
      </w:tr>
      <w:tr w14:paraId="616C19F9" w14:textId="77777777" w:rsidTr="00F267B9">
        <w:tblPrEx>
          <w:tblW w:w="0" w:type="auto"/>
          <w:tblLook w:val="04A0"/>
        </w:tblPrEx>
        <w:trPr>
          <w:cantSplit/>
          <w:trHeight w:val="20"/>
        </w:trPr>
        <w:tc>
          <w:tcPr>
            <w:tcW w:w="8000" w:type="dxa"/>
          </w:tcPr>
          <w:p w:rsidR="00D9310B" w:rsidRPr="004F5699" w:rsidP="003A4007" w14:paraId="26DA7D6E" w14:textId="77777777">
            <w:pPr>
              <w:pStyle w:val="Table11Basic"/>
            </w:pPr>
            <w:r w:rsidRPr="004F5699">
              <w:t># of Hours Per LPN to Review Measure Specifications (g)</w:t>
            </w:r>
          </w:p>
        </w:tc>
        <w:tc>
          <w:tcPr>
            <w:tcW w:w="1350" w:type="dxa"/>
          </w:tcPr>
          <w:p w:rsidR="00D9310B" w:rsidRPr="004F5699" w:rsidP="003A4007" w14:paraId="270AB91B" w14:textId="77777777">
            <w:pPr>
              <w:pStyle w:val="Table11Centered"/>
            </w:pPr>
            <w:r w:rsidRPr="004F5699">
              <w:t>1</w:t>
            </w:r>
          </w:p>
        </w:tc>
      </w:tr>
      <w:tr w14:paraId="533E9F04" w14:textId="77777777" w:rsidTr="00F267B9">
        <w:tblPrEx>
          <w:tblW w:w="0" w:type="auto"/>
          <w:tblLook w:val="04A0"/>
        </w:tblPrEx>
        <w:trPr>
          <w:cantSplit/>
          <w:trHeight w:val="20"/>
        </w:trPr>
        <w:tc>
          <w:tcPr>
            <w:tcW w:w="8000" w:type="dxa"/>
          </w:tcPr>
          <w:p w:rsidR="00D9310B" w:rsidRPr="004F5699" w:rsidP="003A4007" w14:paraId="0B2D4525" w14:textId="77777777">
            <w:pPr>
              <w:pStyle w:val="Table11Basic"/>
            </w:pPr>
            <w:r w:rsidRPr="004F5699">
              <w:t># of Hours Per Billing Clerk to Review Measure Specifications (h)</w:t>
            </w:r>
          </w:p>
        </w:tc>
        <w:tc>
          <w:tcPr>
            <w:tcW w:w="1350" w:type="dxa"/>
          </w:tcPr>
          <w:p w:rsidR="00D9310B" w:rsidRPr="004F5699" w:rsidP="003A4007" w14:paraId="62C24E31" w14:textId="77777777">
            <w:pPr>
              <w:pStyle w:val="Table11Centered"/>
            </w:pPr>
            <w:r w:rsidRPr="004F5699">
              <w:t>1</w:t>
            </w:r>
          </w:p>
        </w:tc>
      </w:tr>
      <w:tr w14:paraId="518BC111" w14:textId="77777777" w:rsidTr="00F267B9">
        <w:tblPrEx>
          <w:tblW w:w="0" w:type="auto"/>
          <w:tblLook w:val="04A0"/>
        </w:tblPrEx>
        <w:trPr>
          <w:cantSplit/>
          <w:trHeight w:val="20"/>
        </w:trPr>
        <w:tc>
          <w:tcPr>
            <w:tcW w:w="8000" w:type="dxa"/>
          </w:tcPr>
          <w:p w:rsidR="00D9310B" w:rsidRPr="004F5699" w:rsidP="003A4007" w14:paraId="246747E7" w14:textId="77777777">
            <w:pPr>
              <w:pStyle w:val="Table11Basic"/>
            </w:pPr>
            <w:r w:rsidRPr="004F5699">
              <w:t># of Hours Per Physician to Review Measure Specifications (i)</w:t>
            </w:r>
          </w:p>
        </w:tc>
        <w:tc>
          <w:tcPr>
            <w:tcW w:w="1350" w:type="dxa"/>
          </w:tcPr>
          <w:p w:rsidR="00D9310B" w:rsidRPr="004F5699" w:rsidP="003A4007" w14:paraId="293E2E87" w14:textId="77777777">
            <w:pPr>
              <w:pStyle w:val="Table11Centered"/>
            </w:pPr>
            <w:r w:rsidRPr="004F5699">
              <w:t>1</w:t>
            </w:r>
          </w:p>
        </w:tc>
      </w:tr>
      <w:tr w14:paraId="44A1B79A" w14:textId="77777777" w:rsidTr="00F267B9">
        <w:tblPrEx>
          <w:tblW w:w="0" w:type="auto"/>
          <w:tblLook w:val="04A0"/>
        </w:tblPrEx>
        <w:trPr>
          <w:cantSplit/>
          <w:trHeight w:val="20"/>
        </w:trPr>
        <w:tc>
          <w:tcPr>
            <w:tcW w:w="8000" w:type="dxa"/>
          </w:tcPr>
          <w:p w:rsidR="00D9310B" w:rsidRPr="004F5699" w:rsidP="003A4007" w14:paraId="797A82B6" w14:textId="77777777">
            <w:pPr>
              <w:pStyle w:val="Table11Basic"/>
            </w:pPr>
            <w:r w:rsidRPr="004F5699">
              <w:t xml:space="preserve">Annual Hours Per Respondent (j) = (d) + (e) + (f) + (g) + (h) + (i) </w:t>
            </w:r>
          </w:p>
        </w:tc>
        <w:tc>
          <w:tcPr>
            <w:tcW w:w="1350" w:type="dxa"/>
          </w:tcPr>
          <w:p w:rsidR="00D9310B" w:rsidRPr="004F5699" w:rsidP="003A4007" w14:paraId="6BF582A4" w14:textId="77777777">
            <w:pPr>
              <w:pStyle w:val="Table11Centered"/>
            </w:pPr>
            <w:r w:rsidRPr="004F5699">
              <w:t>8</w:t>
            </w:r>
          </w:p>
        </w:tc>
      </w:tr>
      <w:tr w14:paraId="2FFC2E61" w14:textId="77777777" w:rsidTr="00F267B9">
        <w:tblPrEx>
          <w:tblW w:w="0" w:type="auto"/>
          <w:tblLook w:val="04A0"/>
        </w:tblPrEx>
        <w:trPr>
          <w:cantSplit/>
          <w:trHeight w:val="20"/>
        </w:trPr>
        <w:tc>
          <w:tcPr>
            <w:tcW w:w="8000" w:type="dxa"/>
            <w:shd w:val="clear" w:color="auto" w:fill="E7E6E6" w:themeFill="background2"/>
          </w:tcPr>
          <w:p w:rsidR="00D9310B" w:rsidRPr="004F5699" w:rsidP="003A4007" w14:paraId="0B0D69B0" w14:textId="184D8645">
            <w:pPr>
              <w:pStyle w:val="Table11Basic"/>
              <w:rPr>
                <w:b/>
              </w:rPr>
            </w:pPr>
            <w:r w:rsidRPr="004F5699">
              <w:rPr>
                <w:b/>
              </w:rPr>
              <w:t xml:space="preserve">Total Annual Hours (k) = (c) </w:t>
            </w:r>
            <w:r w:rsidR="00773DB8">
              <w:rPr>
                <w:b/>
                <w:bCs/>
                <w:color w:val="000000" w:themeColor="text1"/>
              </w:rPr>
              <w:t>[</w:t>
            </w:r>
            <w:r w:rsidRPr="00B51A1D" w:rsidR="00B51A1D">
              <w:rPr>
                <w:b/>
                <w:bCs/>
              </w:rPr>
              <w:t>×</w:t>
            </w:r>
            <w:r w:rsidR="00773DB8">
              <w:rPr>
                <w:b/>
                <w:bCs/>
                <w:color w:val="000000" w:themeColor="text1"/>
              </w:rPr>
              <w:t>]</w:t>
            </w:r>
            <w:r w:rsidRPr="004F5699">
              <w:rPr>
                <w:b/>
              </w:rPr>
              <w:t xml:space="preserve"> (j)</w:t>
            </w:r>
          </w:p>
        </w:tc>
        <w:tc>
          <w:tcPr>
            <w:tcW w:w="1350" w:type="dxa"/>
            <w:shd w:val="clear" w:color="auto" w:fill="E7E6E6" w:themeFill="background2"/>
          </w:tcPr>
          <w:p w:rsidR="00D9310B" w:rsidRPr="004F5699" w:rsidP="003A4007" w14:paraId="1C9C3724" w14:textId="77777777">
            <w:pPr>
              <w:pStyle w:val="Table11Centered"/>
            </w:pPr>
            <w:r w:rsidRPr="004F5699">
              <w:rPr>
                <w:b/>
              </w:rPr>
              <w:t>217,432</w:t>
            </w:r>
          </w:p>
        </w:tc>
      </w:tr>
      <w:tr w14:paraId="1822B60B" w14:textId="77777777" w:rsidTr="00F267B9">
        <w:tblPrEx>
          <w:tblW w:w="0" w:type="auto"/>
          <w:tblLook w:val="04A0"/>
        </w:tblPrEx>
        <w:trPr>
          <w:cantSplit/>
          <w:trHeight w:val="20"/>
        </w:trPr>
        <w:tc>
          <w:tcPr>
            <w:tcW w:w="8000" w:type="dxa"/>
          </w:tcPr>
          <w:p w:rsidR="00D9310B" w:rsidRPr="004809A3" w:rsidP="003A4007" w14:paraId="788C11F5" w14:textId="681F97A9">
            <w:pPr>
              <w:pStyle w:val="Table11Basic"/>
            </w:pPr>
            <w:r w:rsidRPr="004809A3">
              <w:t>Cost Per Respondent to Submit Quality Data (</w:t>
            </w:r>
            <w:r w:rsidRPr="004809A3" w:rsidR="00EF518A">
              <w:t>at</w:t>
            </w:r>
            <w:r w:rsidRPr="004809A3">
              <w:t xml:space="preserve"> Computer Systems Analyst’s Labor Rate of $106.54/hr) (l)</w:t>
            </w:r>
            <w:r w:rsidRPr="004809A3" w:rsidR="00A91931">
              <w:t xml:space="preserve"> = $106.54/hr </w:t>
            </w:r>
            <w:r w:rsidRPr="001C02A4" w:rsidR="00A91931">
              <w:t>×</w:t>
            </w:r>
            <w:r w:rsidRPr="004809A3" w:rsidR="00A91931">
              <w:t xml:space="preserve"> (d)</w:t>
            </w:r>
          </w:p>
        </w:tc>
        <w:tc>
          <w:tcPr>
            <w:tcW w:w="1350" w:type="dxa"/>
          </w:tcPr>
          <w:p w:rsidR="00D9310B" w:rsidRPr="004F5699" w:rsidP="003A4007" w14:paraId="3099D23A" w14:textId="77777777">
            <w:pPr>
              <w:pStyle w:val="Table11Centered"/>
            </w:pPr>
            <w:r w:rsidRPr="004F5699">
              <w:t xml:space="preserve">$213.08 </w:t>
            </w:r>
          </w:p>
        </w:tc>
      </w:tr>
      <w:tr w14:paraId="1E6B589D" w14:textId="77777777" w:rsidTr="00F267B9">
        <w:tblPrEx>
          <w:tblW w:w="0" w:type="auto"/>
          <w:tblLook w:val="04A0"/>
        </w:tblPrEx>
        <w:trPr>
          <w:cantSplit/>
          <w:trHeight w:val="20"/>
        </w:trPr>
        <w:tc>
          <w:tcPr>
            <w:tcW w:w="8000" w:type="dxa"/>
          </w:tcPr>
          <w:p w:rsidR="00D9310B" w:rsidRPr="004809A3" w:rsidP="003A4007" w14:paraId="06AE759A" w14:textId="1F0A1430">
            <w:pPr>
              <w:pStyle w:val="Table11Basic"/>
            </w:pPr>
            <w:r w:rsidRPr="004809A3">
              <w:t>Cost to Review Measure Specifications (</w:t>
            </w:r>
            <w:r w:rsidRPr="004809A3" w:rsidR="00EF518A">
              <w:t>at</w:t>
            </w:r>
            <w:r w:rsidRPr="004809A3">
              <w:t xml:space="preserve"> Medical and Health Services Manager's Labor Rate of $129.28/hr) (m)</w:t>
            </w:r>
            <w:r w:rsidRPr="004809A3" w:rsidR="00831941">
              <w:t xml:space="preserve"> = $129.28/hr </w:t>
            </w:r>
            <w:r w:rsidRPr="001C02A4" w:rsidR="00831941">
              <w:t>×</w:t>
            </w:r>
            <w:r w:rsidRPr="004809A3" w:rsidR="00831941">
              <w:t xml:space="preserve"> (e)</w:t>
            </w:r>
          </w:p>
        </w:tc>
        <w:tc>
          <w:tcPr>
            <w:tcW w:w="1350" w:type="dxa"/>
          </w:tcPr>
          <w:p w:rsidR="00D9310B" w:rsidRPr="004F5699" w:rsidP="003A4007" w14:paraId="6DE251DC" w14:textId="77777777">
            <w:pPr>
              <w:pStyle w:val="Table11Centered"/>
            </w:pPr>
            <w:r w:rsidRPr="004F5699">
              <w:t xml:space="preserve">$258.56 </w:t>
            </w:r>
          </w:p>
        </w:tc>
      </w:tr>
      <w:tr w14:paraId="07DEE35E" w14:textId="77777777" w:rsidTr="00F267B9">
        <w:tblPrEx>
          <w:tblW w:w="0" w:type="auto"/>
          <w:tblLook w:val="04A0"/>
        </w:tblPrEx>
        <w:trPr>
          <w:cantSplit/>
          <w:trHeight w:val="20"/>
        </w:trPr>
        <w:tc>
          <w:tcPr>
            <w:tcW w:w="8000" w:type="dxa"/>
          </w:tcPr>
          <w:p w:rsidR="00D9310B" w:rsidRPr="004809A3" w:rsidP="003A4007" w14:paraId="173343E6" w14:textId="60B532E1">
            <w:pPr>
              <w:pStyle w:val="Table11Basic"/>
            </w:pPr>
            <w:r w:rsidRPr="004809A3">
              <w:t>Cost to Review Measure Specifications (</w:t>
            </w:r>
            <w:r w:rsidRPr="004809A3" w:rsidR="00EF518A">
              <w:t>at</w:t>
            </w:r>
            <w:r w:rsidRPr="004809A3">
              <w:t xml:space="preserve"> Computer System’s Analyst’s Labor Rate of $106.54/hr) (n)</w:t>
            </w:r>
            <w:r w:rsidRPr="004809A3" w:rsidR="00E56620">
              <w:t xml:space="preserve"> = $106.54/hr </w:t>
            </w:r>
            <w:r w:rsidRPr="001C02A4" w:rsidR="00E56620">
              <w:t>×</w:t>
            </w:r>
            <w:r w:rsidRPr="004809A3" w:rsidR="00E56620">
              <w:t xml:space="preserve"> (f)</w:t>
            </w:r>
          </w:p>
        </w:tc>
        <w:tc>
          <w:tcPr>
            <w:tcW w:w="1350" w:type="dxa"/>
          </w:tcPr>
          <w:p w:rsidR="00D9310B" w:rsidRPr="004F5699" w:rsidP="003A4007" w14:paraId="24C07F43" w14:textId="77777777">
            <w:pPr>
              <w:pStyle w:val="Table11Centered"/>
            </w:pPr>
            <w:r w:rsidRPr="004F5699">
              <w:t xml:space="preserve">$106.54 </w:t>
            </w:r>
          </w:p>
        </w:tc>
      </w:tr>
      <w:tr w14:paraId="25908E94" w14:textId="77777777" w:rsidTr="00F267B9">
        <w:tblPrEx>
          <w:tblW w:w="0" w:type="auto"/>
          <w:tblLook w:val="04A0"/>
        </w:tblPrEx>
        <w:trPr>
          <w:cantSplit/>
          <w:trHeight w:val="20"/>
        </w:trPr>
        <w:tc>
          <w:tcPr>
            <w:tcW w:w="8000" w:type="dxa"/>
          </w:tcPr>
          <w:p w:rsidR="00D9310B" w:rsidRPr="004809A3" w:rsidP="003A4007" w14:paraId="0CC53F34" w14:textId="226DB97B">
            <w:pPr>
              <w:pStyle w:val="Table11Basic"/>
            </w:pPr>
            <w:r w:rsidRPr="004809A3">
              <w:t>Cost to Review Measure Specifications (</w:t>
            </w:r>
            <w:r w:rsidRPr="004809A3" w:rsidR="00EF518A">
              <w:t>at</w:t>
            </w:r>
            <w:r w:rsidRPr="004809A3">
              <w:t xml:space="preserve"> LPN's Labor Rate of $58.46/hr) (o)</w:t>
            </w:r>
            <w:r w:rsidRPr="004809A3" w:rsidR="002D2FC6">
              <w:t xml:space="preserve"> = $58.46/hr </w:t>
            </w:r>
            <w:r w:rsidRPr="001C02A4" w:rsidR="002D2FC6">
              <w:t>× (</w:t>
            </w:r>
            <w:r w:rsidRPr="004809A3" w:rsidR="002D2FC6">
              <w:t>g)</w:t>
            </w:r>
          </w:p>
        </w:tc>
        <w:tc>
          <w:tcPr>
            <w:tcW w:w="1350" w:type="dxa"/>
          </w:tcPr>
          <w:p w:rsidR="00D9310B" w:rsidRPr="004F5699" w:rsidP="003A4007" w14:paraId="06166E42" w14:textId="77777777">
            <w:pPr>
              <w:pStyle w:val="Table11Centered"/>
            </w:pPr>
            <w:r w:rsidRPr="004F5699">
              <w:t xml:space="preserve">$58.46 </w:t>
            </w:r>
          </w:p>
        </w:tc>
      </w:tr>
      <w:tr w14:paraId="389751E8" w14:textId="77777777" w:rsidTr="00F267B9">
        <w:tblPrEx>
          <w:tblW w:w="0" w:type="auto"/>
          <w:tblLook w:val="04A0"/>
        </w:tblPrEx>
        <w:trPr>
          <w:cantSplit/>
          <w:trHeight w:val="20"/>
        </w:trPr>
        <w:tc>
          <w:tcPr>
            <w:tcW w:w="8000" w:type="dxa"/>
          </w:tcPr>
          <w:p w:rsidR="00D9310B" w:rsidRPr="004809A3" w:rsidP="003A4007" w14:paraId="35BA8AE0" w14:textId="6671720E">
            <w:pPr>
              <w:pStyle w:val="Table11Basic"/>
            </w:pPr>
            <w:r w:rsidRPr="004809A3">
              <w:t>Cost to Review Measure Specifications (</w:t>
            </w:r>
            <w:r w:rsidRPr="004809A3" w:rsidR="00EF518A">
              <w:t>at</w:t>
            </w:r>
            <w:r w:rsidRPr="004809A3">
              <w:t xml:space="preserve"> Clerk’s Labor Rate of $45.32/hr) (p)</w:t>
            </w:r>
            <w:r w:rsidRPr="004809A3" w:rsidR="0051591D">
              <w:t xml:space="preserve"> = $45.32/hr) </w:t>
            </w:r>
            <w:r w:rsidRPr="001C02A4" w:rsidR="0051591D">
              <w:t>×</w:t>
            </w:r>
            <w:r w:rsidRPr="004809A3" w:rsidR="0051591D">
              <w:t xml:space="preserve"> (h)</w:t>
            </w:r>
          </w:p>
        </w:tc>
        <w:tc>
          <w:tcPr>
            <w:tcW w:w="1350" w:type="dxa"/>
          </w:tcPr>
          <w:p w:rsidR="00D9310B" w:rsidRPr="004F5699" w:rsidP="003A4007" w14:paraId="506E7550" w14:textId="77777777">
            <w:pPr>
              <w:pStyle w:val="Table11Centered"/>
            </w:pPr>
            <w:r w:rsidRPr="004F5699">
              <w:t xml:space="preserve">$45.32 </w:t>
            </w:r>
          </w:p>
        </w:tc>
      </w:tr>
      <w:tr w14:paraId="6D5A5AE3" w14:textId="77777777" w:rsidTr="00F267B9">
        <w:tblPrEx>
          <w:tblW w:w="0" w:type="auto"/>
          <w:tblLook w:val="04A0"/>
        </w:tblPrEx>
        <w:trPr>
          <w:cantSplit/>
          <w:trHeight w:val="20"/>
        </w:trPr>
        <w:tc>
          <w:tcPr>
            <w:tcW w:w="8000" w:type="dxa"/>
          </w:tcPr>
          <w:p w:rsidR="00D9310B" w:rsidRPr="004809A3" w:rsidP="003A4007" w14:paraId="202E14F0" w14:textId="5D5C6355">
            <w:pPr>
              <w:pStyle w:val="Table11Basic"/>
            </w:pPr>
            <w:r w:rsidRPr="004809A3">
              <w:t>Cost to Review Measure Specifications (</w:t>
            </w:r>
            <w:r w:rsidRPr="004809A3" w:rsidR="00EF518A">
              <w:t>at</w:t>
            </w:r>
            <w:r w:rsidR="007311E9">
              <w:t xml:space="preserve"> </w:t>
            </w:r>
            <w:r w:rsidRPr="004809A3">
              <w:t>Physician’s Labor Rate of $291.64/hr) (q)</w:t>
            </w:r>
            <w:r w:rsidRPr="004809A3" w:rsidR="004809A3">
              <w:t xml:space="preserve"> = $291.64/hr </w:t>
            </w:r>
            <w:r w:rsidRPr="001C02A4" w:rsidR="004809A3">
              <w:t>×</w:t>
            </w:r>
            <w:r w:rsidRPr="004809A3" w:rsidR="004809A3">
              <w:t xml:space="preserve"> (i)</w:t>
            </w:r>
          </w:p>
        </w:tc>
        <w:tc>
          <w:tcPr>
            <w:tcW w:w="1350" w:type="dxa"/>
          </w:tcPr>
          <w:p w:rsidR="00D9310B" w:rsidRPr="004F5699" w:rsidP="003A4007" w14:paraId="22E604FE" w14:textId="77777777">
            <w:pPr>
              <w:pStyle w:val="Table11Centered"/>
            </w:pPr>
            <w:r w:rsidRPr="004F5699">
              <w:t xml:space="preserve">$291.64 </w:t>
            </w:r>
          </w:p>
        </w:tc>
      </w:tr>
      <w:tr w14:paraId="72902151" w14:textId="77777777" w:rsidTr="00F267B9">
        <w:tblPrEx>
          <w:tblW w:w="0" w:type="auto"/>
          <w:tblLook w:val="04A0"/>
        </w:tblPrEx>
        <w:trPr>
          <w:cantSplit/>
          <w:trHeight w:val="20"/>
        </w:trPr>
        <w:tc>
          <w:tcPr>
            <w:tcW w:w="8000" w:type="dxa"/>
          </w:tcPr>
          <w:p w:rsidR="00D9310B" w:rsidRPr="004F5699" w:rsidP="003A4007" w14:paraId="3E5DB5C5" w14:textId="77777777">
            <w:pPr>
              <w:pStyle w:val="Table11Basic"/>
            </w:pPr>
            <w:r w:rsidRPr="004F5699">
              <w:t>Total Cost Per Respondent (r)=(l)+(m)+(n)+(o)+(p)+(q)</w:t>
            </w:r>
          </w:p>
        </w:tc>
        <w:tc>
          <w:tcPr>
            <w:tcW w:w="1350" w:type="dxa"/>
          </w:tcPr>
          <w:p w:rsidR="00D9310B" w:rsidRPr="004F5699" w:rsidP="003A4007" w14:paraId="2C13116C" w14:textId="77777777">
            <w:pPr>
              <w:pStyle w:val="Table11Centered"/>
            </w:pPr>
            <w:r w:rsidRPr="004F5699">
              <w:t xml:space="preserve">$973.60 </w:t>
            </w:r>
          </w:p>
        </w:tc>
      </w:tr>
      <w:tr w14:paraId="215639AE" w14:textId="77777777" w:rsidTr="00F267B9">
        <w:tblPrEx>
          <w:tblW w:w="0" w:type="auto"/>
          <w:tblLook w:val="04A0"/>
        </w:tblPrEx>
        <w:trPr>
          <w:cantSplit/>
          <w:trHeight w:val="20"/>
        </w:trPr>
        <w:tc>
          <w:tcPr>
            <w:tcW w:w="8000" w:type="dxa"/>
            <w:shd w:val="clear" w:color="auto" w:fill="E7E6E6" w:themeFill="background2"/>
          </w:tcPr>
          <w:p w:rsidR="00D9310B" w:rsidRPr="004F5699" w:rsidP="003A4007" w14:paraId="1E5B0C66" w14:textId="66382C1A">
            <w:pPr>
              <w:pStyle w:val="Table11Basic"/>
            </w:pPr>
            <w:r w:rsidRPr="004F5699">
              <w:rPr>
                <w:b/>
              </w:rPr>
              <w:t xml:space="preserve">Total Annual Cost (s) = (c) </w:t>
            </w:r>
            <w:r w:rsidR="00773DB8">
              <w:rPr>
                <w:b/>
                <w:bCs/>
                <w:color w:val="000000" w:themeColor="text1"/>
              </w:rPr>
              <w:t>[</w:t>
            </w:r>
            <w:r w:rsidRPr="00B51A1D" w:rsidR="00B51A1D">
              <w:rPr>
                <w:b/>
                <w:bCs/>
              </w:rPr>
              <w:t>×</w:t>
            </w:r>
            <w:r w:rsidR="00773DB8">
              <w:rPr>
                <w:b/>
                <w:bCs/>
                <w:color w:val="000000" w:themeColor="text1"/>
              </w:rPr>
              <w:t>]</w:t>
            </w:r>
            <w:r w:rsidRPr="004F5699">
              <w:rPr>
                <w:b/>
              </w:rPr>
              <w:t xml:space="preserve"> (r)</w:t>
            </w:r>
          </w:p>
        </w:tc>
        <w:tc>
          <w:tcPr>
            <w:tcW w:w="1350" w:type="dxa"/>
            <w:shd w:val="clear" w:color="auto" w:fill="E7E6E6" w:themeFill="background2"/>
          </w:tcPr>
          <w:p w:rsidR="00D9310B" w:rsidRPr="004F5699" w:rsidP="003A4007" w14:paraId="25F77528" w14:textId="77777777">
            <w:pPr>
              <w:pStyle w:val="Table11Centered"/>
            </w:pPr>
            <w:r w:rsidRPr="004F5699">
              <w:rPr>
                <w:b/>
              </w:rPr>
              <w:t xml:space="preserve">$26,461,474 </w:t>
            </w:r>
          </w:p>
        </w:tc>
      </w:tr>
    </w:tbl>
    <w:p w:rsidR="009E1A51" w:rsidRPr="009E1A51" w:rsidP="006E6DEB" w14:paraId="4E7294BD" w14:textId="0449D87C">
      <w:pPr>
        <w:pStyle w:val="Heading4"/>
      </w:pPr>
      <w:r>
        <w:t>h.</w:t>
      </w:r>
      <w:r>
        <w:tab/>
      </w:r>
      <w:r w:rsidRPr="009E1A51">
        <w:t>ICRs Regarding Burden for MVP Reporting</w:t>
      </w:r>
    </w:p>
    <w:p w:rsidR="00E3288A" w:rsidP="003A4007" w14:paraId="5755502E" w14:textId="5E6BC87A">
      <w:pPr>
        <w:pStyle w:val="BodyText-PostHead"/>
      </w:pPr>
      <w:r>
        <w:t xml:space="preserve">In the CY 2022 PFS final rule, </w:t>
      </w:r>
      <w:r w:rsidR="004F6B99">
        <w:t xml:space="preserve">we finalized </w:t>
      </w:r>
      <w:r w:rsidR="00A12E56">
        <w:t xml:space="preserve">the implementation of voluntary </w:t>
      </w:r>
      <w:r w:rsidR="00C12223">
        <w:t>MVP</w:t>
      </w:r>
      <w:r w:rsidR="007E48D5">
        <w:t xml:space="preserve"> </w:t>
      </w:r>
      <w:r w:rsidR="003C00CB">
        <w:t xml:space="preserve">and subgroup </w:t>
      </w:r>
      <w:r w:rsidR="007E48D5">
        <w:t xml:space="preserve">reporting </w:t>
      </w:r>
      <w:r w:rsidR="00BC751B">
        <w:t xml:space="preserve">for eligible clinicians </w:t>
      </w:r>
      <w:r w:rsidR="00014B8C">
        <w:t>beginning with the CY 2023 performance period/2025 MIPS payment year</w:t>
      </w:r>
      <w:r w:rsidR="004A6CE2">
        <w:t>.</w:t>
      </w:r>
      <w:r w:rsidR="00387D75">
        <w:t xml:space="preserve"> C</w:t>
      </w:r>
      <w:r w:rsidRPr="00064DFC" w:rsidR="00AB1814">
        <w:t xml:space="preserve">linicians participating in MIPS have the option to voluntarily submit data </w:t>
      </w:r>
      <w:r w:rsidR="00387D75">
        <w:t>via</w:t>
      </w:r>
      <w:r w:rsidRPr="00064DFC" w:rsidR="00387D75">
        <w:t xml:space="preserve"> </w:t>
      </w:r>
      <w:r w:rsidRPr="00064DFC" w:rsidR="00AB1814">
        <w:t>MVPs starting with the CY 2023 performance period/2025 MIPS payment year</w:t>
      </w:r>
      <w:r w:rsidR="0002421D">
        <w:t xml:space="preserve">. </w:t>
      </w:r>
      <w:r w:rsidR="00B53B2D">
        <w:t xml:space="preserve">Additionally, </w:t>
      </w:r>
      <w:r w:rsidR="00943FD2">
        <w:t xml:space="preserve">clinicians participating in MIPS </w:t>
      </w:r>
      <w:r w:rsidR="00387D75">
        <w:t xml:space="preserve">and </w:t>
      </w:r>
      <w:r w:rsidR="00943FD2">
        <w:t xml:space="preserve">reporting </w:t>
      </w:r>
      <w:r w:rsidR="00387D75">
        <w:t xml:space="preserve">through </w:t>
      </w:r>
      <w:r w:rsidR="00943FD2">
        <w:t>MVP</w:t>
      </w:r>
      <w:r w:rsidR="00387D75">
        <w:t>(</w:t>
      </w:r>
      <w:r w:rsidR="00943FD2">
        <w:t>s</w:t>
      </w:r>
      <w:r w:rsidR="00387D75">
        <w:t>)</w:t>
      </w:r>
      <w:r w:rsidR="00943FD2">
        <w:t xml:space="preserve"> </w:t>
      </w:r>
      <w:r w:rsidR="00387D75">
        <w:t xml:space="preserve">can </w:t>
      </w:r>
      <w:r w:rsidR="00046ACA">
        <w:t xml:space="preserve">also choose to form subgroups beginning with the CY 2023 performance period/2025 MIPS payment year. </w:t>
      </w:r>
      <w:r w:rsidR="00387D75">
        <w:t>All</w:t>
      </w:r>
      <w:r w:rsidRPr="00BC751B" w:rsidR="00387D75">
        <w:t xml:space="preserve"> </w:t>
      </w:r>
      <w:r w:rsidRPr="00BC751B" w:rsidR="00BC751B">
        <w:t xml:space="preserve">MVPs include </w:t>
      </w:r>
      <w:r w:rsidR="00350CC1">
        <w:t xml:space="preserve">a foundational layer (the same across all MVPs) which includes </w:t>
      </w:r>
      <w:r w:rsidRPr="00BC751B" w:rsidR="00BC751B">
        <w:t xml:space="preserve">the </w:t>
      </w:r>
      <w:r w:rsidR="00384E4F">
        <w:t xml:space="preserve">complete </w:t>
      </w:r>
      <w:r w:rsidRPr="00BC751B" w:rsidR="00BC751B">
        <w:t>Promoting Interoperability performance category</w:t>
      </w:r>
      <w:r w:rsidR="00350CC1">
        <w:t xml:space="preserve"> measure set and </w:t>
      </w:r>
      <w:r w:rsidR="00384E4F">
        <w:t xml:space="preserve">administrative claims </w:t>
      </w:r>
      <w:r w:rsidRPr="00BC751B" w:rsidR="00BC751B">
        <w:t>population health measures</w:t>
      </w:r>
      <w:r w:rsidR="00580544">
        <w:t>, in addition to MVP-specific</w:t>
      </w:r>
      <w:r w:rsidR="00B238AD">
        <w:t xml:space="preserve"> </w:t>
      </w:r>
      <w:r w:rsidRPr="00BC751B" w:rsidR="00BC751B">
        <w:t>measures and activities in the quality, cost</w:t>
      </w:r>
      <w:r w:rsidR="00913189">
        <w:t>,</w:t>
      </w:r>
      <w:r w:rsidRPr="00BC751B" w:rsidR="00BC751B">
        <w:t xml:space="preserve"> and improvement activities performance categories.</w:t>
      </w:r>
      <w:r w:rsidRPr="00064DFC" w:rsidR="00064DFC">
        <w:t xml:space="preserve"> </w:t>
      </w:r>
      <w:r w:rsidR="006302AA">
        <w:t>C</w:t>
      </w:r>
      <w:r w:rsidRPr="00064DFC" w:rsidR="00064DFC">
        <w:t xml:space="preserve">linicians choosing to participate in MIPS </w:t>
      </w:r>
      <w:r w:rsidR="00B238AD">
        <w:t>and report</w:t>
      </w:r>
      <w:r w:rsidRPr="00064DFC" w:rsidR="00064DFC">
        <w:t xml:space="preserve"> MVPs w</w:t>
      </w:r>
      <w:r w:rsidR="006039A4">
        <w:t>ill</w:t>
      </w:r>
      <w:r w:rsidRPr="00064DFC" w:rsidR="00064DFC">
        <w:t xml:space="preserve"> select from a reduced inventory of measures and activities for the quality and improvement activities performance categories. This reduction in burden is described in the quality</w:t>
      </w:r>
      <w:r w:rsidR="006302AA">
        <w:t xml:space="preserve"> and</w:t>
      </w:r>
      <w:r w:rsidRPr="00064DFC" w:rsidR="00064DFC">
        <w:t xml:space="preserve"> improvement activities performance categories sections below. </w:t>
      </w:r>
      <w:r w:rsidRPr="007F4396" w:rsidR="007F4396">
        <w:t>The following ICRs reflect the burden associated with data collection related to MVPs and subgroup reporting in the CY 202</w:t>
      </w:r>
      <w:r w:rsidR="009B165E">
        <w:t>5</w:t>
      </w:r>
      <w:r w:rsidRPr="007F4396" w:rsidR="007F4396">
        <w:t xml:space="preserve"> performance period/202</w:t>
      </w:r>
      <w:r w:rsidR="009B165E">
        <w:t>7</w:t>
      </w:r>
      <w:r w:rsidRPr="007F4396" w:rsidR="007F4396">
        <w:t xml:space="preserve"> MIPS payment year.</w:t>
      </w:r>
      <w:r w:rsidR="006D2AF0">
        <w:t xml:space="preserve"> </w:t>
      </w:r>
    </w:p>
    <w:p w:rsidR="002C1952" w:rsidP="003A4007" w14:paraId="56EDF432" w14:textId="322F4310">
      <w:pPr>
        <w:pStyle w:val="BodyText"/>
        <w:rPr>
          <w:rFonts w:eastAsia="Calibri"/>
          <w:color w:val="000000" w:themeColor="text1"/>
        </w:rPr>
      </w:pPr>
      <w:r w:rsidRPr="00871E51">
        <w:t xml:space="preserve">For the ICRs related to MVP </w:t>
      </w:r>
      <w:r w:rsidR="6AC8E561">
        <w:t>P</w:t>
      </w:r>
      <w:r w:rsidR="3367A945">
        <w:t>articipants</w:t>
      </w:r>
      <w:r w:rsidRPr="00871E51">
        <w:t xml:space="preserve">, </w:t>
      </w:r>
      <w:r w:rsidR="001B6EBA">
        <w:t>our burden</w:t>
      </w:r>
      <w:r w:rsidR="00041916">
        <w:t xml:space="preserve"> estimates </w:t>
      </w:r>
      <w:r w:rsidR="001B6EBA">
        <w:t xml:space="preserve">are </w:t>
      </w:r>
      <w:r w:rsidR="00041916">
        <w:t>based on</w:t>
      </w:r>
      <w:r w:rsidRPr="00871E51">
        <w:t xml:space="preserve"> the MIPS submission data from the CY 20</w:t>
      </w:r>
      <w:r w:rsidR="006039A4">
        <w:t>2</w:t>
      </w:r>
      <w:r w:rsidR="00556EA6">
        <w:t>2</w:t>
      </w:r>
      <w:r w:rsidRPr="00871E51">
        <w:t xml:space="preserve"> performance period/202</w:t>
      </w:r>
      <w:r w:rsidR="00556EA6">
        <w:t>4</w:t>
      </w:r>
      <w:r w:rsidRPr="00871E51">
        <w:t xml:space="preserve"> MIPS payment year. </w:t>
      </w:r>
      <w:r w:rsidR="00A70DBC">
        <w:t xml:space="preserve">In the </w:t>
      </w:r>
      <w:r w:rsidR="00E3288A">
        <w:rPr>
          <w:rFonts w:eastAsia="Calibri"/>
          <w:color w:val="000000" w:themeColor="text1"/>
        </w:rPr>
        <w:t xml:space="preserve">MVP Inventory </w:t>
      </w:r>
      <w:r w:rsidRPr="00A646F5" w:rsidR="00E3288A">
        <w:rPr>
          <w:color w:val="000000" w:themeColor="text1"/>
        </w:rPr>
        <w:t xml:space="preserve">of </w:t>
      </w:r>
      <w:r w:rsidRPr="00A646F5" w:rsidR="00E3288A">
        <w:rPr>
          <w:rFonts w:eastAsia="Calibri"/>
          <w:color w:val="000000" w:themeColor="text1"/>
        </w:rPr>
        <w:t>th</w:t>
      </w:r>
      <w:r w:rsidR="00E3288A">
        <w:rPr>
          <w:rFonts w:eastAsia="Calibri"/>
          <w:color w:val="000000" w:themeColor="text1"/>
        </w:rPr>
        <w:t>e CY 202</w:t>
      </w:r>
      <w:r w:rsidR="00FE112B">
        <w:rPr>
          <w:rFonts w:eastAsia="Calibri"/>
          <w:color w:val="000000" w:themeColor="text1"/>
        </w:rPr>
        <w:t>5</w:t>
      </w:r>
      <w:r w:rsidR="00E3288A">
        <w:rPr>
          <w:rFonts w:eastAsia="Calibri"/>
          <w:color w:val="000000" w:themeColor="text1"/>
        </w:rPr>
        <w:t xml:space="preserve"> PFS </w:t>
      </w:r>
      <w:r w:rsidR="00811C2A">
        <w:rPr>
          <w:rFonts w:eastAsia="Calibri"/>
          <w:color w:val="000000" w:themeColor="text1"/>
        </w:rPr>
        <w:t xml:space="preserve">final </w:t>
      </w:r>
      <w:r w:rsidRPr="00A646F5" w:rsidR="00E3288A">
        <w:rPr>
          <w:rFonts w:eastAsia="Calibri"/>
          <w:color w:val="000000" w:themeColor="text1"/>
        </w:rPr>
        <w:t xml:space="preserve">rule, </w:t>
      </w:r>
      <w:r w:rsidRPr="001B6EBA" w:rsidR="001B6EBA">
        <w:rPr>
          <w:rFonts w:eastAsia="Calibri"/>
          <w:color w:val="000000" w:themeColor="text1"/>
        </w:rPr>
        <w:t xml:space="preserve">we </w:t>
      </w:r>
      <w:r w:rsidR="00452206">
        <w:rPr>
          <w:rFonts w:eastAsia="Calibri"/>
          <w:color w:val="000000" w:themeColor="text1"/>
        </w:rPr>
        <w:t xml:space="preserve">finalized the addition of </w:t>
      </w:r>
      <w:r w:rsidR="00F824C9">
        <w:rPr>
          <w:rFonts w:eastAsia="Calibri"/>
          <w:color w:val="000000" w:themeColor="text1"/>
        </w:rPr>
        <w:t>six</w:t>
      </w:r>
      <w:r w:rsidRPr="001B6EBA" w:rsidR="00F824C9">
        <w:rPr>
          <w:rFonts w:eastAsia="Calibri"/>
          <w:color w:val="000000" w:themeColor="text1"/>
        </w:rPr>
        <w:t xml:space="preserve"> </w:t>
      </w:r>
      <w:r w:rsidRPr="001B6EBA" w:rsidR="001B6EBA">
        <w:rPr>
          <w:rFonts w:eastAsia="Calibri"/>
          <w:color w:val="000000" w:themeColor="text1"/>
        </w:rPr>
        <w:t xml:space="preserve">new MVPs to the MVP Inventory. Additionally, we </w:t>
      </w:r>
      <w:r w:rsidR="00452206">
        <w:rPr>
          <w:rFonts w:eastAsia="Calibri"/>
          <w:color w:val="000000" w:themeColor="text1"/>
        </w:rPr>
        <w:t>finalized</w:t>
      </w:r>
      <w:r w:rsidR="000B3E7A">
        <w:rPr>
          <w:rFonts w:eastAsia="Calibri"/>
          <w:color w:val="000000" w:themeColor="text1"/>
        </w:rPr>
        <w:t xml:space="preserve"> the consolidation of </w:t>
      </w:r>
      <w:r w:rsidRPr="001B6EBA" w:rsidR="001B6EBA">
        <w:rPr>
          <w:rFonts w:eastAsia="Calibri"/>
          <w:color w:val="000000" w:themeColor="text1"/>
        </w:rPr>
        <w:t xml:space="preserve">the previously finalized </w:t>
      </w:r>
      <w:r w:rsidRPr="00A74BB4" w:rsidR="00A74BB4">
        <w:rPr>
          <w:rFonts w:eastAsia="Calibri"/>
          <w:color w:val="000000" w:themeColor="text1"/>
        </w:rPr>
        <w:t xml:space="preserve">Optimal Care for Patients with Episodic Neurological Conditions and Supportive Care for Neurodegenerative </w:t>
      </w:r>
      <w:r w:rsidRPr="00A74BB4" w:rsidR="00A74BB4">
        <w:rPr>
          <w:rFonts w:eastAsia="Calibri"/>
          <w:color w:val="000000" w:themeColor="text1"/>
        </w:rPr>
        <w:t>Conditions</w:t>
      </w:r>
      <w:r w:rsidRPr="001B6EBA" w:rsidR="001B6EBA">
        <w:rPr>
          <w:rFonts w:eastAsia="Calibri"/>
          <w:color w:val="000000" w:themeColor="text1"/>
        </w:rPr>
        <w:t xml:space="preserve"> MVPs.</w:t>
      </w:r>
      <w:r w:rsidR="00022FD6">
        <w:rPr>
          <w:rFonts w:eastAsia="Calibri"/>
          <w:color w:val="000000" w:themeColor="text1"/>
        </w:rPr>
        <w:t xml:space="preserve"> </w:t>
      </w:r>
      <w:r w:rsidR="0054148D">
        <w:rPr>
          <w:rFonts w:eastAsia="Calibri"/>
          <w:color w:val="000000" w:themeColor="text1"/>
        </w:rPr>
        <w:t>As finalized,</w:t>
      </w:r>
      <w:r w:rsidRPr="001B6EBA" w:rsidR="001B6EBA">
        <w:rPr>
          <w:rFonts w:eastAsia="Calibri"/>
          <w:color w:val="000000" w:themeColor="text1"/>
        </w:rPr>
        <w:t xml:space="preserve"> MVP </w:t>
      </w:r>
      <w:r w:rsidRPr="381E127E" w:rsidR="721AD2BF">
        <w:rPr>
          <w:rFonts w:eastAsia="Calibri"/>
          <w:color w:val="000000" w:themeColor="text1"/>
        </w:rPr>
        <w:t>P</w:t>
      </w:r>
      <w:r w:rsidRPr="381E127E" w:rsidR="26A94A0E">
        <w:rPr>
          <w:rFonts w:eastAsia="Calibri"/>
          <w:color w:val="000000" w:themeColor="text1"/>
        </w:rPr>
        <w:t>articipants</w:t>
      </w:r>
      <w:r w:rsidRPr="001B6EBA" w:rsidR="001B6EBA">
        <w:rPr>
          <w:rFonts w:eastAsia="Calibri"/>
          <w:color w:val="000000" w:themeColor="text1"/>
        </w:rPr>
        <w:t xml:space="preserve"> will have a total of </w:t>
      </w:r>
      <w:r w:rsidR="000E0ADC">
        <w:rPr>
          <w:rFonts w:eastAsia="Calibri"/>
          <w:color w:val="000000" w:themeColor="text1"/>
        </w:rPr>
        <w:t>21</w:t>
      </w:r>
      <w:r w:rsidRPr="001B6EBA" w:rsidR="000E0ADC">
        <w:rPr>
          <w:rFonts w:eastAsia="Calibri"/>
          <w:color w:val="000000" w:themeColor="text1"/>
        </w:rPr>
        <w:t xml:space="preserve"> </w:t>
      </w:r>
      <w:r w:rsidRPr="001B6EBA" w:rsidR="001B6EBA">
        <w:rPr>
          <w:rFonts w:eastAsia="Calibri"/>
          <w:color w:val="000000" w:themeColor="text1"/>
        </w:rPr>
        <w:t>MVPs available for the CY 202</w:t>
      </w:r>
      <w:r w:rsidR="000E0ADC">
        <w:rPr>
          <w:rFonts w:eastAsia="Calibri"/>
          <w:color w:val="000000" w:themeColor="text1"/>
        </w:rPr>
        <w:t>5</w:t>
      </w:r>
      <w:r w:rsidRPr="001B6EBA" w:rsidR="001B6EBA">
        <w:rPr>
          <w:rFonts w:eastAsia="Calibri"/>
          <w:color w:val="000000" w:themeColor="text1"/>
        </w:rPr>
        <w:t xml:space="preserve"> performance period/202</w:t>
      </w:r>
      <w:r w:rsidR="000E0ADC">
        <w:rPr>
          <w:rFonts w:eastAsia="Calibri"/>
          <w:color w:val="000000" w:themeColor="text1"/>
        </w:rPr>
        <w:t>7</w:t>
      </w:r>
      <w:r w:rsidRPr="001B6EBA" w:rsidR="001B6EBA">
        <w:rPr>
          <w:rFonts w:eastAsia="Calibri"/>
          <w:color w:val="000000" w:themeColor="text1"/>
        </w:rPr>
        <w:t xml:space="preserve"> MIPS payment year.</w:t>
      </w:r>
    </w:p>
    <w:p w:rsidR="008A5159" w:rsidRPr="001C02A4" w:rsidP="003A4007" w14:paraId="391A295B" w14:textId="293694AA">
      <w:pPr>
        <w:pStyle w:val="BodyText"/>
        <w:rPr>
          <w:rFonts w:eastAsia="Calibri"/>
        </w:rPr>
      </w:pPr>
      <w:r w:rsidRPr="1511AE46">
        <w:rPr>
          <w:rFonts w:eastAsia="Calibri"/>
        </w:rPr>
        <w:t xml:space="preserve">Advanced Primary Care Management (APCM) payment finalized in </w:t>
      </w:r>
      <w:r w:rsidRPr="1511AE46" w:rsidR="006B6257">
        <w:rPr>
          <w:rFonts w:eastAsia="Calibri"/>
        </w:rPr>
        <w:t>the CY2025 PFS</w:t>
      </w:r>
      <w:r w:rsidRPr="1511AE46">
        <w:rPr>
          <w:rFonts w:eastAsia="Calibri"/>
        </w:rPr>
        <w:t xml:space="preserve"> final rule incorporates several specific, existing care management and communication technology-based services into a bundle and includes performance measurement requirements that, for MIPS eligible clinicians, could be met by reporting the Value in Primary Care MVP beginning in the CY 2025 performance period/2027 MIPS payment year. Billing practitioners who are not MIPS eligible clinicians (as defined at §414.1305) will not have to report the MVP in order to furnish and bill for APCM services. Billing practitioners who are not MIPS eligible clinicians (as defined at §414.1305) will not have to report the MVP in order to furnish and bill for APCM services. We estimate MVP reporting as a percentage of previous traditional MIPS quality submissions. In line with this approach, we are unable to determine how many additional clinicians or practices will report the Value in Primary Care MVP above our current MVP submission estimates due to the finalized APCM requirements. Similarly, we cannot assess what participation levels clinicians or practices who may use these APCM codes have reported MIPS in the past (for example, eligibility requirements and special statuses, participation at the individual, group, virtual group, or APM Entity level, or reporting via traditional MIPS, the APP, or MVPs), or if they will be MIPS eligible clinicians in future years. </w:t>
      </w:r>
      <w:r w:rsidRPr="1511AE46" w:rsidR="002C1952">
        <w:rPr>
          <w:rFonts w:eastAsia="Calibri"/>
          <w:color w:val="000000" w:themeColor="text1"/>
        </w:rPr>
        <w:t xml:space="preserve">With updated submission data available for the CY 2022 performance period/2024 MIPs payment year and quality measure </w:t>
      </w:r>
      <w:r w:rsidRPr="1511AE46" w:rsidR="001901B1">
        <w:rPr>
          <w:rFonts w:eastAsia="Calibri"/>
          <w:color w:val="000000" w:themeColor="text1"/>
        </w:rPr>
        <w:t>modifications</w:t>
      </w:r>
      <w:r w:rsidRPr="1511AE46" w:rsidR="002C1952">
        <w:rPr>
          <w:rFonts w:eastAsia="Calibri"/>
          <w:color w:val="000000" w:themeColor="text1"/>
        </w:rPr>
        <w:t xml:space="preserve"> within the MVP </w:t>
      </w:r>
      <w:r w:rsidRPr="1511AE46" w:rsidR="00CD6F10">
        <w:rPr>
          <w:rFonts w:eastAsia="Calibri"/>
          <w:color w:val="000000" w:themeColor="text1"/>
        </w:rPr>
        <w:t>Inventory</w:t>
      </w:r>
      <w:r w:rsidRPr="1511AE46" w:rsidR="002C1952">
        <w:rPr>
          <w:rFonts w:eastAsia="Calibri"/>
          <w:color w:val="000000" w:themeColor="text1"/>
        </w:rPr>
        <w:t xml:space="preserve"> for the CY 2024 performance period/2026 MIPS payment year (88 FR 79978 through 80047), </w:t>
      </w:r>
      <w:r w:rsidRPr="1511AE46" w:rsidR="004831E9">
        <w:rPr>
          <w:rFonts w:eastAsia="Calibri"/>
          <w:color w:val="000000" w:themeColor="text1"/>
        </w:rPr>
        <w:t>w</w:t>
      </w:r>
      <w:r w:rsidRPr="1511AE46" w:rsidR="002C1952">
        <w:rPr>
          <w:rFonts w:eastAsia="Calibri"/>
          <w:color w:val="000000" w:themeColor="text1"/>
        </w:rPr>
        <w:t xml:space="preserve">e conducted </w:t>
      </w:r>
      <w:r w:rsidRPr="1511AE46" w:rsidR="00284491">
        <w:rPr>
          <w:rFonts w:eastAsia="Calibri"/>
          <w:color w:val="000000" w:themeColor="text1"/>
        </w:rPr>
        <w:t>an</w:t>
      </w:r>
      <w:r w:rsidRPr="1511AE46" w:rsidR="002C1952">
        <w:rPr>
          <w:rFonts w:eastAsia="Calibri"/>
          <w:color w:val="000000" w:themeColor="text1"/>
        </w:rPr>
        <w:t xml:space="preserve"> analysis </w:t>
      </w:r>
      <w:r w:rsidRPr="1511AE46" w:rsidR="00284491">
        <w:rPr>
          <w:rFonts w:eastAsia="Calibri"/>
          <w:color w:val="000000" w:themeColor="text1"/>
        </w:rPr>
        <w:t xml:space="preserve">on the average quality measure submission </w:t>
      </w:r>
      <w:r w:rsidRPr="1511AE46" w:rsidR="3C07B5F0">
        <w:rPr>
          <w:rFonts w:eastAsia="Calibri"/>
          <w:color w:val="000000" w:themeColor="text1"/>
        </w:rPr>
        <w:t>r</w:t>
      </w:r>
      <w:r w:rsidRPr="1511AE46" w:rsidR="00284491">
        <w:rPr>
          <w:rFonts w:eastAsia="Calibri"/>
          <w:color w:val="000000" w:themeColor="text1"/>
        </w:rPr>
        <w:t xml:space="preserve">ate </w:t>
      </w:r>
      <w:r w:rsidRPr="1511AE46" w:rsidR="002C1952">
        <w:rPr>
          <w:rFonts w:eastAsia="Calibri"/>
          <w:color w:val="000000" w:themeColor="text1"/>
        </w:rPr>
        <w:t xml:space="preserve">for the 16 MVPs approved for the CY 2024 performance period/2026 MIPS payment year. The total of these average quality measure submissions for each approved MVP was equivalent to </w:t>
      </w:r>
      <w:r w:rsidRPr="1511AE46" w:rsidR="00F824C9">
        <w:rPr>
          <w:rFonts w:eastAsia="Calibri"/>
          <w:color w:val="000000" w:themeColor="text1"/>
        </w:rPr>
        <w:t xml:space="preserve">six </w:t>
      </w:r>
      <w:r w:rsidRPr="1511AE46" w:rsidR="002C1952">
        <w:rPr>
          <w:rFonts w:eastAsia="Calibri"/>
          <w:color w:val="000000" w:themeColor="text1"/>
        </w:rPr>
        <w:t xml:space="preserve">percent of the total quality measure submissions in the CY 2022 performance period/2024 MIPS payment year. </w:t>
      </w:r>
      <w:r w:rsidRPr="1511AE46" w:rsidR="00767FCC">
        <w:rPr>
          <w:rFonts w:eastAsia="Calibri"/>
          <w:color w:val="000000" w:themeColor="text1"/>
        </w:rPr>
        <w:t xml:space="preserve">For each </w:t>
      </w:r>
      <w:r w:rsidRPr="1511AE46" w:rsidR="00EC5B80">
        <w:rPr>
          <w:rFonts w:eastAsia="Calibri"/>
          <w:color w:val="000000" w:themeColor="text1"/>
        </w:rPr>
        <w:t>MVP finalized for introduction in the CY 2025 PFS final rule</w:t>
      </w:r>
      <w:r w:rsidRPr="1511AE46" w:rsidR="00767FCC">
        <w:rPr>
          <w:rFonts w:eastAsia="Calibri"/>
          <w:color w:val="000000" w:themeColor="text1"/>
        </w:rPr>
        <w:t>, we similarly calculated the average quality measure submission rate across the measures available in each MVP for the CY 2022 performance period/2024 MIPS payment year. Using updated data available from the CY 2022 performance period/2024 MIPS payment year, we calculated that the total of these average quality measure submissions for each</w:t>
      </w:r>
      <w:r w:rsidRPr="1511AE46" w:rsidR="00022FD6">
        <w:rPr>
          <w:rFonts w:eastAsia="Calibri"/>
          <w:color w:val="000000" w:themeColor="text1"/>
        </w:rPr>
        <w:t xml:space="preserve"> </w:t>
      </w:r>
      <w:r w:rsidRPr="1511AE46" w:rsidR="00767FCC">
        <w:rPr>
          <w:rFonts w:eastAsia="Calibri"/>
          <w:color w:val="000000" w:themeColor="text1"/>
        </w:rPr>
        <w:t>MVP</w:t>
      </w:r>
      <w:r w:rsidRPr="1511AE46" w:rsidR="00841C82">
        <w:rPr>
          <w:rFonts w:eastAsia="Calibri"/>
          <w:color w:val="000000" w:themeColor="text1"/>
        </w:rPr>
        <w:t xml:space="preserve"> finalized for introduction in the CY 2025 PFS final rule</w:t>
      </w:r>
      <w:r w:rsidRPr="1511AE46" w:rsidR="00767FCC">
        <w:rPr>
          <w:rFonts w:eastAsia="Calibri"/>
          <w:color w:val="000000" w:themeColor="text1"/>
        </w:rPr>
        <w:t xml:space="preserve"> was equivalent to about </w:t>
      </w:r>
      <w:r w:rsidRPr="1511AE46" w:rsidR="00F824C9">
        <w:rPr>
          <w:rFonts w:eastAsia="Calibri"/>
          <w:color w:val="000000" w:themeColor="text1"/>
        </w:rPr>
        <w:t xml:space="preserve">four </w:t>
      </w:r>
      <w:r w:rsidRPr="1511AE46" w:rsidR="00767FCC">
        <w:rPr>
          <w:rFonts w:eastAsia="Calibri"/>
          <w:color w:val="000000" w:themeColor="text1"/>
        </w:rPr>
        <w:t xml:space="preserve">percent of total quality measure submissions. </w:t>
      </w:r>
      <w:r w:rsidRPr="1511AE46" w:rsidR="00136B85">
        <w:rPr>
          <w:color w:val="000000" w:themeColor="text1"/>
        </w:rPr>
        <w:t xml:space="preserve">We assume there </w:t>
      </w:r>
      <w:r w:rsidRPr="1511AE46" w:rsidR="00B33B7E">
        <w:rPr>
          <w:color w:val="000000" w:themeColor="text1"/>
        </w:rPr>
        <w:t>will</w:t>
      </w:r>
      <w:r w:rsidRPr="1511AE46" w:rsidR="00136B85">
        <w:rPr>
          <w:color w:val="000000" w:themeColor="text1"/>
        </w:rPr>
        <w:t xml:space="preserve"> not be any changes to MVP submissions due to the </w:t>
      </w:r>
      <w:r w:rsidRPr="1511AE46" w:rsidR="00353378">
        <w:rPr>
          <w:color w:val="000000" w:themeColor="text1"/>
        </w:rPr>
        <w:t xml:space="preserve">finalized policy to </w:t>
      </w:r>
      <w:r w:rsidRPr="1511AE46" w:rsidR="00136B85">
        <w:rPr>
          <w:color w:val="000000" w:themeColor="text1"/>
        </w:rPr>
        <w:t xml:space="preserve">consolidate the measures in the Optimal Care for Patients with Episodic Neurological Conditions MVP and Supportive Care for Neurodegenerative Conditions MVP into the Quality Care for Patients with Neurological Conditions MVP. That is, we assume clinicians who would have submitted the Optimal Care for Patients with Episodic Neurological Conditions MVP or the Supportive Care for Neurodegenerative Conditions MVP would instead submit the Quality Care for Patients with Neurological Conditions MVP. Therefore, we estimate the </w:t>
      </w:r>
      <w:r w:rsidRPr="1511AE46" w:rsidR="007F753B">
        <w:rPr>
          <w:color w:val="000000" w:themeColor="text1"/>
        </w:rPr>
        <w:t xml:space="preserve">finalized </w:t>
      </w:r>
      <w:r w:rsidRPr="1511AE46" w:rsidR="00136B85">
        <w:rPr>
          <w:color w:val="000000" w:themeColor="text1"/>
        </w:rPr>
        <w:t xml:space="preserve">changes to the MVP </w:t>
      </w:r>
      <w:r w:rsidRPr="1511AE46" w:rsidR="00B01479">
        <w:rPr>
          <w:color w:val="000000" w:themeColor="text1"/>
        </w:rPr>
        <w:t>Inventory</w:t>
      </w:r>
      <w:r w:rsidRPr="1511AE46" w:rsidR="00136B85">
        <w:rPr>
          <w:color w:val="000000" w:themeColor="text1"/>
        </w:rPr>
        <w:t xml:space="preserve"> in this </w:t>
      </w:r>
      <w:r w:rsidRPr="1511AE46" w:rsidR="00811C2A">
        <w:rPr>
          <w:color w:val="000000" w:themeColor="text1"/>
        </w:rPr>
        <w:t xml:space="preserve">final </w:t>
      </w:r>
      <w:r w:rsidRPr="1511AE46" w:rsidR="00136B85">
        <w:rPr>
          <w:color w:val="000000" w:themeColor="text1"/>
        </w:rPr>
        <w:t xml:space="preserve">rule </w:t>
      </w:r>
      <w:r w:rsidRPr="1511AE46" w:rsidR="00D4360D">
        <w:rPr>
          <w:color w:val="000000" w:themeColor="text1"/>
        </w:rPr>
        <w:t>would</w:t>
      </w:r>
      <w:r w:rsidRPr="1511AE46" w:rsidR="00136B85">
        <w:rPr>
          <w:color w:val="000000" w:themeColor="text1"/>
        </w:rPr>
        <w:t xml:space="preserve"> result in an additional </w:t>
      </w:r>
      <w:r w:rsidRPr="1511AE46" w:rsidR="00F824C9">
        <w:rPr>
          <w:color w:val="000000" w:themeColor="text1"/>
        </w:rPr>
        <w:t>four</w:t>
      </w:r>
      <w:r w:rsidRPr="1511AE46" w:rsidR="00136B85">
        <w:rPr>
          <w:color w:val="000000" w:themeColor="text1"/>
        </w:rPr>
        <w:t> percent of MIPS clinicians moving from traditional MIPS to MVP reporting.</w:t>
      </w:r>
    </w:p>
    <w:p w:rsidR="009E5DAF" w:rsidP="003A4007" w14:paraId="18B1FFFE" w14:textId="09BC3A98">
      <w:pPr>
        <w:pStyle w:val="BodyText"/>
      </w:pPr>
      <w:r>
        <w:t xml:space="preserve">Taking together the aforementioned analyses where we assessed the MVP </w:t>
      </w:r>
      <w:r w:rsidR="2D5496FF">
        <w:t>P</w:t>
      </w:r>
      <w:r>
        <w:t xml:space="preserve">articipation rate for the 16 </w:t>
      </w:r>
      <w:r w:rsidR="00FF32C4">
        <w:t xml:space="preserve">previously </w:t>
      </w:r>
      <w:r>
        <w:t xml:space="preserve">established MVPs at </w:t>
      </w:r>
      <w:r w:rsidR="00F824C9">
        <w:t xml:space="preserve">six </w:t>
      </w:r>
      <w:r>
        <w:t xml:space="preserve">percent using updated quality measure submission data from the CY 2022 performance period/2024 MIPS payment year, and the assessment that </w:t>
      </w:r>
      <w:r w:rsidR="00F824C9">
        <w:t xml:space="preserve">four </w:t>
      </w:r>
      <w:r>
        <w:t xml:space="preserve">percent of MIPS clinicians may move to the </w:t>
      </w:r>
      <w:r w:rsidR="00F824C9">
        <w:t xml:space="preserve">six </w:t>
      </w:r>
      <w:r w:rsidR="00FF32C4">
        <w:t xml:space="preserve">new </w:t>
      </w:r>
      <w:r>
        <w:t xml:space="preserve">MVPs </w:t>
      </w:r>
      <w:r w:rsidR="00FF32C4">
        <w:t xml:space="preserve">finalized in the CY 2025 PFS final rule </w:t>
      </w:r>
      <w:r>
        <w:t xml:space="preserve">due to quality measure submission trends for the CY 2022 performance period/2024 </w:t>
      </w:r>
      <w:r>
        <w:t xml:space="preserve">MIPS payment year, </w:t>
      </w:r>
      <w:r w:rsidRPr="004F5699">
        <w:t xml:space="preserve">we estimate that </w:t>
      </w:r>
      <w:r>
        <w:t xml:space="preserve">a total of </w:t>
      </w:r>
      <w:r w:rsidRPr="004F5699">
        <w:t>10 percent of the clinicians will participate in MVP reporting in the CY 2025 performance period/2027 MIPS payment year. This is a decrease of 4 percentage points from the currently approved estimate of 14 percent in the CY 2024 PFS final rule (</w:t>
      </w:r>
      <w:r w:rsidRPr="381E127E">
        <w:rPr>
          <w:color w:val="000000" w:themeColor="text1"/>
        </w:rPr>
        <w:t>88 FR 79443</w:t>
      </w:r>
      <w:r w:rsidRPr="004F5699">
        <w:t>).</w:t>
      </w:r>
      <w:r w:rsidRPr="00A849A5">
        <w:t xml:space="preserve"> </w:t>
      </w:r>
      <w:r>
        <w:t xml:space="preserve">This decrease reflects the updated analysis of MVP submissions for established MVPs (from 14 percent to 4 percent) to account for the latest available MIPS submission data, and the additional 6 percent of MIPS clinicians we believe may report the </w:t>
      </w:r>
      <w:r w:rsidR="00F824C9">
        <w:t xml:space="preserve">six </w:t>
      </w:r>
      <w:r>
        <w:t xml:space="preserve">new MVPs </w:t>
      </w:r>
      <w:r w:rsidR="00C96344">
        <w:t xml:space="preserve">introduced in the CY 2025 PFS final rule </w:t>
      </w:r>
      <w:r>
        <w:t>due to updated quality measure submission data.</w:t>
      </w:r>
    </w:p>
    <w:p w:rsidR="008B2106" w:rsidRPr="00426186" w:rsidP="00406205" w14:paraId="4F28661E" w14:textId="608B40CA">
      <w:pPr>
        <w:pStyle w:val="Heading5"/>
        <w:rPr>
          <w:iCs/>
        </w:rPr>
      </w:pPr>
      <w:r>
        <w:t>i.</w:t>
      </w:r>
      <w:r>
        <w:tab/>
      </w:r>
      <w:r w:rsidRPr="00DF359E" w:rsidR="00282256">
        <w:t>Burden for MVP Registration: Individuals, Groups and</w:t>
      </w:r>
      <w:r w:rsidR="00DF359E">
        <w:t xml:space="preserve"> </w:t>
      </w:r>
      <w:r w:rsidRPr="00DF359E" w:rsidR="00282256">
        <w:t>APM Entities</w:t>
      </w:r>
      <w:r w:rsidRPr="00DF359E" w:rsidR="00BE6DD2">
        <w:t xml:space="preserve"> </w:t>
      </w:r>
    </w:p>
    <w:p w:rsidR="007A1B50" w:rsidP="0067016B" w14:paraId="52714DD3" w14:textId="09873531">
      <w:pPr>
        <w:pStyle w:val="BodyText-PostHead"/>
        <w:spacing w:before="240"/>
      </w:pPr>
      <w:r>
        <w:t>I</w:t>
      </w:r>
      <w:r w:rsidRPr="00665635">
        <w:t>n the CY 2022 PFS final rule (86 FR 65417)</w:t>
      </w:r>
      <w:r>
        <w:t>, we finalized</w:t>
      </w:r>
      <w:r w:rsidRPr="00665635">
        <w:t xml:space="preserve"> at § 414.1365(b)(2)(i) that MVP </w:t>
      </w:r>
      <w:r>
        <w:t>P</w:t>
      </w:r>
      <w:r w:rsidRPr="00665635">
        <w:t>articipants are required to select one population health measure at the time of MVP registration.</w:t>
      </w:r>
      <w:r>
        <w:rPr>
          <w:shd w:val="clear" w:color="auto" w:fill="FFFFFF"/>
        </w:rPr>
        <w:t xml:space="preserve"> </w:t>
      </w:r>
      <w:r w:rsidRPr="00665635">
        <w:t>Since the MVP population health measures are administrative claims-based, they do not require data submission from clinicians and do not contribute to reporting burden.</w:t>
      </w:r>
      <w:r>
        <w:t xml:space="preserve"> </w:t>
      </w:r>
      <w:r w:rsidRPr="00665635">
        <w:t xml:space="preserve">In </w:t>
      </w:r>
      <w:r>
        <w:t>the CY 2025 PFS final rule</w:t>
      </w:r>
      <w:r w:rsidRPr="00665635">
        <w:t xml:space="preserve">, we </w:t>
      </w:r>
      <w:r>
        <w:t xml:space="preserve">finalized our </w:t>
      </w:r>
      <w:r w:rsidRPr="00665635">
        <w:t>propos</w:t>
      </w:r>
      <w:r>
        <w:t>al</w:t>
      </w:r>
      <w:r w:rsidRPr="00665635">
        <w:t xml:space="preserve"> to </w:t>
      </w:r>
      <w:r w:rsidRPr="00665635">
        <w:rPr>
          <w:shd w:val="clear" w:color="auto" w:fill="FFFFFF"/>
        </w:rPr>
        <w:t>update the registration process and scoring policies for population health measures.</w:t>
      </w:r>
      <w:r>
        <w:rPr>
          <w:shd w:val="clear" w:color="auto" w:fill="FFFFFF"/>
        </w:rPr>
        <w:t xml:space="preserve"> These changes include </w:t>
      </w:r>
      <w:r w:rsidRPr="00665635">
        <w:t>revis</w:t>
      </w:r>
      <w:r>
        <w:t>ing</w:t>
      </w:r>
      <w:r w:rsidRPr="00665635">
        <w:t xml:space="preserve"> § 414.1365(d)(3)(i)(A) to state that we would use the highest score of all available population health measures</w:t>
      </w:r>
      <w:r>
        <w:t xml:space="preserve"> </w:t>
      </w:r>
      <w:r w:rsidRPr="00665635">
        <w:t xml:space="preserve">beginning in the CY 2025 performance period/2027 MIPS payment year. This </w:t>
      </w:r>
      <w:r>
        <w:t xml:space="preserve">policy </w:t>
      </w:r>
      <w:r w:rsidRPr="00665635">
        <w:t>w</w:t>
      </w:r>
      <w:r>
        <w:t>ill</w:t>
      </w:r>
      <w:r w:rsidRPr="00665635">
        <w:t xml:space="preserve"> remove the requirement for MVP </w:t>
      </w:r>
      <w:r>
        <w:t>P</w:t>
      </w:r>
      <w:r w:rsidRPr="00665635">
        <w:t>articipant</w:t>
      </w:r>
      <w:r>
        <w:t>s</w:t>
      </w:r>
      <w:r w:rsidRPr="00665635">
        <w:t xml:space="preserve"> to select a population health measure during MVP registration</w:t>
      </w:r>
      <w:r>
        <w:t>, which is currently completed via a drop-down selection</w:t>
      </w:r>
      <w:r w:rsidRPr="00665635">
        <w:t>. We assume the associated reduction in burden per application w</w:t>
      </w:r>
      <w:r>
        <w:t>ill</w:t>
      </w:r>
      <w:r w:rsidRPr="00665635">
        <w:t xml:space="preserve"> be minimal. Therefore, we </w:t>
      </w:r>
      <w:r>
        <w:t>did</w:t>
      </w:r>
      <w:r w:rsidRPr="00665635">
        <w:t xml:space="preserve"> not adjust the burden per MVP registration from the currently approved registration time of 15 minutes (0.25 hr)</w:t>
      </w:r>
      <w:r>
        <w:t xml:space="preserve">. </w:t>
      </w:r>
      <w:r w:rsidR="007C3783">
        <w:t>The MVP registration collection changed from submitting an Excel file via email in 2023 to an online registration form for 2024.</w:t>
      </w:r>
    </w:p>
    <w:p w:rsidR="00BE6DD2" w:rsidP="00E37BE8" w14:paraId="67053948" w14:textId="4EA1AEE9">
      <w:pPr>
        <w:pStyle w:val="BodyText"/>
      </w:pPr>
      <w:r w:rsidRPr="00C31575">
        <w:t xml:space="preserve">In Table </w:t>
      </w:r>
      <w:r w:rsidR="00571D24">
        <w:t>1</w:t>
      </w:r>
      <w:r w:rsidR="006325A1">
        <w:t>4</w:t>
      </w:r>
      <w:r w:rsidR="00571D24">
        <w:t xml:space="preserve"> below</w:t>
      </w:r>
      <w:r w:rsidRPr="00C31575">
        <w:t xml:space="preserve">, we estimate that the registration process for clinicians choosing to submit MIPS data for the measures and the activities in an MVP </w:t>
      </w:r>
      <w:r w:rsidR="00C46A67">
        <w:t>will</w:t>
      </w:r>
      <w:r w:rsidRPr="00C31575" w:rsidR="00C46A67">
        <w:t xml:space="preserve"> </w:t>
      </w:r>
      <w:r w:rsidRPr="00C31575">
        <w:t xml:space="preserve">require 0.25 hours of a computer systems analyst’s time. We assume that the staff involved in the MVP registration process will mainly be computer systems analysts or their equivalent, who have an average labor cost of </w:t>
      </w:r>
      <w:r w:rsidR="007D530F">
        <w:t>$106.54</w:t>
      </w:r>
      <w:r w:rsidRPr="00C31575">
        <w:t>/hour.</w:t>
      </w:r>
    </w:p>
    <w:p w:rsidR="006E3E52" w:rsidP="00E37BE8" w14:paraId="58F4E717" w14:textId="00E4C29C">
      <w:pPr>
        <w:pStyle w:val="BodyText"/>
      </w:pPr>
      <w:r>
        <w:t>B</w:t>
      </w:r>
      <w:r w:rsidRPr="00871E51">
        <w:t xml:space="preserve">ased on </w:t>
      </w:r>
      <w:r w:rsidR="001C1BD1">
        <w:t xml:space="preserve">submission </w:t>
      </w:r>
      <w:r w:rsidRPr="00871E51">
        <w:t>data from the CY 20</w:t>
      </w:r>
      <w:r w:rsidR="008F08EC">
        <w:t>2</w:t>
      </w:r>
      <w:r w:rsidR="00604C94">
        <w:t xml:space="preserve">2 </w:t>
      </w:r>
      <w:r w:rsidRPr="00871E51">
        <w:t>performance period/202</w:t>
      </w:r>
      <w:r w:rsidR="00604C94">
        <w:t>4</w:t>
      </w:r>
      <w:r w:rsidRPr="00871E51">
        <w:t xml:space="preserve"> MIPS payment </w:t>
      </w:r>
      <w:r w:rsidRPr="00871E51" w:rsidR="00F22B6C">
        <w:t>year,</w:t>
      </w:r>
      <w:r w:rsidR="00F22B6C">
        <w:t xml:space="preserve"> </w:t>
      </w:r>
      <w:r w:rsidRPr="00871E51" w:rsidR="00F22B6C">
        <w:t>and</w:t>
      </w:r>
      <w:r w:rsidR="001B63FA">
        <w:t xml:space="preserve"> accounting for the </w:t>
      </w:r>
      <w:r w:rsidR="00C46A67">
        <w:t xml:space="preserve">previously </w:t>
      </w:r>
      <w:r w:rsidR="00604C94">
        <w:t>finaliz</w:t>
      </w:r>
      <w:r w:rsidR="001B63FA">
        <w:t xml:space="preserve">ed changes to the existing MVPs and the </w:t>
      </w:r>
      <w:r w:rsidR="00C46A67">
        <w:t xml:space="preserve">finalized </w:t>
      </w:r>
      <w:r w:rsidR="001B63FA">
        <w:t xml:space="preserve">addition of </w:t>
      </w:r>
      <w:r w:rsidR="003759E0">
        <w:t>6</w:t>
      </w:r>
      <w:r w:rsidR="00F13291">
        <w:t xml:space="preserve"> </w:t>
      </w:r>
      <w:r w:rsidR="001B63FA">
        <w:t>new MVPs</w:t>
      </w:r>
      <w:r w:rsidR="00C46A67">
        <w:t xml:space="preserve"> in the CY 2025 PFS final rule</w:t>
      </w:r>
      <w:r w:rsidR="001B63FA">
        <w:t xml:space="preserve">, we </w:t>
      </w:r>
      <w:r w:rsidR="004F4204">
        <w:t xml:space="preserve">estimate that </w:t>
      </w:r>
      <w:r w:rsidR="009C6D60">
        <w:t>10</w:t>
      </w:r>
      <w:r w:rsidRPr="00871E51">
        <w:t xml:space="preserve"> percent of the clinicians that currently participate in MIPS will submit data for the measures and activities in an MVP</w:t>
      </w:r>
      <w:r w:rsidR="007A3879">
        <w:t xml:space="preserve">. </w:t>
      </w:r>
      <w:r w:rsidRPr="00871E51">
        <w:t>For the CY 202</w:t>
      </w:r>
      <w:r w:rsidR="009C6D60">
        <w:t>5</w:t>
      </w:r>
      <w:r w:rsidRPr="00871E51">
        <w:t xml:space="preserve"> performance period/202</w:t>
      </w:r>
      <w:r w:rsidR="009C6D60">
        <w:t>7</w:t>
      </w:r>
      <w:r w:rsidRPr="00871E51">
        <w:t xml:space="preserve"> MIPS payment year, we assume that a total of </w:t>
      </w:r>
      <w:r w:rsidR="00DC54C0">
        <w:t>6,285</w:t>
      </w:r>
      <w:r w:rsidRPr="00871E51">
        <w:t xml:space="preserve"> submissions w</w:t>
      </w:r>
      <w:r w:rsidR="00CE1593">
        <w:t>il</w:t>
      </w:r>
      <w:r w:rsidRPr="00871E51">
        <w:t xml:space="preserve">l be received for the measures and activities included in MVPs. This total includes our estimate of 20 subgroup reporters that will also be reporting MVPs in addition to MVP reporters who currently participate in MIPS. Therefore, we </w:t>
      </w:r>
      <w:r w:rsidR="007C5725">
        <w:t>estimat</w:t>
      </w:r>
      <w:r w:rsidRPr="00871E51">
        <w:t xml:space="preserve">e that the total number of individual clinicians, groups, subgroups and APM Entities to complete the MVP registration process is </w:t>
      </w:r>
      <w:r w:rsidR="00DC54C0">
        <w:t>6,285.</w:t>
      </w:r>
      <w:r w:rsidRPr="00871E51">
        <w:t xml:space="preserve"> </w:t>
      </w:r>
      <w:r w:rsidR="00B800E1">
        <w:t>As shown in Table 1</w:t>
      </w:r>
      <w:r w:rsidR="002D3FF5">
        <w:t>4</w:t>
      </w:r>
      <w:r w:rsidR="00B800E1">
        <w:t>, w</w:t>
      </w:r>
      <w:r w:rsidRPr="00871E51">
        <w:t xml:space="preserve">e estimate that </w:t>
      </w:r>
      <w:r w:rsidR="0035000E">
        <w:t>it w</w:t>
      </w:r>
      <w:r w:rsidR="00F31BE8">
        <w:t>ill</w:t>
      </w:r>
      <w:r w:rsidR="0035000E">
        <w:t xml:space="preserve"> </w:t>
      </w:r>
      <w:r w:rsidR="00FF315A">
        <w:t xml:space="preserve">take </w:t>
      </w:r>
      <w:r w:rsidR="0005492C">
        <w:t>1,571</w:t>
      </w:r>
      <w:r w:rsidR="0035000E">
        <w:t xml:space="preserve"> hours</w:t>
      </w:r>
      <w:r w:rsidR="007F4712">
        <w:t xml:space="preserve"> (</w:t>
      </w:r>
      <w:r w:rsidR="0005492C">
        <w:t>6,285</w:t>
      </w:r>
      <w:r w:rsidR="007F4712">
        <w:t xml:space="preserve"> </w:t>
      </w:r>
      <w:r w:rsidR="007222CB">
        <w:t>r</w:t>
      </w:r>
      <w:r w:rsidR="002D3FF5">
        <w:t>egistrations</w:t>
      </w:r>
      <w:r w:rsidR="007222CB">
        <w:t xml:space="preserve"> </w:t>
      </w:r>
      <w:r w:rsidR="00B51A1D">
        <w:t>×</w:t>
      </w:r>
      <w:r w:rsidR="007222CB">
        <w:rPr>
          <w:rFonts w:eastAsia="Calibri"/>
        </w:rPr>
        <w:t xml:space="preserve"> 0.25 hr/registration</w:t>
      </w:r>
      <w:r w:rsidR="007F4712">
        <w:t>)</w:t>
      </w:r>
      <w:r w:rsidR="0035000E">
        <w:t xml:space="preserve"> </w:t>
      </w:r>
      <w:r w:rsidR="00AB1AE3">
        <w:t>for</w:t>
      </w:r>
      <w:r w:rsidRPr="00871E51">
        <w:t xml:space="preserve"> individual</w:t>
      </w:r>
      <w:r w:rsidR="00955385">
        <w:t xml:space="preserve"> clinicians</w:t>
      </w:r>
      <w:r w:rsidR="00FF30DA">
        <w:t xml:space="preserve">, </w:t>
      </w:r>
      <w:r w:rsidRPr="00871E51">
        <w:t>groups</w:t>
      </w:r>
      <w:r w:rsidR="00955385">
        <w:t>, subgroups, and APM Entities</w:t>
      </w:r>
      <w:r w:rsidRPr="00871E51">
        <w:t xml:space="preserve"> </w:t>
      </w:r>
      <w:r w:rsidR="007222CB">
        <w:t>to complete</w:t>
      </w:r>
      <w:r w:rsidRPr="00871E51">
        <w:t xml:space="preserve"> the MVP registration process </w:t>
      </w:r>
      <w:r w:rsidR="007222CB">
        <w:t>at a cost of</w:t>
      </w:r>
      <w:r w:rsidRPr="00871E51">
        <w:t xml:space="preserve"> $</w:t>
      </w:r>
      <w:r w:rsidR="0005492C">
        <w:rPr>
          <w:color w:val="000000" w:themeColor="text1"/>
        </w:rPr>
        <w:t>167,432</w:t>
      </w:r>
      <w:r w:rsidR="00305884">
        <w:rPr>
          <w:color w:val="000000" w:themeColor="text1"/>
        </w:rPr>
        <w:t xml:space="preserve"> (</w:t>
      </w:r>
      <w:r w:rsidR="0005492C">
        <w:t>6,285</w:t>
      </w:r>
      <w:r w:rsidR="002D3FF5">
        <w:t xml:space="preserve"> registrations</w:t>
      </w:r>
      <w:r w:rsidR="00305884">
        <w:t xml:space="preserve"> </w:t>
      </w:r>
      <w:r w:rsidR="00B51A1D">
        <w:t>×</w:t>
      </w:r>
      <w:r w:rsidR="00305884">
        <w:rPr>
          <w:rFonts w:eastAsia="Calibri"/>
        </w:rPr>
        <w:t xml:space="preserve"> </w:t>
      </w:r>
      <w:r w:rsidR="002D3FF5">
        <w:rPr>
          <w:rFonts w:eastAsia="Calibri"/>
        </w:rPr>
        <w:t>$2</w:t>
      </w:r>
      <w:r w:rsidR="0005492C">
        <w:rPr>
          <w:rFonts w:eastAsia="Calibri"/>
        </w:rPr>
        <w:t>6.64</w:t>
      </w:r>
      <w:r w:rsidR="002D3FF5">
        <w:rPr>
          <w:rFonts w:eastAsia="Calibri"/>
        </w:rPr>
        <w:t>5</w:t>
      </w:r>
      <w:r w:rsidR="00305884">
        <w:rPr>
          <w:rFonts w:eastAsia="Calibri"/>
        </w:rPr>
        <w:t>/</w:t>
      </w:r>
      <w:r w:rsidR="002D3FF5">
        <w:rPr>
          <w:rFonts w:eastAsia="Calibri"/>
        </w:rPr>
        <w:t>registration</w:t>
      </w:r>
      <w:r w:rsidR="00305884">
        <w:rPr>
          <w:color w:val="000000" w:themeColor="text1"/>
        </w:rPr>
        <w:t>)</w:t>
      </w:r>
      <w:r w:rsidR="00BD6D1A">
        <w:rPr>
          <w:color w:val="000000" w:themeColor="text1"/>
        </w:rPr>
        <w:t xml:space="preserve"> for the CY 202</w:t>
      </w:r>
      <w:r w:rsidR="0005492C">
        <w:rPr>
          <w:color w:val="000000" w:themeColor="text1"/>
        </w:rPr>
        <w:t>5</w:t>
      </w:r>
      <w:r w:rsidR="00BD6D1A">
        <w:rPr>
          <w:color w:val="000000" w:themeColor="text1"/>
        </w:rPr>
        <w:t xml:space="preserve"> performance period/202</w:t>
      </w:r>
      <w:r w:rsidR="0005492C">
        <w:rPr>
          <w:color w:val="000000" w:themeColor="text1"/>
        </w:rPr>
        <w:t>7</w:t>
      </w:r>
      <w:r w:rsidR="00BD6D1A">
        <w:rPr>
          <w:color w:val="000000" w:themeColor="text1"/>
        </w:rPr>
        <w:t xml:space="preserve"> MIPS payment year</w:t>
      </w:r>
      <w:r w:rsidRPr="00871E51">
        <w:t xml:space="preserve">. </w:t>
      </w:r>
    </w:p>
    <w:p w:rsidR="003F1DAF" w:rsidRPr="00A0296B" w:rsidP="00E37BE8" w14:paraId="5859D628" w14:textId="133DEA48">
      <w:pPr>
        <w:pStyle w:val="ExhibitTitle"/>
        <w:rPr>
          <w:b w:val="0"/>
          <w:bCs/>
        </w:rPr>
      </w:pPr>
      <w:r w:rsidRPr="00A0296B">
        <w:rPr>
          <w:b w:val="0"/>
          <w:bCs/>
        </w:rPr>
        <w:t>T</w:t>
      </w:r>
      <w:r w:rsidRPr="00A0296B" w:rsidR="00DF359E">
        <w:rPr>
          <w:b w:val="0"/>
          <w:bCs/>
        </w:rPr>
        <w:t>able</w:t>
      </w:r>
      <w:r w:rsidRPr="00A0296B">
        <w:rPr>
          <w:b w:val="0"/>
          <w:bCs/>
        </w:rPr>
        <w:t xml:space="preserve"> 1</w:t>
      </w:r>
      <w:r w:rsidRPr="00A0296B" w:rsidR="002208FC">
        <w:rPr>
          <w:b w:val="0"/>
          <w:bCs/>
        </w:rPr>
        <w:t>4</w:t>
      </w:r>
      <w:r w:rsidRPr="00A0296B">
        <w:rPr>
          <w:b w:val="0"/>
          <w:bCs/>
        </w:rPr>
        <w:t>: Total Estimated Burden for MVP Registration (Individual clinicians, Groups, Subgroups and APM Entities)</w:t>
      </w:r>
    </w:p>
    <w:tbl>
      <w:tblPr>
        <w:tblStyle w:val="TableGrid"/>
        <w:tblDescription w:val="Table 14: the estimated burden for M V P registration to participate in M V P reporting."/>
        <w:tblW w:w="0" w:type="auto"/>
        <w:tblLook w:val="04A0"/>
      </w:tblPr>
      <w:tblGrid>
        <w:gridCol w:w="6655"/>
        <w:gridCol w:w="2695"/>
      </w:tblGrid>
      <w:tr w14:paraId="07399EE5" w14:textId="77777777" w:rsidTr="00F267B9">
        <w:tblPrEx>
          <w:tblW w:w="0" w:type="auto"/>
          <w:tblLook w:val="04A0"/>
        </w:tblPrEx>
        <w:trPr>
          <w:cantSplit/>
          <w:tblHeader/>
        </w:trPr>
        <w:tc>
          <w:tcPr>
            <w:tcW w:w="6655" w:type="dxa"/>
          </w:tcPr>
          <w:p w:rsidR="00B04843" w:rsidRPr="004F5699" w:rsidP="00E37BE8" w14:paraId="5956AA20" w14:textId="77777777">
            <w:pPr>
              <w:pStyle w:val="Table11-ColumnHeading"/>
            </w:pPr>
            <w:r w:rsidRPr="004F5699">
              <w:t>Burden and Respondent Descriptions</w:t>
            </w:r>
          </w:p>
        </w:tc>
        <w:tc>
          <w:tcPr>
            <w:tcW w:w="2695" w:type="dxa"/>
          </w:tcPr>
          <w:p w:rsidR="00B04843" w:rsidRPr="004F5699" w:rsidP="00E37BE8" w14:paraId="6CC9727A" w14:textId="77777777">
            <w:pPr>
              <w:pStyle w:val="Table11-ColumnHeading"/>
            </w:pPr>
            <w:r w:rsidRPr="004F5699">
              <w:t>Burden Estimate</w:t>
            </w:r>
          </w:p>
        </w:tc>
      </w:tr>
      <w:tr w14:paraId="0864BCFD" w14:textId="77777777" w:rsidTr="00F267B9">
        <w:tblPrEx>
          <w:tblW w:w="0" w:type="auto"/>
          <w:tblLook w:val="04A0"/>
        </w:tblPrEx>
        <w:trPr>
          <w:cantSplit/>
        </w:trPr>
        <w:tc>
          <w:tcPr>
            <w:tcW w:w="6655" w:type="dxa"/>
          </w:tcPr>
          <w:p w:rsidR="00B04843" w:rsidRPr="004F5699" w:rsidP="00E37BE8" w14:paraId="4891724F" w14:textId="77777777">
            <w:pPr>
              <w:pStyle w:val="Table11Basic"/>
            </w:pPr>
            <w:r w:rsidRPr="004F5699">
              <w:t xml:space="preserve">Estimated # of Individual Clinicians, Groups, Subgroups and APM Entities Registering (a) </w:t>
            </w:r>
          </w:p>
        </w:tc>
        <w:tc>
          <w:tcPr>
            <w:tcW w:w="2695" w:type="dxa"/>
          </w:tcPr>
          <w:p w:rsidR="00B04843" w:rsidRPr="004F5699" w:rsidP="00E37BE8" w14:paraId="0EDB269B" w14:textId="77777777">
            <w:pPr>
              <w:pStyle w:val="Table11Centered"/>
            </w:pPr>
            <w:r w:rsidRPr="004F5699">
              <w:t>6,285</w:t>
            </w:r>
          </w:p>
        </w:tc>
      </w:tr>
      <w:tr w14:paraId="1A49F1C6" w14:textId="77777777" w:rsidTr="00F267B9">
        <w:tblPrEx>
          <w:tblW w:w="0" w:type="auto"/>
          <w:tblLook w:val="04A0"/>
        </w:tblPrEx>
        <w:trPr>
          <w:cantSplit/>
        </w:trPr>
        <w:tc>
          <w:tcPr>
            <w:tcW w:w="6655" w:type="dxa"/>
          </w:tcPr>
          <w:p w:rsidR="00B04843" w:rsidRPr="004F5699" w:rsidP="00E37BE8" w14:paraId="1BB2DDA0" w14:textId="77777777">
            <w:pPr>
              <w:pStyle w:val="Table11Basic"/>
            </w:pPr>
            <w:r w:rsidRPr="004F5699">
              <w:t>Estimated Time Per Registration (hr) (b)</w:t>
            </w:r>
          </w:p>
        </w:tc>
        <w:tc>
          <w:tcPr>
            <w:tcW w:w="2695" w:type="dxa"/>
          </w:tcPr>
          <w:p w:rsidR="00B04843" w:rsidRPr="004F5699" w:rsidP="00E37BE8" w14:paraId="37ED00F1" w14:textId="77777777">
            <w:pPr>
              <w:pStyle w:val="Table11Centered"/>
            </w:pPr>
            <w:r w:rsidRPr="004F5699">
              <w:t>0.25</w:t>
            </w:r>
          </w:p>
        </w:tc>
      </w:tr>
      <w:tr w14:paraId="42F5B159" w14:textId="77777777" w:rsidTr="00F267B9">
        <w:tblPrEx>
          <w:tblW w:w="0" w:type="auto"/>
          <w:tblLook w:val="04A0"/>
        </w:tblPrEx>
        <w:trPr>
          <w:cantSplit/>
        </w:trPr>
        <w:tc>
          <w:tcPr>
            <w:tcW w:w="6655" w:type="dxa"/>
            <w:shd w:val="clear" w:color="auto" w:fill="E7E6E6" w:themeFill="background2"/>
          </w:tcPr>
          <w:p w:rsidR="00B04843" w:rsidRPr="004F5699" w:rsidP="00E37BE8" w14:paraId="21CCF2B4" w14:textId="630A7F89">
            <w:pPr>
              <w:pStyle w:val="Table11Basic"/>
              <w:rPr>
                <w:b/>
                <w:bCs/>
              </w:rPr>
            </w:pPr>
            <w:r w:rsidRPr="004F5699">
              <w:rPr>
                <w:b/>
                <w:bCs/>
              </w:rPr>
              <w:t xml:space="preserve">Estimated Total Annual Time for MVP Registration (c) = (a) </w:t>
            </w:r>
            <w:r w:rsidR="00773DB8">
              <w:rPr>
                <w:b/>
                <w:bCs/>
                <w:color w:val="000000" w:themeColor="text1"/>
              </w:rPr>
              <w:t>[</w:t>
            </w:r>
            <w:r w:rsidRPr="00B51A1D" w:rsidR="00B51A1D">
              <w:rPr>
                <w:b/>
                <w:bCs/>
              </w:rPr>
              <w:t>×</w:t>
            </w:r>
            <w:r w:rsidR="00773DB8">
              <w:rPr>
                <w:b/>
                <w:bCs/>
                <w:color w:val="000000" w:themeColor="text1"/>
              </w:rPr>
              <w:t>]</w:t>
            </w:r>
            <w:r w:rsidRPr="004F5699">
              <w:rPr>
                <w:b/>
                <w:bCs/>
              </w:rPr>
              <w:t xml:space="preserve"> (b)</w:t>
            </w:r>
          </w:p>
        </w:tc>
        <w:tc>
          <w:tcPr>
            <w:tcW w:w="2695" w:type="dxa"/>
            <w:shd w:val="clear" w:color="auto" w:fill="E7E6E6" w:themeFill="background2"/>
          </w:tcPr>
          <w:p w:rsidR="00B04843" w:rsidRPr="004F5699" w:rsidP="00E37BE8" w14:paraId="4E879897" w14:textId="77777777">
            <w:pPr>
              <w:pStyle w:val="Table11Centered"/>
            </w:pPr>
            <w:r w:rsidRPr="004F5699">
              <w:rPr>
                <w:b/>
              </w:rPr>
              <w:t>1,571</w:t>
            </w:r>
          </w:p>
        </w:tc>
      </w:tr>
      <w:tr w14:paraId="7DED256C" w14:textId="77777777" w:rsidTr="00F267B9">
        <w:tblPrEx>
          <w:tblW w:w="0" w:type="auto"/>
          <w:tblLook w:val="04A0"/>
        </w:tblPrEx>
        <w:trPr>
          <w:cantSplit/>
          <w:trHeight w:val="260"/>
        </w:trPr>
        <w:tc>
          <w:tcPr>
            <w:tcW w:w="6655" w:type="dxa"/>
          </w:tcPr>
          <w:p w:rsidR="00B04843" w:rsidRPr="004F5699" w:rsidP="00E37BE8" w14:paraId="66A16AA9" w14:textId="77777777">
            <w:pPr>
              <w:pStyle w:val="Table11Basic"/>
            </w:pPr>
            <w:r w:rsidRPr="004F5699">
              <w:t xml:space="preserve">Computer Systems Analyst’s Labor Rate (d) </w:t>
            </w:r>
          </w:p>
        </w:tc>
        <w:tc>
          <w:tcPr>
            <w:tcW w:w="2695" w:type="dxa"/>
          </w:tcPr>
          <w:p w:rsidR="00B04843" w:rsidRPr="004F5699" w:rsidP="00E37BE8" w14:paraId="5985D299" w14:textId="77777777">
            <w:pPr>
              <w:pStyle w:val="Table11Centered"/>
            </w:pPr>
            <w:r w:rsidRPr="004F5699">
              <w:t>$106.54/hr</w:t>
            </w:r>
          </w:p>
        </w:tc>
      </w:tr>
      <w:tr w14:paraId="5E0978B8" w14:textId="77777777" w:rsidTr="00F267B9">
        <w:tblPrEx>
          <w:tblW w:w="0" w:type="auto"/>
          <w:tblLook w:val="04A0"/>
        </w:tblPrEx>
        <w:trPr>
          <w:cantSplit/>
        </w:trPr>
        <w:tc>
          <w:tcPr>
            <w:tcW w:w="6655" w:type="dxa"/>
          </w:tcPr>
          <w:p w:rsidR="00B04843" w:rsidRPr="004F5699" w:rsidP="00E37BE8" w14:paraId="0DC1AB61" w14:textId="24CB92B3">
            <w:pPr>
              <w:pStyle w:val="Table11Basic"/>
            </w:pPr>
            <w:r w:rsidRPr="004F5699">
              <w:t xml:space="preserve">Estimated Cost Per Registration (e) = (d) </w:t>
            </w:r>
            <w:r w:rsidRPr="007A3689" w:rsidR="007A3689">
              <w:rPr>
                <w:color w:val="000000" w:themeColor="text1"/>
              </w:rPr>
              <w:t>[</w:t>
            </w:r>
            <w:r w:rsidR="00B51A1D">
              <w:t>×</w:t>
            </w:r>
            <w:r w:rsidRPr="007A3689" w:rsidR="007A3689">
              <w:rPr>
                <w:color w:val="000000" w:themeColor="text1"/>
              </w:rPr>
              <w:t>]</w:t>
            </w:r>
            <w:r w:rsidRPr="004F5699">
              <w:t xml:space="preserve"> (b)</w:t>
            </w:r>
          </w:p>
        </w:tc>
        <w:tc>
          <w:tcPr>
            <w:tcW w:w="2695" w:type="dxa"/>
          </w:tcPr>
          <w:p w:rsidR="00B04843" w:rsidRPr="004F5699" w:rsidP="00E37BE8" w14:paraId="59D8678D" w14:textId="77777777">
            <w:pPr>
              <w:pStyle w:val="Table11Centered"/>
            </w:pPr>
            <w:r w:rsidRPr="004F5699">
              <w:t>$26.64</w:t>
            </w:r>
          </w:p>
        </w:tc>
      </w:tr>
      <w:tr w14:paraId="1882BC67" w14:textId="77777777" w:rsidTr="00F267B9">
        <w:tblPrEx>
          <w:tblW w:w="0" w:type="auto"/>
          <w:tblLook w:val="04A0"/>
        </w:tblPrEx>
        <w:trPr>
          <w:cantSplit/>
        </w:trPr>
        <w:tc>
          <w:tcPr>
            <w:tcW w:w="6655" w:type="dxa"/>
            <w:shd w:val="clear" w:color="auto" w:fill="E7E6E6" w:themeFill="background2"/>
          </w:tcPr>
          <w:p w:rsidR="00B04843" w:rsidRPr="004F5699" w:rsidP="00E37BE8" w14:paraId="2C690549" w14:textId="30C7997F">
            <w:pPr>
              <w:pStyle w:val="Table11Basic"/>
              <w:rPr>
                <w:b/>
                <w:bCs/>
              </w:rPr>
            </w:pPr>
            <w:r w:rsidRPr="004F5699">
              <w:rPr>
                <w:b/>
                <w:bCs/>
              </w:rPr>
              <w:t xml:space="preserve">Estimated Total Annual Cost for MVP Registration (f) = (a) </w:t>
            </w:r>
            <w:r w:rsidR="00773DB8">
              <w:rPr>
                <w:b/>
                <w:bCs/>
                <w:color w:val="000000" w:themeColor="text1"/>
              </w:rPr>
              <w:t>[</w:t>
            </w:r>
            <w:r w:rsidRPr="00B51A1D" w:rsidR="00B51A1D">
              <w:rPr>
                <w:b/>
                <w:bCs/>
              </w:rPr>
              <w:t>×</w:t>
            </w:r>
            <w:r w:rsidR="00773DB8">
              <w:rPr>
                <w:b/>
                <w:bCs/>
                <w:color w:val="000000" w:themeColor="text1"/>
              </w:rPr>
              <w:t>]</w:t>
            </w:r>
            <w:r w:rsidRPr="004F5699">
              <w:rPr>
                <w:b/>
                <w:bCs/>
              </w:rPr>
              <w:t xml:space="preserve"> (e)</w:t>
            </w:r>
          </w:p>
        </w:tc>
        <w:tc>
          <w:tcPr>
            <w:tcW w:w="2695" w:type="dxa"/>
            <w:shd w:val="clear" w:color="auto" w:fill="E7E6E6" w:themeFill="background2"/>
          </w:tcPr>
          <w:p w:rsidR="00B04843" w:rsidRPr="004F5699" w:rsidP="00E37BE8" w14:paraId="53FC7E36" w14:textId="77777777">
            <w:pPr>
              <w:pStyle w:val="Table11Centered"/>
            </w:pPr>
            <w:r w:rsidRPr="004F5699">
              <w:rPr>
                <w:b/>
              </w:rPr>
              <w:t>$167,432</w:t>
            </w:r>
            <w:sdt>
              <w:sdtPr>
                <w:rPr>
                  <w:b/>
                </w:rPr>
                <w:alias w:val=" "/>
                <w:tag w:val="NAV_SWIFT_be07aabe-deb2-4fb8-9e69-31132d5a7c0a"/>
                <w:id w:val="-2102099898"/>
                <w:placeholder>
                  <w:docPart w:val="4E1A131DD11A419EB7BAE42F84E1CE57"/>
                </w:placeholder>
                <w:showingPlcHdr/>
                <w:richText/>
                <w15:appearance w15:val="hidden"/>
              </w:sdtPr>
              <w:sdtContent/>
            </w:sdt>
          </w:p>
        </w:tc>
      </w:tr>
    </w:tbl>
    <w:p w:rsidR="006E3E52" w:rsidRPr="00DF359E" w:rsidP="00406205" w14:paraId="1AC02916" w14:textId="5AA5A429">
      <w:pPr>
        <w:pStyle w:val="Heading5"/>
        <w:rPr>
          <w:rStyle w:val="Heading4Char"/>
          <w:i/>
          <w:iCs/>
        </w:rPr>
      </w:pPr>
      <w:r>
        <w:rPr>
          <w:rStyle w:val="Heading4Char"/>
          <w:i/>
        </w:rPr>
        <w:t>ii.</w:t>
      </w:r>
      <w:r>
        <w:rPr>
          <w:rStyle w:val="Heading4Char"/>
          <w:i/>
        </w:rPr>
        <w:tab/>
      </w:r>
      <w:r w:rsidRPr="00DF359E" w:rsidR="00934697">
        <w:rPr>
          <w:rStyle w:val="Heading4Char"/>
          <w:i/>
        </w:rPr>
        <w:t>Burden for Subgroup Registration</w:t>
      </w:r>
    </w:p>
    <w:p w:rsidR="00D872CB" w:rsidP="0067016B" w14:paraId="48CB2B56" w14:textId="7A4C80DA">
      <w:pPr>
        <w:pStyle w:val="BodyText-PostHead"/>
        <w:spacing w:before="240"/>
      </w:pPr>
      <w:r w:rsidRPr="00871E51">
        <w:t>In th</w:t>
      </w:r>
      <w:r>
        <w:t xml:space="preserve">e CY 2022 PFS </w:t>
      </w:r>
      <w:r w:rsidR="002E2F62">
        <w:t>final</w:t>
      </w:r>
      <w:r w:rsidRPr="00871E51" w:rsidR="002E2F62">
        <w:t xml:space="preserve"> </w:t>
      </w:r>
      <w:r w:rsidRPr="00871E51">
        <w:t xml:space="preserve">rule, we </w:t>
      </w:r>
      <w:r w:rsidR="00D655F7">
        <w:t>finalize</w:t>
      </w:r>
      <w:r w:rsidR="00072469">
        <w:t>d</w:t>
      </w:r>
      <w:r w:rsidRPr="00871E51">
        <w:t xml:space="preserve"> to define a subgroup at § 414.1305 as a subset of a group, as identified by a combination of the group TIN, the subgroup identifier, and each eligible clinician’s NPI. In addition to the burden for MVP registration process described above</w:t>
      </w:r>
      <w:r>
        <w:t xml:space="preserve"> in Table </w:t>
      </w:r>
      <w:r w:rsidR="4C72E4C5">
        <w:t>14</w:t>
      </w:r>
      <w:r w:rsidRPr="00871E51">
        <w:t>, clinicians who choose to form subgroups for reporting the MVPs w</w:t>
      </w:r>
      <w:r w:rsidR="00CD6E93">
        <w:t>ill</w:t>
      </w:r>
      <w:r w:rsidRPr="00871E51">
        <w:t xml:space="preserve"> need to submit a list of each TIN/NPI associated with the subgroup and a plain language name for the subgroup in a manner specified by CMS, </w:t>
      </w:r>
      <w:r w:rsidR="00B766BA">
        <w:t xml:space="preserve">as </w:t>
      </w:r>
      <w:r w:rsidRPr="00871E51">
        <w:t>described in th</w:t>
      </w:r>
      <w:r w:rsidR="00B766BA">
        <w:t xml:space="preserve">e CY 2022 PFS </w:t>
      </w:r>
      <w:r w:rsidR="00C502FE">
        <w:t>final</w:t>
      </w:r>
      <w:r w:rsidRPr="00871E51">
        <w:t xml:space="preserve"> rule</w:t>
      </w:r>
      <w:r w:rsidR="00D42C6D">
        <w:t xml:space="preserve"> (</w:t>
      </w:r>
      <w:r w:rsidR="00B46BAC">
        <w:t xml:space="preserve">86 FR </w:t>
      </w:r>
      <w:r w:rsidR="00ED23C1">
        <w:t>65415 through 65418</w:t>
      </w:r>
      <w:r w:rsidR="00D42C6D">
        <w:t>)</w:t>
      </w:r>
      <w:r w:rsidRPr="00871E51">
        <w:t>.</w:t>
      </w:r>
      <w:r w:rsidR="00C9198F">
        <w:t xml:space="preserve"> For the CY 202</w:t>
      </w:r>
      <w:r w:rsidR="00CA34C4">
        <w:t>5</w:t>
      </w:r>
      <w:r w:rsidR="00C9198F">
        <w:t xml:space="preserve"> performance period/202</w:t>
      </w:r>
      <w:r w:rsidR="00CA34C4">
        <w:t>7</w:t>
      </w:r>
      <w:r w:rsidR="00C9198F">
        <w:t xml:space="preserve"> MIPS payment year, we</w:t>
      </w:r>
      <w:r w:rsidRPr="00871E51" w:rsidR="00C9198F">
        <w:t xml:space="preserve"> estimate that clinicians would choose to form 20 subgroups for reporting the measures and activities in MVPs</w:t>
      </w:r>
      <w:r w:rsidR="00F7327B">
        <w:t xml:space="preserve"> and that it</w:t>
      </w:r>
      <w:r w:rsidRPr="00871E51" w:rsidR="00C9198F">
        <w:t xml:space="preserve"> would require a minimum of 0.5 hours per subgroup respondent to submit the </w:t>
      </w:r>
      <w:r w:rsidR="009E5E79">
        <w:t>finalized</w:t>
      </w:r>
      <w:r w:rsidRPr="00871E51" w:rsidR="009E5E79">
        <w:t xml:space="preserve"> </w:t>
      </w:r>
      <w:r w:rsidRPr="00871E51" w:rsidR="00C9198F">
        <w:t>requirements for subgroup registration</w:t>
      </w:r>
      <w:r w:rsidRPr="00871E51" w:rsidR="00156E6F">
        <w:t xml:space="preserve">. </w:t>
      </w:r>
    </w:p>
    <w:p w:rsidR="00C9198F" w:rsidRPr="00871E51" w:rsidP="00E37BE8" w14:paraId="5B41D686" w14:textId="1A626B68">
      <w:pPr>
        <w:pStyle w:val="BodyText"/>
      </w:pPr>
      <w:r>
        <w:t>As shown in Table 1</w:t>
      </w:r>
      <w:r w:rsidR="00511864">
        <w:t>5</w:t>
      </w:r>
      <w:r>
        <w:t xml:space="preserve"> below, w</w:t>
      </w:r>
      <w:r w:rsidRPr="00871E51">
        <w:t xml:space="preserve">e assume that the staff involved in the subgroup registration process will mainly be computer systems analysts or their equivalent, who have an average labor cost of </w:t>
      </w:r>
      <w:r w:rsidR="007D530F">
        <w:t>$106.54</w:t>
      </w:r>
      <w:r w:rsidRPr="00871E51">
        <w:t xml:space="preserve">/hr. </w:t>
      </w:r>
      <w:r w:rsidR="000A7ECC">
        <w:t>In aggregate, w</w:t>
      </w:r>
      <w:r w:rsidR="00DA298E">
        <w:t>e estim</w:t>
      </w:r>
      <w:r w:rsidR="000A7ECC">
        <w:t>ate that it will take 10 hours (20 subgroups</w:t>
      </w:r>
      <w:r w:rsidR="0090340C">
        <w:t xml:space="preserve"> </w:t>
      </w:r>
      <w:r w:rsidR="00B51A1D">
        <w:t>×</w:t>
      </w:r>
      <w:r w:rsidR="0090340C">
        <w:rPr>
          <w:rFonts w:eastAsia="Calibri"/>
        </w:rPr>
        <w:t xml:space="preserve"> </w:t>
      </w:r>
      <w:r w:rsidR="007A46EE">
        <w:rPr>
          <w:rFonts w:eastAsia="Calibri"/>
        </w:rPr>
        <w:t>0.5 hr/subgroup</w:t>
      </w:r>
      <w:r w:rsidR="000A7ECC">
        <w:t xml:space="preserve">) </w:t>
      </w:r>
      <w:r w:rsidR="007A46EE">
        <w:t>to</w:t>
      </w:r>
      <w:r w:rsidR="000A7ECC">
        <w:t xml:space="preserve"> </w:t>
      </w:r>
      <w:r w:rsidR="00DA298E">
        <w:t xml:space="preserve">complete the subgroup registration process </w:t>
      </w:r>
      <w:r w:rsidR="00560FDE">
        <w:t>at a cost of</w:t>
      </w:r>
      <w:r w:rsidR="00DA298E">
        <w:t xml:space="preserve"> $</w:t>
      </w:r>
      <w:r w:rsidR="00511864">
        <w:t>1,0</w:t>
      </w:r>
      <w:r w:rsidR="000608FD">
        <w:t>65</w:t>
      </w:r>
      <w:r w:rsidR="00DA298E">
        <w:t xml:space="preserve"> (</w:t>
      </w:r>
      <w:r w:rsidR="001B0110">
        <w:t>20 subgroups</w:t>
      </w:r>
      <w:r w:rsidR="00560FDE">
        <w:t xml:space="preserve"> </w:t>
      </w:r>
      <w:r w:rsidR="00B51A1D">
        <w:t>×</w:t>
      </w:r>
      <w:r w:rsidR="00560FDE">
        <w:rPr>
          <w:rFonts w:eastAsia="Calibri"/>
        </w:rPr>
        <w:t xml:space="preserve"> </w:t>
      </w:r>
      <w:r w:rsidR="001B0110">
        <w:rPr>
          <w:rFonts w:eastAsia="Calibri"/>
        </w:rPr>
        <w:t>$</w:t>
      </w:r>
      <w:r w:rsidR="000608FD">
        <w:rPr>
          <w:rFonts w:eastAsia="Calibri"/>
        </w:rPr>
        <w:t>53.27</w:t>
      </w:r>
      <w:r w:rsidR="00560FDE">
        <w:rPr>
          <w:rFonts w:eastAsia="Calibri"/>
        </w:rPr>
        <w:t>/</w:t>
      </w:r>
      <w:r w:rsidR="001B0110">
        <w:rPr>
          <w:rFonts w:eastAsia="Calibri"/>
        </w:rPr>
        <w:t>registration</w:t>
      </w:r>
      <w:r w:rsidR="00DA298E">
        <w:t>)</w:t>
      </w:r>
      <w:r w:rsidR="00072469">
        <w:t>.</w:t>
      </w:r>
    </w:p>
    <w:p w:rsidR="00196858" w:rsidP="00E37BE8" w14:paraId="24794FE0" w14:textId="22272CD7">
      <w:pPr>
        <w:pStyle w:val="BodyText"/>
      </w:pPr>
      <w:r w:rsidRPr="00871E51">
        <w:t>As subgroup</w:t>
      </w:r>
      <w:r w:rsidR="00F23744">
        <w:t xml:space="preserve"> participation option is only available </w:t>
      </w:r>
      <w:r w:rsidR="00C42ACD">
        <w:t>to</w:t>
      </w:r>
      <w:r w:rsidRPr="00871E51">
        <w:t xml:space="preserve"> report MVPs, the burden associated with subgroup reporting </w:t>
      </w:r>
      <w:r w:rsidR="00630078">
        <w:t xml:space="preserve">of the quality performance category </w:t>
      </w:r>
      <w:r w:rsidRPr="00871E51">
        <w:t>will be included with the MVP quality reporting ICR. Burden associated with subgroup submissions for Promoting Interoperability and improvement activities will be included with those ICRs.</w:t>
      </w:r>
    </w:p>
    <w:p w:rsidR="00DF359E" w:rsidRPr="00A0296B" w:rsidP="00E37BE8" w14:paraId="23A657FB" w14:textId="47DC192C">
      <w:pPr>
        <w:pStyle w:val="ExhibitTitle"/>
        <w:rPr>
          <w:b w:val="0"/>
          <w:bCs/>
        </w:rPr>
      </w:pPr>
      <w:r w:rsidRPr="00A0296B">
        <w:rPr>
          <w:b w:val="0"/>
          <w:bCs/>
        </w:rPr>
        <w:t>T</w:t>
      </w:r>
      <w:r w:rsidRPr="00A0296B">
        <w:rPr>
          <w:b w:val="0"/>
          <w:bCs/>
        </w:rPr>
        <w:t>able</w:t>
      </w:r>
      <w:r w:rsidRPr="00A0296B">
        <w:rPr>
          <w:b w:val="0"/>
          <w:bCs/>
        </w:rPr>
        <w:t xml:space="preserve"> 1</w:t>
      </w:r>
      <w:r w:rsidRPr="00A0296B" w:rsidR="00511864">
        <w:rPr>
          <w:b w:val="0"/>
          <w:bCs/>
        </w:rPr>
        <w:t>5</w:t>
      </w:r>
      <w:r w:rsidRPr="00A0296B">
        <w:rPr>
          <w:b w:val="0"/>
          <w:bCs/>
        </w:rPr>
        <w:t>: Total Estimated Burden for Subgroup Registration</w:t>
      </w:r>
    </w:p>
    <w:tbl>
      <w:tblPr>
        <w:tblStyle w:val="TableGrid"/>
        <w:tblDescription w:val="Table 15: the estimated burden for subgroups registering to participate in M V P reporting."/>
        <w:tblW w:w="9270" w:type="dxa"/>
        <w:tblLook w:val="04A0"/>
      </w:tblPr>
      <w:tblGrid>
        <w:gridCol w:w="7380"/>
        <w:gridCol w:w="1890"/>
      </w:tblGrid>
      <w:tr w14:paraId="182436E2" w14:textId="77777777" w:rsidTr="006670D4">
        <w:tblPrEx>
          <w:tblW w:w="9270" w:type="dxa"/>
          <w:tblLook w:val="04A0"/>
        </w:tblPrEx>
        <w:trPr>
          <w:cantSplit/>
          <w:trHeight w:val="20"/>
          <w:tblHeader/>
        </w:trPr>
        <w:tc>
          <w:tcPr>
            <w:tcW w:w="7380" w:type="dxa"/>
          </w:tcPr>
          <w:p w:rsidR="00830CFC" w:rsidRPr="00EC6F6D" w:rsidP="00E37BE8" w14:paraId="70DD3538" w14:textId="61BE8D6A">
            <w:pPr>
              <w:pStyle w:val="Table11-ColumnHeading"/>
              <w:rPr>
                <w:color w:val="FFFFFF" w:themeColor="background1"/>
              </w:rPr>
            </w:pPr>
            <w:r w:rsidRPr="00EC6F6D">
              <w:t>Burden and Respondent Descriptions</w:t>
            </w:r>
          </w:p>
        </w:tc>
        <w:tc>
          <w:tcPr>
            <w:tcW w:w="1890" w:type="dxa"/>
          </w:tcPr>
          <w:p w:rsidR="00830CFC" w:rsidRPr="00B01445" w:rsidP="00E37BE8" w14:paraId="714FA971" w14:textId="2D177DCA">
            <w:pPr>
              <w:pStyle w:val="Table11-ColumnHeading"/>
            </w:pPr>
            <w:r w:rsidRPr="00EC6F6D">
              <w:t>Burden</w:t>
            </w:r>
            <w:r w:rsidR="00B01445">
              <w:t xml:space="preserve"> </w:t>
            </w:r>
            <w:r w:rsidRPr="00EC6F6D">
              <w:t>Estimate</w:t>
            </w:r>
          </w:p>
        </w:tc>
      </w:tr>
      <w:tr w14:paraId="0FB44347" w14:textId="77777777" w:rsidTr="006670D4">
        <w:tblPrEx>
          <w:tblW w:w="9270" w:type="dxa"/>
          <w:tblLook w:val="04A0"/>
        </w:tblPrEx>
        <w:trPr>
          <w:cantSplit/>
          <w:trHeight w:val="20"/>
        </w:trPr>
        <w:tc>
          <w:tcPr>
            <w:tcW w:w="7380" w:type="dxa"/>
            <w:hideMark/>
          </w:tcPr>
          <w:p w:rsidR="00830CFC" w:rsidRPr="00871E51" w:rsidP="00E37BE8" w14:paraId="405A460E" w14:textId="5C804E04">
            <w:pPr>
              <w:pStyle w:val="Table11Basic"/>
            </w:pPr>
            <w:r w:rsidRPr="00871E51">
              <w:t># of Subgroups Registering</w:t>
            </w:r>
            <w:r w:rsidR="006A5EE1">
              <w:t xml:space="preserve"> </w:t>
            </w:r>
            <w:r w:rsidRPr="00871E51">
              <w:t>(a)</w:t>
            </w:r>
          </w:p>
        </w:tc>
        <w:tc>
          <w:tcPr>
            <w:tcW w:w="1890" w:type="dxa"/>
            <w:hideMark/>
          </w:tcPr>
          <w:p w:rsidR="00830CFC" w:rsidRPr="00871E51" w:rsidP="00E37BE8" w14:paraId="623E6BA3" w14:textId="77777777">
            <w:pPr>
              <w:pStyle w:val="Table11Centered"/>
            </w:pPr>
            <w:r w:rsidRPr="00871E51">
              <w:t>20</w:t>
            </w:r>
          </w:p>
        </w:tc>
      </w:tr>
      <w:tr w14:paraId="6E3918F3" w14:textId="77777777" w:rsidTr="006670D4">
        <w:tblPrEx>
          <w:tblW w:w="9270" w:type="dxa"/>
          <w:tblLook w:val="04A0"/>
        </w:tblPrEx>
        <w:trPr>
          <w:cantSplit/>
          <w:trHeight w:val="20"/>
        </w:trPr>
        <w:tc>
          <w:tcPr>
            <w:tcW w:w="7380" w:type="dxa"/>
            <w:hideMark/>
          </w:tcPr>
          <w:p w:rsidR="00830CFC" w:rsidRPr="00871E51" w:rsidP="00E37BE8" w14:paraId="1185C653" w14:textId="1DF5663D">
            <w:pPr>
              <w:pStyle w:val="Table11Basic"/>
            </w:pPr>
            <w:r w:rsidRPr="00871E51">
              <w:t>Total Annual Hours Per Subgroup (b)</w:t>
            </w:r>
          </w:p>
        </w:tc>
        <w:tc>
          <w:tcPr>
            <w:tcW w:w="1890" w:type="dxa"/>
            <w:hideMark/>
          </w:tcPr>
          <w:p w:rsidR="00830CFC" w:rsidRPr="00871E51" w:rsidP="00E37BE8" w14:paraId="54161539" w14:textId="3F89F553">
            <w:pPr>
              <w:pStyle w:val="Table11Centered"/>
            </w:pPr>
            <w:r w:rsidRPr="00871E51">
              <w:t>0.5</w:t>
            </w:r>
          </w:p>
        </w:tc>
      </w:tr>
      <w:tr w14:paraId="023BBBBA" w14:textId="77777777" w:rsidTr="006670D4">
        <w:tblPrEx>
          <w:tblW w:w="9270" w:type="dxa"/>
          <w:tblLook w:val="04A0"/>
        </w:tblPrEx>
        <w:trPr>
          <w:cantSplit/>
          <w:trHeight w:val="20"/>
        </w:trPr>
        <w:tc>
          <w:tcPr>
            <w:tcW w:w="7380" w:type="dxa"/>
            <w:shd w:val="clear" w:color="auto" w:fill="E7E6E6" w:themeFill="background2"/>
            <w:hideMark/>
          </w:tcPr>
          <w:p w:rsidR="00830CFC" w:rsidRPr="00871E51" w:rsidP="00E37BE8" w14:paraId="1F7F1C0A" w14:textId="0E6E5BB3">
            <w:pPr>
              <w:pStyle w:val="Table11Basic"/>
              <w:rPr>
                <w:b/>
                <w:bCs/>
              </w:rPr>
            </w:pPr>
            <w:r w:rsidRPr="00871E51">
              <w:rPr>
                <w:b/>
                <w:bCs/>
              </w:rPr>
              <w:t xml:space="preserve">Total Annual Hours for Subgroup Reporting (c) = (a) </w:t>
            </w:r>
            <w:r w:rsidR="00EC0526">
              <w:rPr>
                <w:b/>
                <w:bCs/>
              </w:rPr>
              <w:t>[</w:t>
            </w:r>
            <w:r w:rsidRPr="00B51A1D" w:rsidR="00B51A1D">
              <w:rPr>
                <w:b/>
                <w:bCs/>
              </w:rPr>
              <w:t>×</w:t>
            </w:r>
            <w:r w:rsidR="00EC0526">
              <w:rPr>
                <w:b/>
                <w:bCs/>
              </w:rPr>
              <w:t>]</w:t>
            </w:r>
            <w:r w:rsidRPr="00D05F9E" w:rsidR="00D05F9E">
              <w:rPr>
                <w:b/>
                <w:bCs/>
              </w:rPr>
              <w:t xml:space="preserve"> </w:t>
            </w:r>
            <w:r w:rsidRPr="00871E51">
              <w:rPr>
                <w:b/>
                <w:bCs/>
              </w:rPr>
              <w:t>(b)</w:t>
            </w:r>
          </w:p>
        </w:tc>
        <w:tc>
          <w:tcPr>
            <w:tcW w:w="1890" w:type="dxa"/>
            <w:shd w:val="clear" w:color="auto" w:fill="E7E6E6" w:themeFill="background2"/>
            <w:hideMark/>
          </w:tcPr>
          <w:p w:rsidR="00830CFC" w:rsidRPr="00871E51" w:rsidP="00E37BE8" w14:paraId="6A63658D" w14:textId="77777777">
            <w:pPr>
              <w:pStyle w:val="Table11Centered"/>
              <w:rPr>
                <w:b/>
                <w:bCs/>
              </w:rPr>
            </w:pPr>
            <w:r w:rsidRPr="00871E51">
              <w:rPr>
                <w:b/>
                <w:bCs/>
              </w:rPr>
              <w:t>10</w:t>
            </w:r>
          </w:p>
        </w:tc>
      </w:tr>
      <w:tr w14:paraId="4241A94B" w14:textId="77777777" w:rsidTr="006670D4">
        <w:tblPrEx>
          <w:tblW w:w="9270" w:type="dxa"/>
          <w:tblLook w:val="04A0"/>
        </w:tblPrEx>
        <w:trPr>
          <w:cantSplit/>
          <w:trHeight w:val="20"/>
        </w:trPr>
        <w:tc>
          <w:tcPr>
            <w:tcW w:w="7380" w:type="dxa"/>
            <w:hideMark/>
          </w:tcPr>
          <w:p w:rsidR="00830CFC" w:rsidRPr="00871E51" w:rsidP="00E37BE8" w14:paraId="489D7874" w14:textId="7C0043E4">
            <w:pPr>
              <w:pStyle w:val="Table11Basic"/>
            </w:pPr>
            <w:r w:rsidRPr="00871E51">
              <w:t>Cost Per Subgroup (</w:t>
            </w:r>
            <w:r w:rsidR="00EF518A">
              <w:t>at</w:t>
            </w:r>
            <w:r w:rsidRPr="00871E51">
              <w:t xml:space="preserve"> </w:t>
            </w:r>
            <w:r w:rsidR="00D41431">
              <w:t>C</w:t>
            </w:r>
            <w:r w:rsidRPr="00871E51">
              <w:t xml:space="preserve">omputer </w:t>
            </w:r>
            <w:r w:rsidR="00D41431">
              <w:t>S</w:t>
            </w:r>
            <w:r w:rsidRPr="00871E51">
              <w:t xml:space="preserve">ystems </w:t>
            </w:r>
            <w:r w:rsidR="00D41431">
              <w:t>A</w:t>
            </w:r>
            <w:r w:rsidRPr="00871E51">
              <w:t xml:space="preserve">nalyst’s </w:t>
            </w:r>
            <w:r w:rsidR="00D41431">
              <w:t>L</w:t>
            </w:r>
            <w:r w:rsidRPr="00871E51">
              <w:t xml:space="preserve">abor </w:t>
            </w:r>
            <w:r w:rsidR="00D41431">
              <w:t>R</w:t>
            </w:r>
            <w:r w:rsidRPr="00871E51">
              <w:t xml:space="preserve">ate of </w:t>
            </w:r>
            <w:r w:rsidR="007D530F">
              <w:t>$106.54</w:t>
            </w:r>
            <w:r w:rsidRPr="00871E51">
              <w:t>/hr</w:t>
            </w:r>
            <w:r w:rsidR="00D41431">
              <w:t>)</w:t>
            </w:r>
            <w:r w:rsidRPr="00871E51">
              <w:t xml:space="preserve"> (d)</w:t>
            </w:r>
            <w:r w:rsidR="001B0110">
              <w:t xml:space="preserve"> = (b) [</w:t>
            </w:r>
            <w:r w:rsidR="00B51A1D">
              <w:t>×</w:t>
            </w:r>
            <w:r w:rsidR="001B0110">
              <w:t xml:space="preserve">] </w:t>
            </w:r>
            <w:r w:rsidR="007D530F">
              <w:t>$106.54</w:t>
            </w:r>
            <w:r w:rsidR="001B0110">
              <w:t>/hr</w:t>
            </w:r>
          </w:p>
        </w:tc>
        <w:tc>
          <w:tcPr>
            <w:tcW w:w="1890" w:type="dxa"/>
            <w:hideMark/>
          </w:tcPr>
          <w:p w:rsidR="00830CFC" w:rsidRPr="00871E51" w:rsidP="00E37BE8" w14:paraId="5C22E896" w14:textId="244BB7E3">
            <w:pPr>
              <w:pStyle w:val="Table11Centered"/>
            </w:pPr>
            <w:r w:rsidRPr="00871E51">
              <w:t>$</w:t>
            </w:r>
            <w:r w:rsidR="00AA5130">
              <w:t>53.27</w:t>
            </w:r>
          </w:p>
        </w:tc>
      </w:tr>
      <w:tr w14:paraId="7438E47C" w14:textId="77777777" w:rsidTr="006670D4">
        <w:tblPrEx>
          <w:tblW w:w="9270" w:type="dxa"/>
          <w:tblLook w:val="04A0"/>
        </w:tblPrEx>
        <w:trPr>
          <w:cantSplit/>
          <w:trHeight w:val="20"/>
        </w:trPr>
        <w:tc>
          <w:tcPr>
            <w:tcW w:w="7380" w:type="dxa"/>
            <w:shd w:val="clear" w:color="auto" w:fill="E7E6E6" w:themeFill="background2"/>
            <w:hideMark/>
          </w:tcPr>
          <w:p w:rsidR="00830CFC" w:rsidRPr="00871E51" w:rsidP="00E37BE8" w14:paraId="6C08842D" w14:textId="31A319B8">
            <w:pPr>
              <w:pStyle w:val="Table11Basic"/>
              <w:rPr>
                <w:b/>
                <w:bCs/>
              </w:rPr>
            </w:pPr>
            <w:r w:rsidRPr="00871E51">
              <w:rPr>
                <w:b/>
                <w:bCs/>
              </w:rPr>
              <w:t>Total Annual Cost for Subgroup Registration (e) = (</w:t>
            </w:r>
            <w:r w:rsidR="00BB18CA">
              <w:rPr>
                <w:b/>
                <w:bCs/>
              </w:rPr>
              <w:t>a</w:t>
            </w:r>
            <w:r w:rsidRPr="00871E51">
              <w:rPr>
                <w:b/>
                <w:bCs/>
              </w:rPr>
              <w:t xml:space="preserve">) </w:t>
            </w:r>
            <w:r w:rsidR="00EC0526">
              <w:rPr>
                <w:b/>
                <w:bCs/>
              </w:rPr>
              <w:t>[</w:t>
            </w:r>
            <w:r w:rsidRPr="00B51A1D" w:rsidR="00B51A1D">
              <w:rPr>
                <w:b/>
                <w:bCs/>
              </w:rPr>
              <w:t>×</w:t>
            </w:r>
            <w:r w:rsidR="00EC0526">
              <w:rPr>
                <w:b/>
                <w:bCs/>
              </w:rPr>
              <w:t>]</w:t>
            </w:r>
            <w:r w:rsidRPr="00D05F9E" w:rsidR="00D05F9E">
              <w:rPr>
                <w:b/>
                <w:bCs/>
              </w:rPr>
              <w:t xml:space="preserve"> </w:t>
            </w:r>
            <w:r w:rsidRPr="00871E51">
              <w:rPr>
                <w:b/>
                <w:bCs/>
              </w:rPr>
              <w:t>(d)</w:t>
            </w:r>
          </w:p>
        </w:tc>
        <w:tc>
          <w:tcPr>
            <w:tcW w:w="1890" w:type="dxa"/>
            <w:shd w:val="clear" w:color="auto" w:fill="E7E6E6" w:themeFill="background2"/>
            <w:hideMark/>
          </w:tcPr>
          <w:p w:rsidR="00830CFC" w:rsidRPr="00871E51" w:rsidP="00E37BE8" w14:paraId="1DC39BB3" w14:textId="07DA41B5">
            <w:pPr>
              <w:pStyle w:val="Table11Centered"/>
              <w:rPr>
                <w:b/>
                <w:bCs/>
              </w:rPr>
            </w:pPr>
            <w:r>
              <w:rPr>
                <w:b/>
                <w:bCs/>
              </w:rPr>
              <w:t>$1,0</w:t>
            </w:r>
            <w:r w:rsidR="000608FD">
              <w:rPr>
                <w:b/>
                <w:bCs/>
              </w:rPr>
              <w:t>65</w:t>
            </w:r>
          </w:p>
        </w:tc>
      </w:tr>
    </w:tbl>
    <w:p w:rsidR="00653648" w:rsidRPr="00DF359E" w:rsidP="00E03843" w14:paraId="18092C8B" w14:textId="66C3ED14">
      <w:pPr>
        <w:pStyle w:val="Heading5"/>
      </w:pPr>
      <w:r>
        <w:t>iii.</w:t>
      </w:r>
      <w:r>
        <w:tab/>
      </w:r>
      <w:r w:rsidRPr="00DF359E">
        <w:t>Burden for MVP Quality Performance Category Submission</w:t>
      </w:r>
    </w:p>
    <w:p w:rsidR="00E8757B" w:rsidRPr="00871E51" w:rsidP="0067016B" w14:paraId="2F2856EF" w14:textId="4BDFE343">
      <w:pPr>
        <w:pStyle w:val="BodyText-PostHead"/>
        <w:spacing w:before="240"/>
      </w:pPr>
      <w:r w:rsidRPr="001C02A4">
        <w:t>In the CY 20</w:t>
      </w:r>
      <w:r w:rsidRPr="001C02A4" w:rsidR="00C241AB">
        <w:t>22</w:t>
      </w:r>
      <w:r w:rsidRPr="001C02A4">
        <w:t xml:space="preserve"> PFS final rule </w:t>
      </w:r>
      <w:r w:rsidRPr="001C02A4">
        <w:rPr>
          <w:shd w:val="clear" w:color="auto" w:fill="FFFFFF"/>
        </w:rPr>
        <w:t>(8</w:t>
      </w:r>
      <w:r w:rsidRPr="001C02A4" w:rsidR="00C241AB">
        <w:rPr>
          <w:shd w:val="clear" w:color="auto" w:fill="FFFFFF"/>
        </w:rPr>
        <w:t>6</w:t>
      </w:r>
      <w:r w:rsidRPr="001C02A4">
        <w:rPr>
          <w:shd w:val="clear" w:color="auto" w:fill="FFFFFF"/>
        </w:rPr>
        <w:t xml:space="preserve"> FR </w:t>
      </w:r>
      <w:r w:rsidRPr="001C02A4" w:rsidR="00C241AB">
        <w:rPr>
          <w:shd w:val="clear" w:color="auto" w:fill="FFFFFF"/>
        </w:rPr>
        <w:t>65411</w:t>
      </w:r>
      <w:r w:rsidRPr="001C02A4">
        <w:rPr>
          <w:shd w:val="clear" w:color="auto" w:fill="FFFFFF"/>
        </w:rPr>
        <w:t xml:space="preserve"> through </w:t>
      </w:r>
      <w:r w:rsidRPr="001C02A4" w:rsidR="00C241AB">
        <w:rPr>
          <w:shd w:val="clear" w:color="auto" w:fill="FFFFFF"/>
        </w:rPr>
        <w:t>65415</w:t>
      </w:r>
      <w:r w:rsidRPr="001C02A4">
        <w:rPr>
          <w:color w:val="333333"/>
          <w:shd w:val="clear" w:color="auto" w:fill="FFFFFF"/>
        </w:rPr>
        <w:t>)</w:t>
      </w:r>
      <w:r w:rsidRPr="001C02A4">
        <w:t xml:space="preserve">, we </w:t>
      </w:r>
      <w:r w:rsidRPr="001C02A4" w:rsidR="00E93888">
        <w:t>finaliz</w:t>
      </w:r>
      <w:r w:rsidRPr="001C02A4" w:rsidR="00697866">
        <w:t>ed</w:t>
      </w:r>
      <w:r w:rsidRPr="001C02A4">
        <w:t xml:space="preserve"> that except as provided in paragraph § 414.1365(c)(1)(i), an MVP Participant must select and report </w:t>
      </w:r>
      <w:r w:rsidR="00E85689">
        <w:t>four</w:t>
      </w:r>
      <w:r w:rsidRPr="001C02A4" w:rsidR="00E85689">
        <w:t xml:space="preserve"> </w:t>
      </w:r>
      <w:r w:rsidRPr="001C02A4">
        <w:t xml:space="preserve">quality measures, including </w:t>
      </w:r>
      <w:r w:rsidR="00E85689">
        <w:t>one</w:t>
      </w:r>
      <w:r w:rsidRPr="001C02A4" w:rsidR="00E85689">
        <w:t xml:space="preserve"> </w:t>
      </w:r>
      <w:r w:rsidRPr="001C02A4">
        <w:t xml:space="preserve">outcome measure (or, if an outcome measure is not available, </w:t>
      </w:r>
      <w:r w:rsidR="00E85689">
        <w:t>one</w:t>
      </w:r>
      <w:r w:rsidRPr="001C02A4" w:rsidR="00E85689">
        <w:t xml:space="preserve"> </w:t>
      </w:r>
      <w:r w:rsidRPr="001C02A4">
        <w:t>high priority measure</w:t>
      </w:r>
      <w:r w:rsidRPr="001C02A4" w:rsidR="00BF53D6">
        <w:t>)</w:t>
      </w:r>
      <w:r w:rsidRPr="001C02A4">
        <w:t xml:space="preserve">, included in the MVP. The decrease in the number of required measures in the quality performance category from </w:t>
      </w:r>
      <w:r w:rsidR="00E85689">
        <w:t>six</w:t>
      </w:r>
      <w:r w:rsidRPr="001C02A4" w:rsidR="00E85689">
        <w:t xml:space="preserve"> </w:t>
      </w:r>
      <w:r w:rsidRPr="001C02A4">
        <w:t>to</w:t>
      </w:r>
      <w:r w:rsidR="007464D6">
        <w:t xml:space="preserve"> </w:t>
      </w:r>
      <w:r w:rsidR="00E85689">
        <w:t>four</w:t>
      </w:r>
      <w:r w:rsidRPr="001C02A4">
        <w:t xml:space="preserve"> is a two-thirds reduction in the number of measures needed for eligible clinicians to submit data for the quality performance category in MVPs described in Appendix 3: MVP Inventory of </w:t>
      </w:r>
      <w:r w:rsidRPr="001C02A4" w:rsidR="00314BFB">
        <w:t>the CY 202</w:t>
      </w:r>
      <w:r w:rsidRPr="001C02A4" w:rsidR="008F3BB5">
        <w:t>3</w:t>
      </w:r>
      <w:r w:rsidRPr="001C02A4" w:rsidR="00314BFB">
        <w:t xml:space="preserve"> PFS</w:t>
      </w:r>
      <w:r w:rsidRPr="001C02A4" w:rsidR="00FE7B7D">
        <w:t xml:space="preserve"> </w:t>
      </w:r>
      <w:r w:rsidRPr="001C02A4" w:rsidR="00A8723B">
        <w:t>final</w:t>
      </w:r>
      <w:r w:rsidRPr="001C02A4" w:rsidR="00314BFB">
        <w:t xml:space="preserve"> rule</w:t>
      </w:r>
      <w:r w:rsidRPr="001C02A4">
        <w:t>.</w:t>
      </w:r>
      <w:r w:rsidRPr="001C02A4" w:rsidR="00ED728E">
        <w:t xml:space="preserve"> </w:t>
      </w:r>
      <w:r w:rsidRPr="001C02A4">
        <w:t>Therefore, we</w:t>
      </w:r>
      <w:r w:rsidRPr="001C02A4" w:rsidR="008F3BB5">
        <w:t xml:space="preserve"> </w:t>
      </w:r>
      <w:r w:rsidRPr="001C02A4">
        <w:t>estimate that the time for submitting the measures in the MVP quality performance category will, on average, take two-thirds of the currently approved burden per respondent for the quality performance category as it does to complete a MIPS quality submission through the CQM, eCQM, and Claims submission types.</w:t>
      </w:r>
    </w:p>
    <w:p w:rsidR="003907B5" w:rsidP="00E37BE8" w14:paraId="67902C83" w14:textId="671E593B">
      <w:pPr>
        <w:pStyle w:val="BodyText"/>
        <w:rPr>
          <w:rFonts w:eastAsia="Calibri"/>
        </w:rPr>
      </w:pPr>
      <w:r>
        <w:t>For the CY 202</w:t>
      </w:r>
      <w:r w:rsidR="00A26B74">
        <w:t>5</w:t>
      </w:r>
      <w:r>
        <w:t xml:space="preserve"> performance period/202</w:t>
      </w:r>
      <w:r w:rsidR="00A26B74">
        <w:t>7</w:t>
      </w:r>
      <w:r>
        <w:t xml:space="preserve"> MIPS payment year, </w:t>
      </w:r>
      <w:r w:rsidRPr="00871E51" w:rsidR="00E8757B">
        <w:rPr>
          <w:rFonts w:eastAsia="Calibri"/>
        </w:rPr>
        <w:t>we estimate that 1</w:t>
      </w:r>
      <w:r w:rsidR="00973EBB">
        <w:rPr>
          <w:rFonts w:eastAsia="Calibri"/>
        </w:rPr>
        <w:t>0</w:t>
      </w:r>
      <w:r w:rsidRPr="00871E51" w:rsidR="00E8757B">
        <w:rPr>
          <w:rFonts w:eastAsia="Calibri"/>
        </w:rPr>
        <w:t xml:space="preserve"> percent of the clinicians who participated in MIPS for the CY 20</w:t>
      </w:r>
      <w:r w:rsidR="00F61EFE">
        <w:rPr>
          <w:rFonts w:eastAsia="Calibri"/>
        </w:rPr>
        <w:t>2</w:t>
      </w:r>
      <w:r w:rsidR="001568DA">
        <w:rPr>
          <w:rFonts w:eastAsia="Calibri"/>
        </w:rPr>
        <w:t>2</w:t>
      </w:r>
      <w:r w:rsidRPr="00871E51" w:rsidR="00E8757B">
        <w:rPr>
          <w:rFonts w:eastAsia="Calibri"/>
        </w:rPr>
        <w:t xml:space="preserve"> performance period/202</w:t>
      </w:r>
      <w:r w:rsidR="001568DA">
        <w:rPr>
          <w:rFonts w:eastAsia="Calibri"/>
        </w:rPr>
        <w:t>4</w:t>
      </w:r>
      <w:r w:rsidRPr="00871E51" w:rsidR="00E8757B">
        <w:rPr>
          <w:rFonts w:eastAsia="Calibri"/>
        </w:rPr>
        <w:t xml:space="preserve"> MIPS payment year</w:t>
      </w:r>
      <w:r w:rsidR="00221A67">
        <w:rPr>
          <w:rFonts w:eastAsia="Calibri"/>
        </w:rPr>
        <w:t xml:space="preserve">, and </w:t>
      </w:r>
      <w:r w:rsidRPr="00871E51" w:rsidR="00221A67">
        <w:rPr>
          <w:rFonts w:eastAsia="Calibri"/>
        </w:rPr>
        <w:t xml:space="preserve">20 subgroups </w:t>
      </w:r>
      <w:r w:rsidRPr="00871E51" w:rsidR="00E8757B">
        <w:rPr>
          <w:rFonts w:eastAsia="Calibri"/>
        </w:rPr>
        <w:t>w</w:t>
      </w:r>
      <w:r w:rsidR="00DA282E">
        <w:rPr>
          <w:rFonts w:eastAsia="Calibri"/>
        </w:rPr>
        <w:t>ill</w:t>
      </w:r>
      <w:r w:rsidRPr="00871E51" w:rsidR="00E8757B">
        <w:rPr>
          <w:rFonts w:eastAsia="Calibri"/>
        </w:rPr>
        <w:t xml:space="preserve"> submit data for the quality performance category of MVPs. As shown in </w:t>
      </w:r>
      <w:r w:rsidR="00E8757B">
        <w:rPr>
          <w:rFonts w:eastAsia="Calibri"/>
        </w:rPr>
        <w:t>T</w:t>
      </w:r>
      <w:r w:rsidRPr="00871E51" w:rsidR="00E8757B">
        <w:rPr>
          <w:rFonts w:eastAsia="Calibri"/>
        </w:rPr>
        <w:t>able</w:t>
      </w:r>
      <w:r w:rsidR="00E0487C">
        <w:rPr>
          <w:rFonts w:eastAsia="Calibri"/>
        </w:rPr>
        <w:t xml:space="preserve"> 1</w:t>
      </w:r>
      <w:r w:rsidR="005B18F7">
        <w:rPr>
          <w:rFonts w:eastAsia="Calibri"/>
        </w:rPr>
        <w:t>6</w:t>
      </w:r>
      <w:r w:rsidRPr="00871E51" w:rsidR="00E8757B">
        <w:rPr>
          <w:rFonts w:eastAsia="Calibri"/>
        </w:rPr>
        <w:t xml:space="preserve">, we estimate that approximately </w:t>
      </w:r>
      <w:r w:rsidR="00973EBB">
        <w:rPr>
          <w:rFonts w:eastAsia="Calibri"/>
        </w:rPr>
        <w:t>3,020</w:t>
      </w:r>
      <w:r w:rsidRPr="003907B5">
        <w:rPr>
          <w:rFonts w:eastAsia="Calibri"/>
        </w:rPr>
        <w:t xml:space="preserve"> clinicians and 10 subgroups will submit data using eCQMs collection type at </w:t>
      </w:r>
      <w:r w:rsidR="008C25E3">
        <w:rPr>
          <w:rFonts w:eastAsia="Calibri"/>
        </w:rPr>
        <w:t xml:space="preserve">a cost of </w:t>
      </w:r>
      <w:r w:rsidRPr="003907B5">
        <w:rPr>
          <w:rFonts w:eastAsia="Calibri"/>
        </w:rPr>
        <w:t>$</w:t>
      </w:r>
      <w:r w:rsidR="00326CF5">
        <w:rPr>
          <w:rFonts w:eastAsia="Calibri"/>
        </w:rPr>
        <w:t>644.93</w:t>
      </w:r>
      <w:r w:rsidRPr="003907B5">
        <w:rPr>
          <w:rFonts w:eastAsia="Calibri"/>
        </w:rPr>
        <w:t xml:space="preserve">/response (see line q for eCQMs); </w:t>
      </w:r>
      <w:r w:rsidR="00F17943">
        <w:rPr>
          <w:rFonts w:eastAsia="Calibri"/>
        </w:rPr>
        <w:t>1,890</w:t>
      </w:r>
      <w:r w:rsidRPr="003907B5">
        <w:rPr>
          <w:rFonts w:eastAsia="Calibri"/>
        </w:rPr>
        <w:t xml:space="preserve"> clinicians and 10 subgroups will submit data using MIPS CQM and QCDR collection type at</w:t>
      </w:r>
      <w:r w:rsidR="008C25E3">
        <w:rPr>
          <w:rFonts w:eastAsia="Calibri"/>
        </w:rPr>
        <w:t xml:space="preserve"> a cost of</w:t>
      </w:r>
      <w:r w:rsidRPr="003907B5">
        <w:rPr>
          <w:rFonts w:eastAsia="Calibri"/>
        </w:rPr>
        <w:t xml:space="preserve"> $</w:t>
      </w:r>
      <w:r w:rsidR="003A3FFF">
        <w:rPr>
          <w:rFonts w:eastAsia="Calibri"/>
        </w:rPr>
        <w:t>716.31</w:t>
      </w:r>
      <w:r w:rsidRPr="003907B5">
        <w:rPr>
          <w:rFonts w:eastAsia="Calibri"/>
        </w:rPr>
        <w:t xml:space="preserve">/response (see line q for CQM and QCDRs); and </w:t>
      </w:r>
      <w:r w:rsidR="00994B1F">
        <w:rPr>
          <w:rFonts w:eastAsia="Calibri"/>
        </w:rPr>
        <w:t>1,355</w:t>
      </w:r>
      <w:r w:rsidRPr="003907B5">
        <w:rPr>
          <w:rFonts w:eastAsia="Calibri"/>
        </w:rPr>
        <w:t xml:space="preserve"> clinicians and 0 subgroups will submit data for the MVP quality performance category using the Medicare Part B claims collection type at </w:t>
      </w:r>
      <w:r w:rsidR="008C25E3">
        <w:rPr>
          <w:rFonts w:eastAsia="Calibri"/>
        </w:rPr>
        <w:t xml:space="preserve">a cost of </w:t>
      </w:r>
      <w:r w:rsidRPr="003907B5">
        <w:rPr>
          <w:rFonts w:eastAsia="Calibri"/>
        </w:rPr>
        <w:t>$1,</w:t>
      </w:r>
      <w:r w:rsidR="00994B1F">
        <w:rPr>
          <w:rFonts w:eastAsia="Calibri"/>
        </w:rPr>
        <w:t>101.24</w:t>
      </w:r>
      <w:r w:rsidRPr="003907B5">
        <w:rPr>
          <w:rFonts w:eastAsia="Calibri"/>
        </w:rPr>
        <w:t xml:space="preserve">/response (see line q for claims).  </w:t>
      </w:r>
    </w:p>
    <w:p w:rsidR="00663FA7" w:rsidRPr="00871E51" w:rsidP="00E37BE8" w14:paraId="4F7A0F14" w14:textId="3A81CA27">
      <w:pPr>
        <w:pStyle w:val="BodyText"/>
        <w:rPr>
          <w:rFonts w:eastAsia="Calibri"/>
        </w:rPr>
      </w:pPr>
      <w:r>
        <w:rPr>
          <w:rFonts w:eastAsia="Calibri"/>
        </w:rPr>
        <w:t>As shown in Table 16, f</w:t>
      </w:r>
      <w:r w:rsidRPr="003907B5">
        <w:rPr>
          <w:rFonts w:eastAsia="Calibri"/>
        </w:rPr>
        <w:t>or the CY 202</w:t>
      </w:r>
      <w:r w:rsidR="00994B1F">
        <w:rPr>
          <w:rFonts w:eastAsia="Calibri"/>
        </w:rPr>
        <w:t>5</w:t>
      </w:r>
      <w:r w:rsidRPr="003907B5">
        <w:rPr>
          <w:rFonts w:eastAsia="Calibri"/>
        </w:rPr>
        <w:t xml:space="preserve"> performance period/202</w:t>
      </w:r>
      <w:r w:rsidR="00994B1F">
        <w:rPr>
          <w:rFonts w:eastAsia="Calibri"/>
        </w:rPr>
        <w:t>7</w:t>
      </w:r>
      <w:r w:rsidRPr="003907B5">
        <w:rPr>
          <w:rFonts w:eastAsia="Calibri"/>
        </w:rPr>
        <w:t xml:space="preserve"> MIPS payment year, we estimate a burden of </w:t>
      </w:r>
      <w:r w:rsidR="002B1023">
        <w:rPr>
          <w:rFonts w:eastAsia="Calibri"/>
        </w:rPr>
        <w:t>16,059</w:t>
      </w:r>
      <w:r w:rsidRPr="003907B5">
        <w:rPr>
          <w:rFonts w:eastAsia="Calibri"/>
        </w:rPr>
        <w:t xml:space="preserve"> hours [5.3 hr </w:t>
      </w:r>
      <w:r w:rsidR="00DC30E2">
        <w:t>×</w:t>
      </w:r>
      <w:r w:rsidRPr="003907B5">
        <w:rPr>
          <w:rFonts w:eastAsia="Calibri"/>
        </w:rPr>
        <w:t xml:space="preserve"> </w:t>
      </w:r>
      <w:r w:rsidR="002B1023">
        <w:rPr>
          <w:rFonts w:eastAsia="Calibri"/>
        </w:rPr>
        <w:t>3,030</w:t>
      </w:r>
      <w:r w:rsidRPr="003907B5">
        <w:rPr>
          <w:rFonts w:eastAsia="Calibri"/>
        </w:rPr>
        <w:t xml:space="preserve"> (</w:t>
      </w:r>
      <w:r w:rsidR="002B1023">
        <w:rPr>
          <w:rFonts w:eastAsia="Calibri"/>
        </w:rPr>
        <w:t>3,020</w:t>
      </w:r>
      <w:r w:rsidRPr="003907B5">
        <w:rPr>
          <w:rFonts w:eastAsia="Calibri"/>
        </w:rPr>
        <w:t xml:space="preserve"> +10) responses] at a cost of $</w:t>
      </w:r>
      <w:r w:rsidR="002B1023">
        <w:rPr>
          <w:rFonts w:eastAsia="Calibri"/>
        </w:rPr>
        <w:t>1,954,138</w:t>
      </w:r>
      <w:r w:rsidRPr="003907B5">
        <w:rPr>
          <w:rFonts w:eastAsia="Calibri"/>
        </w:rPr>
        <w:t xml:space="preserve"> (</w:t>
      </w:r>
      <w:r w:rsidR="000F7F34">
        <w:rPr>
          <w:rFonts w:eastAsia="Calibri"/>
        </w:rPr>
        <w:t>3,030</w:t>
      </w:r>
      <w:r w:rsidRPr="003907B5">
        <w:rPr>
          <w:rFonts w:eastAsia="Calibri"/>
        </w:rPr>
        <w:t xml:space="preserve"> responses </w:t>
      </w:r>
      <w:r w:rsidR="00DC30E2">
        <w:t>×</w:t>
      </w:r>
      <w:r w:rsidRPr="003907B5">
        <w:rPr>
          <w:rFonts w:eastAsia="Calibri"/>
        </w:rPr>
        <w:t xml:space="preserve"> $</w:t>
      </w:r>
      <w:r w:rsidR="000F7F34">
        <w:rPr>
          <w:rFonts w:eastAsia="Calibri"/>
        </w:rPr>
        <w:t>644.93</w:t>
      </w:r>
      <w:r w:rsidRPr="003907B5">
        <w:rPr>
          <w:rFonts w:eastAsia="Calibri"/>
        </w:rPr>
        <w:t xml:space="preserve">/response) for the eCQM collection type, </w:t>
      </w:r>
      <w:r w:rsidR="00D03B2A">
        <w:rPr>
          <w:rFonts w:eastAsia="Calibri"/>
        </w:rPr>
        <w:t>11,343</w:t>
      </w:r>
      <w:r w:rsidRPr="003907B5">
        <w:rPr>
          <w:rFonts w:eastAsia="Calibri"/>
        </w:rPr>
        <w:t xml:space="preserve"> hours [5.97 hr </w:t>
      </w:r>
      <w:r w:rsidR="00DC30E2">
        <w:t>×</w:t>
      </w:r>
      <w:r w:rsidRPr="003907B5">
        <w:rPr>
          <w:rFonts w:eastAsia="Calibri"/>
        </w:rPr>
        <w:t xml:space="preserve"> </w:t>
      </w:r>
      <w:r w:rsidR="00D03B2A">
        <w:rPr>
          <w:rFonts w:eastAsia="Calibri"/>
        </w:rPr>
        <w:t>1,900</w:t>
      </w:r>
      <w:r w:rsidRPr="003907B5">
        <w:rPr>
          <w:rFonts w:eastAsia="Calibri"/>
        </w:rPr>
        <w:t xml:space="preserve"> (</w:t>
      </w:r>
      <w:r w:rsidR="00D03B2A">
        <w:rPr>
          <w:rFonts w:eastAsia="Calibri"/>
        </w:rPr>
        <w:t>1,890</w:t>
      </w:r>
      <w:r w:rsidRPr="003907B5">
        <w:rPr>
          <w:rFonts w:eastAsia="Calibri"/>
        </w:rPr>
        <w:t xml:space="preserve"> +10</w:t>
      </w:r>
      <w:r w:rsidRPr="31830755" w:rsidR="286EF406">
        <w:rPr>
          <w:rFonts w:eastAsia="Calibri"/>
        </w:rPr>
        <w:t xml:space="preserve"> responses</w:t>
      </w:r>
      <w:r w:rsidRPr="003907B5">
        <w:rPr>
          <w:rFonts w:eastAsia="Calibri"/>
        </w:rPr>
        <w:t>)] at a cost of $1,</w:t>
      </w:r>
      <w:r w:rsidR="00CA0F44">
        <w:rPr>
          <w:rFonts w:eastAsia="Calibri"/>
        </w:rPr>
        <w:t>360,989</w:t>
      </w:r>
      <w:r w:rsidRPr="003907B5">
        <w:rPr>
          <w:rFonts w:eastAsia="Calibri"/>
        </w:rPr>
        <w:t xml:space="preserve"> (</w:t>
      </w:r>
      <w:r w:rsidR="00CA0F44">
        <w:rPr>
          <w:rFonts w:eastAsia="Calibri"/>
        </w:rPr>
        <w:t>1,900</w:t>
      </w:r>
      <w:r w:rsidRPr="003907B5">
        <w:rPr>
          <w:rFonts w:eastAsia="Calibri"/>
        </w:rPr>
        <w:t xml:space="preserve"> responses </w:t>
      </w:r>
      <w:r w:rsidR="00DC30E2">
        <w:t>×</w:t>
      </w:r>
      <w:r w:rsidRPr="003907B5">
        <w:rPr>
          <w:rFonts w:eastAsia="Calibri"/>
        </w:rPr>
        <w:t xml:space="preserve"> $</w:t>
      </w:r>
      <w:r w:rsidR="00CA0F44">
        <w:rPr>
          <w:rFonts w:eastAsia="Calibri"/>
        </w:rPr>
        <w:t>716.31</w:t>
      </w:r>
      <w:r w:rsidRPr="003907B5">
        <w:rPr>
          <w:rFonts w:eastAsia="Calibri"/>
        </w:rPr>
        <w:t xml:space="preserve">/responses) for the MIPS CQM and QCDR collection type, and </w:t>
      </w:r>
      <w:r w:rsidR="00CA0F44">
        <w:rPr>
          <w:rFonts w:eastAsia="Calibri"/>
        </w:rPr>
        <w:t>12,791</w:t>
      </w:r>
      <w:r w:rsidRPr="003907B5">
        <w:rPr>
          <w:rFonts w:eastAsia="Calibri"/>
        </w:rPr>
        <w:t xml:space="preserve"> hours (9.44 hr </w:t>
      </w:r>
      <w:r w:rsidR="00DC30E2">
        <w:t>×</w:t>
      </w:r>
      <w:r w:rsidRPr="003907B5">
        <w:rPr>
          <w:rFonts w:eastAsia="Calibri"/>
        </w:rPr>
        <w:t xml:space="preserve"> </w:t>
      </w:r>
      <w:r w:rsidR="00CA0F44">
        <w:rPr>
          <w:rFonts w:eastAsia="Calibri"/>
        </w:rPr>
        <w:t>1,355</w:t>
      </w:r>
      <w:r w:rsidRPr="003907B5">
        <w:rPr>
          <w:rFonts w:eastAsia="Calibri"/>
        </w:rPr>
        <w:t xml:space="preserve"> clinician responses) at a cost of $</w:t>
      </w:r>
      <w:r w:rsidR="00CA0F44">
        <w:rPr>
          <w:rFonts w:eastAsia="Calibri"/>
        </w:rPr>
        <w:t>1,492,180</w:t>
      </w:r>
      <w:r w:rsidRPr="003907B5">
        <w:rPr>
          <w:rFonts w:eastAsia="Calibri"/>
        </w:rPr>
        <w:t xml:space="preserve"> (</w:t>
      </w:r>
      <w:r w:rsidR="00CA0F44">
        <w:rPr>
          <w:rFonts w:eastAsia="Calibri"/>
        </w:rPr>
        <w:t>1,355</w:t>
      </w:r>
      <w:r w:rsidRPr="003907B5">
        <w:rPr>
          <w:rFonts w:eastAsia="Calibri"/>
        </w:rPr>
        <w:t xml:space="preserve"> responses </w:t>
      </w:r>
      <w:r w:rsidR="00DC30E2">
        <w:t>×</w:t>
      </w:r>
      <w:r w:rsidRPr="003907B5">
        <w:rPr>
          <w:rFonts w:eastAsia="Calibri"/>
        </w:rPr>
        <w:t xml:space="preserve"> $1,</w:t>
      </w:r>
      <w:r w:rsidR="00CA0F44">
        <w:rPr>
          <w:rFonts w:eastAsia="Calibri"/>
        </w:rPr>
        <w:t>101.24</w:t>
      </w:r>
      <w:r w:rsidRPr="003907B5">
        <w:rPr>
          <w:rFonts w:eastAsia="Calibri"/>
        </w:rPr>
        <w:t xml:space="preserve">/response) for the Medicare Part B claims collection type.  </w:t>
      </w:r>
    </w:p>
    <w:p w:rsidR="00067362" w:rsidRPr="00A0296B" w:rsidP="00E37BE8" w14:paraId="376BB722" w14:textId="5F52BA1C">
      <w:pPr>
        <w:pStyle w:val="ExhibitTitle"/>
        <w:rPr>
          <w:rFonts w:eastAsia="Calibri"/>
          <w:b w:val="0"/>
          <w:bCs/>
        </w:rPr>
      </w:pPr>
      <w:r w:rsidRPr="00A0296B">
        <w:rPr>
          <w:rFonts w:eastAsia="Calibri"/>
          <w:b w:val="0"/>
          <w:bCs/>
        </w:rPr>
        <w:t>T</w:t>
      </w:r>
      <w:r w:rsidRPr="00A0296B" w:rsidR="13C1F28D">
        <w:rPr>
          <w:rFonts w:eastAsia="Calibri"/>
          <w:b w:val="0"/>
          <w:bCs/>
        </w:rPr>
        <w:t>able</w:t>
      </w:r>
      <w:r w:rsidRPr="00A0296B">
        <w:rPr>
          <w:rFonts w:eastAsia="Calibri"/>
          <w:b w:val="0"/>
          <w:bCs/>
        </w:rPr>
        <w:t xml:space="preserve"> 1</w:t>
      </w:r>
      <w:r w:rsidRPr="00A0296B" w:rsidR="7805DD02">
        <w:rPr>
          <w:rFonts w:eastAsia="Calibri"/>
          <w:b w:val="0"/>
          <w:bCs/>
        </w:rPr>
        <w:t>6</w:t>
      </w:r>
      <w:r w:rsidRPr="00A0296B">
        <w:rPr>
          <w:rFonts w:eastAsia="Calibri"/>
          <w:b w:val="0"/>
          <w:bCs/>
        </w:rPr>
        <w:t xml:space="preserve">: Estimated Burden for </w:t>
      </w:r>
      <w:r w:rsidRPr="00A0296B" w:rsidR="0613A00B">
        <w:rPr>
          <w:rFonts w:eastAsia="Calibri"/>
          <w:b w:val="0"/>
          <w:bCs/>
        </w:rPr>
        <w:t xml:space="preserve">MVP </w:t>
      </w:r>
      <w:r w:rsidRPr="00A0296B">
        <w:rPr>
          <w:rFonts w:eastAsia="Calibri"/>
          <w:b w:val="0"/>
          <w:bCs/>
        </w:rPr>
        <w:t>Quality Performance Category</w:t>
      </w:r>
      <w:r w:rsidRPr="00A0296B" w:rsidR="13962E45">
        <w:rPr>
          <w:rFonts w:eastAsia="Calibri"/>
          <w:b w:val="0"/>
          <w:bCs/>
        </w:rPr>
        <w:t xml:space="preserve"> Submission</w:t>
      </w:r>
    </w:p>
    <w:tbl>
      <w:tblPr>
        <w:tblStyle w:val="TableGrid"/>
        <w:tblDescription w:val="Table 16: This table illustrates the estimated burden for submitting data for the quality performance category of M V P s."/>
        <w:tblW w:w="9440" w:type="dxa"/>
        <w:tblLook w:val="04A0"/>
      </w:tblPr>
      <w:tblGrid>
        <w:gridCol w:w="3505"/>
        <w:gridCol w:w="1890"/>
        <w:gridCol w:w="2129"/>
        <w:gridCol w:w="1916"/>
      </w:tblGrid>
      <w:tr w14:paraId="293E6075" w14:textId="77777777" w:rsidTr="006670D4">
        <w:tblPrEx>
          <w:tblW w:w="9440" w:type="dxa"/>
          <w:tblLook w:val="04A0"/>
        </w:tblPrEx>
        <w:trPr>
          <w:cantSplit/>
          <w:tblHeader/>
        </w:trPr>
        <w:tc>
          <w:tcPr>
            <w:tcW w:w="3505" w:type="dxa"/>
          </w:tcPr>
          <w:p w:rsidR="009E6DDF" w:rsidRPr="004F5699" w:rsidP="00E37BE8" w14:paraId="678A6A62" w14:textId="77777777">
            <w:pPr>
              <w:pStyle w:val="Table11-ColumnHeading"/>
            </w:pPr>
            <w:r w:rsidRPr="004F5699">
              <w:t>Burden and Respondent Descriptions</w:t>
            </w:r>
          </w:p>
        </w:tc>
        <w:tc>
          <w:tcPr>
            <w:tcW w:w="1890" w:type="dxa"/>
          </w:tcPr>
          <w:p w:rsidR="009E6DDF" w:rsidRPr="004F5699" w:rsidP="00E37BE8" w14:paraId="44200CCA" w14:textId="77777777">
            <w:pPr>
              <w:pStyle w:val="Table11-ColumnHeading"/>
            </w:pPr>
            <w:r w:rsidRPr="004F5699">
              <w:t>eCQM Collection Type</w:t>
            </w:r>
          </w:p>
        </w:tc>
        <w:tc>
          <w:tcPr>
            <w:tcW w:w="2129" w:type="dxa"/>
          </w:tcPr>
          <w:p w:rsidR="009E6DDF" w:rsidRPr="004F5699" w:rsidP="00E37BE8" w14:paraId="1C977D66" w14:textId="77777777">
            <w:pPr>
              <w:pStyle w:val="Table11-ColumnHeading"/>
            </w:pPr>
            <w:r w:rsidRPr="004F5699">
              <w:t>CQM and QCDR Collection Type</w:t>
            </w:r>
          </w:p>
        </w:tc>
        <w:tc>
          <w:tcPr>
            <w:tcW w:w="1916" w:type="dxa"/>
          </w:tcPr>
          <w:p w:rsidR="009E6DDF" w:rsidRPr="004F5699" w:rsidP="00E37BE8" w14:paraId="7AB267A0" w14:textId="77777777">
            <w:pPr>
              <w:pStyle w:val="Table11-ColumnHeading"/>
            </w:pPr>
            <w:r w:rsidRPr="004F5699">
              <w:t>Claims Collection Type</w:t>
            </w:r>
          </w:p>
        </w:tc>
      </w:tr>
      <w:tr w14:paraId="3CEC2597" w14:textId="77777777" w:rsidTr="006670D4">
        <w:tblPrEx>
          <w:tblW w:w="9440" w:type="dxa"/>
          <w:tblLook w:val="04A0"/>
        </w:tblPrEx>
        <w:trPr>
          <w:cantSplit/>
        </w:trPr>
        <w:tc>
          <w:tcPr>
            <w:tcW w:w="3505" w:type="dxa"/>
          </w:tcPr>
          <w:p w:rsidR="009E6DDF" w:rsidRPr="004F5699" w:rsidP="00E37BE8" w14:paraId="590741BE" w14:textId="77777777">
            <w:pPr>
              <w:pStyle w:val="Table11Basic"/>
            </w:pPr>
            <w:r w:rsidRPr="004F5699">
              <w:t># of Submissions from Pre-existing collection types (a)</w:t>
            </w:r>
          </w:p>
        </w:tc>
        <w:tc>
          <w:tcPr>
            <w:tcW w:w="1890" w:type="dxa"/>
          </w:tcPr>
          <w:p w:rsidR="009E6DDF" w:rsidRPr="004F5699" w:rsidP="00E37BE8" w14:paraId="0671FCAE" w14:textId="77777777">
            <w:pPr>
              <w:pStyle w:val="Table11Centered"/>
            </w:pPr>
            <w:r w:rsidRPr="004F5699">
              <w:t>3,020</w:t>
            </w:r>
          </w:p>
        </w:tc>
        <w:tc>
          <w:tcPr>
            <w:tcW w:w="2129" w:type="dxa"/>
          </w:tcPr>
          <w:p w:rsidR="009E6DDF" w:rsidRPr="004F5699" w:rsidP="00E37BE8" w14:paraId="5DF74CD7" w14:textId="77777777">
            <w:pPr>
              <w:pStyle w:val="Table11Centered"/>
            </w:pPr>
            <w:r w:rsidRPr="004F5699">
              <w:t>1,890</w:t>
            </w:r>
          </w:p>
        </w:tc>
        <w:tc>
          <w:tcPr>
            <w:tcW w:w="1916" w:type="dxa"/>
          </w:tcPr>
          <w:p w:rsidR="009E6DDF" w:rsidRPr="004F5699" w:rsidP="00E37BE8" w14:paraId="734BC5B2" w14:textId="77777777">
            <w:pPr>
              <w:pStyle w:val="Table11Centered"/>
            </w:pPr>
            <w:r w:rsidRPr="004F5699">
              <w:t>1,355</w:t>
            </w:r>
          </w:p>
        </w:tc>
      </w:tr>
      <w:tr w14:paraId="11988437" w14:textId="77777777" w:rsidTr="006670D4">
        <w:tblPrEx>
          <w:tblW w:w="9440" w:type="dxa"/>
          <w:tblLook w:val="04A0"/>
        </w:tblPrEx>
        <w:trPr>
          <w:cantSplit/>
          <w:trHeight w:val="161"/>
        </w:trPr>
        <w:tc>
          <w:tcPr>
            <w:tcW w:w="3505" w:type="dxa"/>
          </w:tcPr>
          <w:p w:rsidR="009E6DDF" w:rsidRPr="004F5699" w:rsidP="00E37BE8" w14:paraId="4A6AE94C" w14:textId="77777777">
            <w:pPr>
              <w:pStyle w:val="Table11Basic"/>
            </w:pPr>
            <w:r w:rsidRPr="004F5699">
              <w:t># of Subgroup Reporters (b)</w:t>
            </w:r>
          </w:p>
        </w:tc>
        <w:tc>
          <w:tcPr>
            <w:tcW w:w="1890" w:type="dxa"/>
          </w:tcPr>
          <w:p w:rsidR="009E6DDF" w:rsidRPr="004F5699" w:rsidP="00E37BE8" w14:paraId="0284E17A" w14:textId="77777777">
            <w:pPr>
              <w:pStyle w:val="Table11Centered"/>
            </w:pPr>
            <w:r w:rsidRPr="004F5699">
              <w:t>10</w:t>
            </w:r>
          </w:p>
        </w:tc>
        <w:tc>
          <w:tcPr>
            <w:tcW w:w="2129" w:type="dxa"/>
          </w:tcPr>
          <w:p w:rsidR="009E6DDF" w:rsidRPr="004F5699" w:rsidP="00E37BE8" w14:paraId="3ECAC921" w14:textId="77777777">
            <w:pPr>
              <w:pStyle w:val="Table11Centered"/>
            </w:pPr>
            <w:r w:rsidRPr="004F5699">
              <w:t>10</w:t>
            </w:r>
          </w:p>
        </w:tc>
        <w:tc>
          <w:tcPr>
            <w:tcW w:w="1916" w:type="dxa"/>
          </w:tcPr>
          <w:p w:rsidR="009E6DDF" w:rsidRPr="004F5699" w:rsidP="00E37BE8" w14:paraId="0492DF98" w14:textId="77777777">
            <w:pPr>
              <w:pStyle w:val="Table11Centered"/>
            </w:pPr>
            <w:r w:rsidRPr="004F5699">
              <w:t>0</w:t>
            </w:r>
          </w:p>
        </w:tc>
      </w:tr>
      <w:tr w14:paraId="5F96A786" w14:textId="77777777" w:rsidTr="006670D4">
        <w:tblPrEx>
          <w:tblW w:w="9440" w:type="dxa"/>
          <w:tblLook w:val="04A0"/>
        </w:tblPrEx>
        <w:trPr>
          <w:cantSplit/>
        </w:trPr>
        <w:tc>
          <w:tcPr>
            <w:tcW w:w="3505" w:type="dxa"/>
            <w:shd w:val="clear" w:color="auto" w:fill="E7E6E6" w:themeFill="background2"/>
          </w:tcPr>
          <w:p w:rsidR="009E6DDF" w:rsidRPr="004F5699" w:rsidP="00E37BE8" w14:paraId="2314FC16" w14:textId="77777777">
            <w:pPr>
              <w:pStyle w:val="Table11Basic"/>
              <w:rPr>
                <w:b/>
              </w:rPr>
            </w:pPr>
            <w:r w:rsidRPr="004F5699">
              <w:rPr>
                <w:b/>
              </w:rPr>
              <w:t>Total MVP Participants</w:t>
            </w:r>
            <w:r w:rsidRPr="004F5699">
              <w:rPr>
                <w:b/>
                <w:bCs/>
              </w:rPr>
              <w:t xml:space="preserve"> </w:t>
            </w:r>
            <w:r w:rsidRPr="004F5699">
              <w:rPr>
                <w:b/>
              </w:rPr>
              <w:t xml:space="preserve">(c) = (a) + (b) </w:t>
            </w:r>
          </w:p>
        </w:tc>
        <w:tc>
          <w:tcPr>
            <w:tcW w:w="1890" w:type="dxa"/>
            <w:shd w:val="clear" w:color="auto" w:fill="E7E6E6" w:themeFill="background2"/>
          </w:tcPr>
          <w:p w:rsidR="009E6DDF" w:rsidRPr="004F5699" w:rsidP="00E37BE8" w14:paraId="7717A41E" w14:textId="77777777">
            <w:pPr>
              <w:pStyle w:val="Table11Centered"/>
              <w:rPr>
                <w:b/>
              </w:rPr>
            </w:pPr>
            <w:r w:rsidRPr="004F5699">
              <w:rPr>
                <w:b/>
              </w:rPr>
              <w:t>3,030</w:t>
            </w:r>
          </w:p>
        </w:tc>
        <w:tc>
          <w:tcPr>
            <w:tcW w:w="2129" w:type="dxa"/>
            <w:shd w:val="clear" w:color="auto" w:fill="E7E6E6" w:themeFill="background2"/>
          </w:tcPr>
          <w:p w:rsidR="009E6DDF" w:rsidRPr="004F5699" w:rsidP="00E37BE8" w14:paraId="610001B7" w14:textId="77777777">
            <w:pPr>
              <w:pStyle w:val="Table11Centered"/>
              <w:rPr>
                <w:b/>
              </w:rPr>
            </w:pPr>
            <w:r w:rsidRPr="004F5699">
              <w:rPr>
                <w:b/>
              </w:rPr>
              <w:t>1,900</w:t>
            </w:r>
          </w:p>
        </w:tc>
        <w:tc>
          <w:tcPr>
            <w:tcW w:w="1916" w:type="dxa"/>
            <w:shd w:val="clear" w:color="auto" w:fill="E7E6E6" w:themeFill="background2"/>
          </w:tcPr>
          <w:p w:rsidR="009E6DDF" w:rsidRPr="004F5699" w:rsidP="00E37BE8" w14:paraId="584EBC32" w14:textId="77777777">
            <w:pPr>
              <w:pStyle w:val="Table11Centered"/>
              <w:rPr>
                <w:b/>
              </w:rPr>
            </w:pPr>
            <w:r w:rsidRPr="004F5699">
              <w:rPr>
                <w:b/>
              </w:rPr>
              <w:t>1,355</w:t>
            </w:r>
          </w:p>
        </w:tc>
      </w:tr>
      <w:tr w14:paraId="00B6CE8A" w14:textId="77777777" w:rsidTr="006670D4">
        <w:tblPrEx>
          <w:tblW w:w="9440" w:type="dxa"/>
          <w:tblLook w:val="04A0"/>
        </w:tblPrEx>
        <w:trPr>
          <w:cantSplit/>
        </w:trPr>
        <w:tc>
          <w:tcPr>
            <w:tcW w:w="3505" w:type="dxa"/>
          </w:tcPr>
          <w:p w:rsidR="009E6DDF" w:rsidRPr="004F5699" w:rsidP="00E37BE8" w14:paraId="31A5A5F5" w14:textId="77777777">
            <w:pPr>
              <w:pStyle w:val="Table11Basic"/>
            </w:pPr>
            <w:r w:rsidRPr="004F5699">
              <w:t>Hours Per Computer Systems Analyst to Submit Quality Data (d)</w:t>
            </w:r>
          </w:p>
        </w:tc>
        <w:tc>
          <w:tcPr>
            <w:tcW w:w="1890" w:type="dxa"/>
          </w:tcPr>
          <w:p w:rsidR="009E6DDF" w:rsidRPr="004F5699" w:rsidP="00E37BE8" w14:paraId="3ADC7F85" w14:textId="77777777">
            <w:pPr>
              <w:pStyle w:val="Table11Centered"/>
            </w:pPr>
            <w:r w:rsidRPr="004F5699">
              <w:t>1.33</w:t>
            </w:r>
          </w:p>
        </w:tc>
        <w:tc>
          <w:tcPr>
            <w:tcW w:w="2129" w:type="dxa"/>
          </w:tcPr>
          <w:p w:rsidR="009E6DDF" w:rsidRPr="004F5699" w:rsidP="00E37BE8" w14:paraId="3814F127" w14:textId="77777777">
            <w:pPr>
              <w:pStyle w:val="Table11Centered"/>
            </w:pPr>
            <w:r w:rsidRPr="004F5699">
              <w:t>2</w:t>
            </w:r>
          </w:p>
        </w:tc>
        <w:tc>
          <w:tcPr>
            <w:tcW w:w="1916" w:type="dxa"/>
          </w:tcPr>
          <w:p w:rsidR="009E6DDF" w:rsidRPr="004F5699" w:rsidP="00E37BE8" w14:paraId="167424DC" w14:textId="77777777">
            <w:pPr>
              <w:pStyle w:val="Table11Centered"/>
            </w:pPr>
            <w:r w:rsidRPr="004F5699">
              <w:t>4.8</w:t>
            </w:r>
          </w:p>
        </w:tc>
      </w:tr>
      <w:tr w14:paraId="75538A79" w14:textId="77777777" w:rsidTr="006670D4">
        <w:tblPrEx>
          <w:tblW w:w="9440" w:type="dxa"/>
          <w:tblLook w:val="04A0"/>
        </w:tblPrEx>
        <w:trPr>
          <w:cantSplit/>
        </w:trPr>
        <w:tc>
          <w:tcPr>
            <w:tcW w:w="3505" w:type="dxa"/>
          </w:tcPr>
          <w:p w:rsidR="009E6DDF" w:rsidRPr="004F5699" w:rsidP="00E37BE8" w14:paraId="001E239B" w14:textId="77777777">
            <w:pPr>
              <w:pStyle w:val="Table11Basic"/>
            </w:pPr>
            <w:r w:rsidRPr="004F5699">
              <w:t># of Hours Medical and Health Services Manager Review Measure Specifications (e)</w:t>
            </w:r>
          </w:p>
        </w:tc>
        <w:tc>
          <w:tcPr>
            <w:tcW w:w="1890" w:type="dxa"/>
          </w:tcPr>
          <w:p w:rsidR="009E6DDF" w:rsidRPr="004F5699" w:rsidP="00E37BE8" w14:paraId="1F48AFE1" w14:textId="77777777">
            <w:pPr>
              <w:pStyle w:val="Table11Centered"/>
            </w:pPr>
            <w:r w:rsidRPr="004F5699">
              <w:t>1.33</w:t>
            </w:r>
          </w:p>
        </w:tc>
        <w:tc>
          <w:tcPr>
            <w:tcW w:w="2129" w:type="dxa"/>
          </w:tcPr>
          <w:p w:rsidR="009E6DDF" w:rsidRPr="004F5699" w:rsidP="00E37BE8" w14:paraId="428FFD0D" w14:textId="77777777">
            <w:pPr>
              <w:pStyle w:val="Table11Centered"/>
            </w:pPr>
            <w:r w:rsidRPr="004F5699">
              <w:t>1.33</w:t>
            </w:r>
          </w:p>
        </w:tc>
        <w:tc>
          <w:tcPr>
            <w:tcW w:w="1916" w:type="dxa"/>
          </w:tcPr>
          <w:p w:rsidR="009E6DDF" w:rsidRPr="004F5699" w:rsidP="00E37BE8" w14:paraId="28EBB38A" w14:textId="77777777">
            <w:pPr>
              <w:pStyle w:val="Table11Centered"/>
            </w:pPr>
            <w:r w:rsidRPr="004F5699">
              <w:t>2</w:t>
            </w:r>
          </w:p>
        </w:tc>
      </w:tr>
      <w:tr w14:paraId="4D951F8B" w14:textId="77777777" w:rsidTr="006670D4">
        <w:tblPrEx>
          <w:tblW w:w="9440" w:type="dxa"/>
          <w:tblLook w:val="04A0"/>
        </w:tblPrEx>
        <w:trPr>
          <w:cantSplit/>
        </w:trPr>
        <w:tc>
          <w:tcPr>
            <w:tcW w:w="3505" w:type="dxa"/>
          </w:tcPr>
          <w:p w:rsidR="009E6DDF" w:rsidRPr="004F5699" w:rsidP="00E37BE8" w14:paraId="20F43FE4" w14:textId="77777777">
            <w:pPr>
              <w:pStyle w:val="Table11Basic"/>
            </w:pPr>
            <w:r w:rsidRPr="004F5699">
              <w:t># of Hours Computer Systems Analyst Review Measure Specifications (f)</w:t>
            </w:r>
          </w:p>
        </w:tc>
        <w:tc>
          <w:tcPr>
            <w:tcW w:w="1890" w:type="dxa"/>
          </w:tcPr>
          <w:p w:rsidR="009E6DDF" w:rsidRPr="004F5699" w:rsidP="00E37BE8" w14:paraId="5543D216" w14:textId="77777777">
            <w:pPr>
              <w:pStyle w:val="Table11Centered"/>
            </w:pPr>
            <w:r w:rsidRPr="004F5699">
              <w:t>0.66</w:t>
            </w:r>
          </w:p>
        </w:tc>
        <w:tc>
          <w:tcPr>
            <w:tcW w:w="2129" w:type="dxa"/>
          </w:tcPr>
          <w:p w:rsidR="009E6DDF" w:rsidRPr="004F5699" w:rsidP="00E37BE8" w14:paraId="25DF820A" w14:textId="77777777">
            <w:pPr>
              <w:pStyle w:val="Table11Centered"/>
            </w:pPr>
            <w:r w:rsidRPr="004F5699">
              <w:t>0.66</w:t>
            </w:r>
          </w:p>
        </w:tc>
        <w:tc>
          <w:tcPr>
            <w:tcW w:w="1916" w:type="dxa"/>
          </w:tcPr>
          <w:p w:rsidR="009E6DDF" w:rsidRPr="004F5699" w:rsidP="00E37BE8" w14:paraId="0A8C90A1" w14:textId="77777777">
            <w:pPr>
              <w:pStyle w:val="Table11Centered"/>
            </w:pPr>
            <w:r w:rsidRPr="004F5699">
              <w:t>0.66</w:t>
            </w:r>
          </w:p>
        </w:tc>
      </w:tr>
      <w:tr w14:paraId="0CB50CFA" w14:textId="77777777" w:rsidTr="006670D4">
        <w:tblPrEx>
          <w:tblW w:w="9440" w:type="dxa"/>
          <w:tblLook w:val="04A0"/>
        </w:tblPrEx>
        <w:trPr>
          <w:cantSplit/>
        </w:trPr>
        <w:tc>
          <w:tcPr>
            <w:tcW w:w="3505" w:type="dxa"/>
          </w:tcPr>
          <w:p w:rsidR="009E6DDF" w:rsidRPr="004F5699" w:rsidP="00E37BE8" w14:paraId="6CE7F408" w14:textId="77777777">
            <w:pPr>
              <w:pStyle w:val="Table11Basic"/>
            </w:pPr>
            <w:r w:rsidRPr="004F5699">
              <w:t xml:space="preserve"> # of Hours LPN Review Measure Specifications (g)</w:t>
            </w:r>
          </w:p>
        </w:tc>
        <w:tc>
          <w:tcPr>
            <w:tcW w:w="1890" w:type="dxa"/>
          </w:tcPr>
          <w:p w:rsidR="009E6DDF" w:rsidRPr="004F5699" w:rsidP="00E37BE8" w14:paraId="1989BD43" w14:textId="77777777">
            <w:pPr>
              <w:pStyle w:val="Table11Centered"/>
            </w:pPr>
            <w:r w:rsidRPr="004F5699">
              <w:t>0.66</w:t>
            </w:r>
          </w:p>
        </w:tc>
        <w:tc>
          <w:tcPr>
            <w:tcW w:w="2129" w:type="dxa"/>
          </w:tcPr>
          <w:p w:rsidR="009E6DDF" w:rsidRPr="004F5699" w:rsidP="00E37BE8" w14:paraId="542E6B9C" w14:textId="77777777">
            <w:pPr>
              <w:pStyle w:val="Table11Centered"/>
            </w:pPr>
            <w:r w:rsidRPr="004F5699">
              <w:t>0.66</w:t>
            </w:r>
          </w:p>
        </w:tc>
        <w:tc>
          <w:tcPr>
            <w:tcW w:w="1916" w:type="dxa"/>
          </w:tcPr>
          <w:p w:rsidR="009E6DDF" w:rsidRPr="004F5699" w:rsidP="00E37BE8" w14:paraId="13E32953" w14:textId="77777777">
            <w:pPr>
              <w:pStyle w:val="Table11Centered"/>
            </w:pPr>
            <w:r w:rsidRPr="004F5699">
              <w:t>0.66</w:t>
            </w:r>
          </w:p>
        </w:tc>
      </w:tr>
      <w:tr w14:paraId="38E456B4" w14:textId="77777777" w:rsidTr="006670D4">
        <w:tblPrEx>
          <w:tblW w:w="9440" w:type="dxa"/>
          <w:tblLook w:val="04A0"/>
        </w:tblPrEx>
        <w:trPr>
          <w:cantSplit/>
        </w:trPr>
        <w:tc>
          <w:tcPr>
            <w:tcW w:w="3505" w:type="dxa"/>
          </w:tcPr>
          <w:p w:rsidR="009E6DDF" w:rsidRPr="004F5699" w:rsidP="00E37BE8" w14:paraId="18BF92A9" w14:textId="77777777">
            <w:pPr>
              <w:pStyle w:val="Table11Basic"/>
            </w:pPr>
            <w:r w:rsidRPr="004F5699">
              <w:t xml:space="preserve"> # of Hours Billing Clerk Review Measure Specifications (h)</w:t>
            </w:r>
          </w:p>
        </w:tc>
        <w:tc>
          <w:tcPr>
            <w:tcW w:w="1890" w:type="dxa"/>
          </w:tcPr>
          <w:p w:rsidR="009E6DDF" w:rsidRPr="004F5699" w:rsidP="00E37BE8" w14:paraId="086A2DF2" w14:textId="77777777">
            <w:pPr>
              <w:pStyle w:val="Table11Centered"/>
            </w:pPr>
            <w:r w:rsidRPr="004F5699">
              <w:t>0.66</w:t>
            </w:r>
          </w:p>
        </w:tc>
        <w:tc>
          <w:tcPr>
            <w:tcW w:w="2129" w:type="dxa"/>
          </w:tcPr>
          <w:p w:rsidR="009E6DDF" w:rsidRPr="004F5699" w:rsidP="00E37BE8" w14:paraId="6C715A81" w14:textId="77777777">
            <w:pPr>
              <w:pStyle w:val="Table11Centered"/>
            </w:pPr>
            <w:r w:rsidRPr="004F5699">
              <w:t>0.66</w:t>
            </w:r>
          </w:p>
        </w:tc>
        <w:tc>
          <w:tcPr>
            <w:tcW w:w="1916" w:type="dxa"/>
          </w:tcPr>
          <w:p w:rsidR="009E6DDF" w:rsidRPr="004F5699" w:rsidP="00E37BE8" w14:paraId="53A9EC8A" w14:textId="77777777">
            <w:pPr>
              <w:pStyle w:val="Table11Centered"/>
            </w:pPr>
            <w:r w:rsidRPr="004F5699">
              <w:t>0.66</w:t>
            </w:r>
          </w:p>
        </w:tc>
      </w:tr>
      <w:tr w14:paraId="4AB51522" w14:textId="77777777" w:rsidTr="006670D4">
        <w:tblPrEx>
          <w:tblW w:w="9440" w:type="dxa"/>
          <w:tblLook w:val="04A0"/>
        </w:tblPrEx>
        <w:trPr>
          <w:cantSplit/>
        </w:trPr>
        <w:tc>
          <w:tcPr>
            <w:tcW w:w="3505" w:type="dxa"/>
          </w:tcPr>
          <w:p w:rsidR="009E6DDF" w:rsidRPr="004F5699" w:rsidP="00E37BE8" w14:paraId="2ADF18CD" w14:textId="77777777">
            <w:pPr>
              <w:pStyle w:val="Table11Basic"/>
            </w:pPr>
            <w:r w:rsidRPr="004F5699">
              <w:t># of Hours Physician Review Measure Specifications (i)</w:t>
            </w:r>
          </w:p>
        </w:tc>
        <w:tc>
          <w:tcPr>
            <w:tcW w:w="1890" w:type="dxa"/>
          </w:tcPr>
          <w:p w:rsidR="009E6DDF" w:rsidRPr="004F5699" w:rsidP="00E37BE8" w14:paraId="4BC7290B" w14:textId="77777777">
            <w:pPr>
              <w:pStyle w:val="Table11Centered"/>
            </w:pPr>
            <w:r w:rsidRPr="004F5699">
              <w:t>0.66</w:t>
            </w:r>
          </w:p>
        </w:tc>
        <w:tc>
          <w:tcPr>
            <w:tcW w:w="2129" w:type="dxa"/>
          </w:tcPr>
          <w:p w:rsidR="009E6DDF" w:rsidRPr="004F5699" w:rsidP="00E37BE8" w14:paraId="327E6A28" w14:textId="77777777">
            <w:pPr>
              <w:pStyle w:val="Table11Centered"/>
            </w:pPr>
            <w:r w:rsidRPr="004F5699">
              <w:t>0.66</w:t>
            </w:r>
          </w:p>
        </w:tc>
        <w:tc>
          <w:tcPr>
            <w:tcW w:w="1916" w:type="dxa"/>
          </w:tcPr>
          <w:p w:rsidR="009E6DDF" w:rsidRPr="004F5699" w:rsidP="00E37BE8" w14:paraId="36BB4E3C" w14:textId="77777777">
            <w:pPr>
              <w:pStyle w:val="Table11Centered"/>
            </w:pPr>
            <w:r w:rsidRPr="004F5699">
              <w:t>0.66</w:t>
            </w:r>
          </w:p>
        </w:tc>
      </w:tr>
      <w:tr w14:paraId="01C57281" w14:textId="77777777" w:rsidTr="006670D4">
        <w:tblPrEx>
          <w:tblW w:w="9440" w:type="dxa"/>
          <w:tblLook w:val="04A0"/>
        </w:tblPrEx>
        <w:trPr>
          <w:cantSplit/>
        </w:trPr>
        <w:tc>
          <w:tcPr>
            <w:tcW w:w="3505" w:type="dxa"/>
          </w:tcPr>
          <w:p w:rsidR="009E6DDF" w:rsidRPr="004F5699" w:rsidP="00E37BE8" w14:paraId="1FF8A22E" w14:textId="77777777">
            <w:pPr>
              <w:pStyle w:val="Table11Basic"/>
            </w:pPr>
            <w:r w:rsidRPr="004F5699">
              <w:t>Annual Hours per Clinician Submitting Data for MVPs (j) = (d) + (e) + (f) + (g) + (h) + (i)</w:t>
            </w:r>
          </w:p>
        </w:tc>
        <w:tc>
          <w:tcPr>
            <w:tcW w:w="1890" w:type="dxa"/>
          </w:tcPr>
          <w:p w:rsidR="009E6DDF" w:rsidRPr="004F5699" w:rsidP="00E37BE8" w14:paraId="2072769C" w14:textId="77777777">
            <w:pPr>
              <w:pStyle w:val="Table11Centered"/>
            </w:pPr>
            <w:r w:rsidRPr="004F5699">
              <w:t>5.3</w:t>
            </w:r>
          </w:p>
        </w:tc>
        <w:tc>
          <w:tcPr>
            <w:tcW w:w="2129" w:type="dxa"/>
          </w:tcPr>
          <w:p w:rsidR="009E6DDF" w:rsidRPr="004F5699" w:rsidP="00E37BE8" w14:paraId="623D057A" w14:textId="77777777">
            <w:pPr>
              <w:pStyle w:val="Table11Centered"/>
            </w:pPr>
            <w:r w:rsidRPr="004F5699">
              <w:t>5.97</w:t>
            </w:r>
          </w:p>
        </w:tc>
        <w:tc>
          <w:tcPr>
            <w:tcW w:w="1916" w:type="dxa"/>
          </w:tcPr>
          <w:p w:rsidR="009E6DDF" w:rsidRPr="004F5699" w:rsidP="00E37BE8" w14:paraId="5A080C1C" w14:textId="77777777">
            <w:pPr>
              <w:pStyle w:val="Table11Centered"/>
            </w:pPr>
            <w:r w:rsidRPr="004F5699">
              <w:t>9.44</w:t>
            </w:r>
          </w:p>
        </w:tc>
      </w:tr>
      <w:tr w14:paraId="44E9E6FD" w14:textId="77777777" w:rsidTr="006670D4">
        <w:tblPrEx>
          <w:tblW w:w="9440" w:type="dxa"/>
          <w:tblLook w:val="04A0"/>
        </w:tblPrEx>
        <w:trPr>
          <w:cantSplit/>
        </w:trPr>
        <w:tc>
          <w:tcPr>
            <w:tcW w:w="3505" w:type="dxa"/>
            <w:shd w:val="clear" w:color="auto" w:fill="E7E6E6" w:themeFill="background2"/>
          </w:tcPr>
          <w:p w:rsidR="009E6DDF" w:rsidRPr="004F5699" w:rsidP="00E37BE8" w14:paraId="0EC67AA9" w14:textId="28A8132D">
            <w:pPr>
              <w:pStyle w:val="Table11Basic"/>
              <w:rPr>
                <w:b/>
              </w:rPr>
            </w:pPr>
            <w:r w:rsidRPr="004F5699">
              <w:rPr>
                <w:b/>
              </w:rPr>
              <w:t xml:space="preserve">Total Annual Hours (k) = (c) </w:t>
            </w:r>
            <w:r w:rsidR="00561B40">
              <w:rPr>
                <w:b/>
                <w:bCs/>
                <w:color w:val="000000" w:themeColor="text1"/>
              </w:rPr>
              <w:t>[</w:t>
            </w:r>
            <w:r w:rsidRPr="00DC30E2" w:rsidR="00DC30E2">
              <w:rPr>
                <w:b/>
                <w:bCs/>
              </w:rPr>
              <w:t>×</w:t>
            </w:r>
            <w:r w:rsidR="00561B40">
              <w:rPr>
                <w:b/>
                <w:bCs/>
                <w:color w:val="000000" w:themeColor="text1"/>
              </w:rPr>
              <w:t>]</w:t>
            </w:r>
            <w:r w:rsidRPr="004F5699">
              <w:rPr>
                <w:b/>
              </w:rPr>
              <w:t xml:space="preserve"> (j)</w:t>
            </w:r>
          </w:p>
        </w:tc>
        <w:tc>
          <w:tcPr>
            <w:tcW w:w="1890" w:type="dxa"/>
            <w:shd w:val="clear" w:color="auto" w:fill="E7E6E6" w:themeFill="background2"/>
          </w:tcPr>
          <w:p w:rsidR="009E6DDF" w:rsidRPr="004F5699" w:rsidP="00E37BE8" w14:paraId="6F5C56EC" w14:textId="77777777">
            <w:pPr>
              <w:pStyle w:val="Table11Centered"/>
            </w:pPr>
            <w:r w:rsidRPr="004F5699">
              <w:rPr>
                <w:b/>
              </w:rPr>
              <w:t>16,059</w:t>
            </w:r>
          </w:p>
        </w:tc>
        <w:tc>
          <w:tcPr>
            <w:tcW w:w="2129" w:type="dxa"/>
            <w:shd w:val="clear" w:color="auto" w:fill="E7E6E6" w:themeFill="background2"/>
          </w:tcPr>
          <w:p w:rsidR="009E6DDF" w:rsidRPr="004F5699" w:rsidP="00E37BE8" w14:paraId="447F8F0D" w14:textId="77777777">
            <w:pPr>
              <w:pStyle w:val="Table11Centered"/>
            </w:pPr>
            <w:r w:rsidRPr="004F5699">
              <w:rPr>
                <w:b/>
              </w:rPr>
              <w:t>11,343</w:t>
            </w:r>
          </w:p>
        </w:tc>
        <w:tc>
          <w:tcPr>
            <w:tcW w:w="1916" w:type="dxa"/>
            <w:shd w:val="clear" w:color="auto" w:fill="E7E6E6" w:themeFill="background2"/>
          </w:tcPr>
          <w:p w:rsidR="009E6DDF" w:rsidRPr="004F5699" w:rsidP="00E37BE8" w14:paraId="6C9FAE2D" w14:textId="77777777">
            <w:pPr>
              <w:pStyle w:val="Table11Centered"/>
            </w:pPr>
            <w:r w:rsidRPr="004F5699">
              <w:rPr>
                <w:b/>
              </w:rPr>
              <w:t>12,791</w:t>
            </w:r>
          </w:p>
        </w:tc>
      </w:tr>
      <w:tr w14:paraId="5B554836" w14:textId="77777777" w:rsidTr="006670D4">
        <w:tblPrEx>
          <w:tblW w:w="9440" w:type="dxa"/>
          <w:tblLook w:val="04A0"/>
        </w:tblPrEx>
        <w:trPr>
          <w:cantSplit/>
        </w:trPr>
        <w:tc>
          <w:tcPr>
            <w:tcW w:w="3505" w:type="dxa"/>
          </w:tcPr>
          <w:p w:rsidR="009E6DDF" w:rsidRPr="004F5699" w:rsidP="00E37BE8" w14:paraId="5C4F4E73" w14:textId="273661CF">
            <w:pPr>
              <w:pStyle w:val="Table11Basic"/>
            </w:pPr>
            <w:r w:rsidRPr="004F5699">
              <w:t xml:space="preserve">Cost to Submit Quality Data </w:t>
            </w:r>
            <w:r w:rsidRPr="004F5699" w:rsidR="00A87331">
              <w:t>(</w:t>
            </w:r>
            <w:r w:rsidR="00A87331">
              <w:t>at</w:t>
            </w:r>
            <w:r w:rsidRPr="004F5699" w:rsidR="00A87331">
              <w:t xml:space="preserve"> </w:t>
            </w:r>
            <w:r w:rsidRPr="004F5699">
              <w:t xml:space="preserve">Computer Systems Analyst’s Labor Rate of $106.54/hr </w:t>
            </w:r>
            <w:r w:rsidR="00A87331">
              <w:t>at</w:t>
            </w:r>
            <w:r w:rsidRPr="004F5699" w:rsidR="00A87331">
              <w:t xml:space="preserve"> </w:t>
            </w:r>
            <w:r w:rsidR="00D41431">
              <w:t>V</w:t>
            </w:r>
            <w:r w:rsidRPr="004F5699">
              <w:t xml:space="preserve">arying </w:t>
            </w:r>
            <w:r w:rsidR="00D41431">
              <w:t>T</w:t>
            </w:r>
            <w:r w:rsidRPr="004F5699">
              <w:t>imes) (</w:t>
            </w:r>
            <w:r w:rsidR="00BA6576">
              <w:t>l</w:t>
            </w:r>
            <w:r w:rsidRPr="004F5699">
              <w:t>)</w:t>
            </w:r>
          </w:p>
        </w:tc>
        <w:tc>
          <w:tcPr>
            <w:tcW w:w="1890" w:type="dxa"/>
          </w:tcPr>
          <w:p w:rsidR="009E6DDF" w:rsidRPr="004F5699" w:rsidP="00E37BE8" w14:paraId="69818A1C" w14:textId="77777777">
            <w:pPr>
              <w:pStyle w:val="Table11Centered"/>
            </w:pPr>
            <w:r w:rsidRPr="004F5699">
              <w:t xml:space="preserve">$141.70 </w:t>
            </w:r>
          </w:p>
        </w:tc>
        <w:tc>
          <w:tcPr>
            <w:tcW w:w="2129" w:type="dxa"/>
          </w:tcPr>
          <w:p w:rsidR="009E6DDF" w:rsidRPr="004F5699" w:rsidP="00E37BE8" w14:paraId="299C4970" w14:textId="77777777">
            <w:pPr>
              <w:pStyle w:val="Table11Centered"/>
            </w:pPr>
            <w:r w:rsidRPr="004F5699">
              <w:t xml:space="preserve">$213.08 </w:t>
            </w:r>
          </w:p>
        </w:tc>
        <w:tc>
          <w:tcPr>
            <w:tcW w:w="1916" w:type="dxa"/>
          </w:tcPr>
          <w:p w:rsidR="009E6DDF" w:rsidRPr="004F5699" w:rsidP="00E37BE8" w14:paraId="6BBA0B6D" w14:textId="77777777">
            <w:pPr>
              <w:pStyle w:val="Table11Centered"/>
            </w:pPr>
            <w:r w:rsidRPr="004F5699">
              <w:t xml:space="preserve">$511.39 </w:t>
            </w:r>
          </w:p>
        </w:tc>
      </w:tr>
      <w:tr w14:paraId="260CA588" w14:textId="77777777" w:rsidTr="006670D4">
        <w:tblPrEx>
          <w:tblW w:w="9440" w:type="dxa"/>
          <w:tblLook w:val="04A0"/>
        </w:tblPrEx>
        <w:trPr>
          <w:cantSplit/>
        </w:trPr>
        <w:tc>
          <w:tcPr>
            <w:tcW w:w="3505" w:type="dxa"/>
          </w:tcPr>
          <w:p w:rsidR="009E6DDF" w:rsidRPr="004F5699" w:rsidP="00E37BE8" w14:paraId="71C023F2" w14:textId="3DE42438">
            <w:pPr>
              <w:pStyle w:val="Table11Basic"/>
            </w:pPr>
            <w:r w:rsidRPr="004F5699">
              <w:t>Cost to Review Measure Specifications (</w:t>
            </w:r>
            <w:r w:rsidR="00A87331">
              <w:t>at</w:t>
            </w:r>
            <w:r w:rsidRPr="004F5699">
              <w:t xml:space="preserve"> Medical and Health Services Manager's Labor Rate of $129.28/hr) </w:t>
            </w:r>
            <w:r w:rsidR="00A87331">
              <w:t xml:space="preserve">at </w:t>
            </w:r>
            <w:r w:rsidR="00982818">
              <w:t>V</w:t>
            </w:r>
            <w:r w:rsidRPr="004F5699">
              <w:t xml:space="preserve">arying </w:t>
            </w:r>
            <w:r w:rsidR="00982818">
              <w:t>T</w:t>
            </w:r>
            <w:r w:rsidRPr="004F5699">
              <w:t>imes (</w:t>
            </w:r>
            <w:r w:rsidR="004E730C">
              <w:t>m</w:t>
            </w:r>
            <w:r w:rsidRPr="004F5699">
              <w:t>)</w:t>
            </w:r>
          </w:p>
        </w:tc>
        <w:tc>
          <w:tcPr>
            <w:tcW w:w="1890" w:type="dxa"/>
          </w:tcPr>
          <w:p w:rsidR="009E6DDF" w:rsidRPr="004F5699" w:rsidP="00E37BE8" w14:paraId="732FDD11" w14:textId="77777777">
            <w:pPr>
              <w:pStyle w:val="Table11Centered"/>
            </w:pPr>
            <w:r w:rsidRPr="004F5699">
              <w:t>$171.94</w:t>
            </w:r>
          </w:p>
        </w:tc>
        <w:tc>
          <w:tcPr>
            <w:tcW w:w="2129" w:type="dxa"/>
          </w:tcPr>
          <w:p w:rsidR="009E6DDF" w:rsidRPr="004F5699" w:rsidP="00E37BE8" w14:paraId="0E40D395" w14:textId="77777777">
            <w:pPr>
              <w:pStyle w:val="Table11Centered"/>
            </w:pPr>
            <w:r w:rsidRPr="004F5699">
              <w:t xml:space="preserve">$171.94 </w:t>
            </w:r>
          </w:p>
        </w:tc>
        <w:tc>
          <w:tcPr>
            <w:tcW w:w="1916" w:type="dxa"/>
          </w:tcPr>
          <w:p w:rsidR="009E6DDF" w:rsidRPr="004F5699" w:rsidP="00E37BE8" w14:paraId="6801BF16" w14:textId="77777777">
            <w:pPr>
              <w:pStyle w:val="Table11Centered"/>
            </w:pPr>
            <w:r w:rsidRPr="004F5699">
              <w:t xml:space="preserve">$258.56 </w:t>
            </w:r>
          </w:p>
        </w:tc>
      </w:tr>
      <w:tr w14:paraId="3237275D" w14:textId="77777777" w:rsidTr="006670D4">
        <w:tblPrEx>
          <w:tblW w:w="9440" w:type="dxa"/>
          <w:tblLook w:val="04A0"/>
        </w:tblPrEx>
        <w:trPr>
          <w:cantSplit/>
        </w:trPr>
        <w:tc>
          <w:tcPr>
            <w:tcW w:w="3505" w:type="dxa"/>
          </w:tcPr>
          <w:p w:rsidR="009E6DDF" w:rsidRPr="004F5699" w:rsidP="00E37BE8" w14:paraId="4E371385" w14:textId="744E557A">
            <w:pPr>
              <w:pStyle w:val="Table11Basic"/>
            </w:pPr>
            <w:r w:rsidRPr="004F5699">
              <w:t>Cost to Review Measure Specifications (</w:t>
            </w:r>
            <w:r w:rsidR="00A87331">
              <w:t>at</w:t>
            </w:r>
            <w:r w:rsidRPr="004F5699">
              <w:t xml:space="preserve"> Computer Systems Analyst’s Labor Rate of $106.54/hr) (</w:t>
            </w:r>
            <w:r w:rsidR="004E730C">
              <w:t>n</w:t>
            </w:r>
            <w:r w:rsidRPr="004F5699">
              <w:t>)</w:t>
            </w:r>
          </w:p>
        </w:tc>
        <w:tc>
          <w:tcPr>
            <w:tcW w:w="1890" w:type="dxa"/>
          </w:tcPr>
          <w:p w:rsidR="009E6DDF" w:rsidRPr="004F5699" w:rsidP="00E37BE8" w14:paraId="31F4A93D" w14:textId="77777777">
            <w:pPr>
              <w:pStyle w:val="Table11Centered"/>
            </w:pPr>
            <w:r w:rsidRPr="004F5699">
              <w:t xml:space="preserve">$70.32 </w:t>
            </w:r>
          </w:p>
        </w:tc>
        <w:tc>
          <w:tcPr>
            <w:tcW w:w="2129" w:type="dxa"/>
          </w:tcPr>
          <w:p w:rsidR="009E6DDF" w:rsidRPr="004F5699" w:rsidP="00E37BE8" w14:paraId="120D4D6C" w14:textId="77777777">
            <w:pPr>
              <w:pStyle w:val="Table11Centered"/>
            </w:pPr>
            <w:r w:rsidRPr="004F5699">
              <w:t xml:space="preserve">$70.32 </w:t>
            </w:r>
          </w:p>
        </w:tc>
        <w:tc>
          <w:tcPr>
            <w:tcW w:w="1916" w:type="dxa"/>
          </w:tcPr>
          <w:p w:rsidR="009E6DDF" w:rsidRPr="004F5699" w:rsidP="00E37BE8" w14:paraId="235FEDEB" w14:textId="77777777">
            <w:pPr>
              <w:pStyle w:val="Table11Centered"/>
            </w:pPr>
            <w:r w:rsidRPr="004F5699">
              <w:t xml:space="preserve">$70.32 </w:t>
            </w:r>
          </w:p>
        </w:tc>
      </w:tr>
      <w:tr w14:paraId="04F3C28E" w14:textId="77777777" w:rsidTr="006670D4">
        <w:tblPrEx>
          <w:tblW w:w="9440" w:type="dxa"/>
          <w:tblLook w:val="04A0"/>
        </w:tblPrEx>
        <w:trPr>
          <w:cantSplit/>
        </w:trPr>
        <w:tc>
          <w:tcPr>
            <w:tcW w:w="3505" w:type="dxa"/>
          </w:tcPr>
          <w:p w:rsidR="009E6DDF" w:rsidRPr="004F5699" w:rsidP="00E37BE8" w14:paraId="08EDF035" w14:textId="7C32210D">
            <w:pPr>
              <w:pStyle w:val="Table11Basic"/>
            </w:pPr>
            <w:r w:rsidRPr="004F5699">
              <w:t>Cost to Review Measure Specifications (</w:t>
            </w:r>
            <w:r w:rsidR="00A87331">
              <w:t>at</w:t>
            </w:r>
            <w:r w:rsidRPr="004F5699">
              <w:t xml:space="preserve"> LPN's Labor Rate of $58.46/hr) (</w:t>
            </w:r>
            <w:r w:rsidR="004E730C">
              <w:t>o</w:t>
            </w:r>
            <w:r w:rsidRPr="004F5699">
              <w:t>)</w:t>
            </w:r>
          </w:p>
        </w:tc>
        <w:tc>
          <w:tcPr>
            <w:tcW w:w="1890" w:type="dxa"/>
          </w:tcPr>
          <w:p w:rsidR="009E6DDF" w:rsidRPr="004F5699" w:rsidP="00E37BE8" w14:paraId="2B24D76E" w14:textId="77777777">
            <w:pPr>
              <w:pStyle w:val="Table11Centered"/>
            </w:pPr>
            <w:r w:rsidRPr="004F5699">
              <w:t xml:space="preserve">$38.58 </w:t>
            </w:r>
          </w:p>
        </w:tc>
        <w:tc>
          <w:tcPr>
            <w:tcW w:w="2129" w:type="dxa"/>
          </w:tcPr>
          <w:p w:rsidR="009E6DDF" w:rsidRPr="004F5699" w:rsidP="00E37BE8" w14:paraId="3F6956F3" w14:textId="77777777">
            <w:pPr>
              <w:pStyle w:val="Table11Centered"/>
            </w:pPr>
            <w:r w:rsidRPr="004F5699">
              <w:t xml:space="preserve">$38.58 </w:t>
            </w:r>
          </w:p>
        </w:tc>
        <w:tc>
          <w:tcPr>
            <w:tcW w:w="1916" w:type="dxa"/>
          </w:tcPr>
          <w:p w:rsidR="009E6DDF" w:rsidRPr="004F5699" w:rsidP="00E37BE8" w14:paraId="473986C3" w14:textId="77777777">
            <w:pPr>
              <w:pStyle w:val="Table11Centered"/>
            </w:pPr>
            <w:r w:rsidRPr="004F5699">
              <w:t xml:space="preserve">$38.58 </w:t>
            </w:r>
          </w:p>
        </w:tc>
      </w:tr>
      <w:tr w14:paraId="2AC5A6C1" w14:textId="77777777" w:rsidTr="006670D4">
        <w:tblPrEx>
          <w:tblW w:w="9440" w:type="dxa"/>
          <w:tblLook w:val="04A0"/>
        </w:tblPrEx>
        <w:trPr>
          <w:cantSplit/>
        </w:trPr>
        <w:tc>
          <w:tcPr>
            <w:tcW w:w="3505" w:type="dxa"/>
          </w:tcPr>
          <w:p w:rsidR="009E6DDF" w:rsidRPr="004F5699" w:rsidP="00E37BE8" w14:paraId="167B81A7" w14:textId="2A2AFA1E">
            <w:pPr>
              <w:pStyle w:val="Table11Basic"/>
            </w:pPr>
            <w:r w:rsidRPr="004F5699">
              <w:t>Cost to Review Measure Specifications (</w:t>
            </w:r>
            <w:r w:rsidR="00A87331">
              <w:t>at</w:t>
            </w:r>
            <w:r w:rsidRPr="004F5699">
              <w:t xml:space="preserve"> Billing Clerk’s Labor Rate of $45.32/hr) (</w:t>
            </w:r>
            <w:r w:rsidR="004E730C">
              <w:t>p</w:t>
            </w:r>
            <w:r w:rsidRPr="004F5699">
              <w:t>)</w:t>
            </w:r>
          </w:p>
        </w:tc>
        <w:tc>
          <w:tcPr>
            <w:tcW w:w="1890" w:type="dxa"/>
          </w:tcPr>
          <w:p w:rsidR="009E6DDF" w:rsidRPr="004F5699" w:rsidP="00E37BE8" w14:paraId="1B29A2C3" w14:textId="77777777">
            <w:pPr>
              <w:pStyle w:val="Table11Centered"/>
            </w:pPr>
            <w:r w:rsidRPr="004F5699">
              <w:t xml:space="preserve">$29.91 </w:t>
            </w:r>
          </w:p>
        </w:tc>
        <w:tc>
          <w:tcPr>
            <w:tcW w:w="2129" w:type="dxa"/>
          </w:tcPr>
          <w:p w:rsidR="009E6DDF" w:rsidRPr="004F5699" w:rsidP="00E37BE8" w14:paraId="2755C412" w14:textId="77777777">
            <w:pPr>
              <w:pStyle w:val="Table11Centered"/>
            </w:pPr>
            <w:r w:rsidRPr="004F5699">
              <w:t xml:space="preserve">$29.91 </w:t>
            </w:r>
          </w:p>
        </w:tc>
        <w:tc>
          <w:tcPr>
            <w:tcW w:w="1916" w:type="dxa"/>
          </w:tcPr>
          <w:p w:rsidR="009E6DDF" w:rsidRPr="004F5699" w:rsidP="00E37BE8" w14:paraId="204FA6FB" w14:textId="77777777">
            <w:pPr>
              <w:pStyle w:val="Table11Centered"/>
            </w:pPr>
            <w:r w:rsidRPr="004F5699">
              <w:t xml:space="preserve">$29.91 </w:t>
            </w:r>
          </w:p>
        </w:tc>
      </w:tr>
      <w:tr w14:paraId="501C973F" w14:textId="77777777" w:rsidTr="006670D4">
        <w:tblPrEx>
          <w:tblW w:w="9440" w:type="dxa"/>
          <w:tblLook w:val="04A0"/>
        </w:tblPrEx>
        <w:trPr>
          <w:cantSplit/>
        </w:trPr>
        <w:tc>
          <w:tcPr>
            <w:tcW w:w="3505" w:type="dxa"/>
          </w:tcPr>
          <w:p w:rsidR="009E6DDF" w:rsidRPr="004F5699" w:rsidP="00E37BE8" w14:paraId="7B9AFD19" w14:textId="4DCA1741">
            <w:pPr>
              <w:pStyle w:val="Table11Basic"/>
            </w:pPr>
            <w:r w:rsidRPr="004F5699">
              <w:t>Cost to Review Measure Specifications (</w:t>
            </w:r>
            <w:r w:rsidR="00A87331">
              <w:t>at</w:t>
            </w:r>
            <w:r w:rsidRPr="004F5699">
              <w:t xml:space="preserve"> Physician’s Labor Rate of $291.64/hr) (</w:t>
            </w:r>
            <w:r w:rsidR="004E730C">
              <w:t>q</w:t>
            </w:r>
            <w:r w:rsidRPr="004F5699">
              <w:t>)</w:t>
            </w:r>
          </w:p>
        </w:tc>
        <w:tc>
          <w:tcPr>
            <w:tcW w:w="1890" w:type="dxa"/>
          </w:tcPr>
          <w:p w:rsidR="009E6DDF" w:rsidRPr="004F5699" w:rsidP="00E37BE8" w14:paraId="03EC90C3" w14:textId="77777777">
            <w:pPr>
              <w:pStyle w:val="Table11Centered"/>
            </w:pPr>
            <w:r w:rsidRPr="004F5699">
              <w:t xml:space="preserve">$192.48 </w:t>
            </w:r>
          </w:p>
        </w:tc>
        <w:tc>
          <w:tcPr>
            <w:tcW w:w="2129" w:type="dxa"/>
          </w:tcPr>
          <w:p w:rsidR="009E6DDF" w:rsidRPr="004F5699" w:rsidP="00E37BE8" w14:paraId="257A32E0" w14:textId="77777777">
            <w:pPr>
              <w:pStyle w:val="Table11Centered"/>
            </w:pPr>
            <w:r w:rsidRPr="004F5699">
              <w:t xml:space="preserve">$192.48 </w:t>
            </w:r>
          </w:p>
        </w:tc>
        <w:tc>
          <w:tcPr>
            <w:tcW w:w="1916" w:type="dxa"/>
          </w:tcPr>
          <w:p w:rsidR="009E6DDF" w:rsidRPr="004F5699" w:rsidP="00E37BE8" w14:paraId="5BFE9164" w14:textId="77777777">
            <w:pPr>
              <w:pStyle w:val="Table11Centered"/>
            </w:pPr>
            <w:r w:rsidRPr="004F5699">
              <w:t xml:space="preserve">$192.48 </w:t>
            </w:r>
          </w:p>
        </w:tc>
      </w:tr>
      <w:tr w14:paraId="43A64C80" w14:textId="77777777" w:rsidTr="006670D4">
        <w:tblPrEx>
          <w:tblW w:w="9440" w:type="dxa"/>
          <w:tblLook w:val="04A0"/>
        </w:tblPrEx>
        <w:trPr>
          <w:cantSplit/>
        </w:trPr>
        <w:tc>
          <w:tcPr>
            <w:tcW w:w="3505" w:type="dxa"/>
          </w:tcPr>
          <w:p w:rsidR="009E6DDF" w:rsidRPr="004F5699" w:rsidP="00E37BE8" w14:paraId="73E337A1" w14:textId="63603BC5">
            <w:pPr>
              <w:pStyle w:val="Table11Basic"/>
            </w:pPr>
            <w:r w:rsidRPr="004F5699">
              <w:t>Total Annual Cost Per Submission (</w:t>
            </w:r>
            <w:r w:rsidR="004E730C">
              <w:t>r</w:t>
            </w:r>
            <w:r w:rsidRPr="004F5699">
              <w:t>) = (l) + (m) + (n) + (o) + (p)</w:t>
            </w:r>
            <w:r w:rsidR="008458A1">
              <w:t xml:space="preserve"> + (q)</w:t>
            </w:r>
          </w:p>
        </w:tc>
        <w:tc>
          <w:tcPr>
            <w:tcW w:w="1890" w:type="dxa"/>
          </w:tcPr>
          <w:p w:rsidR="009E6DDF" w:rsidRPr="004F5699" w:rsidP="00E37BE8" w14:paraId="6EDA2355" w14:textId="77777777">
            <w:pPr>
              <w:pStyle w:val="Table11Centered"/>
            </w:pPr>
            <w:r w:rsidRPr="004F5699">
              <w:t xml:space="preserve">$644.93 </w:t>
            </w:r>
          </w:p>
        </w:tc>
        <w:tc>
          <w:tcPr>
            <w:tcW w:w="2129" w:type="dxa"/>
          </w:tcPr>
          <w:p w:rsidR="009E6DDF" w:rsidRPr="004F5699" w:rsidP="00E37BE8" w14:paraId="418A59DB" w14:textId="77777777">
            <w:pPr>
              <w:pStyle w:val="Table11Centered"/>
            </w:pPr>
            <w:r w:rsidRPr="004F5699">
              <w:t xml:space="preserve">$716.31 </w:t>
            </w:r>
          </w:p>
        </w:tc>
        <w:tc>
          <w:tcPr>
            <w:tcW w:w="1916" w:type="dxa"/>
          </w:tcPr>
          <w:p w:rsidR="009E6DDF" w:rsidRPr="004F5699" w:rsidP="00E37BE8" w14:paraId="73A608A3" w14:textId="77777777">
            <w:pPr>
              <w:pStyle w:val="Table11Centered"/>
            </w:pPr>
            <w:r w:rsidRPr="00C21F50">
              <w:t>$1,101.24</w:t>
            </w:r>
          </w:p>
        </w:tc>
      </w:tr>
      <w:tr w14:paraId="37448333" w14:textId="77777777" w:rsidTr="006670D4">
        <w:tblPrEx>
          <w:tblW w:w="9440" w:type="dxa"/>
          <w:tblLook w:val="04A0"/>
        </w:tblPrEx>
        <w:trPr>
          <w:cantSplit/>
        </w:trPr>
        <w:tc>
          <w:tcPr>
            <w:tcW w:w="3505" w:type="dxa"/>
            <w:shd w:val="clear" w:color="auto" w:fill="E7E6E6" w:themeFill="background2"/>
          </w:tcPr>
          <w:p w:rsidR="009E6DDF" w:rsidRPr="004F5699" w:rsidP="00E37BE8" w14:paraId="5DD1AAEE" w14:textId="5CEB07F5">
            <w:pPr>
              <w:pStyle w:val="Table11Basic"/>
            </w:pPr>
            <w:r w:rsidRPr="004F5699">
              <w:rPr>
                <w:b/>
                <w:bCs/>
              </w:rPr>
              <w:t xml:space="preserve">Total </w:t>
            </w:r>
            <w:r w:rsidR="007A3689">
              <w:rPr>
                <w:b/>
                <w:bCs/>
              </w:rPr>
              <w:t xml:space="preserve">Annual </w:t>
            </w:r>
            <w:r w:rsidRPr="004F5699">
              <w:rPr>
                <w:b/>
                <w:bCs/>
              </w:rPr>
              <w:t>Cost (</w:t>
            </w:r>
            <w:r w:rsidR="004E730C">
              <w:rPr>
                <w:b/>
                <w:bCs/>
              </w:rPr>
              <w:t>s</w:t>
            </w:r>
            <w:r w:rsidRPr="004F5699">
              <w:rPr>
                <w:b/>
                <w:bCs/>
              </w:rPr>
              <w:t xml:space="preserve">) = (c) </w:t>
            </w:r>
            <w:r w:rsidR="00561B40">
              <w:rPr>
                <w:b/>
                <w:bCs/>
                <w:color w:val="000000" w:themeColor="text1"/>
              </w:rPr>
              <w:t>[</w:t>
            </w:r>
            <w:r w:rsidRPr="00DC30E2" w:rsidR="00DC30E2">
              <w:rPr>
                <w:b/>
                <w:bCs/>
              </w:rPr>
              <w:t>×</w:t>
            </w:r>
            <w:r w:rsidR="00561B40">
              <w:rPr>
                <w:b/>
                <w:bCs/>
                <w:color w:val="000000" w:themeColor="text1"/>
              </w:rPr>
              <w:t>]</w:t>
            </w:r>
            <w:r w:rsidRPr="004F5699">
              <w:rPr>
                <w:b/>
                <w:bCs/>
              </w:rPr>
              <w:t xml:space="preserve"> (</w:t>
            </w:r>
            <w:r w:rsidR="006820FB">
              <w:rPr>
                <w:b/>
                <w:bCs/>
              </w:rPr>
              <w:t>r</w:t>
            </w:r>
            <w:r w:rsidRPr="004F5699">
              <w:rPr>
                <w:b/>
                <w:bCs/>
              </w:rPr>
              <w:t>)</w:t>
            </w:r>
          </w:p>
        </w:tc>
        <w:tc>
          <w:tcPr>
            <w:tcW w:w="1890" w:type="dxa"/>
            <w:shd w:val="clear" w:color="auto" w:fill="E7E6E6" w:themeFill="background2"/>
          </w:tcPr>
          <w:p w:rsidR="009E6DDF" w:rsidRPr="004F5699" w:rsidP="00E37BE8" w14:paraId="4F9763E5" w14:textId="77777777">
            <w:pPr>
              <w:pStyle w:val="Table11Centered"/>
            </w:pPr>
            <w:r w:rsidRPr="004F5699">
              <w:rPr>
                <w:b/>
              </w:rPr>
              <w:t xml:space="preserve">$1,954,138 </w:t>
            </w:r>
          </w:p>
        </w:tc>
        <w:tc>
          <w:tcPr>
            <w:tcW w:w="2129" w:type="dxa"/>
            <w:shd w:val="clear" w:color="auto" w:fill="E7E6E6" w:themeFill="background2"/>
          </w:tcPr>
          <w:p w:rsidR="009E6DDF" w:rsidRPr="004F5699" w:rsidP="00E37BE8" w14:paraId="7DE0368F" w14:textId="77777777">
            <w:pPr>
              <w:pStyle w:val="Table11Centered"/>
            </w:pPr>
            <w:r w:rsidRPr="004F5699">
              <w:rPr>
                <w:b/>
              </w:rPr>
              <w:t xml:space="preserve">$1,360,989 </w:t>
            </w:r>
          </w:p>
        </w:tc>
        <w:tc>
          <w:tcPr>
            <w:tcW w:w="1916" w:type="dxa"/>
            <w:shd w:val="clear" w:color="auto" w:fill="E7E6E6" w:themeFill="background2"/>
          </w:tcPr>
          <w:p w:rsidR="009E6DDF" w:rsidRPr="004F5699" w:rsidP="00E37BE8" w14:paraId="1D99FB25" w14:textId="77777777">
            <w:pPr>
              <w:pStyle w:val="Table11Centered"/>
            </w:pPr>
            <w:r w:rsidRPr="00D42DF6">
              <w:rPr>
                <w:b/>
              </w:rPr>
              <w:t>$1,492,180</w:t>
            </w:r>
            <w:r w:rsidRPr="004F5699">
              <w:rPr>
                <w:b/>
              </w:rPr>
              <w:t xml:space="preserve"> </w:t>
            </w:r>
          </w:p>
        </w:tc>
      </w:tr>
    </w:tbl>
    <w:p w:rsidR="006B22A9" w:rsidRPr="00C45D11" w:rsidP="006E6DEB" w14:paraId="438D6AB8" w14:textId="7EF984E6">
      <w:pPr>
        <w:pStyle w:val="Heading4"/>
      </w:pPr>
      <w:r>
        <w:t>i.</w:t>
      </w:r>
      <w:r>
        <w:tab/>
      </w:r>
      <w:r w:rsidRPr="00C45D11">
        <w:t>Burden Estimate for the Nomination of Quality Measures</w:t>
      </w:r>
    </w:p>
    <w:p w:rsidR="004B1E43" w:rsidP="00E37BE8" w14:paraId="1F83A640" w14:textId="30CAA5CA">
      <w:pPr>
        <w:pStyle w:val="BodyText-PostHead"/>
      </w:pPr>
      <w:r w:rsidRPr="008463EE">
        <w:t xml:space="preserve">Quality measures are selected annually through a call for quality measures under consideration, with a final list of quality measures being published in the Federal Register by November 1 of each year. </w:t>
      </w:r>
      <w:r w:rsidRPr="004B1E43">
        <w:t xml:space="preserve">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w:t>
      </w:r>
      <w:r w:rsidR="001E0315">
        <w:t>two</w:t>
      </w:r>
      <w:r w:rsidRPr="004B1E43" w:rsidR="001E0315">
        <w:t xml:space="preserve"> </w:t>
      </w:r>
      <w:r w:rsidRPr="004B1E43">
        <w:t xml:space="preserve">years after the measure is submitted. This process is consistent with the pre-rulemaking process and the annual call for measures, which are further described at </w:t>
      </w:r>
      <w:hyperlink r:id="rId12" w:history="1">
        <w:r w:rsidRPr="007D1944" w:rsidR="00FD7D1D">
          <w:rPr>
            <w:rStyle w:val="Hyperlink"/>
          </w:rPr>
          <w:t>https://www.cms.gov/Medicare/Quality-Initiatives-Patient-Assessment-Instruments/QualityMeasures/Pre-Rule-Making.html</w:t>
        </w:r>
      </w:hyperlink>
      <w:r w:rsidRPr="004B1E43">
        <w:t>.</w:t>
      </w:r>
    </w:p>
    <w:p w:rsidR="008E76E0" w:rsidP="00E37BE8" w14:paraId="7339D562" w14:textId="2C588210">
      <w:pPr>
        <w:pStyle w:val="BodyText"/>
      </w:pPr>
      <w:r>
        <w:t xml:space="preserve">As shown in Table </w:t>
      </w:r>
      <w:r w:rsidR="00A6605C">
        <w:t>1</w:t>
      </w:r>
      <w:r w:rsidR="00943517">
        <w:t>7</w:t>
      </w:r>
      <w:r>
        <w:t xml:space="preserve">, </w:t>
      </w:r>
      <w:r w:rsidR="00943517">
        <w:t>we estima</w:t>
      </w:r>
      <w:r w:rsidR="00A90B2D">
        <w:t>te</w:t>
      </w:r>
      <w:r w:rsidR="00DF1533">
        <w:t xml:space="preserve"> </w:t>
      </w:r>
      <w:r w:rsidR="00BB1AC4">
        <w:t xml:space="preserve">that we will receive </w:t>
      </w:r>
      <w:r w:rsidR="00A327B8">
        <w:t>16</w:t>
      </w:r>
      <w:r w:rsidR="00BB1AC4">
        <w:t xml:space="preserve"> quality measure submissions </w:t>
      </w:r>
      <w:r w:rsidR="00943517">
        <w:t>for the CY 202</w:t>
      </w:r>
      <w:r w:rsidR="00A327B8">
        <w:t>5</w:t>
      </w:r>
      <w:r w:rsidR="00943517">
        <w:t xml:space="preserve"> performance period/202</w:t>
      </w:r>
      <w:r w:rsidR="00A327B8">
        <w:t>7</w:t>
      </w:r>
      <w:r w:rsidR="00943517">
        <w:t xml:space="preserve"> MIPS payment year</w:t>
      </w:r>
      <w:r w:rsidR="007C1F60">
        <w:t xml:space="preserve"> based on the number of </w:t>
      </w:r>
      <w:r w:rsidR="0038611A">
        <w:t>measure submissions for the CY 2023 Call for Quality Measures</w:t>
      </w:r>
      <w:r w:rsidR="001A00DE">
        <w:t xml:space="preserve">. </w:t>
      </w:r>
      <w:r w:rsidR="009E7F67">
        <w:rPr>
          <w:rFonts w:eastAsia="Calibri"/>
        </w:rPr>
        <w:t>W</w:t>
      </w:r>
      <w:r w:rsidR="00287469">
        <w:rPr>
          <w:rFonts w:eastAsia="Calibri"/>
        </w:rPr>
        <w:t>e</w:t>
      </w:r>
      <w:r w:rsidR="009E7F67">
        <w:rPr>
          <w:rFonts w:eastAsia="Calibri"/>
        </w:rPr>
        <w:t xml:space="preserve"> </w:t>
      </w:r>
      <w:r w:rsidR="00287469">
        <w:rPr>
          <w:rFonts w:eastAsia="Calibri"/>
        </w:rPr>
        <w:t xml:space="preserve">estimate that it would </w:t>
      </w:r>
      <w:r w:rsidR="00A4626A">
        <w:rPr>
          <w:rFonts w:eastAsia="Calibri"/>
        </w:rPr>
        <w:t>take</w:t>
      </w:r>
      <w:r w:rsidR="00287469">
        <w:rPr>
          <w:rFonts w:eastAsia="Calibri"/>
        </w:rPr>
        <w:t xml:space="preserve"> approximately </w:t>
      </w:r>
      <w:r w:rsidR="009C033D">
        <w:rPr>
          <w:rFonts w:eastAsia="Calibri"/>
        </w:rPr>
        <w:t xml:space="preserve">5.5 hours per quality measure </w:t>
      </w:r>
      <w:r w:rsidR="00B90D84">
        <w:rPr>
          <w:rFonts w:eastAsia="Calibri"/>
        </w:rPr>
        <w:t>submission. This estimate includes</w:t>
      </w:r>
      <w:r w:rsidR="009C033D">
        <w:rPr>
          <w:rFonts w:eastAsia="Calibri"/>
        </w:rPr>
        <w:t xml:space="preserve"> </w:t>
      </w:r>
      <w:r w:rsidR="00A4626A">
        <w:rPr>
          <w:rFonts w:eastAsia="Calibri"/>
        </w:rPr>
        <w:t>2</w:t>
      </w:r>
      <w:r w:rsidR="00287469">
        <w:rPr>
          <w:rFonts w:eastAsia="Calibri"/>
        </w:rPr>
        <w:t>.</w:t>
      </w:r>
      <w:r w:rsidR="00A4626A">
        <w:rPr>
          <w:rFonts w:eastAsia="Calibri"/>
        </w:rPr>
        <w:t>4</w:t>
      </w:r>
      <w:r w:rsidR="00287469">
        <w:rPr>
          <w:rFonts w:eastAsia="Calibri"/>
        </w:rPr>
        <w:t xml:space="preserve"> hours for the practice administrator</w:t>
      </w:r>
      <w:r w:rsidR="004725CD">
        <w:rPr>
          <w:rFonts w:eastAsia="Calibri"/>
        </w:rPr>
        <w:t xml:space="preserve">/medical and health services manager at </w:t>
      </w:r>
      <w:r w:rsidR="00287469">
        <w:rPr>
          <w:rFonts w:eastAsia="Calibri"/>
        </w:rPr>
        <w:t>$</w:t>
      </w:r>
      <w:r w:rsidR="004C6621">
        <w:rPr>
          <w:rFonts w:eastAsia="Calibri"/>
        </w:rPr>
        <w:t>129.28</w:t>
      </w:r>
      <w:r w:rsidR="00287469">
        <w:rPr>
          <w:rFonts w:eastAsia="Calibri"/>
        </w:rPr>
        <w:t>/hr and</w:t>
      </w:r>
      <w:r w:rsidR="006F5091">
        <w:rPr>
          <w:rFonts w:eastAsia="Calibri"/>
        </w:rPr>
        <w:t xml:space="preserve"> </w:t>
      </w:r>
      <w:r w:rsidR="004522FE">
        <w:rPr>
          <w:rFonts w:eastAsia="Calibri"/>
        </w:rPr>
        <w:t>1</w:t>
      </w:r>
      <w:r w:rsidR="00287469">
        <w:rPr>
          <w:rFonts w:eastAsia="Calibri"/>
        </w:rPr>
        <w:t>.</w:t>
      </w:r>
      <w:r w:rsidR="00A4626A">
        <w:rPr>
          <w:rFonts w:eastAsia="Calibri"/>
        </w:rPr>
        <w:t>1</w:t>
      </w:r>
      <w:r w:rsidR="00287469">
        <w:rPr>
          <w:rFonts w:eastAsia="Calibri"/>
        </w:rPr>
        <w:t xml:space="preserve"> hours at $</w:t>
      </w:r>
      <w:r w:rsidR="004C6621">
        <w:rPr>
          <w:rFonts w:eastAsia="Calibri"/>
        </w:rPr>
        <w:t>291.64</w:t>
      </w:r>
      <w:r w:rsidR="00287469">
        <w:rPr>
          <w:rFonts w:eastAsia="Calibri"/>
        </w:rPr>
        <w:t>/hr for a clinician to identify, propose, and link the quality measure, and approximately 2 hours at $</w:t>
      </w:r>
      <w:r w:rsidR="004C6621">
        <w:rPr>
          <w:rFonts w:eastAsia="Calibri"/>
        </w:rPr>
        <w:t>291.64</w:t>
      </w:r>
      <w:r w:rsidR="004522FE">
        <w:rPr>
          <w:rFonts w:eastAsia="Calibri"/>
        </w:rPr>
        <w:t>/</w:t>
      </w:r>
      <w:r w:rsidR="00287469">
        <w:rPr>
          <w:rFonts w:eastAsia="Calibri"/>
        </w:rPr>
        <w:t>hr for a clinician to complete the Peer Review Journal Article Form.</w:t>
      </w:r>
    </w:p>
    <w:p w:rsidR="006B22A9" w:rsidRPr="00732012" w:rsidP="00E37BE8" w14:paraId="24727311" w14:textId="17258BF6">
      <w:pPr>
        <w:pStyle w:val="BodyText"/>
        <w:rPr>
          <w:b/>
          <w:bCs/>
        </w:rPr>
      </w:pPr>
      <w:r>
        <w:t xml:space="preserve">As shown in Table </w:t>
      </w:r>
      <w:r w:rsidR="009A4D1A">
        <w:t>1</w:t>
      </w:r>
      <w:r w:rsidR="00943517">
        <w:t>7</w:t>
      </w:r>
      <w:r>
        <w:t xml:space="preserve">, </w:t>
      </w:r>
      <w:r w:rsidRPr="73846790" w:rsidR="006B4556">
        <w:rPr>
          <w:rFonts w:eastAsia="Calibri"/>
        </w:rPr>
        <w:t xml:space="preserve">in aggregate we estimate an annual burden of </w:t>
      </w:r>
      <w:r w:rsidR="00AB2326">
        <w:rPr>
          <w:rFonts w:eastAsia="Calibri"/>
        </w:rPr>
        <w:t>88</w:t>
      </w:r>
      <w:r w:rsidRPr="73846790" w:rsidR="006B4556">
        <w:rPr>
          <w:rFonts w:eastAsia="Calibri"/>
        </w:rPr>
        <w:t xml:space="preserve"> hours (</w:t>
      </w:r>
      <w:r w:rsidR="00AB2326">
        <w:rPr>
          <w:rFonts w:eastAsia="Calibri"/>
        </w:rPr>
        <w:t>16</w:t>
      </w:r>
      <w:r w:rsidRPr="73846790" w:rsidR="006B4556">
        <w:rPr>
          <w:rFonts w:eastAsia="Calibri"/>
        </w:rPr>
        <w:t xml:space="preserve"> submissions </w:t>
      </w:r>
      <w:r w:rsidR="00DC30E2">
        <w:t>×</w:t>
      </w:r>
      <w:r w:rsidRPr="73846790" w:rsidR="006B4556">
        <w:rPr>
          <w:rFonts w:eastAsia="Calibri"/>
        </w:rPr>
        <w:t xml:space="preserve"> 5.5 hr/submission) at a cost of $</w:t>
      </w:r>
      <w:r w:rsidR="00AB2326">
        <w:rPr>
          <w:rFonts w:eastAsia="Calibri"/>
        </w:rPr>
        <w:t>19,430</w:t>
      </w:r>
      <w:r w:rsidRPr="73846790" w:rsidR="006B4556">
        <w:rPr>
          <w:rFonts w:eastAsia="Calibri"/>
        </w:rPr>
        <w:t xml:space="preserve"> {</w:t>
      </w:r>
      <w:r w:rsidR="00AB2326">
        <w:rPr>
          <w:rFonts w:eastAsia="Calibri"/>
        </w:rPr>
        <w:t>16</w:t>
      </w:r>
      <w:r w:rsidR="00943517">
        <w:rPr>
          <w:rFonts w:eastAsia="Calibri"/>
        </w:rPr>
        <w:t xml:space="preserve"> measure</w:t>
      </w:r>
      <w:r w:rsidRPr="73846790" w:rsidR="006B4556">
        <w:rPr>
          <w:rFonts w:eastAsia="Calibri"/>
        </w:rPr>
        <w:t xml:space="preserve"> submissions </w:t>
      </w:r>
      <w:r w:rsidR="00DC30E2">
        <w:t>×</w:t>
      </w:r>
      <w:r w:rsidRPr="73846790" w:rsidR="006B4556">
        <w:rPr>
          <w:rFonts w:eastAsia="Calibri"/>
        </w:rPr>
        <w:t xml:space="preserve"> </w:t>
      </w:r>
      <w:r w:rsidR="00943517">
        <w:rPr>
          <w:rFonts w:eastAsia="Calibri"/>
        </w:rPr>
        <w:t>$1,</w:t>
      </w:r>
      <w:r w:rsidR="004127DF">
        <w:rPr>
          <w:rFonts w:eastAsia="Calibri"/>
        </w:rPr>
        <w:t>214.35</w:t>
      </w:r>
      <w:r w:rsidR="00943517">
        <w:rPr>
          <w:rFonts w:eastAsia="Calibri"/>
        </w:rPr>
        <w:t xml:space="preserve"> </w:t>
      </w:r>
      <w:r w:rsidRPr="73846790" w:rsidR="006B4556">
        <w:rPr>
          <w:rFonts w:eastAsia="Calibri"/>
        </w:rPr>
        <w:t>[(</w:t>
      </w:r>
      <w:r w:rsidRPr="73846790" w:rsidR="00EA43E2">
        <w:rPr>
          <w:rFonts w:eastAsia="Calibri"/>
        </w:rPr>
        <w:t>2.4</w:t>
      </w:r>
      <w:r w:rsidRPr="73846790" w:rsidR="006B4556">
        <w:rPr>
          <w:rFonts w:eastAsia="Calibri"/>
        </w:rPr>
        <w:t xml:space="preserve"> hr </w:t>
      </w:r>
      <w:r w:rsidR="00DC30E2">
        <w:t>×</w:t>
      </w:r>
      <w:r w:rsidRPr="73846790" w:rsidR="006B4556">
        <w:rPr>
          <w:rFonts w:eastAsia="Calibri"/>
        </w:rPr>
        <w:t xml:space="preserve"> $</w:t>
      </w:r>
      <w:r w:rsidR="004127DF">
        <w:rPr>
          <w:rFonts w:eastAsia="Calibri"/>
        </w:rPr>
        <w:t>129.28</w:t>
      </w:r>
      <w:r w:rsidRPr="73846790" w:rsidR="006B4556">
        <w:rPr>
          <w:rFonts w:eastAsia="Calibri"/>
        </w:rPr>
        <w:t>/hr) + (</w:t>
      </w:r>
      <w:r w:rsidRPr="73846790" w:rsidR="00D67558">
        <w:rPr>
          <w:rFonts w:eastAsia="Calibri"/>
        </w:rPr>
        <w:t>3.1</w:t>
      </w:r>
      <w:r w:rsidRPr="73846790" w:rsidR="006B4556">
        <w:rPr>
          <w:rFonts w:eastAsia="Calibri"/>
        </w:rPr>
        <w:t xml:space="preserve"> hr </w:t>
      </w:r>
      <w:r w:rsidR="00DC30E2">
        <w:t>×</w:t>
      </w:r>
      <w:r w:rsidR="00137665">
        <w:rPr>
          <w:rFonts w:eastAsia="Calibri"/>
        </w:rPr>
        <w:t xml:space="preserve"> </w:t>
      </w:r>
      <w:r w:rsidRPr="73846790" w:rsidR="006B4556">
        <w:rPr>
          <w:rFonts w:eastAsia="Calibri"/>
        </w:rPr>
        <w:t>$</w:t>
      </w:r>
      <w:r w:rsidR="004127DF">
        <w:rPr>
          <w:rFonts w:eastAsia="Calibri"/>
        </w:rPr>
        <w:t>291.64</w:t>
      </w:r>
      <w:r w:rsidRPr="73846790" w:rsidR="006B4556">
        <w:rPr>
          <w:rFonts w:eastAsia="Calibri"/>
        </w:rPr>
        <w:t>/hr)</w:t>
      </w:r>
      <w:r w:rsidRPr="73846790" w:rsidR="00982820">
        <w:rPr>
          <w:rFonts w:eastAsia="Calibri"/>
        </w:rPr>
        <w:t>]</w:t>
      </w:r>
      <w:r w:rsidRPr="73846790" w:rsidR="006B4556">
        <w:rPr>
          <w:rFonts w:eastAsia="Calibri"/>
        </w:rPr>
        <w:t>}.</w:t>
      </w:r>
    </w:p>
    <w:p w:rsidR="006B22A9" w:rsidRPr="00A0296B" w:rsidP="00E37BE8" w14:paraId="7020CDC7" w14:textId="54381BE5">
      <w:pPr>
        <w:pStyle w:val="ExhibitTitle"/>
        <w:rPr>
          <w:b w:val="0"/>
          <w:bCs/>
        </w:rPr>
      </w:pPr>
      <w:r w:rsidRPr="00A0296B">
        <w:rPr>
          <w:b w:val="0"/>
          <w:bCs/>
        </w:rPr>
        <w:t>T</w:t>
      </w:r>
      <w:r w:rsidRPr="00A0296B" w:rsidR="00DF359E">
        <w:rPr>
          <w:b w:val="0"/>
          <w:bCs/>
        </w:rPr>
        <w:t>able</w:t>
      </w:r>
      <w:r w:rsidRPr="00A0296B">
        <w:rPr>
          <w:b w:val="0"/>
          <w:bCs/>
        </w:rPr>
        <w:t xml:space="preserve"> </w:t>
      </w:r>
      <w:r w:rsidRPr="00A0296B" w:rsidR="0015290C">
        <w:rPr>
          <w:b w:val="0"/>
          <w:bCs/>
        </w:rPr>
        <w:t>1</w:t>
      </w:r>
      <w:r w:rsidRPr="00A0296B" w:rsidR="00943517">
        <w:rPr>
          <w:b w:val="0"/>
          <w:bCs/>
        </w:rPr>
        <w:t>7</w:t>
      </w:r>
      <w:r w:rsidRPr="00A0296B">
        <w:rPr>
          <w:b w:val="0"/>
          <w:bCs/>
        </w:rPr>
        <w:t xml:space="preserve">: </w:t>
      </w:r>
      <w:bookmarkStart w:id="180" w:name="_Hlk515182434"/>
      <w:r w:rsidRPr="00A0296B">
        <w:rPr>
          <w:b w:val="0"/>
          <w:bCs/>
        </w:rPr>
        <w:t xml:space="preserve">Burden Estimates </w:t>
      </w:r>
      <w:bookmarkEnd w:id="180"/>
      <w:r w:rsidRPr="00A0296B">
        <w:rPr>
          <w:b w:val="0"/>
          <w:bCs/>
        </w:rPr>
        <w:t>for Call for Quality Measures</w:t>
      </w:r>
    </w:p>
    <w:tbl>
      <w:tblPr>
        <w:tblStyle w:val="TableGrid"/>
        <w:tblDescription w:val="Table 17: the estimated burden for submitting quality measures to be considered for inclusion in the quality performance category."/>
        <w:tblW w:w="9365" w:type="dxa"/>
        <w:tblLook w:val="04A0"/>
      </w:tblPr>
      <w:tblGrid>
        <w:gridCol w:w="7385"/>
        <w:gridCol w:w="1980"/>
      </w:tblGrid>
      <w:tr w14:paraId="58E9C48C" w14:textId="77777777" w:rsidTr="006670D4">
        <w:tblPrEx>
          <w:tblW w:w="9365" w:type="dxa"/>
          <w:tblLook w:val="04A0"/>
        </w:tblPrEx>
        <w:trPr>
          <w:cantSplit/>
          <w:tblHeader/>
        </w:trPr>
        <w:tc>
          <w:tcPr>
            <w:tcW w:w="7385" w:type="dxa"/>
            <w:hideMark/>
          </w:tcPr>
          <w:p w:rsidR="006B20D5" w:rsidRPr="004F5699" w:rsidP="00E37BE8" w14:paraId="2A26C394" w14:textId="77777777">
            <w:pPr>
              <w:pStyle w:val="Table11-ColumnHeading"/>
              <w:rPr>
                <w:rFonts w:eastAsia="Calibri"/>
              </w:rPr>
            </w:pPr>
            <w:r w:rsidRPr="004F5699">
              <w:rPr>
                <w:rFonts w:eastAsia="Calibri"/>
              </w:rPr>
              <w:t>Burden and Respondent Descriptions</w:t>
            </w:r>
          </w:p>
        </w:tc>
        <w:tc>
          <w:tcPr>
            <w:tcW w:w="1980" w:type="dxa"/>
            <w:hideMark/>
          </w:tcPr>
          <w:p w:rsidR="006B20D5" w:rsidRPr="004F5699" w:rsidP="00E37BE8" w14:paraId="2C29C14F" w14:textId="77777777">
            <w:pPr>
              <w:pStyle w:val="Table11-ColumnHeading"/>
              <w:rPr>
                <w:rFonts w:eastAsia="Calibri"/>
              </w:rPr>
            </w:pPr>
            <w:r w:rsidRPr="004F5699">
              <w:rPr>
                <w:rFonts w:eastAsia="Calibri"/>
              </w:rPr>
              <w:t>Burden Estimate</w:t>
            </w:r>
          </w:p>
        </w:tc>
      </w:tr>
      <w:tr w14:paraId="104A76F7" w14:textId="77777777" w:rsidTr="006670D4">
        <w:tblPrEx>
          <w:tblW w:w="9365" w:type="dxa"/>
          <w:tblLook w:val="04A0"/>
        </w:tblPrEx>
        <w:trPr>
          <w:cantSplit/>
        </w:trPr>
        <w:tc>
          <w:tcPr>
            <w:tcW w:w="7385" w:type="dxa"/>
            <w:hideMark/>
          </w:tcPr>
          <w:p w:rsidR="006B20D5" w:rsidRPr="004F5699" w:rsidP="00E37BE8" w14:paraId="1B260854" w14:textId="77777777">
            <w:pPr>
              <w:pStyle w:val="Table11Basic"/>
              <w:rPr>
                <w:rFonts w:eastAsia="Calibri"/>
              </w:rPr>
            </w:pPr>
            <w:r w:rsidRPr="004F5699">
              <w:rPr>
                <w:rFonts w:eastAsia="Calibri"/>
              </w:rPr>
              <w:t># of New Quality Measures Submitted for Consideration (a)</w:t>
            </w:r>
          </w:p>
        </w:tc>
        <w:tc>
          <w:tcPr>
            <w:tcW w:w="1980" w:type="dxa"/>
            <w:noWrap/>
            <w:hideMark/>
          </w:tcPr>
          <w:p w:rsidR="006B20D5" w:rsidRPr="004F5699" w:rsidP="00E37BE8" w14:paraId="1D1A2D59" w14:textId="77777777">
            <w:pPr>
              <w:pStyle w:val="Table11Centered"/>
              <w:rPr>
                <w:rFonts w:eastAsia="Calibri"/>
              </w:rPr>
            </w:pPr>
            <w:r w:rsidRPr="004F5699">
              <w:rPr>
                <w:rFonts w:eastAsia="Calibri"/>
              </w:rPr>
              <w:t>16</w:t>
            </w:r>
          </w:p>
        </w:tc>
      </w:tr>
      <w:tr w14:paraId="60A02830" w14:textId="77777777" w:rsidTr="006670D4">
        <w:tblPrEx>
          <w:tblW w:w="9365" w:type="dxa"/>
          <w:tblLook w:val="04A0"/>
        </w:tblPrEx>
        <w:trPr>
          <w:cantSplit/>
        </w:trPr>
        <w:tc>
          <w:tcPr>
            <w:tcW w:w="7385" w:type="dxa"/>
          </w:tcPr>
          <w:p w:rsidR="006B20D5" w:rsidRPr="004F5699" w:rsidP="00E37BE8" w14:paraId="13C2AE16" w14:textId="77777777">
            <w:pPr>
              <w:pStyle w:val="Table11Basic"/>
              <w:rPr>
                <w:rFonts w:eastAsia="Calibri"/>
              </w:rPr>
            </w:pPr>
            <w:r w:rsidRPr="004F5699">
              <w:rPr>
                <w:rFonts w:eastAsia="Calibri"/>
              </w:rPr>
              <w:t xml:space="preserve"># of Hours per </w:t>
            </w:r>
            <w:r w:rsidRPr="004F5699">
              <w:rPr>
                <w:rFonts w:eastAsia="Calibri"/>
              </w:rPr>
              <w:t>Practice Administrator</w:t>
            </w:r>
            <w:r w:rsidRPr="004F5699">
              <w:rPr>
                <w:rFonts w:eastAsia="Calibri"/>
              </w:rPr>
              <w:t xml:space="preserve"> to Identify, Propose and Link Measure (b)</w:t>
            </w:r>
          </w:p>
        </w:tc>
        <w:tc>
          <w:tcPr>
            <w:tcW w:w="1980" w:type="dxa"/>
          </w:tcPr>
          <w:p w:rsidR="006B20D5" w:rsidRPr="004F5699" w:rsidP="00E37BE8" w14:paraId="2E9D38FE" w14:textId="77777777">
            <w:pPr>
              <w:pStyle w:val="Table11Centered"/>
              <w:rPr>
                <w:rFonts w:eastAsia="Calibri"/>
              </w:rPr>
            </w:pPr>
            <w:r w:rsidRPr="004F5699">
              <w:rPr>
                <w:rFonts w:eastAsia="Calibri"/>
              </w:rPr>
              <w:t>2.4</w:t>
            </w:r>
          </w:p>
        </w:tc>
      </w:tr>
      <w:tr w14:paraId="51B7C815" w14:textId="77777777" w:rsidTr="006670D4">
        <w:tblPrEx>
          <w:tblW w:w="9365" w:type="dxa"/>
          <w:tblLook w:val="04A0"/>
        </w:tblPrEx>
        <w:trPr>
          <w:cantSplit/>
        </w:trPr>
        <w:tc>
          <w:tcPr>
            <w:tcW w:w="7385" w:type="dxa"/>
          </w:tcPr>
          <w:p w:rsidR="006B20D5" w:rsidRPr="004F5699" w:rsidP="00E37BE8" w14:paraId="7B3290F3" w14:textId="77777777">
            <w:pPr>
              <w:pStyle w:val="Table11Basic"/>
              <w:rPr>
                <w:rFonts w:eastAsia="Calibri"/>
              </w:rPr>
            </w:pPr>
            <w:r w:rsidRPr="004F5699">
              <w:rPr>
                <w:rFonts w:eastAsia="Calibri"/>
              </w:rPr>
              <w:t># of Hours per Clinician to Identify and Link Measure (c)</w:t>
            </w:r>
          </w:p>
        </w:tc>
        <w:tc>
          <w:tcPr>
            <w:tcW w:w="1980" w:type="dxa"/>
          </w:tcPr>
          <w:p w:rsidR="006B20D5" w:rsidRPr="004F5699" w:rsidP="00E37BE8" w14:paraId="5DEFC079" w14:textId="77777777">
            <w:pPr>
              <w:pStyle w:val="Table11Centered"/>
              <w:rPr>
                <w:rFonts w:eastAsia="Calibri"/>
              </w:rPr>
            </w:pPr>
            <w:r w:rsidRPr="004F5699">
              <w:rPr>
                <w:rFonts w:eastAsia="Calibri"/>
              </w:rPr>
              <w:t>1.1</w:t>
            </w:r>
          </w:p>
        </w:tc>
      </w:tr>
      <w:tr w14:paraId="6F82A7D6" w14:textId="77777777" w:rsidTr="006670D4">
        <w:tblPrEx>
          <w:tblW w:w="9365" w:type="dxa"/>
          <w:tblLook w:val="04A0"/>
        </w:tblPrEx>
        <w:trPr>
          <w:cantSplit/>
        </w:trPr>
        <w:tc>
          <w:tcPr>
            <w:tcW w:w="7385" w:type="dxa"/>
          </w:tcPr>
          <w:p w:rsidR="006B20D5" w:rsidRPr="004F5699" w:rsidP="00E37BE8" w14:paraId="1283BD93" w14:textId="77777777">
            <w:pPr>
              <w:pStyle w:val="Table11Basic"/>
              <w:rPr>
                <w:rFonts w:eastAsia="Calibri"/>
              </w:rPr>
            </w:pPr>
            <w:r w:rsidRPr="004F5699">
              <w:rPr>
                <w:rFonts w:eastAsia="Calibri"/>
              </w:rPr>
              <w:t># of Hours per Clinician to Complete Peer Review Article Form (d)</w:t>
            </w:r>
          </w:p>
        </w:tc>
        <w:tc>
          <w:tcPr>
            <w:tcW w:w="1980" w:type="dxa"/>
          </w:tcPr>
          <w:p w:rsidR="006B20D5" w:rsidRPr="004F5699" w:rsidP="00E37BE8" w14:paraId="630C721D" w14:textId="77777777">
            <w:pPr>
              <w:pStyle w:val="Table11Centered"/>
              <w:rPr>
                <w:rFonts w:eastAsia="Calibri"/>
              </w:rPr>
            </w:pPr>
            <w:r w:rsidRPr="004F5699">
              <w:rPr>
                <w:rFonts w:eastAsia="Calibri"/>
              </w:rPr>
              <w:t>2</w:t>
            </w:r>
          </w:p>
        </w:tc>
      </w:tr>
      <w:tr w14:paraId="69A4185F" w14:textId="77777777" w:rsidTr="006670D4">
        <w:tblPrEx>
          <w:tblW w:w="9365" w:type="dxa"/>
          <w:tblLook w:val="04A0"/>
        </w:tblPrEx>
        <w:trPr>
          <w:cantSplit/>
        </w:trPr>
        <w:tc>
          <w:tcPr>
            <w:tcW w:w="7385" w:type="dxa"/>
            <w:hideMark/>
          </w:tcPr>
          <w:p w:rsidR="006B20D5" w:rsidRPr="004F5699" w:rsidP="00E37BE8" w14:paraId="026DACC4" w14:textId="77777777">
            <w:pPr>
              <w:pStyle w:val="Table11Basic"/>
              <w:rPr>
                <w:rFonts w:eastAsia="Calibri"/>
              </w:rPr>
            </w:pPr>
            <w:r w:rsidRPr="004F5699">
              <w:rPr>
                <w:rFonts w:eastAsia="Calibri"/>
              </w:rPr>
              <w:t>Annual Hours Per Response (e) = (b) + (c) + (d)</w:t>
            </w:r>
          </w:p>
        </w:tc>
        <w:tc>
          <w:tcPr>
            <w:tcW w:w="1980" w:type="dxa"/>
            <w:hideMark/>
          </w:tcPr>
          <w:p w:rsidR="006B20D5" w:rsidRPr="004F5699" w:rsidP="00E37BE8" w14:paraId="44897D98" w14:textId="77777777">
            <w:pPr>
              <w:pStyle w:val="Table11Centered"/>
              <w:rPr>
                <w:rFonts w:eastAsia="Calibri"/>
              </w:rPr>
            </w:pPr>
            <w:r w:rsidRPr="004F5699">
              <w:rPr>
                <w:rFonts w:eastAsia="Calibri"/>
              </w:rPr>
              <w:t>5.5</w:t>
            </w:r>
          </w:p>
        </w:tc>
      </w:tr>
      <w:tr w14:paraId="40FAF90E" w14:textId="77777777" w:rsidTr="006670D4">
        <w:tblPrEx>
          <w:tblW w:w="9365" w:type="dxa"/>
          <w:tblLook w:val="04A0"/>
        </w:tblPrEx>
        <w:trPr>
          <w:cantSplit/>
        </w:trPr>
        <w:tc>
          <w:tcPr>
            <w:tcW w:w="7385" w:type="dxa"/>
            <w:shd w:val="clear" w:color="auto" w:fill="E7E6E6" w:themeFill="background2"/>
            <w:hideMark/>
          </w:tcPr>
          <w:p w:rsidR="006B20D5" w:rsidRPr="004F5699" w:rsidP="00E37BE8" w14:paraId="5747D16C" w14:textId="0796FF1C">
            <w:pPr>
              <w:pStyle w:val="Table11Basic"/>
              <w:rPr>
                <w:rFonts w:eastAsia="Calibri"/>
                <w:b/>
                <w:bCs/>
              </w:rPr>
            </w:pPr>
            <w:r w:rsidRPr="004F5699">
              <w:rPr>
                <w:rFonts w:eastAsia="Calibri"/>
                <w:b/>
                <w:bCs/>
              </w:rPr>
              <w:t>Total Annual Hours (f)=(a)</w:t>
            </w:r>
            <w:r w:rsidR="00561B40">
              <w:rPr>
                <w:rFonts w:eastAsia="Calibri"/>
                <w:b/>
                <w:bCs/>
              </w:rPr>
              <w:t xml:space="preserve"> </w:t>
            </w:r>
            <w:r w:rsidR="00561B40">
              <w:rPr>
                <w:b/>
                <w:bCs/>
                <w:color w:val="000000" w:themeColor="text1"/>
              </w:rPr>
              <w:t>[</w:t>
            </w:r>
            <w:r w:rsidRPr="00DC30E2" w:rsidR="00DC30E2">
              <w:rPr>
                <w:b/>
                <w:bCs/>
              </w:rPr>
              <w:t>×</w:t>
            </w:r>
            <w:r w:rsidR="00561B40">
              <w:rPr>
                <w:b/>
                <w:bCs/>
                <w:color w:val="000000" w:themeColor="text1"/>
              </w:rPr>
              <w:t>]</w:t>
            </w:r>
            <w:r w:rsidR="00561B40">
              <w:rPr>
                <w:rFonts w:eastAsia="Calibri"/>
                <w:b/>
                <w:bCs/>
              </w:rPr>
              <w:t xml:space="preserve"> </w:t>
            </w:r>
            <w:r w:rsidRPr="004F5699">
              <w:rPr>
                <w:rFonts w:eastAsia="Calibri"/>
                <w:b/>
                <w:bCs/>
              </w:rPr>
              <w:t>(e)</w:t>
            </w:r>
          </w:p>
        </w:tc>
        <w:tc>
          <w:tcPr>
            <w:tcW w:w="1980" w:type="dxa"/>
            <w:shd w:val="clear" w:color="auto" w:fill="E7E6E6" w:themeFill="background2"/>
            <w:hideMark/>
          </w:tcPr>
          <w:p w:rsidR="006B20D5" w:rsidRPr="004F5699" w:rsidP="00E37BE8" w14:paraId="7939FF10" w14:textId="77777777">
            <w:pPr>
              <w:pStyle w:val="Table11Centered"/>
              <w:rPr>
                <w:rFonts w:eastAsia="Calibri"/>
                <w:b/>
              </w:rPr>
            </w:pPr>
            <w:r w:rsidRPr="004F5699">
              <w:rPr>
                <w:rFonts w:eastAsia="Calibri"/>
                <w:b/>
                <w:bCs/>
              </w:rPr>
              <w:t>88</w:t>
            </w:r>
          </w:p>
        </w:tc>
      </w:tr>
      <w:tr w14:paraId="7679A16B" w14:textId="77777777" w:rsidTr="006670D4">
        <w:tblPrEx>
          <w:tblW w:w="9365" w:type="dxa"/>
          <w:tblLook w:val="04A0"/>
        </w:tblPrEx>
        <w:trPr>
          <w:cantSplit/>
        </w:trPr>
        <w:tc>
          <w:tcPr>
            <w:tcW w:w="7385" w:type="dxa"/>
            <w:hideMark/>
          </w:tcPr>
          <w:p w:rsidR="006B20D5" w:rsidRPr="004F5699" w:rsidP="00E37BE8" w14:paraId="77316BD1" w14:textId="009BB672">
            <w:pPr>
              <w:pStyle w:val="Table11Basic"/>
              <w:rPr>
                <w:rFonts w:eastAsia="Calibri"/>
              </w:rPr>
            </w:pPr>
            <w:r w:rsidRPr="004F5699">
              <w:rPr>
                <w:rFonts w:eastAsia="Calibri"/>
              </w:rPr>
              <w:t>Cost to Identify and Submit Measure (</w:t>
            </w:r>
            <w:r w:rsidR="00A87331">
              <w:rPr>
                <w:rFonts w:eastAsia="Calibri"/>
              </w:rPr>
              <w:t>at</w:t>
            </w:r>
            <w:r w:rsidRPr="004F5699">
              <w:rPr>
                <w:rFonts w:eastAsia="Calibri"/>
              </w:rPr>
              <w:t xml:space="preserve"> Medical and Health Services Manager’s Labor Rate of $129.28/hr</w:t>
            </w:r>
            <w:r w:rsidRPr="007A3689">
              <w:rPr>
                <w:rFonts w:eastAsia="Calibri"/>
              </w:rPr>
              <w:t xml:space="preserve">) </w:t>
            </w:r>
            <w:r w:rsidRPr="007A3689" w:rsidR="007A3689">
              <w:rPr>
                <w:color w:val="000000" w:themeColor="text1"/>
              </w:rPr>
              <w:t>[</w:t>
            </w:r>
            <w:r w:rsidR="00DC30E2">
              <w:t>×</w:t>
            </w:r>
            <w:r w:rsidRPr="007A3689" w:rsidR="007A3689">
              <w:rPr>
                <w:color w:val="000000" w:themeColor="text1"/>
              </w:rPr>
              <w:t>]</w:t>
            </w:r>
            <w:r w:rsidRPr="004F5699">
              <w:rPr>
                <w:rFonts w:eastAsia="Calibri"/>
              </w:rPr>
              <w:t xml:space="preserve"> 2.4 </w:t>
            </w:r>
            <w:r w:rsidR="00A939C5">
              <w:rPr>
                <w:rFonts w:eastAsia="Calibri"/>
              </w:rPr>
              <w:t>hr</w:t>
            </w:r>
            <w:r w:rsidRPr="004F5699">
              <w:rPr>
                <w:rFonts w:eastAsia="Calibri"/>
              </w:rPr>
              <w:t xml:space="preserve"> = (g) </w:t>
            </w:r>
          </w:p>
        </w:tc>
        <w:tc>
          <w:tcPr>
            <w:tcW w:w="1980" w:type="dxa"/>
            <w:hideMark/>
          </w:tcPr>
          <w:p w:rsidR="006B20D5" w:rsidRPr="004F5699" w:rsidP="00E37BE8" w14:paraId="3E023A0C" w14:textId="77777777">
            <w:pPr>
              <w:pStyle w:val="Table11Centered"/>
              <w:rPr>
                <w:rFonts w:eastAsia="Calibri"/>
              </w:rPr>
            </w:pPr>
            <w:r w:rsidRPr="004F5699">
              <w:rPr>
                <w:rFonts w:eastAsia="Calibri"/>
              </w:rPr>
              <w:t>$310.27</w:t>
            </w:r>
          </w:p>
        </w:tc>
      </w:tr>
      <w:tr w14:paraId="09E52EB3" w14:textId="77777777" w:rsidTr="006670D4">
        <w:tblPrEx>
          <w:tblW w:w="9365" w:type="dxa"/>
          <w:tblLook w:val="04A0"/>
        </w:tblPrEx>
        <w:trPr>
          <w:cantSplit/>
        </w:trPr>
        <w:tc>
          <w:tcPr>
            <w:tcW w:w="7385" w:type="dxa"/>
          </w:tcPr>
          <w:p w:rsidR="006B20D5" w:rsidRPr="004F5699" w:rsidP="00E37BE8" w14:paraId="33327584" w14:textId="70B2EA8F">
            <w:pPr>
              <w:pStyle w:val="Table11Basic"/>
              <w:rPr>
                <w:rFonts w:eastAsia="Calibri"/>
              </w:rPr>
            </w:pPr>
            <w:r w:rsidRPr="004F5699">
              <w:rPr>
                <w:rFonts w:eastAsia="Calibri"/>
              </w:rPr>
              <w:t xml:space="preserve">Cost to Identify Quality Measure and Complete Peer Review Article Form </w:t>
            </w:r>
            <w:r w:rsidRPr="004F5699" w:rsidR="00A87331">
              <w:rPr>
                <w:rFonts w:eastAsia="Calibri"/>
              </w:rPr>
              <w:t>(</w:t>
            </w:r>
            <w:r w:rsidR="00A87331">
              <w:rPr>
                <w:rFonts w:eastAsia="Calibri"/>
              </w:rPr>
              <w:t>at</w:t>
            </w:r>
            <w:r w:rsidRPr="004F5699" w:rsidR="00A87331">
              <w:rPr>
                <w:rFonts w:eastAsia="Calibri"/>
              </w:rPr>
              <w:t xml:space="preserve"> </w:t>
            </w:r>
            <w:r w:rsidRPr="004F5699">
              <w:rPr>
                <w:rFonts w:eastAsia="Calibri"/>
              </w:rPr>
              <w:t xml:space="preserve">Clinician’s Labor Rate of $291.64/hr) </w:t>
            </w:r>
            <w:r w:rsidRPr="007A3689" w:rsidR="007A3689">
              <w:rPr>
                <w:color w:val="000000" w:themeColor="text1"/>
              </w:rPr>
              <w:t>[</w:t>
            </w:r>
            <w:r w:rsidR="00DC30E2">
              <w:t>×</w:t>
            </w:r>
            <w:r w:rsidRPr="007A3689" w:rsidR="007A3689">
              <w:rPr>
                <w:color w:val="000000" w:themeColor="text1"/>
              </w:rPr>
              <w:t>]</w:t>
            </w:r>
            <w:r w:rsidR="005623D5">
              <w:rPr>
                <w:color w:val="000000" w:themeColor="text1"/>
              </w:rPr>
              <w:t xml:space="preserve"> </w:t>
            </w:r>
            <w:r w:rsidRPr="004F5699">
              <w:rPr>
                <w:rFonts w:eastAsia="Calibri"/>
              </w:rPr>
              <w:t xml:space="preserve">3.1 </w:t>
            </w:r>
            <w:r w:rsidR="00A939C5">
              <w:rPr>
                <w:rFonts w:eastAsia="Calibri"/>
              </w:rPr>
              <w:t>hr</w:t>
            </w:r>
            <w:r w:rsidRPr="004F5699">
              <w:rPr>
                <w:rFonts w:eastAsia="Calibri"/>
              </w:rPr>
              <w:t xml:space="preserve"> = (h) </w:t>
            </w:r>
          </w:p>
        </w:tc>
        <w:tc>
          <w:tcPr>
            <w:tcW w:w="1980" w:type="dxa"/>
          </w:tcPr>
          <w:p w:rsidR="006B20D5" w:rsidRPr="004F5699" w:rsidP="00E37BE8" w14:paraId="31D3154E" w14:textId="77777777">
            <w:pPr>
              <w:pStyle w:val="Table11Centered"/>
              <w:rPr>
                <w:rFonts w:eastAsia="Calibri"/>
              </w:rPr>
            </w:pPr>
            <w:r w:rsidRPr="004F5699">
              <w:rPr>
                <w:rFonts w:eastAsia="Calibri"/>
              </w:rPr>
              <w:t>$904.08</w:t>
            </w:r>
          </w:p>
        </w:tc>
      </w:tr>
      <w:tr w14:paraId="5E7BF502" w14:textId="77777777" w:rsidTr="006670D4">
        <w:tblPrEx>
          <w:tblW w:w="9365" w:type="dxa"/>
          <w:tblLook w:val="04A0"/>
        </w:tblPrEx>
        <w:trPr>
          <w:cantSplit/>
        </w:trPr>
        <w:tc>
          <w:tcPr>
            <w:tcW w:w="7385" w:type="dxa"/>
          </w:tcPr>
          <w:p w:rsidR="006B20D5" w:rsidRPr="004F5699" w:rsidP="00E37BE8" w14:paraId="383D48F1" w14:textId="77777777">
            <w:pPr>
              <w:pStyle w:val="Table11Basic"/>
              <w:rPr>
                <w:rFonts w:eastAsia="Calibri"/>
              </w:rPr>
            </w:pPr>
            <w:r w:rsidRPr="004F5699">
              <w:rPr>
                <w:rFonts w:eastAsia="Calibri"/>
              </w:rPr>
              <w:t>Total Annual Cost Per Submitted Measure (i) = (g) + (h)</w:t>
            </w:r>
          </w:p>
        </w:tc>
        <w:tc>
          <w:tcPr>
            <w:tcW w:w="1980" w:type="dxa"/>
          </w:tcPr>
          <w:p w:rsidR="006B20D5" w:rsidRPr="004F5699" w:rsidP="00E37BE8" w14:paraId="22241D12" w14:textId="77777777">
            <w:pPr>
              <w:pStyle w:val="Table11Centered"/>
              <w:rPr>
                <w:rFonts w:eastAsia="Calibri"/>
              </w:rPr>
            </w:pPr>
            <w:r w:rsidRPr="004F5699">
              <w:rPr>
                <w:rFonts w:eastAsia="Calibri"/>
              </w:rPr>
              <w:t>$1,214.35</w:t>
            </w:r>
          </w:p>
        </w:tc>
      </w:tr>
      <w:tr w14:paraId="397916E6" w14:textId="77777777" w:rsidTr="006670D4">
        <w:tblPrEx>
          <w:tblW w:w="9365" w:type="dxa"/>
          <w:tblLook w:val="04A0"/>
        </w:tblPrEx>
        <w:trPr>
          <w:cantSplit/>
        </w:trPr>
        <w:tc>
          <w:tcPr>
            <w:tcW w:w="7385" w:type="dxa"/>
            <w:shd w:val="clear" w:color="auto" w:fill="E7E6E6" w:themeFill="background2"/>
            <w:hideMark/>
          </w:tcPr>
          <w:p w:rsidR="006B20D5" w:rsidRPr="004F5699" w:rsidP="00E37BE8" w14:paraId="547333C7" w14:textId="602B8410">
            <w:pPr>
              <w:pStyle w:val="Table11Basic"/>
              <w:rPr>
                <w:rFonts w:eastAsia="Calibri"/>
                <w:b/>
              </w:rPr>
            </w:pPr>
            <w:r w:rsidRPr="004F5699">
              <w:rPr>
                <w:rFonts w:eastAsia="Calibri"/>
                <w:b/>
              </w:rPr>
              <w:t>Total Annual Cost (j)=(a)</w:t>
            </w:r>
            <w:r w:rsidR="00561B40">
              <w:rPr>
                <w:b/>
                <w:bCs/>
                <w:color w:val="000000" w:themeColor="text1"/>
              </w:rPr>
              <w:t xml:space="preserve"> [</w:t>
            </w:r>
            <w:r w:rsidRPr="005623D5" w:rsidR="005623D5">
              <w:rPr>
                <w:b/>
                <w:bCs/>
              </w:rPr>
              <w:t>×</w:t>
            </w:r>
            <w:r w:rsidR="00561B40">
              <w:rPr>
                <w:b/>
                <w:bCs/>
                <w:color w:val="000000" w:themeColor="text1"/>
              </w:rPr>
              <w:t>]</w:t>
            </w:r>
            <w:r w:rsidR="00561B40">
              <w:rPr>
                <w:rFonts w:eastAsia="Calibri"/>
                <w:b/>
              </w:rPr>
              <w:t xml:space="preserve"> </w:t>
            </w:r>
            <w:r w:rsidRPr="004F5699">
              <w:rPr>
                <w:rFonts w:eastAsia="Calibri"/>
                <w:b/>
              </w:rPr>
              <w:t>(i)</w:t>
            </w:r>
          </w:p>
        </w:tc>
        <w:tc>
          <w:tcPr>
            <w:tcW w:w="1980" w:type="dxa"/>
            <w:shd w:val="clear" w:color="auto" w:fill="E7E6E6" w:themeFill="background2"/>
            <w:noWrap/>
            <w:hideMark/>
          </w:tcPr>
          <w:p w:rsidR="006B20D5" w:rsidRPr="004F5699" w:rsidP="00E37BE8" w14:paraId="62964244" w14:textId="77777777">
            <w:pPr>
              <w:pStyle w:val="Table11Centered"/>
              <w:rPr>
                <w:rFonts w:eastAsia="Calibri"/>
                <w:b/>
              </w:rPr>
            </w:pPr>
            <w:r w:rsidRPr="004F5699">
              <w:rPr>
                <w:rFonts w:eastAsia="Calibri"/>
                <w:b/>
              </w:rPr>
              <w:t>$19,430</w:t>
            </w:r>
          </w:p>
        </w:tc>
      </w:tr>
    </w:tbl>
    <w:p w:rsidR="006B22A9" w:rsidRPr="00C45D11" w:rsidP="006E6DEB" w14:paraId="5B484AE7" w14:textId="3F4416B2">
      <w:pPr>
        <w:pStyle w:val="Heading4"/>
      </w:pPr>
      <w:r>
        <w:t>j.</w:t>
      </w:r>
      <w:r>
        <w:tab/>
      </w:r>
      <w:r w:rsidRPr="00C45D11">
        <w:t>Burden Estimate for the Promoting Interoperability Performance Category</w:t>
      </w:r>
    </w:p>
    <w:p w:rsidR="006B22A9" w:rsidP="00E37BE8" w14:paraId="273DD452" w14:textId="6FC06B8E">
      <w:pPr>
        <w:pStyle w:val="BodyText-PostHead"/>
        <w:rPr>
          <w:rFonts w:eastAsia="Calibri"/>
        </w:rPr>
      </w:pPr>
      <w:r w:rsidRPr="00D8379C">
        <w:rPr>
          <w:rFonts w:eastAsia="Calibri"/>
        </w:rPr>
        <w:t xml:space="preserve">For the </w:t>
      </w:r>
      <w:r w:rsidR="0042558C">
        <w:rPr>
          <w:rFonts w:eastAsia="Calibri"/>
        </w:rPr>
        <w:t xml:space="preserve">CY </w:t>
      </w:r>
      <w:r w:rsidRPr="00D8379C">
        <w:rPr>
          <w:rFonts w:eastAsia="Calibri"/>
        </w:rPr>
        <w:t>202</w:t>
      </w:r>
      <w:r w:rsidR="006B20D5">
        <w:rPr>
          <w:rFonts w:eastAsia="Calibri"/>
        </w:rPr>
        <w:t>5</w:t>
      </w:r>
      <w:r w:rsidR="00076EF1">
        <w:rPr>
          <w:rFonts w:eastAsia="Calibri"/>
        </w:rPr>
        <w:t xml:space="preserve"> </w:t>
      </w:r>
      <w:r w:rsidRPr="00D8379C">
        <w:rPr>
          <w:rFonts w:eastAsia="Calibri"/>
        </w:rPr>
        <w:t>performance period</w:t>
      </w:r>
      <w:r w:rsidR="0042558C">
        <w:rPr>
          <w:rFonts w:eastAsia="Calibri"/>
        </w:rPr>
        <w:t>/202</w:t>
      </w:r>
      <w:r w:rsidR="006B20D5">
        <w:rPr>
          <w:rFonts w:eastAsia="Calibri"/>
        </w:rPr>
        <w:t>7</w:t>
      </w:r>
      <w:r w:rsidR="0042558C">
        <w:rPr>
          <w:rFonts w:eastAsia="Calibri"/>
        </w:rPr>
        <w:t xml:space="preserve"> MIPS payment year</w:t>
      </w:r>
      <w:r w:rsidRPr="00D8379C">
        <w:rPr>
          <w:rFonts w:eastAsia="Calibri"/>
        </w:rPr>
        <w:t xml:space="preserve">, </w:t>
      </w:r>
      <w:r w:rsidR="00683451">
        <w:rPr>
          <w:rFonts w:eastAsia="Calibri"/>
        </w:rPr>
        <w:t xml:space="preserve">MIPS eligible </w:t>
      </w:r>
      <w:r w:rsidRPr="00D8379C">
        <w:rPr>
          <w:rFonts w:eastAsia="Calibri"/>
        </w:rPr>
        <w:t>clinicians and groups</w:t>
      </w:r>
      <w:r w:rsidR="00683451">
        <w:rPr>
          <w:rFonts w:eastAsia="Calibri"/>
        </w:rPr>
        <w:t>, subgroups, and APM Entities</w:t>
      </w:r>
      <w:r w:rsidRPr="00D8379C">
        <w:rPr>
          <w:rFonts w:eastAsia="Calibri"/>
        </w:rPr>
        <w:t xml:space="preserve">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 for both </w:t>
      </w:r>
      <w:r w:rsidR="003E57D9">
        <w:rPr>
          <w:rFonts w:eastAsia="Calibri"/>
        </w:rPr>
        <w:t>quality and Promoting Interoperability</w:t>
      </w:r>
      <w:r w:rsidRPr="00D8379C">
        <w:rPr>
          <w:rFonts w:eastAsia="Calibri"/>
        </w:rPr>
        <w:t xml:space="preserve"> performance categories and that the clinicians, practice managers, and computer systems analysts involved in supporting the quality data submission will also support the Promoting Interoperability data submission process. The following burden estimates show only incremental hours required </w:t>
      </w:r>
      <w:r w:rsidRPr="00D8379C" w:rsidR="00156E6F">
        <w:rPr>
          <w:rFonts w:eastAsia="Calibri"/>
        </w:rPr>
        <w:t>beyond</w:t>
      </w:r>
      <w:r w:rsidRPr="00D8379C">
        <w:rPr>
          <w:rFonts w:eastAsia="Calibri"/>
        </w:rPr>
        <w:t xml:space="preserve"> the time already accounted for in the quality data submission process. Although this analysis assesses burden by performance category and submission type, we emphasize MIPS is a consolidated program and submission analysis</w:t>
      </w:r>
      <w:r w:rsidR="004353C2">
        <w:rPr>
          <w:rFonts w:eastAsia="Calibri"/>
        </w:rPr>
        <w:t>,</w:t>
      </w:r>
      <w:r w:rsidRPr="00D8379C">
        <w:rPr>
          <w:rFonts w:eastAsia="Calibri"/>
        </w:rPr>
        <w:t xml:space="preserve"> and decisions are expected to be made for the </w:t>
      </w:r>
      <w:r w:rsidRPr="00D8379C" w:rsidR="001E7DBC">
        <w:rPr>
          <w:rFonts w:eastAsia="Calibri"/>
        </w:rPr>
        <w:t>program</w:t>
      </w:r>
      <w:r w:rsidRPr="00CC2BFB" w:rsidR="008D6B81">
        <w:rPr>
          <w:rFonts w:eastAsia="Calibri"/>
        </w:rPr>
        <w:t xml:space="preserve">. </w:t>
      </w:r>
    </w:p>
    <w:p w:rsidR="00DF359E" w:rsidRPr="00426186" w:rsidP="00C0593B" w14:paraId="4965434D" w14:textId="2AF679D9">
      <w:pPr>
        <w:pStyle w:val="Heading5"/>
        <w:ind w:left="360" w:firstLine="0"/>
        <w:rPr>
          <w:iCs/>
        </w:rPr>
      </w:pPr>
      <w:r>
        <w:t>i.</w:t>
      </w:r>
      <w:r>
        <w:tab/>
      </w:r>
      <w:r w:rsidRPr="00DF359E">
        <w:t xml:space="preserve">Burden for Reweighting Applications for </w:t>
      </w:r>
      <w:r w:rsidR="009D09B2">
        <w:t>MIPS Performance Categories</w:t>
      </w:r>
    </w:p>
    <w:p w:rsidR="003B7900" w:rsidRPr="004F5699" w:rsidP="0067016B" w14:paraId="774FB840" w14:textId="5A825E4D">
      <w:pPr>
        <w:pStyle w:val="BodyText-PostHead"/>
        <w:spacing w:before="240"/>
      </w:pPr>
      <w:r w:rsidRPr="004F5699">
        <w:t>As established in the CY 2017 and CY 2018 Quality Payment Program final rules, MIPS eligible clinicians may submit an application requesting reweighting to zero percent for the Promoting Interoperability, quality, cost, and/or improvement activities performance categories under specific circumstances as set forth in § 414.1380(c)(2), including, but not limited to, extreme and uncontrollable circumstances</w:t>
      </w:r>
      <w:r>
        <w:t>,</w:t>
      </w:r>
      <w:r w:rsidRPr="004F5699">
        <w:t xml:space="preserve"> significant hardship</w:t>
      </w:r>
      <w:r>
        <w:t>,</w:t>
      </w:r>
      <w:r w:rsidRPr="004F5699">
        <w:t xml:space="preserve"> or other exception</w:t>
      </w:r>
      <w:r>
        <w:t>s</w:t>
      </w:r>
      <w:r w:rsidRPr="004F5699">
        <w:t xml:space="preserve"> (81 FR 77240 through 77243, 82 FR 53680 through 53686, and 82 FR 53783 through 53785).</w:t>
      </w:r>
    </w:p>
    <w:p w:rsidR="003B7900" w:rsidRPr="001C02A4" w:rsidP="00E37BE8" w14:paraId="0FDB0D29" w14:textId="56689C8B">
      <w:pPr>
        <w:pStyle w:val="BodyText"/>
      </w:pPr>
      <w:bookmarkStart w:id="181" w:name="_Hlk516984963"/>
      <w:r w:rsidRPr="004F5699">
        <w:t>Respondents (MIPS eligible individual clinicians, groups, or APM Entities) who apply for reweighting of the quality, cost, and/or improvement activities performance categories have the option of applying for reweighting of the Promoting Interoperability performance category on the same online form. We assume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p>
    <w:p w:rsidR="003D0A18" w:rsidRPr="00920A23" w:rsidP="00E37BE8" w14:paraId="2A0F18D6" w14:textId="4A22AD25">
      <w:pPr>
        <w:pStyle w:val="BodyText"/>
        <w:rPr>
          <w:rFonts w:eastAsia="Calibri"/>
        </w:rPr>
      </w:pPr>
      <w:r w:rsidRPr="00920A23">
        <w:rPr>
          <w:rFonts w:eastAsia="Calibri"/>
        </w:rPr>
        <w:t xml:space="preserve">Table </w:t>
      </w:r>
      <w:r>
        <w:rPr>
          <w:rFonts w:eastAsia="Calibri"/>
        </w:rPr>
        <w:t>1</w:t>
      </w:r>
      <w:r w:rsidR="00FC111D">
        <w:rPr>
          <w:rFonts w:eastAsia="Calibri"/>
        </w:rPr>
        <w:t>8</w:t>
      </w:r>
      <w:r w:rsidRPr="00920A23">
        <w:rPr>
          <w:rFonts w:eastAsia="Calibri"/>
        </w:rPr>
        <w:t xml:space="preserve"> </w:t>
      </w:r>
      <w:r w:rsidRPr="006F3E8B" w:rsidR="006F3E8B">
        <w:rPr>
          <w:rFonts w:eastAsia="Calibri"/>
        </w:rPr>
        <w:t xml:space="preserve">summarizes the burden for clinicians to apply for reweighting </w:t>
      </w:r>
      <w:r w:rsidR="003B7900">
        <w:rPr>
          <w:rFonts w:eastAsia="Calibri"/>
        </w:rPr>
        <w:t xml:space="preserve">for one or more of the MIPS performance categories to zero percent due to an extreme or uncontrollable circumstance, significant hardship, or other exception as provided in </w:t>
      </w:r>
      <w:r w:rsidRPr="004F5699" w:rsidR="003B7900">
        <w:t>§ 414.1380(c)(2)(i).</w:t>
      </w:r>
      <w:r w:rsidR="003B7900">
        <w:rPr>
          <w:rFonts w:eastAsia="Calibri"/>
        </w:rPr>
        <w:t xml:space="preserve"> </w:t>
      </w:r>
      <w:r w:rsidRPr="00026158" w:rsidR="00026158">
        <w:rPr>
          <w:color w:val="000000"/>
          <w:shd w:val="clear" w:color="auto" w:fill="FFFFFF"/>
        </w:rPr>
        <w:t xml:space="preserve">We </w:t>
      </w:r>
      <w:r w:rsidR="00890F29">
        <w:rPr>
          <w:color w:val="000000"/>
          <w:shd w:val="clear" w:color="auto" w:fill="FFFFFF"/>
        </w:rPr>
        <w:t>updated</w:t>
      </w:r>
      <w:r w:rsidRPr="00026158" w:rsidR="00026158">
        <w:rPr>
          <w:color w:val="000000"/>
          <w:shd w:val="clear" w:color="auto" w:fill="FFFFFF"/>
        </w:rPr>
        <w:t xml:space="preserve"> our burden estimates relevant to this ICR</w:t>
      </w:r>
      <w:r w:rsidRPr="00026158" w:rsidR="006F3E8B">
        <w:rPr>
          <w:rFonts w:eastAsia="Calibri"/>
          <w:color w:val="000000"/>
          <w:shd w:val="clear" w:color="auto" w:fill="FFFFFF"/>
        </w:rPr>
        <w:t xml:space="preserve"> on the number of reweighting applications </w:t>
      </w:r>
      <w:r w:rsidRPr="00026158" w:rsidR="00026158">
        <w:rPr>
          <w:color w:val="000000"/>
          <w:shd w:val="clear" w:color="auto" w:fill="FFFFFF"/>
        </w:rPr>
        <w:t>received for the CY 2023 performance period/2025 MIPS payment year</w:t>
      </w:r>
      <w:r w:rsidRPr="00026158" w:rsidR="00391CFA">
        <w:rPr>
          <w:rFonts w:eastAsia="Calibri"/>
          <w:color w:val="000000"/>
          <w:shd w:val="clear" w:color="auto" w:fill="FFFFFF"/>
        </w:rPr>
        <w:t xml:space="preserve"> by </w:t>
      </w:r>
      <w:r w:rsidRPr="00026158" w:rsidR="00026158">
        <w:rPr>
          <w:color w:val="000000"/>
          <w:shd w:val="clear" w:color="auto" w:fill="FFFFFF"/>
        </w:rPr>
        <w:t>January 2, 2024, that d</w:t>
      </w:r>
      <w:r w:rsidR="00793DE0">
        <w:rPr>
          <w:color w:val="000000"/>
          <w:shd w:val="clear" w:color="auto" w:fill="FFFFFF"/>
        </w:rPr>
        <w:t>id</w:t>
      </w:r>
      <w:r w:rsidRPr="00026158" w:rsidR="00026158">
        <w:rPr>
          <w:color w:val="000000"/>
          <w:shd w:val="clear" w:color="auto" w:fill="FFFFFF"/>
        </w:rPr>
        <w:t xml:space="preserve"> not cite</w:t>
      </w:r>
      <w:r w:rsidR="003B7900">
        <w:rPr>
          <w:color w:val="000000"/>
          <w:shd w:val="clear" w:color="auto" w:fill="FFFFFF"/>
        </w:rPr>
        <w:t xml:space="preserve"> the</w:t>
      </w:r>
      <w:r w:rsidRPr="00026158" w:rsidR="00026158">
        <w:rPr>
          <w:color w:val="000000"/>
          <w:shd w:val="clear" w:color="auto" w:fill="FFFFFF"/>
        </w:rPr>
        <w:t xml:space="preserve"> COVID-19</w:t>
      </w:r>
      <w:r w:rsidR="003B7900">
        <w:rPr>
          <w:color w:val="000000"/>
          <w:shd w:val="clear" w:color="auto" w:fill="FFFFFF"/>
        </w:rPr>
        <w:t xml:space="preserve"> public health emergency (PHE) as the basis for reweighting</w:t>
      </w:r>
      <w:r w:rsidRPr="00026158" w:rsidR="00026158">
        <w:rPr>
          <w:color w:val="000000"/>
          <w:shd w:val="clear" w:color="auto" w:fill="FFFFFF"/>
        </w:rPr>
        <w:t>. </w:t>
      </w:r>
      <w:r w:rsidR="003B7900">
        <w:rPr>
          <w:color w:val="000000"/>
          <w:shd w:val="clear" w:color="auto" w:fill="FFFFFF"/>
        </w:rPr>
        <w:t xml:space="preserve">The federal PHE for COVID-19 under </w:t>
      </w:r>
      <w:r w:rsidRPr="004F5699" w:rsidR="003B7900">
        <w:t xml:space="preserve">section 319 of the Public Health Service Act </w:t>
      </w:r>
      <w:r w:rsidRPr="001C02A4" w:rsidR="003B7900">
        <w:t>ended</w:t>
      </w:r>
      <w:r w:rsidRPr="003B7900" w:rsidR="003B7900">
        <w:t xml:space="preserve"> on May 11, 2023.</w:t>
      </w:r>
      <w:r>
        <w:rPr>
          <w:rStyle w:val="FootnoteReference"/>
        </w:rPr>
        <w:footnoteReference w:id="6"/>
      </w:r>
      <w:r w:rsidRPr="003B7900" w:rsidR="003B7900">
        <w:t xml:space="preserve"> As a result of the end of the PHE, MIPS eligible clinicians will no longer be able to submit a reweighting application citing hardships from the </w:t>
      </w:r>
      <w:bookmarkStart w:id="182" w:name="_Hlk83818948"/>
      <w:r w:rsidRPr="003B7900" w:rsidR="003B7900">
        <w:t>PHE for COVID-19</w:t>
      </w:r>
      <w:bookmarkEnd w:id="182"/>
      <w:r w:rsidRPr="003B7900" w:rsidR="003B7900">
        <w:t>; therefore, we are excluding reweighting applications citing the COVID</w:t>
      </w:r>
      <w:r w:rsidRPr="001C02A4" w:rsidR="003B7900">
        <w:t xml:space="preserve">-19 </w:t>
      </w:r>
      <w:r w:rsidRPr="003B7900" w:rsidR="003B7900">
        <w:t>PHE</w:t>
      </w:r>
      <w:r w:rsidRPr="001C02A4" w:rsidR="003B7900">
        <w:t xml:space="preserve"> in</w:t>
      </w:r>
      <w:r w:rsidRPr="003B7900" w:rsidR="003B7900">
        <w:t xml:space="preserve"> our</w:t>
      </w:r>
      <w:r w:rsidRPr="004F5699" w:rsidR="003B7900">
        <w:t xml:space="preserve"> estimate for CY 2025 performance period/2027 MIPS payment year reweighting applications. </w:t>
      </w:r>
      <w:r w:rsidRPr="006F3E8B" w:rsidR="006F3E8B">
        <w:rPr>
          <w:rFonts w:eastAsia="Calibri"/>
        </w:rPr>
        <w:t>Based on t</w:t>
      </w:r>
      <w:r w:rsidR="00026158">
        <w:rPr>
          <w:rFonts w:eastAsia="Calibri"/>
        </w:rPr>
        <w:t xml:space="preserve">hese updated </w:t>
      </w:r>
      <w:r w:rsidR="00890F29">
        <w:rPr>
          <w:rFonts w:eastAsia="Calibri"/>
        </w:rPr>
        <w:t>assumptions and data,</w:t>
      </w:r>
      <w:r w:rsidRPr="006F3E8B" w:rsidR="006F3E8B">
        <w:rPr>
          <w:rFonts w:eastAsia="Calibri"/>
        </w:rPr>
        <w:t xml:space="preserve"> we assume </w:t>
      </w:r>
      <w:r w:rsidR="00412B36">
        <w:rPr>
          <w:rFonts w:eastAsia="Calibri"/>
        </w:rPr>
        <w:t xml:space="preserve">that we will receive </w:t>
      </w:r>
      <w:r w:rsidRPr="00A0037F" w:rsidR="00412B36">
        <w:rPr>
          <w:rFonts w:eastAsia="Calibri"/>
        </w:rPr>
        <w:t xml:space="preserve">approximately </w:t>
      </w:r>
      <w:r w:rsidRPr="00A0037F" w:rsidR="00A03F68">
        <w:rPr>
          <w:rFonts w:eastAsia="Calibri"/>
        </w:rPr>
        <w:t>3,297</w:t>
      </w:r>
      <w:r w:rsidR="00412B36">
        <w:rPr>
          <w:rFonts w:eastAsia="Calibri"/>
        </w:rPr>
        <w:t xml:space="preserve"> </w:t>
      </w:r>
      <w:r w:rsidR="003B7900">
        <w:rPr>
          <w:rFonts w:eastAsia="Calibri"/>
        </w:rPr>
        <w:t xml:space="preserve">applications to </w:t>
      </w:r>
      <w:r w:rsidR="003B7900">
        <w:rPr>
          <w:rFonts w:eastAsia="Calibri"/>
        </w:rPr>
        <w:t xml:space="preserve">request </w:t>
      </w:r>
      <w:r w:rsidR="00412B36">
        <w:rPr>
          <w:rFonts w:eastAsia="Calibri"/>
        </w:rPr>
        <w:t xml:space="preserve">reweighting </w:t>
      </w:r>
      <w:r w:rsidR="003B7900">
        <w:rPr>
          <w:rFonts w:eastAsia="Calibri"/>
        </w:rPr>
        <w:t xml:space="preserve">for any or all of the four MIPS performance categories </w:t>
      </w:r>
      <w:r w:rsidR="00412B36">
        <w:rPr>
          <w:rFonts w:eastAsia="Calibri"/>
        </w:rPr>
        <w:t>for the CY 202</w:t>
      </w:r>
      <w:r w:rsidR="00A03F68">
        <w:rPr>
          <w:rFonts w:eastAsia="Calibri"/>
        </w:rPr>
        <w:t>5</w:t>
      </w:r>
      <w:r w:rsidR="00412B36">
        <w:rPr>
          <w:rFonts w:eastAsia="Calibri"/>
        </w:rPr>
        <w:t xml:space="preserve"> performance period/202</w:t>
      </w:r>
      <w:r w:rsidR="00A03F68">
        <w:rPr>
          <w:rFonts w:eastAsia="Calibri"/>
        </w:rPr>
        <w:t>7</w:t>
      </w:r>
      <w:r w:rsidR="00412B36">
        <w:rPr>
          <w:rFonts w:eastAsia="Calibri"/>
        </w:rPr>
        <w:t xml:space="preserve"> MIPS payment year</w:t>
      </w:r>
      <w:r w:rsidR="00956017">
        <w:rPr>
          <w:rFonts w:eastAsia="Calibri"/>
        </w:rPr>
        <w:t xml:space="preserve">. </w:t>
      </w:r>
      <w:r w:rsidRPr="004F5699" w:rsidR="003B7900">
        <w:rPr>
          <w:rFonts w:eastAsia="Calibri"/>
        </w:rPr>
        <w:t xml:space="preserve">Of the </w:t>
      </w:r>
      <w:sdt>
        <w:sdtPr>
          <w:rPr>
            <w:rFonts w:eastAsia="Calibri"/>
          </w:rPr>
          <w:alias w:val=" "/>
          <w:tag w:val="NAV_SWIFT_1923df57-6d73-4265-b0bb-af0ac734ab89"/>
          <w:id w:val="1753002475"/>
          <w:placeholder>
            <w:docPart w:val="E453B1D7412D4965BF03A168C57D7989"/>
          </w:placeholder>
          <w:showingPlcHdr/>
          <w:richText/>
          <w15:appearance w15:val="hidden"/>
        </w:sdtPr>
        <w:sdtContent/>
      </w:sdt>
      <w:r w:rsidRPr="004F5699" w:rsidR="003B7900">
        <w:rPr>
          <w:rFonts w:eastAsia="Calibri"/>
        </w:rPr>
        <w:t xml:space="preserve">3,297, we estimate that 2,490 </w:t>
      </w:r>
      <w:r w:rsidR="003B7900">
        <w:t>MIPS eligible clinicians or groups</w:t>
      </w:r>
      <w:r w:rsidRPr="004F5699" w:rsidR="003B7900">
        <w:t xml:space="preserve"> will submit a request </w:t>
      </w:r>
      <w:r w:rsidR="003B7900">
        <w:t xml:space="preserve">that includes </w:t>
      </w:r>
      <w:r w:rsidRPr="004F5699" w:rsidR="003B7900">
        <w:t>reweight</w:t>
      </w:r>
      <w:r w:rsidR="003B7900">
        <w:t>ing</w:t>
      </w:r>
      <w:r w:rsidRPr="004F5699" w:rsidR="003B7900">
        <w:t xml:space="preserve"> t</w:t>
      </w:r>
      <w:r w:rsidR="003B7900">
        <w:t xml:space="preserve">he </w:t>
      </w:r>
      <w:r w:rsidRPr="004F5699" w:rsidR="003B7900">
        <w:t>Promoting Interoperability performance category to zero percent due to a significant hardship or other exception as provided in § 414.1380(c)(2)(i)(C)</w:t>
      </w:r>
      <w:r w:rsidR="00974CB2">
        <w:t>,</w:t>
      </w:r>
      <w:r w:rsidRPr="004F5699" w:rsidR="003B7900">
        <w:rPr>
          <w:rFonts w:eastAsia="Calibri"/>
        </w:rPr>
        <w:t xml:space="preserve"> </w:t>
      </w:r>
      <w:r w:rsidR="003B7900">
        <w:t xml:space="preserve">and </w:t>
      </w:r>
      <w:r w:rsidR="003B7900">
        <w:rPr>
          <w:rFonts w:eastAsia="Calibri"/>
        </w:rPr>
        <w:t>w</w:t>
      </w:r>
      <w:r w:rsidRPr="004F5699" w:rsidR="003B7900">
        <w:rPr>
          <w:rFonts w:eastAsia="Calibri"/>
        </w:rPr>
        <w:t xml:space="preserve">e estimate that 802 </w:t>
      </w:r>
      <w:r w:rsidR="003B7900">
        <w:t>MIPS eligible clinicians or groups</w:t>
      </w:r>
      <w:r w:rsidRPr="004F5699" w:rsidR="003B7900">
        <w:t xml:space="preserve"> will </w:t>
      </w:r>
      <w:r w:rsidR="003B7900">
        <w:t xml:space="preserve">submit a request to </w:t>
      </w:r>
      <w:r w:rsidRPr="004F5699" w:rsidR="003B7900">
        <w:t xml:space="preserve">reweight one or more of the </w:t>
      </w:r>
      <w:r w:rsidR="003B7900">
        <w:t>MIPS</w:t>
      </w:r>
      <w:r w:rsidRPr="004F5699" w:rsidR="003B7900">
        <w:t xml:space="preserve"> performance categories as provided in § 414.1380(c)(2)(i). </w:t>
      </w:r>
      <w:r w:rsidRPr="004F5699" w:rsidR="003B7900">
        <w:rPr>
          <w:rFonts w:eastAsia="Calibri"/>
        </w:rPr>
        <w:t xml:space="preserve">Additionally, we estimate </w:t>
      </w:r>
      <w:r w:rsidR="00D969C3">
        <w:rPr>
          <w:rFonts w:eastAsia="Calibri"/>
        </w:rPr>
        <w:t>five</w:t>
      </w:r>
      <w:r w:rsidRPr="004F5699" w:rsidR="00D969C3">
        <w:rPr>
          <w:rFonts w:eastAsia="Calibri"/>
        </w:rPr>
        <w:t xml:space="preserve"> </w:t>
      </w:r>
      <w:r w:rsidRPr="004F5699" w:rsidR="003B7900">
        <w:rPr>
          <w:rFonts w:eastAsia="Calibri"/>
        </w:rPr>
        <w:t xml:space="preserve">APM Entities will submit an extreme and uncontrollable circumstances exception application </w:t>
      </w:r>
      <w:r w:rsidR="003B7900">
        <w:rPr>
          <w:rFonts w:eastAsia="Calibri"/>
        </w:rPr>
        <w:t xml:space="preserve">to reweight one or more MIPS performance category </w:t>
      </w:r>
      <w:r w:rsidRPr="004F5699" w:rsidR="003B7900">
        <w:rPr>
          <w:rFonts w:eastAsia="Calibri"/>
        </w:rPr>
        <w:t xml:space="preserve">for the CY 2025 performance period/2027 MIPS payment year. This adjustment, due to both updated data and the end of the COVID PHE, results in a decrease of 25,930 respondents compared to our currently approved estimate of 29,227 respondents (88 FR 79449 and 79450). We note the currently approved estimate included reweighting applications citing the COVID-19 </w:t>
      </w:r>
      <w:r w:rsidR="003B7900">
        <w:rPr>
          <w:rFonts w:eastAsia="Calibri"/>
        </w:rPr>
        <w:t>PHE.</w:t>
      </w:r>
    </w:p>
    <w:p w:rsidR="00786CAC" w:rsidP="00E37BE8" w14:paraId="05FBD1D6" w14:textId="67DFEA5B">
      <w:pPr>
        <w:pStyle w:val="BodyText"/>
        <w:rPr>
          <w:rFonts w:eastAsia="Calibri"/>
        </w:rPr>
      </w:pPr>
      <w:r w:rsidRPr="00377419">
        <w:rPr>
          <w:rFonts w:eastAsia="Calibri"/>
        </w:rPr>
        <w:t xml:space="preserve">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w:t>
      </w:r>
      <w:r w:rsidR="00310387">
        <w:rPr>
          <w:rFonts w:eastAsia="Calibri"/>
        </w:rPr>
        <w:t xml:space="preserve">also </w:t>
      </w:r>
      <w:r w:rsidRPr="00377419">
        <w:rPr>
          <w:rFonts w:eastAsia="Calibri"/>
        </w:rPr>
        <w:t xml:space="preserve">requires </w:t>
      </w:r>
      <w:r w:rsidR="00310387">
        <w:rPr>
          <w:rFonts w:eastAsia="Calibri"/>
        </w:rPr>
        <w:t xml:space="preserve">the completion of a short online form and </w:t>
      </w:r>
      <w:r w:rsidR="005960F5">
        <w:rPr>
          <w:rFonts w:eastAsia="Calibri"/>
        </w:rPr>
        <w:t>identification of the type of extreme and uncontrollable circumstance</w:t>
      </w:r>
      <w:r w:rsidR="00DA3572">
        <w:rPr>
          <w:rFonts w:eastAsia="Calibri"/>
        </w:rPr>
        <w:t xml:space="preserve"> experienced</w:t>
      </w:r>
      <w:r w:rsidRPr="00377419">
        <w:rPr>
          <w:rFonts w:eastAsia="Calibri"/>
        </w:rPr>
        <w:t xml:space="preserve">. </w:t>
      </w:r>
    </w:p>
    <w:p w:rsidR="006B22A9" w:rsidP="00E37BE8" w14:paraId="14F7D0AD" w14:textId="2F593152">
      <w:pPr>
        <w:pStyle w:val="BodyText"/>
        <w:rPr>
          <w:rFonts w:eastAsia="Calibri"/>
        </w:rPr>
      </w:pPr>
      <w:r>
        <w:rPr>
          <w:rFonts w:eastAsia="Calibri"/>
        </w:rPr>
        <w:t>As shown in Table 18, w</w:t>
      </w:r>
      <w:r w:rsidRPr="00377419" w:rsidR="00377419">
        <w:rPr>
          <w:rFonts w:eastAsia="Calibri"/>
        </w:rPr>
        <w:t xml:space="preserve">e estimate </w:t>
      </w:r>
      <w:r>
        <w:rPr>
          <w:rFonts w:eastAsia="Calibri"/>
        </w:rPr>
        <w:t xml:space="preserve">that </w:t>
      </w:r>
      <w:r w:rsidRPr="00377419" w:rsidR="00377419">
        <w:rPr>
          <w:rFonts w:eastAsia="Calibri"/>
        </w:rPr>
        <w:t xml:space="preserve">it will take 0.25 hours at </w:t>
      </w:r>
      <w:r w:rsidR="007D530F">
        <w:rPr>
          <w:rFonts w:eastAsia="Calibri"/>
        </w:rPr>
        <w:t>$106.54</w:t>
      </w:r>
      <w:r w:rsidRPr="00377419" w:rsidR="00377419">
        <w:rPr>
          <w:rFonts w:eastAsia="Calibri"/>
        </w:rPr>
        <w:t>/hr for a computer system analyst to complete and submit the application</w:t>
      </w:r>
      <w:r w:rsidRPr="002E563B" w:rsidR="002E563B">
        <w:rPr>
          <w:rFonts w:eastAsia="Calibri"/>
        </w:rPr>
        <w:t xml:space="preserve">. As shown in Table </w:t>
      </w:r>
      <w:r w:rsidR="002E563B">
        <w:rPr>
          <w:rFonts w:eastAsia="Calibri"/>
        </w:rPr>
        <w:t>1</w:t>
      </w:r>
      <w:r>
        <w:rPr>
          <w:rFonts w:eastAsia="Calibri"/>
        </w:rPr>
        <w:t>8</w:t>
      </w:r>
      <w:r w:rsidRPr="002E563B" w:rsidR="002E563B">
        <w:rPr>
          <w:rFonts w:eastAsia="Calibri"/>
        </w:rPr>
        <w:t xml:space="preserve">, </w:t>
      </w:r>
      <w:r w:rsidR="0055143D">
        <w:rPr>
          <w:rFonts w:eastAsia="Calibri"/>
        </w:rPr>
        <w:t xml:space="preserve">in aggregate, </w:t>
      </w:r>
      <w:r w:rsidRPr="00B009B7" w:rsidR="00B009B7">
        <w:rPr>
          <w:rFonts w:eastAsia="Calibri"/>
        </w:rPr>
        <w:t xml:space="preserve">we estimate an annual burden of </w:t>
      </w:r>
      <w:r w:rsidR="00163256">
        <w:rPr>
          <w:rFonts w:eastAsia="Calibri"/>
        </w:rPr>
        <w:t>824</w:t>
      </w:r>
      <w:r w:rsidRPr="00B009B7" w:rsidR="00B009B7">
        <w:rPr>
          <w:rFonts w:eastAsia="Calibri"/>
        </w:rPr>
        <w:t xml:space="preserve"> hours (</w:t>
      </w:r>
      <w:r w:rsidR="00163256">
        <w:rPr>
          <w:rFonts w:eastAsia="Calibri"/>
        </w:rPr>
        <w:t>3,297</w:t>
      </w:r>
      <w:r w:rsidRPr="00B009B7" w:rsidR="00B009B7">
        <w:rPr>
          <w:rFonts w:eastAsia="Calibri"/>
        </w:rPr>
        <w:t xml:space="preserve"> applications </w:t>
      </w:r>
      <w:r w:rsidR="00E45E60">
        <w:t>×</w:t>
      </w:r>
      <w:r w:rsidRPr="00B009B7" w:rsidR="00B009B7">
        <w:rPr>
          <w:rFonts w:eastAsia="Calibri"/>
        </w:rPr>
        <w:t xml:space="preserve"> 0.25 hr/application) a</w:t>
      </w:r>
      <w:r w:rsidR="00613C8F">
        <w:rPr>
          <w:rFonts w:eastAsia="Calibri"/>
        </w:rPr>
        <w:t>t an annual</w:t>
      </w:r>
      <w:r w:rsidR="002629D9">
        <w:rPr>
          <w:rFonts w:eastAsia="Calibri"/>
        </w:rPr>
        <w:t xml:space="preserve"> cost </w:t>
      </w:r>
      <w:r w:rsidR="00BC3840">
        <w:rPr>
          <w:rFonts w:eastAsia="Calibri"/>
        </w:rPr>
        <w:t xml:space="preserve">of </w:t>
      </w:r>
      <w:r w:rsidRPr="00B009B7" w:rsidR="00BC3840">
        <w:rPr>
          <w:rFonts w:eastAsia="Calibri"/>
        </w:rPr>
        <w:t>$</w:t>
      </w:r>
      <w:r w:rsidR="00163256">
        <w:rPr>
          <w:rFonts w:eastAsia="Calibri"/>
        </w:rPr>
        <w:t>87,832</w:t>
      </w:r>
      <w:r w:rsidR="00834947">
        <w:rPr>
          <w:rFonts w:eastAsia="Calibri"/>
        </w:rPr>
        <w:t xml:space="preserve"> </w:t>
      </w:r>
      <w:r w:rsidRPr="00B009B7" w:rsidR="00B009B7">
        <w:rPr>
          <w:rFonts w:eastAsia="Calibri"/>
        </w:rPr>
        <w:t>(</w:t>
      </w:r>
      <w:r w:rsidR="00163256">
        <w:rPr>
          <w:rFonts w:eastAsia="Calibri"/>
        </w:rPr>
        <w:t>3,297</w:t>
      </w:r>
      <w:r>
        <w:rPr>
          <w:rFonts w:eastAsia="Calibri"/>
        </w:rPr>
        <w:t xml:space="preserve"> applications</w:t>
      </w:r>
      <w:r w:rsidRPr="00B009B7" w:rsidR="00B009B7">
        <w:rPr>
          <w:rFonts w:eastAsia="Calibri"/>
        </w:rPr>
        <w:t xml:space="preserve"> </w:t>
      </w:r>
      <w:r w:rsidR="00E45E60">
        <w:t>×</w:t>
      </w:r>
      <w:r w:rsidRPr="00B009B7" w:rsidR="00B009B7">
        <w:rPr>
          <w:rFonts w:eastAsia="Calibri"/>
        </w:rPr>
        <w:t xml:space="preserve"> $</w:t>
      </w:r>
      <w:r>
        <w:rPr>
          <w:rFonts w:eastAsia="Calibri"/>
        </w:rPr>
        <w:t>2</w:t>
      </w:r>
      <w:r w:rsidR="00163256">
        <w:rPr>
          <w:rFonts w:eastAsia="Calibri"/>
        </w:rPr>
        <w:t>6.64</w:t>
      </w:r>
      <w:r w:rsidRPr="00B009B7" w:rsidR="00B009B7">
        <w:rPr>
          <w:rFonts w:eastAsia="Calibri"/>
        </w:rPr>
        <w:t>/</w:t>
      </w:r>
      <w:r>
        <w:rPr>
          <w:rFonts w:eastAsia="Calibri"/>
        </w:rPr>
        <w:t>application</w:t>
      </w:r>
      <w:r w:rsidRPr="00B009B7" w:rsidR="00B009B7">
        <w:rPr>
          <w:rFonts w:eastAsia="Calibri"/>
        </w:rPr>
        <w:t>)</w:t>
      </w:r>
      <w:r w:rsidRPr="004276D6" w:rsidR="0015290C">
        <w:rPr>
          <w:rFonts w:eastAsia="Calibri"/>
        </w:rPr>
        <w:t>.</w:t>
      </w:r>
      <w:bookmarkEnd w:id="181"/>
    </w:p>
    <w:p w:rsidR="006B22A9" w:rsidRPr="00A0296B" w:rsidP="00E37BE8" w14:paraId="094C324F" w14:textId="550D28AC">
      <w:pPr>
        <w:pStyle w:val="ExhibitTitle"/>
        <w:rPr>
          <w:b w:val="0"/>
          <w:bCs/>
        </w:rPr>
      </w:pPr>
      <w:r w:rsidRPr="00A0296B">
        <w:rPr>
          <w:b w:val="0"/>
          <w:bCs/>
        </w:rPr>
        <w:t>T</w:t>
      </w:r>
      <w:r w:rsidRPr="00A0296B" w:rsidR="00C035B3">
        <w:rPr>
          <w:b w:val="0"/>
          <w:bCs/>
        </w:rPr>
        <w:t>able</w:t>
      </w:r>
      <w:r w:rsidRPr="00A0296B">
        <w:rPr>
          <w:b w:val="0"/>
          <w:bCs/>
        </w:rPr>
        <w:t xml:space="preserve"> </w:t>
      </w:r>
      <w:r w:rsidRPr="00A0296B" w:rsidR="0015290C">
        <w:rPr>
          <w:b w:val="0"/>
          <w:bCs/>
        </w:rPr>
        <w:t>1</w:t>
      </w:r>
      <w:r w:rsidRPr="00A0296B" w:rsidR="0055314C">
        <w:rPr>
          <w:b w:val="0"/>
          <w:bCs/>
        </w:rPr>
        <w:t>8</w:t>
      </w:r>
      <w:r w:rsidRPr="00A0296B">
        <w:rPr>
          <w:b w:val="0"/>
          <w:bCs/>
        </w:rPr>
        <w:t xml:space="preserve">: </w:t>
      </w:r>
      <w:r w:rsidRPr="00A0296B" w:rsidR="0091620D">
        <w:rPr>
          <w:b w:val="0"/>
          <w:bCs/>
        </w:rPr>
        <w:t xml:space="preserve">Estimated </w:t>
      </w:r>
      <w:r w:rsidRPr="00A0296B">
        <w:rPr>
          <w:b w:val="0"/>
          <w:bCs/>
        </w:rPr>
        <w:t xml:space="preserve">Burden for </w:t>
      </w:r>
      <w:r w:rsidRPr="00A0296B" w:rsidR="0015290C">
        <w:rPr>
          <w:b w:val="0"/>
          <w:bCs/>
        </w:rPr>
        <w:t xml:space="preserve">Reweighting Applications for </w:t>
      </w:r>
      <w:r w:rsidRPr="00A0296B" w:rsidR="009D09B2">
        <w:rPr>
          <w:b w:val="0"/>
          <w:bCs/>
        </w:rPr>
        <w:t>MIPS Performance Categories</w:t>
      </w:r>
    </w:p>
    <w:tbl>
      <w:tblPr>
        <w:tblStyle w:val="TableGrid"/>
        <w:tblDescription w:val="Table 18: the estimated burden for applying to request reweighting of one or more of the M I P S performance categories (hardship or extreme and uncontrollable circumstance)."/>
        <w:tblW w:w="0" w:type="auto"/>
        <w:tblLook w:val="04A0"/>
      </w:tblPr>
      <w:tblGrid>
        <w:gridCol w:w="7555"/>
        <w:gridCol w:w="1795"/>
      </w:tblGrid>
      <w:tr w14:paraId="342B57CB" w14:textId="77777777" w:rsidTr="00245839">
        <w:tblPrEx>
          <w:tblW w:w="0" w:type="auto"/>
          <w:tblLook w:val="04A0"/>
        </w:tblPrEx>
        <w:trPr>
          <w:cantSplit/>
          <w:tblHeader/>
        </w:trPr>
        <w:tc>
          <w:tcPr>
            <w:tcW w:w="7555" w:type="dxa"/>
          </w:tcPr>
          <w:p w:rsidR="00CA78C2" w:rsidRPr="004F5699" w:rsidP="00E37BE8" w14:paraId="1AC984E3" w14:textId="77777777">
            <w:pPr>
              <w:pStyle w:val="Table11-ColumnHeading"/>
            </w:pPr>
            <w:r w:rsidRPr="004F5699">
              <w:t>Burden and Respondent Descriptions</w:t>
            </w:r>
          </w:p>
        </w:tc>
        <w:tc>
          <w:tcPr>
            <w:tcW w:w="1795" w:type="dxa"/>
          </w:tcPr>
          <w:p w:rsidR="00CA78C2" w:rsidRPr="004F5699" w:rsidP="00E37BE8" w14:paraId="3FFBA665" w14:textId="77777777">
            <w:pPr>
              <w:pStyle w:val="Table11-ColumnHeading"/>
            </w:pPr>
            <w:r w:rsidRPr="004F5699">
              <w:t>Burden Estimate</w:t>
            </w:r>
          </w:p>
        </w:tc>
      </w:tr>
      <w:tr w14:paraId="431B644C" w14:textId="77777777" w:rsidTr="00245839">
        <w:tblPrEx>
          <w:tblW w:w="0" w:type="auto"/>
          <w:tblLook w:val="04A0"/>
        </w:tblPrEx>
        <w:trPr>
          <w:cantSplit/>
        </w:trPr>
        <w:tc>
          <w:tcPr>
            <w:tcW w:w="7555" w:type="dxa"/>
          </w:tcPr>
          <w:p w:rsidR="00CA78C2" w:rsidRPr="004F5699" w:rsidP="00E37BE8" w14:paraId="7DD3DE2F" w14:textId="77777777">
            <w:pPr>
              <w:pStyle w:val="Table11Basic"/>
            </w:pPr>
            <w:r w:rsidRPr="004F5699">
              <w:t># of Eligible Clinicians or Groups Applying Due to Significant Hardship and Other Exceptions or Extreme and Uncontrollable Circumstances (a)</w:t>
            </w:r>
          </w:p>
        </w:tc>
        <w:tc>
          <w:tcPr>
            <w:tcW w:w="1795" w:type="dxa"/>
          </w:tcPr>
          <w:p w:rsidR="00CA78C2" w:rsidRPr="004F5699" w:rsidP="00E37BE8" w14:paraId="43FFB04D" w14:textId="77777777">
            <w:pPr>
              <w:pStyle w:val="Table11Centered"/>
            </w:pPr>
            <w:r w:rsidRPr="004F5699">
              <w:t>3,292</w:t>
            </w:r>
          </w:p>
        </w:tc>
      </w:tr>
      <w:tr w14:paraId="29354B46" w14:textId="77777777" w:rsidTr="00245839">
        <w:tblPrEx>
          <w:tblW w:w="0" w:type="auto"/>
          <w:tblLook w:val="04A0"/>
        </w:tblPrEx>
        <w:trPr>
          <w:cantSplit/>
        </w:trPr>
        <w:tc>
          <w:tcPr>
            <w:tcW w:w="7555" w:type="dxa"/>
          </w:tcPr>
          <w:p w:rsidR="00CA78C2" w:rsidRPr="004F5699" w:rsidP="00E37BE8" w14:paraId="0CE387C9" w14:textId="77777777">
            <w:pPr>
              <w:pStyle w:val="Table11Basic"/>
            </w:pPr>
            <w:r w:rsidRPr="004F5699">
              <w:t># APM Entities Requesting Extreme and Uncontrollable Circumstances Exception (b)</w:t>
            </w:r>
          </w:p>
        </w:tc>
        <w:tc>
          <w:tcPr>
            <w:tcW w:w="1795" w:type="dxa"/>
          </w:tcPr>
          <w:p w:rsidR="00CA78C2" w:rsidRPr="004F5699" w:rsidP="00E37BE8" w14:paraId="0FDCEB23" w14:textId="77777777">
            <w:pPr>
              <w:pStyle w:val="Table11Centered"/>
            </w:pPr>
            <w:r w:rsidRPr="004F5699">
              <w:t>5</w:t>
            </w:r>
          </w:p>
        </w:tc>
      </w:tr>
      <w:tr w14:paraId="7E7C59AF" w14:textId="77777777" w:rsidTr="00245839">
        <w:tblPrEx>
          <w:tblW w:w="0" w:type="auto"/>
          <w:tblLook w:val="04A0"/>
        </w:tblPrEx>
        <w:trPr>
          <w:cantSplit/>
        </w:trPr>
        <w:tc>
          <w:tcPr>
            <w:tcW w:w="7555" w:type="dxa"/>
            <w:shd w:val="clear" w:color="auto" w:fill="E7E6E6" w:themeFill="background2"/>
          </w:tcPr>
          <w:p w:rsidR="00CA78C2" w:rsidRPr="004F5699" w:rsidP="00E37BE8" w14:paraId="7C9580B0" w14:textId="77777777">
            <w:pPr>
              <w:pStyle w:val="Table11Basic"/>
              <w:rPr>
                <w:b/>
              </w:rPr>
            </w:pPr>
            <w:r w:rsidRPr="004F5699">
              <w:rPr>
                <w:b/>
              </w:rPr>
              <w:t>Total Applications Submitted (c)</w:t>
            </w:r>
          </w:p>
        </w:tc>
        <w:tc>
          <w:tcPr>
            <w:tcW w:w="1795" w:type="dxa"/>
            <w:shd w:val="clear" w:color="auto" w:fill="E7E6E6" w:themeFill="background2"/>
          </w:tcPr>
          <w:p w:rsidR="00CA78C2" w:rsidRPr="004F5699" w:rsidP="00E37BE8" w14:paraId="0E76CBFD" w14:textId="77777777">
            <w:pPr>
              <w:pStyle w:val="Table11Centered"/>
              <w:rPr>
                <w:b/>
              </w:rPr>
            </w:pPr>
            <w:r w:rsidRPr="004F5699">
              <w:rPr>
                <w:b/>
              </w:rPr>
              <w:t>3,297</w:t>
            </w:r>
          </w:p>
        </w:tc>
      </w:tr>
      <w:tr w14:paraId="49ABD9FA" w14:textId="77777777" w:rsidTr="00245839">
        <w:tblPrEx>
          <w:tblW w:w="0" w:type="auto"/>
          <w:tblLook w:val="04A0"/>
        </w:tblPrEx>
        <w:trPr>
          <w:cantSplit/>
        </w:trPr>
        <w:tc>
          <w:tcPr>
            <w:tcW w:w="7555" w:type="dxa"/>
          </w:tcPr>
          <w:p w:rsidR="00CA78C2" w:rsidRPr="004F5699" w:rsidP="00E37BE8" w14:paraId="0389984C" w14:textId="77777777">
            <w:pPr>
              <w:pStyle w:val="Table11Basic"/>
            </w:pPr>
            <w:r w:rsidRPr="004F5699">
              <w:t xml:space="preserve">Annual Hours Per Applicant per Application Submission (d) </w:t>
            </w:r>
          </w:p>
        </w:tc>
        <w:tc>
          <w:tcPr>
            <w:tcW w:w="1795" w:type="dxa"/>
          </w:tcPr>
          <w:p w:rsidR="00CA78C2" w:rsidRPr="004F5699" w:rsidP="00E37BE8" w14:paraId="50A449B1" w14:textId="77777777">
            <w:pPr>
              <w:pStyle w:val="Table11Centered"/>
            </w:pPr>
            <w:r w:rsidRPr="004F5699">
              <w:t>0.25</w:t>
            </w:r>
          </w:p>
        </w:tc>
      </w:tr>
      <w:tr w14:paraId="32CE2718" w14:textId="77777777" w:rsidTr="00245839">
        <w:tblPrEx>
          <w:tblW w:w="0" w:type="auto"/>
          <w:tblLook w:val="04A0"/>
        </w:tblPrEx>
        <w:trPr>
          <w:cantSplit/>
        </w:trPr>
        <w:tc>
          <w:tcPr>
            <w:tcW w:w="7555" w:type="dxa"/>
            <w:shd w:val="clear" w:color="auto" w:fill="E7E6E6" w:themeFill="background2"/>
          </w:tcPr>
          <w:p w:rsidR="00CA78C2" w:rsidRPr="004F5699" w:rsidP="00E37BE8" w14:paraId="60D61B05" w14:textId="5EFB6336">
            <w:pPr>
              <w:pStyle w:val="Table11Basic"/>
              <w:rPr>
                <w:b/>
              </w:rPr>
            </w:pPr>
            <w:r w:rsidRPr="004F5699">
              <w:rPr>
                <w:b/>
              </w:rPr>
              <w:t xml:space="preserve">Total Annual Hours (e) = (c) </w:t>
            </w:r>
            <w:r w:rsidR="00561B40">
              <w:rPr>
                <w:b/>
                <w:bCs/>
                <w:color w:val="000000" w:themeColor="text1"/>
              </w:rPr>
              <w:t>[</w:t>
            </w:r>
            <w:r w:rsidRPr="00E45E60" w:rsidR="00E45E60">
              <w:rPr>
                <w:b/>
                <w:bCs/>
              </w:rPr>
              <w:t>×</w:t>
            </w:r>
            <w:r w:rsidR="00561B40">
              <w:rPr>
                <w:b/>
                <w:bCs/>
                <w:color w:val="000000" w:themeColor="text1"/>
              </w:rPr>
              <w:t>]</w:t>
            </w:r>
            <w:r w:rsidRPr="004F5699">
              <w:rPr>
                <w:b/>
              </w:rPr>
              <w:t xml:space="preserve"> (d)</w:t>
            </w:r>
          </w:p>
        </w:tc>
        <w:tc>
          <w:tcPr>
            <w:tcW w:w="1795" w:type="dxa"/>
            <w:shd w:val="clear" w:color="auto" w:fill="E7E6E6" w:themeFill="background2"/>
          </w:tcPr>
          <w:p w:rsidR="00CA78C2" w:rsidRPr="004F5699" w:rsidP="00E37BE8" w14:paraId="10D7686F" w14:textId="77777777">
            <w:pPr>
              <w:pStyle w:val="Table11Centered"/>
              <w:rPr>
                <w:b/>
              </w:rPr>
            </w:pPr>
            <w:r w:rsidRPr="004F5699">
              <w:rPr>
                <w:b/>
                <w:bCs/>
              </w:rPr>
              <w:t>824</w:t>
            </w:r>
          </w:p>
        </w:tc>
      </w:tr>
      <w:tr w14:paraId="2069D1C0" w14:textId="77777777" w:rsidTr="00245839">
        <w:tblPrEx>
          <w:tblW w:w="0" w:type="auto"/>
          <w:tblLook w:val="04A0"/>
        </w:tblPrEx>
        <w:trPr>
          <w:cantSplit/>
        </w:trPr>
        <w:tc>
          <w:tcPr>
            <w:tcW w:w="7555" w:type="dxa"/>
          </w:tcPr>
          <w:p w:rsidR="00CA78C2" w:rsidRPr="004F5699" w:rsidP="00E37BE8" w14:paraId="29BE831C" w14:textId="445B4089">
            <w:pPr>
              <w:pStyle w:val="Table11Basic"/>
            </w:pPr>
            <w:r w:rsidRPr="004F5699">
              <w:t xml:space="preserve">Cost to Submit a Reweighting Application </w:t>
            </w:r>
            <w:r w:rsidR="00A87331">
              <w:t>at</w:t>
            </w:r>
            <w:r w:rsidRPr="004F5699">
              <w:t xml:space="preserve"> Computer Systems Analyst’s Labor Rate of $106.54/hr (f) = (d) </w:t>
            </w:r>
            <w:r w:rsidR="009F665B">
              <w:rPr>
                <w:b/>
                <w:bCs/>
                <w:color w:val="000000" w:themeColor="text1"/>
              </w:rPr>
              <w:t>[</w:t>
            </w:r>
            <w:r w:rsidR="00E45E60">
              <w:t>×</w:t>
            </w:r>
            <w:r w:rsidR="009F665B">
              <w:rPr>
                <w:b/>
                <w:bCs/>
                <w:color w:val="000000" w:themeColor="text1"/>
              </w:rPr>
              <w:t>]</w:t>
            </w:r>
            <w:r w:rsidRPr="004F5699" w:rsidR="009F665B">
              <w:rPr>
                <w:b/>
              </w:rPr>
              <w:t xml:space="preserve"> </w:t>
            </w:r>
            <w:r w:rsidRPr="004F5699">
              <w:t>$106.54/hr</w:t>
            </w:r>
          </w:p>
        </w:tc>
        <w:tc>
          <w:tcPr>
            <w:tcW w:w="1795" w:type="dxa"/>
          </w:tcPr>
          <w:p w:rsidR="00CA78C2" w:rsidRPr="004F5699" w:rsidP="00E37BE8" w14:paraId="0CB89647" w14:textId="77777777">
            <w:pPr>
              <w:pStyle w:val="Table11Centered"/>
            </w:pPr>
            <w:r w:rsidRPr="004F5699">
              <w:t>$26.64</w:t>
            </w:r>
          </w:p>
        </w:tc>
      </w:tr>
      <w:tr w14:paraId="0FB8946C" w14:textId="77777777" w:rsidTr="00245839">
        <w:tblPrEx>
          <w:tblW w:w="0" w:type="auto"/>
          <w:tblLook w:val="04A0"/>
        </w:tblPrEx>
        <w:trPr>
          <w:cantSplit/>
        </w:trPr>
        <w:tc>
          <w:tcPr>
            <w:tcW w:w="7555" w:type="dxa"/>
            <w:shd w:val="clear" w:color="auto" w:fill="E7E6E6" w:themeFill="background2"/>
          </w:tcPr>
          <w:p w:rsidR="00CA78C2" w:rsidRPr="004F5699" w:rsidP="00E37BE8" w14:paraId="16A06FD2" w14:textId="0B01C731">
            <w:pPr>
              <w:pStyle w:val="Table11Basic"/>
              <w:rPr>
                <w:b/>
              </w:rPr>
            </w:pPr>
            <w:r w:rsidRPr="004F5699">
              <w:rPr>
                <w:b/>
              </w:rPr>
              <w:t xml:space="preserve">Total Annual Cost (g) = (c) </w:t>
            </w:r>
            <w:r w:rsidR="00561B40">
              <w:rPr>
                <w:b/>
                <w:bCs/>
                <w:color w:val="000000" w:themeColor="text1"/>
              </w:rPr>
              <w:t>[</w:t>
            </w:r>
            <w:r w:rsidRPr="00E45E60" w:rsidR="00E45E60">
              <w:rPr>
                <w:b/>
                <w:bCs/>
              </w:rPr>
              <w:t>×</w:t>
            </w:r>
            <w:r w:rsidR="00561B40">
              <w:rPr>
                <w:b/>
                <w:bCs/>
                <w:color w:val="000000" w:themeColor="text1"/>
              </w:rPr>
              <w:t>]</w:t>
            </w:r>
            <w:r w:rsidRPr="004F5699">
              <w:rPr>
                <w:b/>
              </w:rPr>
              <w:t xml:space="preserve"> (f)</w:t>
            </w:r>
          </w:p>
        </w:tc>
        <w:tc>
          <w:tcPr>
            <w:tcW w:w="1795" w:type="dxa"/>
            <w:shd w:val="clear" w:color="auto" w:fill="E7E6E6" w:themeFill="background2"/>
          </w:tcPr>
          <w:p w:rsidR="00CA78C2" w:rsidRPr="004F5699" w:rsidP="00E37BE8" w14:paraId="23EE8031" w14:textId="77777777">
            <w:pPr>
              <w:pStyle w:val="Table11Centered"/>
              <w:rPr>
                <w:b/>
                <w:bCs/>
              </w:rPr>
            </w:pPr>
            <w:r w:rsidRPr="004F5699">
              <w:rPr>
                <w:b/>
              </w:rPr>
              <w:t>$87,832</w:t>
            </w:r>
          </w:p>
        </w:tc>
      </w:tr>
    </w:tbl>
    <w:p w:rsidR="00A13C65" w:rsidRPr="00C035B3" w:rsidP="00E03843" w14:paraId="5929BAB2" w14:textId="2081F4EB">
      <w:pPr>
        <w:pStyle w:val="Heading5"/>
        <w:rPr>
          <w:iCs/>
        </w:rPr>
      </w:pPr>
      <w:r>
        <w:t>ii.</w:t>
      </w:r>
      <w:r>
        <w:tab/>
      </w:r>
      <w:r w:rsidRPr="00C035B3">
        <w:t>Burden for Submitting Promoting Interoperability Data</w:t>
      </w:r>
    </w:p>
    <w:p w:rsidR="00AD3C74" w:rsidP="0067016B" w14:paraId="455BBCF5" w14:textId="7F7509E8">
      <w:pPr>
        <w:pStyle w:val="BodyText-PostHead"/>
        <w:spacing w:before="240"/>
        <w:rPr>
          <w:shd w:val="clear" w:color="auto" w:fill="FFFFFF"/>
        </w:rPr>
      </w:pPr>
      <w:r w:rsidRPr="009672C1">
        <w:rPr>
          <w:rFonts w:eastAsia="Calibri"/>
        </w:rPr>
        <w:t>A variety of organizations will submit Promoting Interoperability data on behalf of clinicians</w:t>
      </w:r>
      <w:r w:rsidRPr="009672C1" w:rsidR="00156E6F">
        <w:rPr>
          <w:rFonts w:eastAsia="Calibri"/>
        </w:rPr>
        <w:t xml:space="preserve">. </w:t>
      </w:r>
      <w:r w:rsidRPr="009672C1">
        <w:rPr>
          <w:rFonts w:eastAsia="Calibri"/>
        </w:rPr>
        <w:t>Clinicians not participating in a MIPS APM may submit data as individuals or as part of a group</w:t>
      </w:r>
      <w:r w:rsidR="006F1602">
        <w:rPr>
          <w:rFonts w:eastAsia="Calibri"/>
        </w:rPr>
        <w:t xml:space="preserve"> or a subgroup</w:t>
      </w:r>
      <w:r w:rsidRPr="009672C1">
        <w:rPr>
          <w:rFonts w:eastAsia="Calibri"/>
        </w:rPr>
        <w:t>. In the CY 2017 Quality Payment Program final rule (81 FR 77258 through 77260, 77262 through 77264) and CY 2019 PFS final rule (83 FR 59822-59823), we established that</w:t>
      </w:r>
      <w:r w:rsidR="005B7BB5">
        <w:rPr>
          <w:rFonts w:eastAsia="Calibri"/>
        </w:rPr>
        <w:t xml:space="preserve"> </w:t>
      </w:r>
      <w:r w:rsidRPr="009672C1">
        <w:rPr>
          <w:rFonts w:eastAsia="Calibri"/>
        </w:rPr>
        <w:t>eligible clinicians in MIPS APMs (including the Shared Savings Program) may report for the Promoting Interoperability performance category as an APM Entity, individual, or a group</w:t>
      </w:r>
      <w:r w:rsidRPr="00AF3F68" w:rsidR="00156E6F">
        <w:rPr>
          <w:rFonts w:eastAsia="Calibri"/>
        </w:rPr>
        <w:t xml:space="preserve">. </w:t>
      </w:r>
    </w:p>
    <w:p w:rsidR="00D449DB" w:rsidRPr="00AF3F68" w:rsidP="0067016B" w14:paraId="1C013831" w14:textId="1ADD642B">
      <w:pPr>
        <w:spacing w:before="240"/>
        <w:contextualSpacing/>
        <w:rPr>
          <w:rFonts w:eastAsia="Calibri"/>
        </w:rPr>
      </w:pPr>
      <w:r w:rsidRPr="00665635">
        <w:rPr>
          <w:rFonts w:eastAsia="Calibri"/>
        </w:rPr>
        <w:t>In the CMS Interoperability and Prior Authorization final rule</w:t>
      </w:r>
      <w:r w:rsidR="00341126">
        <w:rPr>
          <w:rFonts w:eastAsia="Calibri"/>
        </w:rPr>
        <w:t xml:space="preserve"> </w:t>
      </w:r>
      <w:r w:rsidRPr="00665635" w:rsidR="00341126">
        <w:rPr>
          <w:rFonts w:eastAsia="Calibri"/>
        </w:rPr>
        <w:t>(</w:t>
      </w:r>
      <w:r w:rsidRPr="00665635" w:rsidR="00341126">
        <w:t>89 FR 8758)</w:t>
      </w:r>
      <w:r w:rsidRPr="00665635">
        <w:rPr>
          <w:rFonts w:eastAsia="Calibri"/>
        </w:rPr>
        <w:t>, we finalized the addition of the “Electronic Prior Authorization” measure, under the Health Information Exchange (HIE) objective for the MIPS Promoting Interoperability performance category beginning with the CY 2027 performance period/2029 MIPS payment year (</w:t>
      </w:r>
      <w:r w:rsidRPr="00665635">
        <w:t>89 FR 8909 through 8927</w:t>
      </w:r>
      <w:r w:rsidRPr="00665635">
        <w:rPr>
          <w:rFonts w:eastAsia="Calibri"/>
        </w:rPr>
        <w:t xml:space="preserve">). The burden estimate for MIPS clinicians to report the “Electronic Prior Authorization measure” was provided in the CMS Interoperability and Prior Authorization final rule (89 FR 8953 through 8956). In the CMS Interoperability and Prior Authorization final rule, we identified that this measure will be included in a </w:t>
      </w:r>
      <w:r w:rsidR="002A7B35">
        <w:rPr>
          <w:rFonts w:eastAsia="Calibri"/>
        </w:rPr>
        <w:t>collection of information request</w:t>
      </w:r>
      <w:r w:rsidRPr="00665635">
        <w:rPr>
          <w:rFonts w:eastAsia="Calibri"/>
        </w:rPr>
        <w:t xml:space="preserve"> related to the CMS Interoperability and Prior Authorization final rule (89 FR 8946).</w:t>
      </w:r>
    </w:p>
    <w:p w:rsidR="00620552" w:rsidRPr="00AF3F68" w:rsidP="00E37BE8" w14:paraId="47FA69BC" w14:textId="47AEDBA3">
      <w:pPr>
        <w:pStyle w:val="BodyText"/>
        <w:rPr>
          <w:rFonts w:eastAsia="Calibri"/>
        </w:rPr>
      </w:pPr>
      <w:r w:rsidRPr="00AF3F68">
        <w:rPr>
          <w:rFonts w:eastAsia="Calibri"/>
        </w:rPr>
        <w:t xml:space="preserve">As shown in Table </w:t>
      </w:r>
      <w:r w:rsidR="00F76436">
        <w:rPr>
          <w:rFonts w:eastAsia="Calibri"/>
        </w:rPr>
        <w:t>1</w:t>
      </w:r>
      <w:r w:rsidR="0055314C">
        <w:rPr>
          <w:rFonts w:eastAsia="Calibri"/>
        </w:rPr>
        <w:t>9</w:t>
      </w:r>
      <w:r w:rsidRPr="00AF3F68">
        <w:rPr>
          <w:rFonts w:eastAsia="Calibri"/>
        </w:rPr>
        <w:t xml:space="preserve">, </w:t>
      </w:r>
      <w:r w:rsidRPr="00D11B1D" w:rsidR="00D11B1D">
        <w:rPr>
          <w:rFonts w:eastAsia="Calibri"/>
        </w:rPr>
        <w:t>based on data from the</w:t>
      </w:r>
      <w:r w:rsidR="00130E58">
        <w:rPr>
          <w:rFonts w:eastAsia="Calibri"/>
        </w:rPr>
        <w:t xml:space="preserve"> CY</w:t>
      </w:r>
      <w:r w:rsidRPr="00D11B1D" w:rsidR="00D11B1D">
        <w:rPr>
          <w:rFonts w:eastAsia="Calibri"/>
        </w:rPr>
        <w:t xml:space="preserve"> 20</w:t>
      </w:r>
      <w:r w:rsidR="009862F5">
        <w:rPr>
          <w:rFonts w:eastAsia="Calibri"/>
        </w:rPr>
        <w:t>2</w:t>
      </w:r>
      <w:r w:rsidR="003C29CA">
        <w:rPr>
          <w:rFonts w:eastAsia="Calibri"/>
        </w:rPr>
        <w:t>2</w:t>
      </w:r>
      <w:r w:rsidR="009C0470">
        <w:rPr>
          <w:rFonts w:eastAsia="Calibri"/>
        </w:rPr>
        <w:t xml:space="preserve"> </w:t>
      </w:r>
      <w:r w:rsidRPr="00D11B1D" w:rsidR="00D11B1D">
        <w:rPr>
          <w:rFonts w:eastAsia="Calibri"/>
        </w:rPr>
        <w:t>performance period</w:t>
      </w:r>
      <w:r w:rsidR="004B302C">
        <w:rPr>
          <w:rFonts w:eastAsia="Calibri"/>
        </w:rPr>
        <w:t>/202</w:t>
      </w:r>
      <w:r w:rsidR="003C29CA">
        <w:rPr>
          <w:rFonts w:eastAsia="Calibri"/>
        </w:rPr>
        <w:t>4</w:t>
      </w:r>
      <w:r w:rsidR="009C0470">
        <w:rPr>
          <w:rFonts w:eastAsia="Calibri"/>
        </w:rPr>
        <w:t xml:space="preserve"> </w:t>
      </w:r>
      <w:r w:rsidR="004B302C">
        <w:rPr>
          <w:rFonts w:eastAsia="Calibri"/>
        </w:rPr>
        <w:t>MIPS payment year</w:t>
      </w:r>
      <w:r w:rsidRPr="00D11B1D" w:rsidR="00D11B1D">
        <w:rPr>
          <w:rFonts w:eastAsia="Calibri"/>
        </w:rPr>
        <w:t xml:space="preserve">, we estimate that a total of </w:t>
      </w:r>
      <w:r w:rsidR="006B1A61">
        <w:rPr>
          <w:rFonts w:eastAsia="Calibri"/>
        </w:rPr>
        <w:t>18,609</w:t>
      </w:r>
      <w:r w:rsidR="00BC3840">
        <w:rPr>
          <w:rFonts w:eastAsia="Calibri"/>
        </w:rPr>
        <w:t xml:space="preserve"> </w:t>
      </w:r>
      <w:r w:rsidRPr="00D11B1D" w:rsidR="00BC3840">
        <w:rPr>
          <w:rFonts w:eastAsia="Calibri"/>
        </w:rPr>
        <w:t>respondents</w:t>
      </w:r>
      <w:r w:rsidRPr="00D11B1D" w:rsidR="00D11B1D">
        <w:rPr>
          <w:rFonts w:eastAsia="Calibri"/>
        </w:rPr>
        <w:t xml:space="preserve"> consisting of </w:t>
      </w:r>
      <w:r w:rsidR="006B1A61">
        <w:rPr>
          <w:rFonts w:eastAsia="Calibri"/>
        </w:rPr>
        <w:t>14,500</w:t>
      </w:r>
      <w:r w:rsidRPr="00D11B1D" w:rsidR="00D11B1D">
        <w:rPr>
          <w:rFonts w:eastAsia="Calibri"/>
        </w:rPr>
        <w:t xml:space="preserve"> individual MIPS eligible clinicians</w:t>
      </w:r>
      <w:r w:rsidR="000D2E35">
        <w:rPr>
          <w:rFonts w:eastAsia="Calibri"/>
        </w:rPr>
        <w:t xml:space="preserve">, </w:t>
      </w:r>
      <w:r w:rsidR="006B1A61">
        <w:rPr>
          <w:rFonts w:eastAsia="Calibri"/>
        </w:rPr>
        <w:t>4,089</w:t>
      </w:r>
      <w:r w:rsidRPr="00D11B1D" w:rsidR="00D11B1D">
        <w:rPr>
          <w:rFonts w:eastAsia="Calibri"/>
        </w:rPr>
        <w:t xml:space="preserve"> groups and virtual groups</w:t>
      </w:r>
      <w:r w:rsidR="000D2E35">
        <w:rPr>
          <w:rFonts w:eastAsia="Calibri"/>
        </w:rPr>
        <w:t>, and 20 subgroups</w:t>
      </w:r>
      <w:r w:rsidRPr="00D11B1D" w:rsidR="00D11B1D">
        <w:rPr>
          <w:rFonts w:eastAsia="Calibri"/>
        </w:rPr>
        <w:t xml:space="preserve"> will submit Promoting Interoperability data</w:t>
      </w:r>
      <w:r w:rsidR="000D2E35">
        <w:rPr>
          <w:rFonts w:eastAsia="Calibri"/>
        </w:rPr>
        <w:t xml:space="preserve"> for the CY 202</w:t>
      </w:r>
      <w:r w:rsidR="006B1A61">
        <w:rPr>
          <w:rFonts w:eastAsia="Calibri"/>
        </w:rPr>
        <w:t>5</w:t>
      </w:r>
      <w:r w:rsidR="000D2E35">
        <w:rPr>
          <w:rFonts w:eastAsia="Calibri"/>
        </w:rPr>
        <w:t xml:space="preserve"> performance period/202</w:t>
      </w:r>
      <w:r w:rsidR="006B1A61">
        <w:rPr>
          <w:rFonts w:eastAsia="Calibri"/>
        </w:rPr>
        <w:t>7</w:t>
      </w:r>
      <w:r w:rsidR="000D2E35">
        <w:rPr>
          <w:rFonts w:eastAsia="Calibri"/>
        </w:rPr>
        <w:t xml:space="preserve"> MIPS payment year</w:t>
      </w:r>
      <w:r w:rsidRPr="00D11B1D" w:rsidR="00D11B1D">
        <w:rPr>
          <w:rFonts w:eastAsia="Calibri"/>
        </w:rPr>
        <w:t>.</w:t>
      </w:r>
      <w:r w:rsidRPr="00CC2BFB" w:rsidR="00DF07C7">
        <w:rPr>
          <w:rFonts w:eastAsia="Calibri"/>
        </w:rPr>
        <w:t xml:space="preserve"> </w:t>
      </w:r>
    </w:p>
    <w:p w:rsidR="00AF3F68" w:rsidP="00E37BE8" w14:paraId="7A1BA71E" w14:textId="2183687B">
      <w:pPr>
        <w:pStyle w:val="BodyText"/>
        <w:rPr>
          <w:rFonts w:eastAsia="Calibri"/>
        </w:rPr>
      </w:pPr>
      <w:r w:rsidRPr="4BF14CA9">
        <w:rPr>
          <w:rFonts w:eastAsia="Calibri"/>
        </w:rPr>
        <w:t>C</w:t>
      </w:r>
      <w:r w:rsidRPr="4BF14CA9" w:rsidR="00397E24">
        <w:rPr>
          <w:rFonts w:eastAsia="Calibri"/>
        </w:rPr>
        <w:t xml:space="preserve">ertain MIPS eligible clinicians will be eligible for automatic reweighting of the Promoting Interoperability performance category to zero percent, including MIPS eligible clinicians </w:t>
      </w:r>
      <w:r w:rsidRPr="4BF14CA9" w:rsidR="003C1A99">
        <w:rPr>
          <w:rFonts w:eastAsia="Calibri"/>
        </w:rPr>
        <w:t xml:space="preserve">who </w:t>
      </w:r>
      <w:r w:rsidRPr="4BF14CA9" w:rsidR="00397E24">
        <w:rPr>
          <w:rFonts w:eastAsia="Calibri"/>
        </w:rPr>
        <w:t>are hospital-based, ambulatory surgical center-based, non-patient facing clinicians,</w:t>
      </w:r>
      <w:r w:rsidRPr="4BF14CA9" w:rsidR="00316C47">
        <w:rPr>
          <w:rFonts w:eastAsia="Calibri"/>
        </w:rPr>
        <w:t xml:space="preserve"> and clinical social workers</w:t>
      </w:r>
      <w:r w:rsidRPr="4BF14CA9">
        <w:rPr>
          <w:rFonts w:eastAsia="Calibri"/>
        </w:rPr>
        <w:t>.</w:t>
      </w:r>
      <w:r w:rsidRPr="4BF14CA9" w:rsidR="0FDFBB50">
        <w:rPr>
          <w:rFonts w:eastAsia="Calibri"/>
        </w:rPr>
        <w:t xml:space="preserve"> </w:t>
      </w:r>
      <w:r w:rsidRPr="4BF14CA9">
        <w:rPr>
          <w:rFonts w:eastAsia="Calibri"/>
        </w:rPr>
        <w:t>T</w:t>
      </w:r>
      <w:r w:rsidRPr="4BF14CA9" w:rsidR="00397E24">
        <w:rPr>
          <w:rFonts w:eastAsia="Calibri"/>
        </w:rPr>
        <w:t xml:space="preserve">hese estimates account for </w:t>
      </w:r>
      <w:r w:rsidRPr="4BF14CA9">
        <w:rPr>
          <w:rFonts w:eastAsia="Calibri"/>
        </w:rPr>
        <w:t>previously finalized</w:t>
      </w:r>
      <w:r w:rsidRPr="4BF14CA9" w:rsidR="00397E24">
        <w:rPr>
          <w:rFonts w:eastAsia="Calibri"/>
        </w:rPr>
        <w:t xml:space="preserve"> reweighting policies including exceptions for MIPS eligible clinicians who have experienced a significant hardship</w:t>
      </w:r>
      <w:r w:rsidRPr="4BF14CA9" w:rsidR="008B2A26">
        <w:rPr>
          <w:rFonts w:eastAsia="Calibri"/>
        </w:rPr>
        <w:t xml:space="preserve"> </w:t>
      </w:r>
      <w:r w:rsidRPr="4BF14CA9">
        <w:rPr>
          <w:rFonts w:eastAsia="Calibri"/>
        </w:rPr>
        <w:t>and</w:t>
      </w:r>
      <w:r w:rsidRPr="4BF14CA9" w:rsidR="00397E24">
        <w:rPr>
          <w:rFonts w:eastAsia="Calibri"/>
        </w:rPr>
        <w:t xml:space="preserve"> decertification of an EHR</w:t>
      </w:r>
      <w:r w:rsidRPr="4BF14CA9">
        <w:rPr>
          <w:rFonts w:eastAsia="Calibri"/>
        </w:rPr>
        <w:t>.</w:t>
      </w:r>
    </w:p>
    <w:p w:rsidR="005F1F24" w:rsidRPr="00751305" w:rsidP="00E37BE8" w14:paraId="361C5E7B" w14:textId="4CA02A03">
      <w:pPr>
        <w:pStyle w:val="BodyText"/>
        <w:rPr>
          <w:rFonts w:eastAsia="Calibri"/>
        </w:rPr>
      </w:pPr>
      <w:bookmarkStart w:id="183" w:name="_Hlk516985201"/>
      <w:r>
        <w:rPr>
          <w:color w:val="000000" w:themeColor="text1"/>
        </w:rPr>
        <w:t>W</w:t>
      </w:r>
      <w:r w:rsidRPr="00A646F5" w:rsidR="00051CD1">
        <w:rPr>
          <w:color w:val="000000" w:themeColor="text1"/>
        </w:rPr>
        <w:t>e estimate that it w</w:t>
      </w:r>
      <w:r w:rsidR="00B21180">
        <w:rPr>
          <w:color w:val="000000" w:themeColor="text1"/>
        </w:rPr>
        <w:t>ill</w:t>
      </w:r>
      <w:r w:rsidRPr="00A646F5" w:rsidR="00051CD1">
        <w:rPr>
          <w:color w:val="000000" w:themeColor="text1"/>
        </w:rPr>
        <w:t xml:space="preserve"> </w:t>
      </w:r>
      <w:r w:rsidR="0055314C">
        <w:rPr>
          <w:color w:val="000000" w:themeColor="text1"/>
        </w:rPr>
        <w:t>take</w:t>
      </w:r>
      <w:r w:rsidRPr="00A646F5" w:rsidR="00051CD1">
        <w:rPr>
          <w:color w:val="000000" w:themeColor="text1"/>
        </w:rPr>
        <w:t xml:space="preserve"> 2.7</w:t>
      </w:r>
      <w:r w:rsidR="00CA0940">
        <w:rPr>
          <w:color w:val="000000" w:themeColor="text1"/>
        </w:rPr>
        <w:t>0</w:t>
      </w:r>
      <w:r w:rsidRPr="00A646F5" w:rsidR="00051CD1">
        <w:rPr>
          <w:color w:val="000000" w:themeColor="text1"/>
        </w:rPr>
        <w:t xml:space="preserve"> hours </w:t>
      </w:r>
      <w:r w:rsidR="0055314C">
        <w:rPr>
          <w:color w:val="000000" w:themeColor="text1"/>
        </w:rPr>
        <w:t xml:space="preserve">of a </w:t>
      </w:r>
      <w:r w:rsidRPr="0055314C" w:rsidR="0055314C">
        <w:rPr>
          <w:color w:val="000000" w:themeColor="text1"/>
        </w:rPr>
        <w:t xml:space="preserve">computer analyst’s time </w:t>
      </w:r>
      <w:r w:rsidR="0055314C">
        <w:rPr>
          <w:color w:val="000000" w:themeColor="text1"/>
        </w:rPr>
        <w:t>(</w:t>
      </w:r>
      <w:r w:rsidRPr="0055314C" w:rsidR="0055314C">
        <w:rPr>
          <w:color w:val="000000" w:themeColor="text1"/>
        </w:rPr>
        <w:t xml:space="preserve">above and beyond the physician, medical and health services manager, and computer system’s analyst time required to submit quality data) </w:t>
      </w:r>
      <w:r w:rsidRPr="00A646F5" w:rsidR="00051CD1">
        <w:rPr>
          <w:color w:val="000000" w:themeColor="text1"/>
        </w:rPr>
        <w:t>for clinicians</w:t>
      </w:r>
      <w:r w:rsidR="0055314C">
        <w:rPr>
          <w:color w:val="000000" w:themeColor="text1"/>
        </w:rPr>
        <w:t xml:space="preserve"> </w:t>
      </w:r>
      <w:r w:rsidRPr="00A646F5" w:rsidR="00051CD1">
        <w:rPr>
          <w:color w:val="000000" w:themeColor="text1"/>
        </w:rPr>
        <w:t xml:space="preserve">to submit data for the Promoting Interoperability performance category. </w:t>
      </w:r>
      <w:r w:rsidRPr="007C6167" w:rsidR="007C6167">
        <w:rPr>
          <w:rFonts w:eastAsia="Calibri"/>
        </w:rPr>
        <w:t xml:space="preserve">As shown in Table </w:t>
      </w:r>
      <w:r w:rsidR="008A2A08">
        <w:rPr>
          <w:rFonts w:eastAsia="Calibri"/>
        </w:rPr>
        <w:t>1</w:t>
      </w:r>
      <w:r w:rsidR="0055314C">
        <w:rPr>
          <w:rFonts w:eastAsia="Calibri"/>
        </w:rPr>
        <w:t>9</w:t>
      </w:r>
      <w:r w:rsidRPr="007C6167" w:rsidR="007C6167">
        <w:rPr>
          <w:rFonts w:eastAsia="Calibri"/>
        </w:rPr>
        <w:t xml:space="preserve">, </w:t>
      </w:r>
      <w:r w:rsidRPr="0055314C" w:rsidR="0055314C">
        <w:rPr>
          <w:rFonts w:eastAsia="Calibri"/>
        </w:rPr>
        <w:t xml:space="preserve">we assume that the staff involved in the subgroup registration process will mainly be computer systems analysts or their equivalent, who have an average labor cost of </w:t>
      </w:r>
      <w:r w:rsidR="007D530F">
        <w:rPr>
          <w:rFonts w:eastAsia="Calibri"/>
        </w:rPr>
        <w:t>$106.54</w:t>
      </w:r>
      <w:r w:rsidRPr="0055314C" w:rsidR="0055314C">
        <w:rPr>
          <w:rFonts w:eastAsia="Calibri"/>
        </w:rPr>
        <w:t>/hr.</w:t>
      </w:r>
      <w:r w:rsidR="0055314C">
        <w:rPr>
          <w:rFonts w:eastAsia="Calibri"/>
        </w:rPr>
        <w:t xml:space="preserve"> In aggregate, </w:t>
      </w:r>
      <w:r w:rsidRPr="00190E46" w:rsidR="00190E46">
        <w:rPr>
          <w:rFonts w:eastAsia="Calibri"/>
        </w:rPr>
        <w:t xml:space="preserve">the total burden estimate for submitting data on the specified Promoting Interoperability objectives and measures is estimated to be </w:t>
      </w:r>
      <w:r w:rsidR="0096572B">
        <w:rPr>
          <w:rFonts w:eastAsia="Calibri"/>
        </w:rPr>
        <w:t>50,244</w:t>
      </w:r>
      <w:r w:rsidRPr="00190E46" w:rsidR="00190E46">
        <w:rPr>
          <w:rFonts w:eastAsia="Calibri"/>
        </w:rPr>
        <w:t xml:space="preserve"> hours (</w:t>
      </w:r>
      <w:r w:rsidR="00FD6F21">
        <w:rPr>
          <w:rFonts w:eastAsia="Calibri"/>
        </w:rPr>
        <w:t>18,609</w:t>
      </w:r>
      <w:r w:rsidRPr="00190E46" w:rsidR="00190E46">
        <w:rPr>
          <w:rFonts w:eastAsia="Calibri"/>
        </w:rPr>
        <w:t xml:space="preserve"> respondents </w:t>
      </w:r>
      <w:r w:rsidR="003C3AE1">
        <w:t>×</w:t>
      </w:r>
      <w:r w:rsidRPr="00190E46" w:rsidR="00190E46">
        <w:rPr>
          <w:rFonts w:eastAsia="Calibri"/>
        </w:rPr>
        <w:t xml:space="preserve"> 2.</w:t>
      </w:r>
      <w:r w:rsidR="00B54E49">
        <w:rPr>
          <w:rFonts w:eastAsia="Calibri"/>
        </w:rPr>
        <w:t>7</w:t>
      </w:r>
      <w:r w:rsidR="00CA767B">
        <w:rPr>
          <w:rFonts w:eastAsia="Calibri"/>
        </w:rPr>
        <w:t>0</w:t>
      </w:r>
      <w:r w:rsidRPr="00190E46" w:rsidR="00190E46">
        <w:rPr>
          <w:rFonts w:eastAsia="Calibri"/>
        </w:rPr>
        <w:t xml:space="preserve"> </w:t>
      </w:r>
      <w:r w:rsidR="0055314C">
        <w:rPr>
          <w:rFonts w:eastAsia="Calibri"/>
        </w:rPr>
        <w:t>hours</w:t>
      </w:r>
      <w:r w:rsidRPr="00190E46" w:rsidR="00190E46">
        <w:rPr>
          <w:rFonts w:eastAsia="Calibri"/>
        </w:rPr>
        <w:t>) and $</w:t>
      </w:r>
      <w:r w:rsidR="00FD6F21">
        <w:rPr>
          <w:rFonts w:eastAsia="Calibri"/>
        </w:rPr>
        <w:t>5,353,065</w:t>
      </w:r>
      <w:r w:rsidRPr="00190E46" w:rsidR="00190E46">
        <w:rPr>
          <w:rFonts w:eastAsia="Calibri"/>
        </w:rPr>
        <w:t xml:space="preserve"> (</w:t>
      </w:r>
      <w:r w:rsidR="00FD6F21">
        <w:rPr>
          <w:rFonts w:eastAsia="Calibri"/>
        </w:rPr>
        <w:t>18,609</w:t>
      </w:r>
      <w:r w:rsidR="009261F0">
        <w:rPr>
          <w:rFonts w:eastAsia="Calibri"/>
        </w:rPr>
        <w:t xml:space="preserve"> respondents</w:t>
      </w:r>
      <w:r w:rsidRPr="00190E46" w:rsidR="00190E46">
        <w:rPr>
          <w:rFonts w:eastAsia="Calibri"/>
        </w:rPr>
        <w:t xml:space="preserve"> </w:t>
      </w:r>
      <w:r w:rsidR="003C3AE1">
        <w:t>×</w:t>
      </w:r>
      <w:r w:rsidRPr="00190E46" w:rsidR="00190E46">
        <w:rPr>
          <w:rFonts w:eastAsia="Calibri"/>
        </w:rPr>
        <w:t xml:space="preserve"> $</w:t>
      </w:r>
      <w:r w:rsidR="00FD6F21">
        <w:rPr>
          <w:rFonts w:eastAsia="Calibri"/>
        </w:rPr>
        <w:t>287.66</w:t>
      </w:r>
      <w:r w:rsidR="009261F0">
        <w:rPr>
          <w:rFonts w:eastAsia="Calibri"/>
        </w:rPr>
        <w:t>/respondent</w:t>
      </w:r>
      <w:r w:rsidRPr="00190E46" w:rsidR="00190E46">
        <w:rPr>
          <w:rFonts w:eastAsia="Calibri"/>
        </w:rPr>
        <w:t>)</w:t>
      </w:r>
      <w:bookmarkEnd w:id="183"/>
      <w:r w:rsidRPr="00CF534E" w:rsidR="00156E6F">
        <w:rPr>
          <w:rFonts w:eastAsia="Calibri"/>
        </w:rPr>
        <w:t xml:space="preserve">. </w:t>
      </w:r>
    </w:p>
    <w:p w:rsidR="00E56140" w:rsidRPr="00A0296B" w:rsidP="00E37BE8" w14:paraId="7AF00666" w14:textId="5D0348DE">
      <w:pPr>
        <w:pStyle w:val="ExhibitTitle"/>
        <w:rPr>
          <w:b w:val="0"/>
          <w:bCs/>
        </w:rPr>
      </w:pPr>
      <w:r w:rsidRPr="00A0296B">
        <w:rPr>
          <w:b w:val="0"/>
          <w:bCs/>
        </w:rPr>
        <w:t>T</w:t>
      </w:r>
      <w:r w:rsidRPr="00A0296B">
        <w:rPr>
          <w:b w:val="0"/>
          <w:bCs/>
        </w:rPr>
        <w:t>able</w:t>
      </w:r>
      <w:r w:rsidRPr="00A0296B">
        <w:rPr>
          <w:b w:val="0"/>
          <w:bCs/>
        </w:rPr>
        <w:t xml:space="preserve"> </w:t>
      </w:r>
      <w:r w:rsidRPr="00A0296B" w:rsidR="008A2A08">
        <w:rPr>
          <w:b w:val="0"/>
          <w:bCs/>
        </w:rPr>
        <w:t>1</w:t>
      </w:r>
      <w:r w:rsidRPr="00A0296B" w:rsidR="009C4AC0">
        <w:rPr>
          <w:b w:val="0"/>
          <w:bCs/>
        </w:rPr>
        <w:t>9</w:t>
      </w:r>
      <w:r w:rsidRPr="00A0296B">
        <w:rPr>
          <w:b w:val="0"/>
          <w:bCs/>
        </w:rPr>
        <w:t xml:space="preserve">: Estimated Burden for Promoting Interoperability Performance Category </w:t>
      </w:r>
      <w:r w:rsidRPr="00A0296B">
        <w:rPr>
          <w:b w:val="0"/>
          <w:bCs/>
        </w:rPr>
        <w:br/>
        <w:t>Data Submission</w:t>
      </w:r>
    </w:p>
    <w:tbl>
      <w:tblPr>
        <w:tblStyle w:val="TableGrid"/>
        <w:tblDescription w:val="Table 19: the estimated burden for submitting data for the Promoting Interoperability performance category."/>
        <w:tblW w:w="9350" w:type="dxa"/>
        <w:tblLook w:val="04A0"/>
      </w:tblPr>
      <w:tblGrid>
        <w:gridCol w:w="7630"/>
        <w:gridCol w:w="1720"/>
      </w:tblGrid>
      <w:tr w14:paraId="4C34A26B" w14:textId="77777777" w:rsidTr="00245839">
        <w:tblPrEx>
          <w:tblW w:w="9350" w:type="dxa"/>
          <w:tblLook w:val="04A0"/>
        </w:tblPrEx>
        <w:trPr>
          <w:cantSplit/>
          <w:tblHeader/>
        </w:trPr>
        <w:tc>
          <w:tcPr>
            <w:tcW w:w="7630" w:type="dxa"/>
            <w:hideMark/>
          </w:tcPr>
          <w:p w:rsidR="003538F5" w:rsidRPr="00561B40" w:rsidP="00865B91" w14:paraId="6D395008" w14:textId="77777777">
            <w:pPr>
              <w:pStyle w:val="Table11-ColumnHeading"/>
            </w:pPr>
            <w:r w:rsidRPr="008A0431">
              <w:t>Burden and Respondent Description </w:t>
            </w:r>
          </w:p>
        </w:tc>
        <w:tc>
          <w:tcPr>
            <w:tcW w:w="1720" w:type="dxa"/>
            <w:hideMark/>
          </w:tcPr>
          <w:p w:rsidR="003538F5" w:rsidRPr="00561B40" w:rsidP="00865B91" w14:paraId="4AC03EC3" w14:textId="77777777">
            <w:pPr>
              <w:pStyle w:val="Table11-ColumnHeading"/>
            </w:pPr>
            <w:r w:rsidRPr="008A0431">
              <w:t>Burden Estimate </w:t>
            </w:r>
          </w:p>
        </w:tc>
      </w:tr>
      <w:tr w14:paraId="16A6E15C" w14:textId="77777777" w:rsidTr="00245839">
        <w:tblPrEx>
          <w:tblW w:w="9350" w:type="dxa"/>
          <w:tblLook w:val="04A0"/>
        </w:tblPrEx>
        <w:trPr>
          <w:cantSplit/>
        </w:trPr>
        <w:tc>
          <w:tcPr>
            <w:tcW w:w="7630" w:type="dxa"/>
            <w:hideMark/>
          </w:tcPr>
          <w:p w:rsidR="003538F5" w:rsidRPr="004F5699" w:rsidP="00865B91" w14:paraId="1A47CC13" w14:textId="77777777">
            <w:pPr>
              <w:pStyle w:val="Table11Basic"/>
            </w:pPr>
            <w:r w:rsidRPr="004F5699">
              <w:t>Number of Individual Clinicians to Submit Promoting Interoperability (a) </w:t>
            </w:r>
          </w:p>
        </w:tc>
        <w:tc>
          <w:tcPr>
            <w:tcW w:w="1720" w:type="dxa"/>
            <w:hideMark/>
          </w:tcPr>
          <w:p w:rsidR="003538F5" w:rsidRPr="004F5699" w:rsidP="00865B91" w14:paraId="4F6CA947" w14:textId="77777777">
            <w:pPr>
              <w:pStyle w:val="Table11Centered"/>
            </w:pPr>
            <w:r w:rsidRPr="004F5699">
              <w:t>14,500 </w:t>
            </w:r>
          </w:p>
        </w:tc>
      </w:tr>
      <w:tr w14:paraId="53F2E551" w14:textId="77777777" w:rsidTr="00245839">
        <w:tblPrEx>
          <w:tblW w:w="9350" w:type="dxa"/>
          <w:tblLook w:val="04A0"/>
        </w:tblPrEx>
        <w:trPr>
          <w:cantSplit/>
        </w:trPr>
        <w:tc>
          <w:tcPr>
            <w:tcW w:w="7630" w:type="dxa"/>
            <w:hideMark/>
          </w:tcPr>
          <w:p w:rsidR="003538F5" w:rsidRPr="004F5699" w:rsidP="00865B91" w14:paraId="1B2054B9" w14:textId="77777777">
            <w:pPr>
              <w:pStyle w:val="Table11Basic"/>
            </w:pPr>
            <w:r w:rsidRPr="004F5699">
              <w:t>Number of Groups to Submit Promoting Interoperability (b) </w:t>
            </w:r>
          </w:p>
        </w:tc>
        <w:tc>
          <w:tcPr>
            <w:tcW w:w="1720" w:type="dxa"/>
            <w:hideMark/>
          </w:tcPr>
          <w:p w:rsidR="003538F5" w:rsidRPr="004F5699" w:rsidP="00865B91" w14:paraId="425F0FEE" w14:textId="77777777">
            <w:pPr>
              <w:pStyle w:val="Table11Centered"/>
            </w:pPr>
            <w:r w:rsidRPr="004F5699">
              <w:t>4,089</w:t>
            </w:r>
          </w:p>
        </w:tc>
      </w:tr>
      <w:tr w14:paraId="240C0771" w14:textId="77777777" w:rsidTr="00245839">
        <w:tblPrEx>
          <w:tblW w:w="9350" w:type="dxa"/>
          <w:tblLook w:val="04A0"/>
        </w:tblPrEx>
        <w:trPr>
          <w:cantSplit/>
        </w:trPr>
        <w:tc>
          <w:tcPr>
            <w:tcW w:w="7630" w:type="dxa"/>
            <w:hideMark/>
          </w:tcPr>
          <w:p w:rsidR="003538F5" w:rsidRPr="004F5699" w:rsidP="00865B91" w14:paraId="285435AF" w14:textId="77777777">
            <w:pPr>
              <w:pStyle w:val="Table11Basic"/>
            </w:pPr>
            <w:r w:rsidRPr="004F5699">
              <w:t>Number of Subgroups to Submit Promoting Interoperability (c) </w:t>
            </w:r>
          </w:p>
        </w:tc>
        <w:tc>
          <w:tcPr>
            <w:tcW w:w="1720" w:type="dxa"/>
            <w:hideMark/>
          </w:tcPr>
          <w:p w:rsidR="003538F5" w:rsidRPr="004F5699" w:rsidP="00865B91" w14:paraId="419C4B92" w14:textId="77777777">
            <w:pPr>
              <w:pStyle w:val="Table11Centered"/>
            </w:pPr>
            <w:r w:rsidRPr="004F5699">
              <w:t>20 </w:t>
            </w:r>
          </w:p>
        </w:tc>
      </w:tr>
      <w:tr w14:paraId="3B0899D9" w14:textId="77777777" w:rsidTr="00245839">
        <w:tblPrEx>
          <w:tblW w:w="9350" w:type="dxa"/>
          <w:tblLook w:val="04A0"/>
        </w:tblPrEx>
        <w:trPr>
          <w:cantSplit/>
        </w:trPr>
        <w:tc>
          <w:tcPr>
            <w:tcW w:w="7630" w:type="dxa"/>
            <w:shd w:val="clear" w:color="auto" w:fill="E7E6E6" w:themeFill="background2"/>
            <w:hideMark/>
          </w:tcPr>
          <w:p w:rsidR="003538F5" w:rsidRPr="004F5699" w:rsidP="00865B91" w14:paraId="7C864700" w14:textId="77777777">
            <w:pPr>
              <w:pStyle w:val="Table11Basic"/>
            </w:pPr>
            <w:r w:rsidRPr="004F5699">
              <w:rPr>
                <w:b/>
                <w:bCs/>
              </w:rPr>
              <w:t>Total Respondents (d) = (a) + (b) + (c)</w:t>
            </w:r>
            <w:r w:rsidRPr="004F5699">
              <w:t> </w:t>
            </w:r>
          </w:p>
        </w:tc>
        <w:tc>
          <w:tcPr>
            <w:tcW w:w="1720" w:type="dxa"/>
            <w:shd w:val="clear" w:color="auto" w:fill="E7E6E6" w:themeFill="background2"/>
            <w:hideMark/>
          </w:tcPr>
          <w:p w:rsidR="003538F5" w:rsidRPr="004F5699" w:rsidP="00865B91" w14:paraId="465EB9BE" w14:textId="77777777">
            <w:pPr>
              <w:pStyle w:val="Table11Centered"/>
              <w:rPr>
                <w:b/>
              </w:rPr>
            </w:pPr>
            <w:r w:rsidRPr="004F5699">
              <w:rPr>
                <w:b/>
              </w:rPr>
              <w:t>18,609</w:t>
            </w:r>
          </w:p>
        </w:tc>
      </w:tr>
      <w:tr w14:paraId="162EBB95" w14:textId="77777777" w:rsidTr="00245839">
        <w:tblPrEx>
          <w:tblW w:w="9350" w:type="dxa"/>
          <w:tblLook w:val="04A0"/>
        </w:tblPrEx>
        <w:trPr>
          <w:cantSplit/>
        </w:trPr>
        <w:tc>
          <w:tcPr>
            <w:tcW w:w="7630" w:type="dxa"/>
            <w:hideMark/>
          </w:tcPr>
          <w:p w:rsidR="003538F5" w:rsidRPr="004F5699" w:rsidP="00865B91" w14:paraId="5402DBEB" w14:textId="77777777">
            <w:pPr>
              <w:pStyle w:val="Table11Basic"/>
            </w:pPr>
            <w:r w:rsidRPr="004F5699">
              <w:t>Annual Hours Per Respondent (e) </w:t>
            </w:r>
          </w:p>
        </w:tc>
        <w:tc>
          <w:tcPr>
            <w:tcW w:w="1720" w:type="dxa"/>
            <w:hideMark/>
          </w:tcPr>
          <w:p w:rsidR="003538F5" w:rsidRPr="004F5699" w:rsidP="00865B91" w14:paraId="0CBBA828" w14:textId="77777777">
            <w:pPr>
              <w:pStyle w:val="Table11Centered"/>
            </w:pPr>
            <w:r w:rsidRPr="004F5699">
              <w:t>2.70 </w:t>
            </w:r>
          </w:p>
        </w:tc>
      </w:tr>
      <w:tr w14:paraId="735101E5" w14:textId="77777777" w:rsidTr="00245839">
        <w:tblPrEx>
          <w:tblW w:w="9350" w:type="dxa"/>
          <w:tblLook w:val="04A0"/>
        </w:tblPrEx>
        <w:trPr>
          <w:cantSplit/>
        </w:trPr>
        <w:tc>
          <w:tcPr>
            <w:tcW w:w="7630" w:type="dxa"/>
            <w:shd w:val="clear" w:color="auto" w:fill="E7E6E6" w:themeFill="background2"/>
            <w:hideMark/>
          </w:tcPr>
          <w:p w:rsidR="003538F5" w:rsidRPr="004F5699" w:rsidP="00865B91" w14:paraId="19DF0DAF" w14:textId="066E5275">
            <w:pPr>
              <w:pStyle w:val="Table11Basic"/>
            </w:pPr>
            <w:r w:rsidRPr="004F5699">
              <w:rPr>
                <w:b/>
                <w:bCs/>
              </w:rPr>
              <w:t xml:space="preserve">Total Annual Hours (f) = (d) </w:t>
            </w:r>
            <w:r w:rsidR="00561B40">
              <w:rPr>
                <w:b/>
                <w:bCs/>
                <w:color w:val="000000" w:themeColor="text1"/>
              </w:rPr>
              <w:t>[</w:t>
            </w:r>
            <w:r w:rsidRPr="003C3AE1" w:rsidR="003C3AE1">
              <w:rPr>
                <w:b/>
                <w:bCs/>
              </w:rPr>
              <w:t>×</w:t>
            </w:r>
            <w:r w:rsidR="00561B40">
              <w:rPr>
                <w:b/>
                <w:bCs/>
                <w:color w:val="000000" w:themeColor="text1"/>
              </w:rPr>
              <w:t>]</w:t>
            </w:r>
            <w:r w:rsidRPr="004F5699">
              <w:rPr>
                <w:b/>
                <w:bCs/>
              </w:rPr>
              <w:t xml:space="preserve"> (e)</w:t>
            </w:r>
            <w:r w:rsidRPr="004F5699">
              <w:t> </w:t>
            </w:r>
          </w:p>
        </w:tc>
        <w:tc>
          <w:tcPr>
            <w:tcW w:w="1720" w:type="dxa"/>
            <w:shd w:val="clear" w:color="auto" w:fill="E7E6E6" w:themeFill="background2"/>
            <w:hideMark/>
          </w:tcPr>
          <w:p w:rsidR="003538F5" w:rsidRPr="004F5699" w:rsidP="00865B91" w14:paraId="1D1CC227" w14:textId="77777777">
            <w:pPr>
              <w:pStyle w:val="Table11Centered"/>
              <w:rPr>
                <w:b/>
              </w:rPr>
            </w:pPr>
            <w:r w:rsidRPr="004F5699">
              <w:rPr>
                <w:b/>
              </w:rPr>
              <w:t>50,244</w:t>
            </w:r>
          </w:p>
        </w:tc>
      </w:tr>
      <w:tr w14:paraId="214295B0" w14:textId="77777777" w:rsidTr="00245839">
        <w:tblPrEx>
          <w:tblW w:w="9350" w:type="dxa"/>
          <w:tblLook w:val="04A0"/>
        </w:tblPrEx>
        <w:trPr>
          <w:cantSplit/>
        </w:trPr>
        <w:tc>
          <w:tcPr>
            <w:tcW w:w="7630" w:type="dxa"/>
            <w:hideMark/>
          </w:tcPr>
          <w:p w:rsidR="003538F5" w:rsidRPr="004F5699" w:rsidP="00865B91" w14:paraId="05C2A315" w14:textId="463D5039">
            <w:pPr>
              <w:pStyle w:val="Table11Basic"/>
            </w:pPr>
            <w:r w:rsidRPr="004F5699">
              <w:t xml:space="preserve">Cost per Respondent to Submit Promoting Interoperability Data </w:t>
            </w:r>
            <w:r w:rsidR="00A87331">
              <w:t>at</w:t>
            </w:r>
            <w:r w:rsidRPr="004F5699">
              <w:t xml:space="preserve"> Computer System Analyst’s Labor Rate of $106.54/hr (g) = (e) </w:t>
            </w:r>
            <w:r w:rsidRPr="00E15417" w:rsidR="002F41B5">
              <w:rPr>
                <w:color w:val="000000" w:themeColor="text1"/>
              </w:rPr>
              <w:t>[</w:t>
            </w:r>
            <w:r w:rsidR="003C3AE1">
              <w:t>×</w:t>
            </w:r>
            <w:r w:rsidRPr="00E15417" w:rsidR="002F41B5">
              <w:rPr>
                <w:color w:val="000000" w:themeColor="text1"/>
              </w:rPr>
              <w:t>]</w:t>
            </w:r>
            <w:r w:rsidRPr="004F5699">
              <w:t xml:space="preserve"> $106.54/hr</w:t>
            </w:r>
          </w:p>
        </w:tc>
        <w:tc>
          <w:tcPr>
            <w:tcW w:w="1720" w:type="dxa"/>
            <w:hideMark/>
          </w:tcPr>
          <w:p w:rsidR="003538F5" w:rsidRPr="004F5699" w:rsidP="00865B91" w14:paraId="16F71DE5" w14:textId="77777777">
            <w:pPr>
              <w:pStyle w:val="Table11Centered"/>
            </w:pPr>
            <w:r w:rsidRPr="004F5699">
              <w:t>$287.66</w:t>
            </w:r>
          </w:p>
        </w:tc>
      </w:tr>
      <w:tr w14:paraId="23FE1DA3" w14:textId="77777777" w:rsidTr="00245839">
        <w:tblPrEx>
          <w:tblW w:w="9350" w:type="dxa"/>
          <w:tblLook w:val="04A0"/>
        </w:tblPrEx>
        <w:trPr>
          <w:cantSplit/>
        </w:trPr>
        <w:tc>
          <w:tcPr>
            <w:tcW w:w="7630" w:type="dxa"/>
            <w:shd w:val="clear" w:color="auto" w:fill="E7E6E6" w:themeFill="background2"/>
            <w:hideMark/>
          </w:tcPr>
          <w:p w:rsidR="003538F5" w:rsidRPr="004F5699" w:rsidP="00865B91" w14:paraId="12753CF5" w14:textId="515E05C1">
            <w:pPr>
              <w:pStyle w:val="Table11Basic"/>
            </w:pPr>
            <w:r w:rsidRPr="004F5699">
              <w:rPr>
                <w:b/>
                <w:bCs/>
              </w:rPr>
              <w:t>Total Annual Cost (h) = (d)</w:t>
            </w:r>
            <w:r w:rsidR="00561B40">
              <w:rPr>
                <w:b/>
                <w:bCs/>
                <w:color w:val="000000" w:themeColor="text1"/>
              </w:rPr>
              <w:t xml:space="preserve"> [</w:t>
            </w:r>
            <w:r w:rsidRPr="003C3AE1" w:rsidR="003C3AE1">
              <w:rPr>
                <w:b/>
                <w:bCs/>
              </w:rPr>
              <w:t>×</w:t>
            </w:r>
            <w:r w:rsidR="00561B40">
              <w:rPr>
                <w:b/>
                <w:bCs/>
                <w:color w:val="000000" w:themeColor="text1"/>
              </w:rPr>
              <w:t>]</w:t>
            </w:r>
            <w:r w:rsidRPr="004F5699">
              <w:rPr>
                <w:b/>
                <w:bCs/>
              </w:rPr>
              <w:t xml:space="preserve"> (e)</w:t>
            </w:r>
            <w:r w:rsidRPr="004F5699">
              <w:t> </w:t>
            </w:r>
          </w:p>
        </w:tc>
        <w:tc>
          <w:tcPr>
            <w:tcW w:w="1720" w:type="dxa"/>
            <w:shd w:val="clear" w:color="auto" w:fill="E7E6E6" w:themeFill="background2"/>
            <w:hideMark/>
          </w:tcPr>
          <w:p w:rsidR="003538F5" w:rsidRPr="004F5699" w:rsidP="00865B91" w14:paraId="36B04970" w14:textId="77777777">
            <w:pPr>
              <w:pStyle w:val="Table11Centered"/>
            </w:pPr>
            <w:r w:rsidRPr="004F5699">
              <w:rPr>
                <w:b/>
              </w:rPr>
              <w:t>$5,353,065</w:t>
            </w:r>
          </w:p>
        </w:tc>
      </w:tr>
    </w:tbl>
    <w:p w:rsidR="000160D9" w:rsidRPr="00E56140" w:rsidP="00E03843" w14:paraId="168292B3" w14:textId="1281DBB6">
      <w:pPr>
        <w:pStyle w:val="Heading5"/>
      </w:pPr>
      <w:r>
        <w:t>iii.</w:t>
      </w:r>
      <w:r>
        <w:tab/>
      </w:r>
      <w:r w:rsidRPr="78D37B80">
        <w:t>Burden Estimate for the Submission of Improvement Activities Data</w:t>
      </w:r>
    </w:p>
    <w:p w:rsidR="00B5527E" w:rsidP="0067016B" w14:paraId="629DB08D" w14:textId="09AB80E6">
      <w:pPr>
        <w:pStyle w:val="BodyText-PostHead"/>
        <w:spacing w:before="240"/>
        <w:rPr>
          <w:rFonts w:eastAsia="Calibri"/>
        </w:rPr>
      </w:pPr>
      <w:r>
        <w:rPr>
          <w:shd w:val="clear" w:color="auto" w:fill="FFFFFF"/>
        </w:rPr>
        <w:t xml:space="preserve">As established in the </w:t>
      </w:r>
      <w:r w:rsidRPr="006169B7">
        <w:rPr>
          <w:shd w:val="clear" w:color="auto" w:fill="FFFFFF"/>
        </w:rPr>
        <w:t>CY 2017 Quality Payment Program final rule</w:t>
      </w:r>
      <w:r w:rsidR="00B616F1">
        <w:rPr>
          <w:shd w:val="clear" w:color="auto" w:fill="FFFFFF"/>
        </w:rPr>
        <w:t>,</w:t>
      </w:r>
      <w:r w:rsidRPr="006169B7">
        <w:rPr>
          <w:shd w:val="clear" w:color="auto" w:fill="FFFFFF"/>
        </w:rPr>
        <w:t xml:space="preserve"> </w:t>
      </w:r>
      <w:r w:rsidR="00B616F1">
        <w:rPr>
          <w:shd w:val="clear" w:color="auto" w:fill="FFFFFF"/>
        </w:rPr>
        <w:t>f</w:t>
      </w:r>
      <w:r w:rsidRPr="00B5527E">
        <w:rPr>
          <w:shd w:val="clear" w:color="auto" w:fill="FFFFFF"/>
        </w:rPr>
        <w:t xml:space="preserve">or the improvement activities performance category, we codified at § 414.1380(b)(3)(i) that individual MIPS eligible clinicians participating in APMs (as defined in section 1833(z)(3)(C) of the Act) for a performance period will earn at least 50 percent for the improvement activities performance category (81 FR 30132). We also stated that MIPS eligible clinicians participating in an APM for a performance period may receive an improvement activity score higher than 50 percent (81 FR 30132). To provide clarity for APM participants not scored under the APP, we revised § 414.1380(b)(3)(i) to state that a MIPS eligible clinician participating in an APM receives an improvement activities performance category score of at least 50 </w:t>
      </w:r>
      <w:r w:rsidRPr="00982A90">
        <w:rPr>
          <w:shd w:val="clear" w:color="auto" w:fill="FFFFFF"/>
        </w:rPr>
        <w:t xml:space="preserve">percent. To receive this credit, MIPS eligible clinicians in APMs must attest to having completed an improvement activity or submit data for the quality and Promoting Interoperability performance categories in order to receive such credit (88 </w:t>
      </w:r>
      <w:r w:rsidRPr="00B5527E">
        <w:rPr>
          <w:shd w:val="clear" w:color="auto" w:fill="FFFFFF"/>
        </w:rPr>
        <w:t xml:space="preserve">FR 79365 through 79367). </w:t>
      </w:r>
      <w:r>
        <w:rPr>
          <w:shd w:val="clear" w:color="auto" w:fill="FFFFFF"/>
        </w:rPr>
        <w:t xml:space="preserve">As noted in </w:t>
      </w:r>
      <w:r w:rsidR="00090CE5">
        <w:rPr>
          <w:shd w:val="clear" w:color="auto" w:fill="FFFFFF"/>
        </w:rPr>
        <w:t>T</w:t>
      </w:r>
      <w:r>
        <w:rPr>
          <w:shd w:val="clear" w:color="auto" w:fill="FFFFFF"/>
        </w:rPr>
        <w:t>able 2, we assume MIPS APM participants who are MIPS eligible partici</w:t>
      </w:r>
      <w:r w:rsidR="00E56D51">
        <w:rPr>
          <w:shd w:val="clear" w:color="auto" w:fill="FFFFFF"/>
        </w:rPr>
        <w:t>p</w:t>
      </w:r>
      <w:r>
        <w:rPr>
          <w:shd w:val="clear" w:color="auto" w:fill="FFFFFF"/>
        </w:rPr>
        <w:t xml:space="preserve">ate in MIPS </w:t>
      </w:r>
      <w:r w:rsidR="00E56D51">
        <w:rPr>
          <w:shd w:val="clear" w:color="auto" w:fill="FFFFFF"/>
        </w:rPr>
        <w:t>at the individual or group reporting level.</w:t>
      </w:r>
    </w:p>
    <w:p w:rsidR="00D92164" w:rsidRPr="003428D4" w:rsidP="00865B91" w14:paraId="1695BA5B" w14:textId="2C10F757">
      <w:pPr>
        <w:pStyle w:val="BodyText"/>
        <w:rPr>
          <w:rFonts w:eastAsia="Calibri"/>
        </w:rPr>
      </w:pPr>
      <w:r w:rsidRPr="738A46D6">
        <w:rPr>
          <w:rFonts w:eastAsia="Calibri"/>
        </w:rPr>
        <w:t xml:space="preserve">As represented in Table </w:t>
      </w:r>
      <w:r w:rsidRPr="738A46D6" w:rsidR="547F1374">
        <w:rPr>
          <w:rFonts w:eastAsia="Calibri"/>
        </w:rPr>
        <w:t>2</w:t>
      </w:r>
      <w:r w:rsidRPr="738A46D6" w:rsidR="2218DC0F">
        <w:rPr>
          <w:rFonts w:eastAsia="Calibri"/>
        </w:rPr>
        <w:t>0</w:t>
      </w:r>
      <w:r w:rsidRPr="738A46D6">
        <w:rPr>
          <w:rFonts w:eastAsia="Calibri"/>
        </w:rPr>
        <w:t xml:space="preserve">, </w:t>
      </w:r>
      <w:r w:rsidRPr="738A46D6" w:rsidR="23ED0748">
        <w:rPr>
          <w:rFonts w:eastAsia="Calibri"/>
        </w:rPr>
        <w:t xml:space="preserve">based on </w:t>
      </w:r>
      <w:r w:rsidRPr="738A46D6" w:rsidR="4BD64BD3">
        <w:rPr>
          <w:rFonts w:eastAsia="Calibri"/>
        </w:rPr>
        <w:t xml:space="preserve">CY </w:t>
      </w:r>
      <w:r w:rsidRPr="738A46D6" w:rsidR="23ED0748">
        <w:rPr>
          <w:rFonts w:eastAsia="Calibri"/>
        </w:rPr>
        <w:t>20</w:t>
      </w:r>
      <w:r w:rsidRPr="738A46D6" w:rsidR="52500CAA">
        <w:rPr>
          <w:rFonts w:eastAsia="Calibri"/>
        </w:rPr>
        <w:t>2</w:t>
      </w:r>
      <w:r w:rsidRPr="738A46D6" w:rsidR="79CAD56E">
        <w:rPr>
          <w:rFonts w:eastAsia="Calibri"/>
        </w:rPr>
        <w:t>2</w:t>
      </w:r>
      <w:r w:rsidRPr="738A46D6" w:rsidR="23ED0748">
        <w:rPr>
          <w:rFonts w:eastAsia="Calibri"/>
        </w:rPr>
        <w:t xml:space="preserve"> performance period</w:t>
      </w:r>
      <w:r w:rsidRPr="738A46D6" w:rsidR="4BD64BD3">
        <w:rPr>
          <w:rFonts w:eastAsia="Calibri"/>
        </w:rPr>
        <w:t>/202</w:t>
      </w:r>
      <w:r w:rsidRPr="738A46D6" w:rsidR="79CAD56E">
        <w:rPr>
          <w:rFonts w:eastAsia="Calibri"/>
        </w:rPr>
        <w:t>4</w:t>
      </w:r>
      <w:r w:rsidRPr="738A46D6" w:rsidR="4BD64BD3">
        <w:rPr>
          <w:rFonts w:eastAsia="Calibri"/>
        </w:rPr>
        <w:t xml:space="preserve"> MIPS payment year</w:t>
      </w:r>
      <w:r w:rsidRPr="738A46D6" w:rsidR="547F1374">
        <w:rPr>
          <w:rFonts w:eastAsia="Calibri"/>
        </w:rPr>
        <w:t xml:space="preserve">, </w:t>
      </w:r>
      <w:r w:rsidRPr="738A46D6" w:rsidR="23ED0748">
        <w:rPr>
          <w:rFonts w:eastAsia="Calibri"/>
        </w:rPr>
        <w:t xml:space="preserve">we estimate that a total of </w:t>
      </w:r>
      <w:r w:rsidRPr="738A46D6" w:rsidR="2207B5C9">
        <w:rPr>
          <w:rFonts w:eastAsia="Calibri"/>
        </w:rPr>
        <w:t>38,</w:t>
      </w:r>
      <w:r w:rsidRPr="738A46D6" w:rsidR="35BBD6BA">
        <w:rPr>
          <w:rFonts w:eastAsia="Calibri"/>
        </w:rPr>
        <w:t>433</w:t>
      </w:r>
      <w:r w:rsidRPr="738A46D6" w:rsidR="23ED0748">
        <w:rPr>
          <w:rFonts w:eastAsia="Calibri"/>
        </w:rPr>
        <w:t xml:space="preserve"> respondents consisting of </w:t>
      </w:r>
      <w:r w:rsidRPr="738A46D6" w:rsidR="35BBD6BA">
        <w:rPr>
          <w:rFonts w:eastAsia="Calibri"/>
        </w:rPr>
        <w:t>29,017</w:t>
      </w:r>
      <w:r w:rsidRPr="738A46D6" w:rsidR="23ED0748">
        <w:rPr>
          <w:rFonts w:eastAsia="Calibri"/>
        </w:rPr>
        <w:t xml:space="preserve"> individual clinicians and </w:t>
      </w:r>
      <w:r w:rsidRPr="738A46D6" w:rsidR="35BBD6BA">
        <w:rPr>
          <w:rFonts w:eastAsia="Calibri"/>
        </w:rPr>
        <w:t>9,396</w:t>
      </w:r>
      <w:r w:rsidRPr="738A46D6" w:rsidR="23ED0748">
        <w:rPr>
          <w:rFonts w:eastAsia="Calibri"/>
        </w:rPr>
        <w:t xml:space="preserve"> groups</w:t>
      </w:r>
      <w:r w:rsidRPr="738A46D6" w:rsidR="2A94A488">
        <w:rPr>
          <w:rFonts w:eastAsia="Calibri"/>
        </w:rPr>
        <w:t>, and 20 subgroups</w:t>
      </w:r>
      <w:r w:rsidRPr="738A46D6" w:rsidR="23ED0748">
        <w:rPr>
          <w:rFonts w:eastAsia="Calibri"/>
        </w:rPr>
        <w:t xml:space="preserve"> will submit improvement activities during the </w:t>
      </w:r>
      <w:r w:rsidRPr="738A46D6" w:rsidR="374AFCC2">
        <w:rPr>
          <w:rFonts w:eastAsia="Calibri"/>
        </w:rPr>
        <w:t xml:space="preserve">CY </w:t>
      </w:r>
      <w:r w:rsidRPr="738A46D6" w:rsidR="23ED0748">
        <w:rPr>
          <w:rFonts w:eastAsia="Calibri"/>
        </w:rPr>
        <w:t>202</w:t>
      </w:r>
      <w:r w:rsidRPr="738A46D6" w:rsidR="35BBD6BA">
        <w:rPr>
          <w:rFonts w:eastAsia="Calibri"/>
        </w:rPr>
        <w:t>5</w:t>
      </w:r>
      <w:r w:rsidRPr="738A46D6" w:rsidR="23ED0748">
        <w:rPr>
          <w:rFonts w:eastAsia="Calibri"/>
        </w:rPr>
        <w:t xml:space="preserve"> performance period</w:t>
      </w:r>
      <w:r w:rsidRPr="738A46D6" w:rsidR="374AFCC2">
        <w:rPr>
          <w:rFonts w:eastAsia="Calibri"/>
        </w:rPr>
        <w:t>/202</w:t>
      </w:r>
      <w:r w:rsidRPr="738A46D6" w:rsidR="35BBD6BA">
        <w:rPr>
          <w:rFonts w:eastAsia="Calibri"/>
        </w:rPr>
        <w:t>7</w:t>
      </w:r>
      <w:r w:rsidRPr="738A46D6" w:rsidR="374AFCC2">
        <w:rPr>
          <w:rFonts w:eastAsia="Calibri"/>
        </w:rPr>
        <w:t xml:space="preserve"> MIPS payment year</w:t>
      </w:r>
      <w:r w:rsidRPr="738A46D6" w:rsidR="6B93F9A4">
        <w:rPr>
          <w:rFonts w:eastAsia="Calibri"/>
        </w:rPr>
        <w:t>.</w:t>
      </w:r>
    </w:p>
    <w:p w:rsidR="003C1394" w:rsidP="00584C50" w14:paraId="0AE66F94" w14:textId="303309A8">
      <w:pPr>
        <w:pStyle w:val="BodyText"/>
        <w:rPr>
          <w:rFonts w:eastAsia="Calibri"/>
        </w:rPr>
      </w:pPr>
      <w:r>
        <w:rPr>
          <w:rFonts w:eastAsia="Calibri"/>
          <w:snapToGrid w:val="0"/>
        </w:rPr>
        <w:t xml:space="preserve">We estimate that it would take </w:t>
      </w:r>
      <w:r w:rsidR="299AF4AB">
        <w:rPr>
          <w:rFonts w:eastAsia="Calibri"/>
          <w:snapToGrid w:val="0"/>
        </w:rPr>
        <w:t>5 minutes (0.083 hours) for</w:t>
      </w:r>
      <w:r w:rsidRPr="00A646F5" w:rsidR="3E7374E1">
        <w:rPr>
          <w:color w:val="000000" w:themeColor="text1"/>
        </w:rPr>
        <w:t xml:space="preserve"> a computer system analyst</w:t>
      </w:r>
      <w:r w:rsidRPr="00A646F5" w:rsidR="3E7374E1">
        <w:rPr>
          <w:rFonts w:eastAsia="Calibri"/>
          <w:snapToGrid w:val="0"/>
          <w:color w:val="000000" w:themeColor="text1"/>
        </w:rPr>
        <w:t xml:space="preserve"> at a labor rate of </w:t>
      </w:r>
      <w:r w:rsidRPr="738A46D6" w:rsidR="6DF53727">
        <w:rPr>
          <w:rFonts w:eastAsia="Calibri"/>
          <w:color w:val="000000" w:themeColor="text1"/>
        </w:rPr>
        <w:t>$106.54</w:t>
      </w:r>
      <w:r w:rsidRPr="00A646F5" w:rsidR="3E7374E1">
        <w:rPr>
          <w:rFonts w:eastAsia="Calibri"/>
          <w:snapToGrid w:val="0"/>
          <w:color w:val="000000" w:themeColor="text1"/>
        </w:rPr>
        <w:t>/hr</w:t>
      </w:r>
      <w:r w:rsidRPr="00A646F5" w:rsidR="3E7374E1">
        <w:rPr>
          <w:color w:val="000000" w:themeColor="text1"/>
        </w:rPr>
        <w:t xml:space="preserve"> to submit by logging in and manually attesting that certain activities were performed in the form and manner specified by CMS with a set of authenticated credentials</w:t>
      </w:r>
      <w:r w:rsidR="3E7374E1">
        <w:rPr>
          <w:color w:val="000000" w:themeColor="text1"/>
        </w:rPr>
        <w:t>.</w:t>
      </w:r>
      <w:r>
        <w:rPr>
          <w:rFonts w:eastAsia="Calibri"/>
          <w:snapToGrid w:val="0"/>
        </w:rPr>
        <w:t xml:space="preserve"> </w:t>
      </w:r>
      <w:r w:rsidR="7118DB15">
        <w:rPr>
          <w:rFonts w:eastAsia="Calibri"/>
          <w:snapToGrid w:val="0"/>
        </w:rPr>
        <w:t xml:space="preserve">As shown in Table </w:t>
      </w:r>
      <w:r w:rsidR="547F1374">
        <w:rPr>
          <w:rFonts w:eastAsia="Calibri"/>
          <w:snapToGrid w:val="0"/>
        </w:rPr>
        <w:t>2</w:t>
      </w:r>
      <w:r w:rsidR="36F5F97A">
        <w:rPr>
          <w:rFonts w:eastAsia="Calibri"/>
          <w:snapToGrid w:val="0"/>
        </w:rPr>
        <w:t>0</w:t>
      </w:r>
      <w:r w:rsidR="7118DB15">
        <w:rPr>
          <w:rFonts w:eastAsia="Calibri"/>
          <w:snapToGrid w:val="0"/>
        </w:rPr>
        <w:t xml:space="preserve">, </w:t>
      </w:r>
      <w:r w:rsidRPr="00977610" w:rsidR="1938DDD0">
        <w:rPr>
          <w:rFonts w:eastAsia="Calibri"/>
        </w:rPr>
        <w:t xml:space="preserve">we estimate an annual burden of </w:t>
      </w:r>
      <w:r w:rsidRPr="738A46D6" w:rsidR="357E5DFC">
        <w:rPr>
          <w:rFonts w:eastAsia="Calibri"/>
        </w:rPr>
        <w:t>3,190</w:t>
      </w:r>
      <w:r w:rsidRPr="00977610" w:rsidR="1938DDD0">
        <w:rPr>
          <w:rFonts w:eastAsia="Calibri"/>
        </w:rPr>
        <w:t xml:space="preserve"> hours (</w:t>
      </w:r>
      <w:r w:rsidRPr="738A46D6" w:rsidR="16B365DA">
        <w:rPr>
          <w:rFonts w:eastAsia="Calibri"/>
        </w:rPr>
        <w:t>38,433</w:t>
      </w:r>
      <w:r w:rsidRPr="00977610" w:rsidR="1938DDD0">
        <w:rPr>
          <w:rFonts w:eastAsia="Calibri"/>
        </w:rPr>
        <w:t xml:space="preserve"> responses </w:t>
      </w:r>
      <w:r w:rsidR="003C3AE1">
        <w:t>×</w:t>
      </w:r>
      <w:r w:rsidRPr="00977610" w:rsidR="1938DDD0">
        <w:rPr>
          <w:rFonts w:eastAsia="Calibri"/>
        </w:rPr>
        <w:t xml:space="preserve"> </w:t>
      </w:r>
      <w:r w:rsidR="44AA3261">
        <w:rPr>
          <w:rFonts w:eastAsia="Calibri"/>
        </w:rPr>
        <w:t>0</w:t>
      </w:r>
      <w:r w:rsidR="531C83FE">
        <w:rPr>
          <w:rFonts w:eastAsia="Calibri"/>
        </w:rPr>
        <w:t>.083</w:t>
      </w:r>
      <w:r w:rsidR="21513B84">
        <w:rPr>
          <w:rFonts w:eastAsia="Calibri"/>
        </w:rPr>
        <w:t xml:space="preserve"> hr</w:t>
      </w:r>
      <w:r w:rsidRPr="738A46D6" w:rsidR="6A3E4033">
        <w:rPr>
          <w:rFonts w:eastAsia="Calibri"/>
        </w:rPr>
        <w:t>/response</w:t>
      </w:r>
      <w:r w:rsidRPr="00977610" w:rsidR="1938DDD0">
        <w:rPr>
          <w:rFonts w:eastAsia="Calibri"/>
        </w:rPr>
        <w:t>) a</w:t>
      </w:r>
      <w:r w:rsidR="6BDBF2E2">
        <w:rPr>
          <w:rFonts w:eastAsia="Calibri"/>
        </w:rPr>
        <w:t xml:space="preserve">t a cost of </w:t>
      </w:r>
      <w:r w:rsidRPr="00977610" w:rsidR="1938DDD0">
        <w:rPr>
          <w:rFonts w:eastAsia="Calibri"/>
        </w:rPr>
        <w:t>$</w:t>
      </w:r>
      <w:r w:rsidRPr="738A46D6" w:rsidR="16B365DA">
        <w:rPr>
          <w:rFonts w:eastAsia="Calibri"/>
        </w:rPr>
        <w:t>339,748</w:t>
      </w:r>
      <w:r w:rsidR="68DF87B5">
        <w:rPr>
          <w:rFonts w:eastAsia="Calibri"/>
        </w:rPr>
        <w:t xml:space="preserve"> </w:t>
      </w:r>
      <w:r w:rsidRPr="00977610" w:rsidR="1938DDD0">
        <w:rPr>
          <w:rFonts w:eastAsia="Calibri"/>
        </w:rPr>
        <w:t>(</w:t>
      </w:r>
      <w:r w:rsidRPr="738A46D6" w:rsidR="16B365DA">
        <w:rPr>
          <w:rFonts w:eastAsia="Calibri"/>
        </w:rPr>
        <w:t>38,433</w:t>
      </w:r>
      <w:r w:rsidR="68DF87B5">
        <w:rPr>
          <w:rFonts w:eastAsia="Calibri"/>
        </w:rPr>
        <w:t xml:space="preserve"> respondents</w:t>
      </w:r>
      <w:r w:rsidRPr="00977610" w:rsidR="1938DDD0">
        <w:rPr>
          <w:rFonts w:eastAsia="Calibri"/>
        </w:rPr>
        <w:t xml:space="preserve"> </w:t>
      </w:r>
      <w:r w:rsidR="003C3AE1">
        <w:t>×</w:t>
      </w:r>
      <w:r w:rsidRPr="00977610" w:rsidR="1938DDD0">
        <w:rPr>
          <w:rFonts w:eastAsia="Calibri"/>
        </w:rPr>
        <w:t xml:space="preserve"> $</w:t>
      </w:r>
      <w:r w:rsidR="68DF87B5">
        <w:rPr>
          <w:rFonts w:eastAsia="Calibri"/>
        </w:rPr>
        <w:t>8.</w:t>
      </w:r>
      <w:r w:rsidRPr="738A46D6" w:rsidR="16B365DA">
        <w:rPr>
          <w:rFonts w:eastAsia="Calibri"/>
        </w:rPr>
        <w:t>84</w:t>
      </w:r>
      <w:r w:rsidRPr="00977610" w:rsidR="1938DDD0">
        <w:rPr>
          <w:rFonts w:eastAsia="Calibri"/>
        </w:rPr>
        <w:t>/</w:t>
      </w:r>
      <w:r w:rsidR="68DF87B5">
        <w:rPr>
          <w:rFonts w:eastAsia="Calibri"/>
        </w:rPr>
        <w:t>respon</w:t>
      </w:r>
      <w:r w:rsidRPr="738A46D6" w:rsidR="768CA6B4">
        <w:rPr>
          <w:rFonts w:eastAsia="Calibri"/>
        </w:rPr>
        <w:t>se</w:t>
      </w:r>
      <w:r w:rsidRPr="00977610" w:rsidR="1938DDD0">
        <w:rPr>
          <w:rFonts w:eastAsia="Calibri"/>
        </w:rPr>
        <w:t>)</w:t>
      </w:r>
      <w:r w:rsidR="17492512">
        <w:rPr>
          <w:rFonts w:eastAsia="Calibri"/>
        </w:rPr>
        <w:t xml:space="preserve"> </w:t>
      </w:r>
      <w:r w:rsidR="17492512">
        <w:rPr>
          <w:rFonts w:eastAsia="Calibri"/>
          <w:snapToGrid w:val="0"/>
        </w:rPr>
        <w:t xml:space="preserve">for </w:t>
      </w:r>
      <w:r w:rsidR="17492512">
        <w:rPr>
          <w:rFonts w:eastAsia="Calibri"/>
        </w:rPr>
        <w:t>the CY 202</w:t>
      </w:r>
      <w:r w:rsidRPr="738A46D6" w:rsidR="16B365DA">
        <w:rPr>
          <w:rFonts w:eastAsia="Calibri"/>
        </w:rPr>
        <w:t>5</w:t>
      </w:r>
      <w:r w:rsidR="68DF87B5">
        <w:rPr>
          <w:rFonts w:eastAsia="Calibri"/>
        </w:rPr>
        <w:t xml:space="preserve"> </w:t>
      </w:r>
      <w:r w:rsidR="17492512">
        <w:rPr>
          <w:rFonts w:eastAsia="Calibri"/>
        </w:rPr>
        <w:t>performance period/202</w:t>
      </w:r>
      <w:r w:rsidRPr="738A46D6" w:rsidR="16B365DA">
        <w:rPr>
          <w:rFonts w:eastAsia="Calibri"/>
        </w:rPr>
        <w:t>7</w:t>
      </w:r>
      <w:r w:rsidR="68DF87B5">
        <w:rPr>
          <w:rFonts w:eastAsia="Calibri"/>
        </w:rPr>
        <w:t xml:space="preserve"> </w:t>
      </w:r>
      <w:r w:rsidR="17492512">
        <w:rPr>
          <w:rFonts w:eastAsia="Calibri"/>
        </w:rPr>
        <w:t>MIPS payment year</w:t>
      </w:r>
      <w:r w:rsidR="189846E3">
        <w:rPr>
          <w:rFonts w:eastAsia="Calibri"/>
        </w:rPr>
        <w:t>.</w:t>
      </w:r>
    </w:p>
    <w:p w:rsidR="00901668" w:rsidRPr="00F36D76" w:rsidP="00865B91" w14:paraId="7192A531" w14:textId="17ED2375">
      <w:pPr>
        <w:pStyle w:val="ExhibitTitle"/>
        <w:rPr>
          <w:b w:val="0"/>
          <w:bCs/>
        </w:rPr>
      </w:pPr>
      <w:r w:rsidRPr="00F36D76">
        <w:rPr>
          <w:b w:val="0"/>
          <w:bCs/>
        </w:rPr>
        <w:t>T</w:t>
      </w:r>
      <w:r w:rsidRPr="00F36D76" w:rsidR="066E80B9">
        <w:rPr>
          <w:b w:val="0"/>
          <w:bCs/>
        </w:rPr>
        <w:t>able</w:t>
      </w:r>
      <w:r w:rsidRPr="00F36D76">
        <w:rPr>
          <w:b w:val="0"/>
          <w:bCs/>
        </w:rPr>
        <w:t xml:space="preserve"> </w:t>
      </w:r>
      <w:r w:rsidRPr="00F36D76" w:rsidR="3EBA6548">
        <w:rPr>
          <w:b w:val="0"/>
          <w:bCs/>
        </w:rPr>
        <w:t>2</w:t>
      </w:r>
      <w:r w:rsidRPr="00F36D76" w:rsidR="61374A91">
        <w:rPr>
          <w:b w:val="0"/>
          <w:bCs/>
        </w:rPr>
        <w:t>0</w:t>
      </w:r>
      <w:r w:rsidRPr="00F36D76">
        <w:rPr>
          <w:b w:val="0"/>
          <w:bCs/>
        </w:rPr>
        <w:t xml:space="preserve">: Estimated Burden for Improvement Activities </w:t>
      </w:r>
      <w:r w:rsidRPr="00F36D76" w:rsidR="0CDD7CFF">
        <w:rPr>
          <w:b w:val="0"/>
          <w:bCs/>
        </w:rPr>
        <w:t xml:space="preserve">Data </w:t>
      </w:r>
      <w:r w:rsidRPr="00F36D76">
        <w:rPr>
          <w:b w:val="0"/>
          <w:bCs/>
        </w:rPr>
        <w:t>Submission</w:t>
      </w:r>
      <w:r w:rsidRPr="00F36D76" w:rsidR="5699AE99">
        <w:rPr>
          <w:b w:val="0"/>
          <w:bCs/>
        </w:rPr>
        <w:t xml:space="preserve"> </w:t>
      </w:r>
    </w:p>
    <w:tbl>
      <w:tblPr>
        <w:tblStyle w:val="TableGrid"/>
        <w:tblDescription w:val="Table 20: the estimated burden for submitting data for the I A performance category."/>
        <w:tblW w:w="9330" w:type="dxa"/>
        <w:tblLook w:val="04A0"/>
      </w:tblPr>
      <w:tblGrid>
        <w:gridCol w:w="7635"/>
        <w:gridCol w:w="1695"/>
      </w:tblGrid>
      <w:tr w14:paraId="6B47DE37" w14:textId="77777777" w:rsidTr="00245839">
        <w:tblPrEx>
          <w:tblW w:w="9330" w:type="dxa"/>
          <w:tblLook w:val="04A0"/>
        </w:tblPrEx>
        <w:trPr>
          <w:cantSplit/>
          <w:tblHeader/>
        </w:trPr>
        <w:tc>
          <w:tcPr>
            <w:tcW w:w="7635" w:type="dxa"/>
            <w:hideMark/>
          </w:tcPr>
          <w:p w:rsidR="00220A94" w:rsidRPr="00561B40" w:rsidP="00865B91" w14:paraId="79EF6C42" w14:textId="77777777">
            <w:pPr>
              <w:pStyle w:val="Table11-ColumnHeading"/>
            </w:pPr>
            <w:r w:rsidRPr="008A0431">
              <w:t>Burden and Respondent Descriptions</w:t>
            </w:r>
          </w:p>
        </w:tc>
        <w:tc>
          <w:tcPr>
            <w:tcW w:w="1695" w:type="dxa"/>
            <w:hideMark/>
          </w:tcPr>
          <w:p w:rsidR="00220A94" w:rsidRPr="00561B40" w:rsidP="00865B91" w14:paraId="71191BAE" w14:textId="77777777">
            <w:pPr>
              <w:pStyle w:val="Table11-ColumnHeading"/>
            </w:pPr>
            <w:r w:rsidRPr="008A0431">
              <w:t>Burden Estimate</w:t>
            </w:r>
          </w:p>
        </w:tc>
      </w:tr>
      <w:tr w14:paraId="626D3613" w14:textId="77777777" w:rsidTr="00245839">
        <w:tblPrEx>
          <w:tblW w:w="9330" w:type="dxa"/>
          <w:tblLook w:val="04A0"/>
        </w:tblPrEx>
        <w:trPr>
          <w:cantSplit/>
        </w:trPr>
        <w:tc>
          <w:tcPr>
            <w:tcW w:w="7635" w:type="dxa"/>
            <w:hideMark/>
          </w:tcPr>
          <w:p w:rsidR="00220A94" w:rsidRPr="004F5699" w:rsidP="00865B91" w14:paraId="3F24D57F" w14:textId="77777777">
            <w:pPr>
              <w:pStyle w:val="Table11Basic"/>
            </w:pPr>
            <w:r w:rsidRPr="004F5699">
              <w:t>Total # of Respondents (Groups, Subgroups, Virtual Groups, and Individual Clinicians) to Submit Improvement Activities Data on Behalf of Clinicians During the CY 2025 Performance Period (a) </w:t>
            </w:r>
          </w:p>
        </w:tc>
        <w:tc>
          <w:tcPr>
            <w:tcW w:w="1695" w:type="dxa"/>
            <w:hideMark/>
          </w:tcPr>
          <w:p w:rsidR="00220A94" w:rsidRPr="004F5699" w:rsidP="00865B91" w14:paraId="031F4A2C" w14:textId="77777777">
            <w:pPr>
              <w:pStyle w:val="Table11Centered"/>
            </w:pPr>
            <w:r w:rsidRPr="004F5699">
              <w:t>38,433</w:t>
            </w:r>
          </w:p>
        </w:tc>
      </w:tr>
      <w:tr w14:paraId="0CCFCE86" w14:textId="77777777" w:rsidTr="00245839">
        <w:tblPrEx>
          <w:tblW w:w="9330" w:type="dxa"/>
          <w:tblLook w:val="04A0"/>
        </w:tblPrEx>
        <w:trPr>
          <w:cantSplit/>
        </w:trPr>
        <w:tc>
          <w:tcPr>
            <w:tcW w:w="7635" w:type="dxa"/>
            <w:hideMark/>
          </w:tcPr>
          <w:p w:rsidR="00220A94" w:rsidRPr="004F5699" w:rsidP="00865B91" w14:paraId="12C06AAC" w14:textId="77777777">
            <w:pPr>
              <w:pStyle w:val="Table11Basic"/>
            </w:pPr>
            <w:r w:rsidRPr="004F5699">
              <w:t>Total Annual Hours Per Respondent (b)  </w:t>
            </w:r>
          </w:p>
        </w:tc>
        <w:tc>
          <w:tcPr>
            <w:tcW w:w="1695" w:type="dxa"/>
            <w:hideMark/>
          </w:tcPr>
          <w:p w:rsidR="00220A94" w:rsidRPr="004F5699" w:rsidP="00865B91" w14:paraId="7AC904F3" w14:textId="77777777">
            <w:pPr>
              <w:pStyle w:val="Table11Centered"/>
            </w:pPr>
            <w:r w:rsidRPr="004F5699">
              <w:t>0.083 </w:t>
            </w:r>
          </w:p>
        </w:tc>
      </w:tr>
      <w:tr w14:paraId="3D7BC498" w14:textId="77777777" w:rsidTr="00245839">
        <w:tblPrEx>
          <w:tblW w:w="9330" w:type="dxa"/>
          <w:tblLook w:val="04A0"/>
        </w:tblPrEx>
        <w:trPr>
          <w:cantSplit/>
        </w:trPr>
        <w:tc>
          <w:tcPr>
            <w:tcW w:w="7635" w:type="dxa"/>
            <w:shd w:val="clear" w:color="auto" w:fill="E7E6E6" w:themeFill="background2"/>
            <w:hideMark/>
          </w:tcPr>
          <w:p w:rsidR="00220A94" w:rsidRPr="004F5699" w:rsidP="00865B91" w14:paraId="1B32A20E" w14:textId="692690E0">
            <w:pPr>
              <w:pStyle w:val="Table11Basic"/>
              <w:rPr>
                <w:b/>
                <w:bCs/>
              </w:rPr>
            </w:pPr>
            <w:r w:rsidRPr="004F5699">
              <w:rPr>
                <w:b/>
                <w:bCs/>
              </w:rPr>
              <w:t xml:space="preserve">Total Annual Hours (c) = (a) </w:t>
            </w:r>
            <w:r w:rsidR="00405032">
              <w:rPr>
                <w:b/>
                <w:bCs/>
                <w:color w:val="000000" w:themeColor="text1"/>
              </w:rPr>
              <w:t>[</w:t>
            </w:r>
            <w:r w:rsidRPr="003C3AE1" w:rsidR="003C3AE1">
              <w:rPr>
                <w:b/>
                <w:bCs/>
              </w:rPr>
              <w:t>×</w:t>
            </w:r>
            <w:r w:rsidR="00405032">
              <w:rPr>
                <w:b/>
                <w:bCs/>
                <w:color w:val="000000" w:themeColor="text1"/>
              </w:rPr>
              <w:t>]</w:t>
            </w:r>
            <w:r w:rsidRPr="004F5699">
              <w:rPr>
                <w:b/>
                <w:bCs/>
              </w:rPr>
              <w:t xml:space="preserve"> (b) </w:t>
            </w:r>
          </w:p>
        </w:tc>
        <w:tc>
          <w:tcPr>
            <w:tcW w:w="1695" w:type="dxa"/>
            <w:shd w:val="clear" w:color="auto" w:fill="E7E6E6" w:themeFill="background2"/>
            <w:hideMark/>
          </w:tcPr>
          <w:p w:rsidR="00220A94" w:rsidRPr="004F5699" w:rsidP="00865B91" w14:paraId="007FAF7B" w14:textId="77777777">
            <w:pPr>
              <w:pStyle w:val="Table11Centered"/>
              <w:rPr>
                <w:b/>
              </w:rPr>
            </w:pPr>
            <w:r w:rsidRPr="004F5699">
              <w:rPr>
                <w:b/>
              </w:rPr>
              <w:t>3,190</w:t>
            </w:r>
          </w:p>
        </w:tc>
      </w:tr>
      <w:tr w14:paraId="150B2363" w14:textId="77777777" w:rsidTr="00245839">
        <w:tblPrEx>
          <w:tblW w:w="9330" w:type="dxa"/>
          <w:tblLook w:val="04A0"/>
        </w:tblPrEx>
        <w:trPr>
          <w:cantSplit/>
        </w:trPr>
        <w:tc>
          <w:tcPr>
            <w:tcW w:w="7635" w:type="dxa"/>
            <w:hideMark/>
          </w:tcPr>
          <w:p w:rsidR="00220A94" w:rsidRPr="004F5699" w:rsidP="00865B91" w14:paraId="5031DCED" w14:textId="6000EC28">
            <w:pPr>
              <w:pStyle w:val="Table11Basic"/>
            </w:pPr>
            <w:r w:rsidRPr="004F5699">
              <w:t xml:space="preserve">Cost per Respondent to Submit Improvement Activities Data </w:t>
            </w:r>
            <w:r w:rsidR="00960869">
              <w:t>at</w:t>
            </w:r>
            <w:r w:rsidRPr="004F5699">
              <w:t xml:space="preserve"> Computer System Analyst’s Labor Rate of $106.54/hr (d) = (b) </w:t>
            </w:r>
            <w:r w:rsidRPr="00E15417" w:rsidR="009F665B">
              <w:rPr>
                <w:color w:val="000000" w:themeColor="text1"/>
              </w:rPr>
              <w:t>[</w:t>
            </w:r>
            <w:r w:rsidR="003C3AE1">
              <w:t>×</w:t>
            </w:r>
            <w:r w:rsidRPr="00E15417" w:rsidR="009F665B">
              <w:rPr>
                <w:color w:val="000000" w:themeColor="text1"/>
              </w:rPr>
              <w:t>]</w:t>
            </w:r>
            <w:r w:rsidRPr="004F5699">
              <w:t xml:space="preserve"> $106.54/hr</w:t>
            </w:r>
          </w:p>
        </w:tc>
        <w:tc>
          <w:tcPr>
            <w:tcW w:w="1695" w:type="dxa"/>
            <w:hideMark/>
          </w:tcPr>
          <w:p w:rsidR="00220A94" w:rsidRPr="004F5699" w:rsidP="00865B91" w14:paraId="23F55002" w14:textId="77777777">
            <w:pPr>
              <w:pStyle w:val="Table11Centered"/>
            </w:pPr>
            <w:r w:rsidRPr="004F5699">
              <w:t>$8.84 </w:t>
            </w:r>
          </w:p>
        </w:tc>
      </w:tr>
      <w:tr w14:paraId="7B396085" w14:textId="77777777" w:rsidTr="00245839">
        <w:tblPrEx>
          <w:tblW w:w="9330" w:type="dxa"/>
          <w:tblLook w:val="04A0"/>
        </w:tblPrEx>
        <w:trPr>
          <w:cantSplit/>
        </w:trPr>
        <w:tc>
          <w:tcPr>
            <w:tcW w:w="7635" w:type="dxa"/>
            <w:shd w:val="clear" w:color="auto" w:fill="E7E6E6" w:themeFill="background2"/>
            <w:hideMark/>
          </w:tcPr>
          <w:p w:rsidR="00220A94" w:rsidRPr="004F5699" w:rsidP="00865B91" w14:paraId="67594B74" w14:textId="2BFF6B82">
            <w:pPr>
              <w:pStyle w:val="Table11Basic"/>
              <w:rPr>
                <w:b/>
                <w:bCs/>
              </w:rPr>
            </w:pPr>
            <w:r w:rsidRPr="004F5699">
              <w:rPr>
                <w:b/>
                <w:bCs/>
              </w:rPr>
              <w:t xml:space="preserve">Total Annual Cost (e) = (a) </w:t>
            </w:r>
            <w:r w:rsidR="00405032">
              <w:rPr>
                <w:b/>
                <w:bCs/>
                <w:color w:val="000000" w:themeColor="text1"/>
              </w:rPr>
              <w:t>[</w:t>
            </w:r>
            <w:r w:rsidRPr="003C3AE1" w:rsidR="003C3AE1">
              <w:rPr>
                <w:b/>
                <w:bCs/>
              </w:rPr>
              <w:t>×</w:t>
            </w:r>
            <w:r w:rsidR="00405032">
              <w:rPr>
                <w:b/>
                <w:bCs/>
                <w:color w:val="000000" w:themeColor="text1"/>
              </w:rPr>
              <w:t>]</w:t>
            </w:r>
            <w:r w:rsidRPr="004F5699">
              <w:rPr>
                <w:b/>
                <w:bCs/>
              </w:rPr>
              <w:t xml:space="preserve"> (d) </w:t>
            </w:r>
          </w:p>
        </w:tc>
        <w:tc>
          <w:tcPr>
            <w:tcW w:w="1695" w:type="dxa"/>
            <w:shd w:val="clear" w:color="auto" w:fill="E7E6E6" w:themeFill="background2"/>
            <w:hideMark/>
          </w:tcPr>
          <w:p w:rsidR="00220A94" w:rsidRPr="004F5699" w:rsidP="00865B91" w14:paraId="67B08DB6" w14:textId="77777777">
            <w:pPr>
              <w:pStyle w:val="Table11Centered"/>
              <w:rPr>
                <w:b/>
              </w:rPr>
            </w:pPr>
            <w:r w:rsidRPr="004F5699">
              <w:rPr>
                <w:b/>
              </w:rPr>
              <w:t>$339,748</w:t>
            </w:r>
          </w:p>
        </w:tc>
      </w:tr>
    </w:tbl>
    <w:p w:rsidR="00A7478F" w:rsidRPr="004330C9" w:rsidP="006E6DEB" w14:paraId="3015E32F" w14:textId="5FEAFF96">
      <w:pPr>
        <w:pStyle w:val="Heading4"/>
      </w:pPr>
      <w:bookmarkStart w:id="184" w:name="_Hlk532899259"/>
      <w:r>
        <w:t>k.</w:t>
      </w:r>
      <w:r>
        <w:tab/>
      </w:r>
      <w:r w:rsidRPr="004330C9">
        <w:t>Burden Estimate for the Nomination of Improvement Activities</w:t>
      </w:r>
    </w:p>
    <w:p w:rsidR="008D7DB5" w:rsidP="00865B91" w14:paraId="467D374D" w14:textId="2EEA7CD3">
      <w:pPr>
        <w:pStyle w:val="BodyText-PostHead"/>
        <w:rPr>
          <w:rFonts w:eastAsia="Calibri"/>
        </w:rPr>
      </w:pPr>
      <w:bookmarkStart w:id="185" w:name="_Hlk497143230"/>
      <w:bookmarkEnd w:id="184"/>
      <w:r>
        <w:rPr>
          <w:rFonts w:eastAsia="Calibri"/>
        </w:rPr>
        <w:t xml:space="preserve">Interested parties </w:t>
      </w:r>
      <w:r w:rsidR="002414E6">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185"/>
      <w:r w:rsidR="00B7420B">
        <w:rPr>
          <w:rFonts w:eastAsia="Calibri"/>
        </w:rPr>
        <w:t>For the CY 202</w:t>
      </w:r>
      <w:r w:rsidR="00220A94">
        <w:rPr>
          <w:rFonts w:eastAsia="Calibri"/>
        </w:rPr>
        <w:t>5</w:t>
      </w:r>
      <w:r w:rsidR="00B7420B">
        <w:rPr>
          <w:rFonts w:eastAsia="Calibri"/>
        </w:rPr>
        <w:t xml:space="preserve"> performance period/202</w:t>
      </w:r>
      <w:r w:rsidR="00220A94">
        <w:rPr>
          <w:rFonts w:eastAsia="Calibri"/>
        </w:rPr>
        <w:t>7</w:t>
      </w:r>
      <w:r w:rsidR="00B7420B">
        <w:rPr>
          <w:rFonts w:eastAsia="Calibri"/>
        </w:rPr>
        <w:t xml:space="preserve"> MIPS payment year</w:t>
      </w:r>
      <w:r w:rsidRPr="00FC4695" w:rsidR="00FC4695">
        <w:rPr>
          <w:rFonts w:eastAsia="Calibri"/>
        </w:rPr>
        <w:t xml:space="preserve">, we </w:t>
      </w:r>
      <w:r w:rsidR="00AF3254">
        <w:rPr>
          <w:rFonts w:eastAsia="Calibri"/>
        </w:rPr>
        <w:t>estimate</w:t>
      </w:r>
      <w:r w:rsidRPr="00FC4695" w:rsidR="00FC4695">
        <w:rPr>
          <w:rFonts w:eastAsia="Calibri"/>
        </w:rPr>
        <w:t xml:space="preserve"> that we will receive </w:t>
      </w:r>
      <w:r w:rsidR="00AF3254">
        <w:rPr>
          <w:rFonts w:eastAsia="Calibri"/>
        </w:rPr>
        <w:t>15</w:t>
      </w:r>
      <w:r w:rsidRPr="00FC4695" w:rsidR="00FC4695">
        <w:rPr>
          <w:rFonts w:eastAsia="Calibri"/>
        </w:rPr>
        <w:t xml:space="preserve"> nominations of new or modified activities which will be evaluated for the Improvement Activities Under Consideration list for possible inclusion in the CY 202</w:t>
      </w:r>
      <w:r w:rsidR="00490DEE">
        <w:rPr>
          <w:rFonts w:eastAsia="Calibri"/>
        </w:rPr>
        <w:t>5</w:t>
      </w:r>
      <w:r w:rsidRPr="00FC4695" w:rsidR="00FC4695">
        <w:rPr>
          <w:rFonts w:eastAsia="Calibri"/>
        </w:rPr>
        <w:t xml:space="preserve"> Improvement Activities Inventory</w:t>
      </w:r>
      <w:r w:rsidR="00556828">
        <w:rPr>
          <w:rFonts w:eastAsia="Calibri"/>
        </w:rPr>
        <w:t>.</w:t>
      </w:r>
    </w:p>
    <w:p w:rsidR="00BD34DC" w:rsidP="00865B91" w14:paraId="22DBDDC8" w14:textId="1F649DE3">
      <w:pPr>
        <w:pStyle w:val="BodyText"/>
        <w:rPr>
          <w:rFonts w:eastAsia="Calibri"/>
        </w:rPr>
      </w:pPr>
      <w:r w:rsidRPr="738A46D6">
        <w:rPr>
          <w:rFonts w:eastAsia="Calibri"/>
        </w:rPr>
        <w:t>As shown in Table 2</w:t>
      </w:r>
      <w:r w:rsidRPr="738A46D6" w:rsidR="2CA0A95B">
        <w:rPr>
          <w:rFonts w:eastAsia="Calibri"/>
        </w:rPr>
        <w:t>1</w:t>
      </w:r>
      <w:r w:rsidRPr="738A46D6">
        <w:rPr>
          <w:rFonts w:eastAsia="Calibri"/>
        </w:rPr>
        <w:t>, w</w:t>
      </w:r>
      <w:r w:rsidRPr="738A46D6" w:rsidR="5C96B0D0">
        <w:rPr>
          <w:rFonts w:eastAsia="Calibri"/>
        </w:rPr>
        <w:t xml:space="preserve">e </w:t>
      </w:r>
      <w:r w:rsidRPr="738A46D6" w:rsidR="0C542F3C">
        <w:rPr>
          <w:rFonts w:eastAsia="Calibri"/>
        </w:rPr>
        <w:t>estimate t</w:t>
      </w:r>
      <w:r w:rsidRPr="738A46D6" w:rsidR="5C96B0D0">
        <w:rPr>
          <w:rFonts w:eastAsia="Calibri"/>
        </w:rPr>
        <w:t>hat it would take</w:t>
      </w:r>
      <w:r w:rsidRPr="738A46D6" w:rsidR="0C542F3C">
        <w:rPr>
          <w:rFonts w:eastAsia="Calibri"/>
        </w:rPr>
        <w:t xml:space="preserve"> 2.8 hours at $</w:t>
      </w:r>
      <w:r w:rsidRPr="738A46D6" w:rsidR="375A30C1">
        <w:rPr>
          <w:rFonts w:eastAsia="Calibri"/>
        </w:rPr>
        <w:t>129.28</w:t>
      </w:r>
      <w:r w:rsidRPr="738A46D6" w:rsidR="0C542F3C">
        <w:rPr>
          <w:rFonts w:eastAsia="Calibri"/>
        </w:rPr>
        <w:t>/hr for a medical and health services manager or equivalent and 1.6 hours at $</w:t>
      </w:r>
      <w:r w:rsidRPr="738A46D6" w:rsidR="02CB9EA8">
        <w:rPr>
          <w:rFonts w:eastAsia="Calibri"/>
        </w:rPr>
        <w:t>291.64</w:t>
      </w:r>
      <w:r w:rsidRPr="738A46D6" w:rsidR="0C542F3C">
        <w:rPr>
          <w:rFonts w:eastAsia="Calibri"/>
        </w:rPr>
        <w:t xml:space="preserve">/hr for a physician to nominate an improvement activity. </w:t>
      </w:r>
      <w:r w:rsidRPr="738A46D6">
        <w:rPr>
          <w:rFonts w:eastAsia="Calibri"/>
        </w:rPr>
        <w:t>In aggregate,</w:t>
      </w:r>
      <w:r w:rsidRPr="738A46D6" w:rsidR="3948FB07">
        <w:rPr>
          <w:rFonts w:eastAsia="Calibri"/>
        </w:rPr>
        <w:t xml:space="preserve"> w</w:t>
      </w:r>
      <w:r w:rsidRPr="738A46D6" w:rsidR="00A71879">
        <w:rPr>
          <w:rFonts w:eastAsia="Calibri"/>
        </w:rPr>
        <w:t xml:space="preserve">e </w:t>
      </w:r>
      <w:r w:rsidRPr="738A46D6" w:rsidR="0F79AD76">
        <w:rPr>
          <w:rFonts w:eastAsia="Calibri"/>
        </w:rPr>
        <w:t xml:space="preserve">estimate an annual information collection burden of </w:t>
      </w:r>
      <w:r w:rsidRPr="738A46D6">
        <w:rPr>
          <w:rFonts w:eastAsia="Calibri"/>
        </w:rPr>
        <w:t>6</w:t>
      </w:r>
      <w:r w:rsidRPr="738A46D6" w:rsidR="416F302B">
        <w:rPr>
          <w:rFonts w:eastAsia="Calibri"/>
        </w:rPr>
        <w:t>6</w:t>
      </w:r>
      <w:r w:rsidRPr="738A46D6" w:rsidR="0F79AD76">
        <w:rPr>
          <w:rFonts w:eastAsia="Calibri"/>
        </w:rPr>
        <w:t xml:space="preserve"> hours (</w:t>
      </w:r>
      <w:r w:rsidRPr="738A46D6">
        <w:rPr>
          <w:rFonts w:eastAsia="Calibri"/>
        </w:rPr>
        <w:t>15</w:t>
      </w:r>
      <w:r w:rsidRPr="738A46D6" w:rsidR="0F79AD76">
        <w:rPr>
          <w:rFonts w:eastAsia="Calibri"/>
        </w:rPr>
        <w:t xml:space="preserve"> nominations </w:t>
      </w:r>
      <w:r w:rsidR="003C3AE1">
        <w:t>×</w:t>
      </w:r>
      <w:r w:rsidRPr="738A46D6" w:rsidR="0F79AD76">
        <w:rPr>
          <w:rFonts w:eastAsia="Calibri"/>
        </w:rPr>
        <w:t xml:space="preserve"> </w:t>
      </w:r>
      <w:r w:rsidRPr="738A46D6" w:rsidR="416F302B">
        <w:rPr>
          <w:rFonts w:eastAsia="Calibri"/>
        </w:rPr>
        <w:t>4.4</w:t>
      </w:r>
      <w:r w:rsidRPr="738A46D6" w:rsidR="0F79AD76">
        <w:rPr>
          <w:rFonts w:eastAsia="Calibri"/>
        </w:rPr>
        <w:t xml:space="preserve"> hr/nomination) at a cost of $</w:t>
      </w:r>
      <w:r w:rsidRPr="738A46D6" w:rsidR="02CB9EA8">
        <w:rPr>
          <w:rFonts w:eastAsia="Calibri"/>
        </w:rPr>
        <w:t>12,429</w:t>
      </w:r>
      <w:r w:rsidRPr="738A46D6" w:rsidR="317EEBBD">
        <w:rPr>
          <w:rFonts w:eastAsia="Calibri"/>
        </w:rPr>
        <w:t xml:space="preserve"> </w:t>
      </w:r>
      <w:r w:rsidRPr="738A46D6" w:rsidR="0F79AD76">
        <w:rPr>
          <w:rFonts w:eastAsia="Calibri"/>
        </w:rPr>
        <w:t>(</w:t>
      </w:r>
      <w:r w:rsidRPr="738A46D6">
        <w:rPr>
          <w:rFonts w:eastAsia="Calibri"/>
        </w:rPr>
        <w:t>15</w:t>
      </w:r>
      <w:r w:rsidRPr="738A46D6" w:rsidR="0F79AD76">
        <w:rPr>
          <w:rFonts w:eastAsia="Calibri"/>
        </w:rPr>
        <w:t xml:space="preserve"> </w:t>
      </w:r>
      <w:r w:rsidR="003C3AE1">
        <w:t>×</w:t>
      </w:r>
      <w:r w:rsidRPr="738A46D6" w:rsidR="0F79AD76">
        <w:rPr>
          <w:rFonts w:eastAsia="Calibri"/>
        </w:rPr>
        <w:t xml:space="preserve"> [(</w:t>
      </w:r>
      <w:r w:rsidRPr="738A46D6" w:rsidR="49D55254">
        <w:rPr>
          <w:rFonts w:eastAsia="Calibri"/>
        </w:rPr>
        <w:t>2</w:t>
      </w:r>
      <w:r w:rsidRPr="738A46D6" w:rsidR="0F79AD76">
        <w:rPr>
          <w:rFonts w:eastAsia="Calibri"/>
        </w:rPr>
        <w:t xml:space="preserve">.8 hr </w:t>
      </w:r>
      <w:r w:rsidR="003C3AE1">
        <w:t>×</w:t>
      </w:r>
      <w:r w:rsidRPr="738A46D6" w:rsidR="0F79AD76">
        <w:rPr>
          <w:rFonts w:eastAsia="Calibri"/>
        </w:rPr>
        <w:t xml:space="preserve"> $1</w:t>
      </w:r>
      <w:r w:rsidRPr="738A46D6" w:rsidR="10B300FD">
        <w:rPr>
          <w:rFonts w:eastAsia="Calibri"/>
        </w:rPr>
        <w:t>29.28</w:t>
      </w:r>
      <w:r w:rsidRPr="738A46D6" w:rsidR="0F79AD76">
        <w:rPr>
          <w:rFonts w:eastAsia="Calibri"/>
        </w:rPr>
        <w:t>/hr) + (1.</w:t>
      </w:r>
      <w:r w:rsidRPr="738A46D6" w:rsidR="49D55254">
        <w:rPr>
          <w:rFonts w:eastAsia="Calibri"/>
        </w:rPr>
        <w:t>6</w:t>
      </w:r>
      <w:r w:rsidRPr="738A46D6" w:rsidR="0F79AD76">
        <w:rPr>
          <w:rFonts w:eastAsia="Calibri"/>
        </w:rPr>
        <w:t xml:space="preserve"> hr </w:t>
      </w:r>
      <w:r w:rsidR="003C3AE1">
        <w:t>×</w:t>
      </w:r>
      <w:r w:rsidRPr="738A46D6" w:rsidR="0F79AD76">
        <w:rPr>
          <w:rFonts w:eastAsia="Calibri"/>
        </w:rPr>
        <w:t xml:space="preserve"> $</w:t>
      </w:r>
      <w:r w:rsidRPr="738A46D6" w:rsidR="10B300FD">
        <w:rPr>
          <w:rFonts w:eastAsia="Calibri"/>
        </w:rPr>
        <w:t>291.64</w:t>
      </w:r>
      <w:r w:rsidRPr="738A46D6" w:rsidR="0F79AD76">
        <w:rPr>
          <w:rFonts w:eastAsia="Calibri"/>
        </w:rPr>
        <w:t>/hr)]</w:t>
      </w:r>
      <w:r w:rsidRPr="738A46D6" w:rsidR="00A71879">
        <w:rPr>
          <w:rFonts w:eastAsia="Calibri"/>
        </w:rPr>
        <w:t>)</w:t>
      </w:r>
      <w:r w:rsidRPr="738A46D6" w:rsidR="4F3258C3">
        <w:rPr>
          <w:rFonts w:eastAsia="Calibri"/>
        </w:rPr>
        <w:t xml:space="preserve"> for the CY 202</w:t>
      </w:r>
      <w:r w:rsidRPr="738A46D6" w:rsidR="10B300FD">
        <w:rPr>
          <w:rFonts w:eastAsia="Calibri"/>
        </w:rPr>
        <w:t>5</w:t>
      </w:r>
      <w:r w:rsidRPr="738A46D6" w:rsidR="4F3258C3">
        <w:rPr>
          <w:rFonts w:eastAsia="Calibri"/>
        </w:rPr>
        <w:t xml:space="preserve"> performance period/202</w:t>
      </w:r>
      <w:r w:rsidRPr="738A46D6" w:rsidR="10B300FD">
        <w:rPr>
          <w:rFonts w:eastAsia="Calibri"/>
        </w:rPr>
        <w:t>7</w:t>
      </w:r>
      <w:r w:rsidRPr="738A46D6" w:rsidR="4F3258C3">
        <w:rPr>
          <w:rFonts w:eastAsia="Calibri"/>
        </w:rPr>
        <w:t xml:space="preserve"> MIPS payment year.</w:t>
      </w:r>
    </w:p>
    <w:p w:rsidR="00FF7AB6" w:rsidRPr="00F36D76" w:rsidP="00865B91" w14:paraId="37EC7A7E" w14:textId="46F91BA3">
      <w:pPr>
        <w:pStyle w:val="ExhibitTitle"/>
        <w:rPr>
          <w:b w:val="0"/>
          <w:bCs/>
        </w:rPr>
      </w:pPr>
      <w:r w:rsidRPr="00F36D76">
        <w:rPr>
          <w:b w:val="0"/>
          <w:bCs/>
        </w:rPr>
        <w:t xml:space="preserve">Table </w:t>
      </w:r>
      <w:r w:rsidRPr="00F36D76" w:rsidR="0FC7BF6B">
        <w:rPr>
          <w:b w:val="0"/>
          <w:bCs/>
        </w:rPr>
        <w:t>2</w:t>
      </w:r>
      <w:r w:rsidRPr="00F36D76" w:rsidR="289D2832">
        <w:rPr>
          <w:b w:val="0"/>
          <w:bCs/>
        </w:rPr>
        <w:t>1</w:t>
      </w:r>
      <w:r w:rsidRPr="00F36D76" w:rsidR="0FC7BF6B">
        <w:rPr>
          <w:b w:val="0"/>
          <w:bCs/>
        </w:rPr>
        <w:t>: Burden Estimates for Nomination of Improvement Activities</w:t>
      </w:r>
      <w:r w:rsidRPr="00F36D76" w:rsidR="6BD688F1">
        <w:rPr>
          <w:b w:val="0"/>
          <w:bCs/>
        </w:rPr>
        <w:t xml:space="preserve"> </w:t>
      </w:r>
    </w:p>
    <w:tbl>
      <w:tblPr>
        <w:tblStyle w:val="TableGrid"/>
        <w:tblDescription w:val="Table 21: the estimated burden for submitting activities to be considered for inclusion in the I A performance category."/>
        <w:tblW w:w="9355" w:type="dxa"/>
        <w:tblLook w:val="04A0"/>
      </w:tblPr>
      <w:tblGrid>
        <w:gridCol w:w="7645"/>
        <w:gridCol w:w="1710"/>
      </w:tblGrid>
      <w:tr w14:paraId="5BDFF9EC" w14:textId="77777777" w:rsidTr="00C017CD">
        <w:tblPrEx>
          <w:tblW w:w="9355" w:type="dxa"/>
          <w:tblLook w:val="04A0"/>
        </w:tblPrEx>
        <w:trPr>
          <w:cantSplit/>
          <w:trHeight w:val="20"/>
          <w:tblHeader/>
        </w:trPr>
        <w:tc>
          <w:tcPr>
            <w:tcW w:w="7645" w:type="dxa"/>
            <w:hideMark/>
          </w:tcPr>
          <w:p w:rsidR="00FF7AB6" w:rsidRPr="00FF7AB6" w:rsidP="00865B91" w14:paraId="06240DC4" w14:textId="0CC9D150">
            <w:pPr>
              <w:pStyle w:val="Table11-ColumnHeading"/>
            </w:pPr>
            <w:r w:rsidRPr="00FF7AB6">
              <w:t>Burden and Respondent Descriptions</w:t>
            </w:r>
          </w:p>
        </w:tc>
        <w:tc>
          <w:tcPr>
            <w:tcW w:w="1710" w:type="dxa"/>
            <w:hideMark/>
          </w:tcPr>
          <w:p w:rsidR="00FF7AB6" w:rsidRPr="00925658" w:rsidP="00865B91" w14:paraId="3030D173" w14:textId="22035B98">
            <w:pPr>
              <w:pStyle w:val="Table11-ColumnHeading"/>
            </w:pPr>
            <w:r w:rsidRPr="00925658">
              <w:t xml:space="preserve">Burden </w:t>
            </w:r>
            <w:r w:rsidR="00B404FD">
              <w:t>E</w:t>
            </w:r>
            <w:r w:rsidRPr="00925658">
              <w:t>stimate</w:t>
            </w:r>
          </w:p>
        </w:tc>
      </w:tr>
      <w:tr w14:paraId="258297C3" w14:textId="77777777" w:rsidTr="00C017CD">
        <w:tblPrEx>
          <w:tblW w:w="9355" w:type="dxa"/>
          <w:tblLook w:val="04A0"/>
        </w:tblPrEx>
        <w:trPr>
          <w:cantSplit/>
          <w:trHeight w:val="20"/>
        </w:trPr>
        <w:tc>
          <w:tcPr>
            <w:tcW w:w="7645" w:type="dxa"/>
            <w:hideMark/>
          </w:tcPr>
          <w:p w:rsidR="00AF3254" w:rsidRPr="00925658" w:rsidP="00865B91" w14:paraId="35226CE3" w14:textId="7C14AC1E">
            <w:pPr>
              <w:pStyle w:val="Table11Basic"/>
            </w:pPr>
            <w:r w:rsidRPr="00093F91">
              <w:rPr>
                <w:rFonts w:eastAsia="Calibri"/>
              </w:rPr>
              <w:t># of Nominations of New IAs (a)</w:t>
            </w:r>
          </w:p>
        </w:tc>
        <w:tc>
          <w:tcPr>
            <w:tcW w:w="1710" w:type="dxa"/>
            <w:noWrap/>
            <w:hideMark/>
          </w:tcPr>
          <w:p w:rsidR="00AF3254" w:rsidRPr="00925658" w:rsidP="00865B91" w14:paraId="04B81823" w14:textId="3124C00D">
            <w:pPr>
              <w:pStyle w:val="Table11Centered"/>
            </w:pPr>
            <w:r w:rsidRPr="00093F91">
              <w:rPr>
                <w:rFonts w:eastAsia="Calibri"/>
              </w:rPr>
              <w:t>15</w:t>
            </w:r>
          </w:p>
        </w:tc>
      </w:tr>
      <w:tr w14:paraId="0DBEC4AE" w14:textId="77777777" w:rsidTr="00C017CD">
        <w:tblPrEx>
          <w:tblW w:w="9355" w:type="dxa"/>
          <w:tblLook w:val="04A0"/>
        </w:tblPrEx>
        <w:trPr>
          <w:cantSplit/>
          <w:trHeight w:val="20"/>
        </w:trPr>
        <w:tc>
          <w:tcPr>
            <w:tcW w:w="7645" w:type="dxa"/>
            <w:hideMark/>
          </w:tcPr>
          <w:p w:rsidR="00AF3254" w:rsidRPr="00925658" w:rsidP="00865B91" w14:paraId="1E04CB4A" w14:textId="356FA020">
            <w:pPr>
              <w:pStyle w:val="Table11Basic"/>
            </w:pPr>
            <w:r w:rsidRPr="00093F91">
              <w:rPr>
                <w:rFonts w:eastAsia="Calibri"/>
              </w:rPr>
              <w:t># of Hours Per Medical and Health Services Manager (b)</w:t>
            </w:r>
          </w:p>
        </w:tc>
        <w:tc>
          <w:tcPr>
            <w:tcW w:w="1710" w:type="dxa"/>
            <w:hideMark/>
          </w:tcPr>
          <w:p w:rsidR="00AF3254" w:rsidRPr="00925658" w:rsidP="00865B91" w14:paraId="38F7993E" w14:textId="69E88C8F">
            <w:pPr>
              <w:pStyle w:val="Table11Centered"/>
            </w:pPr>
            <w:r w:rsidRPr="00093F91">
              <w:rPr>
                <w:rFonts w:eastAsia="Calibri"/>
              </w:rPr>
              <w:t>2.8</w:t>
            </w:r>
          </w:p>
        </w:tc>
      </w:tr>
      <w:tr w14:paraId="3161D109" w14:textId="77777777" w:rsidTr="00C017CD">
        <w:tblPrEx>
          <w:tblW w:w="9355" w:type="dxa"/>
          <w:tblLook w:val="04A0"/>
        </w:tblPrEx>
        <w:trPr>
          <w:cantSplit/>
          <w:trHeight w:val="20"/>
        </w:trPr>
        <w:tc>
          <w:tcPr>
            <w:tcW w:w="7645" w:type="dxa"/>
            <w:hideMark/>
          </w:tcPr>
          <w:p w:rsidR="00AF3254" w:rsidRPr="003D29BA" w:rsidP="00865B91" w14:paraId="6A8C02ED" w14:textId="2AF62D8E">
            <w:pPr>
              <w:pStyle w:val="Table11Basic"/>
              <w:rPr>
                <w:rFonts w:eastAsia="Calibri"/>
              </w:rPr>
            </w:pPr>
            <w:r w:rsidRPr="00AF3254">
              <w:rPr>
                <w:rFonts w:eastAsia="Calibri"/>
              </w:rPr>
              <w:t># of Hours Per Physician (c)</w:t>
            </w:r>
          </w:p>
        </w:tc>
        <w:tc>
          <w:tcPr>
            <w:tcW w:w="1710" w:type="dxa"/>
            <w:hideMark/>
          </w:tcPr>
          <w:p w:rsidR="00AF3254" w:rsidRPr="003D29BA" w:rsidP="00865B91" w14:paraId="18593563" w14:textId="196541FD">
            <w:pPr>
              <w:pStyle w:val="Table11Centered"/>
              <w:rPr>
                <w:rFonts w:eastAsia="Calibri"/>
              </w:rPr>
            </w:pPr>
            <w:r w:rsidRPr="00AF3254">
              <w:rPr>
                <w:rFonts w:eastAsia="Calibri"/>
              </w:rPr>
              <w:t>1.6</w:t>
            </w:r>
          </w:p>
        </w:tc>
      </w:tr>
      <w:tr w14:paraId="7C9D09A6" w14:textId="77777777" w:rsidTr="00C017CD">
        <w:tblPrEx>
          <w:tblW w:w="9355" w:type="dxa"/>
          <w:tblLook w:val="04A0"/>
        </w:tblPrEx>
        <w:trPr>
          <w:cantSplit/>
          <w:trHeight w:val="20"/>
        </w:trPr>
        <w:tc>
          <w:tcPr>
            <w:tcW w:w="7645" w:type="dxa"/>
            <w:hideMark/>
          </w:tcPr>
          <w:p w:rsidR="00AF3254" w:rsidRPr="003D29BA" w:rsidP="00865B91" w14:paraId="109D1758" w14:textId="12537726">
            <w:pPr>
              <w:pStyle w:val="Table11Basic"/>
              <w:rPr>
                <w:rFonts w:eastAsia="Calibri"/>
              </w:rPr>
            </w:pPr>
            <w:r w:rsidRPr="00AF3254">
              <w:rPr>
                <w:rFonts w:eastAsia="Calibri"/>
              </w:rPr>
              <w:t>Annual Hours Per Respondent (d)= (b) + (c)</w:t>
            </w:r>
          </w:p>
        </w:tc>
        <w:tc>
          <w:tcPr>
            <w:tcW w:w="1710" w:type="dxa"/>
            <w:hideMark/>
          </w:tcPr>
          <w:p w:rsidR="00AF3254" w:rsidRPr="003D29BA" w:rsidP="00865B91" w14:paraId="759552F9" w14:textId="5CA139EF">
            <w:pPr>
              <w:pStyle w:val="Table11Centered"/>
              <w:rPr>
                <w:rFonts w:eastAsia="Calibri"/>
              </w:rPr>
            </w:pPr>
            <w:r w:rsidRPr="00AF3254">
              <w:rPr>
                <w:rFonts w:eastAsia="Calibri"/>
              </w:rPr>
              <w:t>4.4</w:t>
            </w:r>
          </w:p>
        </w:tc>
      </w:tr>
      <w:tr w14:paraId="7AB58ABE" w14:textId="77777777" w:rsidTr="00C017CD">
        <w:tblPrEx>
          <w:tblW w:w="9355" w:type="dxa"/>
          <w:tblLook w:val="04A0"/>
        </w:tblPrEx>
        <w:trPr>
          <w:cantSplit/>
          <w:trHeight w:val="20"/>
        </w:trPr>
        <w:tc>
          <w:tcPr>
            <w:tcW w:w="7645" w:type="dxa"/>
            <w:shd w:val="clear" w:color="auto" w:fill="E7E6E6" w:themeFill="background2"/>
            <w:hideMark/>
          </w:tcPr>
          <w:p w:rsidR="00AF3254" w:rsidRPr="00925658" w:rsidP="00865B91" w14:paraId="2F88146D" w14:textId="62F3291A">
            <w:pPr>
              <w:pStyle w:val="Table11Basic"/>
            </w:pPr>
            <w:r w:rsidRPr="00093F91">
              <w:rPr>
                <w:rFonts w:eastAsia="Calibri"/>
                <w:b/>
                <w:bCs/>
              </w:rPr>
              <w:t xml:space="preserve">Total Annual Hours (e) = (a) </w:t>
            </w:r>
            <w:r w:rsidR="009F665B">
              <w:rPr>
                <w:b/>
                <w:bCs/>
                <w:color w:val="000000" w:themeColor="text1"/>
              </w:rPr>
              <w:t>[</w:t>
            </w:r>
            <w:r w:rsidRPr="003C3AE1" w:rsidR="003C3AE1">
              <w:rPr>
                <w:b/>
                <w:bCs/>
              </w:rPr>
              <w:t>×</w:t>
            </w:r>
            <w:r w:rsidR="009F665B">
              <w:rPr>
                <w:b/>
                <w:bCs/>
                <w:color w:val="000000" w:themeColor="text1"/>
              </w:rPr>
              <w:t>]</w:t>
            </w:r>
            <w:r w:rsidRPr="00093F91">
              <w:rPr>
                <w:rFonts w:eastAsia="Calibri"/>
                <w:b/>
                <w:bCs/>
              </w:rPr>
              <w:t xml:space="preserve"> (d)</w:t>
            </w:r>
          </w:p>
        </w:tc>
        <w:tc>
          <w:tcPr>
            <w:tcW w:w="1710" w:type="dxa"/>
            <w:shd w:val="clear" w:color="auto" w:fill="E7E6E6" w:themeFill="background2"/>
            <w:hideMark/>
          </w:tcPr>
          <w:p w:rsidR="00AF3254" w:rsidRPr="00925658" w:rsidP="00865B91" w14:paraId="12845B76" w14:textId="30387A6A">
            <w:pPr>
              <w:pStyle w:val="Table11Centered"/>
            </w:pPr>
            <w:r w:rsidRPr="00093F91">
              <w:rPr>
                <w:rFonts w:eastAsia="Calibri"/>
                <w:b/>
                <w:bCs/>
              </w:rPr>
              <w:t>66</w:t>
            </w:r>
          </w:p>
        </w:tc>
      </w:tr>
      <w:tr w14:paraId="65DE46ED" w14:textId="77777777" w:rsidTr="00C017CD">
        <w:tblPrEx>
          <w:tblW w:w="9355" w:type="dxa"/>
          <w:tblLook w:val="04A0"/>
        </w:tblPrEx>
        <w:trPr>
          <w:cantSplit/>
          <w:trHeight w:val="20"/>
        </w:trPr>
        <w:tc>
          <w:tcPr>
            <w:tcW w:w="7645" w:type="dxa"/>
            <w:hideMark/>
          </w:tcPr>
          <w:p w:rsidR="00AF3254" w:rsidRPr="00925658" w:rsidP="00865B91" w14:paraId="219882CD" w14:textId="0AA02F7E">
            <w:pPr>
              <w:pStyle w:val="Table11Basic"/>
            </w:pPr>
            <w:r w:rsidRPr="00093F91">
              <w:rPr>
                <w:rFonts w:eastAsia="Calibri"/>
              </w:rPr>
              <w:t xml:space="preserve">Cost to Nominate an IA </w:t>
            </w:r>
            <w:r w:rsidRPr="00093F91" w:rsidR="00A87331">
              <w:rPr>
                <w:rFonts w:eastAsia="Calibri"/>
              </w:rPr>
              <w:t>(</w:t>
            </w:r>
            <w:r w:rsidR="00A87331">
              <w:rPr>
                <w:rFonts w:eastAsia="Calibri"/>
              </w:rPr>
              <w:t xml:space="preserve">at </w:t>
            </w:r>
            <w:r w:rsidRPr="00703DAA" w:rsidR="4E25C0EF">
              <w:rPr>
                <w:rFonts w:eastAsia="Calibri"/>
              </w:rPr>
              <w:t>M</w:t>
            </w:r>
            <w:r w:rsidRPr="00703DAA">
              <w:rPr>
                <w:rFonts w:eastAsia="Calibri"/>
              </w:rPr>
              <w:t>edical</w:t>
            </w:r>
            <w:r w:rsidRPr="00093F91">
              <w:rPr>
                <w:rFonts w:eastAsia="Calibri"/>
              </w:rPr>
              <w:t xml:space="preserve"> and </w:t>
            </w:r>
            <w:r w:rsidRPr="00703DAA" w:rsidR="6DF04DE8">
              <w:rPr>
                <w:rFonts w:eastAsia="Calibri"/>
              </w:rPr>
              <w:t>H</w:t>
            </w:r>
            <w:r w:rsidRPr="00093F91">
              <w:rPr>
                <w:rFonts w:eastAsia="Calibri"/>
              </w:rPr>
              <w:t xml:space="preserve">ealth </w:t>
            </w:r>
            <w:r w:rsidRPr="05BE1DF3" w:rsidR="697932C5">
              <w:rPr>
                <w:rFonts w:eastAsia="Calibri"/>
              </w:rPr>
              <w:t>S</w:t>
            </w:r>
            <w:r w:rsidRPr="05BE1DF3">
              <w:rPr>
                <w:rFonts w:eastAsia="Calibri"/>
              </w:rPr>
              <w:t xml:space="preserve">ervices </w:t>
            </w:r>
            <w:r w:rsidRPr="05BE1DF3" w:rsidR="2780DD07">
              <w:rPr>
                <w:rFonts w:eastAsia="Calibri"/>
              </w:rPr>
              <w:t>M</w:t>
            </w:r>
            <w:r w:rsidRPr="05BE1DF3">
              <w:rPr>
                <w:rFonts w:eastAsia="Calibri"/>
              </w:rPr>
              <w:t xml:space="preserve">anager's </w:t>
            </w:r>
            <w:r w:rsidRPr="05BE1DF3" w:rsidR="50DC1C0D">
              <w:rPr>
                <w:rFonts w:eastAsia="Calibri"/>
              </w:rPr>
              <w:t>L</w:t>
            </w:r>
            <w:r w:rsidRPr="05BE1DF3">
              <w:rPr>
                <w:rFonts w:eastAsia="Calibri"/>
              </w:rPr>
              <w:t xml:space="preserve">abor </w:t>
            </w:r>
            <w:r w:rsidRPr="05BE1DF3" w:rsidR="4DA6AE28">
              <w:rPr>
                <w:rFonts w:eastAsia="Calibri"/>
              </w:rPr>
              <w:t>R</w:t>
            </w:r>
            <w:r w:rsidRPr="00093F91">
              <w:rPr>
                <w:rFonts w:eastAsia="Calibri"/>
              </w:rPr>
              <w:t>ate of $</w:t>
            </w:r>
            <w:r w:rsidR="001954B2">
              <w:rPr>
                <w:rFonts w:eastAsia="Calibri"/>
              </w:rPr>
              <w:t>129.28</w:t>
            </w:r>
            <w:r w:rsidRPr="00093F91">
              <w:rPr>
                <w:rFonts w:eastAsia="Calibri"/>
              </w:rPr>
              <w:t xml:space="preserve">/hr) (f) = (b) </w:t>
            </w:r>
            <w:r w:rsidR="003C3AE1">
              <w:t>×</w:t>
            </w:r>
            <w:r w:rsidRPr="00093F91">
              <w:rPr>
                <w:rFonts w:eastAsia="Calibri"/>
              </w:rPr>
              <w:t xml:space="preserve"> $</w:t>
            </w:r>
            <w:r w:rsidR="00D20EE0">
              <w:rPr>
                <w:rFonts w:eastAsia="Calibri"/>
              </w:rPr>
              <w:t>129.28</w:t>
            </w:r>
            <w:r w:rsidRPr="00093F91">
              <w:rPr>
                <w:rFonts w:eastAsia="Calibri"/>
              </w:rPr>
              <w:t>/hr</w:t>
            </w:r>
          </w:p>
        </w:tc>
        <w:tc>
          <w:tcPr>
            <w:tcW w:w="1710" w:type="dxa"/>
            <w:noWrap/>
            <w:hideMark/>
          </w:tcPr>
          <w:p w:rsidR="00AF3254" w:rsidRPr="00925658" w:rsidP="00865B91" w14:paraId="72DEBBF9" w14:textId="08EF3297">
            <w:pPr>
              <w:pStyle w:val="Table11Centered"/>
            </w:pPr>
            <w:r w:rsidRPr="00093F91">
              <w:rPr>
                <w:rFonts w:eastAsia="Calibri"/>
              </w:rPr>
              <w:t>$</w:t>
            </w:r>
            <w:r w:rsidR="000A50DB">
              <w:rPr>
                <w:rFonts w:eastAsia="Calibri"/>
              </w:rPr>
              <w:t>361.98</w:t>
            </w:r>
          </w:p>
        </w:tc>
      </w:tr>
      <w:tr w14:paraId="1975E592" w14:textId="77777777" w:rsidTr="00C017CD">
        <w:tblPrEx>
          <w:tblW w:w="9355" w:type="dxa"/>
          <w:tblLook w:val="04A0"/>
        </w:tblPrEx>
        <w:trPr>
          <w:cantSplit/>
          <w:trHeight w:val="20"/>
        </w:trPr>
        <w:tc>
          <w:tcPr>
            <w:tcW w:w="7645" w:type="dxa"/>
            <w:hideMark/>
          </w:tcPr>
          <w:p w:rsidR="00AF3254" w:rsidRPr="00925658" w:rsidP="00865B91" w14:paraId="1B53DB86" w14:textId="63883227">
            <w:pPr>
              <w:pStyle w:val="Table11Basic"/>
            </w:pPr>
            <w:r w:rsidRPr="00093F91">
              <w:rPr>
                <w:rFonts w:eastAsia="Calibri"/>
              </w:rPr>
              <w:t>Cost to Nominate an IA (</w:t>
            </w:r>
            <w:r w:rsidR="00A87331">
              <w:rPr>
                <w:rFonts w:eastAsia="Calibri"/>
              </w:rPr>
              <w:t>at</w:t>
            </w:r>
            <w:r w:rsidRPr="00093F91">
              <w:rPr>
                <w:rFonts w:eastAsia="Calibri"/>
              </w:rPr>
              <w:t xml:space="preserve"> </w:t>
            </w:r>
            <w:r w:rsidRPr="05BE1DF3" w:rsidR="25D3F2AD">
              <w:rPr>
                <w:rFonts w:eastAsia="Calibri"/>
              </w:rPr>
              <w:t>P</w:t>
            </w:r>
            <w:r w:rsidRPr="05BE1DF3">
              <w:rPr>
                <w:rFonts w:eastAsia="Calibri"/>
              </w:rPr>
              <w:t xml:space="preserve">hysician’s </w:t>
            </w:r>
            <w:r w:rsidRPr="05BE1DF3" w:rsidR="219FD508">
              <w:rPr>
                <w:rFonts w:eastAsia="Calibri"/>
              </w:rPr>
              <w:t>L</w:t>
            </w:r>
            <w:r w:rsidRPr="00093F91">
              <w:rPr>
                <w:rFonts w:eastAsia="Calibri"/>
              </w:rPr>
              <w:t xml:space="preserve">abor </w:t>
            </w:r>
            <w:r w:rsidRPr="46C368F8" w:rsidR="095259A2">
              <w:rPr>
                <w:rFonts w:eastAsia="Calibri"/>
              </w:rPr>
              <w:t>R</w:t>
            </w:r>
            <w:r w:rsidRPr="00093F91">
              <w:rPr>
                <w:rFonts w:eastAsia="Calibri"/>
              </w:rPr>
              <w:t>ate of $</w:t>
            </w:r>
            <w:r w:rsidR="001954B2">
              <w:rPr>
                <w:rFonts w:eastAsia="Calibri"/>
              </w:rPr>
              <w:t>291.64</w:t>
            </w:r>
            <w:r w:rsidRPr="00093F91">
              <w:rPr>
                <w:rFonts w:eastAsia="Calibri"/>
              </w:rPr>
              <w:t xml:space="preserve">/hr) (g) = (c) </w:t>
            </w:r>
            <w:r w:rsidR="003C3AE1">
              <w:t>×</w:t>
            </w:r>
            <w:r w:rsidRPr="00093F91">
              <w:rPr>
                <w:rFonts w:eastAsia="Calibri"/>
              </w:rPr>
              <w:t xml:space="preserve"> $</w:t>
            </w:r>
            <w:r w:rsidR="00D20EE0">
              <w:rPr>
                <w:rFonts w:eastAsia="Calibri"/>
              </w:rPr>
              <w:t>291.64</w:t>
            </w:r>
            <w:r w:rsidRPr="00093F91">
              <w:rPr>
                <w:rFonts w:eastAsia="Calibri"/>
              </w:rPr>
              <w:t>/hr</w:t>
            </w:r>
          </w:p>
        </w:tc>
        <w:tc>
          <w:tcPr>
            <w:tcW w:w="1710" w:type="dxa"/>
            <w:noWrap/>
            <w:hideMark/>
          </w:tcPr>
          <w:p w:rsidR="00AF3254" w:rsidRPr="00925658" w:rsidP="00865B91" w14:paraId="7B196CF5" w14:textId="609ED429">
            <w:pPr>
              <w:pStyle w:val="Table11Centered"/>
            </w:pPr>
            <w:r w:rsidRPr="00093F91">
              <w:rPr>
                <w:rFonts w:eastAsia="Calibri"/>
              </w:rPr>
              <w:t>$</w:t>
            </w:r>
            <w:r w:rsidR="000A50DB">
              <w:rPr>
                <w:rFonts w:eastAsia="Calibri"/>
              </w:rPr>
              <w:t>466.62</w:t>
            </w:r>
          </w:p>
        </w:tc>
      </w:tr>
      <w:tr w14:paraId="0230C8A0" w14:textId="77777777" w:rsidTr="00C017CD">
        <w:tblPrEx>
          <w:tblW w:w="9355" w:type="dxa"/>
          <w:tblLook w:val="04A0"/>
        </w:tblPrEx>
        <w:trPr>
          <w:cantSplit/>
          <w:trHeight w:val="20"/>
        </w:trPr>
        <w:tc>
          <w:tcPr>
            <w:tcW w:w="7645" w:type="dxa"/>
            <w:hideMark/>
          </w:tcPr>
          <w:p w:rsidR="00AF3254" w:rsidRPr="00CE4A05" w:rsidP="00865B91" w14:paraId="5AF4E189" w14:textId="6B7818AC">
            <w:pPr>
              <w:pStyle w:val="Table11Basic"/>
              <w:rPr>
                <w:b/>
              </w:rPr>
            </w:pPr>
            <w:r w:rsidRPr="00093F91">
              <w:rPr>
                <w:rFonts w:eastAsia="Calibri"/>
              </w:rPr>
              <w:t>Total Annual Cost Per Respondent (h) = (f) + (g)</w:t>
            </w:r>
          </w:p>
        </w:tc>
        <w:tc>
          <w:tcPr>
            <w:tcW w:w="1710" w:type="dxa"/>
            <w:noWrap/>
            <w:hideMark/>
          </w:tcPr>
          <w:p w:rsidR="00AF3254" w:rsidRPr="00CE4A05" w:rsidP="00865B91" w14:paraId="7F7D3A41" w14:textId="51846E9A">
            <w:pPr>
              <w:pStyle w:val="Table11Centered"/>
              <w:rPr>
                <w:b/>
              </w:rPr>
            </w:pPr>
            <w:r w:rsidRPr="00093F91">
              <w:rPr>
                <w:rFonts w:eastAsia="Calibri"/>
              </w:rPr>
              <w:t>$</w:t>
            </w:r>
            <w:r w:rsidR="000A50DB">
              <w:rPr>
                <w:rFonts w:eastAsia="Calibri"/>
              </w:rPr>
              <w:t>828.6</w:t>
            </w:r>
            <w:r w:rsidR="007A255E">
              <w:rPr>
                <w:rFonts w:eastAsia="Calibri"/>
              </w:rPr>
              <w:t>0</w:t>
            </w:r>
          </w:p>
        </w:tc>
      </w:tr>
      <w:tr w14:paraId="635B19F8" w14:textId="77777777" w:rsidTr="00C017CD">
        <w:tblPrEx>
          <w:tblW w:w="9355" w:type="dxa"/>
          <w:tblLook w:val="04A0"/>
        </w:tblPrEx>
        <w:trPr>
          <w:cantSplit/>
          <w:trHeight w:val="20"/>
        </w:trPr>
        <w:tc>
          <w:tcPr>
            <w:tcW w:w="7645" w:type="dxa"/>
            <w:shd w:val="clear" w:color="auto" w:fill="E7E6E6" w:themeFill="background2"/>
          </w:tcPr>
          <w:p w:rsidR="00A16204" w:rsidRPr="003D29BA" w:rsidP="00865B91" w14:paraId="777D43EA" w14:textId="297188C9">
            <w:pPr>
              <w:pStyle w:val="Table11Basic"/>
              <w:rPr>
                <w:rFonts w:eastAsia="Calibri"/>
                <w:b/>
                <w:bCs/>
              </w:rPr>
            </w:pPr>
            <w:r w:rsidRPr="003D29BA">
              <w:rPr>
                <w:rFonts w:eastAsia="Calibri"/>
                <w:b/>
                <w:bCs/>
              </w:rPr>
              <w:t>Total Annual Cost (i) = (a) [</w:t>
            </w:r>
            <w:r w:rsidRPr="003C3AE1" w:rsidR="003C3AE1">
              <w:rPr>
                <w:b/>
                <w:bCs/>
              </w:rPr>
              <w:t>×</w:t>
            </w:r>
            <w:r w:rsidRPr="003D29BA">
              <w:rPr>
                <w:rFonts w:eastAsia="Calibri"/>
                <w:b/>
                <w:bCs/>
              </w:rPr>
              <w:t>] (h)</w:t>
            </w:r>
          </w:p>
        </w:tc>
        <w:tc>
          <w:tcPr>
            <w:tcW w:w="1710" w:type="dxa"/>
            <w:shd w:val="clear" w:color="auto" w:fill="E7E6E6" w:themeFill="background2"/>
            <w:noWrap/>
          </w:tcPr>
          <w:p w:rsidR="00A16204" w:rsidRPr="003D29BA" w:rsidP="00865B91" w14:paraId="1BA350AF" w14:textId="6093FE02">
            <w:pPr>
              <w:pStyle w:val="Table11Centered"/>
              <w:rPr>
                <w:rFonts w:eastAsia="Calibri"/>
                <w:b/>
                <w:bCs/>
              </w:rPr>
            </w:pPr>
            <w:r w:rsidRPr="003D29BA">
              <w:rPr>
                <w:rFonts w:eastAsia="Calibri"/>
                <w:b/>
                <w:bCs/>
              </w:rPr>
              <w:t>$</w:t>
            </w:r>
            <w:r w:rsidR="00282C36">
              <w:rPr>
                <w:rFonts w:eastAsia="Calibri"/>
                <w:b/>
                <w:bCs/>
              </w:rPr>
              <w:t>12,429</w:t>
            </w:r>
          </w:p>
        </w:tc>
      </w:tr>
    </w:tbl>
    <w:p w:rsidR="008D7DB5" w:rsidRPr="004330C9" w:rsidP="006E6DEB" w14:paraId="68B91B0A" w14:textId="480CDB74">
      <w:pPr>
        <w:pStyle w:val="Heading4"/>
      </w:pPr>
      <w:bookmarkStart w:id="186" w:name="_Hlk532899268"/>
      <w:r>
        <w:t>l.</w:t>
      </w:r>
      <w:r>
        <w:tab/>
      </w:r>
      <w:r w:rsidRPr="004330C9">
        <w:t>Nomination of MVPs</w:t>
      </w:r>
    </w:p>
    <w:p w:rsidR="00F669DF" w:rsidP="001B7217" w14:paraId="7D1E7D60" w14:textId="53B051CF">
      <w:pPr>
        <w:pStyle w:val="BodyText-PostHead"/>
      </w:pPr>
      <w:r w:rsidRPr="001B7217">
        <w:t>We</w:t>
      </w:r>
      <w:r w:rsidRPr="001B7217" w:rsidR="007F0AA4">
        <w:t xml:space="preserve"> have </w:t>
      </w:r>
      <w:r w:rsidRPr="001B7217">
        <w:t xml:space="preserve">previously </w:t>
      </w:r>
      <w:r w:rsidRPr="001B7217" w:rsidR="007F0AA4">
        <w:t>established MVP development criteria for intereste</w:t>
      </w:r>
      <w:r w:rsidRPr="001B7217" w:rsidR="009C045E">
        <w:t>d parties</w:t>
      </w:r>
      <w:r w:rsidRPr="001B7217" w:rsidR="007F0AA4">
        <w:t xml:space="preserve"> submitting an MVP candidate for inclusion in the MVP Inventory</w:t>
      </w:r>
      <w:r w:rsidRPr="001B7217">
        <w:t xml:space="preserve"> (85 FR 84849 through 84856 and 87 FR 70035 through 70037). </w:t>
      </w:r>
      <w:r w:rsidRPr="001B7217" w:rsidR="007F0AA4">
        <w:t xml:space="preserve">As </w:t>
      </w:r>
      <w:r w:rsidRPr="001B7217">
        <w:t xml:space="preserve">new </w:t>
      </w:r>
      <w:r w:rsidRPr="001B7217" w:rsidR="007F0AA4">
        <w:t>MVP candidates are received, they will be reviewed, vetted, and evaluated by CMS and our contractors to determine if the MVP is feasible and ready for inclusion in the upcoming performance period</w:t>
      </w:r>
      <w:r w:rsidRPr="001B7217" w:rsidR="00156E6F">
        <w:t>.</w:t>
      </w:r>
      <w:r w:rsidR="00156E6F">
        <w:t xml:space="preserve"> </w:t>
      </w:r>
    </w:p>
    <w:p w:rsidR="008D7DB5" w:rsidRPr="00A05EDE" w:rsidP="001B7217" w14:paraId="0307ADEB" w14:textId="4F0CB984">
      <w:pPr>
        <w:pStyle w:val="BodyText"/>
      </w:pPr>
      <w:r>
        <w:t xml:space="preserve">For the </w:t>
      </w:r>
      <w:r w:rsidR="1E5C2785">
        <w:t xml:space="preserve">CY </w:t>
      </w:r>
      <w:r>
        <w:t>202</w:t>
      </w:r>
      <w:r w:rsidR="633A0F7A">
        <w:t>5</w:t>
      </w:r>
      <w:r>
        <w:t xml:space="preserve"> performance period</w:t>
      </w:r>
      <w:r w:rsidR="1E5C2785">
        <w:t>/202</w:t>
      </w:r>
      <w:r w:rsidR="633A0F7A">
        <w:t>7</w:t>
      </w:r>
      <w:r w:rsidR="1E5C2785">
        <w:t xml:space="preserve"> MIPS payment year</w:t>
      </w:r>
      <w:r>
        <w:t xml:space="preserve">, we </w:t>
      </w:r>
      <w:r w:rsidR="234CA415">
        <w:t xml:space="preserve">estimate </w:t>
      </w:r>
      <w:r w:rsidR="3E6334C5">
        <w:t>that</w:t>
      </w:r>
      <w:r>
        <w:t xml:space="preserve"> </w:t>
      </w:r>
      <w:r w:rsidR="5E34D789">
        <w:t xml:space="preserve">we will receive </w:t>
      </w:r>
      <w:r w:rsidR="234CA415">
        <w:t>1</w:t>
      </w:r>
      <w:r w:rsidR="4F31C8AD">
        <w:t>0</w:t>
      </w:r>
      <w:r>
        <w:t xml:space="preserve"> MVP nominations</w:t>
      </w:r>
      <w:r w:rsidR="5EA03094">
        <w:t>,</w:t>
      </w:r>
      <w:r>
        <w:t xml:space="preserve"> </w:t>
      </w:r>
      <w:r w:rsidR="41A72EBA">
        <w:t>and w</w:t>
      </w:r>
      <w:r w:rsidR="5EA03094">
        <w:t xml:space="preserve">e estimate </w:t>
      </w:r>
      <w:r w:rsidR="5E34D789">
        <w:t xml:space="preserve">that </w:t>
      </w:r>
      <w:r>
        <w:t>the time required to submit all required information is 12 hours per nomination.</w:t>
      </w:r>
      <w:r w:rsidR="4F31C8AD">
        <w:t xml:space="preserve"> </w:t>
      </w:r>
      <w:r>
        <w:t>Similar to the call for quality measures, nomination of Promoting Interoperability measures, and the nomination of improvement activities, we assume MVP nomination will be performed by both practice administration staff or their equivalents</w:t>
      </w:r>
      <w:r w:rsidR="0526161B">
        <w:t>,</w:t>
      </w:r>
      <w:r>
        <w:t xml:space="preserve"> and clinicians. We estimate 7.2 hours at $</w:t>
      </w:r>
      <w:r w:rsidR="0D87C039">
        <w:t>129.28</w:t>
      </w:r>
      <w:r>
        <w:t>/hr for a medical and health services manager or equivalent and 4.8 hours at $</w:t>
      </w:r>
      <w:r w:rsidR="0D87C039">
        <w:t>291.64</w:t>
      </w:r>
      <w:r>
        <w:t xml:space="preserve">/hr for a physician to nominate an MVP. As shown in Table </w:t>
      </w:r>
      <w:r w:rsidR="349C7A6E">
        <w:t>2</w:t>
      </w:r>
      <w:r w:rsidR="34A76A09">
        <w:t>2</w:t>
      </w:r>
      <w:r>
        <w:t xml:space="preserve">, we estimate an annual burden of </w:t>
      </w:r>
      <w:r w:rsidR="083568D8">
        <w:t>120</w:t>
      </w:r>
      <w:r>
        <w:t xml:space="preserve"> hours (</w:t>
      </w:r>
      <w:r w:rsidR="083568D8">
        <w:t>1</w:t>
      </w:r>
      <w:r w:rsidR="2B85E9D1">
        <w:t>0</w:t>
      </w:r>
      <w:r>
        <w:t xml:space="preserve"> nominations </w:t>
      </w:r>
      <w:r w:rsidR="00495D06">
        <w:t>×</w:t>
      </w:r>
      <w:r>
        <w:t xml:space="preserve"> 12 hr/nomination) at a cost of $</w:t>
      </w:r>
      <w:r w:rsidR="49163E33">
        <w:t>2</w:t>
      </w:r>
      <w:r w:rsidR="0D87C039">
        <w:t>3,307</w:t>
      </w:r>
      <w:r>
        <w:t xml:space="preserve"> (</w:t>
      </w:r>
      <w:r w:rsidR="49163E33">
        <w:t>1</w:t>
      </w:r>
      <w:r w:rsidR="2B85E9D1">
        <w:t>0</w:t>
      </w:r>
      <w:r>
        <w:t xml:space="preserve"> </w:t>
      </w:r>
      <w:r w:rsidR="00495D06">
        <w:t>×</w:t>
      </w:r>
      <w:r>
        <w:t xml:space="preserve"> [(7.2 hr </w:t>
      </w:r>
      <w:r w:rsidR="00495D06">
        <w:t>×</w:t>
      </w:r>
      <w:r>
        <w:t xml:space="preserve"> $</w:t>
      </w:r>
      <w:r w:rsidR="0D87C039">
        <w:t>129.28</w:t>
      </w:r>
      <w:r>
        <w:t xml:space="preserve">/hr) + (4.8 hr </w:t>
      </w:r>
      <w:r w:rsidR="00495D06">
        <w:t>×</w:t>
      </w:r>
      <w:r>
        <w:t xml:space="preserve"> $</w:t>
      </w:r>
      <w:r w:rsidR="0D87C039">
        <w:t>291.64</w:t>
      </w:r>
      <w:r>
        <w:t>/hr)])</w:t>
      </w:r>
      <w:r w:rsidR="00156E6F">
        <w:t xml:space="preserve">. </w:t>
      </w:r>
    </w:p>
    <w:p w:rsidR="009F04A5" w:rsidRPr="00F800FB" w:rsidP="00361BB4" w14:paraId="1DC9715D" w14:textId="43529E22">
      <w:pPr>
        <w:pStyle w:val="ExhibitTitle"/>
        <w:rPr>
          <w:rFonts w:eastAsia="Calibri"/>
          <w:b w:val="0"/>
          <w:bCs/>
        </w:rPr>
      </w:pPr>
      <w:r w:rsidRPr="00F800FB">
        <w:rPr>
          <w:rFonts w:eastAsia="Calibri"/>
          <w:b w:val="0"/>
          <w:bCs/>
        </w:rPr>
        <w:t>T</w:t>
      </w:r>
      <w:r w:rsidRPr="00F800FB" w:rsidR="181119AE">
        <w:rPr>
          <w:rFonts w:eastAsia="Calibri"/>
          <w:b w:val="0"/>
          <w:bCs/>
        </w:rPr>
        <w:t>able</w:t>
      </w:r>
      <w:r w:rsidRPr="00F800FB">
        <w:rPr>
          <w:rFonts w:eastAsia="Calibri"/>
          <w:b w:val="0"/>
          <w:bCs/>
        </w:rPr>
        <w:t xml:space="preserve"> 2</w:t>
      </w:r>
      <w:r w:rsidRPr="00F800FB" w:rsidR="2F337B7D">
        <w:rPr>
          <w:rFonts w:eastAsia="Calibri"/>
          <w:b w:val="0"/>
          <w:bCs/>
        </w:rPr>
        <w:t>2</w:t>
      </w:r>
      <w:r w:rsidRPr="00F800FB">
        <w:rPr>
          <w:rFonts w:eastAsia="Calibri"/>
          <w:b w:val="0"/>
          <w:bCs/>
        </w:rPr>
        <w:t>: Estimated Burden for Nomination of MVPs</w:t>
      </w:r>
      <w:r w:rsidRPr="00F800FB" w:rsidR="6BD688F1">
        <w:rPr>
          <w:rFonts w:eastAsia="Calibri"/>
          <w:b w:val="0"/>
          <w:bCs/>
        </w:rPr>
        <w:t xml:space="preserve"> </w:t>
      </w:r>
    </w:p>
    <w:tbl>
      <w:tblPr>
        <w:tblDescription w:val="Table 22: the estimated burden for submitting new M V P candidates to be considered for inclusion in the M V P inventory."/>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1735"/>
      </w:tblGrid>
      <w:tr w14:paraId="7E5C4B5E" w14:textId="77777777" w:rsidTr="00C017CD">
        <w:tblPrEx>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7375" w:type="dxa"/>
            <w:tcBorders>
              <w:top w:val="single" w:sz="4" w:space="0" w:color="auto"/>
              <w:left w:val="single" w:sz="4" w:space="0" w:color="auto"/>
              <w:bottom w:val="single" w:sz="4" w:space="0" w:color="auto"/>
              <w:right w:val="single" w:sz="4" w:space="0" w:color="auto"/>
            </w:tcBorders>
            <w:hideMark/>
          </w:tcPr>
          <w:p w:rsidR="009F04A5" w:rsidRPr="00A05EDE" w:rsidP="00C017CD" w14:paraId="540EB521" w14:textId="2F8D6743">
            <w:pPr>
              <w:pStyle w:val="Table11-ColumnHeading"/>
              <w:rPr>
                <w:rFonts w:eastAsia="Calibri"/>
              </w:rPr>
            </w:pPr>
            <w:r w:rsidRPr="00A05EDE">
              <w:t>Burden and Respondent Descriptions</w:t>
            </w:r>
          </w:p>
        </w:tc>
        <w:tc>
          <w:tcPr>
            <w:tcW w:w="1735" w:type="dxa"/>
            <w:tcBorders>
              <w:top w:val="single" w:sz="4" w:space="0" w:color="auto"/>
              <w:left w:val="single" w:sz="4" w:space="0" w:color="auto"/>
              <w:bottom w:val="single" w:sz="4" w:space="0" w:color="auto"/>
              <w:right w:val="single" w:sz="4" w:space="0" w:color="auto"/>
            </w:tcBorders>
            <w:hideMark/>
          </w:tcPr>
          <w:p w:rsidR="009F04A5" w:rsidRPr="00A05EDE" w:rsidP="00C017CD" w14:paraId="5347A39B" w14:textId="77777777">
            <w:pPr>
              <w:pStyle w:val="Table11-ColumnHeading"/>
              <w:rPr>
                <w:rFonts w:eastAsia="Calibri"/>
              </w:rPr>
            </w:pPr>
            <w:r w:rsidRPr="00A05EDE">
              <w:rPr>
                <w:rFonts w:eastAsia="Calibri"/>
              </w:rPr>
              <w:t>Burden Estimate</w:t>
            </w:r>
          </w:p>
        </w:tc>
      </w:tr>
      <w:tr w14:paraId="2AEA33D3"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hideMark/>
          </w:tcPr>
          <w:p w:rsidR="009F04A5" w:rsidRPr="00A05EDE" w:rsidP="00C017CD" w14:paraId="35C46217" w14:textId="24044832">
            <w:pPr>
              <w:pStyle w:val="Table11Basic"/>
              <w:rPr>
                <w:rFonts w:eastAsia="Calibri"/>
              </w:rPr>
            </w:pPr>
            <w:r w:rsidRPr="00A05EDE">
              <w:rPr>
                <w:rFonts w:eastAsia="Calibri"/>
              </w:rPr>
              <w:t xml:space="preserve"># of Nominations of New </w:t>
            </w:r>
            <w:r w:rsidR="00325FC4">
              <w:rPr>
                <w:rFonts w:eastAsia="Calibri"/>
              </w:rPr>
              <w:t>MVPs</w:t>
            </w:r>
            <w:r w:rsidR="008560F0">
              <w:rPr>
                <w:rFonts w:eastAsia="Calibri"/>
              </w:rPr>
              <w:t xml:space="preserve"> </w:t>
            </w:r>
            <w:r w:rsidRPr="00A05EDE">
              <w:rPr>
                <w:rFonts w:eastAsia="Calibri"/>
              </w:rPr>
              <w:t>(a)</w:t>
            </w:r>
          </w:p>
        </w:tc>
        <w:tc>
          <w:tcPr>
            <w:tcW w:w="1735" w:type="dxa"/>
            <w:tcBorders>
              <w:top w:val="single" w:sz="4" w:space="0" w:color="auto"/>
              <w:left w:val="single" w:sz="4" w:space="0" w:color="auto"/>
              <w:bottom w:val="single" w:sz="4" w:space="0" w:color="auto"/>
              <w:right w:val="single" w:sz="4" w:space="0" w:color="auto"/>
            </w:tcBorders>
            <w:noWrap/>
            <w:hideMark/>
          </w:tcPr>
          <w:p w:rsidR="009F04A5" w:rsidRPr="00A05EDE" w:rsidP="00C017CD" w14:paraId="49F3D975" w14:textId="410DED23">
            <w:pPr>
              <w:pStyle w:val="Table11Basic"/>
              <w:jc w:val="center"/>
            </w:pPr>
            <w:r>
              <w:t>1</w:t>
            </w:r>
            <w:r w:rsidR="00037F10">
              <w:t>0</w:t>
            </w:r>
          </w:p>
        </w:tc>
      </w:tr>
      <w:tr w14:paraId="4A8256F0"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hideMark/>
          </w:tcPr>
          <w:p w:rsidR="009F04A5" w:rsidRPr="00A05EDE" w:rsidP="00C017CD" w14:paraId="75D2E2B7" w14:textId="5C42B839">
            <w:pPr>
              <w:pStyle w:val="Table11Basic"/>
              <w:rPr>
                <w:rFonts w:eastAsia="Calibri"/>
              </w:rPr>
            </w:pPr>
            <w:r w:rsidRPr="00A05EDE">
              <w:rPr>
                <w:rFonts w:eastAsia="Calibri"/>
              </w:rPr>
              <w:t># of Hours Per Medical and Health Services Manager (b)</w:t>
            </w:r>
          </w:p>
        </w:tc>
        <w:tc>
          <w:tcPr>
            <w:tcW w:w="1735" w:type="dxa"/>
            <w:tcBorders>
              <w:top w:val="single" w:sz="4" w:space="0" w:color="auto"/>
              <w:left w:val="single" w:sz="4" w:space="0" w:color="auto"/>
              <w:bottom w:val="single" w:sz="4" w:space="0" w:color="auto"/>
              <w:right w:val="single" w:sz="4" w:space="0" w:color="auto"/>
            </w:tcBorders>
            <w:noWrap/>
            <w:hideMark/>
          </w:tcPr>
          <w:p w:rsidR="009F04A5" w:rsidRPr="00A05EDE" w:rsidP="00C017CD" w14:paraId="3650881B" w14:textId="77777777">
            <w:pPr>
              <w:pStyle w:val="Table11Basic"/>
              <w:jc w:val="center"/>
            </w:pPr>
            <w:r w:rsidRPr="00A05EDE">
              <w:t>7.2</w:t>
            </w:r>
          </w:p>
        </w:tc>
      </w:tr>
      <w:tr w14:paraId="782B48FB"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hideMark/>
          </w:tcPr>
          <w:p w:rsidR="009F04A5" w:rsidRPr="00A05EDE" w:rsidP="00C017CD" w14:paraId="054E1AF2" w14:textId="77777777">
            <w:pPr>
              <w:pStyle w:val="Table11Basic"/>
              <w:rPr>
                <w:rFonts w:eastAsia="Calibri"/>
              </w:rPr>
            </w:pPr>
            <w:r w:rsidRPr="00A05EDE">
              <w:rPr>
                <w:rFonts w:eastAsia="Calibri"/>
              </w:rPr>
              <w:t># of Hours Per Physician (c)</w:t>
            </w:r>
          </w:p>
        </w:tc>
        <w:tc>
          <w:tcPr>
            <w:tcW w:w="1735" w:type="dxa"/>
            <w:tcBorders>
              <w:top w:val="single" w:sz="4" w:space="0" w:color="auto"/>
              <w:left w:val="single" w:sz="4" w:space="0" w:color="auto"/>
              <w:bottom w:val="single" w:sz="4" w:space="0" w:color="auto"/>
              <w:right w:val="single" w:sz="4" w:space="0" w:color="auto"/>
            </w:tcBorders>
            <w:hideMark/>
          </w:tcPr>
          <w:p w:rsidR="009F04A5" w:rsidRPr="00A05EDE" w:rsidP="00C017CD" w14:paraId="206C5CA7" w14:textId="77777777">
            <w:pPr>
              <w:pStyle w:val="Table11Basic"/>
              <w:jc w:val="center"/>
            </w:pPr>
            <w:r w:rsidRPr="00A05EDE">
              <w:t>4.8</w:t>
            </w:r>
          </w:p>
        </w:tc>
      </w:tr>
      <w:tr w14:paraId="0EF1707C"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shd w:val="clear" w:color="auto" w:fill="auto"/>
            <w:hideMark/>
          </w:tcPr>
          <w:p w:rsidR="009F04A5" w:rsidRPr="00A05EDE" w:rsidP="00C017CD" w14:paraId="2F9BCEFA" w14:textId="77777777">
            <w:pPr>
              <w:pStyle w:val="Table11Basic"/>
              <w:rPr>
                <w:rFonts w:eastAsia="Calibri"/>
              </w:rPr>
            </w:pPr>
            <w:r w:rsidRPr="00A05EDE">
              <w:rPr>
                <w:rFonts w:eastAsia="Calibri"/>
              </w:rPr>
              <w:t>Annual Hours Per Respondent (d)= (b) + (c)</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9F04A5" w:rsidRPr="00A05EDE" w:rsidP="00C017CD" w14:paraId="07602829" w14:textId="77777777">
            <w:pPr>
              <w:pStyle w:val="Table11Basic"/>
              <w:jc w:val="center"/>
            </w:pPr>
            <w:r w:rsidRPr="00A05EDE">
              <w:t>12</w:t>
            </w:r>
          </w:p>
        </w:tc>
      </w:tr>
      <w:tr w14:paraId="5B92B10D"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F04A5" w:rsidRPr="00A05EDE" w:rsidP="00C017CD" w14:paraId="5F74F260" w14:textId="560C36EC">
            <w:pPr>
              <w:pStyle w:val="Table11Basic"/>
              <w:rPr>
                <w:rFonts w:eastAsia="Calibri"/>
                <w:b/>
                <w:bCs/>
              </w:rPr>
            </w:pPr>
            <w:r w:rsidRPr="00A05EDE">
              <w:rPr>
                <w:rFonts w:eastAsia="Calibri"/>
                <w:b/>
                <w:bCs/>
              </w:rPr>
              <w:t>Total Annual Hours (e) = (a)</w:t>
            </w:r>
            <w:r w:rsidR="009D2B23">
              <w:rPr>
                <w:rFonts w:eastAsia="Calibri"/>
                <w:b/>
                <w:bCs/>
              </w:rPr>
              <w:t xml:space="preserve"> </w:t>
            </w:r>
            <w:r w:rsidR="00FB55BB">
              <w:rPr>
                <w:rFonts w:eastAsia="Calibri"/>
                <w:b/>
                <w:bCs/>
              </w:rPr>
              <w:t>[</w:t>
            </w:r>
            <w:r w:rsidRPr="00495D06" w:rsidR="00495D06">
              <w:rPr>
                <w:b/>
                <w:bCs/>
              </w:rPr>
              <w:t>×</w:t>
            </w:r>
            <w:r w:rsidR="00FB55BB">
              <w:rPr>
                <w:rFonts w:eastAsia="Calibri"/>
                <w:b/>
                <w:bCs/>
              </w:rPr>
              <w:t>]</w:t>
            </w:r>
            <w:r w:rsidRPr="004122F3" w:rsidR="004122F3">
              <w:rPr>
                <w:rFonts w:eastAsia="Calibri"/>
                <w:b/>
                <w:bCs/>
              </w:rPr>
              <w:t xml:space="preserve"> </w:t>
            </w:r>
            <w:r w:rsidRPr="00A05EDE">
              <w:rPr>
                <w:rFonts w:eastAsia="Calibri"/>
                <w:b/>
                <w:bCs/>
              </w:rPr>
              <w:t>(d)</w:t>
            </w:r>
          </w:p>
        </w:tc>
        <w:tc>
          <w:tcPr>
            <w:tcW w:w="17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F04A5" w:rsidRPr="00A05EDE" w:rsidP="00C017CD" w14:paraId="248348F5" w14:textId="4E4F2916">
            <w:pPr>
              <w:pStyle w:val="Table11Basic"/>
              <w:jc w:val="center"/>
              <w:rPr>
                <w:b/>
                <w:bCs/>
              </w:rPr>
            </w:pPr>
            <w:r>
              <w:rPr>
                <w:b/>
                <w:bCs/>
              </w:rPr>
              <w:t>12</w:t>
            </w:r>
            <w:r w:rsidR="00037F10">
              <w:rPr>
                <w:b/>
                <w:bCs/>
              </w:rPr>
              <w:t>0</w:t>
            </w:r>
          </w:p>
        </w:tc>
      </w:tr>
      <w:tr w14:paraId="637B02BB"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hideMark/>
          </w:tcPr>
          <w:p w:rsidR="009F04A5" w:rsidRPr="00A05EDE" w:rsidP="00C017CD" w14:paraId="259F1598" w14:textId="00D6DD38">
            <w:pPr>
              <w:pStyle w:val="Table11Basic"/>
              <w:rPr>
                <w:rFonts w:eastAsia="Calibri"/>
              </w:rPr>
            </w:pPr>
            <w:r w:rsidRPr="00A05EDE">
              <w:rPr>
                <w:rFonts w:eastAsia="Calibri"/>
              </w:rPr>
              <w:t>Cost to Nominate an MVP (</w:t>
            </w:r>
            <w:r w:rsidR="00A87331">
              <w:rPr>
                <w:rFonts w:eastAsia="Calibri"/>
              </w:rPr>
              <w:t>at</w:t>
            </w:r>
            <w:r w:rsidRPr="00A05EDE">
              <w:rPr>
                <w:rFonts w:eastAsia="Calibri"/>
              </w:rPr>
              <w:t xml:space="preserve"> </w:t>
            </w:r>
            <w:r w:rsidRPr="050E8505" w:rsidR="65C6B8BA">
              <w:rPr>
                <w:rFonts w:eastAsia="Calibri"/>
              </w:rPr>
              <w:t>M</w:t>
            </w:r>
            <w:r w:rsidRPr="050E8505">
              <w:rPr>
                <w:rFonts w:eastAsia="Calibri"/>
              </w:rPr>
              <w:t>edical</w:t>
            </w:r>
            <w:r w:rsidRPr="00A05EDE">
              <w:rPr>
                <w:rFonts w:eastAsia="Calibri"/>
              </w:rPr>
              <w:t xml:space="preserve"> and </w:t>
            </w:r>
            <w:r w:rsidRPr="050E8505" w:rsidR="3202EAA9">
              <w:rPr>
                <w:rFonts w:eastAsia="Calibri"/>
              </w:rPr>
              <w:t>H</w:t>
            </w:r>
            <w:r w:rsidRPr="050E8505">
              <w:rPr>
                <w:rFonts w:eastAsia="Calibri"/>
              </w:rPr>
              <w:t xml:space="preserve">ealth </w:t>
            </w:r>
            <w:r w:rsidRPr="050E8505" w:rsidR="47942288">
              <w:rPr>
                <w:rFonts w:eastAsia="Calibri"/>
              </w:rPr>
              <w:t>S</w:t>
            </w:r>
            <w:r w:rsidRPr="050E8505">
              <w:rPr>
                <w:rFonts w:eastAsia="Calibri"/>
              </w:rPr>
              <w:t xml:space="preserve">ervices </w:t>
            </w:r>
            <w:r w:rsidRPr="050E8505" w:rsidR="472FCAC6">
              <w:rPr>
                <w:rFonts w:eastAsia="Calibri"/>
              </w:rPr>
              <w:t>M</w:t>
            </w:r>
            <w:r w:rsidRPr="050E8505">
              <w:rPr>
                <w:rFonts w:eastAsia="Calibri"/>
              </w:rPr>
              <w:t xml:space="preserve">anager's </w:t>
            </w:r>
            <w:r w:rsidRPr="050E8505" w:rsidR="08FE4E14">
              <w:rPr>
                <w:rFonts w:eastAsia="Calibri"/>
              </w:rPr>
              <w:t>L</w:t>
            </w:r>
            <w:r w:rsidRPr="050E8505">
              <w:rPr>
                <w:rFonts w:eastAsia="Calibri"/>
              </w:rPr>
              <w:t xml:space="preserve">abor </w:t>
            </w:r>
            <w:r w:rsidRPr="050E8505" w:rsidR="6E72C943">
              <w:rPr>
                <w:rFonts w:eastAsia="Calibri"/>
              </w:rPr>
              <w:t>R</w:t>
            </w:r>
            <w:r w:rsidRPr="00A05EDE">
              <w:rPr>
                <w:rFonts w:eastAsia="Calibri"/>
              </w:rPr>
              <w:t>ate of $</w:t>
            </w:r>
            <w:r w:rsidR="00F9599E">
              <w:rPr>
                <w:rFonts w:eastAsia="Calibri"/>
              </w:rPr>
              <w:t>129.28</w:t>
            </w:r>
            <w:r w:rsidRPr="00A05EDE">
              <w:rPr>
                <w:rFonts w:eastAsia="Calibri"/>
              </w:rPr>
              <w:t>/hr) (f)</w:t>
            </w:r>
            <w:r w:rsidR="00C7001D">
              <w:rPr>
                <w:rFonts w:eastAsia="Calibri"/>
              </w:rPr>
              <w:t xml:space="preserve"> = (b) [</w:t>
            </w:r>
            <w:r w:rsidR="00495D06">
              <w:t>×</w:t>
            </w:r>
            <w:r w:rsidR="00C7001D">
              <w:rPr>
                <w:rFonts w:eastAsia="Calibri"/>
              </w:rPr>
              <w:t>] $</w:t>
            </w:r>
            <w:r w:rsidR="00F9599E">
              <w:rPr>
                <w:rFonts w:eastAsia="Calibri"/>
              </w:rPr>
              <w:t>129.28</w:t>
            </w:r>
            <w:r w:rsidR="00C7001D">
              <w:rPr>
                <w:rFonts w:eastAsia="Calibri"/>
              </w:rPr>
              <w:t>/hr</w:t>
            </w:r>
          </w:p>
        </w:tc>
        <w:tc>
          <w:tcPr>
            <w:tcW w:w="1735" w:type="dxa"/>
            <w:tcBorders>
              <w:top w:val="single" w:sz="4" w:space="0" w:color="auto"/>
              <w:left w:val="single" w:sz="4" w:space="0" w:color="auto"/>
              <w:bottom w:val="single" w:sz="4" w:space="0" w:color="auto"/>
              <w:right w:val="single" w:sz="4" w:space="0" w:color="auto"/>
            </w:tcBorders>
            <w:hideMark/>
          </w:tcPr>
          <w:p w:rsidR="009F04A5" w:rsidRPr="00A05EDE" w:rsidP="00C017CD" w14:paraId="630C21D6" w14:textId="0B79A2D5">
            <w:pPr>
              <w:pStyle w:val="Table11Basic"/>
              <w:jc w:val="center"/>
            </w:pPr>
            <w:r w:rsidRPr="00A05EDE">
              <w:t>$</w:t>
            </w:r>
            <w:r w:rsidR="00097E13">
              <w:t>930.82</w:t>
            </w:r>
          </w:p>
        </w:tc>
      </w:tr>
      <w:tr w14:paraId="7B208546"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hideMark/>
          </w:tcPr>
          <w:p w:rsidR="009F04A5" w:rsidRPr="00A05EDE" w:rsidP="00C017CD" w14:paraId="0124A0AC" w14:textId="74947B7C">
            <w:pPr>
              <w:pStyle w:val="Table11Basic"/>
              <w:rPr>
                <w:rFonts w:eastAsia="Calibri"/>
              </w:rPr>
            </w:pPr>
            <w:r w:rsidRPr="00A05EDE">
              <w:rPr>
                <w:rFonts w:eastAsia="Calibri"/>
              </w:rPr>
              <w:t>Cost to Nominate an MVP (</w:t>
            </w:r>
            <w:r w:rsidR="00A87331">
              <w:rPr>
                <w:rFonts w:eastAsia="Calibri"/>
              </w:rPr>
              <w:t>at</w:t>
            </w:r>
            <w:r w:rsidRPr="00A05EDE">
              <w:rPr>
                <w:rFonts w:eastAsia="Calibri"/>
              </w:rPr>
              <w:t xml:space="preserve"> </w:t>
            </w:r>
            <w:r w:rsidRPr="050E8505" w:rsidR="008679E7">
              <w:rPr>
                <w:rFonts w:eastAsia="Calibri"/>
              </w:rPr>
              <w:t>P</w:t>
            </w:r>
            <w:r w:rsidRPr="050E8505">
              <w:rPr>
                <w:rFonts w:eastAsia="Calibri"/>
              </w:rPr>
              <w:t xml:space="preserve">hysician’s </w:t>
            </w:r>
            <w:r w:rsidRPr="050E8505" w:rsidR="0A3CC5EA">
              <w:rPr>
                <w:rFonts w:eastAsia="Calibri"/>
              </w:rPr>
              <w:t>L</w:t>
            </w:r>
            <w:r w:rsidRPr="050E8505">
              <w:rPr>
                <w:rFonts w:eastAsia="Calibri"/>
              </w:rPr>
              <w:t xml:space="preserve">abor </w:t>
            </w:r>
            <w:r w:rsidRPr="050E8505" w:rsidR="7D620056">
              <w:rPr>
                <w:rFonts w:eastAsia="Calibri"/>
              </w:rPr>
              <w:t>R</w:t>
            </w:r>
            <w:r w:rsidRPr="00A05EDE">
              <w:rPr>
                <w:rFonts w:eastAsia="Calibri"/>
              </w:rPr>
              <w:t>ate of $</w:t>
            </w:r>
            <w:r w:rsidR="00F9599E">
              <w:rPr>
                <w:rFonts w:eastAsia="Calibri"/>
              </w:rPr>
              <w:t>291.64</w:t>
            </w:r>
            <w:r w:rsidRPr="00A05EDE">
              <w:rPr>
                <w:rFonts w:eastAsia="Calibri"/>
              </w:rPr>
              <w:t>/hr) (g)</w:t>
            </w:r>
            <w:r w:rsidR="00C7001D">
              <w:rPr>
                <w:rFonts w:eastAsia="Calibri"/>
              </w:rPr>
              <w:t xml:space="preserve"> = (c) [</w:t>
            </w:r>
            <w:r w:rsidR="00495D06">
              <w:t>×</w:t>
            </w:r>
            <w:r w:rsidR="00C7001D">
              <w:rPr>
                <w:rFonts w:eastAsia="Calibri"/>
              </w:rPr>
              <w:t>] $</w:t>
            </w:r>
            <w:r w:rsidR="00F9599E">
              <w:rPr>
                <w:rFonts w:eastAsia="Calibri"/>
              </w:rPr>
              <w:t>291.64</w:t>
            </w:r>
            <w:r w:rsidR="00C7001D">
              <w:rPr>
                <w:rFonts w:eastAsia="Calibri"/>
              </w:rPr>
              <w:t>/hr</w:t>
            </w:r>
          </w:p>
        </w:tc>
        <w:tc>
          <w:tcPr>
            <w:tcW w:w="1735" w:type="dxa"/>
            <w:tcBorders>
              <w:top w:val="single" w:sz="4" w:space="0" w:color="auto"/>
              <w:left w:val="single" w:sz="4" w:space="0" w:color="auto"/>
              <w:bottom w:val="single" w:sz="4" w:space="0" w:color="auto"/>
              <w:right w:val="single" w:sz="4" w:space="0" w:color="auto"/>
            </w:tcBorders>
            <w:noWrap/>
            <w:hideMark/>
          </w:tcPr>
          <w:p w:rsidR="009F04A5" w:rsidRPr="00A05EDE" w:rsidP="00C017CD" w14:paraId="753486B3" w14:textId="077C99FD">
            <w:pPr>
              <w:pStyle w:val="Table11Basic"/>
              <w:jc w:val="center"/>
            </w:pPr>
            <w:r w:rsidRPr="00A05EDE">
              <w:t>$</w:t>
            </w:r>
            <w:r w:rsidR="00097E13">
              <w:t>1399.87</w:t>
            </w:r>
          </w:p>
        </w:tc>
      </w:tr>
      <w:tr w14:paraId="6124C1A0"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shd w:val="clear" w:color="auto" w:fill="auto"/>
            <w:hideMark/>
          </w:tcPr>
          <w:p w:rsidR="009F04A5" w:rsidRPr="00A05EDE" w:rsidP="00C017CD" w14:paraId="29A5CABD" w14:textId="21EA8CEE">
            <w:pPr>
              <w:pStyle w:val="Table11Basic"/>
              <w:rPr>
                <w:rFonts w:eastAsia="Calibri"/>
              </w:rPr>
            </w:pPr>
            <w:r w:rsidRPr="00A05EDE">
              <w:rPr>
                <w:rFonts w:eastAsia="Calibri"/>
              </w:rPr>
              <w:t>Total Annual Cost Per Respondent (h)</w:t>
            </w:r>
            <w:r w:rsidR="009D2B23">
              <w:rPr>
                <w:rFonts w:eastAsia="Calibri"/>
              </w:rPr>
              <w:t xml:space="preserve"> </w:t>
            </w:r>
            <w:r w:rsidRPr="00A05EDE">
              <w:rPr>
                <w:rFonts w:eastAsia="Calibri"/>
              </w:rPr>
              <w:t>=</w:t>
            </w:r>
            <w:r w:rsidR="009D2B23">
              <w:rPr>
                <w:rFonts w:eastAsia="Calibri"/>
              </w:rPr>
              <w:t xml:space="preserve"> </w:t>
            </w:r>
            <w:r w:rsidRPr="00A05EDE">
              <w:rPr>
                <w:rFonts w:eastAsia="Calibri"/>
              </w:rPr>
              <w:t>(f)</w:t>
            </w:r>
            <w:r w:rsidR="009D2B23">
              <w:rPr>
                <w:rFonts w:eastAsia="Calibri"/>
              </w:rPr>
              <w:t xml:space="preserve"> </w:t>
            </w:r>
            <w:r w:rsidRPr="00A05EDE">
              <w:rPr>
                <w:rFonts w:eastAsia="Calibri"/>
              </w:rPr>
              <w:t>+</w:t>
            </w:r>
            <w:r w:rsidR="009D2B23">
              <w:rPr>
                <w:rFonts w:eastAsia="Calibri"/>
              </w:rPr>
              <w:t xml:space="preserve"> </w:t>
            </w:r>
            <w:r w:rsidRPr="00A05EDE">
              <w:rPr>
                <w:rFonts w:eastAsia="Calibri"/>
              </w:rPr>
              <w:t>(g)</w:t>
            </w:r>
          </w:p>
        </w:tc>
        <w:tc>
          <w:tcPr>
            <w:tcW w:w="1735" w:type="dxa"/>
            <w:tcBorders>
              <w:top w:val="single" w:sz="4" w:space="0" w:color="auto"/>
              <w:left w:val="single" w:sz="4" w:space="0" w:color="auto"/>
              <w:bottom w:val="single" w:sz="4" w:space="0" w:color="auto"/>
              <w:right w:val="single" w:sz="4" w:space="0" w:color="auto"/>
            </w:tcBorders>
            <w:shd w:val="clear" w:color="auto" w:fill="auto"/>
            <w:noWrap/>
            <w:hideMark/>
          </w:tcPr>
          <w:p w:rsidR="009F04A5" w:rsidRPr="00A05EDE" w:rsidP="00C017CD" w14:paraId="585F7552" w14:textId="522C2366">
            <w:pPr>
              <w:pStyle w:val="Table11Basic"/>
              <w:jc w:val="center"/>
            </w:pPr>
            <w:r w:rsidRPr="00A05EDE">
              <w:t>$</w:t>
            </w:r>
            <w:r w:rsidR="00CB15CD">
              <w:t>2,</w:t>
            </w:r>
            <w:r w:rsidR="00AA2235">
              <w:t>330.69</w:t>
            </w:r>
          </w:p>
        </w:tc>
      </w:tr>
      <w:tr w14:paraId="15927938" w14:textId="77777777" w:rsidTr="00C017CD">
        <w:tblPrEx>
          <w:tblW w:w="9110" w:type="dxa"/>
          <w:tblLook w:val="04A0"/>
        </w:tblPrEx>
        <w:trPr>
          <w:cantSplit/>
        </w:trPr>
        <w:tc>
          <w:tcPr>
            <w:tcW w:w="73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F04A5" w:rsidRPr="00A05EDE" w:rsidP="00C017CD" w14:paraId="5A24F41C" w14:textId="7A2EF3E3">
            <w:pPr>
              <w:pStyle w:val="Table11Basic"/>
              <w:rPr>
                <w:rFonts w:eastAsia="Calibri"/>
                <w:b/>
              </w:rPr>
            </w:pPr>
            <w:r w:rsidRPr="00A05EDE">
              <w:rPr>
                <w:rFonts w:eastAsia="Calibri"/>
                <w:b/>
              </w:rPr>
              <w:t>Total Annual Cost (i)</w:t>
            </w:r>
            <w:r w:rsidR="009D2B23">
              <w:rPr>
                <w:rFonts w:eastAsia="Calibri"/>
                <w:b/>
              </w:rPr>
              <w:t xml:space="preserve"> </w:t>
            </w:r>
            <w:r w:rsidRPr="00A05EDE">
              <w:rPr>
                <w:rFonts w:eastAsia="Calibri"/>
                <w:b/>
              </w:rPr>
              <w:t>=</w:t>
            </w:r>
            <w:r w:rsidR="009D2B23">
              <w:rPr>
                <w:rFonts w:eastAsia="Calibri"/>
                <w:b/>
              </w:rPr>
              <w:t xml:space="preserve"> </w:t>
            </w:r>
            <w:r w:rsidRPr="00A05EDE">
              <w:rPr>
                <w:rFonts w:eastAsia="Calibri"/>
                <w:b/>
              </w:rPr>
              <w:t>(a)</w:t>
            </w:r>
            <w:r w:rsidR="009D2B23">
              <w:rPr>
                <w:rFonts w:eastAsia="Calibri"/>
                <w:b/>
              </w:rPr>
              <w:t xml:space="preserve"> </w:t>
            </w:r>
            <w:r w:rsidR="00FB55BB">
              <w:rPr>
                <w:rFonts w:eastAsia="Calibri"/>
                <w:b/>
              </w:rPr>
              <w:t>[</w:t>
            </w:r>
            <w:r w:rsidRPr="00495D06" w:rsidR="00495D06">
              <w:rPr>
                <w:b/>
                <w:bCs/>
              </w:rPr>
              <w:t>×</w:t>
            </w:r>
            <w:r w:rsidR="00FB55BB">
              <w:rPr>
                <w:rFonts w:eastAsia="Calibri"/>
                <w:b/>
              </w:rPr>
              <w:t>]</w:t>
            </w:r>
            <w:r w:rsidRPr="004122F3" w:rsidR="004122F3">
              <w:rPr>
                <w:rFonts w:eastAsia="Calibri"/>
                <w:b/>
              </w:rPr>
              <w:t xml:space="preserve"> </w:t>
            </w:r>
            <w:r w:rsidRPr="00A05EDE">
              <w:rPr>
                <w:rFonts w:eastAsia="Calibri"/>
                <w:b/>
              </w:rPr>
              <w:t>(h)</w:t>
            </w:r>
          </w:p>
        </w:tc>
        <w:tc>
          <w:tcPr>
            <w:tcW w:w="1735"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rsidR="009F04A5" w:rsidRPr="00A05EDE" w:rsidP="00C017CD" w14:paraId="56B5BFF8" w14:textId="5B957978">
            <w:pPr>
              <w:pStyle w:val="Table11Basic"/>
              <w:jc w:val="center"/>
              <w:rPr>
                <w:b/>
              </w:rPr>
            </w:pPr>
            <w:r w:rsidRPr="00A05EDE">
              <w:rPr>
                <w:b/>
              </w:rPr>
              <w:t>$</w:t>
            </w:r>
            <w:r w:rsidR="00AA2235">
              <w:rPr>
                <w:b/>
              </w:rPr>
              <w:t>23,307</w:t>
            </w:r>
          </w:p>
        </w:tc>
      </w:tr>
    </w:tbl>
    <w:p w:rsidR="003065CD" w:rsidRPr="004330C9" w:rsidP="006E6DEB" w14:paraId="5F3E5B0A" w14:textId="5151910B">
      <w:pPr>
        <w:pStyle w:val="Heading4"/>
      </w:pPr>
      <w:bookmarkStart w:id="187" w:name="_Hlk532899276"/>
      <w:bookmarkEnd w:id="186"/>
      <w:r>
        <w:t>m.</w:t>
      </w:r>
      <w:r>
        <w:tab/>
      </w:r>
      <w:r w:rsidRPr="004330C9">
        <w:t>Burden Estimate for Partial QP Elections</w:t>
      </w:r>
      <w:bookmarkEnd w:id="187"/>
    </w:p>
    <w:p w:rsidR="00C123DE" w:rsidRPr="00C123DE" w:rsidP="001B7217" w14:paraId="5AE0EB5A" w14:textId="4DAB76D1">
      <w:pPr>
        <w:pStyle w:val="BodyText-PostHead"/>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w:t>
      </w:r>
      <w:r w:rsidR="00CD067C">
        <w:rPr>
          <w:rFonts w:eastAsia="Calibri"/>
        </w:rPr>
        <w:t xml:space="preserve">individual </w:t>
      </w:r>
      <w:r w:rsidRPr="00C123DE">
        <w:rPr>
          <w:rFonts w:eastAsia="Calibri"/>
        </w:rPr>
        <w:t xml:space="preserve">eligible clinician level, the burden of Partial QP election will be incurred by the </w:t>
      </w:r>
      <w:r w:rsidR="00312597">
        <w:rPr>
          <w:rFonts w:eastAsia="Calibri"/>
        </w:rPr>
        <w:t xml:space="preserve">individual </w:t>
      </w:r>
      <w:r w:rsidRPr="00C123DE">
        <w:rPr>
          <w:rFonts w:eastAsia="Calibri"/>
        </w:rPr>
        <w:t>eligible clinician. For the purposes of this burden estimate, we assume that all MIPS eligible clinicians determined to be Partial QPs will participate in MIPS</w:t>
      </w:r>
      <w:r w:rsidRPr="00C123DE" w:rsidR="00156E6F">
        <w:rPr>
          <w:rFonts w:eastAsia="Calibri"/>
        </w:rPr>
        <w:t xml:space="preserve">. </w:t>
      </w:r>
    </w:p>
    <w:p w:rsidR="007126F1" w:rsidP="001B7217" w14:paraId="596877E3" w14:textId="67A0F1D9">
      <w:pPr>
        <w:pStyle w:val="BodyText"/>
        <w:rPr>
          <w:rFonts w:eastAsia="Calibri"/>
        </w:rPr>
      </w:pPr>
      <w:r w:rsidRPr="738A46D6">
        <w:rPr>
          <w:rFonts w:eastAsia="Calibri"/>
        </w:rPr>
        <w:t xml:space="preserve">As shown in </w:t>
      </w:r>
      <w:r w:rsidRPr="738A46D6" w:rsidR="62B13118">
        <w:rPr>
          <w:rFonts w:eastAsia="Calibri"/>
        </w:rPr>
        <w:t xml:space="preserve">Table </w:t>
      </w:r>
      <w:r w:rsidRPr="738A46D6">
        <w:rPr>
          <w:rFonts w:eastAsia="Calibri"/>
        </w:rPr>
        <w:t>2</w:t>
      </w:r>
      <w:r w:rsidRPr="738A46D6" w:rsidR="02E91EE9">
        <w:rPr>
          <w:rFonts w:eastAsia="Calibri"/>
        </w:rPr>
        <w:t>3</w:t>
      </w:r>
      <w:r w:rsidRPr="738A46D6">
        <w:rPr>
          <w:rFonts w:eastAsia="Calibri"/>
        </w:rPr>
        <w:t xml:space="preserve">, </w:t>
      </w:r>
      <w:r w:rsidRPr="738A46D6" w:rsidR="1850D29D">
        <w:rPr>
          <w:rFonts w:eastAsia="Calibri"/>
        </w:rPr>
        <w:t xml:space="preserve">based on </w:t>
      </w:r>
      <w:r w:rsidRPr="738A46D6" w:rsidR="6C46F614">
        <w:rPr>
          <w:rFonts w:eastAsia="Calibri"/>
        </w:rPr>
        <w:t xml:space="preserve">the number of QP elections submitted </w:t>
      </w:r>
      <w:r w:rsidRPr="738A46D6" w:rsidR="12E2E4F4">
        <w:rPr>
          <w:rFonts w:eastAsia="Calibri"/>
        </w:rPr>
        <w:t>for the CY 2023 performance period/2025 MIPS payment year</w:t>
      </w:r>
      <w:r w:rsidRPr="738A46D6" w:rsidR="1850D29D">
        <w:rPr>
          <w:rFonts w:eastAsia="Calibri"/>
        </w:rPr>
        <w:t xml:space="preserve">, we estimate that </w:t>
      </w:r>
      <w:r w:rsidRPr="738A46D6" w:rsidR="4B53C669">
        <w:rPr>
          <w:rFonts w:eastAsia="Calibri"/>
        </w:rPr>
        <w:t xml:space="preserve">a total of </w:t>
      </w:r>
      <w:r w:rsidRPr="738A46D6" w:rsidR="5D42F09F">
        <w:rPr>
          <w:rFonts w:eastAsia="Calibri"/>
        </w:rPr>
        <w:t xml:space="preserve">18 </w:t>
      </w:r>
      <w:r w:rsidR="003354C3">
        <w:rPr>
          <w:rFonts w:eastAsia="Calibri"/>
        </w:rPr>
        <w:t xml:space="preserve">APM </w:t>
      </w:r>
      <w:r w:rsidRPr="738A46D6" w:rsidR="51D58655">
        <w:rPr>
          <w:rFonts w:eastAsia="Calibri"/>
        </w:rPr>
        <w:t>respondents</w:t>
      </w:r>
      <w:r w:rsidR="003E1FA3">
        <w:rPr>
          <w:rFonts w:eastAsia="Calibri"/>
        </w:rPr>
        <w:t xml:space="preserve"> (representing </w:t>
      </w:r>
      <w:r w:rsidR="00A2451E">
        <w:rPr>
          <w:rFonts w:eastAsia="Calibri"/>
        </w:rPr>
        <w:t>333 distinct national provider identi</w:t>
      </w:r>
      <w:r w:rsidR="009B7237">
        <w:rPr>
          <w:rFonts w:eastAsia="Calibri"/>
        </w:rPr>
        <w:t xml:space="preserve">fiers </w:t>
      </w:r>
      <w:r w:rsidR="008F7DF6">
        <w:rPr>
          <w:rFonts w:eastAsia="Calibri"/>
        </w:rPr>
        <w:t xml:space="preserve">(NPIs) </w:t>
      </w:r>
      <w:r w:rsidR="009B7237">
        <w:rPr>
          <w:rFonts w:eastAsia="Calibri"/>
        </w:rPr>
        <w:t>and</w:t>
      </w:r>
      <w:r w:rsidR="003354C3">
        <w:rPr>
          <w:rFonts w:eastAsia="Calibri"/>
        </w:rPr>
        <w:t xml:space="preserve"> 363 distinct TIN/NPIs</w:t>
      </w:r>
      <w:r w:rsidR="0094452F">
        <w:rPr>
          <w:rFonts w:eastAsia="Calibri"/>
        </w:rPr>
        <w:t>)</w:t>
      </w:r>
      <w:r w:rsidR="00A2451E">
        <w:rPr>
          <w:rFonts w:eastAsia="Calibri"/>
        </w:rPr>
        <w:t xml:space="preserve"> </w:t>
      </w:r>
      <w:r w:rsidRPr="738A46D6" w:rsidR="1850D29D">
        <w:rPr>
          <w:rFonts w:eastAsia="Calibri"/>
        </w:rPr>
        <w:t>will make the election to participate as a Partial QP in MIPS</w:t>
      </w:r>
      <w:r w:rsidRPr="738A46D6" w:rsidR="51D58655">
        <w:rPr>
          <w:rFonts w:eastAsia="Calibri"/>
        </w:rPr>
        <w:t>.</w:t>
      </w:r>
      <w:r w:rsidRPr="738A46D6" w:rsidR="1850D29D">
        <w:rPr>
          <w:rFonts w:eastAsia="Calibri"/>
        </w:rPr>
        <w:t xml:space="preserve"> We estimate it will take the APM Entity representative 15 minutes (0.25 hr) </w:t>
      </w:r>
      <w:r w:rsidRPr="738A46D6" w:rsidR="37FC4B97">
        <w:rPr>
          <w:rFonts w:eastAsia="Calibri"/>
        </w:rPr>
        <w:t xml:space="preserve">at a rate of </w:t>
      </w:r>
      <w:r w:rsidRPr="738A46D6" w:rsidR="6DF53727">
        <w:rPr>
          <w:rFonts w:eastAsia="Calibri"/>
        </w:rPr>
        <w:t>$106.54</w:t>
      </w:r>
      <w:r w:rsidRPr="738A46D6" w:rsidR="37FC4B97">
        <w:rPr>
          <w:rFonts w:eastAsia="Calibri"/>
        </w:rPr>
        <w:t>/hr, resulting in a cost of $</w:t>
      </w:r>
      <w:r w:rsidRPr="738A46D6" w:rsidR="43BEF43B">
        <w:rPr>
          <w:rFonts w:eastAsia="Calibri"/>
        </w:rPr>
        <w:t>26.64</w:t>
      </w:r>
      <w:r w:rsidRPr="738A46D6" w:rsidR="37FC4B97">
        <w:rPr>
          <w:rFonts w:eastAsia="Calibri"/>
        </w:rPr>
        <w:t xml:space="preserve">, </w:t>
      </w:r>
      <w:r w:rsidRPr="738A46D6" w:rsidR="1850D29D">
        <w:rPr>
          <w:rFonts w:eastAsia="Calibri"/>
        </w:rPr>
        <w:t xml:space="preserve">to make this election. </w:t>
      </w:r>
      <w:r w:rsidR="00EA4D4D">
        <w:rPr>
          <w:color w:val="000000"/>
          <w:shd w:val="clear" w:color="auto" w:fill="FFFFFF"/>
        </w:rPr>
        <w:t xml:space="preserve">We do not estimate any </w:t>
      </w:r>
      <w:r w:rsidR="00A82DF1">
        <w:rPr>
          <w:color w:val="000000"/>
          <w:shd w:val="clear" w:color="auto" w:fill="FFFFFF"/>
        </w:rPr>
        <w:t>P</w:t>
      </w:r>
      <w:r w:rsidR="00EA4D4D">
        <w:rPr>
          <w:color w:val="000000"/>
          <w:shd w:val="clear" w:color="auto" w:fill="FFFFFF"/>
        </w:rPr>
        <w:t xml:space="preserve">artial QP elections at the eligible </w:t>
      </w:r>
      <w:r w:rsidR="00AB3AA4">
        <w:rPr>
          <w:color w:val="000000"/>
          <w:shd w:val="clear" w:color="auto" w:fill="FFFFFF"/>
        </w:rPr>
        <w:t xml:space="preserve">individual </w:t>
      </w:r>
      <w:r w:rsidR="00EA4D4D">
        <w:rPr>
          <w:color w:val="000000"/>
          <w:shd w:val="clear" w:color="auto" w:fill="FFFFFF"/>
        </w:rPr>
        <w:t>clinician level, as no individual eligible clinicians elected to report as partial QPs for the CY 2023 performance period/2025 MIPS payment year. </w:t>
      </w:r>
      <w:r w:rsidRPr="738A46D6" w:rsidR="1850D29D">
        <w:rPr>
          <w:rFonts w:eastAsia="Calibri"/>
        </w:rPr>
        <w:t xml:space="preserve">In aggregate, we estimate an annual burden of </w:t>
      </w:r>
      <w:r w:rsidRPr="738A46D6" w:rsidR="2B924081">
        <w:rPr>
          <w:rFonts w:eastAsia="Calibri"/>
        </w:rPr>
        <w:t>5</w:t>
      </w:r>
      <w:r w:rsidRPr="738A46D6" w:rsidR="1850D29D">
        <w:rPr>
          <w:rFonts w:eastAsia="Calibri"/>
        </w:rPr>
        <w:t xml:space="preserve"> </w:t>
      </w:r>
      <w:r w:rsidRPr="738A46D6" w:rsidR="1850D29D">
        <w:rPr>
          <w:rFonts w:eastAsia="Calibri"/>
        </w:rPr>
        <w:t>hours (</w:t>
      </w:r>
      <w:r w:rsidRPr="738A46D6" w:rsidR="2B924081">
        <w:rPr>
          <w:rFonts w:eastAsia="Calibri"/>
        </w:rPr>
        <w:t>18</w:t>
      </w:r>
      <w:r w:rsidRPr="738A46D6" w:rsidR="1850D29D">
        <w:rPr>
          <w:rFonts w:eastAsia="Calibri"/>
        </w:rPr>
        <w:t xml:space="preserve"> </w:t>
      </w:r>
      <w:r w:rsidR="00AB3AA4">
        <w:rPr>
          <w:rFonts w:eastAsia="Calibri"/>
        </w:rPr>
        <w:t>P</w:t>
      </w:r>
      <w:r w:rsidRPr="738A46D6" w:rsidR="37FC4B97">
        <w:rPr>
          <w:rFonts w:eastAsia="Calibri"/>
        </w:rPr>
        <w:t>artial QP elections</w:t>
      </w:r>
      <w:r w:rsidRPr="738A46D6" w:rsidR="1850D29D">
        <w:rPr>
          <w:rFonts w:eastAsia="Calibri"/>
        </w:rPr>
        <w:t xml:space="preserve"> </w:t>
      </w:r>
      <w:r w:rsidR="00495D06">
        <w:t>×</w:t>
      </w:r>
      <w:r w:rsidRPr="738A46D6" w:rsidR="1850D29D">
        <w:rPr>
          <w:rFonts w:eastAsia="Calibri"/>
        </w:rPr>
        <w:t xml:space="preserve"> 0.25 hr/election) and $</w:t>
      </w:r>
      <w:r w:rsidRPr="738A46D6" w:rsidR="2B924081">
        <w:rPr>
          <w:rFonts w:eastAsia="Calibri"/>
        </w:rPr>
        <w:t>480</w:t>
      </w:r>
      <w:r w:rsidRPr="738A46D6" w:rsidR="1850D29D">
        <w:rPr>
          <w:rFonts w:eastAsia="Calibri"/>
        </w:rPr>
        <w:t xml:space="preserve"> (</w:t>
      </w:r>
      <w:r w:rsidRPr="738A46D6" w:rsidR="2B924081">
        <w:rPr>
          <w:rFonts w:eastAsia="Calibri"/>
        </w:rPr>
        <w:t xml:space="preserve">18 </w:t>
      </w:r>
      <w:r w:rsidR="00AB3AA4">
        <w:rPr>
          <w:rFonts w:eastAsia="Calibri"/>
        </w:rPr>
        <w:t>P</w:t>
      </w:r>
      <w:r w:rsidRPr="738A46D6" w:rsidR="37FC4B97">
        <w:rPr>
          <w:rFonts w:eastAsia="Calibri"/>
        </w:rPr>
        <w:t>artial QP elections</w:t>
      </w:r>
      <w:r w:rsidRPr="738A46D6" w:rsidR="1850D29D">
        <w:rPr>
          <w:rFonts w:eastAsia="Calibri"/>
        </w:rPr>
        <w:t xml:space="preserve"> </w:t>
      </w:r>
      <w:r w:rsidR="00495D06">
        <w:t>×</w:t>
      </w:r>
      <w:r w:rsidRPr="738A46D6" w:rsidR="1850D29D">
        <w:rPr>
          <w:rFonts w:eastAsia="Calibri"/>
        </w:rPr>
        <w:t xml:space="preserve"> $</w:t>
      </w:r>
      <w:r w:rsidRPr="738A46D6" w:rsidR="0C8A5317">
        <w:rPr>
          <w:rFonts w:eastAsia="Calibri"/>
        </w:rPr>
        <w:t>26.64</w:t>
      </w:r>
      <w:r w:rsidRPr="738A46D6" w:rsidR="1850D29D">
        <w:rPr>
          <w:rFonts w:eastAsia="Calibri"/>
        </w:rPr>
        <w:t>/</w:t>
      </w:r>
      <w:r w:rsidRPr="738A46D6" w:rsidR="37FC4B97">
        <w:rPr>
          <w:rFonts w:eastAsia="Calibri"/>
        </w:rPr>
        <w:t>election</w:t>
      </w:r>
      <w:r w:rsidRPr="738A46D6" w:rsidR="1850D29D">
        <w:rPr>
          <w:rFonts w:eastAsia="Calibri"/>
        </w:rPr>
        <w:t>)</w:t>
      </w:r>
      <w:r w:rsidRPr="738A46D6" w:rsidR="5FDE2415">
        <w:rPr>
          <w:rFonts w:eastAsia="Calibri"/>
        </w:rPr>
        <w:t>.</w:t>
      </w:r>
    </w:p>
    <w:p w:rsidR="001D422A" w:rsidRPr="009B39F0" w:rsidP="00361BB4" w14:paraId="73334E5E" w14:textId="7792168C">
      <w:pPr>
        <w:pStyle w:val="ExhibitTitle"/>
        <w:rPr>
          <w:b w:val="0"/>
          <w:bCs/>
        </w:rPr>
      </w:pPr>
      <w:r w:rsidRPr="009B39F0">
        <w:rPr>
          <w:b w:val="0"/>
          <w:bCs/>
        </w:rPr>
        <w:t>T</w:t>
      </w:r>
      <w:r w:rsidRPr="009B39F0" w:rsidR="181119AE">
        <w:rPr>
          <w:b w:val="0"/>
          <w:bCs/>
        </w:rPr>
        <w:t>able</w:t>
      </w:r>
      <w:r w:rsidRPr="009B39F0">
        <w:rPr>
          <w:b w:val="0"/>
          <w:bCs/>
        </w:rPr>
        <w:t xml:space="preserve"> 2</w:t>
      </w:r>
      <w:r w:rsidRPr="009B39F0" w:rsidR="7F9ADE78">
        <w:rPr>
          <w:b w:val="0"/>
          <w:bCs/>
        </w:rPr>
        <w:t>3</w:t>
      </w:r>
      <w:r w:rsidRPr="009B39F0">
        <w:rPr>
          <w:b w:val="0"/>
          <w:bCs/>
        </w:rPr>
        <w:t xml:space="preserve">: </w:t>
      </w:r>
      <w:r w:rsidRPr="009B39F0" w:rsidR="6BD0B9AF">
        <w:rPr>
          <w:b w:val="0"/>
          <w:bCs/>
        </w:rPr>
        <w:t>Estimated Burde</w:t>
      </w:r>
      <w:r w:rsidRPr="009B39F0">
        <w:rPr>
          <w:b w:val="0"/>
          <w:bCs/>
        </w:rPr>
        <w:t>n for Partial QP Election</w:t>
      </w:r>
    </w:p>
    <w:tbl>
      <w:tblPr>
        <w:tblDescription w:val="Table 23: the estimated burden for partial Q P s electing to participate in M I P S."/>
        <w:tblW w:w="9175" w:type="dxa"/>
        <w:tblLook w:val="04A0"/>
      </w:tblPr>
      <w:tblGrid>
        <w:gridCol w:w="7465"/>
        <w:gridCol w:w="1710"/>
      </w:tblGrid>
      <w:tr w14:paraId="2FD7E97B" w14:textId="77777777" w:rsidTr="00C017CD">
        <w:tblPrEx>
          <w:tblW w:w="9175" w:type="dxa"/>
          <w:tblLook w:val="04A0"/>
        </w:tblPrEx>
        <w:trPr>
          <w:cantSplit/>
          <w:trHeight w:val="20"/>
          <w:tblHeader/>
        </w:trPr>
        <w:tc>
          <w:tcPr>
            <w:tcW w:w="7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3065CD" w:rsidRPr="003065CD" w:rsidP="00C017CD" w14:paraId="545DC1F0" w14:textId="73394828">
            <w:pPr>
              <w:pStyle w:val="Table11-ColumnHeading"/>
            </w:pPr>
            <w:r w:rsidRPr="003065CD">
              <w:t>Burden and Respondent Descriptions</w:t>
            </w:r>
          </w:p>
        </w:tc>
        <w:tc>
          <w:tcPr>
            <w:tcW w:w="171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rsidR="003065CD" w:rsidRPr="00663B38" w:rsidP="00C017CD" w14:paraId="2BE5F43F" w14:textId="77777777">
            <w:pPr>
              <w:pStyle w:val="Table11-ColumnHeading"/>
            </w:pPr>
            <w:r w:rsidRPr="00663B38">
              <w:t>Burden Estimate</w:t>
            </w:r>
          </w:p>
        </w:tc>
      </w:tr>
      <w:tr w14:paraId="0C56470B" w14:textId="77777777" w:rsidTr="00C017CD">
        <w:tblPrEx>
          <w:tblW w:w="9175" w:type="dxa"/>
          <w:tblLook w:val="04A0"/>
        </w:tblPrEx>
        <w:trPr>
          <w:cantSplit/>
          <w:trHeight w:val="20"/>
        </w:trPr>
        <w:tc>
          <w:tcPr>
            <w:tcW w:w="7465"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3065CD" w:rsidRPr="00663B38" w:rsidP="00C017CD" w14:paraId="0924F04C" w14:textId="520BF10C">
            <w:pPr>
              <w:pStyle w:val="Table11Basic"/>
            </w:pPr>
            <w:r w:rsidRPr="738A46D6">
              <w:t xml:space="preserve">Total </w:t>
            </w:r>
            <w:r w:rsidRPr="738A46D6" w:rsidR="320AD6D6">
              <w:t xml:space="preserve"># of </w:t>
            </w:r>
            <w:r w:rsidRPr="738A46D6" w:rsidR="16D7AD71">
              <w:t>R</w:t>
            </w:r>
            <w:r w:rsidRPr="738A46D6" w:rsidR="320AD6D6">
              <w:t xml:space="preserve">espondents </w:t>
            </w:r>
            <w:r w:rsidRPr="738A46D6" w:rsidR="3FB7F4CC">
              <w:t>M</w:t>
            </w:r>
            <w:r w:rsidRPr="738A46D6" w:rsidR="320AD6D6">
              <w:t xml:space="preserve">aking Partial QP </w:t>
            </w:r>
            <w:r w:rsidR="00F70F4A">
              <w:t>E</w:t>
            </w:r>
            <w:r w:rsidRPr="738A46D6" w:rsidR="320AD6D6">
              <w:t>lection (</w:t>
            </w:r>
            <w:r w:rsidR="00D43F7F">
              <w:t>R</w:t>
            </w:r>
            <w:r w:rsidR="00D9645E">
              <w:t>epresenting 33</w:t>
            </w:r>
            <w:r w:rsidR="00F70F4A">
              <w:t>3</w:t>
            </w:r>
            <w:r w:rsidRPr="738A46D6" w:rsidR="00D9645E">
              <w:t xml:space="preserve"> </w:t>
            </w:r>
            <w:r w:rsidR="00D43F7F">
              <w:t>D</w:t>
            </w:r>
            <w:r w:rsidR="00F70F4A">
              <w:t xml:space="preserve">istinct NPIs and 363 </w:t>
            </w:r>
            <w:r w:rsidR="00D43F7F">
              <w:t>D</w:t>
            </w:r>
            <w:r w:rsidR="00F70F4A">
              <w:t>istinct TIN/NPIs</w:t>
            </w:r>
            <w:r w:rsidRPr="738A46D6" w:rsidR="320AD6D6">
              <w:t>) (a)</w:t>
            </w:r>
          </w:p>
        </w:tc>
        <w:tc>
          <w:tcPr>
            <w:tcW w:w="1710" w:type="dxa"/>
            <w:tcBorders>
              <w:top w:val="nil"/>
              <w:left w:val="nil"/>
              <w:bottom w:val="single" w:sz="4" w:space="0" w:color="000000" w:themeColor="text1"/>
              <w:right w:val="single" w:sz="4" w:space="0" w:color="000000" w:themeColor="text1"/>
            </w:tcBorders>
            <w:shd w:val="clear" w:color="auto" w:fill="auto"/>
            <w:noWrap/>
          </w:tcPr>
          <w:p w:rsidR="003065CD" w:rsidP="00361DB4" w14:paraId="69235A90" w14:textId="0F6327E2">
            <w:pPr>
              <w:pStyle w:val="Table11Basic"/>
              <w:jc w:val="center"/>
            </w:pPr>
            <w:r>
              <w:t>18</w:t>
            </w:r>
          </w:p>
        </w:tc>
      </w:tr>
      <w:tr w14:paraId="60D5ED99" w14:textId="77777777" w:rsidTr="00C017CD">
        <w:tblPrEx>
          <w:tblW w:w="9175" w:type="dxa"/>
          <w:tblLook w:val="04A0"/>
        </w:tblPrEx>
        <w:trPr>
          <w:cantSplit/>
          <w:trHeight w:val="20"/>
        </w:trPr>
        <w:tc>
          <w:tcPr>
            <w:tcW w:w="746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rsidR="003065CD" w:rsidRPr="00663B38" w:rsidP="00C017CD" w14:paraId="64F026B8" w14:textId="4E0804FE">
            <w:pPr>
              <w:pStyle w:val="Table11Basic"/>
            </w:pPr>
            <w:r>
              <w:t xml:space="preserve">Total </w:t>
            </w:r>
            <w:r w:rsidRPr="00732012">
              <w:t>Hours Per Respondent to Elect to Participate as Partial QP (</w:t>
            </w:r>
            <w:r>
              <w:t>b</w:t>
            </w:r>
            <w:r w:rsidRPr="00732012">
              <w:t>)</w:t>
            </w:r>
          </w:p>
        </w:tc>
        <w:tc>
          <w:tcPr>
            <w:tcW w:w="1710" w:type="dxa"/>
            <w:tcBorders>
              <w:top w:val="nil"/>
              <w:left w:val="nil"/>
              <w:bottom w:val="single" w:sz="4" w:space="0" w:color="000000" w:themeColor="text1"/>
              <w:right w:val="single" w:sz="4" w:space="0" w:color="000000" w:themeColor="text1"/>
            </w:tcBorders>
            <w:shd w:val="clear" w:color="auto" w:fill="auto"/>
            <w:noWrap/>
            <w:hideMark/>
          </w:tcPr>
          <w:p w:rsidR="003065CD" w:rsidRPr="00663B38" w:rsidP="00361DB4" w14:paraId="6C0A43BF" w14:textId="16D63577">
            <w:pPr>
              <w:pStyle w:val="Table11Basic"/>
              <w:jc w:val="center"/>
            </w:pPr>
            <w:r>
              <w:t>0.25</w:t>
            </w:r>
          </w:p>
        </w:tc>
      </w:tr>
      <w:tr w14:paraId="17F6D61C" w14:textId="77777777" w:rsidTr="00C017CD">
        <w:tblPrEx>
          <w:tblW w:w="9175" w:type="dxa"/>
          <w:tblLook w:val="04A0"/>
        </w:tblPrEx>
        <w:trPr>
          <w:cantSplit/>
          <w:trHeight w:val="20"/>
        </w:trPr>
        <w:tc>
          <w:tcPr>
            <w:tcW w:w="7465"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tcPr>
          <w:p w:rsidR="003065CD" w:rsidRPr="00EB040E" w:rsidP="00C017CD" w14:paraId="0A08E020" w14:textId="5D904EC1">
            <w:pPr>
              <w:pStyle w:val="Table11Basic"/>
              <w:rPr>
                <w:b/>
              </w:rPr>
            </w:pPr>
            <w:r w:rsidRPr="00EB040E">
              <w:rPr>
                <w:b/>
              </w:rPr>
              <w:t>Total Annual Hours (c) = (a)</w:t>
            </w:r>
            <w:r w:rsidR="00D96441">
              <w:rPr>
                <w:b/>
              </w:rPr>
              <w:t xml:space="preserve"> </w:t>
            </w:r>
            <w:r w:rsidR="00CE54E0">
              <w:rPr>
                <w:b/>
              </w:rPr>
              <w:t>[</w:t>
            </w:r>
            <w:r w:rsidRPr="00495D06" w:rsidR="00495D06">
              <w:rPr>
                <w:b/>
                <w:bCs/>
              </w:rPr>
              <w:t>×</w:t>
            </w:r>
            <w:r w:rsidR="00CE54E0">
              <w:rPr>
                <w:b/>
              </w:rPr>
              <w:t>]</w:t>
            </w:r>
            <w:r w:rsidRPr="009E0DBE" w:rsidR="009E0DBE">
              <w:rPr>
                <w:b/>
              </w:rPr>
              <w:t xml:space="preserve"> </w:t>
            </w:r>
            <w:r w:rsidRPr="00EB040E">
              <w:rPr>
                <w:b/>
              </w:rPr>
              <w:t>(b)</w:t>
            </w:r>
          </w:p>
        </w:tc>
        <w:tc>
          <w:tcPr>
            <w:tcW w:w="1710" w:type="dxa"/>
            <w:tcBorders>
              <w:top w:val="nil"/>
              <w:left w:val="nil"/>
              <w:bottom w:val="single" w:sz="4" w:space="0" w:color="000000" w:themeColor="text1"/>
              <w:right w:val="single" w:sz="4" w:space="0" w:color="000000" w:themeColor="text1"/>
            </w:tcBorders>
            <w:shd w:val="clear" w:color="auto" w:fill="E7E6E6" w:themeFill="background2"/>
          </w:tcPr>
          <w:p w:rsidR="003065CD" w:rsidRPr="00EB040E" w:rsidP="00361DB4" w14:paraId="118AE16D" w14:textId="69FDBAED">
            <w:pPr>
              <w:pStyle w:val="Table11Basic"/>
              <w:jc w:val="center"/>
              <w:rPr>
                <w:b/>
              </w:rPr>
            </w:pPr>
            <w:r>
              <w:rPr>
                <w:b/>
              </w:rPr>
              <w:t>5</w:t>
            </w:r>
          </w:p>
        </w:tc>
      </w:tr>
      <w:tr w14:paraId="0031FD71" w14:textId="77777777" w:rsidTr="00C017CD">
        <w:tblPrEx>
          <w:tblW w:w="9175" w:type="dxa"/>
          <w:tblLook w:val="04A0"/>
        </w:tblPrEx>
        <w:trPr>
          <w:cantSplit/>
          <w:trHeight w:val="20"/>
        </w:trPr>
        <w:tc>
          <w:tcPr>
            <w:tcW w:w="746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rsidR="003065CD" w:rsidRPr="00663B38" w:rsidP="00C017CD" w14:paraId="7380BCE5" w14:textId="296045CB">
            <w:pPr>
              <w:pStyle w:val="Table11Basic"/>
            </w:pPr>
            <w:r w:rsidRPr="738A46D6">
              <w:t>C</w:t>
            </w:r>
            <w:r w:rsidRPr="738A46D6" w:rsidR="78E3C717">
              <w:t>o</w:t>
            </w:r>
            <w:r w:rsidRPr="738A46D6" w:rsidR="53AF2FAF">
              <w:t xml:space="preserve">st per Respondent at </w:t>
            </w:r>
            <w:r w:rsidRPr="738A46D6" w:rsidR="320AD6D6">
              <w:t xml:space="preserve">Labor </w:t>
            </w:r>
            <w:r w:rsidRPr="738A46D6" w:rsidR="69438B2B">
              <w:t>R</w:t>
            </w:r>
            <w:r w:rsidRPr="738A46D6" w:rsidR="320AD6D6">
              <w:t xml:space="preserve">ate for </w:t>
            </w:r>
            <w:r w:rsidRPr="738A46D6" w:rsidR="59B0353D">
              <w:t>C</w:t>
            </w:r>
            <w:r w:rsidRPr="738A46D6" w:rsidR="320AD6D6">
              <w:t xml:space="preserve">omputer </w:t>
            </w:r>
            <w:r w:rsidRPr="738A46D6" w:rsidR="04630EF0">
              <w:t>S</w:t>
            </w:r>
            <w:r w:rsidRPr="738A46D6" w:rsidR="320AD6D6">
              <w:t xml:space="preserve">ystems </w:t>
            </w:r>
            <w:r w:rsidRPr="738A46D6" w:rsidR="38D084A4">
              <w:t>A</w:t>
            </w:r>
            <w:r w:rsidRPr="738A46D6" w:rsidR="320AD6D6">
              <w:t xml:space="preserve">nalyst </w:t>
            </w:r>
            <w:r w:rsidR="00A87331">
              <w:t>at</w:t>
            </w:r>
            <w:r w:rsidRPr="738A46D6" w:rsidR="53AF2FAF">
              <w:t xml:space="preserve"> </w:t>
            </w:r>
            <w:r w:rsidRPr="738A46D6" w:rsidR="6DF53727">
              <w:t>$106.54</w:t>
            </w:r>
            <w:r w:rsidRPr="738A46D6" w:rsidR="53AF2FAF">
              <w:t xml:space="preserve">/hr </w:t>
            </w:r>
            <w:r w:rsidRPr="738A46D6" w:rsidR="320AD6D6">
              <w:t>(d)</w:t>
            </w:r>
            <w:r w:rsidRPr="738A46D6" w:rsidR="53AF2FAF">
              <w:t xml:space="preserve"> = (b) [</w:t>
            </w:r>
            <w:r w:rsidR="00495D06">
              <w:t>×</w:t>
            </w:r>
            <w:r w:rsidRPr="738A46D6" w:rsidR="53AF2FAF">
              <w:t xml:space="preserve">] </w:t>
            </w:r>
            <w:r w:rsidRPr="738A46D6" w:rsidR="6DF53727">
              <w:t>$106.54</w:t>
            </w:r>
            <w:r w:rsidRPr="738A46D6" w:rsidR="53AF2FAF">
              <w:t>/hr</w:t>
            </w:r>
          </w:p>
        </w:tc>
        <w:tc>
          <w:tcPr>
            <w:tcW w:w="1710" w:type="dxa"/>
            <w:tcBorders>
              <w:top w:val="nil"/>
              <w:left w:val="nil"/>
              <w:bottom w:val="single" w:sz="4" w:space="0" w:color="000000" w:themeColor="text1"/>
              <w:right w:val="single" w:sz="4" w:space="0" w:color="000000" w:themeColor="text1"/>
            </w:tcBorders>
            <w:shd w:val="clear" w:color="auto" w:fill="auto"/>
            <w:hideMark/>
          </w:tcPr>
          <w:p w:rsidR="003065CD" w:rsidRPr="00663B38" w:rsidP="00361DB4" w14:paraId="2CDB9D65" w14:textId="6A3215A4">
            <w:pPr>
              <w:pStyle w:val="Table11Basic"/>
              <w:jc w:val="center"/>
            </w:pPr>
            <w:r>
              <w:t>$</w:t>
            </w:r>
            <w:r w:rsidR="00475B3F">
              <w:t>26.64</w:t>
            </w:r>
          </w:p>
        </w:tc>
      </w:tr>
      <w:tr w14:paraId="765FCFB9" w14:textId="77777777" w:rsidTr="00C017CD">
        <w:tblPrEx>
          <w:tblW w:w="9175" w:type="dxa"/>
          <w:tblLook w:val="04A0"/>
        </w:tblPrEx>
        <w:trPr>
          <w:cantSplit/>
          <w:trHeight w:val="20"/>
        </w:trPr>
        <w:tc>
          <w:tcPr>
            <w:tcW w:w="7465"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hideMark/>
          </w:tcPr>
          <w:p w:rsidR="003065CD" w:rsidRPr="00EB040E" w:rsidP="00C017CD" w14:paraId="18D4920C" w14:textId="2EB7A716">
            <w:pPr>
              <w:pStyle w:val="Table11Basic"/>
              <w:rPr>
                <w:b/>
              </w:rPr>
            </w:pPr>
            <w:r w:rsidRPr="00EB040E">
              <w:rPr>
                <w:b/>
              </w:rPr>
              <w:t>Total Annual Cost (</w:t>
            </w:r>
            <w:r w:rsidR="00CF2515">
              <w:rPr>
                <w:b/>
              </w:rPr>
              <w:t>e</w:t>
            </w:r>
            <w:r w:rsidRPr="00EB040E">
              <w:rPr>
                <w:b/>
              </w:rPr>
              <w:t>) = (</w:t>
            </w:r>
            <w:r w:rsidR="00CB15CD">
              <w:rPr>
                <w:b/>
              </w:rPr>
              <w:t>a</w:t>
            </w:r>
            <w:r w:rsidRPr="00EB040E">
              <w:rPr>
                <w:b/>
              </w:rPr>
              <w:t>)</w:t>
            </w:r>
            <w:r w:rsidR="00D96441">
              <w:rPr>
                <w:b/>
              </w:rPr>
              <w:t xml:space="preserve"> </w:t>
            </w:r>
            <w:r w:rsidR="00CE54E0">
              <w:rPr>
                <w:b/>
              </w:rPr>
              <w:t>[</w:t>
            </w:r>
            <w:r w:rsidRPr="00495D06" w:rsidR="00495D06">
              <w:rPr>
                <w:b/>
                <w:bCs/>
              </w:rPr>
              <w:t>×</w:t>
            </w:r>
            <w:r w:rsidR="00CE54E0">
              <w:rPr>
                <w:b/>
              </w:rPr>
              <w:t>]</w:t>
            </w:r>
            <w:r w:rsidRPr="009E0DBE" w:rsidR="009E0DBE">
              <w:rPr>
                <w:b/>
              </w:rPr>
              <w:t xml:space="preserve"> </w:t>
            </w:r>
            <w:r w:rsidRPr="00EB040E">
              <w:rPr>
                <w:b/>
              </w:rPr>
              <w:t>(d)</w:t>
            </w:r>
          </w:p>
        </w:tc>
        <w:tc>
          <w:tcPr>
            <w:tcW w:w="1710" w:type="dxa"/>
            <w:tcBorders>
              <w:top w:val="nil"/>
              <w:left w:val="nil"/>
              <w:bottom w:val="single" w:sz="4" w:space="0" w:color="000000" w:themeColor="text1"/>
              <w:right w:val="single" w:sz="4" w:space="0" w:color="000000" w:themeColor="text1"/>
            </w:tcBorders>
            <w:shd w:val="clear" w:color="auto" w:fill="E7E6E6" w:themeFill="background2"/>
            <w:hideMark/>
          </w:tcPr>
          <w:p w:rsidR="003065CD" w:rsidRPr="00EB040E" w:rsidP="00361DB4" w14:paraId="2DF3A077" w14:textId="10403C4C">
            <w:pPr>
              <w:pStyle w:val="Table11Basic"/>
              <w:jc w:val="center"/>
              <w:rPr>
                <w:b/>
              </w:rPr>
            </w:pPr>
            <w:r w:rsidRPr="00EB040E">
              <w:rPr>
                <w:b/>
              </w:rPr>
              <w:t>$</w:t>
            </w:r>
            <w:r w:rsidR="00475B3F">
              <w:rPr>
                <w:b/>
              </w:rPr>
              <w:t>480</w:t>
            </w:r>
          </w:p>
        </w:tc>
      </w:tr>
    </w:tbl>
    <w:p w:rsidR="0088351C" w:rsidRPr="004330C9" w:rsidP="006E6DEB" w14:paraId="52657B27" w14:textId="33C35053">
      <w:pPr>
        <w:pStyle w:val="Heading4"/>
      </w:pPr>
      <w:bookmarkStart w:id="188" w:name="_Hlk532899285"/>
      <w:r>
        <w:t>n.</w:t>
      </w:r>
      <w:r>
        <w:tab/>
      </w:r>
      <w:r w:rsidRPr="004330C9">
        <w:t>Burden Estimate for Other-Payer Advanced APM Determinations</w:t>
      </w:r>
      <w:bookmarkEnd w:id="188"/>
    </w:p>
    <w:p w:rsidR="0088351C" w:rsidRPr="001D422A" w:rsidP="0039426D" w14:paraId="256D9611" w14:textId="5AD4AD5C">
      <w:pPr>
        <w:pStyle w:val="Heading5"/>
        <w:ind w:left="360" w:firstLine="0"/>
      </w:pPr>
      <w:r>
        <w:t>i.</w:t>
      </w:r>
      <w:r>
        <w:tab/>
      </w:r>
      <w:r w:rsidRPr="001D422A">
        <w:t>Payer-Initiated Process</w:t>
      </w:r>
    </w:p>
    <w:p w:rsidR="005709D0" w:rsidP="0067016B" w14:paraId="0E6C8E61" w14:textId="27B6AEF3">
      <w:pPr>
        <w:pStyle w:val="BodyText-PostHead"/>
        <w:spacing w:before="240"/>
        <w:rPr>
          <w:rFonts w:eastAsia="Calibri"/>
        </w:rPr>
      </w:pPr>
      <w:r>
        <w:rPr>
          <w:rFonts w:eastAsia="Calibri"/>
        </w:rPr>
        <w:t>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w:t>
      </w:r>
      <w:r w:rsidRPr="00AA3126" w:rsidR="00156E6F">
        <w:rPr>
          <w:rFonts w:eastAsia="Calibri"/>
        </w:rPr>
        <w:t xml:space="preserve">. </w:t>
      </w:r>
    </w:p>
    <w:p w:rsidR="003B0C28" w:rsidP="001B7217" w14:paraId="72E0FBBD" w14:textId="6D624520">
      <w:pPr>
        <w:pStyle w:val="BodyText"/>
        <w:rPr>
          <w:rFonts w:eastAsia="Calibri"/>
        </w:rPr>
      </w:pPr>
      <w:r w:rsidRPr="738A46D6">
        <w:rPr>
          <w:rFonts w:eastAsia="Calibri"/>
        </w:rPr>
        <w:t xml:space="preserve">As shown in Table </w:t>
      </w:r>
      <w:r w:rsidRPr="738A46D6" w:rsidR="17A9E07D">
        <w:rPr>
          <w:rFonts w:eastAsia="Calibri"/>
        </w:rPr>
        <w:t>2</w:t>
      </w:r>
      <w:r w:rsidRPr="738A46D6" w:rsidR="045CB432">
        <w:rPr>
          <w:rFonts w:eastAsia="Calibri"/>
        </w:rPr>
        <w:t>4</w:t>
      </w:r>
      <w:r w:rsidRPr="738A46D6">
        <w:rPr>
          <w:rFonts w:eastAsia="Calibri"/>
        </w:rPr>
        <w:t xml:space="preserve">, </w:t>
      </w:r>
      <w:r w:rsidRPr="738A46D6" w:rsidR="1850D29D">
        <w:rPr>
          <w:rFonts w:eastAsia="Calibri"/>
        </w:rPr>
        <w:t xml:space="preserve">based on the </w:t>
      </w:r>
      <w:r w:rsidRPr="738A46D6" w:rsidR="1C020256">
        <w:rPr>
          <w:rFonts w:eastAsia="Calibri"/>
        </w:rPr>
        <w:t>historical number of requests</w:t>
      </w:r>
      <w:r w:rsidRPr="738A46D6" w:rsidR="1850D29D">
        <w:rPr>
          <w:rFonts w:eastAsia="Calibri"/>
        </w:rPr>
        <w:t xml:space="preserve">, we estimate that </w:t>
      </w:r>
      <w:r w:rsidRPr="738A46D6" w:rsidR="656C4DCB">
        <w:rPr>
          <w:rFonts w:eastAsia="Calibri"/>
        </w:rPr>
        <w:t>for the 202</w:t>
      </w:r>
      <w:r w:rsidRPr="738A46D6" w:rsidR="1C020256">
        <w:rPr>
          <w:rFonts w:eastAsia="Calibri"/>
        </w:rPr>
        <w:t>5</w:t>
      </w:r>
      <w:r w:rsidRPr="738A46D6" w:rsidR="1850D29D">
        <w:rPr>
          <w:rFonts w:eastAsia="Calibri"/>
        </w:rPr>
        <w:t xml:space="preserve"> QP performance period</w:t>
      </w:r>
      <w:r w:rsidRPr="738A46D6" w:rsidR="1A52EBF2">
        <w:rPr>
          <w:rFonts w:eastAsia="Calibri"/>
        </w:rPr>
        <w:t>,</w:t>
      </w:r>
      <w:r w:rsidRPr="738A46D6" w:rsidR="1850D29D">
        <w:rPr>
          <w:rFonts w:eastAsia="Calibri"/>
        </w:rPr>
        <w:t xml:space="preserve"> </w:t>
      </w:r>
      <w:r w:rsidRPr="738A46D6" w:rsidR="1A52EBF2">
        <w:rPr>
          <w:rFonts w:eastAsia="Calibri"/>
        </w:rPr>
        <w:t>1</w:t>
      </w:r>
      <w:r w:rsidRPr="738A46D6" w:rsidR="1C020256">
        <w:rPr>
          <w:rFonts w:eastAsia="Calibri"/>
        </w:rPr>
        <w:t>0</w:t>
      </w:r>
      <w:r w:rsidRPr="738A46D6" w:rsidR="1850D29D">
        <w:rPr>
          <w:rFonts w:eastAsia="Calibri"/>
        </w:rPr>
        <w:t xml:space="preserve"> payer-initiated requests for Other Payer Advanced APM determinations will be submitted (</w:t>
      </w:r>
      <w:r w:rsidRPr="738A46D6" w:rsidR="7C672E0E">
        <w:rPr>
          <w:rFonts w:eastAsia="Calibri"/>
        </w:rPr>
        <w:t>2</w:t>
      </w:r>
      <w:r w:rsidRPr="738A46D6" w:rsidR="3586E5DD">
        <w:rPr>
          <w:rFonts w:eastAsia="Calibri"/>
        </w:rPr>
        <w:t xml:space="preserve"> </w:t>
      </w:r>
      <w:r w:rsidRPr="738A46D6" w:rsidR="1850D29D">
        <w:rPr>
          <w:rFonts w:eastAsia="Calibri"/>
        </w:rPr>
        <w:t xml:space="preserve">Medicaid payers, </w:t>
      </w:r>
      <w:r w:rsidRPr="738A46D6" w:rsidR="7129DB67">
        <w:rPr>
          <w:rFonts w:eastAsia="Calibri"/>
        </w:rPr>
        <w:t>6</w:t>
      </w:r>
      <w:r w:rsidRPr="738A46D6" w:rsidR="1850D29D">
        <w:rPr>
          <w:rFonts w:eastAsia="Calibri"/>
        </w:rPr>
        <w:t xml:space="preserve"> Medicare Advantage Organizations, and </w:t>
      </w:r>
      <w:r w:rsidRPr="738A46D6" w:rsidR="7C672E0E">
        <w:rPr>
          <w:rFonts w:eastAsia="Calibri"/>
        </w:rPr>
        <w:t>2</w:t>
      </w:r>
      <w:r w:rsidRPr="738A46D6" w:rsidR="1850D29D">
        <w:rPr>
          <w:rFonts w:eastAsia="Calibri"/>
        </w:rPr>
        <w:t xml:space="preserve"> remaining other payers. </w:t>
      </w:r>
      <w:r w:rsidRPr="738A46D6" w:rsidR="0AF5135B">
        <w:rPr>
          <w:rFonts w:eastAsia="Calibri"/>
        </w:rPr>
        <w:t xml:space="preserve">We estimate it would take 10 hours at </w:t>
      </w:r>
      <w:r w:rsidRPr="738A46D6" w:rsidR="6DF53727">
        <w:rPr>
          <w:rFonts w:eastAsia="Calibri"/>
        </w:rPr>
        <w:t>$106.54</w:t>
      </w:r>
      <w:r w:rsidRPr="738A46D6" w:rsidR="0AF5135B">
        <w:rPr>
          <w:rFonts w:eastAsia="Calibri"/>
        </w:rPr>
        <w:t>/hr for a computer system analyst, resulting in a cost of $1,0</w:t>
      </w:r>
      <w:r w:rsidRPr="738A46D6" w:rsidR="571864AA">
        <w:rPr>
          <w:rFonts w:eastAsia="Calibri"/>
        </w:rPr>
        <w:t>65.40</w:t>
      </w:r>
      <w:r w:rsidRPr="738A46D6" w:rsidR="0AF5135B">
        <w:rPr>
          <w:rFonts w:eastAsia="Calibri"/>
        </w:rPr>
        <w:t xml:space="preserve"> per submission.</w:t>
      </w:r>
      <w:r w:rsidRPr="738A46D6" w:rsidR="1850D29D">
        <w:rPr>
          <w:rFonts w:eastAsia="Calibri"/>
        </w:rPr>
        <w:t xml:space="preserve"> </w:t>
      </w:r>
      <w:r w:rsidRPr="738A46D6" w:rsidR="355C69DC">
        <w:rPr>
          <w:rFonts w:eastAsia="Calibri"/>
        </w:rPr>
        <w:t>In aggregate, w</w:t>
      </w:r>
      <w:r w:rsidRPr="738A46D6" w:rsidR="1850D29D">
        <w:rPr>
          <w:rFonts w:eastAsia="Calibri"/>
        </w:rPr>
        <w:t xml:space="preserve">e estimate an annual burden of </w:t>
      </w:r>
      <w:r w:rsidRPr="738A46D6" w:rsidR="1B74FB8E">
        <w:rPr>
          <w:rFonts w:eastAsia="Calibri"/>
        </w:rPr>
        <w:t>1</w:t>
      </w:r>
      <w:r w:rsidRPr="738A46D6" w:rsidR="571864AA">
        <w:rPr>
          <w:rFonts w:eastAsia="Calibri"/>
        </w:rPr>
        <w:t>0</w:t>
      </w:r>
      <w:r w:rsidRPr="738A46D6" w:rsidR="1B74FB8E">
        <w:rPr>
          <w:rFonts w:eastAsia="Calibri"/>
        </w:rPr>
        <w:t>0</w:t>
      </w:r>
      <w:r w:rsidRPr="738A46D6" w:rsidR="1850D29D">
        <w:rPr>
          <w:rFonts w:eastAsia="Calibri"/>
        </w:rPr>
        <w:t xml:space="preserve"> hours (</w:t>
      </w:r>
      <w:r w:rsidRPr="738A46D6" w:rsidR="7CBD861B">
        <w:rPr>
          <w:rFonts w:eastAsia="Calibri"/>
        </w:rPr>
        <w:t>1</w:t>
      </w:r>
      <w:r w:rsidRPr="738A46D6" w:rsidR="571864AA">
        <w:rPr>
          <w:rFonts w:eastAsia="Calibri"/>
        </w:rPr>
        <w:t>0</w:t>
      </w:r>
      <w:r w:rsidRPr="738A46D6" w:rsidR="1850D29D">
        <w:rPr>
          <w:rFonts w:eastAsia="Calibri"/>
        </w:rPr>
        <w:t xml:space="preserve"> submissions </w:t>
      </w:r>
      <w:r w:rsidR="008E72BB">
        <w:t>×</w:t>
      </w:r>
      <w:r w:rsidRPr="738A46D6" w:rsidR="1850D29D">
        <w:rPr>
          <w:rFonts w:eastAsia="Calibri"/>
        </w:rPr>
        <w:t xml:space="preserve"> 10 hr/submission) and $</w:t>
      </w:r>
      <w:r w:rsidRPr="738A46D6" w:rsidR="571864AA">
        <w:rPr>
          <w:rFonts w:eastAsia="Calibri"/>
        </w:rPr>
        <w:t>10,654</w:t>
      </w:r>
      <w:r w:rsidRPr="738A46D6" w:rsidR="1850D29D">
        <w:rPr>
          <w:rFonts w:eastAsia="Calibri"/>
        </w:rPr>
        <w:t xml:space="preserve"> (</w:t>
      </w:r>
      <w:r w:rsidRPr="738A46D6" w:rsidR="1EA496D2">
        <w:rPr>
          <w:rFonts w:eastAsia="Calibri"/>
        </w:rPr>
        <w:t>1</w:t>
      </w:r>
      <w:r w:rsidRPr="738A46D6" w:rsidR="571864AA">
        <w:rPr>
          <w:rFonts w:eastAsia="Calibri"/>
        </w:rPr>
        <w:t>0</w:t>
      </w:r>
      <w:r w:rsidRPr="738A46D6" w:rsidR="6F7426D3">
        <w:rPr>
          <w:rFonts w:eastAsia="Calibri"/>
        </w:rPr>
        <w:t xml:space="preserve"> submissions</w:t>
      </w:r>
      <w:r w:rsidRPr="738A46D6" w:rsidR="1850D29D">
        <w:rPr>
          <w:rFonts w:eastAsia="Calibri"/>
        </w:rPr>
        <w:t xml:space="preserve"> </w:t>
      </w:r>
      <w:r w:rsidR="008E72BB">
        <w:t>×</w:t>
      </w:r>
      <w:r w:rsidRPr="738A46D6" w:rsidR="1850D29D">
        <w:rPr>
          <w:rFonts w:eastAsia="Calibri"/>
        </w:rPr>
        <w:t xml:space="preserve"> $</w:t>
      </w:r>
      <w:r w:rsidRPr="738A46D6" w:rsidR="6F7426D3">
        <w:rPr>
          <w:rFonts w:eastAsia="Calibri"/>
        </w:rPr>
        <w:t>1,</w:t>
      </w:r>
      <w:r w:rsidRPr="738A46D6" w:rsidR="571864AA">
        <w:rPr>
          <w:rFonts w:eastAsia="Calibri"/>
        </w:rPr>
        <w:t>065.40</w:t>
      </w:r>
      <w:r w:rsidRPr="738A46D6" w:rsidR="1850D29D">
        <w:rPr>
          <w:rFonts w:eastAsia="Calibri"/>
        </w:rPr>
        <w:t>/</w:t>
      </w:r>
      <w:r w:rsidRPr="738A46D6" w:rsidR="6F7426D3">
        <w:rPr>
          <w:rFonts w:eastAsia="Calibri"/>
        </w:rPr>
        <w:t>submission</w:t>
      </w:r>
      <w:r w:rsidRPr="738A46D6" w:rsidR="1850D29D">
        <w:rPr>
          <w:rFonts w:eastAsia="Calibri"/>
        </w:rPr>
        <w:t>)</w:t>
      </w:r>
      <w:r w:rsidRPr="738A46D6" w:rsidR="355C69DC">
        <w:rPr>
          <w:rFonts w:eastAsia="Calibri"/>
        </w:rPr>
        <w:t xml:space="preserve"> for the CY 202</w:t>
      </w:r>
      <w:r w:rsidRPr="738A46D6" w:rsidR="571864AA">
        <w:rPr>
          <w:rFonts w:eastAsia="Calibri"/>
        </w:rPr>
        <w:t>5</w:t>
      </w:r>
      <w:r w:rsidRPr="738A46D6" w:rsidR="355C69DC">
        <w:rPr>
          <w:rFonts w:eastAsia="Calibri"/>
        </w:rPr>
        <w:t xml:space="preserve"> performance period/202</w:t>
      </w:r>
      <w:r w:rsidRPr="738A46D6" w:rsidR="571864AA">
        <w:rPr>
          <w:rFonts w:eastAsia="Calibri"/>
        </w:rPr>
        <w:t>7</w:t>
      </w:r>
      <w:r w:rsidRPr="738A46D6" w:rsidR="6F7426D3">
        <w:rPr>
          <w:rFonts w:eastAsia="Calibri"/>
        </w:rPr>
        <w:t xml:space="preserve"> </w:t>
      </w:r>
      <w:r w:rsidRPr="738A46D6" w:rsidR="355C69DC">
        <w:rPr>
          <w:rFonts w:eastAsia="Calibri"/>
        </w:rPr>
        <w:t>MIPS payment year</w:t>
      </w:r>
      <w:r w:rsidRPr="738A46D6" w:rsidR="4612B1BD">
        <w:rPr>
          <w:rFonts w:eastAsia="Calibri"/>
        </w:rPr>
        <w:t>.</w:t>
      </w:r>
    </w:p>
    <w:p w:rsidR="0088351C" w:rsidRPr="009B39F0" w:rsidP="00361BB4" w14:paraId="3F33F031" w14:textId="7E0B7DB2">
      <w:pPr>
        <w:pStyle w:val="ExhibitTitle"/>
        <w:rPr>
          <w:b w:val="0"/>
          <w:bCs/>
        </w:rPr>
      </w:pPr>
      <w:bookmarkStart w:id="189" w:name="_Hlk495401649"/>
      <w:r w:rsidRPr="009B39F0">
        <w:rPr>
          <w:b w:val="0"/>
          <w:bCs/>
        </w:rPr>
        <w:t>T</w:t>
      </w:r>
      <w:r w:rsidRPr="009B39F0" w:rsidR="181119AE">
        <w:rPr>
          <w:b w:val="0"/>
          <w:bCs/>
        </w:rPr>
        <w:t>able</w:t>
      </w:r>
      <w:r w:rsidRPr="009B39F0">
        <w:rPr>
          <w:b w:val="0"/>
          <w:bCs/>
        </w:rPr>
        <w:t xml:space="preserve"> </w:t>
      </w:r>
      <w:r w:rsidRPr="009B39F0" w:rsidR="33DFF977">
        <w:rPr>
          <w:b w:val="0"/>
          <w:bCs/>
        </w:rPr>
        <w:t>2</w:t>
      </w:r>
      <w:r w:rsidRPr="009B39F0" w:rsidR="55721E80">
        <w:rPr>
          <w:b w:val="0"/>
          <w:bCs/>
        </w:rPr>
        <w:t>4</w:t>
      </w:r>
      <w:r w:rsidRPr="009B39F0">
        <w:rPr>
          <w:b w:val="0"/>
          <w:bCs/>
        </w:rPr>
        <w:t xml:space="preserve">: </w:t>
      </w:r>
      <w:r w:rsidRPr="009B39F0" w:rsidR="6BD0B9AF">
        <w:rPr>
          <w:b w:val="0"/>
          <w:bCs/>
        </w:rPr>
        <w:t xml:space="preserve">Estimated </w:t>
      </w:r>
      <w:r w:rsidRPr="009B39F0">
        <w:rPr>
          <w:b w:val="0"/>
          <w:bCs/>
        </w:rPr>
        <w:t>Burden for Other Payer Advanced APM Identification Determinations: Payer-Initiated Process</w:t>
      </w:r>
      <w:bookmarkEnd w:id="189"/>
    </w:p>
    <w:tbl>
      <w:tblPr>
        <w:tblDescription w:val="Table 24: the estimated burden for other payer advanced A P M determinations under the payer initiated process."/>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4"/>
        <w:gridCol w:w="1951"/>
      </w:tblGrid>
      <w:tr w14:paraId="3E8FE68D" w14:textId="77777777" w:rsidTr="00C017CD">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
          <w:tblHeader/>
        </w:trPr>
        <w:tc>
          <w:tcPr>
            <w:tcW w:w="7314" w:type="dxa"/>
            <w:shd w:val="clear" w:color="auto" w:fill="auto"/>
            <w:hideMark/>
          </w:tcPr>
          <w:p w:rsidR="0088351C" w:rsidRPr="0088351C" w:rsidP="00C017CD" w14:paraId="4692672F" w14:textId="51C2083A">
            <w:pPr>
              <w:pStyle w:val="Table11-ColumnHeading"/>
            </w:pPr>
            <w:r w:rsidRPr="0088351C">
              <w:t>Burden and Respondent Descriptions</w:t>
            </w:r>
          </w:p>
        </w:tc>
        <w:tc>
          <w:tcPr>
            <w:tcW w:w="1951" w:type="dxa"/>
            <w:shd w:val="clear" w:color="auto" w:fill="auto"/>
            <w:hideMark/>
          </w:tcPr>
          <w:p w:rsidR="0088351C" w:rsidRPr="00663B38" w:rsidP="00C017CD" w14:paraId="798D58AD" w14:textId="77777777">
            <w:pPr>
              <w:pStyle w:val="Table11-ColumnHeading"/>
            </w:pPr>
            <w:r w:rsidRPr="00663B38">
              <w:t>Burden Estimate</w:t>
            </w:r>
          </w:p>
        </w:tc>
      </w:tr>
      <w:tr w14:paraId="0FE28ACE" w14:textId="77777777" w:rsidTr="00C017CD">
        <w:tblPrEx>
          <w:tblW w:w="9265" w:type="dxa"/>
          <w:tblLook w:val="04A0"/>
        </w:tblPrEx>
        <w:trPr>
          <w:cantSplit/>
          <w:trHeight w:val="20"/>
        </w:trPr>
        <w:tc>
          <w:tcPr>
            <w:tcW w:w="7314" w:type="dxa"/>
            <w:shd w:val="clear" w:color="auto" w:fill="auto"/>
            <w:hideMark/>
          </w:tcPr>
          <w:p w:rsidR="007126F1" w:rsidRPr="00663B38" w:rsidP="00C017CD" w14:paraId="318C72E2" w14:textId="12189E06">
            <w:pPr>
              <w:pStyle w:val="Table11Basic"/>
            </w:pPr>
            <w:r w:rsidRPr="738A46D6">
              <w:t xml:space="preserve">Total </w:t>
            </w:r>
            <w:r w:rsidRPr="738A46D6" w:rsidR="10EF3240">
              <w:t xml:space="preserve"># of </w:t>
            </w:r>
            <w:r w:rsidRPr="738A46D6" w:rsidR="65615AE7">
              <w:t>O</w:t>
            </w:r>
            <w:r w:rsidRPr="738A46D6" w:rsidR="10EF3240">
              <w:t xml:space="preserve">ther </w:t>
            </w:r>
            <w:r w:rsidRPr="738A46D6" w:rsidR="3C0C06D4">
              <w:t>P</w:t>
            </w:r>
            <w:r w:rsidRPr="738A46D6" w:rsidR="10EF3240">
              <w:t xml:space="preserve">ayer </w:t>
            </w:r>
            <w:r w:rsidRPr="738A46D6" w:rsidR="378F5476">
              <w:t>P</w:t>
            </w:r>
            <w:r w:rsidRPr="738A46D6" w:rsidR="10EF3240">
              <w:t xml:space="preserve">ayment </w:t>
            </w:r>
            <w:r w:rsidRPr="738A46D6" w:rsidR="1A117592">
              <w:t>A</w:t>
            </w:r>
            <w:r w:rsidRPr="738A46D6" w:rsidR="10EF3240">
              <w:t>rrangements (</w:t>
            </w:r>
            <w:r w:rsidR="00266B06">
              <w:t>2</w:t>
            </w:r>
            <w:r w:rsidRPr="738A46D6" w:rsidR="10EF3240">
              <w:t xml:space="preserve">Medicaid, </w:t>
            </w:r>
            <w:r w:rsidRPr="738A46D6" w:rsidR="09FCFDC6">
              <w:t>6</w:t>
            </w:r>
            <w:r w:rsidRPr="738A46D6" w:rsidR="10EF3240">
              <w:t xml:space="preserve"> Medicare Advantage Organizations, </w:t>
            </w:r>
            <w:r w:rsidR="00266B06">
              <w:t xml:space="preserve">2 </w:t>
            </w:r>
            <w:r w:rsidRPr="738A46D6" w:rsidR="372B040A">
              <w:t>R</w:t>
            </w:r>
            <w:r w:rsidRPr="738A46D6" w:rsidR="10EF3240">
              <w:t xml:space="preserve">emaining </w:t>
            </w:r>
            <w:r w:rsidRPr="738A46D6" w:rsidR="346C1CAC">
              <w:t>O</w:t>
            </w:r>
            <w:r w:rsidRPr="738A46D6" w:rsidR="10EF3240">
              <w:t xml:space="preserve">ther </w:t>
            </w:r>
            <w:r w:rsidRPr="738A46D6" w:rsidR="690DA02C">
              <w:t>P</w:t>
            </w:r>
            <w:r w:rsidRPr="738A46D6" w:rsidR="10EF3240">
              <w:t>ayers) (a)</w:t>
            </w:r>
          </w:p>
        </w:tc>
        <w:tc>
          <w:tcPr>
            <w:tcW w:w="1951" w:type="dxa"/>
            <w:shd w:val="clear" w:color="auto" w:fill="auto"/>
            <w:hideMark/>
          </w:tcPr>
          <w:p w:rsidR="007126F1" w:rsidRPr="00663B38" w:rsidP="00361DB4" w14:paraId="742022C3" w14:textId="555F5D76">
            <w:pPr>
              <w:pStyle w:val="Table11Basic"/>
              <w:jc w:val="center"/>
            </w:pPr>
            <w:r>
              <w:t>1</w:t>
            </w:r>
            <w:r w:rsidR="00FB2C15">
              <w:t>0</w:t>
            </w:r>
          </w:p>
        </w:tc>
      </w:tr>
      <w:tr w14:paraId="6207A667" w14:textId="77777777" w:rsidTr="00C017CD">
        <w:tblPrEx>
          <w:tblW w:w="9265" w:type="dxa"/>
          <w:tblLook w:val="04A0"/>
        </w:tblPrEx>
        <w:trPr>
          <w:cantSplit/>
          <w:trHeight w:val="20"/>
        </w:trPr>
        <w:tc>
          <w:tcPr>
            <w:tcW w:w="7314" w:type="dxa"/>
            <w:shd w:val="clear" w:color="auto" w:fill="auto"/>
            <w:hideMark/>
          </w:tcPr>
          <w:p w:rsidR="007126F1" w:rsidRPr="00663B38" w:rsidP="00C017CD" w14:paraId="00F3ACF9" w14:textId="68C86168">
            <w:pPr>
              <w:pStyle w:val="Table11Basic"/>
            </w:pPr>
            <w:r w:rsidRPr="738A46D6">
              <w:t xml:space="preserve">Total Annual Hours Per </w:t>
            </w:r>
            <w:r w:rsidRPr="738A46D6" w:rsidR="140FFBB4">
              <w:t>O</w:t>
            </w:r>
            <w:r w:rsidRPr="738A46D6">
              <w:t xml:space="preserve">ther </w:t>
            </w:r>
            <w:r w:rsidRPr="738A46D6" w:rsidR="4549E6A3">
              <w:t>P</w:t>
            </w:r>
            <w:r w:rsidRPr="738A46D6">
              <w:t xml:space="preserve">ayer </w:t>
            </w:r>
            <w:r w:rsidRPr="738A46D6" w:rsidR="12484CB3">
              <w:t>P</w:t>
            </w:r>
            <w:r w:rsidRPr="738A46D6">
              <w:t xml:space="preserve">ayment </w:t>
            </w:r>
            <w:r w:rsidRPr="738A46D6" w:rsidR="7F5454A9">
              <w:t>A</w:t>
            </w:r>
            <w:r w:rsidRPr="738A46D6">
              <w:t>rrangement (b)</w:t>
            </w:r>
          </w:p>
        </w:tc>
        <w:tc>
          <w:tcPr>
            <w:tcW w:w="1951" w:type="dxa"/>
            <w:shd w:val="clear" w:color="auto" w:fill="auto"/>
            <w:hideMark/>
          </w:tcPr>
          <w:p w:rsidR="007126F1" w:rsidRPr="00663B38" w:rsidP="00361DB4" w14:paraId="1F3F7F69" w14:textId="16DAAA46">
            <w:pPr>
              <w:pStyle w:val="Table11Basic"/>
              <w:jc w:val="center"/>
            </w:pPr>
            <w:r w:rsidRPr="003428D4">
              <w:t>10</w:t>
            </w:r>
          </w:p>
        </w:tc>
      </w:tr>
      <w:tr w14:paraId="7DD61484" w14:textId="77777777" w:rsidTr="00C017CD">
        <w:tblPrEx>
          <w:tblW w:w="9265" w:type="dxa"/>
          <w:tblLook w:val="04A0"/>
        </w:tblPrEx>
        <w:trPr>
          <w:cantSplit/>
          <w:trHeight w:val="20"/>
        </w:trPr>
        <w:tc>
          <w:tcPr>
            <w:tcW w:w="7314" w:type="dxa"/>
            <w:shd w:val="clear" w:color="auto" w:fill="E7E6E6" w:themeFill="background2"/>
            <w:hideMark/>
          </w:tcPr>
          <w:p w:rsidR="007126F1" w:rsidRPr="00AA3126" w:rsidP="00C017CD" w14:paraId="5A8798CB" w14:textId="2D38FFC3">
            <w:pPr>
              <w:pStyle w:val="Table11Basic"/>
              <w:rPr>
                <w:b/>
              </w:rPr>
            </w:pPr>
            <w:r w:rsidRPr="00AA3126">
              <w:rPr>
                <w:b/>
              </w:rPr>
              <w:t>Total Annual Hours (c) = (a)</w:t>
            </w:r>
            <w:r w:rsidR="00D96441">
              <w:rPr>
                <w:b/>
              </w:rPr>
              <w:t xml:space="preserve"> </w:t>
            </w:r>
            <w:r w:rsidR="00DA7E46">
              <w:rPr>
                <w:b/>
              </w:rPr>
              <w:t>[</w:t>
            </w:r>
            <w:r w:rsidRPr="008E72BB" w:rsidR="008E72BB">
              <w:rPr>
                <w:b/>
                <w:bCs/>
              </w:rPr>
              <w:t>×</w:t>
            </w:r>
            <w:r w:rsidR="00DA7E46">
              <w:rPr>
                <w:b/>
              </w:rPr>
              <w:t>]</w:t>
            </w:r>
            <w:r w:rsidRPr="00533688" w:rsidR="00533688">
              <w:rPr>
                <w:b/>
              </w:rPr>
              <w:t xml:space="preserve"> </w:t>
            </w:r>
            <w:r w:rsidRPr="00AA3126">
              <w:rPr>
                <w:b/>
              </w:rPr>
              <w:t>(b)</w:t>
            </w:r>
          </w:p>
        </w:tc>
        <w:tc>
          <w:tcPr>
            <w:tcW w:w="1951" w:type="dxa"/>
            <w:shd w:val="clear" w:color="auto" w:fill="E7E6E6" w:themeFill="background2"/>
            <w:hideMark/>
          </w:tcPr>
          <w:p w:rsidR="007126F1" w:rsidRPr="00AA3126" w:rsidP="00361DB4" w14:paraId="1EFD7DF6" w14:textId="6A4DB60F">
            <w:pPr>
              <w:pStyle w:val="Table11Basic"/>
              <w:jc w:val="center"/>
              <w:rPr>
                <w:b/>
              </w:rPr>
            </w:pPr>
            <w:r>
              <w:rPr>
                <w:b/>
              </w:rPr>
              <w:t>1</w:t>
            </w:r>
            <w:r w:rsidR="00FB2C15">
              <w:rPr>
                <w:b/>
              </w:rPr>
              <w:t>00</w:t>
            </w:r>
          </w:p>
        </w:tc>
      </w:tr>
      <w:tr w14:paraId="19B924BF" w14:textId="77777777" w:rsidTr="00C017CD">
        <w:tblPrEx>
          <w:tblW w:w="9265" w:type="dxa"/>
          <w:tblLook w:val="04A0"/>
        </w:tblPrEx>
        <w:trPr>
          <w:cantSplit/>
          <w:trHeight w:val="20"/>
        </w:trPr>
        <w:tc>
          <w:tcPr>
            <w:tcW w:w="7314" w:type="dxa"/>
            <w:shd w:val="clear" w:color="auto" w:fill="auto"/>
            <w:hideMark/>
          </w:tcPr>
          <w:p w:rsidR="00997181" w:rsidRPr="00663B38" w:rsidP="00C017CD" w14:paraId="18DDF71A" w14:textId="37060A5E">
            <w:pPr>
              <w:pStyle w:val="Table11Basic"/>
            </w:pPr>
            <w:r w:rsidRPr="738A46D6">
              <w:t>C</w:t>
            </w:r>
            <w:r w:rsidRPr="738A46D6" w:rsidR="0F0DCE61">
              <w:t>o</w:t>
            </w:r>
            <w:r w:rsidRPr="738A46D6" w:rsidR="3002C865">
              <w:t xml:space="preserve">st per Respondent at Labor </w:t>
            </w:r>
            <w:r w:rsidRPr="738A46D6" w:rsidR="24059C4C">
              <w:t>R</w:t>
            </w:r>
            <w:r w:rsidRPr="738A46D6" w:rsidR="3002C865">
              <w:t xml:space="preserve">ate for </w:t>
            </w:r>
            <w:r w:rsidRPr="738A46D6" w:rsidR="775C79A7">
              <w:t>C</w:t>
            </w:r>
            <w:r w:rsidRPr="738A46D6" w:rsidR="3002C865">
              <w:t xml:space="preserve">omputer </w:t>
            </w:r>
            <w:r w:rsidRPr="738A46D6" w:rsidR="21A9BCFF">
              <w:t>S</w:t>
            </w:r>
            <w:r w:rsidRPr="738A46D6" w:rsidR="3002C865">
              <w:t xml:space="preserve">ystems </w:t>
            </w:r>
            <w:r w:rsidRPr="738A46D6" w:rsidR="4949DFA3">
              <w:t>A</w:t>
            </w:r>
            <w:r w:rsidRPr="738A46D6" w:rsidR="3002C865">
              <w:t xml:space="preserve">nalyst </w:t>
            </w:r>
            <w:r w:rsidR="00A87331">
              <w:t>at</w:t>
            </w:r>
            <w:r w:rsidRPr="738A46D6" w:rsidR="3002C865">
              <w:t xml:space="preserve"> </w:t>
            </w:r>
            <w:r w:rsidRPr="738A46D6" w:rsidR="6DF53727">
              <w:t>$106.54</w:t>
            </w:r>
            <w:r w:rsidRPr="738A46D6" w:rsidR="3002C865">
              <w:t>/hr (d) = (b) [</w:t>
            </w:r>
            <w:r w:rsidR="008E72BB">
              <w:t>×</w:t>
            </w:r>
            <w:r w:rsidRPr="738A46D6" w:rsidR="3002C865">
              <w:t xml:space="preserve">] </w:t>
            </w:r>
            <w:r w:rsidRPr="738A46D6" w:rsidR="6DF53727">
              <w:t>$106.54</w:t>
            </w:r>
            <w:r w:rsidRPr="738A46D6" w:rsidR="3002C865">
              <w:t>/hr</w:t>
            </w:r>
          </w:p>
        </w:tc>
        <w:tc>
          <w:tcPr>
            <w:tcW w:w="1951" w:type="dxa"/>
            <w:shd w:val="clear" w:color="auto" w:fill="auto"/>
            <w:hideMark/>
          </w:tcPr>
          <w:p w:rsidR="00997181" w:rsidRPr="00663B38" w:rsidP="00361DB4" w14:paraId="165D70B2" w14:textId="17D6E727">
            <w:pPr>
              <w:pStyle w:val="Table11Basic"/>
              <w:jc w:val="center"/>
            </w:pPr>
            <w:r w:rsidRPr="00732012">
              <w:t>$</w:t>
            </w:r>
            <w:r w:rsidR="000C2819">
              <w:t>1,0</w:t>
            </w:r>
            <w:r w:rsidR="00FB2C15">
              <w:t>65.40</w:t>
            </w:r>
          </w:p>
        </w:tc>
      </w:tr>
      <w:tr w14:paraId="740CD410" w14:textId="77777777" w:rsidTr="00C017CD">
        <w:tblPrEx>
          <w:tblW w:w="9265" w:type="dxa"/>
          <w:tblLook w:val="04A0"/>
        </w:tblPrEx>
        <w:trPr>
          <w:cantSplit/>
          <w:trHeight w:val="20"/>
        </w:trPr>
        <w:tc>
          <w:tcPr>
            <w:tcW w:w="7314" w:type="dxa"/>
            <w:shd w:val="clear" w:color="auto" w:fill="E7E6E6" w:themeFill="background2"/>
            <w:hideMark/>
          </w:tcPr>
          <w:p w:rsidR="007126F1" w:rsidRPr="00AA3126" w:rsidP="00C017CD" w14:paraId="6EC3832F" w14:textId="66CB0F35">
            <w:pPr>
              <w:pStyle w:val="Table11Basic"/>
              <w:rPr>
                <w:b/>
              </w:rPr>
            </w:pPr>
            <w:r w:rsidRPr="00AA3126">
              <w:rPr>
                <w:b/>
              </w:rPr>
              <w:t>Total Annual Cost (e) = (</w:t>
            </w:r>
            <w:r w:rsidR="00997181">
              <w:rPr>
                <w:b/>
              </w:rPr>
              <w:t>a</w:t>
            </w:r>
            <w:r w:rsidRPr="00AA3126">
              <w:rPr>
                <w:b/>
              </w:rPr>
              <w:t>)</w:t>
            </w:r>
            <w:r w:rsidRPr="00533688" w:rsidR="00533688">
              <w:rPr>
                <w:b/>
              </w:rPr>
              <w:t xml:space="preserve"> </w:t>
            </w:r>
            <w:r w:rsidR="00DA7E46">
              <w:rPr>
                <w:b/>
              </w:rPr>
              <w:t>[</w:t>
            </w:r>
            <w:r w:rsidRPr="008E72BB" w:rsidR="008E72BB">
              <w:rPr>
                <w:b/>
                <w:bCs/>
              </w:rPr>
              <w:t>×</w:t>
            </w:r>
            <w:r w:rsidR="00DA7E46">
              <w:rPr>
                <w:b/>
              </w:rPr>
              <w:t>]</w:t>
            </w:r>
            <w:r w:rsidRPr="00AA3126" w:rsidR="00533688">
              <w:rPr>
                <w:b/>
              </w:rPr>
              <w:t xml:space="preserve"> </w:t>
            </w:r>
            <w:r w:rsidRPr="00AA3126">
              <w:rPr>
                <w:b/>
              </w:rPr>
              <w:t>(d)</w:t>
            </w:r>
          </w:p>
        </w:tc>
        <w:tc>
          <w:tcPr>
            <w:tcW w:w="1951" w:type="dxa"/>
            <w:shd w:val="clear" w:color="auto" w:fill="E7E6E6" w:themeFill="background2"/>
            <w:hideMark/>
          </w:tcPr>
          <w:p w:rsidR="007126F1" w:rsidRPr="00AA3126" w:rsidP="00361DB4" w14:paraId="5D8C8D12" w14:textId="6C6E16BB">
            <w:pPr>
              <w:pStyle w:val="Table11Basic"/>
              <w:jc w:val="center"/>
              <w:rPr>
                <w:b/>
              </w:rPr>
            </w:pPr>
            <w:r w:rsidRPr="00AA3126">
              <w:rPr>
                <w:b/>
              </w:rPr>
              <w:t>$</w:t>
            </w:r>
            <w:r w:rsidR="00FB2C15">
              <w:rPr>
                <w:b/>
              </w:rPr>
              <w:t>10,654</w:t>
            </w:r>
          </w:p>
        </w:tc>
      </w:tr>
    </w:tbl>
    <w:p w:rsidR="0088351C" w:rsidRPr="001D422A" w:rsidP="00E03843" w14:paraId="2A368AB5" w14:textId="7FA023D6">
      <w:pPr>
        <w:pStyle w:val="Heading5"/>
      </w:pPr>
      <w:r>
        <w:t>ii.</w:t>
      </w:r>
      <w:r>
        <w:tab/>
      </w:r>
      <w:r w:rsidRPr="738A46D6" w:rsidR="7CAA3E1D">
        <w:t>Eligible Clinician</w:t>
      </w:r>
      <w:r w:rsidRPr="738A46D6" w:rsidR="7C766C63">
        <w:t>-</w:t>
      </w:r>
      <w:r w:rsidRPr="738A46D6" w:rsidR="7CAA3E1D">
        <w:t>Initiated Process</w:t>
      </w:r>
    </w:p>
    <w:p w:rsidR="007126F1" w:rsidP="0067016B" w14:paraId="1EA7BE52" w14:textId="28F6D976">
      <w:pPr>
        <w:pStyle w:val="BodyText-PostHead"/>
        <w:spacing w:before="240"/>
        <w:rPr>
          <w:rFonts w:eastAsia="Calibri"/>
        </w:rPr>
      </w:pPr>
      <w:r w:rsidRPr="738A46D6">
        <w:rPr>
          <w:rFonts w:eastAsia="Calibri"/>
        </w:rPr>
        <w:t>U</w:t>
      </w:r>
      <w:r w:rsidRPr="738A46D6" w:rsidR="10EF3240">
        <w:rPr>
          <w:rFonts w:eastAsia="Calibri"/>
        </w:rPr>
        <w:t>nder the Eligible Clinician</w:t>
      </w:r>
      <w:r w:rsidRPr="738A46D6" w:rsidR="6D848D4B">
        <w:rPr>
          <w:rFonts w:eastAsia="Calibri"/>
        </w:rPr>
        <w:t>-</w:t>
      </w:r>
      <w:r w:rsidRPr="738A46D6" w:rsidR="10EF3240">
        <w:rPr>
          <w:rFonts w:eastAsia="Calibri"/>
        </w:rPr>
        <w:t>Initiated Process, APM Entities and eligible clinicians participating in other payer arrangements have an opportunity to request that we determine for the year whether those other payer arrangements are Other Payer Advanced APMs. Eligible clinicians or APM Entities seeking to submit payment arrangement information for Other Payer Advanced APM determination through the Eligible Clinician-Initiated process are required to complete an Eligible Clinician</w:t>
      </w:r>
      <w:r w:rsidRPr="738A46D6" w:rsidR="6C733DDD">
        <w:rPr>
          <w:rFonts w:eastAsia="Calibri"/>
        </w:rPr>
        <w:t>-</w:t>
      </w:r>
      <w:r w:rsidRPr="738A46D6" w:rsidR="10EF3240">
        <w:rPr>
          <w:rFonts w:eastAsia="Calibri"/>
        </w:rPr>
        <w:t>Initiated Submission Form</w:t>
      </w:r>
      <w:r w:rsidRPr="738A46D6" w:rsidR="00156E6F">
        <w:rPr>
          <w:rFonts w:eastAsia="Calibri"/>
        </w:rPr>
        <w:t xml:space="preserve">. </w:t>
      </w:r>
    </w:p>
    <w:p w:rsidR="00A40E72" w:rsidRPr="0088351C" w:rsidP="001B7217" w14:paraId="40489B06" w14:textId="7DC8991A">
      <w:pPr>
        <w:pStyle w:val="BodyText"/>
      </w:pPr>
      <w:r>
        <w:t xml:space="preserve">As shown in Table </w:t>
      </w:r>
      <w:r w:rsidR="716CD794">
        <w:t>2</w:t>
      </w:r>
      <w:r w:rsidR="5410188E">
        <w:t>5</w:t>
      </w:r>
      <w:r w:rsidR="7CAA3E1D">
        <w:t>, we estimate 1</w:t>
      </w:r>
      <w:r w:rsidR="571864AA">
        <w:t>0</w:t>
      </w:r>
      <w:r w:rsidR="7CAA3E1D">
        <w:t xml:space="preserve"> other payer arrangements will be submitted by APM Entities and eligible Other Payer Advanced APM determinations</w:t>
      </w:r>
      <w:r w:rsidR="70B3CF39">
        <w:t xml:space="preserve"> in the CY 202</w:t>
      </w:r>
      <w:r w:rsidR="571864AA">
        <w:t>5</w:t>
      </w:r>
      <w:r w:rsidR="70B3CF39">
        <w:t xml:space="preserve"> performance period/202</w:t>
      </w:r>
      <w:r w:rsidR="571864AA">
        <w:t>7</w:t>
      </w:r>
      <w:r w:rsidR="72B6080A">
        <w:t xml:space="preserve"> MIPS</w:t>
      </w:r>
      <w:r w:rsidR="70B3CF39">
        <w:t xml:space="preserve"> payment year</w:t>
      </w:r>
      <w:r w:rsidR="7CAA3E1D">
        <w:t xml:space="preserve">. We estimate it would take 10 hours at </w:t>
      </w:r>
      <w:r w:rsidR="6DF53727">
        <w:t>$106.54</w:t>
      </w:r>
      <w:r w:rsidR="7CAA3E1D">
        <w:t>/hr for a computer system analyst</w:t>
      </w:r>
      <w:r w:rsidR="73488A90">
        <w:t>, resulting in a cost of $1,0</w:t>
      </w:r>
      <w:r w:rsidR="571864AA">
        <w:t>65.40</w:t>
      </w:r>
      <w:r w:rsidR="7CAA3E1D">
        <w:t xml:space="preserve"> p</w:t>
      </w:r>
      <w:r w:rsidR="73488A90">
        <w:t xml:space="preserve">er </w:t>
      </w:r>
      <w:r w:rsidR="7CAA3E1D">
        <w:t>submission. In aggregate</w:t>
      </w:r>
      <w:r w:rsidR="09E1AB4F">
        <w:t>,</w:t>
      </w:r>
      <w:r w:rsidR="7CAA3E1D">
        <w:t xml:space="preserve"> we estimate an annual burden of 1</w:t>
      </w:r>
      <w:r w:rsidR="571864AA">
        <w:t>0</w:t>
      </w:r>
      <w:r w:rsidR="3A2D7868">
        <w:t>0</w:t>
      </w:r>
      <w:r w:rsidR="7CAA3E1D">
        <w:t xml:space="preserve"> hours (1</w:t>
      </w:r>
      <w:r w:rsidR="571864AA">
        <w:t>0</w:t>
      </w:r>
      <w:r w:rsidR="3A2D7868">
        <w:t xml:space="preserve"> </w:t>
      </w:r>
      <w:r w:rsidR="7CAA3E1D">
        <w:t xml:space="preserve">submissions </w:t>
      </w:r>
      <w:r w:rsidR="008E72BB">
        <w:t>×</w:t>
      </w:r>
      <w:r w:rsidR="7CAA3E1D">
        <w:t xml:space="preserve"> 10 hr/submission) at a cost of </w:t>
      </w:r>
      <w:r w:rsidR="39E894FD">
        <w:t>$</w:t>
      </w:r>
      <w:r w:rsidR="571864AA">
        <w:t>10,654</w:t>
      </w:r>
      <w:r w:rsidR="39E894FD">
        <w:t xml:space="preserve"> (1</w:t>
      </w:r>
      <w:r w:rsidR="571864AA">
        <w:t>0</w:t>
      </w:r>
      <w:r w:rsidR="39E894FD">
        <w:t xml:space="preserve"> submissions </w:t>
      </w:r>
      <w:r w:rsidR="008E72BB">
        <w:t>×</w:t>
      </w:r>
      <w:r w:rsidR="39E894FD">
        <w:t xml:space="preserve"> $1,0</w:t>
      </w:r>
      <w:r w:rsidR="571864AA">
        <w:t>65.40</w:t>
      </w:r>
      <w:r w:rsidR="39E894FD">
        <w:t>/submission) for the CY 202</w:t>
      </w:r>
      <w:r w:rsidR="571864AA">
        <w:t>5</w:t>
      </w:r>
      <w:r w:rsidR="39E894FD">
        <w:t xml:space="preserve"> performance period/202</w:t>
      </w:r>
      <w:r w:rsidR="571864AA">
        <w:t>7</w:t>
      </w:r>
      <w:r w:rsidR="39E894FD">
        <w:t xml:space="preserve"> MIPS payment year.</w:t>
      </w:r>
    </w:p>
    <w:p w:rsidR="001D422A" w:rsidRPr="009B39F0" w:rsidP="00361BB4" w14:paraId="64930FF5" w14:textId="03908178">
      <w:pPr>
        <w:pStyle w:val="ExhibitTitle"/>
        <w:rPr>
          <w:b w:val="0"/>
          <w:bCs/>
        </w:rPr>
      </w:pPr>
      <w:bookmarkStart w:id="190" w:name="_Hlk495401670"/>
      <w:r w:rsidRPr="009B39F0">
        <w:rPr>
          <w:b w:val="0"/>
          <w:bCs/>
        </w:rPr>
        <w:t>T</w:t>
      </w:r>
      <w:r w:rsidRPr="009B39F0" w:rsidR="3D6405E9">
        <w:rPr>
          <w:b w:val="0"/>
          <w:bCs/>
        </w:rPr>
        <w:t>able</w:t>
      </w:r>
      <w:r w:rsidRPr="009B39F0" w:rsidR="3E1FD102">
        <w:rPr>
          <w:b w:val="0"/>
          <w:bCs/>
        </w:rPr>
        <w:t xml:space="preserve"> </w:t>
      </w:r>
      <w:r w:rsidRPr="009B39F0" w:rsidR="7019A907">
        <w:rPr>
          <w:b w:val="0"/>
          <w:bCs/>
        </w:rPr>
        <w:t>2</w:t>
      </w:r>
      <w:r w:rsidRPr="009B39F0" w:rsidR="75DAF6F7">
        <w:rPr>
          <w:b w:val="0"/>
          <w:bCs/>
        </w:rPr>
        <w:t>5</w:t>
      </w:r>
      <w:r w:rsidRPr="009B39F0" w:rsidR="6BC5CAD9">
        <w:rPr>
          <w:b w:val="0"/>
          <w:bCs/>
        </w:rPr>
        <w:t>: Estimated</w:t>
      </w:r>
      <w:r w:rsidRPr="009B39F0">
        <w:rPr>
          <w:b w:val="0"/>
          <w:bCs/>
        </w:rPr>
        <w:t xml:space="preserve"> </w:t>
      </w:r>
      <w:r w:rsidRPr="009B39F0" w:rsidR="6BC5CAD9">
        <w:rPr>
          <w:b w:val="0"/>
          <w:bCs/>
        </w:rPr>
        <w:t xml:space="preserve">Burden </w:t>
      </w:r>
      <w:r w:rsidRPr="009B39F0">
        <w:rPr>
          <w:b w:val="0"/>
          <w:bCs/>
        </w:rPr>
        <w:t xml:space="preserve">for Other Payer Advanced APM </w:t>
      </w:r>
      <w:r w:rsidRPr="009B39F0" w:rsidR="104F5FED">
        <w:rPr>
          <w:b w:val="0"/>
          <w:bCs/>
        </w:rPr>
        <w:t xml:space="preserve">Identification </w:t>
      </w:r>
      <w:r w:rsidRPr="009B39F0" w:rsidR="00201B11">
        <w:rPr>
          <w:b w:val="0"/>
          <w:bCs/>
        </w:rPr>
        <w:t>D</w:t>
      </w:r>
      <w:r w:rsidRPr="009B39F0">
        <w:rPr>
          <w:b w:val="0"/>
          <w:bCs/>
        </w:rPr>
        <w:t>eterminations:</w:t>
      </w:r>
      <w:r w:rsidRPr="009B39F0" w:rsidR="00201B11">
        <w:rPr>
          <w:b w:val="0"/>
          <w:bCs/>
        </w:rPr>
        <w:t xml:space="preserve"> </w:t>
      </w:r>
      <w:r w:rsidRPr="009B39F0">
        <w:rPr>
          <w:b w:val="0"/>
          <w:bCs/>
        </w:rPr>
        <w:t>Eligible Clinician</w:t>
      </w:r>
      <w:r w:rsidRPr="009B39F0" w:rsidR="02669FAA">
        <w:rPr>
          <w:b w:val="0"/>
          <w:bCs/>
        </w:rPr>
        <w:t>-</w:t>
      </w:r>
      <w:r w:rsidRPr="009B39F0">
        <w:rPr>
          <w:b w:val="0"/>
          <w:bCs/>
        </w:rPr>
        <w:t>Initiated Process</w:t>
      </w:r>
    </w:p>
    <w:tbl>
      <w:tblPr>
        <w:tblDescription w:val="Table 25: the estimated burden for advanced A P M determinations under the eligible-clinician initiated process."/>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5"/>
        <w:gridCol w:w="1800"/>
      </w:tblGrid>
      <w:tr w14:paraId="7476D4D3" w14:textId="77777777" w:rsidTr="006517B1">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
          <w:tblHeader/>
        </w:trPr>
        <w:tc>
          <w:tcPr>
            <w:tcW w:w="7465" w:type="dxa"/>
            <w:shd w:val="clear" w:color="auto" w:fill="auto"/>
            <w:hideMark/>
          </w:tcPr>
          <w:bookmarkEnd w:id="190"/>
          <w:p w:rsidR="0088351C" w:rsidRPr="0047482B" w:rsidP="00C017CD" w14:paraId="2008153C" w14:textId="6677A555">
            <w:pPr>
              <w:pStyle w:val="Table11-ColumnHeading"/>
            </w:pPr>
            <w:r w:rsidRPr="00B05B18">
              <w:t>Burden and Respondent Descriptions</w:t>
            </w:r>
          </w:p>
        </w:tc>
        <w:tc>
          <w:tcPr>
            <w:tcW w:w="1800" w:type="dxa"/>
            <w:shd w:val="clear" w:color="auto" w:fill="auto"/>
            <w:hideMark/>
          </w:tcPr>
          <w:p w:rsidR="0088351C" w:rsidRPr="0047482B" w:rsidP="00C017CD" w14:paraId="71235B6A" w14:textId="77777777">
            <w:pPr>
              <w:pStyle w:val="Table11-ColumnHeading"/>
            </w:pPr>
            <w:r w:rsidRPr="0047482B">
              <w:t>Burden Estimate</w:t>
            </w:r>
          </w:p>
        </w:tc>
      </w:tr>
      <w:tr w14:paraId="4A1372CE" w14:textId="77777777" w:rsidTr="006517B1">
        <w:tblPrEx>
          <w:tblW w:w="9265" w:type="dxa"/>
          <w:tblLook w:val="04A0"/>
        </w:tblPrEx>
        <w:trPr>
          <w:cantSplit/>
          <w:trHeight w:val="20"/>
        </w:trPr>
        <w:tc>
          <w:tcPr>
            <w:tcW w:w="7465" w:type="dxa"/>
            <w:shd w:val="clear" w:color="auto" w:fill="auto"/>
            <w:hideMark/>
          </w:tcPr>
          <w:p w:rsidR="0088351C" w:rsidRPr="0047482B" w:rsidP="006517B1" w14:paraId="0DCF86AF" w14:textId="7F466C75">
            <w:pPr>
              <w:pStyle w:val="Table11Basic"/>
            </w:pPr>
            <w:r w:rsidRPr="738A46D6">
              <w:t xml:space="preserve">Total </w:t>
            </w:r>
            <w:r w:rsidRPr="738A46D6" w:rsidR="7CAA3E1D">
              <w:t xml:space="preserve"># of </w:t>
            </w:r>
            <w:r w:rsidRPr="738A46D6" w:rsidR="7F358885">
              <w:t>O</w:t>
            </w:r>
            <w:r w:rsidRPr="738A46D6" w:rsidR="7CAA3E1D">
              <w:t xml:space="preserve">ther </w:t>
            </w:r>
            <w:r w:rsidRPr="738A46D6" w:rsidR="6086DA52">
              <w:t>P</w:t>
            </w:r>
            <w:r w:rsidRPr="738A46D6" w:rsidR="7CAA3E1D">
              <w:t xml:space="preserve">ayer </w:t>
            </w:r>
            <w:r w:rsidRPr="738A46D6" w:rsidR="5BA8E7C9">
              <w:t>P</w:t>
            </w:r>
            <w:r w:rsidRPr="738A46D6" w:rsidR="7CAA3E1D">
              <w:t xml:space="preserve">ayment </w:t>
            </w:r>
            <w:r w:rsidRPr="738A46D6" w:rsidR="52CEA1FC">
              <w:t>A</w:t>
            </w:r>
            <w:r w:rsidRPr="738A46D6" w:rsidR="7CAA3E1D">
              <w:t xml:space="preserve">rrangements from APM Entities and </w:t>
            </w:r>
            <w:r w:rsidRPr="738A46D6" w:rsidR="5BB3C453">
              <w:t>E</w:t>
            </w:r>
            <w:r w:rsidRPr="738A46D6" w:rsidR="7CAA3E1D">
              <w:t xml:space="preserve">ligible </w:t>
            </w:r>
            <w:r w:rsidRPr="738A46D6" w:rsidR="22FB32EB">
              <w:t>C</w:t>
            </w:r>
            <w:r w:rsidRPr="738A46D6" w:rsidR="7CAA3E1D">
              <w:t>linicians</w:t>
            </w:r>
          </w:p>
        </w:tc>
        <w:tc>
          <w:tcPr>
            <w:tcW w:w="1800" w:type="dxa"/>
            <w:shd w:val="clear" w:color="auto" w:fill="auto"/>
            <w:hideMark/>
          </w:tcPr>
          <w:p w:rsidR="0088351C" w:rsidRPr="0047482B" w:rsidP="006517B1" w14:paraId="6D6EADEE" w14:textId="4BBBC2D5">
            <w:pPr>
              <w:pStyle w:val="Table11Basic"/>
              <w:jc w:val="center"/>
            </w:pPr>
            <w:r w:rsidRPr="00D950B2">
              <w:t>1</w:t>
            </w:r>
            <w:r w:rsidR="00FB2C15">
              <w:t>0</w:t>
            </w:r>
          </w:p>
        </w:tc>
      </w:tr>
      <w:tr w14:paraId="7B03F413" w14:textId="77777777" w:rsidTr="006517B1">
        <w:tblPrEx>
          <w:tblW w:w="9265" w:type="dxa"/>
          <w:tblLook w:val="04A0"/>
        </w:tblPrEx>
        <w:trPr>
          <w:cantSplit/>
          <w:trHeight w:val="20"/>
        </w:trPr>
        <w:tc>
          <w:tcPr>
            <w:tcW w:w="7465" w:type="dxa"/>
            <w:shd w:val="clear" w:color="auto" w:fill="auto"/>
            <w:hideMark/>
          </w:tcPr>
          <w:p w:rsidR="0088351C" w:rsidRPr="0047482B" w:rsidP="006517B1" w14:paraId="67281FAD" w14:textId="4ACE1177">
            <w:pPr>
              <w:pStyle w:val="Table11Basic"/>
            </w:pPr>
            <w:r w:rsidRPr="738A46D6">
              <w:t xml:space="preserve">Total Annual Hours Per </w:t>
            </w:r>
            <w:r w:rsidRPr="738A46D6" w:rsidR="68404DC4">
              <w:t>O</w:t>
            </w:r>
            <w:r w:rsidRPr="738A46D6">
              <w:t xml:space="preserve">ther </w:t>
            </w:r>
            <w:r w:rsidRPr="738A46D6" w:rsidR="078FFB0A">
              <w:t>P</w:t>
            </w:r>
            <w:r w:rsidRPr="738A46D6">
              <w:t xml:space="preserve">ayer </w:t>
            </w:r>
            <w:r w:rsidRPr="738A46D6" w:rsidR="4FD9D334">
              <w:t>P</w:t>
            </w:r>
            <w:r w:rsidRPr="738A46D6">
              <w:t xml:space="preserve">ayment </w:t>
            </w:r>
            <w:r w:rsidRPr="738A46D6" w:rsidR="2EBF1A09">
              <w:t>A</w:t>
            </w:r>
            <w:r w:rsidRPr="738A46D6">
              <w:t>rrangement (b)</w:t>
            </w:r>
          </w:p>
        </w:tc>
        <w:tc>
          <w:tcPr>
            <w:tcW w:w="1800" w:type="dxa"/>
            <w:shd w:val="clear" w:color="auto" w:fill="auto"/>
            <w:hideMark/>
          </w:tcPr>
          <w:p w:rsidR="0088351C" w:rsidRPr="0047482B" w:rsidP="006517B1" w14:paraId="09541DB2" w14:textId="409EBC4D">
            <w:pPr>
              <w:pStyle w:val="Table11Basic"/>
              <w:jc w:val="center"/>
            </w:pPr>
            <w:r w:rsidRPr="00732012">
              <w:t>10</w:t>
            </w:r>
          </w:p>
        </w:tc>
      </w:tr>
      <w:tr w14:paraId="0596A6E9" w14:textId="77777777" w:rsidTr="006517B1">
        <w:tblPrEx>
          <w:tblW w:w="9265" w:type="dxa"/>
          <w:tblLook w:val="04A0"/>
        </w:tblPrEx>
        <w:trPr>
          <w:cantSplit/>
          <w:trHeight w:val="20"/>
        </w:trPr>
        <w:tc>
          <w:tcPr>
            <w:tcW w:w="7465" w:type="dxa"/>
            <w:shd w:val="clear" w:color="auto" w:fill="E7E6E6" w:themeFill="background2"/>
            <w:hideMark/>
          </w:tcPr>
          <w:p w:rsidR="0088351C" w:rsidRPr="00573EB4" w:rsidP="006517B1" w14:paraId="61B788DE" w14:textId="7A79862A">
            <w:pPr>
              <w:pStyle w:val="Table11Basic"/>
              <w:rPr>
                <w:b/>
              </w:rPr>
            </w:pPr>
            <w:r w:rsidRPr="00573EB4">
              <w:rPr>
                <w:b/>
              </w:rPr>
              <w:t>Total Annual Hours (c) = (a)</w:t>
            </w:r>
            <w:r w:rsidR="00D96441">
              <w:rPr>
                <w:b/>
              </w:rPr>
              <w:t xml:space="preserve"> </w:t>
            </w:r>
            <w:r w:rsidR="00396C71">
              <w:rPr>
                <w:b/>
              </w:rPr>
              <w:t>[</w:t>
            </w:r>
            <w:r w:rsidRPr="008E72BB" w:rsidR="008E72BB">
              <w:rPr>
                <w:b/>
                <w:bCs/>
              </w:rPr>
              <w:t>×</w:t>
            </w:r>
            <w:r w:rsidR="00396C71">
              <w:rPr>
                <w:b/>
              </w:rPr>
              <w:t>]</w:t>
            </w:r>
            <w:r w:rsidRPr="00573EB4" w:rsidR="00533688">
              <w:rPr>
                <w:b/>
              </w:rPr>
              <w:t xml:space="preserve"> </w:t>
            </w:r>
            <w:r w:rsidRPr="00573EB4">
              <w:rPr>
                <w:b/>
              </w:rPr>
              <w:t>(b)</w:t>
            </w:r>
          </w:p>
        </w:tc>
        <w:tc>
          <w:tcPr>
            <w:tcW w:w="1800" w:type="dxa"/>
            <w:shd w:val="clear" w:color="auto" w:fill="E7E6E6" w:themeFill="background2"/>
            <w:hideMark/>
          </w:tcPr>
          <w:p w:rsidR="0088351C" w:rsidRPr="00573EB4" w:rsidP="006517B1" w14:paraId="590A922D" w14:textId="5E80D64C">
            <w:pPr>
              <w:pStyle w:val="Table11Basic"/>
              <w:jc w:val="center"/>
              <w:rPr>
                <w:b/>
              </w:rPr>
            </w:pPr>
            <w:r w:rsidRPr="00573EB4">
              <w:rPr>
                <w:b/>
              </w:rPr>
              <w:t>1</w:t>
            </w:r>
            <w:r w:rsidR="00FB2C15">
              <w:rPr>
                <w:b/>
              </w:rPr>
              <w:t>00</w:t>
            </w:r>
          </w:p>
        </w:tc>
      </w:tr>
      <w:tr w14:paraId="5E2BA34F" w14:textId="77777777" w:rsidTr="006517B1">
        <w:tblPrEx>
          <w:tblW w:w="9265" w:type="dxa"/>
          <w:tblLook w:val="04A0"/>
        </w:tblPrEx>
        <w:trPr>
          <w:cantSplit/>
          <w:trHeight w:val="20"/>
        </w:trPr>
        <w:tc>
          <w:tcPr>
            <w:tcW w:w="7465" w:type="dxa"/>
            <w:shd w:val="clear" w:color="auto" w:fill="auto"/>
            <w:hideMark/>
          </w:tcPr>
          <w:p w:rsidR="00942E08" w:rsidRPr="0047482B" w:rsidP="006517B1" w14:paraId="7F8DF4F5" w14:textId="74FB4134">
            <w:pPr>
              <w:pStyle w:val="Table11Basic"/>
            </w:pPr>
            <w:r w:rsidRPr="738A46D6">
              <w:t>C</w:t>
            </w:r>
            <w:r w:rsidRPr="738A46D6" w:rsidR="75291C23">
              <w:t>o</w:t>
            </w:r>
            <w:r w:rsidRPr="738A46D6" w:rsidR="629125B1">
              <w:t xml:space="preserve">st per Respondent at Labor </w:t>
            </w:r>
            <w:r w:rsidRPr="738A46D6" w:rsidR="1F5F1A78">
              <w:t>R</w:t>
            </w:r>
            <w:r w:rsidRPr="738A46D6" w:rsidR="629125B1">
              <w:t xml:space="preserve">ate for </w:t>
            </w:r>
            <w:r w:rsidRPr="738A46D6" w:rsidR="40440EA2">
              <w:t>C</w:t>
            </w:r>
            <w:r w:rsidRPr="738A46D6" w:rsidR="629125B1">
              <w:t xml:space="preserve">omputer </w:t>
            </w:r>
            <w:r w:rsidRPr="738A46D6" w:rsidR="291EAE4B">
              <w:t>S</w:t>
            </w:r>
            <w:r w:rsidRPr="738A46D6" w:rsidR="629125B1">
              <w:t xml:space="preserve">ystems </w:t>
            </w:r>
            <w:r w:rsidRPr="738A46D6" w:rsidR="723E117A">
              <w:t>A</w:t>
            </w:r>
            <w:r w:rsidRPr="738A46D6" w:rsidR="629125B1">
              <w:t xml:space="preserve">nalyst </w:t>
            </w:r>
            <w:r w:rsidR="00A87331">
              <w:t>at</w:t>
            </w:r>
            <w:r w:rsidRPr="738A46D6" w:rsidR="00A87331">
              <w:t xml:space="preserve"> </w:t>
            </w:r>
            <w:r w:rsidRPr="738A46D6" w:rsidR="6DF53727">
              <w:t>$106.54</w:t>
            </w:r>
            <w:r w:rsidRPr="738A46D6" w:rsidR="629125B1">
              <w:t>/hr (d) = (b) [</w:t>
            </w:r>
            <w:r w:rsidR="008E72BB">
              <w:t>×</w:t>
            </w:r>
            <w:r w:rsidRPr="738A46D6" w:rsidR="629125B1">
              <w:t xml:space="preserve">] </w:t>
            </w:r>
            <w:r w:rsidRPr="738A46D6" w:rsidR="6DF53727">
              <w:t>$106.54</w:t>
            </w:r>
            <w:r w:rsidRPr="738A46D6" w:rsidR="629125B1">
              <w:t>/hr</w:t>
            </w:r>
          </w:p>
        </w:tc>
        <w:tc>
          <w:tcPr>
            <w:tcW w:w="1800" w:type="dxa"/>
            <w:shd w:val="clear" w:color="auto" w:fill="auto"/>
            <w:hideMark/>
          </w:tcPr>
          <w:p w:rsidR="00942E08" w:rsidRPr="00D950B2" w:rsidP="006517B1" w14:paraId="03FB63AD" w14:textId="73153D4F">
            <w:pPr>
              <w:pStyle w:val="Table11Basic"/>
              <w:jc w:val="center"/>
            </w:pPr>
            <w:r w:rsidRPr="00732012">
              <w:t>$</w:t>
            </w:r>
            <w:r>
              <w:t>1,0</w:t>
            </w:r>
            <w:r w:rsidR="00FB2C15">
              <w:t>65.40</w:t>
            </w:r>
          </w:p>
        </w:tc>
      </w:tr>
      <w:tr w14:paraId="685B28A9" w14:textId="77777777" w:rsidTr="006517B1">
        <w:tblPrEx>
          <w:tblW w:w="9265" w:type="dxa"/>
          <w:tblLook w:val="04A0"/>
        </w:tblPrEx>
        <w:trPr>
          <w:cantSplit/>
          <w:trHeight w:val="20"/>
        </w:trPr>
        <w:tc>
          <w:tcPr>
            <w:tcW w:w="7465" w:type="dxa"/>
            <w:shd w:val="clear" w:color="auto" w:fill="E7E6E6" w:themeFill="background2"/>
            <w:hideMark/>
          </w:tcPr>
          <w:p w:rsidR="0088351C" w:rsidRPr="00573EB4" w:rsidP="006517B1" w14:paraId="4B250822" w14:textId="44597426">
            <w:pPr>
              <w:pStyle w:val="Table11Basic"/>
              <w:rPr>
                <w:b/>
              </w:rPr>
            </w:pPr>
            <w:r w:rsidRPr="00573EB4">
              <w:rPr>
                <w:b/>
              </w:rPr>
              <w:t>Total Annual</w:t>
            </w:r>
            <w:r w:rsidRPr="00573EB4">
              <w:rPr>
                <w:b/>
              </w:rPr>
              <w:t xml:space="preserve"> Cost (e) = (</w:t>
            </w:r>
            <w:r w:rsidR="0009360A">
              <w:rPr>
                <w:b/>
              </w:rPr>
              <w:t>a</w:t>
            </w:r>
            <w:r w:rsidRPr="00573EB4">
              <w:rPr>
                <w:b/>
              </w:rPr>
              <w:t>)</w:t>
            </w:r>
            <w:r w:rsidR="00D96441">
              <w:rPr>
                <w:b/>
              </w:rPr>
              <w:t xml:space="preserve"> </w:t>
            </w:r>
            <w:r w:rsidR="00396C71">
              <w:rPr>
                <w:b/>
              </w:rPr>
              <w:t>[</w:t>
            </w:r>
            <w:r w:rsidRPr="008E72BB" w:rsidR="008E72BB">
              <w:rPr>
                <w:b/>
                <w:bCs/>
              </w:rPr>
              <w:t>×</w:t>
            </w:r>
            <w:r w:rsidR="00396C71">
              <w:rPr>
                <w:b/>
              </w:rPr>
              <w:t>]</w:t>
            </w:r>
            <w:r w:rsidRPr="00573EB4" w:rsidR="00533688">
              <w:rPr>
                <w:b/>
              </w:rPr>
              <w:t xml:space="preserve"> </w:t>
            </w:r>
            <w:r w:rsidRPr="00573EB4">
              <w:rPr>
                <w:b/>
              </w:rPr>
              <w:t>(d)</w:t>
            </w:r>
          </w:p>
        </w:tc>
        <w:tc>
          <w:tcPr>
            <w:tcW w:w="1800" w:type="dxa"/>
            <w:shd w:val="clear" w:color="auto" w:fill="E7E6E6" w:themeFill="background2"/>
            <w:hideMark/>
          </w:tcPr>
          <w:p w:rsidR="0088351C" w:rsidRPr="00573EB4" w:rsidP="006517B1" w14:paraId="66B5D28C" w14:textId="2EA0DED3">
            <w:pPr>
              <w:pStyle w:val="Table11Basic"/>
              <w:jc w:val="center"/>
              <w:rPr>
                <w:b/>
              </w:rPr>
            </w:pPr>
            <w:r w:rsidRPr="00573EB4">
              <w:rPr>
                <w:b/>
              </w:rPr>
              <w:t>$</w:t>
            </w:r>
            <w:r w:rsidR="00FB2C15">
              <w:rPr>
                <w:b/>
              </w:rPr>
              <w:t>10,654</w:t>
            </w:r>
          </w:p>
        </w:tc>
      </w:tr>
    </w:tbl>
    <w:p w:rsidR="0088351C" w:rsidRPr="001D422A" w:rsidP="00E03843" w14:paraId="0876ACA8" w14:textId="0ED295E0">
      <w:pPr>
        <w:pStyle w:val="Heading5"/>
      </w:pPr>
      <w:bookmarkStart w:id="191" w:name="_Hlk532899314"/>
      <w:r>
        <w:t>iii.</w:t>
      </w:r>
      <w:r>
        <w:tab/>
      </w:r>
      <w:r w:rsidRPr="001D422A">
        <w:t>Submission of Data for QP Determinations under the All-Payer Combination Option</w:t>
      </w:r>
      <w:bookmarkEnd w:id="191"/>
    </w:p>
    <w:p w:rsidR="00050972" w:rsidRPr="00050972" w:rsidP="0067016B" w14:paraId="6E15BFDC" w14:textId="6C910264">
      <w:pPr>
        <w:pStyle w:val="BodyText-PostHead"/>
        <w:spacing w:before="240"/>
        <w:rPr>
          <w:rFonts w:eastAsia="Calibri"/>
        </w:rPr>
      </w:pPr>
      <w:r w:rsidRPr="738A46D6">
        <w:rPr>
          <w:rFonts w:eastAsia="Calibri"/>
        </w:rPr>
        <w:t xml:space="preserve">APM Entities or individual eligible clinicians must submit </w:t>
      </w:r>
      <w:r w:rsidRPr="738A46D6" w:rsidR="2CE80602">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738A46D6" w:rsidR="0A019868">
        <w:rPr>
          <w:rFonts w:eastAsia="Calibri"/>
        </w:rPr>
        <w:t>APM Entities or eligible clinicians must submit all the required information about the Other Payer Advanced APMs in which they participate, including those for which there is a pending request for an</w:t>
      </w:r>
      <w:r w:rsidRPr="738A46D6" w:rsidR="1A29085C">
        <w:rPr>
          <w:rFonts w:eastAsia="Calibri"/>
        </w:rPr>
        <w:t xml:space="preserve"> </w:t>
      </w:r>
      <w:r w:rsidRPr="738A46D6" w:rsidR="0A019868">
        <w:rPr>
          <w:rFonts w:eastAsia="Calibri"/>
        </w:rPr>
        <w:t>Other Payer Advanced APM determination</w:t>
      </w:r>
      <w:r w:rsidRPr="738A46D6" w:rsidR="31FD9EF1">
        <w:rPr>
          <w:rFonts w:eastAsia="Calibri"/>
        </w:rPr>
        <w:t>.</w:t>
      </w:r>
    </w:p>
    <w:p w:rsidR="0088351C" w:rsidP="001B7217" w14:paraId="5572A5FF" w14:textId="660160AC">
      <w:pPr>
        <w:pStyle w:val="BodyText"/>
        <w:rPr>
          <w:rFonts w:eastAsia="Calibri"/>
        </w:rPr>
      </w:pPr>
      <w:r w:rsidRPr="738A46D6">
        <w:rPr>
          <w:rFonts w:eastAsia="Calibri"/>
        </w:rPr>
        <w:t xml:space="preserve">As shown in Table </w:t>
      </w:r>
      <w:r w:rsidRPr="738A46D6" w:rsidR="73A638C5">
        <w:rPr>
          <w:rFonts w:eastAsia="Calibri"/>
        </w:rPr>
        <w:t>2</w:t>
      </w:r>
      <w:r w:rsidRPr="738A46D6" w:rsidR="41B5BDE2">
        <w:rPr>
          <w:rFonts w:eastAsia="Calibri"/>
        </w:rPr>
        <w:t>6</w:t>
      </w:r>
      <w:r w:rsidRPr="738A46D6">
        <w:rPr>
          <w:rFonts w:eastAsia="Calibri"/>
        </w:rPr>
        <w:t xml:space="preserve">, </w:t>
      </w:r>
      <w:r w:rsidRPr="738A46D6" w:rsidR="24279F43">
        <w:rPr>
          <w:rFonts w:eastAsia="Calibri"/>
        </w:rPr>
        <w:t xml:space="preserve">we assume that </w:t>
      </w:r>
      <w:r w:rsidRPr="738A46D6" w:rsidR="574B9997">
        <w:rPr>
          <w:rFonts w:eastAsia="Calibri"/>
        </w:rPr>
        <w:t>1</w:t>
      </w:r>
      <w:r w:rsidRPr="738A46D6" w:rsidR="24279F43">
        <w:rPr>
          <w:rFonts w:eastAsia="Calibri"/>
        </w:rPr>
        <w:t xml:space="preserve">0 APM Entities, </w:t>
      </w:r>
      <w:r w:rsidRPr="738A46D6" w:rsidR="2A18705A">
        <w:rPr>
          <w:rFonts w:eastAsia="Calibri"/>
        </w:rPr>
        <w:t>100</w:t>
      </w:r>
      <w:r w:rsidRPr="738A46D6" w:rsidR="24279F43">
        <w:rPr>
          <w:rFonts w:eastAsia="Calibri"/>
        </w:rPr>
        <w:t xml:space="preserve"> TINs, and </w:t>
      </w:r>
      <w:r w:rsidRPr="738A46D6" w:rsidR="2A18705A">
        <w:rPr>
          <w:rFonts w:eastAsia="Calibri"/>
        </w:rPr>
        <w:t>10</w:t>
      </w:r>
      <w:r w:rsidRPr="738A46D6" w:rsidR="24279F43">
        <w:rPr>
          <w:rFonts w:eastAsia="Calibri"/>
        </w:rPr>
        <w:t xml:space="preserve"> eligible clinicians will submit data for QP determinations under the All-Payer Combination Option in </w:t>
      </w:r>
      <w:r w:rsidRPr="738A46D6" w:rsidR="055D3D7E">
        <w:rPr>
          <w:rFonts w:eastAsia="Calibri"/>
        </w:rPr>
        <w:t xml:space="preserve">CY </w:t>
      </w:r>
      <w:r w:rsidRPr="738A46D6" w:rsidR="24279F43">
        <w:rPr>
          <w:rFonts w:eastAsia="Calibri"/>
        </w:rPr>
        <w:t>20</w:t>
      </w:r>
      <w:r w:rsidRPr="738A46D6" w:rsidR="1850D29D">
        <w:rPr>
          <w:rFonts w:eastAsia="Calibri"/>
        </w:rPr>
        <w:t>2</w:t>
      </w:r>
      <w:r w:rsidRPr="738A46D6" w:rsidR="2A18705A">
        <w:rPr>
          <w:rFonts w:eastAsia="Calibri"/>
        </w:rPr>
        <w:t>5</w:t>
      </w:r>
      <w:r w:rsidRPr="738A46D6" w:rsidR="11EB0EA2">
        <w:rPr>
          <w:rFonts w:eastAsia="Calibri"/>
        </w:rPr>
        <w:t xml:space="preserve"> performance period/202</w:t>
      </w:r>
      <w:r w:rsidRPr="738A46D6" w:rsidR="2A18705A">
        <w:rPr>
          <w:rFonts w:eastAsia="Calibri"/>
        </w:rPr>
        <w:t>7</w:t>
      </w:r>
      <w:r w:rsidRPr="738A46D6" w:rsidR="11EB0EA2">
        <w:rPr>
          <w:rFonts w:eastAsia="Calibri"/>
        </w:rPr>
        <w:t xml:space="preserve"> MIPS payment year</w:t>
      </w:r>
      <w:r w:rsidRPr="738A46D6" w:rsidR="24279F43">
        <w:rPr>
          <w:rFonts w:eastAsia="Calibri"/>
        </w:rPr>
        <w:t>. We</w:t>
      </w:r>
      <w:r w:rsidRPr="738A46D6" w:rsidR="11EB0EA2">
        <w:rPr>
          <w:rFonts w:eastAsia="Calibri"/>
        </w:rPr>
        <w:t xml:space="preserve"> </w:t>
      </w:r>
      <w:r w:rsidRPr="738A46D6" w:rsidR="24279F43">
        <w:rPr>
          <w:rFonts w:eastAsia="Calibri"/>
        </w:rPr>
        <w:t>estimate it will take the APM Entity representative, TIN representative, or eligible clinician 5 hours at $</w:t>
      </w:r>
      <w:r w:rsidRPr="738A46D6" w:rsidR="0D87C039">
        <w:rPr>
          <w:rFonts w:eastAsia="Calibri"/>
        </w:rPr>
        <w:t>129.28</w:t>
      </w:r>
      <w:r w:rsidRPr="738A46D6" w:rsidR="24279F43">
        <w:rPr>
          <w:rFonts w:eastAsia="Calibri"/>
        </w:rPr>
        <w:t xml:space="preserve">/hr for a </w:t>
      </w:r>
      <w:r w:rsidRPr="738A46D6" w:rsidR="0F79AD76">
        <w:rPr>
          <w:rFonts w:eastAsia="Calibri"/>
        </w:rPr>
        <w:t>medical and health services manager</w:t>
      </w:r>
      <w:r w:rsidRPr="738A46D6" w:rsidR="24279F43">
        <w:rPr>
          <w:rFonts w:eastAsia="Calibri"/>
        </w:rPr>
        <w:t xml:space="preserve"> to complete this submission</w:t>
      </w:r>
      <w:r w:rsidRPr="738A46D6" w:rsidR="7FBEF4B7">
        <w:rPr>
          <w:rFonts w:eastAsia="Calibri"/>
        </w:rPr>
        <w:t xml:space="preserve">, resulting in a cost of </w:t>
      </w:r>
      <w:r w:rsidRPr="738A46D6" w:rsidR="1691F93F">
        <w:rPr>
          <w:rFonts w:eastAsia="Calibri"/>
        </w:rPr>
        <w:t>$</w:t>
      </w:r>
      <w:r w:rsidRPr="738A46D6" w:rsidR="1AB641D4">
        <w:rPr>
          <w:rFonts w:eastAsia="Calibri"/>
        </w:rPr>
        <w:t>646.40</w:t>
      </w:r>
      <w:r w:rsidRPr="738A46D6" w:rsidR="1691F93F">
        <w:rPr>
          <w:rFonts w:eastAsia="Calibri"/>
        </w:rPr>
        <w:t xml:space="preserve"> per submission</w:t>
      </w:r>
      <w:r w:rsidRPr="738A46D6" w:rsidR="24279F43">
        <w:rPr>
          <w:rFonts w:eastAsia="Calibri"/>
        </w:rPr>
        <w:t xml:space="preserve">. In aggregate, we estimate an annual burden of </w:t>
      </w:r>
      <w:r w:rsidRPr="738A46D6" w:rsidR="1AB641D4">
        <w:rPr>
          <w:rFonts w:eastAsia="Calibri"/>
        </w:rPr>
        <w:t>600</w:t>
      </w:r>
      <w:r w:rsidRPr="738A46D6" w:rsidR="24279F43">
        <w:rPr>
          <w:rFonts w:eastAsia="Calibri"/>
        </w:rPr>
        <w:t xml:space="preserve"> hours (</w:t>
      </w:r>
      <w:r w:rsidRPr="738A46D6" w:rsidR="1AB641D4">
        <w:rPr>
          <w:rFonts w:eastAsia="Calibri"/>
        </w:rPr>
        <w:t>120</w:t>
      </w:r>
      <w:r w:rsidRPr="738A46D6" w:rsidR="24279F43">
        <w:rPr>
          <w:rFonts w:eastAsia="Calibri"/>
        </w:rPr>
        <w:t xml:space="preserve"> </w:t>
      </w:r>
      <w:r w:rsidRPr="738A46D6" w:rsidR="364CF2DA">
        <w:rPr>
          <w:rFonts w:eastAsia="Calibri"/>
        </w:rPr>
        <w:t>submissions</w:t>
      </w:r>
      <w:r w:rsidRPr="738A46D6" w:rsidR="24279F43">
        <w:rPr>
          <w:rFonts w:eastAsia="Calibri"/>
        </w:rPr>
        <w:t xml:space="preserve"> </w:t>
      </w:r>
      <w:r w:rsidR="00902FD6">
        <w:t>×</w:t>
      </w:r>
      <w:r w:rsidRPr="738A46D6" w:rsidR="24279F43">
        <w:rPr>
          <w:rFonts w:eastAsia="Calibri"/>
        </w:rPr>
        <w:t xml:space="preserve"> 5 hr) at a cost of $</w:t>
      </w:r>
      <w:r w:rsidRPr="738A46D6" w:rsidR="79DE4177">
        <w:rPr>
          <w:rFonts w:eastAsia="Calibri"/>
        </w:rPr>
        <w:t>77,568</w:t>
      </w:r>
      <w:r w:rsidRPr="738A46D6" w:rsidR="24279F43">
        <w:rPr>
          <w:rFonts w:eastAsia="Calibri"/>
        </w:rPr>
        <w:t xml:space="preserve"> (</w:t>
      </w:r>
      <w:r w:rsidRPr="738A46D6" w:rsidR="79DE4177">
        <w:rPr>
          <w:rFonts w:eastAsia="Calibri"/>
        </w:rPr>
        <w:t xml:space="preserve">120 </w:t>
      </w:r>
      <w:r w:rsidRPr="738A46D6" w:rsidR="364CF2DA">
        <w:rPr>
          <w:rFonts w:eastAsia="Calibri"/>
        </w:rPr>
        <w:t>submissions</w:t>
      </w:r>
      <w:r w:rsidRPr="738A46D6" w:rsidR="24279F43">
        <w:rPr>
          <w:rFonts w:eastAsia="Calibri"/>
        </w:rPr>
        <w:t xml:space="preserve"> </w:t>
      </w:r>
      <w:r w:rsidR="00902FD6">
        <w:t>×</w:t>
      </w:r>
      <w:r w:rsidRPr="738A46D6" w:rsidR="24279F43">
        <w:rPr>
          <w:rFonts w:eastAsia="Calibri"/>
        </w:rPr>
        <w:t xml:space="preserve"> $</w:t>
      </w:r>
      <w:r w:rsidRPr="738A46D6" w:rsidR="79DE4177">
        <w:rPr>
          <w:rFonts w:eastAsia="Calibri"/>
        </w:rPr>
        <w:t>646.40</w:t>
      </w:r>
      <w:r w:rsidRPr="738A46D6" w:rsidR="24279F43">
        <w:rPr>
          <w:rFonts w:eastAsia="Calibri"/>
        </w:rPr>
        <w:t>/</w:t>
      </w:r>
      <w:r w:rsidRPr="738A46D6" w:rsidR="364CF2DA">
        <w:rPr>
          <w:rFonts w:eastAsia="Calibri"/>
        </w:rPr>
        <w:t>submission</w:t>
      </w:r>
      <w:r w:rsidRPr="738A46D6" w:rsidR="754EDEEC">
        <w:rPr>
          <w:rFonts w:eastAsia="Calibri"/>
        </w:rPr>
        <w:t>).</w:t>
      </w:r>
    </w:p>
    <w:p w:rsidR="0088351C" w:rsidRPr="009B39F0" w:rsidP="00361BB4" w14:paraId="797CEA56" w14:textId="2EA320AB">
      <w:pPr>
        <w:pStyle w:val="ExhibitTitle"/>
        <w:rPr>
          <w:b w:val="0"/>
          <w:bCs/>
        </w:rPr>
      </w:pPr>
      <w:r w:rsidRPr="009B39F0">
        <w:rPr>
          <w:b w:val="0"/>
          <w:bCs/>
        </w:rPr>
        <w:t>T</w:t>
      </w:r>
      <w:r w:rsidRPr="009B39F0" w:rsidR="181119AE">
        <w:rPr>
          <w:b w:val="0"/>
          <w:bCs/>
        </w:rPr>
        <w:t>able</w:t>
      </w:r>
      <w:r w:rsidRPr="009B39F0">
        <w:rPr>
          <w:b w:val="0"/>
          <w:bCs/>
        </w:rPr>
        <w:t xml:space="preserve"> </w:t>
      </w:r>
      <w:r w:rsidRPr="009B39F0" w:rsidR="73A638C5">
        <w:rPr>
          <w:b w:val="0"/>
          <w:bCs/>
        </w:rPr>
        <w:t>2</w:t>
      </w:r>
      <w:r w:rsidRPr="009B39F0" w:rsidR="6BE570EE">
        <w:rPr>
          <w:b w:val="0"/>
          <w:bCs/>
        </w:rPr>
        <w:t>6</w:t>
      </w:r>
      <w:r w:rsidRPr="009B39F0">
        <w:rPr>
          <w:b w:val="0"/>
          <w:bCs/>
        </w:rPr>
        <w:t xml:space="preserve">: </w:t>
      </w:r>
      <w:r w:rsidRPr="009B39F0" w:rsidR="7ADB1CCC">
        <w:rPr>
          <w:b w:val="0"/>
          <w:bCs/>
        </w:rPr>
        <w:t>Estimated Burden</w:t>
      </w:r>
      <w:r w:rsidRPr="009B39F0">
        <w:rPr>
          <w:b w:val="0"/>
          <w:bCs/>
        </w:rPr>
        <w:t xml:space="preserve"> for the Submission of Data for</w:t>
      </w:r>
      <w:r w:rsidRPr="009B39F0" w:rsidR="3C646EEA">
        <w:rPr>
          <w:b w:val="0"/>
          <w:bCs/>
        </w:rPr>
        <w:t xml:space="preserve"> </w:t>
      </w:r>
      <w:r w:rsidRPr="009B39F0">
        <w:rPr>
          <w:b w:val="0"/>
          <w:bCs/>
        </w:rPr>
        <w:t>All-Payer QP Determinations</w:t>
      </w:r>
    </w:p>
    <w:tbl>
      <w:tblPr>
        <w:tblDescription w:val="Table 26: the estimated burden for advanced A P M determinations under all-payer combination optio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5"/>
        <w:gridCol w:w="1695"/>
      </w:tblGrid>
      <w:tr w14:paraId="6D4858B3" w14:textId="77777777" w:rsidTr="00A132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
          <w:tblHeader/>
        </w:trPr>
        <w:tc>
          <w:tcPr>
            <w:tcW w:w="7635" w:type="dxa"/>
            <w:shd w:val="clear" w:color="auto" w:fill="auto"/>
          </w:tcPr>
          <w:p w:rsidR="00B36E80" w:rsidRPr="00405032" w:rsidP="00FB1A47" w14:paraId="36E397C0" w14:textId="77777777">
            <w:pPr>
              <w:pStyle w:val="Table11-ColumnHeading"/>
            </w:pPr>
            <w:r w:rsidRPr="008A0431">
              <w:t>Burden and Respondent Descriptions</w:t>
            </w:r>
          </w:p>
        </w:tc>
        <w:tc>
          <w:tcPr>
            <w:tcW w:w="1695" w:type="dxa"/>
            <w:shd w:val="clear" w:color="auto" w:fill="auto"/>
          </w:tcPr>
          <w:p w:rsidR="00B36E80" w:rsidRPr="00405032" w:rsidP="00FB1A47" w14:paraId="54416EE6" w14:textId="77777777">
            <w:pPr>
              <w:pStyle w:val="Table11-ColumnHeading"/>
            </w:pPr>
            <w:r w:rsidRPr="008A0431">
              <w:t>Burden Estimate</w:t>
            </w:r>
          </w:p>
        </w:tc>
      </w:tr>
      <w:tr w14:paraId="7E7BC747" w14:textId="77777777" w:rsidTr="00A132AC">
        <w:tblPrEx>
          <w:tblW w:w="0" w:type="auto"/>
          <w:tblLook w:val="04A0"/>
        </w:tblPrEx>
        <w:trPr>
          <w:cantSplit/>
          <w:trHeight w:val="20"/>
        </w:trPr>
        <w:tc>
          <w:tcPr>
            <w:tcW w:w="7635" w:type="dxa"/>
            <w:shd w:val="clear" w:color="auto" w:fill="auto"/>
            <w:vAlign w:val="center"/>
          </w:tcPr>
          <w:p w:rsidR="00B36E80" w:rsidRPr="004F5699" w:rsidP="006517B1" w14:paraId="0B7FC17E" w14:textId="77777777">
            <w:pPr>
              <w:pStyle w:val="Table11Basic"/>
              <w:rPr>
                <w:rFonts w:eastAsia="Calibri"/>
                <w:color w:val="FF0000"/>
              </w:rPr>
            </w:pPr>
            <w:r w:rsidRPr="004F5699">
              <w:t>Total # of APM Entities Submitting Data for All-Payer QP Determinations (a)</w:t>
            </w:r>
          </w:p>
        </w:tc>
        <w:tc>
          <w:tcPr>
            <w:tcW w:w="1695" w:type="dxa"/>
            <w:shd w:val="clear" w:color="auto" w:fill="auto"/>
          </w:tcPr>
          <w:p w:rsidR="00B36E80" w:rsidRPr="004F5699" w:rsidP="006517B1" w14:paraId="3F2EB8FE" w14:textId="77777777">
            <w:pPr>
              <w:pStyle w:val="Table11Basic"/>
              <w:jc w:val="center"/>
            </w:pPr>
            <w:r w:rsidRPr="004F5699">
              <w:t>10</w:t>
            </w:r>
          </w:p>
        </w:tc>
      </w:tr>
      <w:tr w14:paraId="3BBA2C1B" w14:textId="77777777" w:rsidTr="00A132AC">
        <w:tblPrEx>
          <w:tblW w:w="0" w:type="auto"/>
          <w:tblLook w:val="04A0"/>
        </w:tblPrEx>
        <w:trPr>
          <w:cantSplit/>
          <w:trHeight w:val="20"/>
        </w:trPr>
        <w:tc>
          <w:tcPr>
            <w:tcW w:w="7635" w:type="dxa"/>
            <w:shd w:val="clear" w:color="auto" w:fill="auto"/>
            <w:vAlign w:val="center"/>
          </w:tcPr>
          <w:p w:rsidR="00B36E80" w:rsidRPr="004F5699" w:rsidP="006517B1" w14:paraId="6D98FB48" w14:textId="77777777">
            <w:pPr>
              <w:pStyle w:val="Table11Basic"/>
            </w:pPr>
            <w:r w:rsidRPr="004F5699">
              <w:t xml:space="preserve">Total # of TINs Submitting Data for All-Payer QP Determinations (b) </w:t>
            </w:r>
          </w:p>
        </w:tc>
        <w:tc>
          <w:tcPr>
            <w:tcW w:w="1695" w:type="dxa"/>
            <w:shd w:val="clear" w:color="auto" w:fill="auto"/>
            <w:vAlign w:val="center"/>
          </w:tcPr>
          <w:p w:rsidR="00B36E80" w:rsidRPr="004F5699" w:rsidP="006517B1" w14:paraId="20ECE92D" w14:textId="77777777">
            <w:pPr>
              <w:pStyle w:val="Table11Basic"/>
              <w:jc w:val="center"/>
            </w:pPr>
            <w:r w:rsidRPr="004F5699">
              <w:rPr>
                <w:color w:val="000000" w:themeColor="text1"/>
              </w:rPr>
              <w:t>100</w:t>
            </w:r>
          </w:p>
        </w:tc>
      </w:tr>
      <w:tr w14:paraId="3F367F62" w14:textId="77777777" w:rsidTr="00A132AC">
        <w:tblPrEx>
          <w:tblW w:w="0" w:type="auto"/>
          <w:tblLook w:val="04A0"/>
        </w:tblPrEx>
        <w:trPr>
          <w:cantSplit/>
          <w:trHeight w:val="20"/>
        </w:trPr>
        <w:tc>
          <w:tcPr>
            <w:tcW w:w="7635" w:type="dxa"/>
            <w:shd w:val="clear" w:color="auto" w:fill="auto"/>
            <w:vAlign w:val="center"/>
          </w:tcPr>
          <w:p w:rsidR="00B36E80" w:rsidRPr="004F5699" w:rsidP="006517B1" w14:paraId="703AC998" w14:textId="77777777">
            <w:pPr>
              <w:pStyle w:val="Table11Basic"/>
              <w:rPr>
                <w:color w:val="000000" w:themeColor="text1"/>
              </w:rPr>
            </w:pPr>
            <w:r w:rsidRPr="004F5699">
              <w:t>Total # of Eligible Clinicians Submitting Data for All-Payer QP Determinations (c)</w:t>
            </w:r>
          </w:p>
        </w:tc>
        <w:tc>
          <w:tcPr>
            <w:tcW w:w="1695" w:type="dxa"/>
            <w:shd w:val="clear" w:color="auto" w:fill="auto"/>
            <w:vAlign w:val="center"/>
          </w:tcPr>
          <w:p w:rsidR="00B36E80" w:rsidRPr="004F5699" w:rsidP="006517B1" w14:paraId="1A54B87E" w14:textId="77777777">
            <w:pPr>
              <w:pStyle w:val="Table11Basic"/>
              <w:jc w:val="center"/>
              <w:rPr>
                <w:color w:val="000000" w:themeColor="text1"/>
              </w:rPr>
            </w:pPr>
            <w:r w:rsidRPr="004F5699">
              <w:rPr>
                <w:color w:val="000000" w:themeColor="text1"/>
              </w:rPr>
              <w:t>10</w:t>
            </w:r>
          </w:p>
        </w:tc>
      </w:tr>
      <w:tr w14:paraId="417B2EEB" w14:textId="77777777" w:rsidTr="00A132AC">
        <w:tblPrEx>
          <w:tblW w:w="0" w:type="auto"/>
          <w:tblLook w:val="04A0"/>
        </w:tblPrEx>
        <w:trPr>
          <w:cantSplit/>
          <w:trHeight w:val="20"/>
        </w:trPr>
        <w:tc>
          <w:tcPr>
            <w:tcW w:w="7635" w:type="dxa"/>
            <w:shd w:val="clear" w:color="auto" w:fill="D9D9D9" w:themeFill="background1" w:themeFillShade="D9"/>
            <w:vAlign w:val="center"/>
          </w:tcPr>
          <w:p w:rsidR="00B36E80" w:rsidRPr="004F5699" w:rsidP="006517B1" w14:paraId="28C1A2A0" w14:textId="77777777">
            <w:pPr>
              <w:pStyle w:val="Table11Basic"/>
            </w:pPr>
            <w:r w:rsidRPr="004F5699">
              <w:rPr>
                <w:b/>
              </w:rPr>
              <w:t>Total # of Respondents (d) = (a) + (b) + (c)</w:t>
            </w:r>
          </w:p>
        </w:tc>
        <w:tc>
          <w:tcPr>
            <w:tcW w:w="1695" w:type="dxa"/>
            <w:shd w:val="clear" w:color="auto" w:fill="D9D9D9" w:themeFill="background1" w:themeFillShade="D9"/>
            <w:vAlign w:val="center"/>
          </w:tcPr>
          <w:p w:rsidR="00B36E80" w:rsidRPr="004F5699" w:rsidP="006517B1" w14:paraId="2788ADAB" w14:textId="77777777">
            <w:pPr>
              <w:pStyle w:val="Table11Basic"/>
              <w:jc w:val="center"/>
              <w:rPr>
                <w:b/>
                <w:color w:val="000000" w:themeColor="text1"/>
              </w:rPr>
            </w:pPr>
            <w:r w:rsidRPr="004F5699">
              <w:rPr>
                <w:b/>
                <w:color w:val="000000" w:themeColor="text1"/>
              </w:rPr>
              <w:t>120</w:t>
            </w:r>
          </w:p>
        </w:tc>
      </w:tr>
      <w:tr w14:paraId="2CC558E0" w14:textId="77777777" w:rsidTr="00A132AC">
        <w:tblPrEx>
          <w:tblW w:w="0" w:type="auto"/>
          <w:tblLook w:val="04A0"/>
        </w:tblPrEx>
        <w:trPr>
          <w:cantSplit/>
          <w:trHeight w:val="20"/>
        </w:trPr>
        <w:tc>
          <w:tcPr>
            <w:tcW w:w="7635" w:type="dxa"/>
            <w:shd w:val="clear" w:color="auto" w:fill="auto"/>
            <w:vAlign w:val="center"/>
          </w:tcPr>
          <w:p w:rsidR="00B36E80" w:rsidRPr="004F5699" w:rsidP="006517B1" w14:paraId="2DC3D73F" w14:textId="77777777">
            <w:pPr>
              <w:pStyle w:val="Table11Basic"/>
              <w:rPr>
                <w:b/>
              </w:rPr>
            </w:pPr>
            <w:r w:rsidRPr="004F5699">
              <w:t>Hours Per respondent QP Determinations (e)</w:t>
            </w:r>
          </w:p>
        </w:tc>
        <w:tc>
          <w:tcPr>
            <w:tcW w:w="1695" w:type="dxa"/>
            <w:shd w:val="clear" w:color="auto" w:fill="auto"/>
            <w:vAlign w:val="center"/>
          </w:tcPr>
          <w:p w:rsidR="00B36E80" w:rsidRPr="004F5699" w:rsidP="006517B1" w14:paraId="4D25589D" w14:textId="77777777">
            <w:pPr>
              <w:pStyle w:val="Table11Basic"/>
              <w:jc w:val="center"/>
              <w:rPr>
                <w:color w:val="000000" w:themeColor="text1"/>
              </w:rPr>
            </w:pPr>
            <w:r w:rsidRPr="004F5699">
              <w:rPr>
                <w:color w:val="000000" w:themeColor="text1"/>
              </w:rPr>
              <w:t>5</w:t>
            </w:r>
          </w:p>
        </w:tc>
      </w:tr>
      <w:tr w14:paraId="2416F7FA" w14:textId="77777777" w:rsidTr="00A132AC">
        <w:tblPrEx>
          <w:tblW w:w="0" w:type="auto"/>
          <w:tblLook w:val="04A0"/>
        </w:tblPrEx>
        <w:trPr>
          <w:cantSplit/>
          <w:trHeight w:val="20"/>
        </w:trPr>
        <w:tc>
          <w:tcPr>
            <w:tcW w:w="7635" w:type="dxa"/>
            <w:shd w:val="clear" w:color="auto" w:fill="D9D9D9" w:themeFill="background1" w:themeFillShade="D9"/>
            <w:vAlign w:val="center"/>
          </w:tcPr>
          <w:p w:rsidR="00B36E80" w:rsidRPr="004F5699" w:rsidP="006517B1" w14:paraId="29EF5B0C" w14:textId="4F6149B6">
            <w:pPr>
              <w:pStyle w:val="Table11Basic"/>
              <w:rPr>
                <w:b/>
                <w:bCs/>
              </w:rPr>
            </w:pPr>
            <w:r w:rsidRPr="004F5699">
              <w:rPr>
                <w:b/>
                <w:bCs/>
                <w:color w:val="000000" w:themeColor="text1"/>
              </w:rPr>
              <w:t xml:space="preserve">Total Annual Hours (f) = (d) </w:t>
            </w:r>
            <w:r w:rsidRPr="00902FD6" w:rsidR="00405032">
              <w:rPr>
                <w:b/>
                <w:bCs/>
                <w:color w:val="000000" w:themeColor="text1"/>
              </w:rPr>
              <w:t>[</w:t>
            </w:r>
            <w:r w:rsidRPr="00902FD6" w:rsidR="00902FD6">
              <w:rPr>
                <w:b/>
                <w:bCs/>
              </w:rPr>
              <w:t>×</w:t>
            </w:r>
            <w:r w:rsidR="00405032">
              <w:rPr>
                <w:b/>
                <w:bCs/>
                <w:color w:val="000000" w:themeColor="text1"/>
              </w:rPr>
              <w:t>]</w:t>
            </w:r>
            <w:r w:rsidRPr="004F5699">
              <w:rPr>
                <w:b/>
                <w:bCs/>
                <w:color w:val="000000" w:themeColor="text1"/>
              </w:rPr>
              <w:t xml:space="preserve"> (e) </w:t>
            </w:r>
          </w:p>
        </w:tc>
        <w:tc>
          <w:tcPr>
            <w:tcW w:w="1695" w:type="dxa"/>
            <w:shd w:val="clear" w:color="auto" w:fill="D9D9D9" w:themeFill="background1" w:themeFillShade="D9"/>
            <w:vAlign w:val="center"/>
          </w:tcPr>
          <w:p w:rsidR="00B36E80" w:rsidRPr="004F5699" w:rsidP="006517B1" w14:paraId="5E84B4BF" w14:textId="77777777">
            <w:pPr>
              <w:pStyle w:val="Table11Basic"/>
              <w:jc w:val="center"/>
            </w:pPr>
            <w:r w:rsidRPr="004F5699">
              <w:rPr>
                <w:b/>
              </w:rPr>
              <w:t>600</w:t>
            </w:r>
          </w:p>
        </w:tc>
      </w:tr>
      <w:tr w14:paraId="0FAEB620" w14:textId="77777777" w:rsidTr="00A132AC">
        <w:tblPrEx>
          <w:tblW w:w="0" w:type="auto"/>
          <w:tblLook w:val="04A0"/>
        </w:tblPrEx>
        <w:trPr>
          <w:cantSplit/>
          <w:trHeight w:val="20"/>
        </w:trPr>
        <w:tc>
          <w:tcPr>
            <w:tcW w:w="7635" w:type="dxa"/>
            <w:shd w:val="clear" w:color="auto" w:fill="auto"/>
            <w:vAlign w:val="center"/>
          </w:tcPr>
          <w:p w:rsidR="00B36E80" w:rsidRPr="004F5699" w:rsidP="006517B1" w14:paraId="2033FD93" w14:textId="5DE69F31">
            <w:pPr>
              <w:pStyle w:val="Table11Basic"/>
            </w:pPr>
            <w:r w:rsidRPr="004F5699">
              <w:rPr>
                <w:color w:val="000000" w:themeColor="text1"/>
              </w:rPr>
              <w:t xml:space="preserve">Cost per Respondent </w:t>
            </w:r>
            <w:r w:rsidR="00EF518A">
              <w:rPr>
                <w:color w:val="000000" w:themeColor="text1"/>
              </w:rPr>
              <w:t>at</w:t>
            </w:r>
            <w:r w:rsidRPr="004F5699">
              <w:rPr>
                <w:color w:val="000000" w:themeColor="text1"/>
              </w:rPr>
              <w:t xml:space="preserve"> Medical and Health Services Manager Labor Rate of $129.28/hr (g) = (e) </w:t>
            </w:r>
            <w:r w:rsidR="009F665B">
              <w:rPr>
                <w:b/>
                <w:bCs/>
                <w:color w:val="000000" w:themeColor="text1"/>
              </w:rPr>
              <w:t>[</w:t>
            </w:r>
            <w:r w:rsidR="00902FD6">
              <w:t>×</w:t>
            </w:r>
            <w:r w:rsidR="009F665B">
              <w:rPr>
                <w:b/>
                <w:bCs/>
                <w:color w:val="000000" w:themeColor="text1"/>
              </w:rPr>
              <w:t>]</w:t>
            </w:r>
            <w:r w:rsidRPr="004F5699">
              <w:rPr>
                <w:color w:val="000000" w:themeColor="text1"/>
              </w:rPr>
              <w:t xml:space="preserve"> $129.28/hr</w:t>
            </w:r>
          </w:p>
        </w:tc>
        <w:tc>
          <w:tcPr>
            <w:tcW w:w="1695" w:type="dxa"/>
            <w:shd w:val="clear" w:color="auto" w:fill="auto"/>
            <w:vAlign w:val="center"/>
          </w:tcPr>
          <w:p w:rsidR="00B36E80" w:rsidRPr="004F5699" w:rsidP="006517B1" w14:paraId="0593BC62" w14:textId="77777777">
            <w:pPr>
              <w:pStyle w:val="Table11Basic"/>
              <w:jc w:val="center"/>
            </w:pPr>
            <w:r w:rsidRPr="004F5699">
              <w:rPr>
                <w:color w:val="000000" w:themeColor="text1"/>
              </w:rPr>
              <w:t>$646.40</w:t>
            </w:r>
          </w:p>
        </w:tc>
      </w:tr>
      <w:tr w14:paraId="10DFBA0E" w14:textId="77777777" w:rsidTr="00A132AC">
        <w:tblPrEx>
          <w:tblW w:w="0" w:type="auto"/>
          <w:tblLook w:val="04A0"/>
        </w:tblPrEx>
        <w:trPr>
          <w:cantSplit/>
          <w:trHeight w:val="20"/>
        </w:trPr>
        <w:tc>
          <w:tcPr>
            <w:tcW w:w="7635" w:type="dxa"/>
            <w:shd w:val="clear" w:color="auto" w:fill="D9D9D9" w:themeFill="background1" w:themeFillShade="D9"/>
            <w:vAlign w:val="center"/>
          </w:tcPr>
          <w:p w:rsidR="00B36E80" w:rsidRPr="004F5699" w:rsidP="006517B1" w14:paraId="3C8D97C8" w14:textId="78FE5908">
            <w:pPr>
              <w:pStyle w:val="Table11Basic"/>
              <w:rPr>
                <w:b/>
                <w:bCs/>
              </w:rPr>
            </w:pPr>
            <w:r w:rsidRPr="004F5699">
              <w:rPr>
                <w:b/>
                <w:bCs/>
                <w:color w:val="000000" w:themeColor="text1"/>
              </w:rPr>
              <w:t xml:space="preserve">Total Annual Cost (h) = (d) </w:t>
            </w:r>
            <w:r w:rsidR="00405032">
              <w:rPr>
                <w:b/>
                <w:bCs/>
                <w:color w:val="000000" w:themeColor="text1"/>
              </w:rPr>
              <w:t>[</w:t>
            </w:r>
            <w:r w:rsidRPr="00902FD6" w:rsidR="00902FD6">
              <w:rPr>
                <w:b/>
                <w:bCs/>
              </w:rPr>
              <w:t>×</w:t>
            </w:r>
            <w:r w:rsidR="00405032">
              <w:rPr>
                <w:b/>
                <w:bCs/>
                <w:color w:val="000000" w:themeColor="text1"/>
              </w:rPr>
              <w:t>]</w:t>
            </w:r>
            <w:r w:rsidRPr="004F5699">
              <w:rPr>
                <w:b/>
                <w:bCs/>
                <w:color w:val="000000" w:themeColor="text1"/>
              </w:rPr>
              <w:t xml:space="preserve"> (g) </w:t>
            </w:r>
          </w:p>
        </w:tc>
        <w:tc>
          <w:tcPr>
            <w:tcW w:w="1695" w:type="dxa"/>
            <w:shd w:val="clear" w:color="auto" w:fill="D9D9D9" w:themeFill="background1" w:themeFillShade="D9"/>
            <w:vAlign w:val="center"/>
          </w:tcPr>
          <w:p w:rsidR="00B36E80" w:rsidRPr="004F5699" w:rsidP="006517B1" w14:paraId="1F04A94D" w14:textId="77777777">
            <w:pPr>
              <w:pStyle w:val="Table11Basic"/>
              <w:jc w:val="center"/>
              <w:rPr>
                <w:b/>
              </w:rPr>
            </w:pPr>
            <w:r w:rsidRPr="004F5699">
              <w:rPr>
                <w:b/>
                <w:color w:val="000000" w:themeColor="text1"/>
              </w:rPr>
              <w:t>$77,568</w:t>
            </w:r>
          </w:p>
        </w:tc>
      </w:tr>
    </w:tbl>
    <w:p w:rsidR="0088351C" w:rsidRPr="00136D86" w:rsidP="006E6DEB" w14:paraId="5A7DC3D2" w14:textId="762BBCCB">
      <w:pPr>
        <w:pStyle w:val="Heading4"/>
      </w:pPr>
      <w:bookmarkStart w:id="192" w:name="_Hlk532899326"/>
      <w:r>
        <w:t>o.</w:t>
      </w:r>
      <w:r>
        <w:tab/>
      </w:r>
      <w:r w:rsidR="7CAA3E1D">
        <w:t xml:space="preserve">Burden Estimate for Voluntary Participants </w:t>
      </w:r>
      <w:r w:rsidR="1B9A1728">
        <w:t>Election to</w:t>
      </w:r>
      <w:r w:rsidR="7CAA3E1D">
        <w:t xml:space="preserve"> Opt-Out of Performance Data Display on Compare</w:t>
      </w:r>
      <w:r w:rsidR="69261F6A">
        <w:t xml:space="preserve"> Tools</w:t>
      </w:r>
    </w:p>
    <w:bookmarkEnd w:id="192"/>
    <w:p w:rsidR="000A4E97" w:rsidRPr="003A6FE0" w:rsidP="001B7217" w14:paraId="4934CA09" w14:textId="73760C8A">
      <w:pPr>
        <w:pStyle w:val="BodyText-PostHead"/>
        <w:rPr>
          <w:rFonts w:ascii="Calibri" w:eastAsia="Calibri" w:hAnsi="Calibri" w:cs="Calibri"/>
          <w:color w:val="000000"/>
          <w:sz w:val="22"/>
          <w:szCs w:val="22"/>
        </w:rPr>
      </w:pPr>
      <w:r w:rsidRPr="00367710">
        <w:rPr>
          <w:rFonts w:eastAsia="Calibri"/>
        </w:rPr>
        <w:t xml:space="preserve">Voluntary MIPS participants are clinicians that are not QPs and are expected to be excluded from MIPS after applying the eligibility requirements set out in the CY 2019 PFS final rule but have elected to submit data to MIPS. </w:t>
      </w:r>
      <w:r>
        <w:rPr>
          <w:rFonts w:eastAsia="Calibri"/>
        </w:rPr>
        <w:t>W</w:t>
      </w:r>
      <w:r w:rsidRPr="00367710">
        <w:rPr>
          <w:rFonts w:eastAsia="Calibri"/>
        </w:rPr>
        <w:t xml:space="preserve">e estimate </w:t>
      </w:r>
      <w:r>
        <w:rPr>
          <w:rFonts w:eastAsia="Calibri"/>
        </w:rPr>
        <w:t>clinicians who</w:t>
      </w:r>
      <w:r w:rsidRPr="00367710">
        <w:rPr>
          <w:rFonts w:eastAsia="Calibri"/>
        </w:rPr>
        <w:t xml:space="preserve"> exceed one of the low-volume criteria, but not all </w:t>
      </w:r>
      <w:r w:rsidR="00123783">
        <w:rPr>
          <w:rFonts w:eastAsia="Calibri"/>
        </w:rPr>
        <w:t>three</w:t>
      </w:r>
      <w:r w:rsidRPr="00367710">
        <w:rPr>
          <w:rFonts w:eastAsia="Calibri"/>
        </w:rPr>
        <w:t>, elect</w:t>
      </w:r>
      <w:r>
        <w:rPr>
          <w:rFonts w:eastAsia="Calibri"/>
        </w:rPr>
        <w:t>ed</w:t>
      </w:r>
      <w:r w:rsidRPr="00367710">
        <w:rPr>
          <w:rFonts w:eastAsia="Calibri"/>
        </w:rPr>
        <w:t xml:space="preserve"> to opt-in to MIPS</w:t>
      </w:r>
      <w:r>
        <w:rPr>
          <w:rFonts w:eastAsia="Calibri"/>
        </w:rPr>
        <w:t xml:space="preserve"> and submitted data in the CY 2019 performance period/2021 MIPS payment year will continue to do so in the CY 202</w:t>
      </w:r>
      <w:r w:rsidR="00D52AA0">
        <w:rPr>
          <w:rFonts w:eastAsia="Calibri"/>
        </w:rPr>
        <w:t>5</w:t>
      </w:r>
      <w:r>
        <w:rPr>
          <w:rFonts w:eastAsia="Calibri"/>
        </w:rPr>
        <w:t xml:space="preserve"> performance period/202</w:t>
      </w:r>
      <w:r w:rsidR="00D52AA0">
        <w:rPr>
          <w:rFonts w:eastAsia="Calibri"/>
        </w:rPr>
        <w:t>7</w:t>
      </w:r>
      <w:r>
        <w:rPr>
          <w:rFonts w:eastAsia="Calibri"/>
        </w:rPr>
        <w:t xml:space="preserve"> MIPS payment year</w:t>
      </w:r>
      <w:r w:rsidRPr="006729C8">
        <w:rPr>
          <w:rFonts w:eastAsia="Calibri"/>
        </w:rPr>
        <w:t>.</w:t>
      </w:r>
    </w:p>
    <w:p w:rsidR="006729C8" w:rsidRPr="003A6FE0" w:rsidP="001B7217" w14:paraId="36351A6A" w14:textId="23672AE1">
      <w:pPr>
        <w:pStyle w:val="BodyText"/>
        <w:rPr>
          <w:rFonts w:ascii="Calibri" w:eastAsia="Calibri" w:hAnsi="Calibri" w:cs="Calibri"/>
          <w:color w:val="000000"/>
          <w:sz w:val="22"/>
          <w:szCs w:val="22"/>
        </w:rPr>
      </w:pPr>
      <w:r>
        <w:rPr>
          <w:rFonts w:eastAsia="Calibri"/>
        </w:rPr>
        <w:t>For the CY 202</w:t>
      </w:r>
      <w:r w:rsidR="00D52AA0">
        <w:rPr>
          <w:rFonts w:eastAsia="Calibri"/>
        </w:rPr>
        <w:t>5</w:t>
      </w:r>
      <w:r>
        <w:rPr>
          <w:rFonts w:eastAsia="Calibri"/>
        </w:rPr>
        <w:t xml:space="preserve"> performance period/202</w:t>
      </w:r>
      <w:r w:rsidR="00D52AA0">
        <w:rPr>
          <w:rFonts w:eastAsia="Calibri"/>
        </w:rPr>
        <w:t>7</w:t>
      </w:r>
      <w:r>
        <w:rPr>
          <w:rFonts w:eastAsia="Calibri"/>
        </w:rPr>
        <w:t xml:space="preserve"> MIPS payment year, w</w:t>
      </w:r>
      <w:r w:rsidRPr="00CC2BFB" w:rsidR="00D27CC7">
        <w:rPr>
          <w:rFonts w:eastAsia="Calibri"/>
        </w:rPr>
        <w:t xml:space="preserve">e </w:t>
      </w:r>
      <w:r w:rsidR="00CA4F5C">
        <w:rPr>
          <w:rFonts w:eastAsia="Calibri"/>
        </w:rPr>
        <w:t xml:space="preserve">continue to </w:t>
      </w:r>
      <w:r w:rsidRPr="00CC2BFB" w:rsidR="00D27CC7">
        <w:rPr>
          <w:rFonts w:eastAsia="Calibri"/>
        </w:rPr>
        <w:t xml:space="preserve">estimate </w:t>
      </w:r>
      <w:r>
        <w:rPr>
          <w:rFonts w:eastAsia="Calibri"/>
        </w:rPr>
        <w:t xml:space="preserve">that </w:t>
      </w:r>
      <w:r w:rsidR="0063585D">
        <w:rPr>
          <w:rFonts w:eastAsia="Calibri"/>
        </w:rPr>
        <w:t>3</w:t>
      </w:r>
      <w:r w:rsidR="00B35F12">
        <w:rPr>
          <w:rFonts w:eastAsia="Calibri"/>
        </w:rPr>
        <w:t>8</w:t>
      </w:r>
      <w:r w:rsidRPr="00367710" w:rsidR="00367710">
        <w:rPr>
          <w:rFonts w:eastAsia="Calibri"/>
        </w:rPr>
        <w:t xml:space="preserve"> clinicians and groups</w:t>
      </w:r>
      <w:r w:rsidR="00DF3437">
        <w:rPr>
          <w:rFonts w:eastAsia="Calibri"/>
        </w:rPr>
        <w:t xml:space="preserve"> </w:t>
      </w:r>
      <w:r w:rsidR="00F71F17">
        <w:rPr>
          <w:rFonts w:eastAsia="Calibri"/>
        </w:rPr>
        <w:t>will voluntarily o</w:t>
      </w:r>
      <w:r w:rsidR="00E26CBD">
        <w:rPr>
          <w:rFonts w:eastAsia="Calibri"/>
        </w:rPr>
        <w:t xml:space="preserve">pt-out </w:t>
      </w:r>
      <w:r w:rsidR="0045663C">
        <w:rPr>
          <w:rFonts w:eastAsia="Calibri"/>
        </w:rPr>
        <w:t>of public reporting</w:t>
      </w:r>
      <w:r w:rsidR="00075E52">
        <w:rPr>
          <w:rFonts w:eastAsia="Calibri"/>
        </w:rPr>
        <w:t xml:space="preserve"> on Compare </w:t>
      </w:r>
      <w:r w:rsidR="009B2DFD">
        <w:rPr>
          <w:rFonts w:eastAsia="Calibri"/>
        </w:rPr>
        <w:t>T</w:t>
      </w:r>
      <w:r w:rsidR="00075E52">
        <w:rPr>
          <w:rFonts w:eastAsia="Calibri"/>
        </w:rPr>
        <w:t>ools</w:t>
      </w:r>
      <w:r w:rsidR="00156E6F">
        <w:rPr>
          <w:rFonts w:eastAsia="Calibri"/>
        </w:rPr>
        <w:t>.</w:t>
      </w:r>
      <w:r w:rsidRPr="00367710" w:rsidR="00156E6F">
        <w:rPr>
          <w:rFonts w:eastAsia="Calibri"/>
        </w:rPr>
        <w:t xml:space="preserve"> </w:t>
      </w:r>
    </w:p>
    <w:p w:rsidR="00F7398F" w:rsidP="001B7217" w14:paraId="12432B04" w14:textId="12CC0000">
      <w:pPr>
        <w:pStyle w:val="BodyText"/>
        <w:rPr>
          <w:rFonts w:eastAsia="Calibri"/>
        </w:rPr>
      </w:pPr>
      <w:r w:rsidRPr="738A46D6">
        <w:rPr>
          <w:rFonts w:eastAsia="Calibri"/>
        </w:rPr>
        <w:t xml:space="preserve">As shown in </w:t>
      </w:r>
      <w:r w:rsidRPr="738A46D6" w:rsidR="443020C0">
        <w:rPr>
          <w:rFonts w:eastAsia="Calibri"/>
        </w:rPr>
        <w:t xml:space="preserve">Table </w:t>
      </w:r>
      <w:r w:rsidRPr="738A46D6">
        <w:rPr>
          <w:rFonts w:eastAsia="Calibri"/>
        </w:rPr>
        <w:t>2</w:t>
      </w:r>
      <w:r w:rsidRPr="738A46D6" w:rsidR="61921197">
        <w:rPr>
          <w:rFonts w:eastAsia="Calibri"/>
        </w:rPr>
        <w:t>7</w:t>
      </w:r>
      <w:r w:rsidRPr="738A46D6" w:rsidR="443020C0">
        <w:rPr>
          <w:rFonts w:eastAsia="Calibri"/>
        </w:rPr>
        <w:t xml:space="preserve">, we estimate </w:t>
      </w:r>
      <w:r w:rsidRPr="738A46D6">
        <w:rPr>
          <w:rFonts w:eastAsia="Calibri"/>
        </w:rPr>
        <w:t xml:space="preserve">that </w:t>
      </w:r>
      <w:r w:rsidRPr="738A46D6" w:rsidR="443020C0">
        <w:rPr>
          <w:rFonts w:eastAsia="Calibri"/>
        </w:rPr>
        <w:t>it w</w:t>
      </w:r>
      <w:r w:rsidRPr="738A46D6" w:rsidR="62E7C471">
        <w:rPr>
          <w:rFonts w:eastAsia="Calibri"/>
        </w:rPr>
        <w:t>ould</w:t>
      </w:r>
      <w:r w:rsidRPr="738A46D6" w:rsidR="443020C0">
        <w:rPr>
          <w:rFonts w:eastAsia="Calibri"/>
        </w:rPr>
        <w:t xml:space="preserve"> take 0.25 hours at </w:t>
      </w:r>
      <w:r w:rsidRPr="738A46D6" w:rsidR="6DF53727">
        <w:rPr>
          <w:rFonts w:eastAsia="Calibri"/>
        </w:rPr>
        <w:t>$106.54</w:t>
      </w:r>
      <w:r w:rsidRPr="738A46D6" w:rsidR="443020C0">
        <w:rPr>
          <w:rFonts w:eastAsia="Calibri"/>
        </w:rPr>
        <w:t xml:space="preserve">/hr for a computer system analyst to submit a request to opt-out. </w:t>
      </w:r>
      <w:r w:rsidRPr="738A46D6" w:rsidR="2EF6F831">
        <w:rPr>
          <w:rFonts w:eastAsia="Calibri"/>
        </w:rPr>
        <w:t xml:space="preserve">In aggregate, we estimate an annual burden of </w:t>
      </w:r>
      <w:r w:rsidRPr="738A46D6" w:rsidR="3760DA6F">
        <w:rPr>
          <w:rFonts w:eastAsia="Calibri"/>
        </w:rPr>
        <w:t>10</w:t>
      </w:r>
      <w:r w:rsidRPr="738A46D6" w:rsidR="2EF6F831">
        <w:rPr>
          <w:rFonts w:eastAsia="Calibri"/>
        </w:rPr>
        <w:t xml:space="preserve"> hours (</w:t>
      </w:r>
      <w:r w:rsidRPr="738A46D6" w:rsidR="1556655A">
        <w:rPr>
          <w:rFonts w:eastAsia="Calibri"/>
        </w:rPr>
        <w:t>38</w:t>
      </w:r>
      <w:r w:rsidRPr="738A46D6" w:rsidR="2EF6F831">
        <w:rPr>
          <w:rFonts w:eastAsia="Calibri"/>
        </w:rPr>
        <w:t xml:space="preserve"> requests </w:t>
      </w:r>
      <w:r w:rsidR="00902FD6">
        <w:t>×</w:t>
      </w:r>
      <w:r w:rsidRPr="738A46D6" w:rsidR="2EF6F831">
        <w:rPr>
          <w:rFonts w:eastAsia="Calibri"/>
        </w:rPr>
        <w:t xml:space="preserve"> 0.25 hr/request) a</w:t>
      </w:r>
      <w:r w:rsidRPr="738A46D6" w:rsidR="4BB06C7D">
        <w:rPr>
          <w:rFonts w:eastAsia="Calibri"/>
        </w:rPr>
        <w:t xml:space="preserve">t a cost </w:t>
      </w:r>
      <w:r w:rsidRPr="738A46D6" w:rsidR="31C5E9ED">
        <w:rPr>
          <w:rFonts w:eastAsia="Calibri"/>
        </w:rPr>
        <w:t>of $</w:t>
      </w:r>
      <w:r w:rsidRPr="738A46D6" w:rsidR="2A4391C3">
        <w:rPr>
          <w:rFonts w:eastAsia="Calibri"/>
        </w:rPr>
        <w:t xml:space="preserve">1,012 </w:t>
      </w:r>
      <w:r w:rsidRPr="738A46D6" w:rsidR="2EF6F831">
        <w:rPr>
          <w:rFonts w:eastAsia="Calibri"/>
        </w:rPr>
        <w:t>(</w:t>
      </w:r>
      <w:r w:rsidRPr="738A46D6" w:rsidR="3FD9F689">
        <w:rPr>
          <w:rFonts w:eastAsia="Calibri"/>
        </w:rPr>
        <w:t>38 requests</w:t>
      </w:r>
      <w:r w:rsidRPr="738A46D6" w:rsidR="2EF6F831">
        <w:rPr>
          <w:rFonts w:eastAsia="Calibri"/>
        </w:rPr>
        <w:t xml:space="preserve"> </w:t>
      </w:r>
      <w:r w:rsidR="00902FD6">
        <w:t>×</w:t>
      </w:r>
      <w:r w:rsidRPr="738A46D6" w:rsidR="2EF6F831">
        <w:rPr>
          <w:rFonts w:eastAsia="Calibri"/>
        </w:rPr>
        <w:t xml:space="preserve"> $</w:t>
      </w:r>
      <w:r w:rsidRPr="738A46D6" w:rsidR="2A4391C3">
        <w:rPr>
          <w:rFonts w:eastAsia="Calibri"/>
        </w:rPr>
        <w:t>26.64</w:t>
      </w:r>
      <w:r w:rsidRPr="738A46D6" w:rsidR="648AB0FB">
        <w:rPr>
          <w:rFonts w:eastAsia="Calibri"/>
        </w:rPr>
        <w:t>/request</w:t>
      </w:r>
      <w:r w:rsidRPr="738A46D6" w:rsidR="2EF6F831">
        <w:rPr>
          <w:rFonts w:eastAsia="Calibri"/>
        </w:rPr>
        <w:t>)</w:t>
      </w:r>
      <w:r w:rsidRPr="738A46D6" w:rsidR="25B462AD">
        <w:rPr>
          <w:rFonts w:eastAsia="Calibri"/>
        </w:rPr>
        <w:t>.</w:t>
      </w:r>
    </w:p>
    <w:p w:rsidR="0088351C" w:rsidRPr="009B39F0" w:rsidP="00361BB4" w14:paraId="1A8574DD" w14:textId="43291191">
      <w:pPr>
        <w:pStyle w:val="ExhibitTitle"/>
        <w:rPr>
          <w:b w:val="0"/>
          <w:bCs/>
        </w:rPr>
      </w:pPr>
      <w:r w:rsidRPr="009B39F0">
        <w:rPr>
          <w:b w:val="0"/>
          <w:bCs/>
        </w:rPr>
        <w:t>T</w:t>
      </w:r>
      <w:r w:rsidRPr="009B39F0" w:rsidR="65342503">
        <w:rPr>
          <w:b w:val="0"/>
          <w:bCs/>
        </w:rPr>
        <w:t>able</w:t>
      </w:r>
      <w:r w:rsidRPr="009B39F0">
        <w:rPr>
          <w:b w:val="0"/>
          <w:bCs/>
        </w:rPr>
        <w:t xml:space="preserve"> </w:t>
      </w:r>
      <w:r w:rsidRPr="009B39F0" w:rsidR="07CDB7B7">
        <w:rPr>
          <w:b w:val="0"/>
          <w:bCs/>
        </w:rPr>
        <w:t>2</w:t>
      </w:r>
      <w:r w:rsidRPr="009B39F0" w:rsidR="5F0B0C2B">
        <w:rPr>
          <w:b w:val="0"/>
          <w:bCs/>
        </w:rPr>
        <w:t>7</w:t>
      </w:r>
      <w:r w:rsidRPr="009B39F0" w:rsidR="24C58562">
        <w:rPr>
          <w:b w:val="0"/>
          <w:bCs/>
        </w:rPr>
        <w:t xml:space="preserve">: </w:t>
      </w:r>
      <w:r w:rsidRPr="009B39F0">
        <w:rPr>
          <w:b w:val="0"/>
          <w:bCs/>
        </w:rPr>
        <w:t>Estimate</w:t>
      </w:r>
      <w:r w:rsidRPr="009B39F0" w:rsidR="24C58562">
        <w:rPr>
          <w:b w:val="0"/>
          <w:bCs/>
        </w:rPr>
        <w:t>d</w:t>
      </w:r>
      <w:r w:rsidRPr="009B39F0">
        <w:rPr>
          <w:b w:val="0"/>
          <w:bCs/>
        </w:rPr>
        <w:t xml:space="preserve"> </w:t>
      </w:r>
      <w:r w:rsidRPr="009B39F0" w:rsidR="24C58562">
        <w:rPr>
          <w:b w:val="0"/>
          <w:bCs/>
        </w:rPr>
        <w:t xml:space="preserve">Burden </w:t>
      </w:r>
      <w:r w:rsidRPr="009B39F0">
        <w:rPr>
          <w:b w:val="0"/>
          <w:bCs/>
        </w:rPr>
        <w:t xml:space="preserve">for </w:t>
      </w:r>
      <w:bookmarkStart w:id="193" w:name="_Hlk493192926"/>
      <w:r w:rsidRPr="009B39F0">
        <w:rPr>
          <w:b w:val="0"/>
          <w:bCs/>
        </w:rPr>
        <w:t xml:space="preserve">Voluntary Participants </w:t>
      </w:r>
      <w:r w:rsidRPr="009B39F0" w:rsidR="0611FA73">
        <w:rPr>
          <w:b w:val="0"/>
          <w:bCs/>
        </w:rPr>
        <w:t xml:space="preserve">Election </w:t>
      </w:r>
      <w:r w:rsidRPr="009B39F0" w:rsidR="55411527">
        <w:rPr>
          <w:b w:val="0"/>
          <w:bCs/>
        </w:rPr>
        <w:t>to</w:t>
      </w:r>
      <w:r w:rsidRPr="009B39F0">
        <w:rPr>
          <w:b w:val="0"/>
          <w:bCs/>
        </w:rPr>
        <w:t xml:space="preserve"> Opt</w:t>
      </w:r>
      <w:r w:rsidRPr="009B39F0" w:rsidR="077DBF77">
        <w:rPr>
          <w:b w:val="0"/>
          <w:bCs/>
        </w:rPr>
        <w:t>-</w:t>
      </w:r>
      <w:r w:rsidRPr="009B39F0">
        <w:rPr>
          <w:b w:val="0"/>
          <w:bCs/>
        </w:rPr>
        <w:t>Out of Performance Data Display on Compare</w:t>
      </w:r>
      <w:bookmarkEnd w:id="193"/>
      <w:r w:rsidRPr="009B39F0" w:rsidR="5AF2B995">
        <w:rPr>
          <w:b w:val="0"/>
          <w:bCs/>
        </w:rPr>
        <w:t xml:space="preserve"> Tools</w:t>
      </w:r>
    </w:p>
    <w:tbl>
      <w:tblPr>
        <w:tblDescription w:val="Table 27: the estimated burden for M I P S eligible clinicians to request opting out of performance data display on Compare Tools."/>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5"/>
        <w:gridCol w:w="1800"/>
      </w:tblGrid>
      <w:tr w14:paraId="627E38CB" w14:textId="77777777" w:rsidTr="006517B1">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7195" w:type="dxa"/>
            <w:shd w:val="clear" w:color="auto" w:fill="auto"/>
            <w:hideMark/>
          </w:tcPr>
          <w:p w:rsidR="0088351C" w:rsidRPr="0088351C" w:rsidP="006517B1" w14:paraId="0CE0FC0F" w14:textId="1263E59A">
            <w:pPr>
              <w:pStyle w:val="Table11-ColumnHeading"/>
            </w:pPr>
            <w:r w:rsidRPr="0088351C">
              <w:t>Burden and Respondent Descriptions</w:t>
            </w:r>
          </w:p>
        </w:tc>
        <w:tc>
          <w:tcPr>
            <w:tcW w:w="1800" w:type="dxa"/>
            <w:shd w:val="clear" w:color="auto" w:fill="auto"/>
            <w:hideMark/>
          </w:tcPr>
          <w:p w:rsidR="0088351C" w:rsidRPr="0047482B" w:rsidP="006517B1" w14:paraId="2E3280A6" w14:textId="77777777">
            <w:pPr>
              <w:pStyle w:val="Table11-ColumnHeading"/>
            </w:pPr>
            <w:r w:rsidRPr="0047482B">
              <w:t>Burden Estimate</w:t>
            </w:r>
          </w:p>
        </w:tc>
      </w:tr>
      <w:tr w14:paraId="4D32A2AC" w14:textId="77777777" w:rsidTr="006517B1">
        <w:tblPrEx>
          <w:tblW w:w="8995" w:type="dxa"/>
          <w:tblLook w:val="04A0"/>
        </w:tblPrEx>
        <w:trPr>
          <w:cantSplit/>
        </w:trPr>
        <w:tc>
          <w:tcPr>
            <w:tcW w:w="7195" w:type="dxa"/>
            <w:shd w:val="clear" w:color="auto" w:fill="auto"/>
            <w:hideMark/>
          </w:tcPr>
          <w:p w:rsidR="007126F1" w:rsidRPr="0047482B" w:rsidP="006517B1" w14:paraId="1F55B172" w14:textId="77777777">
            <w:pPr>
              <w:pStyle w:val="Table11Basic"/>
            </w:pPr>
            <w:r w:rsidRPr="00732012">
              <w:t># of Voluntary Participants Opting Out of Physician Compare (a)</w:t>
            </w:r>
          </w:p>
        </w:tc>
        <w:tc>
          <w:tcPr>
            <w:tcW w:w="1800" w:type="dxa"/>
            <w:shd w:val="clear" w:color="auto" w:fill="auto"/>
            <w:hideMark/>
          </w:tcPr>
          <w:p w:rsidR="007126F1" w:rsidRPr="0047482B" w:rsidP="006517B1" w14:paraId="358512E5" w14:textId="3DB95E61">
            <w:pPr>
              <w:pStyle w:val="Table11Basic"/>
              <w:jc w:val="center"/>
            </w:pPr>
            <w:r>
              <w:t>3</w:t>
            </w:r>
            <w:r w:rsidR="00855E41">
              <w:t>8</w:t>
            </w:r>
          </w:p>
        </w:tc>
      </w:tr>
      <w:tr w14:paraId="63284314" w14:textId="77777777" w:rsidTr="006517B1">
        <w:tblPrEx>
          <w:tblW w:w="8995" w:type="dxa"/>
          <w:tblLook w:val="04A0"/>
        </w:tblPrEx>
        <w:trPr>
          <w:cantSplit/>
        </w:trPr>
        <w:tc>
          <w:tcPr>
            <w:tcW w:w="7195" w:type="dxa"/>
            <w:shd w:val="clear" w:color="auto" w:fill="auto"/>
            <w:hideMark/>
          </w:tcPr>
          <w:p w:rsidR="007126F1" w:rsidRPr="0047482B" w:rsidP="006517B1" w14:paraId="2A978544" w14:textId="77777777">
            <w:pPr>
              <w:pStyle w:val="Table11Basic"/>
            </w:pPr>
            <w:r w:rsidRPr="00732012">
              <w:t>Total Annual Hours Per Opt-out Requester (b)</w:t>
            </w:r>
          </w:p>
        </w:tc>
        <w:tc>
          <w:tcPr>
            <w:tcW w:w="1800" w:type="dxa"/>
            <w:shd w:val="clear" w:color="auto" w:fill="auto"/>
            <w:hideMark/>
          </w:tcPr>
          <w:p w:rsidR="007126F1" w:rsidRPr="0047482B" w:rsidP="006517B1" w14:paraId="11E040F2" w14:textId="69C22518">
            <w:pPr>
              <w:pStyle w:val="Table11Basic"/>
              <w:jc w:val="center"/>
            </w:pPr>
            <w:r w:rsidRPr="00906435">
              <w:t>0.25</w:t>
            </w:r>
          </w:p>
        </w:tc>
      </w:tr>
      <w:tr w14:paraId="0B295030" w14:textId="77777777" w:rsidTr="006517B1">
        <w:tblPrEx>
          <w:tblW w:w="8995" w:type="dxa"/>
          <w:tblLook w:val="04A0"/>
        </w:tblPrEx>
        <w:trPr>
          <w:cantSplit/>
        </w:trPr>
        <w:tc>
          <w:tcPr>
            <w:tcW w:w="7195" w:type="dxa"/>
            <w:shd w:val="clear" w:color="auto" w:fill="E7E6E6" w:themeFill="background2"/>
            <w:hideMark/>
          </w:tcPr>
          <w:p w:rsidR="007126F1" w:rsidRPr="00485667" w:rsidP="006517B1" w14:paraId="1AA234D4" w14:textId="25A73BA1">
            <w:pPr>
              <w:pStyle w:val="Table11Basic"/>
              <w:rPr>
                <w:b/>
              </w:rPr>
            </w:pPr>
            <w:r w:rsidRPr="00485667">
              <w:rPr>
                <w:b/>
              </w:rPr>
              <w:t>Total Annual Hours (c) = (a)</w:t>
            </w:r>
            <w:r w:rsidR="00D96441">
              <w:rPr>
                <w:b/>
              </w:rPr>
              <w:t xml:space="preserve"> </w:t>
            </w:r>
            <w:r w:rsidR="006C6311">
              <w:rPr>
                <w:b/>
              </w:rPr>
              <w:t>[</w:t>
            </w:r>
            <w:r w:rsidRPr="00902FD6" w:rsidR="00902FD6">
              <w:rPr>
                <w:b/>
                <w:bCs/>
              </w:rPr>
              <w:t>×</w:t>
            </w:r>
            <w:r w:rsidR="006C6311">
              <w:rPr>
                <w:b/>
              </w:rPr>
              <w:t>]</w:t>
            </w:r>
            <w:r w:rsidRPr="00533688" w:rsidR="00533688">
              <w:rPr>
                <w:b/>
              </w:rPr>
              <w:t xml:space="preserve"> </w:t>
            </w:r>
            <w:r w:rsidRPr="00485667">
              <w:rPr>
                <w:b/>
              </w:rPr>
              <w:t>(b)</w:t>
            </w:r>
          </w:p>
        </w:tc>
        <w:tc>
          <w:tcPr>
            <w:tcW w:w="1800" w:type="dxa"/>
            <w:shd w:val="clear" w:color="auto" w:fill="E7E6E6" w:themeFill="background2"/>
            <w:hideMark/>
          </w:tcPr>
          <w:p w:rsidR="007126F1" w:rsidRPr="00485667" w:rsidP="006517B1" w14:paraId="5BD16555" w14:textId="2F1B2963">
            <w:pPr>
              <w:pStyle w:val="Table11Basic"/>
              <w:jc w:val="center"/>
              <w:rPr>
                <w:b/>
              </w:rPr>
            </w:pPr>
            <w:r>
              <w:rPr>
                <w:b/>
              </w:rPr>
              <w:t>10</w:t>
            </w:r>
          </w:p>
        </w:tc>
      </w:tr>
      <w:tr w14:paraId="7F5AC91A" w14:textId="77777777" w:rsidTr="006517B1">
        <w:tblPrEx>
          <w:tblW w:w="8995" w:type="dxa"/>
          <w:tblLook w:val="04A0"/>
        </w:tblPrEx>
        <w:trPr>
          <w:cantSplit/>
        </w:trPr>
        <w:tc>
          <w:tcPr>
            <w:tcW w:w="7195" w:type="dxa"/>
            <w:shd w:val="clear" w:color="auto" w:fill="auto"/>
            <w:hideMark/>
          </w:tcPr>
          <w:p w:rsidR="007126F1" w:rsidRPr="0047482B" w:rsidP="006517B1" w14:paraId="4AF600E7" w14:textId="517F193A">
            <w:pPr>
              <w:pStyle w:val="Table11Basic"/>
            </w:pPr>
            <w:r>
              <w:t xml:space="preserve">Cost </w:t>
            </w:r>
            <w:r w:rsidR="00C0596F">
              <w:t>P</w:t>
            </w:r>
            <w:r>
              <w:t xml:space="preserve">er </w:t>
            </w:r>
            <w:r w:rsidR="00C0596F">
              <w:t>R</w:t>
            </w:r>
            <w:r>
              <w:t>e</w:t>
            </w:r>
            <w:r w:rsidR="007220DC">
              <w:t>quest</w:t>
            </w:r>
            <w:r>
              <w:t xml:space="preserve"> at </w:t>
            </w:r>
            <w:r w:rsidRPr="00732012">
              <w:t xml:space="preserve">Labor </w:t>
            </w:r>
            <w:r w:rsidR="00C0596F">
              <w:t>R</w:t>
            </w:r>
            <w:r w:rsidRPr="00732012">
              <w:t xml:space="preserve">ate for a </w:t>
            </w:r>
            <w:r w:rsidR="005C68C5">
              <w:t>C</w:t>
            </w:r>
            <w:r w:rsidRPr="00732012">
              <w:t xml:space="preserve">omputer </w:t>
            </w:r>
            <w:r w:rsidR="005C68C5">
              <w:t>S</w:t>
            </w:r>
            <w:r w:rsidRPr="00732012">
              <w:t xml:space="preserve">ystems </w:t>
            </w:r>
            <w:r w:rsidR="005C68C5">
              <w:t>A</w:t>
            </w:r>
            <w:r w:rsidRPr="00732012">
              <w:t>nalyst (d)</w:t>
            </w:r>
            <w:r>
              <w:t xml:space="preserve"> = (b) [</w:t>
            </w:r>
            <w:r w:rsidR="00902FD6">
              <w:t>×</w:t>
            </w:r>
            <w:r>
              <w:t xml:space="preserve">] </w:t>
            </w:r>
            <w:r w:rsidR="007D530F">
              <w:t>$106.54</w:t>
            </w:r>
            <w:r>
              <w:t>/hr</w:t>
            </w:r>
          </w:p>
        </w:tc>
        <w:tc>
          <w:tcPr>
            <w:tcW w:w="1800" w:type="dxa"/>
            <w:shd w:val="clear" w:color="auto" w:fill="auto"/>
            <w:hideMark/>
          </w:tcPr>
          <w:p w:rsidR="007126F1" w:rsidRPr="0047482B" w:rsidP="006517B1" w14:paraId="5A8D71FC" w14:textId="4B86B64B">
            <w:pPr>
              <w:pStyle w:val="Table11Basic"/>
              <w:jc w:val="center"/>
            </w:pPr>
            <w:r>
              <w:t>$</w:t>
            </w:r>
            <w:r w:rsidR="006B6078">
              <w:t>26.64</w:t>
            </w:r>
          </w:p>
        </w:tc>
      </w:tr>
      <w:tr w14:paraId="03E15AAC" w14:textId="77777777" w:rsidTr="006517B1">
        <w:tblPrEx>
          <w:tblW w:w="8995" w:type="dxa"/>
          <w:tblLook w:val="04A0"/>
        </w:tblPrEx>
        <w:trPr>
          <w:cantSplit/>
        </w:trPr>
        <w:tc>
          <w:tcPr>
            <w:tcW w:w="7195" w:type="dxa"/>
            <w:shd w:val="clear" w:color="auto" w:fill="E7E6E6" w:themeFill="background2"/>
            <w:hideMark/>
          </w:tcPr>
          <w:p w:rsidR="007126F1" w:rsidRPr="00485667" w:rsidP="006517B1" w14:paraId="58E1F49D" w14:textId="4B7324E4">
            <w:pPr>
              <w:pStyle w:val="Table11Basic"/>
              <w:rPr>
                <w:b/>
              </w:rPr>
            </w:pPr>
            <w:r w:rsidRPr="00485667">
              <w:rPr>
                <w:b/>
              </w:rPr>
              <w:t>Total Annual Cost (e) = (</w:t>
            </w:r>
            <w:r w:rsidR="007220DC">
              <w:rPr>
                <w:b/>
              </w:rPr>
              <w:t>a</w:t>
            </w:r>
            <w:r w:rsidRPr="00485667">
              <w:rPr>
                <w:b/>
              </w:rPr>
              <w:t>)</w:t>
            </w:r>
            <w:r w:rsidR="00D96441">
              <w:rPr>
                <w:b/>
              </w:rPr>
              <w:t xml:space="preserve"> </w:t>
            </w:r>
            <w:r w:rsidR="006C6311">
              <w:rPr>
                <w:b/>
              </w:rPr>
              <w:t>[</w:t>
            </w:r>
            <w:r w:rsidRPr="00902FD6" w:rsidR="00902FD6">
              <w:rPr>
                <w:b/>
                <w:bCs/>
              </w:rPr>
              <w:t>×</w:t>
            </w:r>
            <w:r w:rsidR="006C6311">
              <w:rPr>
                <w:b/>
              </w:rPr>
              <w:t>]</w:t>
            </w:r>
            <w:r w:rsidRPr="00533688" w:rsidR="00533688">
              <w:rPr>
                <w:b/>
              </w:rPr>
              <w:t xml:space="preserve"> </w:t>
            </w:r>
            <w:r w:rsidRPr="00485667">
              <w:rPr>
                <w:b/>
              </w:rPr>
              <w:t>(d)</w:t>
            </w:r>
          </w:p>
        </w:tc>
        <w:tc>
          <w:tcPr>
            <w:tcW w:w="1800" w:type="dxa"/>
            <w:shd w:val="clear" w:color="auto" w:fill="E7E6E6" w:themeFill="background2"/>
            <w:hideMark/>
          </w:tcPr>
          <w:p w:rsidR="007126F1" w:rsidRPr="00485667" w:rsidP="006517B1" w14:paraId="6F7202C6" w14:textId="38961F98">
            <w:pPr>
              <w:pStyle w:val="Table11Basic"/>
              <w:jc w:val="center"/>
              <w:rPr>
                <w:b/>
              </w:rPr>
            </w:pPr>
            <w:r w:rsidRPr="00485667">
              <w:rPr>
                <w:b/>
              </w:rPr>
              <w:t>$</w:t>
            </w:r>
            <w:r w:rsidR="006B6078">
              <w:rPr>
                <w:b/>
              </w:rPr>
              <w:t>1,012</w:t>
            </w:r>
          </w:p>
        </w:tc>
      </w:tr>
    </w:tbl>
    <w:p w:rsidR="00BC111B" w:rsidRPr="006E6DEB" w:rsidP="006E6DEB" w14:paraId="65DF856E" w14:textId="61A10928">
      <w:pPr>
        <w:pStyle w:val="Heading4"/>
        <w:rPr>
          <w:bCs/>
        </w:rPr>
      </w:pPr>
      <w:r w:rsidRPr="006E6DEB">
        <w:rPr>
          <w:bCs/>
        </w:rPr>
        <w:t>p</w:t>
      </w:r>
      <w:r w:rsidRPr="006E6DEB" w:rsidR="0039426D">
        <w:rPr>
          <w:bCs/>
        </w:rPr>
        <w:t>.</w:t>
      </w:r>
      <w:r w:rsidRPr="006E6DEB" w:rsidR="0039426D">
        <w:rPr>
          <w:bCs/>
        </w:rPr>
        <w:tab/>
      </w:r>
      <w:r w:rsidRPr="006E6DEB">
        <w:rPr>
          <w:bCs/>
        </w:rPr>
        <w:t>Burden Estimate Summary</w:t>
      </w:r>
    </w:p>
    <w:p w:rsidR="00BC111B" w:rsidRPr="00D74F5F" w:rsidP="0067016B" w14:paraId="4B0EACDE" w14:textId="13F7A156">
      <w:pPr>
        <w:pStyle w:val="BodyText-PostHead"/>
        <w:spacing w:before="240"/>
        <w:rPr>
          <w:rFonts w:eastAsiaTheme="majorEastAsia"/>
          <w:snapToGrid w:val="0"/>
        </w:rPr>
      </w:pPr>
      <w:r w:rsidRPr="738A46D6">
        <w:rPr>
          <w:rFonts w:eastAsiaTheme="majorEastAsia"/>
          <w:snapToGrid w:val="0"/>
        </w:rPr>
        <w:t>Table 2</w:t>
      </w:r>
      <w:r w:rsidRPr="738A46D6" w:rsidR="51EBE637">
        <w:rPr>
          <w:rFonts w:eastAsiaTheme="majorEastAsia"/>
          <w:snapToGrid w:val="0"/>
        </w:rPr>
        <w:t>8</w:t>
      </w:r>
      <w:r w:rsidRPr="738A46D6">
        <w:rPr>
          <w:rFonts w:eastAsiaTheme="majorEastAsia"/>
          <w:snapToGrid w:val="0"/>
        </w:rPr>
        <w:t xml:space="preserve"> below provide summaries of all burden estimates for each of the information collections included in this PRA for the CY 202</w:t>
      </w:r>
      <w:r w:rsidRPr="738A46D6" w:rsidR="60D70DC9">
        <w:rPr>
          <w:rFonts w:eastAsiaTheme="majorEastAsia"/>
        </w:rPr>
        <w:t>5</w:t>
      </w:r>
      <w:r w:rsidRPr="738A46D6">
        <w:rPr>
          <w:rFonts w:eastAsiaTheme="majorEastAsia"/>
          <w:snapToGrid w:val="0"/>
        </w:rPr>
        <w:t xml:space="preserve"> performance period/202</w:t>
      </w:r>
      <w:r w:rsidRPr="738A46D6" w:rsidR="4E060F45">
        <w:rPr>
          <w:rFonts w:eastAsiaTheme="majorEastAsia"/>
        </w:rPr>
        <w:t>7</w:t>
      </w:r>
      <w:r w:rsidRPr="738A46D6">
        <w:rPr>
          <w:rFonts w:eastAsiaTheme="majorEastAsia"/>
          <w:snapToGrid w:val="0"/>
        </w:rPr>
        <w:t xml:space="preserve"> MIPS payment year. With respect to the PRA, the CY 202</w:t>
      </w:r>
      <w:r w:rsidRPr="738A46D6" w:rsidR="00BBD594">
        <w:rPr>
          <w:rFonts w:eastAsiaTheme="majorEastAsia"/>
        </w:rPr>
        <w:t>5</w:t>
      </w:r>
      <w:r w:rsidRPr="738A46D6">
        <w:rPr>
          <w:rFonts w:eastAsiaTheme="majorEastAsia"/>
          <w:snapToGrid w:val="0"/>
        </w:rPr>
        <w:t xml:space="preserve"> PFS </w:t>
      </w:r>
      <w:r w:rsidR="00DA0C21">
        <w:rPr>
          <w:rFonts w:eastAsiaTheme="majorEastAsia"/>
        </w:rPr>
        <w:t>final</w:t>
      </w:r>
      <w:r w:rsidRPr="738A46D6" w:rsidR="00DA0C21">
        <w:rPr>
          <w:rFonts w:eastAsiaTheme="majorEastAsia"/>
        </w:rPr>
        <w:t xml:space="preserve"> </w:t>
      </w:r>
      <w:r w:rsidRPr="738A46D6">
        <w:rPr>
          <w:rFonts w:eastAsiaTheme="majorEastAsia"/>
          <w:snapToGrid w:val="0"/>
        </w:rPr>
        <w:t xml:space="preserve">rule does not impose any non-labor costs. </w:t>
      </w:r>
    </w:p>
    <w:p w:rsidR="00BC111B" w:rsidRPr="009B39F0" w:rsidP="00361BB4" w14:paraId="0D0AADAC" w14:textId="2E96EEB6">
      <w:pPr>
        <w:pStyle w:val="ExhibitTitle"/>
        <w:rPr>
          <w:b w:val="0"/>
          <w:bCs/>
        </w:rPr>
      </w:pPr>
      <w:r w:rsidRPr="009B39F0">
        <w:rPr>
          <w:b w:val="0"/>
          <w:bCs/>
        </w:rPr>
        <w:t>T</w:t>
      </w:r>
      <w:r w:rsidRPr="009B39F0" w:rsidR="00E3E7BF">
        <w:rPr>
          <w:b w:val="0"/>
          <w:bCs/>
        </w:rPr>
        <w:t>able</w:t>
      </w:r>
      <w:r w:rsidRPr="009B39F0">
        <w:rPr>
          <w:b w:val="0"/>
          <w:bCs/>
        </w:rPr>
        <w:t xml:space="preserve"> 2</w:t>
      </w:r>
      <w:r w:rsidRPr="009B39F0" w:rsidR="3F7CA0D8">
        <w:rPr>
          <w:b w:val="0"/>
          <w:bCs/>
        </w:rPr>
        <w:t>8</w:t>
      </w:r>
      <w:r w:rsidRPr="009B39F0">
        <w:rPr>
          <w:b w:val="0"/>
          <w:bCs/>
        </w:rPr>
        <w:t>: CY 202</w:t>
      </w:r>
      <w:r w:rsidRPr="009B39F0" w:rsidR="16BD6578">
        <w:rPr>
          <w:b w:val="0"/>
          <w:bCs/>
        </w:rPr>
        <w:t>5</w:t>
      </w:r>
      <w:r w:rsidRPr="009B39F0">
        <w:rPr>
          <w:b w:val="0"/>
          <w:bCs/>
        </w:rPr>
        <w:t xml:space="preserve"> Performance Period/202</w:t>
      </w:r>
      <w:r w:rsidRPr="009B39F0" w:rsidR="755A601D">
        <w:rPr>
          <w:b w:val="0"/>
          <w:bCs/>
        </w:rPr>
        <w:t>7</w:t>
      </w:r>
      <w:r w:rsidRPr="009B39F0">
        <w:rPr>
          <w:b w:val="0"/>
          <w:bCs/>
        </w:rPr>
        <w:t xml:space="preserve"> MIPS Payment Year Burden Summary</w:t>
      </w:r>
    </w:p>
    <w:tbl>
      <w:tblPr>
        <w:tblDescription w:val="Table 28: the estimated burden summary for all the I C R s described in tables 3 through 27."/>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0"/>
        <w:gridCol w:w="870"/>
        <w:gridCol w:w="1245"/>
        <w:gridCol w:w="1045"/>
        <w:gridCol w:w="1065"/>
        <w:gridCol w:w="1065"/>
        <w:gridCol w:w="1110"/>
        <w:gridCol w:w="1155"/>
      </w:tblGrid>
      <w:tr w14:paraId="4C225C06" w14:textId="77777777" w:rsidTr="00FB1A47">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
          <w:tblHeader/>
        </w:trPr>
        <w:tc>
          <w:tcPr>
            <w:tcW w:w="1890" w:type="dxa"/>
          </w:tcPr>
          <w:p w:rsidR="001341EB" w:rsidRPr="00924421" w14:paraId="299333C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rPr>
                <w:b/>
                <w:sz w:val="20"/>
                <w:szCs w:val="20"/>
              </w:rPr>
            </w:pPr>
            <w:bookmarkStart w:id="194" w:name="_Hlk186718430"/>
            <w:r w:rsidRPr="00924421">
              <w:rPr>
                <w:b/>
                <w:bCs/>
                <w:color w:val="000000"/>
                <w:sz w:val="20"/>
                <w:szCs w:val="20"/>
              </w:rPr>
              <w:t>Regulation Section(s) Under Title 42 of the CFR</w:t>
            </w:r>
          </w:p>
        </w:tc>
        <w:tc>
          <w:tcPr>
            <w:tcW w:w="870" w:type="dxa"/>
          </w:tcPr>
          <w:p w:rsidR="001341EB" w:rsidRPr="00924421" w14:paraId="0F35860D" w14:textId="77777777">
            <w:pPr>
              <w:keepNext/>
              <w:keepLines/>
              <w:tabs>
                <w:tab w:val="left" w:pos="-1080"/>
                <w:tab w:val="left" w:pos="-540"/>
                <w:tab w:val="left" w:pos="154"/>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ind w:left="-116" w:right="-101"/>
              <w:jc w:val="center"/>
              <w:rPr>
                <w:b/>
                <w:bCs/>
                <w:color w:val="000000"/>
                <w:sz w:val="20"/>
                <w:szCs w:val="20"/>
              </w:rPr>
            </w:pPr>
            <w:r w:rsidRPr="00924421">
              <w:rPr>
                <w:b/>
                <w:bCs/>
                <w:color w:val="000000"/>
                <w:sz w:val="20"/>
                <w:szCs w:val="20"/>
              </w:rPr>
              <w:t>Table N</w:t>
            </w:r>
            <w:r>
              <w:rPr>
                <w:b/>
                <w:bCs/>
                <w:color w:val="000000"/>
                <w:sz w:val="20"/>
                <w:szCs w:val="20"/>
              </w:rPr>
              <w:t>umber</w:t>
            </w:r>
          </w:p>
        </w:tc>
        <w:tc>
          <w:tcPr>
            <w:tcW w:w="1245" w:type="dxa"/>
          </w:tcPr>
          <w:p w:rsidR="001341EB" w:rsidRPr="00924421" w14:paraId="13645BC5" w14:textId="77777777">
            <w:pPr>
              <w:keepNext/>
              <w:keepLines/>
              <w:tabs>
                <w:tab w:val="left" w:pos="-1080"/>
                <w:tab w:val="left" w:pos="-540"/>
                <w:tab w:val="left" w:pos="154"/>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ind w:left="-116" w:right="-101"/>
              <w:jc w:val="center"/>
              <w:rPr>
                <w:b/>
                <w:bCs/>
                <w:color w:val="000000"/>
                <w:sz w:val="20"/>
                <w:szCs w:val="20"/>
              </w:rPr>
            </w:pPr>
            <w:r w:rsidRPr="00924421">
              <w:rPr>
                <w:b/>
                <w:bCs/>
                <w:color w:val="000000"/>
                <w:sz w:val="20"/>
                <w:szCs w:val="20"/>
              </w:rPr>
              <w:t>N</w:t>
            </w:r>
            <w:r>
              <w:rPr>
                <w:b/>
                <w:bCs/>
                <w:color w:val="000000"/>
                <w:sz w:val="20"/>
                <w:szCs w:val="20"/>
              </w:rPr>
              <w:t>umber of</w:t>
            </w:r>
            <w:r w:rsidRPr="00924421">
              <w:rPr>
                <w:b/>
                <w:bCs/>
                <w:color w:val="000000"/>
                <w:sz w:val="20"/>
                <w:szCs w:val="20"/>
              </w:rPr>
              <w:t xml:space="preserve"> Respondents</w:t>
            </w:r>
          </w:p>
        </w:tc>
        <w:tc>
          <w:tcPr>
            <w:tcW w:w="1045" w:type="dxa"/>
          </w:tcPr>
          <w:p w:rsidR="001341EB" w14:paraId="0C214D24" w14:textId="77777777">
            <w:pPr>
              <w:keepNext/>
              <w:keepLines/>
              <w:tabs>
                <w:tab w:val="left" w:pos="-1080"/>
                <w:tab w:val="left" w:pos="-540"/>
                <w:tab w:val="left" w:pos="154"/>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ind w:left="-116" w:right="-101"/>
              <w:jc w:val="center"/>
              <w:rPr>
                <w:b/>
                <w:bCs/>
                <w:color w:val="000000"/>
                <w:sz w:val="20"/>
                <w:szCs w:val="20"/>
              </w:rPr>
            </w:pPr>
            <w:r>
              <w:rPr>
                <w:b/>
                <w:bCs/>
                <w:color w:val="000000"/>
                <w:sz w:val="20"/>
                <w:szCs w:val="20"/>
              </w:rPr>
              <w:t>Total</w:t>
            </w:r>
          </w:p>
          <w:p w:rsidR="001341EB" w:rsidRPr="00924421" w14:paraId="749916DF" w14:textId="77777777">
            <w:pPr>
              <w:keepNext/>
              <w:keepLines/>
              <w:tabs>
                <w:tab w:val="left" w:pos="-1080"/>
                <w:tab w:val="left" w:pos="-540"/>
                <w:tab w:val="left" w:pos="154"/>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ind w:left="-116" w:right="-101"/>
              <w:jc w:val="center"/>
              <w:rPr>
                <w:b/>
                <w:sz w:val="20"/>
                <w:szCs w:val="20"/>
              </w:rPr>
            </w:pPr>
            <w:r w:rsidRPr="00924421">
              <w:rPr>
                <w:b/>
                <w:bCs/>
                <w:color w:val="000000"/>
                <w:sz w:val="20"/>
                <w:szCs w:val="20"/>
              </w:rPr>
              <w:t>Responses</w:t>
            </w:r>
          </w:p>
        </w:tc>
        <w:tc>
          <w:tcPr>
            <w:tcW w:w="1065" w:type="dxa"/>
          </w:tcPr>
          <w:p w:rsidR="001341EB" w:rsidRPr="00924421" w14:paraId="300F5D14" w14:textId="77777777">
            <w:pPr>
              <w:keepNext/>
              <w:keepLines/>
              <w:tabs>
                <w:tab w:val="left" w:pos="-1080"/>
                <w:tab w:val="left" w:pos="-540"/>
                <w:tab w:val="left" w:pos="154"/>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ind w:left="-116" w:right="-101"/>
              <w:jc w:val="center"/>
              <w:rPr>
                <w:b/>
                <w:sz w:val="20"/>
                <w:szCs w:val="20"/>
              </w:rPr>
            </w:pPr>
            <w:r w:rsidRPr="00924421">
              <w:rPr>
                <w:b/>
                <w:bCs/>
                <w:color w:val="000000"/>
                <w:sz w:val="20"/>
                <w:szCs w:val="20"/>
              </w:rPr>
              <w:t>Time per Response (hours)</w:t>
            </w:r>
          </w:p>
        </w:tc>
        <w:tc>
          <w:tcPr>
            <w:tcW w:w="1065" w:type="dxa"/>
          </w:tcPr>
          <w:p w:rsidR="001341EB" w:rsidRPr="00924421" w14:paraId="587289AD" w14:textId="77777777">
            <w:pPr>
              <w:keepNext/>
              <w:keepLines/>
              <w:tabs>
                <w:tab w:val="left" w:pos="-1080"/>
                <w:tab w:val="left" w:pos="-540"/>
                <w:tab w:val="left" w:pos="154"/>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ind w:left="-116" w:right="-101"/>
              <w:jc w:val="center"/>
              <w:rPr>
                <w:b/>
                <w:sz w:val="20"/>
                <w:szCs w:val="20"/>
              </w:rPr>
            </w:pPr>
            <w:r w:rsidRPr="00924421">
              <w:rPr>
                <w:b/>
                <w:bCs/>
                <w:color w:val="000000"/>
                <w:sz w:val="20"/>
                <w:szCs w:val="20"/>
              </w:rPr>
              <w:t>Total Time (hours)</w:t>
            </w:r>
          </w:p>
        </w:tc>
        <w:tc>
          <w:tcPr>
            <w:tcW w:w="1110" w:type="dxa"/>
          </w:tcPr>
          <w:p w:rsidR="001341EB" w:rsidRPr="00924421" w14:paraId="3D18A1A4" w14:textId="77777777">
            <w:pPr>
              <w:keepNext/>
              <w:keepLines/>
              <w:tabs>
                <w:tab w:val="left" w:pos="154"/>
              </w:tabs>
              <w:spacing w:after="0"/>
              <w:ind w:left="-116" w:right="-101"/>
              <w:jc w:val="center"/>
              <w:rPr>
                <w:b/>
                <w:sz w:val="20"/>
                <w:szCs w:val="20"/>
              </w:rPr>
            </w:pPr>
            <w:r w:rsidRPr="00924421">
              <w:rPr>
                <w:b/>
                <w:bCs/>
                <w:color w:val="000000"/>
                <w:sz w:val="20"/>
                <w:szCs w:val="20"/>
              </w:rPr>
              <w:t>Labor</w:t>
            </w:r>
            <w:r>
              <w:rPr>
                <w:b/>
                <w:bCs/>
                <w:color w:val="000000"/>
                <w:sz w:val="20"/>
                <w:szCs w:val="20"/>
              </w:rPr>
              <w:t xml:space="preserve"> </w:t>
            </w:r>
            <w:r w:rsidRPr="00924421">
              <w:rPr>
                <w:b/>
                <w:bCs/>
                <w:color w:val="000000"/>
                <w:sz w:val="20"/>
                <w:szCs w:val="20"/>
              </w:rPr>
              <w:t>Cost</w:t>
            </w:r>
            <w:r>
              <w:rPr>
                <w:b/>
                <w:bCs/>
                <w:color w:val="000000"/>
                <w:sz w:val="20"/>
                <w:szCs w:val="20"/>
              </w:rPr>
              <w:t xml:space="preserve"> </w:t>
            </w:r>
            <w:r w:rsidRPr="00924421">
              <w:rPr>
                <w:b/>
                <w:bCs/>
                <w:color w:val="000000"/>
                <w:sz w:val="20"/>
                <w:szCs w:val="20"/>
              </w:rPr>
              <w:t>($/hr)</w:t>
            </w:r>
          </w:p>
        </w:tc>
        <w:tc>
          <w:tcPr>
            <w:tcW w:w="1155" w:type="dxa"/>
          </w:tcPr>
          <w:p w:rsidR="001341EB" w:rsidRPr="00924421" w14:paraId="74FDEAB7" w14:textId="77777777">
            <w:pPr>
              <w:keepNext/>
              <w:keepLines/>
              <w:tabs>
                <w:tab w:val="left" w:pos="-1080"/>
                <w:tab w:val="left" w:pos="-540"/>
                <w:tab w:val="left" w:pos="154"/>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ind w:left="-116" w:right="-101"/>
              <w:jc w:val="center"/>
              <w:rPr>
                <w:b/>
                <w:sz w:val="20"/>
                <w:szCs w:val="20"/>
              </w:rPr>
            </w:pPr>
            <w:r w:rsidRPr="00924421">
              <w:rPr>
                <w:b/>
                <w:sz w:val="20"/>
                <w:szCs w:val="20"/>
              </w:rPr>
              <w:t>Total Cost</w:t>
            </w:r>
            <w:r>
              <w:rPr>
                <w:b/>
                <w:sz w:val="20"/>
                <w:szCs w:val="20"/>
              </w:rPr>
              <w:t xml:space="preserve"> </w:t>
            </w:r>
            <w:r w:rsidRPr="00924421">
              <w:rPr>
                <w:b/>
                <w:sz w:val="20"/>
                <w:szCs w:val="20"/>
              </w:rPr>
              <w:t>($)</w:t>
            </w:r>
          </w:p>
        </w:tc>
      </w:tr>
      <w:bookmarkEnd w:id="194"/>
      <w:tr w14:paraId="34E80520" w14:textId="77777777" w:rsidTr="00E0303C">
        <w:tblPrEx>
          <w:tblW w:w="9445" w:type="dxa"/>
          <w:tblLayout w:type="fixed"/>
          <w:tblLook w:val="00A0"/>
        </w:tblPrEx>
        <w:trPr>
          <w:cantSplit/>
          <w:trHeight w:val="20"/>
        </w:trPr>
        <w:tc>
          <w:tcPr>
            <w:tcW w:w="1890" w:type="dxa"/>
            <w:shd w:val="clear" w:color="auto" w:fill="auto"/>
          </w:tcPr>
          <w:p w:rsidR="001341EB" w:rsidRPr="00924421" w:rsidP="738A46D6" w14:paraId="5D314199" w14:textId="025EE0A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 xml:space="preserve">§414.1400 (Simplified </w:t>
            </w:r>
            <w:r w:rsidRPr="738A46D6" w:rsidR="09A0B79A">
              <w:rPr>
                <w:sz w:val="20"/>
                <w:szCs w:val="20"/>
              </w:rPr>
              <w:t xml:space="preserve">Qualified </w:t>
            </w:r>
            <w:r w:rsidRPr="738A46D6">
              <w:rPr>
                <w:sz w:val="20"/>
                <w:szCs w:val="20"/>
              </w:rPr>
              <w:t xml:space="preserve">Registry </w:t>
            </w:r>
            <w:r w:rsidRPr="738A46D6" w:rsidR="2CDFA365">
              <w:rPr>
                <w:sz w:val="20"/>
                <w:szCs w:val="20"/>
              </w:rPr>
              <w:t>S</w:t>
            </w:r>
            <w:r w:rsidRPr="738A46D6">
              <w:rPr>
                <w:sz w:val="20"/>
                <w:szCs w:val="20"/>
              </w:rPr>
              <w:t xml:space="preserve">elf- </w:t>
            </w:r>
            <w:r w:rsidRPr="738A46D6" w:rsidR="4B98790C">
              <w:rPr>
                <w:sz w:val="20"/>
                <w:szCs w:val="20"/>
              </w:rPr>
              <w:t>N</w:t>
            </w:r>
            <w:r w:rsidRPr="738A46D6">
              <w:rPr>
                <w:sz w:val="20"/>
                <w:szCs w:val="20"/>
              </w:rPr>
              <w:t>omination)</w:t>
            </w:r>
          </w:p>
        </w:tc>
        <w:tc>
          <w:tcPr>
            <w:tcW w:w="870" w:type="dxa"/>
            <w:shd w:val="clear" w:color="auto" w:fill="auto"/>
          </w:tcPr>
          <w:p w:rsidR="001341EB" w:rsidRPr="00035BA1" w14:paraId="45AE683E"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3</w:t>
            </w:r>
          </w:p>
        </w:tc>
        <w:tc>
          <w:tcPr>
            <w:tcW w:w="1245" w:type="dxa"/>
            <w:shd w:val="clear" w:color="auto" w:fill="auto"/>
          </w:tcPr>
          <w:p w:rsidR="001341EB" w:rsidRPr="00035BA1" w:rsidP="00E0303C" w14:paraId="4EE1EE4F" w14:textId="1DF51CD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74</w:t>
            </w:r>
          </w:p>
        </w:tc>
        <w:tc>
          <w:tcPr>
            <w:tcW w:w="1045" w:type="dxa"/>
            <w:shd w:val="clear" w:color="auto" w:fill="auto"/>
          </w:tcPr>
          <w:p w:rsidR="001341EB" w:rsidRPr="00035BA1" w:rsidP="00E0303C" w14:paraId="4C803A18" w14:textId="5F60FBB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74</w:t>
            </w:r>
          </w:p>
        </w:tc>
        <w:tc>
          <w:tcPr>
            <w:tcW w:w="1065" w:type="dxa"/>
            <w:shd w:val="clear" w:color="auto" w:fill="auto"/>
          </w:tcPr>
          <w:p w:rsidR="001341EB" w:rsidRPr="00035BA1" w:rsidP="00E0303C" w14:paraId="6E418C0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0.5</w:t>
            </w:r>
          </w:p>
        </w:tc>
        <w:tc>
          <w:tcPr>
            <w:tcW w:w="1065" w:type="dxa"/>
            <w:shd w:val="clear" w:color="auto" w:fill="auto"/>
          </w:tcPr>
          <w:p w:rsidR="001341EB" w:rsidRPr="00035BA1" w:rsidP="00E0303C" w14:paraId="63A6A6B0" w14:textId="26A65701">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035BA1">
              <w:rPr>
                <w:color w:val="000000"/>
                <w:sz w:val="20"/>
                <w:szCs w:val="20"/>
              </w:rPr>
              <w:t>3</w:t>
            </w:r>
            <w:r w:rsidRPr="00035BA1" w:rsidR="0054714D">
              <w:rPr>
                <w:color w:val="000000"/>
                <w:sz w:val="20"/>
                <w:szCs w:val="20"/>
              </w:rPr>
              <w:t>7</w:t>
            </w:r>
          </w:p>
        </w:tc>
        <w:tc>
          <w:tcPr>
            <w:tcW w:w="1110" w:type="dxa"/>
            <w:shd w:val="clear" w:color="auto" w:fill="auto"/>
          </w:tcPr>
          <w:p w:rsidR="001341EB" w:rsidRPr="00035BA1" w:rsidP="00E0303C" w14:paraId="0B55915F" w14:textId="50D43272">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106.54</w:t>
            </w:r>
          </w:p>
        </w:tc>
        <w:tc>
          <w:tcPr>
            <w:tcW w:w="1155" w:type="dxa"/>
            <w:shd w:val="clear" w:color="auto" w:fill="auto"/>
          </w:tcPr>
          <w:p w:rsidR="001341EB" w:rsidRPr="00035BA1" w:rsidP="00E0303C" w14:paraId="6CB69E69" w14:textId="566496E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3,942</w:t>
            </w:r>
          </w:p>
        </w:tc>
      </w:tr>
      <w:tr w14:paraId="4E87F07C" w14:textId="77777777" w:rsidTr="00FB1A47">
        <w:tblPrEx>
          <w:tblW w:w="9445" w:type="dxa"/>
          <w:tblLayout w:type="fixed"/>
          <w:tblLook w:val="00A0"/>
        </w:tblPrEx>
        <w:trPr>
          <w:cantSplit/>
          <w:trHeight w:val="20"/>
        </w:trPr>
        <w:tc>
          <w:tcPr>
            <w:tcW w:w="1890" w:type="dxa"/>
            <w:shd w:val="clear" w:color="auto" w:fill="auto"/>
          </w:tcPr>
          <w:p w:rsidR="001341EB" w:rsidRPr="00924421" w:rsidP="738A46D6" w14:paraId="44197484" w14:textId="73B47F9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§414.1400 (Full</w:t>
            </w:r>
            <w:r w:rsidRPr="738A46D6" w:rsidR="410683E6">
              <w:rPr>
                <w:sz w:val="20"/>
                <w:szCs w:val="20"/>
              </w:rPr>
              <w:t xml:space="preserve"> Qualified</w:t>
            </w:r>
            <w:r w:rsidRPr="738A46D6">
              <w:rPr>
                <w:sz w:val="20"/>
                <w:szCs w:val="20"/>
              </w:rPr>
              <w:t xml:space="preserve"> Registry </w:t>
            </w:r>
            <w:r w:rsidRPr="738A46D6" w:rsidR="3AB05EFE">
              <w:rPr>
                <w:sz w:val="20"/>
                <w:szCs w:val="20"/>
              </w:rPr>
              <w:t>S</w:t>
            </w:r>
            <w:r w:rsidRPr="738A46D6">
              <w:rPr>
                <w:sz w:val="20"/>
                <w:szCs w:val="20"/>
              </w:rPr>
              <w:t xml:space="preserve">elf- </w:t>
            </w:r>
            <w:r w:rsidRPr="738A46D6" w:rsidR="5FA2F444">
              <w:rPr>
                <w:sz w:val="20"/>
                <w:szCs w:val="20"/>
              </w:rPr>
              <w:t>N</w:t>
            </w:r>
            <w:r w:rsidRPr="738A46D6">
              <w:rPr>
                <w:sz w:val="20"/>
                <w:szCs w:val="20"/>
              </w:rPr>
              <w:t>omination)</w:t>
            </w:r>
          </w:p>
        </w:tc>
        <w:tc>
          <w:tcPr>
            <w:tcW w:w="870" w:type="dxa"/>
            <w:shd w:val="clear" w:color="auto" w:fill="auto"/>
          </w:tcPr>
          <w:p w:rsidR="001341EB" w:rsidRPr="00035BA1" w14:paraId="1F97C84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4</w:t>
            </w:r>
          </w:p>
        </w:tc>
        <w:tc>
          <w:tcPr>
            <w:tcW w:w="1245" w:type="dxa"/>
            <w:shd w:val="clear" w:color="auto" w:fill="auto"/>
          </w:tcPr>
          <w:p w:rsidR="001341EB" w:rsidRPr="00035BA1" w14:paraId="1CEAAA27" w14:textId="6BFF12E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14</w:t>
            </w:r>
          </w:p>
        </w:tc>
        <w:tc>
          <w:tcPr>
            <w:tcW w:w="1045" w:type="dxa"/>
            <w:shd w:val="clear" w:color="auto" w:fill="auto"/>
          </w:tcPr>
          <w:p w:rsidR="001341EB" w:rsidRPr="00035BA1" w14:paraId="718E5EA6" w14:textId="338638E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14</w:t>
            </w:r>
          </w:p>
        </w:tc>
        <w:tc>
          <w:tcPr>
            <w:tcW w:w="1065" w:type="dxa"/>
            <w:shd w:val="clear" w:color="auto" w:fill="auto"/>
          </w:tcPr>
          <w:p w:rsidR="001341EB" w:rsidRPr="00035BA1" w14:paraId="7DD2074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2</w:t>
            </w:r>
          </w:p>
        </w:tc>
        <w:tc>
          <w:tcPr>
            <w:tcW w:w="1065" w:type="dxa"/>
            <w:shd w:val="clear" w:color="auto" w:fill="auto"/>
          </w:tcPr>
          <w:p w:rsidR="001341EB" w:rsidRPr="00035BA1" w14:paraId="7D6D39AD" w14:textId="3F43080F">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035BA1">
              <w:rPr>
                <w:sz w:val="20"/>
                <w:szCs w:val="20"/>
              </w:rPr>
              <w:t>28</w:t>
            </w:r>
          </w:p>
        </w:tc>
        <w:tc>
          <w:tcPr>
            <w:tcW w:w="1110" w:type="dxa"/>
            <w:shd w:val="clear" w:color="auto" w:fill="auto"/>
          </w:tcPr>
          <w:p w:rsidR="001341EB" w:rsidRPr="00035BA1" w14:paraId="624AA5CB" w14:textId="6EEC4E4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106.54</w:t>
            </w:r>
          </w:p>
        </w:tc>
        <w:tc>
          <w:tcPr>
            <w:tcW w:w="1155" w:type="dxa"/>
            <w:shd w:val="clear" w:color="auto" w:fill="auto"/>
          </w:tcPr>
          <w:p w:rsidR="001341EB" w:rsidRPr="00035BA1" w14:paraId="64C75800" w14:textId="0998FC1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2,983</w:t>
            </w:r>
          </w:p>
        </w:tc>
      </w:tr>
      <w:tr w14:paraId="39AE211A" w14:textId="77777777" w:rsidTr="00FB1A47">
        <w:tblPrEx>
          <w:tblW w:w="9445" w:type="dxa"/>
          <w:tblLayout w:type="fixed"/>
          <w:tblLook w:val="00A0"/>
        </w:tblPrEx>
        <w:trPr>
          <w:cantSplit/>
          <w:trHeight w:val="20"/>
        </w:trPr>
        <w:tc>
          <w:tcPr>
            <w:tcW w:w="1890" w:type="dxa"/>
            <w:shd w:val="clear" w:color="auto" w:fill="auto"/>
          </w:tcPr>
          <w:p w:rsidR="001341EB" w:rsidRPr="00924421" w:rsidP="738A46D6" w14:paraId="5021A1E2" w14:textId="500F194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 xml:space="preserve">§414.1400 (Simplified QCDR </w:t>
            </w:r>
            <w:r w:rsidRPr="738A46D6" w:rsidR="7508FD9E">
              <w:rPr>
                <w:sz w:val="20"/>
                <w:szCs w:val="20"/>
              </w:rPr>
              <w:t>S</w:t>
            </w:r>
            <w:r w:rsidRPr="738A46D6">
              <w:rPr>
                <w:sz w:val="20"/>
                <w:szCs w:val="20"/>
              </w:rPr>
              <w:t>elf-</w:t>
            </w:r>
            <w:r w:rsidRPr="738A46D6" w:rsidR="7BC829B9">
              <w:rPr>
                <w:sz w:val="20"/>
                <w:szCs w:val="20"/>
              </w:rPr>
              <w:t>N</w:t>
            </w:r>
            <w:r w:rsidRPr="738A46D6">
              <w:rPr>
                <w:sz w:val="20"/>
                <w:szCs w:val="20"/>
              </w:rPr>
              <w:t>omination)</w:t>
            </w:r>
          </w:p>
        </w:tc>
        <w:tc>
          <w:tcPr>
            <w:tcW w:w="870" w:type="dxa"/>
            <w:shd w:val="clear" w:color="auto" w:fill="auto"/>
          </w:tcPr>
          <w:p w:rsidR="001341EB" w:rsidRPr="00035BA1" w14:paraId="354C36F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5</w:t>
            </w:r>
          </w:p>
        </w:tc>
        <w:tc>
          <w:tcPr>
            <w:tcW w:w="1245" w:type="dxa"/>
            <w:shd w:val="clear" w:color="auto" w:fill="auto"/>
          </w:tcPr>
          <w:p w:rsidR="001341EB" w:rsidRPr="00035BA1" w14:paraId="47E56FBB" w14:textId="4D0CEE7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41</w:t>
            </w:r>
          </w:p>
        </w:tc>
        <w:tc>
          <w:tcPr>
            <w:tcW w:w="1045" w:type="dxa"/>
            <w:shd w:val="clear" w:color="auto" w:fill="auto"/>
          </w:tcPr>
          <w:p w:rsidR="001341EB" w:rsidRPr="00035BA1" w14:paraId="47FC3625" w14:textId="0425A78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41</w:t>
            </w:r>
          </w:p>
        </w:tc>
        <w:tc>
          <w:tcPr>
            <w:tcW w:w="1065" w:type="dxa"/>
            <w:shd w:val="clear" w:color="auto" w:fill="auto"/>
          </w:tcPr>
          <w:p w:rsidR="001341EB" w:rsidRPr="00035BA1" w14:paraId="31B601C8" w14:textId="3398740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10</w:t>
            </w:r>
          </w:p>
        </w:tc>
        <w:tc>
          <w:tcPr>
            <w:tcW w:w="1065" w:type="dxa"/>
            <w:shd w:val="clear" w:color="auto" w:fill="auto"/>
          </w:tcPr>
          <w:p w:rsidR="001341EB" w:rsidRPr="00035BA1" w14:paraId="2E6F356A" w14:textId="7AA915A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035BA1">
              <w:rPr>
                <w:sz w:val="20"/>
                <w:szCs w:val="20"/>
              </w:rPr>
              <w:t>410</w:t>
            </w:r>
          </w:p>
        </w:tc>
        <w:tc>
          <w:tcPr>
            <w:tcW w:w="1110" w:type="dxa"/>
            <w:shd w:val="clear" w:color="auto" w:fill="auto"/>
          </w:tcPr>
          <w:p w:rsidR="001341EB" w:rsidRPr="00035BA1" w14:paraId="7B610297" w14:textId="7F15CC9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106.54</w:t>
            </w:r>
          </w:p>
        </w:tc>
        <w:tc>
          <w:tcPr>
            <w:tcW w:w="1155" w:type="dxa"/>
            <w:shd w:val="clear" w:color="auto" w:fill="auto"/>
          </w:tcPr>
          <w:p w:rsidR="001341EB" w:rsidRPr="00035BA1" w14:paraId="53AD47F3" w14:textId="43B075F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43,681</w:t>
            </w:r>
          </w:p>
        </w:tc>
      </w:tr>
      <w:tr w14:paraId="79EF386B" w14:textId="77777777" w:rsidTr="00FB1A47">
        <w:tblPrEx>
          <w:tblW w:w="9445" w:type="dxa"/>
          <w:tblLayout w:type="fixed"/>
          <w:tblLook w:val="00A0"/>
        </w:tblPrEx>
        <w:trPr>
          <w:cantSplit/>
          <w:trHeight w:val="20"/>
        </w:trPr>
        <w:tc>
          <w:tcPr>
            <w:tcW w:w="1890" w:type="dxa"/>
            <w:shd w:val="clear" w:color="auto" w:fill="auto"/>
          </w:tcPr>
          <w:p w:rsidR="001341EB" w:rsidRPr="00924421" w:rsidP="738A46D6" w14:paraId="6838A488" w14:textId="596C4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 xml:space="preserve">§414.1400 (Full QCDR </w:t>
            </w:r>
            <w:r w:rsidRPr="738A46D6" w:rsidR="03B10D06">
              <w:rPr>
                <w:sz w:val="20"/>
                <w:szCs w:val="20"/>
              </w:rPr>
              <w:t>S</w:t>
            </w:r>
            <w:r w:rsidRPr="738A46D6">
              <w:rPr>
                <w:sz w:val="20"/>
                <w:szCs w:val="20"/>
              </w:rPr>
              <w:t>elf-</w:t>
            </w:r>
            <w:r w:rsidRPr="738A46D6" w:rsidR="40A115E3">
              <w:rPr>
                <w:sz w:val="20"/>
                <w:szCs w:val="20"/>
              </w:rPr>
              <w:t>N</w:t>
            </w:r>
            <w:r w:rsidRPr="738A46D6">
              <w:rPr>
                <w:sz w:val="20"/>
                <w:szCs w:val="20"/>
              </w:rPr>
              <w:t>omination)</w:t>
            </w:r>
          </w:p>
        </w:tc>
        <w:tc>
          <w:tcPr>
            <w:tcW w:w="870" w:type="dxa"/>
            <w:shd w:val="clear" w:color="auto" w:fill="auto"/>
          </w:tcPr>
          <w:p w:rsidR="001341EB" w:rsidRPr="00035BA1" w14:paraId="600CD73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6</w:t>
            </w:r>
          </w:p>
        </w:tc>
        <w:tc>
          <w:tcPr>
            <w:tcW w:w="1245" w:type="dxa"/>
            <w:shd w:val="clear" w:color="auto" w:fill="auto"/>
          </w:tcPr>
          <w:p w:rsidR="001341EB" w:rsidRPr="00035BA1" w14:paraId="67A827D9" w14:textId="63AA7DE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1</w:t>
            </w:r>
            <w:r w:rsidRPr="00035BA1" w:rsidR="00AC17CE">
              <w:rPr>
                <w:sz w:val="20"/>
                <w:szCs w:val="20"/>
              </w:rPr>
              <w:t>1</w:t>
            </w:r>
          </w:p>
        </w:tc>
        <w:tc>
          <w:tcPr>
            <w:tcW w:w="1045" w:type="dxa"/>
            <w:shd w:val="clear" w:color="auto" w:fill="auto"/>
          </w:tcPr>
          <w:p w:rsidR="001341EB" w:rsidRPr="00035BA1" w14:paraId="390DA0C0" w14:textId="1EAC62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1</w:t>
            </w:r>
            <w:r w:rsidRPr="00035BA1" w:rsidR="00AC17CE">
              <w:rPr>
                <w:sz w:val="20"/>
                <w:szCs w:val="20"/>
              </w:rPr>
              <w:t>1</w:t>
            </w:r>
          </w:p>
        </w:tc>
        <w:tc>
          <w:tcPr>
            <w:tcW w:w="1065" w:type="dxa"/>
            <w:shd w:val="clear" w:color="auto" w:fill="auto"/>
          </w:tcPr>
          <w:p w:rsidR="001341EB" w:rsidRPr="00035BA1" w14:paraId="5ADCB553" w14:textId="56517D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12</w:t>
            </w:r>
          </w:p>
        </w:tc>
        <w:tc>
          <w:tcPr>
            <w:tcW w:w="1065" w:type="dxa"/>
            <w:shd w:val="clear" w:color="auto" w:fill="auto"/>
          </w:tcPr>
          <w:p w:rsidR="001341EB" w:rsidRPr="00035BA1" w14:paraId="6025073E" w14:textId="0F54193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035BA1">
              <w:rPr>
                <w:sz w:val="20"/>
                <w:szCs w:val="20"/>
              </w:rPr>
              <w:t>132</w:t>
            </w:r>
          </w:p>
        </w:tc>
        <w:tc>
          <w:tcPr>
            <w:tcW w:w="1110" w:type="dxa"/>
            <w:shd w:val="clear" w:color="auto" w:fill="auto"/>
          </w:tcPr>
          <w:p w:rsidR="001341EB" w:rsidRPr="00035BA1" w14:paraId="0793CA6A" w14:textId="086969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106.54</w:t>
            </w:r>
          </w:p>
        </w:tc>
        <w:tc>
          <w:tcPr>
            <w:tcW w:w="1155" w:type="dxa"/>
            <w:shd w:val="clear" w:color="auto" w:fill="auto"/>
          </w:tcPr>
          <w:p w:rsidR="001341EB" w:rsidRPr="00035BA1" w14:paraId="4BC905C5" w14:textId="2857EA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14,063</w:t>
            </w:r>
          </w:p>
        </w:tc>
      </w:tr>
      <w:tr w14:paraId="7D534523" w14:textId="77777777" w:rsidTr="00FB1A47">
        <w:tblPrEx>
          <w:tblW w:w="9445" w:type="dxa"/>
          <w:tblLayout w:type="fixed"/>
          <w:tblLook w:val="00A0"/>
        </w:tblPrEx>
        <w:trPr>
          <w:cantSplit/>
          <w:trHeight w:val="20"/>
        </w:trPr>
        <w:tc>
          <w:tcPr>
            <w:tcW w:w="1890" w:type="dxa"/>
            <w:shd w:val="clear" w:color="auto" w:fill="auto"/>
          </w:tcPr>
          <w:p w:rsidR="001341EB" w:rsidRPr="00924421" w14:paraId="6954699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w:t>
            </w:r>
            <w:r>
              <w:rPr>
                <w:sz w:val="20"/>
                <w:szCs w:val="20"/>
              </w:rPr>
              <w:t>Third Party Intermediary Plan Audits</w:t>
            </w:r>
            <w:r w:rsidRPr="00924421">
              <w:rPr>
                <w:sz w:val="20"/>
                <w:szCs w:val="20"/>
              </w:rPr>
              <w:t>)</w:t>
            </w:r>
          </w:p>
        </w:tc>
        <w:tc>
          <w:tcPr>
            <w:tcW w:w="870" w:type="dxa"/>
            <w:shd w:val="clear" w:color="auto" w:fill="auto"/>
          </w:tcPr>
          <w:p w:rsidR="001341EB" w:rsidRPr="00035BA1" w14:paraId="666498E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8</w:t>
            </w:r>
          </w:p>
        </w:tc>
        <w:tc>
          <w:tcPr>
            <w:tcW w:w="1245" w:type="dxa"/>
            <w:shd w:val="clear" w:color="auto" w:fill="auto"/>
          </w:tcPr>
          <w:p w:rsidR="001341EB" w:rsidRPr="00035BA1" w14:paraId="3C4AD333" w14:textId="4FBDF90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42</w:t>
            </w:r>
          </w:p>
        </w:tc>
        <w:tc>
          <w:tcPr>
            <w:tcW w:w="1045" w:type="dxa"/>
            <w:shd w:val="clear" w:color="auto" w:fill="auto"/>
          </w:tcPr>
          <w:p w:rsidR="001341EB" w:rsidRPr="00035BA1" w14:paraId="1D9519FB" w14:textId="4608A5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42</w:t>
            </w:r>
          </w:p>
        </w:tc>
        <w:tc>
          <w:tcPr>
            <w:tcW w:w="1065" w:type="dxa"/>
            <w:shd w:val="clear" w:color="auto" w:fill="auto"/>
          </w:tcPr>
          <w:p w:rsidR="001341EB" w:rsidRPr="00035BA1" w14:paraId="7C126C79" w14:textId="647B6D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 xml:space="preserve">Varies (see </w:t>
            </w:r>
            <w:r w:rsidR="00123783">
              <w:rPr>
                <w:sz w:val="20"/>
                <w:szCs w:val="20"/>
              </w:rPr>
              <w:t>T</w:t>
            </w:r>
            <w:r w:rsidRPr="00035BA1">
              <w:rPr>
                <w:sz w:val="20"/>
                <w:szCs w:val="20"/>
              </w:rPr>
              <w:t>able 8)</w:t>
            </w:r>
          </w:p>
        </w:tc>
        <w:tc>
          <w:tcPr>
            <w:tcW w:w="1065" w:type="dxa"/>
            <w:shd w:val="clear" w:color="auto" w:fill="auto"/>
          </w:tcPr>
          <w:p w:rsidR="001341EB" w:rsidRPr="00035BA1" w14:paraId="69D86A4C" w14:textId="54B157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035BA1">
              <w:rPr>
                <w:sz w:val="20"/>
                <w:szCs w:val="20"/>
              </w:rPr>
              <w:t>263</w:t>
            </w:r>
          </w:p>
        </w:tc>
        <w:tc>
          <w:tcPr>
            <w:tcW w:w="1110" w:type="dxa"/>
            <w:shd w:val="clear" w:color="auto" w:fill="auto"/>
          </w:tcPr>
          <w:p w:rsidR="001341EB" w:rsidRPr="00035BA1" w14:paraId="2E72C7B1" w14:textId="28A36C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color w:val="000000"/>
                <w:sz w:val="20"/>
                <w:szCs w:val="20"/>
              </w:rPr>
              <w:t>106.54</w:t>
            </w:r>
          </w:p>
        </w:tc>
        <w:tc>
          <w:tcPr>
            <w:tcW w:w="1155" w:type="dxa"/>
            <w:shd w:val="clear" w:color="auto" w:fill="auto"/>
          </w:tcPr>
          <w:p w:rsidR="001341EB" w:rsidRPr="00035BA1" w14:paraId="0463A23A" w14:textId="326CA5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035BA1">
              <w:rPr>
                <w:sz w:val="20"/>
                <w:szCs w:val="20"/>
              </w:rPr>
              <w:t>28,020</w:t>
            </w:r>
          </w:p>
        </w:tc>
      </w:tr>
      <w:tr w14:paraId="3C24EB95" w14:textId="78E42633" w:rsidTr="00FB1A47">
        <w:tblPrEx>
          <w:tblW w:w="9445" w:type="dxa"/>
          <w:tblLayout w:type="fixed"/>
          <w:tblLook w:val="00A0"/>
        </w:tblPrEx>
        <w:trPr>
          <w:cantSplit/>
          <w:trHeight w:val="20"/>
        </w:trPr>
        <w:tc>
          <w:tcPr>
            <w:tcW w:w="1890" w:type="dxa"/>
            <w:shd w:val="clear" w:color="auto" w:fill="auto"/>
          </w:tcPr>
          <w:p w:rsidR="001341EB" w:rsidRPr="00924421" w:rsidP="738A46D6" w14:paraId="7E904726" w14:textId="1EF3F8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Open Authorization Credentialing and Token Request Process</w:t>
            </w:r>
          </w:p>
        </w:tc>
        <w:tc>
          <w:tcPr>
            <w:tcW w:w="870" w:type="dxa"/>
            <w:shd w:val="clear" w:color="auto" w:fill="auto"/>
          </w:tcPr>
          <w:p w:rsidR="001341EB" w:rsidRPr="00924421" w:rsidP="738A46D6" w14:paraId="00066B54" w14:textId="64AEC704">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9</w:t>
            </w:r>
          </w:p>
        </w:tc>
        <w:tc>
          <w:tcPr>
            <w:tcW w:w="1245" w:type="dxa"/>
            <w:shd w:val="clear" w:color="auto" w:fill="auto"/>
          </w:tcPr>
          <w:p w:rsidR="001341EB" w:rsidRPr="00924421" w:rsidP="738A46D6" w14:paraId="115025FF" w14:textId="7EEFA0DE">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15</w:t>
            </w:r>
          </w:p>
        </w:tc>
        <w:tc>
          <w:tcPr>
            <w:tcW w:w="1045" w:type="dxa"/>
            <w:shd w:val="clear" w:color="auto" w:fill="auto"/>
          </w:tcPr>
          <w:p w:rsidR="001341EB" w:rsidRPr="00924421" w:rsidP="738A46D6" w14:paraId="4ACE6F1F" w14:textId="4E4A1A7E">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15</w:t>
            </w:r>
          </w:p>
        </w:tc>
        <w:tc>
          <w:tcPr>
            <w:tcW w:w="1065" w:type="dxa"/>
            <w:shd w:val="clear" w:color="auto" w:fill="auto"/>
          </w:tcPr>
          <w:p w:rsidR="001341EB" w:rsidRPr="00924421" w:rsidP="738A46D6" w14:paraId="6C89C455" w14:textId="4120B6F0">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p>
        </w:tc>
        <w:tc>
          <w:tcPr>
            <w:tcW w:w="1065" w:type="dxa"/>
            <w:shd w:val="clear" w:color="auto" w:fill="auto"/>
          </w:tcPr>
          <w:p w:rsidR="001341EB" w:rsidRPr="00924421" w:rsidP="738A46D6" w14:paraId="7C3DD0DC" w14:textId="4C6FA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738A46D6">
              <w:rPr>
                <w:sz w:val="20"/>
                <w:szCs w:val="20"/>
              </w:rPr>
              <w:t>30</w:t>
            </w:r>
          </w:p>
        </w:tc>
        <w:tc>
          <w:tcPr>
            <w:tcW w:w="1110" w:type="dxa"/>
            <w:shd w:val="clear" w:color="auto" w:fill="auto"/>
          </w:tcPr>
          <w:p w:rsidR="001341EB" w:rsidRPr="00924421" w:rsidP="738A46D6" w14:paraId="6A827BFC" w14:textId="7359C42F">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738A46D6">
              <w:rPr>
                <w:sz w:val="20"/>
                <w:szCs w:val="20"/>
              </w:rPr>
              <w:t>106.54</w:t>
            </w:r>
          </w:p>
        </w:tc>
        <w:tc>
          <w:tcPr>
            <w:tcW w:w="1155" w:type="dxa"/>
            <w:shd w:val="clear" w:color="auto" w:fill="auto"/>
          </w:tcPr>
          <w:p w:rsidR="001341EB" w:rsidRPr="00924421" w:rsidP="738A46D6" w14:paraId="2ADB5A53" w14:textId="55C82BDE">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738A46D6">
              <w:rPr>
                <w:sz w:val="20"/>
                <w:szCs w:val="20"/>
              </w:rPr>
              <w:t>3,196</w:t>
            </w:r>
          </w:p>
        </w:tc>
      </w:tr>
      <w:tr w14:paraId="73BE06CC" w14:textId="77777777" w:rsidTr="00FB1A47">
        <w:tblPrEx>
          <w:tblW w:w="9445" w:type="dxa"/>
          <w:tblLayout w:type="fixed"/>
          <w:tblLook w:val="00A0"/>
        </w:tblPrEx>
        <w:trPr>
          <w:cantSplit/>
          <w:trHeight w:val="20"/>
        </w:trPr>
        <w:tc>
          <w:tcPr>
            <w:tcW w:w="1890" w:type="dxa"/>
            <w:shd w:val="clear" w:color="auto" w:fill="auto"/>
          </w:tcPr>
          <w:p w:rsidR="001341EB" w:rsidRPr="00924421" w14:paraId="6F6E8D4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(QPP Identity Management Application Process)</w:t>
            </w:r>
          </w:p>
        </w:tc>
        <w:tc>
          <w:tcPr>
            <w:tcW w:w="870" w:type="dxa"/>
            <w:shd w:val="clear" w:color="auto" w:fill="auto"/>
          </w:tcPr>
          <w:p w:rsidR="001341EB" w:rsidRPr="00924421" w14:paraId="7F2E573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245" w:type="dxa"/>
            <w:shd w:val="clear" w:color="auto" w:fill="auto"/>
          </w:tcPr>
          <w:p w:rsidR="001341EB" w:rsidRPr="00924421" w14:paraId="2FD5FB4E" w14:textId="7B47D9F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6,237</w:t>
            </w:r>
          </w:p>
        </w:tc>
        <w:tc>
          <w:tcPr>
            <w:tcW w:w="1045" w:type="dxa"/>
            <w:shd w:val="clear" w:color="auto" w:fill="auto"/>
          </w:tcPr>
          <w:p w:rsidR="001341EB" w:rsidRPr="00924421" w14:paraId="3F16BD12" w14:textId="0E8184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6,237</w:t>
            </w:r>
          </w:p>
        </w:tc>
        <w:tc>
          <w:tcPr>
            <w:tcW w:w="1065" w:type="dxa"/>
            <w:shd w:val="clear" w:color="auto" w:fill="auto"/>
          </w:tcPr>
          <w:p w:rsidR="001341EB" w:rsidRPr="00924421" w14:paraId="66603E4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p>
        </w:tc>
        <w:tc>
          <w:tcPr>
            <w:tcW w:w="1065" w:type="dxa"/>
            <w:shd w:val="clear" w:color="auto" w:fill="auto"/>
          </w:tcPr>
          <w:p w:rsidR="001341EB" w:rsidRPr="00924421" w14:paraId="1542AC86" w14:textId="19D5CB9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6,237</w:t>
            </w:r>
          </w:p>
        </w:tc>
        <w:tc>
          <w:tcPr>
            <w:tcW w:w="1110" w:type="dxa"/>
            <w:shd w:val="clear" w:color="auto" w:fill="auto"/>
          </w:tcPr>
          <w:p w:rsidR="001341EB" w:rsidRPr="00924421" w14:paraId="39E14C06" w14:textId="39F163D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106.54</w:t>
            </w:r>
          </w:p>
        </w:tc>
        <w:tc>
          <w:tcPr>
            <w:tcW w:w="1155" w:type="dxa"/>
            <w:shd w:val="clear" w:color="auto" w:fill="auto"/>
          </w:tcPr>
          <w:p w:rsidR="001341EB" w:rsidRPr="00924421" w14:paraId="132E56A0" w14:textId="34481E9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664,490</w:t>
            </w:r>
          </w:p>
        </w:tc>
      </w:tr>
      <w:tr w14:paraId="36966C5E" w14:textId="77777777" w:rsidTr="00FB1A47">
        <w:tblPrEx>
          <w:tblW w:w="9445" w:type="dxa"/>
          <w:tblLayout w:type="fixed"/>
          <w:tblLook w:val="00A0"/>
        </w:tblPrEx>
        <w:trPr>
          <w:cantSplit/>
          <w:trHeight w:val="20"/>
        </w:trPr>
        <w:tc>
          <w:tcPr>
            <w:tcW w:w="1890" w:type="dxa"/>
            <w:shd w:val="clear" w:color="auto" w:fill="auto"/>
          </w:tcPr>
          <w:p w:rsidR="001341EB" w:rsidRPr="00924421" w:rsidP="738A46D6" w14:paraId="5C17B5AC" w14:textId="2377A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 xml:space="preserve">§414.1325 and 414.1335 [(Quality Performance Category) </w:t>
            </w:r>
            <w:r w:rsidRPr="738A46D6" w:rsidR="769A6257">
              <w:rPr>
                <w:sz w:val="20"/>
                <w:szCs w:val="20"/>
              </w:rPr>
              <w:t xml:space="preserve">Clinicians Using the </w:t>
            </w:r>
            <w:r w:rsidRPr="738A46D6">
              <w:rPr>
                <w:sz w:val="20"/>
                <w:szCs w:val="20"/>
              </w:rPr>
              <w:t>Claims Collection Type]</w:t>
            </w:r>
          </w:p>
        </w:tc>
        <w:tc>
          <w:tcPr>
            <w:tcW w:w="870" w:type="dxa"/>
            <w:shd w:val="clear" w:color="auto" w:fill="auto"/>
          </w:tcPr>
          <w:p w:rsidR="001341EB" w:rsidRPr="00924421" w14:paraId="14A1612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w:t>
            </w:r>
          </w:p>
        </w:tc>
        <w:tc>
          <w:tcPr>
            <w:tcW w:w="1245" w:type="dxa"/>
            <w:shd w:val="clear" w:color="auto" w:fill="auto"/>
          </w:tcPr>
          <w:p w:rsidR="001341EB" w:rsidRPr="00924421" w14:paraId="0E19BF16" w14:textId="4DCA02E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12,197</w:t>
            </w:r>
          </w:p>
        </w:tc>
        <w:tc>
          <w:tcPr>
            <w:tcW w:w="1045" w:type="dxa"/>
            <w:shd w:val="clear" w:color="auto" w:fill="auto"/>
          </w:tcPr>
          <w:p w:rsidR="001341EB" w:rsidRPr="00924421" w14:paraId="0CC46A44" w14:textId="59DD804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12,197</w:t>
            </w:r>
          </w:p>
        </w:tc>
        <w:tc>
          <w:tcPr>
            <w:tcW w:w="1065" w:type="dxa"/>
            <w:shd w:val="clear" w:color="auto" w:fill="auto"/>
          </w:tcPr>
          <w:p w:rsidR="001341EB" w:rsidRPr="00924421" w14:paraId="662D59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w:t>
            </w:r>
          </w:p>
        </w:tc>
        <w:tc>
          <w:tcPr>
            <w:tcW w:w="1065" w:type="dxa"/>
            <w:shd w:val="clear" w:color="auto" w:fill="auto"/>
          </w:tcPr>
          <w:p w:rsidR="001341EB" w:rsidRPr="00924421" w14:paraId="74DB79B8" w14:textId="218E03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173,197</w:t>
            </w:r>
          </w:p>
        </w:tc>
        <w:tc>
          <w:tcPr>
            <w:tcW w:w="1110" w:type="dxa"/>
            <w:shd w:val="clear" w:color="auto" w:fill="auto"/>
          </w:tcPr>
          <w:p w:rsidR="001341EB" w:rsidRPr="00924421" w14:paraId="22D97D09" w14:textId="6A86AB7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w:t>
            </w:r>
            <w:r w:rsidR="00123783">
              <w:rPr>
                <w:sz w:val="20"/>
                <w:szCs w:val="20"/>
              </w:rPr>
              <w:t>T</w:t>
            </w:r>
            <w:r w:rsidRPr="00924421">
              <w:rPr>
                <w:sz w:val="20"/>
                <w:szCs w:val="20"/>
              </w:rPr>
              <w:t xml:space="preserve">able </w:t>
            </w:r>
            <w:r>
              <w:rPr>
                <w:sz w:val="20"/>
                <w:szCs w:val="20"/>
              </w:rPr>
              <w:t>11</w:t>
            </w:r>
            <w:r w:rsidRPr="00924421">
              <w:rPr>
                <w:sz w:val="20"/>
                <w:szCs w:val="20"/>
              </w:rPr>
              <w:t>)</w:t>
            </w:r>
          </w:p>
        </w:tc>
        <w:tc>
          <w:tcPr>
            <w:tcW w:w="1155" w:type="dxa"/>
            <w:shd w:val="clear" w:color="auto" w:fill="auto"/>
          </w:tcPr>
          <w:p w:rsidR="001341EB" w:rsidRPr="00924421" w14:paraId="0C9E790C" w14:textId="6029F13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20,209,087</w:t>
            </w:r>
          </w:p>
        </w:tc>
      </w:tr>
      <w:tr w14:paraId="6B07725A" w14:textId="77777777" w:rsidTr="00FB1A47">
        <w:tblPrEx>
          <w:tblW w:w="9445" w:type="dxa"/>
          <w:tblLayout w:type="fixed"/>
          <w:tblLook w:val="00A0"/>
        </w:tblPrEx>
        <w:trPr>
          <w:cantSplit/>
          <w:trHeight w:val="20"/>
        </w:trPr>
        <w:tc>
          <w:tcPr>
            <w:tcW w:w="1890" w:type="dxa"/>
            <w:shd w:val="clear" w:color="auto" w:fill="auto"/>
          </w:tcPr>
          <w:p w:rsidR="001341EB" w:rsidRPr="00924421" w:rsidP="738A46D6" w14:paraId="43C83607" w14:textId="44179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§414.1325 and 414.1335 [(Quality Performance Category)</w:t>
            </w:r>
            <w:r w:rsidRPr="738A46D6" w:rsidR="71FD6723">
              <w:rPr>
                <w:sz w:val="20"/>
                <w:szCs w:val="20"/>
              </w:rPr>
              <w:t xml:space="preserve"> Clinicians Using the </w:t>
            </w:r>
            <w:r w:rsidRPr="738A46D6">
              <w:rPr>
                <w:sz w:val="20"/>
                <w:szCs w:val="20"/>
              </w:rPr>
              <w:t>MIPS CQM</w:t>
            </w:r>
            <w:r w:rsidRPr="738A46D6" w:rsidR="0F5C08CA">
              <w:rPr>
                <w:sz w:val="20"/>
                <w:szCs w:val="20"/>
              </w:rPr>
              <w:t xml:space="preserve"> and QCDR</w:t>
            </w:r>
            <w:r w:rsidRPr="738A46D6">
              <w:rPr>
                <w:sz w:val="20"/>
                <w:szCs w:val="20"/>
              </w:rPr>
              <w:t xml:space="preserve"> Collection Type]</w:t>
            </w:r>
          </w:p>
        </w:tc>
        <w:tc>
          <w:tcPr>
            <w:tcW w:w="870" w:type="dxa"/>
            <w:shd w:val="clear" w:color="auto" w:fill="auto"/>
          </w:tcPr>
          <w:p w:rsidR="001341EB" w:rsidRPr="00924421" w14:paraId="72CD894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w:t>
            </w:r>
          </w:p>
        </w:tc>
        <w:tc>
          <w:tcPr>
            <w:tcW w:w="1245" w:type="dxa"/>
            <w:shd w:val="clear" w:color="auto" w:fill="auto"/>
          </w:tcPr>
          <w:p w:rsidR="001341EB" w:rsidRPr="00924421" w14:paraId="52174CDE" w14:textId="5796FA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17,008</w:t>
            </w:r>
          </w:p>
        </w:tc>
        <w:tc>
          <w:tcPr>
            <w:tcW w:w="1045" w:type="dxa"/>
            <w:shd w:val="clear" w:color="auto" w:fill="auto"/>
          </w:tcPr>
          <w:p w:rsidR="001341EB" w:rsidRPr="00924421" w14:paraId="62ECBAC9" w14:textId="5625583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17,008</w:t>
            </w:r>
          </w:p>
        </w:tc>
        <w:tc>
          <w:tcPr>
            <w:tcW w:w="1065" w:type="dxa"/>
            <w:shd w:val="clear" w:color="auto" w:fill="auto"/>
          </w:tcPr>
          <w:p w:rsidR="001341EB" w:rsidRPr="00924421" w14:paraId="2EC69E9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9.083</w:t>
            </w:r>
          </w:p>
        </w:tc>
        <w:tc>
          <w:tcPr>
            <w:tcW w:w="1065" w:type="dxa"/>
            <w:shd w:val="clear" w:color="auto" w:fill="auto"/>
          </w:tcPr>
          <w:p w:rsidR="001341EB" w:rsidRPr="00924421" w14:paraId="14BDE995" w14:textId="71B7564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154,484</w:t>
            </w:r>
          </w:p>
        </w:tc>
        <w:tc>
          <w:tcPr>
            <w:tcW w:w="1110" w:type="dxa"/>
            <w:shd w:val="clear" w:color="auto" w:fill="auto"/>
          </w:tcPr>
          <w:p w:rsidR="001341EB" w:rsidRPr="00924421" w14:paraId="54B6C8DA" w14:textId="15AB626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w:t>
            </w:r>
            <w:r w:rsidR="00123783">
              <w:rPr>
                <w:sz w:val="20"/>
                <w:szCs w:val="20"/>
              </w:rPr>
              <w:t>T</w:t>
            </w:r>
            <w:r w:rsidRPr="00924421">
              <w:rPr>
                <w:sz w:val="20"/>
                <w:szCs w:val="20"/>
              </w:rPr>
              <w:t xml:space="preserve">able </w:t>
            </w:r>
            <w:r>
              <w:rPr>
                <w:sz w:val="20"/>
                <w:szCs w:val="20"/>
              </w:rPr>
              <w:t>12</w:t>
            </w:r>
            <w:r w:rsidRPr="00924421">
              <w:rPr>
                <w:sz w:val="20"/>
                <w:szCs w:val="20"/>
              </w:rPr>
              <w:t>)</w:t>
            </w:r>
          </w:p>
        </w:tc>
        <w:tc>
          <w:tcPr>
            <w:tcW w:w="1155" w:type="dxa"/>
            <w:shd w:val="clear" w:color="auto" w:fill="auto"/>
          </w:tcPr>
          <w:p w:rsidR="001341EB" w:rsidRPr="00924421" w14:paraId="0344373B" w14:textId="2175E97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18,521,372</w:t>
            </w:r>
          </w:p>
        </w:tc>
      </w:tr>
      <w:tr w14:paraId="7E917C91" w14:textId="77777777" w:rsidTr="00FB1A47">
        <w:tblPrEx>
          <w:tblW w:w="9445" w:type="dxa"/>
          <w:tblLayout w:type="fixed"/>
          <w:tblLook w:val="00A0"/>
        </w:tblPrEx>
        <w:trPr>
          <w:cantSplit/>
          <w:trHeight w:val="20"/>
        </w:trPr>
        <w:tc>
          <w:tcPr>
            <w:tcW w:w="1890" w:type="dxa"/>
            <w:shd w:val="clear" w:color="auto" w:fill="auto"/>
          </w:tcPr>
          <w:p w:rsidR="001341EB" w:rsidRPr="00924421" w:rsidP="738A46D6" w14:paraId="17BACF13" w14:textId="59024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 xml:space="preserve">§414.1325 and 414.1335 [(Quality Performance Category) </w:t>
            </w:r>
            <w:r w:rsidRPr="738A46D6" w:rsidR="34394AD9">
              <w:rPr>
                <w:sz w:val="20"/>
                <w:szCs w:val="20"/>
              </w:rPr>
              <w:t xml:space="preserve">Clinicians Using the </w:t>
            </w:r>
            <w:r w:rsidRPr="738A46D6">
              <w:rPr>
                <w:sz w:val="20"/>
                <w:szCs w:val="20"/>
              </w:rPr>
              <w:t>eCQM Collection Type]</w:t>
            </w:r>
          </w:p>
        </w:tc>
        <w:tc>
          <w:tcPr>
            <w:tcW w:w="870" w:type="dxa"/>
            <w:shd w:val="clear" w:color="auto" w:fill="auto"/>
          </w:tcPr>
          <w:p w:rsidR="001341EB" w:rsidRPr="00924421" w14:paraId="74A6D7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w:t>
            </w:r>
          </w:p>
        </w:tc>
        <w:tc>
          <w:tcPr>
            <w:tcW w:w="1245" w:type="dxa"/>
            <w:shd w:val="clear" w:color="auto" w:fill="auto"/>
          </w:tcPr>
          <w:p w:rsidR="001341EB" w:rsidRPr="00924421" w14:paraId="3FA09487" w14:textId="438B38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27,179</w:t>
            </w:r>
          </w:p>
        </w:tc>
        <w:tc>
          <w:tcPr>
            <w:tcW w:w="1045" w:type="dxa"/>
            <w:shd w:val="clear" w:color="auto" w:fill="auto"/>
          </w:tcPr>
          <w:p w:rsidR="001341EB" w:rsidRPr="00924421" w14:paraId="0E6ECA33" w14:textId="4F017E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27,179</w:t>
            </w:r>
          </w:p>
        </w:tc>
        <w:tc>
          <w:tcPr>
            <w:tcW w:w="1065" w:type="dxa"/>
            <w:shd w:val="clear" w:color="auto" w:fill="auto"/>
          </w:tcPr>
          <w:p w:rsidR="001341EB" w:rsidRPr="00924421" w14:paraId="4B4FC11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8.0</w:t>
            </w:r>
          </w:p>
        </w:tc>
        <w:tc>
          <w:tcPr>
            <w:tcW w:w="1065" w:type="dxa"/>
            <w:shd w:val="clear" w:color="auto" w:fill="auto"/>
          </w:tcPr>
          <w:p w:rsidR="001341EB" w:rsidRPr="00924421" w14:paraId="4DB09DC0" w14:textId="074C9B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217,432</w:t>
            </w:r>
          </w:p>
        </w:tc>
        <w:tc>
          <w:tcPr>
            <w:tcW w:w="1110" w:type="dxa"/>
            <w:shd w:val="clear" w:color="auto" w:fill="auto"/>
          </w:tcPr>
          <w:p w:rsidR="001341EB" w:rsidRPr="00924421" w14:paraId="0BA0A047" w14:textId="176BB5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w:t>
            </w:r>
            <w:r w:rsidR="00123783">
              <w:rPr>
                <w:sz w:val="20"/>
                <w:szCs w:val="20"/>
              </w:rPr>
              <w:t>T</w:t>
            </w:r>
            <w:r w:rsidRPr="00924421">
              <w:rPr>
                <w:sz w:val="20"/>
                <w:szCs w:val="20"/>
              </w:rPr>
              <w:t xml:space="preserve">able </w:t>
            </w:r>
            <w:r>
              <w:rPr>
                <w:sz w:val="20"/>
                <w:szCs w:val="20"/>
              </w:rPr>
              <w:t>13</w:t>
            </w:r>
            <w:r w:rsidRPr="00924421">
              <w:rPr>
                <w:sz w:val="20"/>
                <w:szCs w:val="20"/>
              </w:rPr>
              <w:t>)</w:t>
            </w:r>
          </w:p>
        </w:tc>
        <w:tc>
          <w:tcPr>
            <w:tcW w:w="1155" w:type="dxa"/>
            <w:shd w:val="clear" w:color="auto" w:fill="auto"/>
          </w:tcPr>
          <w:p w:rsidR="001341EB" w:rsidRPr="00924421" w14:paraId="2C3168E2" w14:textId="20FFD9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26,461,474</w:t>
            </w:r>
          </w:p>
        </w:tc>
      </w:tr>
      <w:tr w14:paraId="79A8A0E1" w14:textId="77777777" w:rsidTr="00FB1A47">
        <w:tblPrEx>
          <w:tblW w:w="9445" w:type="dxa"/>
          <w:tblLayout w:type="fixed"/>
          <w:tblLook w:val="00A0"/>
        </w:tblPrEx>
        <w:trPr>
          <w:cantSplit/>
          <w:trHeight w:val="20"/>
        </w:trPr>
        <w:tc>
          <w:tcPr>
            <w:tcW w:w="1890" w:type="dxa"/>
            <w:shd w:val="clear" w:color="auto" w:fill="auto"/>
            <w:vAlign w:val="bottom"/>
          </w:tcPr>
          <w:p w:rsidR="001341EB" w:rsidRPr="00924421" w14:paraId="2E64B80B" w14:textId="77777777">
            <w:pPr>
              <w:spacing w:after="0"/>
              <w:rPr>
                <w:sz w:val="20"/>
                <w:szCs w:val="20"/>
              </w:rPr>
            </w:pPr>
            <w:r w:rsidRPr="00924421">
              <w:rPr>
                <w:color w:val="000000"/>
                <w:sz w:val="20"/>
                <w:szCs w:val="20"/>
              </w:rPr>
              <w:t>§ 414.1365 MVP Registration</w:t>
            </w:r>
          </w:p>
        </w:tc>
        <w:tc>
          <w:tcPr>
            <w:tcW w:w="870" w:type="dxa"/>
            <w:shd w:val="clear" w:color="auto" w:fill="auto"/>
          </w:tcPr>
          <w:p w:rsidR="001341EB" w:rsidRPr="00924421" w14:paraId="68F5511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4</w:t>
            </w:r>
          </w:p>
        </w:tc>
        <w:tc>
          <w:tcPr>
            <w:tcW w:w="1245" w:type="dxa"/>
            <w:shd w:val="clear" w:color="auto" w:fill="auto"/>
          </w:tcPr>
          <w:p w:rsidR="001341EB" w:rsidRPr="00924421" w14:paraId="2634CA0E" w14:textId="125A6C1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6,285</w:t>
            </w:r>
          </w:p>
        </w:tc>
        <w:tc>
          <w:tcPr>
            <w:tcW w:w="1045" w:type="dxa"/>
            <w:shd w:val="clear" w:color="auto" w:fill="auto"/>
          </w:tcPr>
          <w:p w:rsidR="001341EB" w:rsidRPr="00924421" w14:paraId="523847BD" w14:textId="31F19C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6,285</w:t>
            </w:r>
          </w:p>
        </w:tc>
        <w:tc>
          <w:tcPr>
            <w:tcW w:w="1065" w:type="dxa"/>
            <w:shd w:val="clear" w:color="auto" w:fill="auto"/>
          </w:tcPr>
          <w:p w:rsidR="001341EB" w:rsidRPr="00924421" w14:paraId="5424F08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065" w:type="dxa"/>
            <w:shd w:val="clear" w:color="auto" w:fill="auto"/>
          </w:tcPr>
          <w:p w:rsidR="001341EB" w:rsidRPr="00924421" w14:paraId="282C6733" w14:textId="1D0DB4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1,571</w:t>
            </w:r>
          </w:p>
        </w:tc>
        <w:tc>
          <w:tcPr>
            <w:tcW w:w="1110" w:type="dxa"/>
            <w:shd w:val="clear" w:color="auto" w:fill="auto"/>
          </w:tcPr>
          <w:p w:rsidR="001341EB" w:rsidRPr="00924421" w14:paraId="4A7FE88B" w14:textId="31DD7E8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106.54</w:t>
            </w:r>
          </w:p>
        </w:tc>
        <w:tc>
          <w:tcPr>
            <w:tcW w:w="1155" w:type="dxa"/>
            <w:shd w:val="clear" w:color="auto" w:fill="auto"/>
          </w:tcPr>
          <w:p w:rsidR="001341EB" w:rsidRPr="00924421" w14:paraId="2808EE3F" w14:textId="194ADB8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167,432</w:t>
            </w:r>
          </w:p>
        </w:tc>
      </w:tr>
      <w:tr w14:paraId="36E08043" w14:textId="5BC38996" w:rsidTr="00FB1A47">
        <w:tblPrEx>
          <w:tblW w:w="9445" w:type="dxa"/>
          <w:tblLayout w:type="fixed"/>
          <w:tblLook w:val="00A0"/>
        </w:tblPrEx>
        <w:trPr>
          <w:cantSplit/>
          <w:trHeight w:val="20"/>
        </w:trPr>
        <w:tc>
          <w:tcPr>
            <w:tcW w:w="1890" w:type="dxa"/>
            <w:shd w:val="clear" w:color="auto" w:fill="auto"/>
            <w:vAlign w:val="bottom"/>
          </w:tcPr>
          <w:p w:rsidR="001341EB" w:rsidRPr="00924421" w14:paraId="5530C834" w14:textId="2C9B3403">
            <w:pPr>
              <w:spacing w:after="0"/>
              <w:rPr>
                <w:sz w:val="20"/>
                <w:szCs w:val="20"/>
              </w:rPr>
            </w:pPr>
            <w:r w:rsidRPr="738A46D6">
              <w:rPr>
                <w:color w:val="000000" w:themeColor="text1"/>
                <w:sz w:val="20"/>
                <w:szCs w:val="20"/>
              </w:rPr>
              <w:t>§ 414.1365 Subgroup Registration</w:t>
            </w:r>
          </w:p>
        </w:tc>
        <w:tc>
          <w:tcPr>
            <w:tcW w:w="870" w:type="dxa"/>
            <w:shd w:val="clear" w:color="auto" w:fill="auto"/>
          </w:tcPr>
          <w:p w:rsidR="001341EB" w:rsidRPr="00924421" w:rsidP="738A46D6" w14:paraId="4B7D6575" w14:textId="1DC9C50D">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15</w:t>
            </w:r>
          </w:p>
        </w:tc>
        <w:tc>
          <w:tcPr>
            <w:tcW w:w="1245" w:type="dxa"/>
            <w:shd w:val="clear" w:color="auto" w:fill="auto"/>
          </w:tcPr>
          <w:p w:rsidR="001341EB" w:rsidRPr="00924421" w:rsidP="738A46D6" w14:paraId="24AA08EE" w14:textId="72CD3B57">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20</w:t>
            </w:r>
          </w:p>
        </w:tc>
        <w:tc>
          <w:tcPr>
            <w:tcW w:w="1045" w:type="dxa"/>
            <w:shd w:val="clear" w:color="auto" w:fill="auto"/>
          </w:tcPr>
          <w:p w:rsidR="001341EB" w:rsidRPr="00924421" w:rsidP="738A46D6" w14:paraId="2A255A9E" w14:textId="7CB51A03">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20</w:t>
            </w:r>
          </w:p>
        </w:tc>
        <w:tc>
          <w:tcPr>
            <w:tcW w:w="1065" w:type="dxa"/>
            <w:shd w:val="clear" w:color="auto" w:fill="auto"/>
          </w:tcPr>
          <w:p w:rsidR="001341EB" w:rsidRPr="00924421" w:rsidP="738A46D6" w14:paraId="7612362A" w14:textId="6F768256">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0.5</w:t>
            </w:r>
          </w:p>
        </w:tc>
        <w:tc>
          <w:tcPr>
            <w:tcW w:w="1065" w:type="dxa"/>
            <w:shd w:val="clear" w:color="auto" w:fill="auto"/>
          </w:tcPr>
          <w:p w:rsidR="001341EB" w:rsidRPr="00924421" w:rsidP="738A46D6" w14:paraId="33B4D023" w14:textId="4A321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738A46D6">
              <w:rPr>
                <w:sz w:val="20"/>
                <w:szCs w:val="20"/>
              </w:rPr>
              <w:t>10</w:t>
            </w:r>
          </w:p>
        </w:tc>
        <w:tc>
          <w:tcPr>
            <w:tcW w:w="1110" w:type="dxa"/>
            <w:shd w:val="clear" w:color="auto" w:fill="auto"/>
          </w:tcPr>
          <w:p w:rsidR="001341EB" w:rsidRPr="00924421" w:rsidP="738A46D6" w14:paraId="3AA19154" w14:textId="67D49A84">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738A46D6">
              <w:rPr>
                <w:sz w:val="20"/>
                <w:szCs w:val="20"/>
              </w:rPr>
              <w:t>106.54</w:t>
            </w:r>
          </w:p>
        </w:tc>
        <w:tc>
          <w:tcPr>
            <w:tcW w:w="1155" w:type="dxa"/>
            <w:shd w:val="clear" w:color="auto" w:fill="auto"/>
          </w:tcPr>
          <w:p w:rsidR="001341EB" w:rsidRPr="00924421" w:rsidP="738A46D6" w14:paraId="63510959" w14:textId="623896F0">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738A46D6">
              <w:rPr>
                <w:sz w:val="20"/>
                <w:szCs w:val="20"/>
              </w:rPr>
              <w:t>1,065</w:t>
            </w:r>
          </w:p>
        </w:tc>
      </w:tr>
      <w:tr w14:paraId="36DE41AB" w14:textId="77777777" w:rsidTr="00FB1A47">
        <w:tblPrEx>
          <w:tblW w:w="9445" w:type="dxa"/>
          <w:tblLayout w:type="fixed"/>
          <w:tblLook w:val="00A0"/>
        </w:tblPrEx>
        <w:trPr>
          <w:cantSplit/>
          <w:trHeight w:val="20"/>
        </w:trPr>
        <w:tc>
          <w:tcPr>
            <w:tcW w:w="1890" w:type="dxa"/>
            <w:shd w:val="clear" w:color="auto" w:fill="auto"/>
            <w:vAlign w:val="bottom"/>
          </w:tcPr>
          <w:p w:rsidR="001341EB" w:rsidRPr="00924421" w14:paraId="5DA55784" w14:textId="4DDD85E4">
            <w:pPr>
              <w:spacing w:after="0"/>
              <w:rPr>
                <w:sz w:val="20"/>
                <w:szCs w:val="20"/>
              </w:rPr>
            </w:pPr>
            <w:r w:rsidRPr="738A46D6">
              <w:rPr>
                <w:color w:val="000000" w:themeColor="text1"/>
                <w:sz w:val="20"/>
                <w:szCs w:val="20"/>
              </w:rPr>
              <w:t xml:space="preserve">§ 414.1365 MVP Quality </w:t>
            </w:r>
            <w:r w:rsidRPr="738A46D6" w:rsidR="0F0DA32D">
              <w:rPr>
                <w:color w:val="000000" w:themeColor="text1"/>
                <w:sz w:val="20"/>
                <w:szCs w:val="20"/>
              </w:rPr>
              <w:t xml:space="preserve">Performance Category </w:t>
            </w:r>
            <w:r w:rsidRPr="738A46D6">
              <w:rPr>
                <w:color w:val="000000" w:themeColor="text1"/>
                <w:sz w:val="20"/>
                <w:szCs w:val="20"/>
              </w:rPr>
              <w:t>Submission</w:t>
            </w:r>
          </w:p>
        </w:tc>
        <w:tc>
          <w:tcPr>
            <w:tcW w:w="870" w:type="dxa"/>
            <w:shd w:val="clear" w:color="auto" w:fill="auto"/>
          </w:tcPr>
          <w:p w:rsidR="001341EB" w:rsidRPr="00924421" w14:paraId="2B1B403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6</w:t>
            </w:r>
          </w:p>
        </w:tc>
        <w:tc>
          <w:tcPr>
            <w:tcW w:w="1245" w:type="dxa"/>
            <w:shd w:val="clear" w:color="auto" w:fill="auto"/>
          </w:tcPr>
          <w:p w:rsidR="001341EB" w:rsidRPr="00924421" w14:paraId="4F7C4378" w14:textId="30035E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6,285</w:t>
            </w:r>
          </w:p>
        </w:tc>
        <w:tc>
          <w:tcPr>
            <w:tcW w:w="1045" w:type="dxa"/>
            <w:shd w:val="clear" w:color="auto" w:fill="auto"/>
          </w:tcPr>
          <w:p w:rsidR="001341EB" w:rsidRPr="00924421" w14:paraId="6D352E3B" w14:textId="0C5FD5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6,285</w:t>
            </w:r>
          </w:p>
        </w:tc>
        <w:tc>
          <w:tcPr>
            <w:tcW w:w="1065" w:type="dxa"/>
            <w:shd w:val="clear" w:color="auto" w:fill="auto"/>
          </w:tcPr>
          <w:p w:rsidR="001341EB" w:rsidRPr="00924421" w14:paraId="2C3B6CE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p>
        </w:tc>
        <w:tc>
          <w:tcPr>
            <w:tcW w:w="1065" w:type="dxa"/>
            <w:shd w:val="clear" w:color="auto" w:fill="auto"/>
          </w:tcPr>
          <w:p w:rsidR="001341EB" w:rsidRPr="00924421" w14:paraId="7ECD508C" w14:textId="5394DF1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40,193</w:t>
            </w:r>
          </w:p>
        </w:tc>
        <w:tc>
          <w:tcPr>
            <w:tcW w:w="1110" w:type="dxa"/>
            <w:shd w:val="clear" w:color="auto" w:fill="auto"/>
          </w:tcPr>
          <w:p w:rsidR="001341EB" w:rsidRPr="00924421" w14:paraId="25981661" w14:textId="7517FE9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w:t>
            </w:r>
            <w:r w:rsidR="00123783">
              <w:rPr>
                <w:sz w:val="20"/>
                <w:szCs w:val="20"/>
              </w:rPr>
              <w:t>T</w:t>
            </w:r>
            <w:r w:rsidRPr="00924421">
              <w:rPr>
                <w:sz w:val="20"/>
                <w:szCs w:val="20"/>
              </w:rPr>
              <w:t>able 1</w:t>
            </w:r>
            <w:r>
              <w:rPr>
                <w:sz w:val="20"/>
                <w:szCs w:val="20"/>
              </w:rPr>
              <w:t>6</w:t>
            </w:r>
            <w:r w:rsidRPr="00924421">
              <w:rPr>
                <w:sz w:val="20"/>
                <w:szCs w:val="20"/>
              </w:rPr>
              <w:t>)</w:t>
            </w:r>
          </w:p>
        </w:tc>
        <w:tc>
          <w:tcPr>
            <w:tcW w:w="1155" w:type="dxa"/>
            <w:shd w:val="clear" w:color="auto" w:fill="auto"/>
          </w:tcPr>
          <w:p w:rsidR="001341EB" w:rsidRPr="00924421" w14:paraId="569F431B" w14:textId="113EF9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4,807</w:t>
            </w:r>
            <w:r w:rsidR="00BA46DD">
              <w:rPr>
                <w:sz w:val="20"/>
                <w:szCs w:val="20"/>
              </w:rPr>
              <w:t>,307</w:t>
            </w:r>
          </w:p>
        </w:tc>
      </w:tr>
      <w:tr w14:paraId="5CCD05BB" w14:textId="77777777" w:rsidTr="00FB1A47">
        <w:tblPrEx>
          <w:tblW w:w="9445" w:type="dxa"/>
          <w:tblLayout w:type="fixed"/>
          <w:tblLook w:val="00A0"/>
        </w:tblPrEx>
        <w:trPr>
          <w:cantSplit/>
          <w:trHeight w:val="20"/>
        </w:trPr>
        <w:tc>
          <w:tcPr>
            <w:tcW w:w="1890" w:type="dxa"/>
            <w:shd w:val="clear" w:color="auto" w:fill="auto"/>
            <w:vAlign w:val="bottom"/>
          </w:tcPr>
          <w:p w:rsidR="001341EB" w:rsidRPr="00924421" w14:paraId="078A1551" w14:textId="55020E70">
            <w:pPr>
              <w:spacing w:after="0"/>
              <w:rPr>
                <w:sz w:val="20"/>
                <w:szCs w:val="20"/>
              </w:rPr>
            </w:pPr>
            <w:r w:rsidRPr="00924421">
              <w:rPr>
                <w:sz w:val="20"/>
                <w:szCs w:val="20"/>
              </w:rPr>
              <w:t>[(Quality Performance Category) Call for Quality Measures]</w:t>
            </w:r>
          </w:p>
        </w:tc>
        <w:tc>
          <w:tcPr>
            <w:tcW w:w="870" w:type="dxa"/>
            <w:shd w:val="clear" w:color="auto" w:fill="auto"/>
          </w:tcPr>
          <w:p w:rsidR="001341EB" w:rsidRPr="00924421" w14:paraId="57606FE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7</w:t>
            </w:r>
          </w:p>
        </w:tc>
        <w:tc>
          <w:tcPr>
            <w:tcW w:w="1245" w:type="dxa"/>
            <w:shd w:val="clear" w:color="auto" w:fill="auto"/>
          </w:tcPr>
          <w:p w:rsidR="001341EB" w:rsidRPr="00924421" w14:paraId="29B1186E" w14:textId="3806D60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16</w:t>
            </w:r>
          </w:p>
        </w:tc>
        <w:tc>
          <w:tcPr>
            <w:tcW w:w="1045" w:type="dxa"/>
            <w:shd w:val="clear" w:color="auto" w:fill="auto"/>
          </w:tcPr>
          <w:p w:rsidR="001341EB" w:rsidRPr="00924421" w14:paraId="0A02F9F3" w14:textId="794CED8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16</w:t>
            </w:r>
          </w:p>
        </w:tc>
        <w:tc>
          <w:tcPr>
            <w:tcW w:w="1065" w:type="dxa"/>
            <w:shd w:val="clear" w:color="auto" w:fill="auto"/>
          </w:tcPr>
          <w:p w:rsidR="001341EB" w:rsidRPr="00924421" w14:paraId="2F3B85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w:t>
            </w:r>
          </w:p>
        </w:tc>
        <w:tc>
          <w:tcPr>
            <w:tcW w:w="1065" w:type="dxa"/>
            <w:shd w:val="clear" w:color="auto" w:fill="auto"/>
          </w:tcPr>
          <w:p w:rsidR="001341EB" w:rsidRPr="00924421" w14:paraId="197A1ECF" w14:textId="6623B2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88</w:t>
            </w:r>
          </w:p>
        </w:tc>
        <w:tc>
          <w:tcPr>
            <w:tcW w:w="1110" w:type="dxa"/>
            <w:shd w:val="clear" w:color="auto" w:fill="auto"/>
          </w:tcPr>
          <w:p w:rsidR="001341EB" w:rsidRPr="00924421" w14:paraId="7CFCA2DE" w14:textId="5F4BC4E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w:t>
            </w:r>
            <w:r w:rsidR="00123783">
              <w:rPr>
                <w:sz w:val="20"/>
                <w:szCs w:val="20"/>
              </w:rPr>
              <w:t>T</w:t>
            </w:r>
            <w:r w:rsidRPr="00924421">
              <w:rPr>
                <w:sz w:val="20"/>
                <w:szCs w:val="20"/>
              </w:rPr>
              <w:t>able 1</w:t>
            </w:r>
            <w:r>
              <w:rPr>
                <w:sz w:val="20"/>
                <w:szCs w:val="20"/>
              </w:rPr>
              <w:t>7</w:t>
            </w:r>
            <w:r w:rsidRPr="00924421">
              <w:rPr>
                <w:sz w:val="20"/>
                <w:szCs w:val="20"/>
              </w:rPr>
              <w:t>)</w:t>
            </w:r>
          </w:p>
        </w:tc>
        <w:tc>
          <w:tcPr>
            <w:tcW w:w="1155" w:type="dxa"/>
            <w:shd w:val="clear" w:color="auto" w:fill="auto"/>
          </w:tcPr>
          <w:p w:rsidR="001341EB" w:rsidRPr="00924421" w14:paraId="03011D48" w14:textId="028D52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19,430</w:t>
            </w:r>
          </w:p>
        </w:tc>
      </w:tr>
      <w:tr w14:paraId="5701D1BF" w14:textId="77777777" w:rsidTr="00FB1A47">
        <w:tblPrEx>
          <w:tblW w:w="9445" w:type="dxa"/>
          <w:tblLayout w:type="fixed"/>
          <w:tblLook w:val="00A0"/>
        </w:tblPrEx>
        <w:trPr>
          <w:cantSplit/>
          <w:trHeight w:val="20"/>
        </w:trPr>
        <w:tc>
          <w:tcPr>
            <w:tcW w:w="1890" w:type="dxa"/>
            <w:shd w:val="clear" w:color="auto" w:fill="auto"/>
            <w:vAlign w:val="bottom"/>
          </w:tcPr>
          <w:p w:rsidR="001341EB" w:rsidRPr="00924421" w:rsidP="7531EBAD" w14:paraId="4061C814" w14:textId="3E1EE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§414.1375 and 414.1380[(P</w:t>
            </w:r>
            <w:r w:rsidR="00E32C69">
              <w:rPr>
                <w:sz w:val="20"/>
                <w:szCs w:val="20"/>
              </w:rPr>
              <w:t xml:space="preserve">romoting </w:t>
            </w:r>
            <w:r w:rsidRPr="00924421">
              <w:rPr>
                <w:sz w:val="20"/>
                <w:szCs w:val="20"/>
              </w:rPr>
              <w:t>I</w:t>
            </w:r>
            <w:r w:rsidR="00E32C69">
              <w:rPr>
                <w:sz w:val="20"/>
                <w:szCs w:val="20"/>
              </w:rPr>
              <w:t>nteroperability</w:t>
            </w:r>
            <w:r w:rsidRPr="00924421">
              <w:rPr>
                <w:sz w:val="20"/>
                <w:szCs w:val="20"/>
              </w:rPr>
              <w:t xml:space="preserve"> Performance Category) Reweighting Applications for </w:t>
            </w:r>
            <w:r w:rsidRPr="002269BE" w:rsidR="002269BE">
              <w:rPr>
                <w:sz w:val="20"/>
                <w:szCs w:val="20"/>
              </w:rPr>
              <w:t>MIPS Performance Categories</w:t>
            </w:r>
            <w:r w:rsidRPr="7531EBAD" w:rsidR="1C5BEF07">
              <w:rPr>
                <w:sz w:val="20"/>
                <w:szCs w:val="20"/>
              </w:rPr>
              <w:t>]</w:t>
            </w:r>
          </w:p>
        </w:tc>
        <w:tc>
          <w:tcPr>
            <w:tcW w:w="870" w:type="dxa"/>
            <w:shd w:val="clear" w:color="auto" w:fill="auto"/>
          </w:tcPr>
          <w:p w:rsidR="001341EB" w:rsidRPr="00924421" w14:paraId="02457C6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Pr>
                <w:sz w:val="20"/>
                <w:szCs w:val="20"/>
              </w:rPr>
              <w:t>8</w:t>
            </w:r>
          </w:p>
        </w:tc>
        <w:tc>
          <w:tcPr>
            <w:tcW w:w="1245" w:type="dxa"/>
            <w:shd w:val="clear" w:color="auto" w:fill="auto"/>
          </w:tcPr>
          <w:p w:rsidR="001341EB" w:rsidRPr="00924421" w14:paraId="3EC1A2A1" w14:textId="085C02A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3,297</w:t>
            </w:r>
          </w:p>
        </w:tc>
        <w:tc>
          <w:tcPr>
            <w:tcW w:w="1045" w:type="dxa"/>
            <w:shd w:val="clear" w:color="auto" w:fill="auto"/>
          </w:tcPr>
          <w:p w:rsidR="001341EB" w:rsidRPr="00924421" w14:paraId="2588CAF7" w14:textId="4CDF8B2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3,297</w:t>
            </w:r>
          </w:p>
        </w:tc>
        <w:tc>
          <w:tcPr>
            <w:tcW w:w="1065" w:type="dxa"/>
            <w:shd w:val="clear" w:color="auto" w:fill="auto"/>
          </w:tcPr>
          <w:p w:rsidR="001341EB" w:rsidRPr="00924421" w14:paraId="0BDF335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065" w:type="dxa"/>
            <w:shd w:val="clear" w:color="auto" w:fill="auto"/>
          </w:tcPr>
          <w:p w:rsidR="001341EB" w:rsidRPr="00924421" w14:paraId="0CC20ACB" w14:textId="36EB1F8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824</w:t>
            </w:r>
          </w:p>
        </w:tc>
        <w:tc>
          <w:tcPr>
            <w:tcW w:w="1110" w:type="dxa"/>
            <w:shd w:val="clear" w:color="auto" w:fill="auto"/>
          </w:tcPr>
          <w:p w:rsidR="001341EB" w:rsidRPr="00924421" w14:paraId="0B24D455" w14:textId="75246FC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106.54</w:t>
            </w:r>
          </w:p>
        </w:tc>
        <w:tc>
          <w:tcPr>
            <w:tcW w:w="1155" w:type="dxa"/>
            <w:shd w:val="clear" w:color="auto" w:fill="auto"/>
          </w:tcPr>
          <w:p w:rsidR="001341EB" w:rsidRPr="00924421" w14:paraId="1EF27867" w14:textId="11E01B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rPr>
                <w:sz w:val="20"/>
                <w:szCs w:val="20"/>
              </w:rPr>
            </w:pPr>
            <w:r>
              <w:rPr>
                <w:sz w:val="20"/>
                <w:szCs w:val="20"/>
              </w:rPr>
              <w:t>87,832</w:t>
            </w:r>
          </w:p>
        </w:tc>
      </w:tr>
      <w:tr w14:paraId="108DABCE" w14:textId="77777777" w:rsidTr="00FB1A47">
        <w:tblPrEx>
          <w:tblW w:w="9445" w:type="dxa"/>
          <w:tblLayout w:type="fixed"/>
          <w:tblLook w:val="00A0"/>
        </w:tblPrEx>
        <w:trPr>
          <w:cantSplit/>
          <w:trHeight w:val="20"/>
        </w:trPr>
        <w:tc>
          <w:tcPr>
            <w:tcW w:w="1890" w:type="dxa"/>
            <w:shd w:val="clear" w:color="auto" w:fill="auto"/>
          </w:tcPr>
          <w:p w:rsidR="001341EB" w:rsidRPr="00924421" w14:paraId="7BD86D6A" w14:textId="719C7A9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§414.1375 [(P</w:t>
            </w:r>
            <w:r w:rsidR="00E32C69">
              <w:rPr>
                <w:sz w:val="20"/>
                <w:szCs w:val="20"/>
              </w:rPr>
              <w:t xml:space="preserve">romoting </w:t>
            </w:r>
            <w:r w:rsidRPr="00924421">
              <w:rPr>
                <w:sz w:val="20"/>
                <w:szCs w:val="20"/>
              </w:rPr>
              <w:t>I</w:t>
            </w:r>
            <w:r w:rsidR="00E32C69">
              <w:rPr>
                <w:sz w:val="20"/>
                <w:szCs w:val="20"/>
              </w:rPr>
              <w:t>nteroperability</w:t>
            </w:r>
            <w:r w:rsidRPr="00924421">
              <w:rPr>
                <w:sz w:val="20"/>
                <w:szCs w:val="20"/>
              </w:rPr>
              <w:t xml:space="preserve"> Performance Category) Data Submission]</w:t>
            </w:r>
          </w:p>
        </w:tc>
        <w:tc>
          <w:tcPr>
            <w:tcW w:w="870" w:type="dxa"/>
            <w:shd w:val="clear" w:color="auto" w:fill="auto"/>
          </w:tcPr>
          <w:p w:rsidR="001341EB" w:rsidRPr="00924421" w14:paraId="38EA845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w:t>
            </w:r>
          </w:p>
        </w:tc>
        <w:tc>
          <w:tcPr>
            <w:tcW w:w="1245" w:type="dxa"/>
            <w:shd w:val="clear" w:color="auto" w:fill="auto"/>
          </w:tcPr>
          <w:p w:rsidR="001341EB" w:rsidRPr="00924421" w14:paraId="17E35812" w14:textId="5D88F6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18,609</w:t>
            </w:r>
          </w:p>
        </w:tc>
        <w:tc>
          <w:tcPr>
            <w:tcW w:w="1045" w:type="dxa"/>
            <w:shd w:val="clear" w:color="auto" w:fill="auto"/>
          </w:tcPr>
          <w:p w:rsidR="001341EB" w:rsidRPr="00924421" w14:paraId="07B65DF2" w14:textId="6A53EED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18,609</w:t>
            </w:r>
          </w:p>
        </w:tc>
        <w:tc>
          <w:tcPr>
            <w:tcW w:w="1065" w:type="dxa"/>
            <w:shd w:val="clear" w:color="auto" w:fill="auto"/>
          </w:tcPr>
          <w:p w:rsidR="001341EB" w:rsidRPr="00924421" w14:paraId="7A3EB14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Pr>
                <w:sz w:val="20"/>
                <w:szCs w:val="20"/>
              </w:rPr>
              <w:t>70</w:t>
            </w:r>
          </w:p>
        </w:tc>
        <w:tc>
          <w:tcPr>
            <w:tcW w:w="1065" w:type="dxa"/>
            <w:shd w:val="clear" w:color="auto" w:fill="auto"/>
          </w:tcPr>
          <w:p w:rsidR="001341EB" w:rsidRPr="00924421" w14:paraId="5222E81F" w14:textId="30FEAF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Pr>
                <w:sz w:val="20"/>
                <w:szCs w:val="20"/>
              </w:rPr>
              <w:t>50,244</w:t>
            </w:r>
          </w:p>
        </w:tc>
        <w:tc>
          <w:tcPr>
            <w:tcW w:w="1110" w:type="dxa"/>
            <w:shd w:val="clear" w:color="auto" w:fill="auto"/>
          </w:tcPr>
          <w:p w:rsidR="001341EB" w:rsidRPr="00924421" w14:paraId="202FE17A" w14:textId="358E9D1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106.54</w:t>
            </w:r>
          </w:p>
        </w:tc>
        <w:tc>
          <w:tcPr>
            <w:tcW w:w="1155" w:type="dxa"/>
            <w:shd w:val="clear" w:color="auto" w:fill="auto"/>
          </w:tcPr>
          <w:p w:rsidR="001341EB" w:rsidRPr="00924421" w14:paraId="67E9D498" w14:textId="3B2CDE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5,353,065</w:t>
            </w:r>
          </w:p>
        </w:tc>
      </w:tr>
      <w:tr w14:paraId="0EFFC6DF" w14:textId="77777777" w:rsidTr="00FB1A47">
        <w:tblPrEx>
          <w:tblW w:w="9445" w:type="dxa"/>
          <w:tblLayout w:type="fixed"/>
          <w:tblLook w:val="00A0"/>
        </w:tblPrEx>
        <w:trPr>
          <w:cantSplit/>
          <w:trHeight w:val="20"/>
        </w:trPr>
        <w:tc>
          <w:tcPr>
            <w:tcW w:w="1890" w:type="dxa"/>
            <w:shd w:val="clear" w:color="auto" w:fill="auto"/>
          </w:tcPr>
          <w:p w:rsidR="001341EB" w:rsidRPr="00924421" w14:paraId="1C5E858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Data Submission]</w:t>
            </w:r>
          </w:p>
        </w:tc>
        <w:tc>
          <w:tcPr>
            <w:tcW w:w="870" w:type="dxa"/>
            <w:shd w:val="clear" w:color="auto" w:fill="auto"/>
          </w:tcPr>
          <w:p w:rsidR="001341EB" w:rsidRPr="00924421" w:rsidP="738A46D6" w14:paraId="7135F212" w14:textId="1AD551D4">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053C1C65">
              <w:rPr>
                <w:sz w:val="20"/>
                <w:szCs w:val="20"/>
              </w:rPr>
              <w:t>0</w:t>
            </w:r>
          </w:p>
        </w:tc>
        <w:tc>
          <w:tcPr>
            <w:tcW w:w="1245" w:type="dxa"/>
            <w:shd w:val="clear" w:color="auto" w:fill="auto"/>
          </w:tcPr>
          <w:p w:rsidR="001341EB" w:rsidRPr="00924421" w14:paraId="3D948ECE" w14:textId="04B0EAB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38,433</w:t>
            </w:r>
          </w:p>
        </w:tc>
        <w:tc>
          <w:tcPr>
            <w:tcW w:w="1045" w:type="dxa"/>
            <w:shd w:val="clear" w:color="auto" w:fill="auto"/>
          </w:tcPr>
          <w:p w:rsidR="001341EB" w:rsidRPr="00924421" w14:paraId="07374ED4" w14:textId="122A1B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38,433</w:t>
            </w:r>
          </w:p>
        </w:tc>
        <w:tc>
          <w:tcPr>
            <w:tcW w:w="1065" w:type="dxa"/>
            <w:shd w:val="clear" w:color="auto" w:fill="auto"/>
          </w:tcPr>
          <w:p w:rsidR="001341EB" w:rsidRPr="00924421" w14:paraId="6FD7D44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0.083</w:t>
            </w:r>
          </w:p>
        </w:tc>
        <w:tc>
          <w:tcPr>
            <w:tcW w:w="1065" w:type="dxa"/>
            <w:shd w:val="clear" w:color="auto" w:fill="auto"/>
          </w:tcPr>
          <w:p w:rsidR="001341EB" w:rsidRPr="00924421" w14:paraId="45F6DF7D" w14:textId="7469B7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3,</w:t>
            </w:r>
            <w:r w:rsidR="00ED0A2C">
              <w:rPr>
                <w:sz w:val="20"/>
                <w:szCs w:val="20"/>
              </w:rPr>
              <w:t>190</w:t>
            </w:r>
          </w:p>
        </w:tc>
        <w:tc>
          <w:tcPr>
            <w:tcW w:w="1110" w:type="dxa"/>
            <w:shd w:val="clear" w:color="auto" w:fill="auto"/>
          </w:tcPr>
          <w:p w:rsidR="001341EB" w:rsidRPr="00924421" w14:paraId="2AE88D76" w14:textId="16A4154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106.54</w:t>
            </w:r>
          </w:p>
        </w:tc>
        <w:tc>
          <w:tcPr>
            <w:tcW w:w="1155" w:type="dxa"/>
            <w:shd w:val="clear" w:color="auto" w:fill="auto"/>
          </w:tcPr>
          <w:p w:rsidR="001341EB" w:rsidRPr="00924421" w14:paraId="3687B38C" w14:textId="2FD0408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339,748</w:t>
            </w:r>
          </w:p>
        </w:tc>
      </w:tr>
      <w:tr w14:paraId="0CBFD6EB" w14:textId="5EDDF91F" w:rsidTr="00FB1A47">
        <w:tblPrEx>
          <w:tblW w:w="9445" w:type="dxa"/>
          <w:tblLayout w:type="fixed"/>
          <w:tblLook w:val="00A0"/>
        </w:tblPrEx>
        <w:trPr>
          <w:cantSplit/>
          <w:trHeight w:val="20"/>
        </w:trPr>
        <w:tc>
          <w:tcPr>
            <w:tcW w:w="1890" w:type="dxa"/>
            <w:shd w:val="clear" w:color="auto" w:fill="auto"/>
          </w:tcPr>
          <w:p w:rsidR="001341EB" w:rsidRPr="00924421" w:rsidP="738A46D6" w14:paraId="057D17A8" w14:textId="76648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§414.1360 [(Improvement Activities Performance Category) Nomination of Improvement Activities]</w:t>
            </w:r>
          </w:p>
        </w:tc>
        <w:tc>
          <w:tcPr>
            <w:tcW w:w="870" w:type="dxa"/>
            <w:shd w:val="clear" w:color="auto" w:fill="auto"/>
          </w:tcPr>
          <w:p w:rsidR="001341EB" w:rsidRPr="00924421" w:rsidP="738A46D6" w14:paraId="2B0135D0" w14:textId="6348FDD8">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0333921E">
              <w:rPr>
                <w:sz w:val="20"/>
                <w:szCs w:val="20"/>
              </w:rPr>
              <w:t>1</w:t>
            </w:r>
          </w:p>
        </w:tc>
        <w:tc>
          <w:tcPr>
            <w:tcW w:w="1245" w:type="dxa"/>
            <w:shd w:val="clear" w:color="auto" w:fill="auto"/>
          </w:tcPr>
          <w:p w:rsidR="001341EB" w:rsidRPr="00924421" w:rsidP="738A46D6" w14:paraId="687A45BA" w14:textId="39E823C6">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15</w:t>
            </w:r>
          </w:p>
        </w:tc>
        <w:tc>
          <w:tcPr>
            <w:tcW w:w="1045" w:type="dxa"/>
            <w:shd w:val="clear" w:color="auto" w:fill="auto"/>
          </w:tcPr>
          <w:p w:rsidR="001341EB" w:rsidRPr="00924421" w:rsidP="738A46D6" w14:paraId="35D1D041" w14:textId="4143EE6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15</w:t>
            </w:r>
          </w:p>
        </w:tc>
        <w:tc>
          <w:tcPr>
            <w:tcW w:w="1065" w:type="dxa"/>
            <w:shd w:val="clear" w:color="auto" w:fill="auto"/>
          </w:tcPr>
          <w:p w:rsidR="001341EB" w:rsidRPr="00924421" w:rsidP="738A46D6" w14:paraId="4D2F25BA" w14:textId="337AC418">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4.4</w:t>
            </w:r>
          </w:p>
        </w:tc>
        <w:tc>
          <w:tcPr>
            <w:tcW w:w="1065" w:type="dxa"/>
            <w:shd w:val="clear" w:color="auto" w:fill="auto"/>
          </w:tcPr>
          <w:p w:rsidR="001341EB" w:rsidRPr="00924421" w:rsidP="738A46D6" w14:paraId="24C741CA" w14:textId="25E7E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738A46D6">
              <w:rPr>
                <w:sz w:val="20"/>
                <w:szCs w:val="20"/>
              </w:rPr>
              <w:t>66</w:t>
            </w:r>
          </w:p>
        </w:tc>
        <w:tc>
          <w:tcPr>
            <w:tcW w:w="1110" w:type="dxa"/>
            <w:shd w:val="clear" w:color="auto" w:fill="auto"/>
          </w:tcPr>
          <w:p w:rsidR="001341EB" w:rsidRPr="00924421" w:rsidP="738A46D6" w14:paraId="0B33A778" w14:textId="7AF70BBC">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 xml:space="preserve">Varies (see </w:t>
            </w:r>
            <w:r w:rsidR="00123783">
              <w:rPr>
                <w:sz w:val="20"/>
                <w:szCs w:val="20"/>
              </w:rPr>
              <w:t>T</w:t>
            </w:r>
            <w:r w:rsidRPr="738A46D6">
              <w:rPr>
                <w:sz w:val="20"/>
                <w:szCs w:val="20"/>
              </w:rPr>
              <w:t>able 22)</w:t>
            </w:r>
          </w:p>
        </w:tc>
        <w:tc>
          <w:tcPr>
            <w:tcW w:w="1155" w:type="dxa"/>
            <w:shd w:val="clear" w:color="auto" w:fill="auto"/>
          </w:tcPr>
          <w:p w:rsidR="001341EB" w:rsidRPr="00924421" w:rsidP="738A46D6" w14:paraId="57AC6C33" w14:textId="023F3026">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738A46D6">
              <w:rPr>
                <w:sz w:val="20"/>
                <w:szCs w:val="20"/>
              </w:rPr>
              <w:t>12,429</w:t>
            </w:r>
          </w:p>
        </w:tc>
      </w:tr>
      <w:tr w14:paraId="530D75B4" w14:textId="1D38D3D4" w:rsidTr="00FB1A47">
        <w:tblPrEx>
          <w:tblW w:w="9445" w:type="dxa"/>
          <w:tblLayout w:type="fixed"/>
          <w:tblLook w:val="00A0"/>
        </w:tblPrEx>
        <w:trPr>
          <w:cantSplit/>
          <w:trHeight w:val="20"/>
        </w:trPr>
        <w:tc>
          <w:tcPr>
            <w:tcW w:w="1890" w:type="dxa"/>
            <w:shd w:val="clear" w:color="auto" w:fill="auto"/>
          </w:tcPr>
          <w:p w:rsidR="001341EB" w:rsidRPr="00924421" w:rsidP="738A46D6" w14:paraId="36A4A88C" w14:textId="2E9CAD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Nomination of MVPs</w:t>
            </w:r>
          </w:p>
        </w:tc>
        <w:tc>
          <w:tcPr>
            <w:tcW w:w="870" w:type="dxa"/>
            <w:shd w:val="clear" w:color="auto" w:fill="auto"/>
          </w:tcPr>
          <w:p w:rsidR="001341EB" w:rsidRPr="00924421" w:rsidP="738A46D6" w14:paraId="65E2DF05" w14:textId="4D26CBC4">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1C9447E8">
              <w:rPr>
                <w:sz w:val="20"/>
                <w:szCs w:val="20"/>
              </w:rPr>
              <w:t>2</w:t>
            </w:r>
          </w:p>
        </w:tc>
        <w:tc>
          <w:tcPr>
            <w:tcW w:w="1245" w:type="dxa"/>
            <w:shd w:val="clear" w:color="auto" w:fill="auto"/>
          </w:tcPr>
          <w:p w:rsidR="001341EB" w:rsidRPr="00924421" w:rsidP="738A46D6" w14:paraId="4B92ACB1" w14:textId="7831CF9E">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10</w:t>
            </w:r>
          </w:p>
        </w:tc>
        <w:tc>
          <w:tcPr>
            <w:tcW w:w="1045" w:type="dxa"/>
            <w:shd w:val="clear" w:color="auto" w:fill="auto"/>
          </w:tcPr>
          <w:p w:rsidR="001341EB" w:rsidRPr="00924421" w:rsidP="738A46D6" w14:paraId="54F7CF07" w14:textId="7E1C10D0">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10</w:t>
            </w:r>
          </w:p>
        </w:tc>
        <w:tc>
          <w:tcPr>
            <w:tcW w:w="1065" w:type="dxa"/>
            <w:shd w:val="clear" w:color="auto" w:fill="auto"/>
          </w:tcPr>
          <w:p w:rsidR="001341EB" w:rsidRPr="00924421" w:rsidP="738A46D6" w14:paraId="41CE1962" w14:textId="31096710">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12</w:t>
            </w:r>
          </w:p>
        </w:tc>
        <w:tc>
          <w:tcPr>
            <w:tcW w:w="1065" w:type="dxa"/>
            <w:shd w:val="clear" w:color="auto" w:fill="auto"/>
          </w:tcPr>
          <w:p w:rsidR="001341EB" w:rsidRPr="00924421" w:rsidP="738A46D6" w14:paraId="1AB09647" w14:textId="32DBC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738A46D6">
              <w:rPr>
                <w:sz w:val="20"/>
                <w:szCs w:val="20"/>
              </w:rPr>
              <w:t>120</w:t>
            </w:r>
          </w:p>
        </w:tc>
        <w:tc>
          <w:tcPr>
            <w:tcW w:w="1110" w:type="dxa"/>
            <w:shd w:val="clear" w:color="auto" w:fill="auto"/>
          </w:tcPr>
          <w:p w:rsidR="001341EB" w:rsidRPr="00924421" w:rsidP="738A46D6" w14:paraId="0381D4D3" w14:textId="4DCAFFE7">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 xml:space="preserve">Varies (see </w:t>
            </w:r>
            <w:r w:rsidR="00123783">
              <w:rPr>
                <w:sz w:val="20"/>
                <w:szCs w:val="20"/>
              </w:rPr>
              <w:t>T</w:t>
            </w:r>
            <w:r w:rsidRPr="738A46D6">
              <w:rPr>
                <w:sz w:val="20"/>
                <w:szCs w:val="20"/>
              </w:rPr>
              <w:t>able 23)</w:t>
            </w:r>
          </w:p>
        </w:tc>
        <w:tc>
          <w:tcPr>
            <w:tcW w:w="1155" w:type="dxa"/>
            <w:shd w:val="clear" w:color="auto" w:fill="auto"/>
          </w:tcPr>
          <w:p w:rsidR="001341EB" w:rsidRPr="00924421" w:rsidP="738A46D6" w14:paraId="26CE4A84" w14:textId="6463ED41">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738A46D6">
              <w:rPr>
                <w:sz w:val="20"/>
                <w:szCs w:val="20"/>
              </w:rPr>
              <w:t>23,307</w:t>
            </w:r>
          </w:p>
        </w:tc>
      </w:tr>
      <w:tr w14:paraId="21870D6C" w14:textId="77777777" w:rsidTr="00FB1A47">
        <w:tblPrEx>
          <w:tblW w:w="9445" w:type="dxa"/>
          <w:tblLayout w:type="fixed"/>
          <w:tblLook w:val="00A0"/>
        </w:tblPrEx>
        <w:trPr>
          <w:cantSplit/>
          <w:trHeight w:val="20"/>
        </w:trPr>
        <w:tc>
          <w:tcPr>
            <w:tcW w:w="1890" w:type="dxa"/>
            <w:shd w:val="clear" w:color="auto" w:fill="auto"/>
          </w:tcPr>
          <w:p w:rsidR="001341EB" w:rsidRPr="00924421" w14:paraId="46696CB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§414.1430 [Partial Qualifying APM Participant (QP) Election]</w:t>
            </w:r>
          </w:p>
        </w:tc>
        <w:tc>
          <w:tcPr>
            <w:tcW w:w="870" w:type="dxa"/>
            <w:shd w:val="clear" w:color="auto" w:fill="auto"/>
          </w:tcPr>
          <w:p w:rsidR="001341EB" w:rsidRPr="00924421" w:rsidP="738A46D6" w14:paraId="557D22D1" w14:textId="6891B94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11B379F0">
              <w:rPr>
                <w:sz w:val="20"/>
                <w:szCs w:val="20"/>
              </w:rPr>
              <w:t>3</w:t>
            </w:r>
          </w:p>
        </w:tc>
        <w:tc>
          <w:tcPr>
            <w:tcW w:w="1245" w:type="dxa"/>
            <w:shd w:val="clear" w:color="auto" w:fill="auto"/>
          </w:tcPr>
          <w:p w:rsidR="001341EB" w:rsidRPr="00924421" w14:paraId="3CAD8072" w14:textId="3E7E8B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w:t>
            </w:r>
          </w:p>
        </w:tc>
        <w:tc>
          <w:tcPr>
            <w:tcW w:w="1045" w:type="dxa"/>
            <w:shd w:val="clear" w:color="auto" w:fill="auto"/>
          </w:tcPr>
          <w:p w:rsidR="001341EB" w:rsidRPr="00924421" w14:paraId="67256B0E" w14:textId="53E74E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18</w:t>
            </w:r>
          </w:p>
        </w:tc>
        <w:tc>
          <w:tcPr>
            <w:tcW w:w="1065" w:type="dxa"/>
            <w:shd w:val="clear" w:color="auto" w:fill="auto"/>
          </w:tcPr>
          <w:p w:rsidR="001341EB" w:rsidRPr="00924421" w14:paraId="2188E98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065" w:type="dxa"/>
            <w:shd w:val="clear" w:color="auto" w:fill="auto"/>
          </w:tcPr>
          <w:p w:rsidR="001341EB" w:rsidRPr="00924421" w14:paraId="1C73BA09" w14:textId="6BCC575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5</w:t>
            </w:r>
          </w:p>
        </w:tc>
        <w:tc>
          <w:tcPr>
            <w:tcW w:w="1110" w:type="dxa"/>
            <w:shd w:val="clear" w:color="auto" w:fill="auto"/>
          </w:tcPr>
          <w:p w:rsidR="001341EB" w:rsidRPr="00924421" w14:paraId="1EB4A484" w14:textId="194015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color w:val="000000"/>
                <w:sz w:val="20"/>
                <w:szCs w:val="20"/>
              </w:rPr>
              <w:t>106.54</w:t>
            </w:r>
          </w:p>
        </w:tc>
        <w:tc>
          <w:tcPr>
            <w:tcW w:w="1155" w:type="dxa"/>
            <w:shd w:val="clear" w:color="auto" w:fill="auto"/>
          </w:tcPr>
          <w:p w:rsidR="001341EB" w:rsidRPr="00924421" w14:paraId="13182D1B" w14:textId="4A9127E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480</w:t>
            </w:r>
          </w:p>
        </w:tc>
      </w:tr>
      <w:tr w14:paraId="3F4AFA4B" w14:textId="77777777" w:rsidTr="00FB1A47">
        <w:tblPrEx>
          <w:tblW w:w="9445" w:type="dxa"/>
          <w:tblLayout w:type="fixed"/>
          <w:tblLook w:val="00A0"/>
        </w:tblPrEx>
        <w:trPr>
          <w:cantSplit/>
          <w:trHeight w:val="20"/>
        </w:trPr>
        <w:tc>
          <w:tcPr>
            <w:tcW w:w="1890" w:type="dxa"/>
            <w:shd w:val="clear" w:color="auto" w:fill="auto"/>
          </w:tcPr>
          <w:p w:rsidR="001341EB" w:rsidRPr="00924421" w:rsidP="738A46D6" w14:paraId="551AACF1" w14:textId="3DB56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738A46D6">
              <w:rPr>
                <w:sz w:val="20"/>
                <w:szCs w:val="20"/>
              </w:rPr>
              <w:t>§414.1440 [Other Payer Advanced APM Identification</w:t>
            </w:r>
            <w:r w:rsidRPr="738A46D6" w:rsidR="52C02616">
              <w:rPr>
                <w:sz w:val="20"/>
                <w:szCs w:val="20"/>
              </w:rPr>
              <w:t xml:space="preserve"> Determinations</w:t>
            </w:r>
            <w:r w:rsidRPr="738A46D6">
              <w:rPr>
                <w:sz w:val="20"/>
                <w:szCs w:val="20"/>
              </w:rPr>
              <w:t>: Payer</w:t>
            </w:r>
            <w:r w:rsidRPr="738A46D6" w:rsidR="5D3A11C0">
              <w:rPr>
                <w:sz w:val="20"/>
                <w:szCs w:val="20"/>
              </w:rPr>
              <w:t>-</w:t>
            </w:r>
            <w:r w:rsidRPr="738A46D6">
              <w:rPr>
                <w:sz w:val="20"/>
                <w:szCs w:val="20"/>
              </w:rPr>
              <w:t>Initiated Process]</w:t>
            </w:r>
          </w:p>
        </w:tc>
        <w:tc>
          <w:tcPr>
            <w:tcW w:w="870" w:type="dxa"/>
            <w:shd w:val="clear" w:color="auto" w:fill="auto"/>
          </w:tcPr>
          <w:p w:rsidR="001341EB" w:rsidRPr="00924421" w:rsidP="738A46D6" w14:paraId="7B69890A" w14:textId="7399074D">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16A267BC">
              <w:rPr>
                <w:sz w:val="20"/>
                <w:szCs w:val="20"/>
              </w:rPr>
              <w:t>4</w:t>
            </w:r>
          </w:p>
        </w:tc>
        <w:tc>
          <w:tcPr>
            <w:tcW w:w="1245" w:type="dxa"/>
            <w:shd w:val="clear" w:color="auto" w:fill="auto"/>
          </w:tcPr>
          <w:p w:rsidR="001341EB" w:rsidRPr="00924421" w14:paraId="1ABB4FA1" w14:textId="50BA1D5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045" w:type="dxa"/>
            <w:shd w:val="clear" w:color="auto" w:fill="auto"/>
          </w:tcPr>
          <w:p w:rsidR="001341EB" w:rsidRPr="00924421" w14:paraId="1EEA84DE" w14:textId="0F0482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065" w:type="dxa"/>
            <w:shd w:val="clear" w:color="auto" w:fill="auto"/>
          </w:tcPr>
          <w:p w:rsidR="001341EB" w:rsidRPr="00924421" w14:paraId="25F8070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065" w:type="dxa"/>
            <w:shd w:val="clear" w:color="auto" w:fill="auto"/>
          </w:tcPr>
          <w:p w:rsidR="001341EB" w:rsidRPr="00924421" w14:paraId="37324ADF" w14:textId="3B1F7C4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100</w:t>
            </w:r>
          </w:p>
        </w:tc>
        <w:tc>
          <w:tcPr>
            <w:tcW w:w="1110" w:type="dxa"/>
            <w:shd w:val="clear" w:color="auto" w:fill="auto"/>
          </w:tcPr>
          <w:p w:rsidR="001341EB" w:rsidRPr="00924421" w14:paraId="1F6F10C0" w14:textId="41EFF39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106.54</w:t>
            </w:r>
          </w:p>
        </w:tc>
        <w:tc>
          <w:tcPr>
            <w:tcW w:w="1155" w:type="dxa"/>
            <w:shd w:val="clear" w:color="auto" w:fill="auto"/>
          </w:tcPr>
          <w:p w:rsidR="001341EB" w:rsidRPr="00924421" w14:paraId="02E25106" w14:textId="664F18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10,654</w:t>
            </w:r>
          </w:p>
        </w:tc>
      </w:tr>
      <w:tr w14:paraId="3EAEC107" w14:textId="77777777" w:rsidTr="00FB1A47">
        <w:tblPrEx>
          <w:tblW w:w="9445" w:type="dxa"/>
          <w:tblLayout w:type="fixed"/>
          <w:tblLook w:val="00A0"/>
        </w:tblPrEx>
        <w:trPr>
          <w:cantSplit/>
          <w:trHeight w:val="20"/>
        </w:trPr>
        <w:tc>
          <w:tcPr>
            <w:tcW w:w="1890" w:type="dxa"/>
            <w:shd w:val="clear" w:color="auto" w:fill="auto"/>
          </w:tcPr>
          <w:p w:rsidR="001341EB" w:rsidRPr="00924421" w14:paraId="3A70E20B" w14:textId="036A7A7B">
            <w:pPr>
              <w:spacing w:after="0"/>
              <w:rPr>
                <w:sz w:val="20"/>
                <w:szCs w:val="20"/>
              </w:rPr>
            </w:pPr>
            <w:r w:rsidRPr="5B5F5372">
              <w:rPr>
                <w:sz w:val="20"/>
                <w:szCs w:val="20"/>
              </w:rPr>
              <w:t>§414.1445 [Other Payer Advanced APM Identification</w:t>
            </w:r>
            <w:r w:rsidRPr="5B5F5372" w:rsidR="72FB302C">
              <w:rPr>
                <w:sz w:val="20"/>
                <w:szCs w:val="20"/>
              </w:rPr>
              <w:t xml:space="preserve"> Determinations</w:t>
            </w:r>
            <w:r w:rsidRPr="5B5F5372">
              <w:rPr>
                <w:sz w:val="20"/>
                <w:szCs w:val="20"/>
              </w:rPr>
              <w:t xml:space="preserve">: </w:t>
            </w:r>
            <w:r w:rsidRPr="5B5F5372" w:rsidR="02368448">
              <w:rPr>
                <w:sz w:val="20"/>
                <w:szCs w:val="20"/>
              </w:rPr>
              <w:t xml:space="preserve">Eligible </w:t>
            </w:r>
            <w:r w:rsidRPr="5B5F5372">
              <w:rPr>
                <w:sz w:val="20"/>
                <w:szCs w:val="20"/>
              </w:rPr>
              <w:t>Clinician</w:t>
            </w:r>
            <w:r w:rsidRPr="5B5F5372" w:rsidR="0D0857FD">
              <w:rPr>
                <w:sz w:val="20"/>
                <w:szCs w:val="20"/>
              </w:rPr>
              <w:t>-</w:t>
            </w:r>
            <w:r w:rsidRPr="5B5F5372">
              <w:rPr>
                <w:sz w:val="20"/>
                <w:szCs w:val="20"/>
              </w:rPr>
              <w:t>Initiated Process]</w:t>
            </w:r>
          </w:p>
        </w:tc>
        <w:tc>
          <w:tcPr>
            <w:tcW w:w="870" w:type="dxa"/>
            <w:shd w:val="clear" w:color="auto" w:fill="auto"/>
          </w:tcPr>
          <w:p w:rsidR="001341EB" w:rsidRPr="00924421" w:rsidP="738A46D6" w14:paraId="179CA5D4" w14:textId="26E96DB8">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73F33929">
              <w:rPr>
                <w:sz w:val="20"/>
                <w:szCs w:val="20"/>
              </w:rPr>
              <w:t>5</w:t>
            </w:r>
          </w:p>
        </w:tc>
        <w:tc>
          <w:tcPr>
            <w:tcW w:w="1245" w:type="dxa"/>
            <w:shd w:val="clear" w:color="auto" w:fill="auto"/>
          </w:tcPr>
          <w:p w:rsidR="001341EB" w:rsidRPr="00924421" w14:paraId="6F9263B8" w14:textId="6422E5B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045" w:type="dxa"/>
            <w:shd w:val="clear" w:color="auto" w:fill="auto"/>
          </w:tcPr>
          <w:p w:rsidR="001341EB" w:rsidRPr="00924421" w14:paraId="5E088267" w14:textId="29D2737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065" w:type="dxa"/>
            <w:shd w:val="clear" w:color="auto" w:fill="auto"/>
          </w:tcPr>
          <w:p w:rsidR="001341EB" w:rsidRPr="00924421" w14:paraId="077F8D4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065" w:type="dxa"/>
            <w:shd w:val="clear" w:color="auto" w:fill="auto"/>
          </w:tcPr>
          <w:p w:rsidR="001341EB" w:rsidRPr="00924421" w14:paraId="435C7B52" w14:textId="09A496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100</w:t>
            </w:r>
          </w:p>
        </w:tc>
        <w:tc>
          <w:tcPr>
            <w:tcW w:w="1110" w:type="dxa"/>
            <w:shd w:val="clear" w:color="auto" w:fill="auto"/>
          </w:tcPr>
          <w:p w:rsidR="001341EB" w:rsidRPr="00924421" w14:paraId="4DF3C30B" w14:textId="0A40497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106.54</w:t>
            </w:r>
          </w:p>
        </w:tc>
        <w:tc>
          <w:tcPr>
            <w:tcW w:w="1155" w:type="dxa"/>
            <w:shd w:val="clear" w:color="auto" w:fill="auto"/>
          </w:tcPr>
          <w:p w:rsidR="001341EB" w:rsidRPr="00924421" w14:paraId="1B8E5710" w14:textId="535522F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10,654</w:t>
            </w:r>
          </w:p>
        </w:tc>
      </w:tr>
      <w:tr w14:paraId="451C15A1" w14:textId="77777777" w:rsidTr="00FB1A47">
        <w:tblPrEx>
          <w:tblW w:w="9445" w:type="dxa"/>
          <w:tblLayout w:type="fixed"/>
          <w:tblLook w:val="00A0"/>
        </w:tblPrEx>
        <w:trPr>
          <w:cantSplit/>
          <w:trHeight w:val="20"/>
        </w:trPr>
        <w:tc>
          <w:tcPr>
            <w:tcW w:w="1890" w:type="dxa"/>
            <w:shd w:val="clear" w:color="auto" w:fill="auto"/>
          </w:tcPr>
          <w:p w:rsidR="001341EB" w:rsidRPr="00924421" w:rsidP="5B5F5372" w14:paraId="512FF692" w14:textId="042B4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5B5F5372">
              <w:rPr>
                <w:sz w:val="20"/>
                <w:szCs w:val="20"/>
              </w:rPr>
              <w:t>§414.1440 [Submission of Data for All-Payer QP Determinations]</w:t>
            </w:r>
          </w:p>
        </w:tc>
        <w:tc>
          <w:tcPr>
            <w:tcW w:w="870" w:type="dxa"/>
            <w:shd w:val="clear" w:color="auto" w:fill="auto"/>
          </w:tcPr>
          <w:p w:rsidR="001341EB" w:rsidRPr="00924421" w:rsidP="738A46D6" w14:paraId="38130E64" w14:textId="0AEB379A">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1946144B">
              <w:rPr>
                <w:sz w:val="20"/>
                <w:szCs w:val="20"/>
              </w:rPr>
              <w:t>6</w:t>
            </w:r>
          </w:p>
        </w:tc>
        <w:tc>
          <w:tcPr>
            <w:tcW w:w="1245" w:type="dxa"/>
            <w:shd w:val="clear" w:color="auto" w:fill="auto"/>
          </w:tcPr>
          <w:p w:rsidR="001341EB" w:rsidRPr="00924421" w14:paraId="4E1BD384" w14:textId="7CC0B3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120</w:t>
            </w:r>
          </w:p>
        </w:tc>
        <w:tc>
          <w:tcPr>
            <w:tcW w:w="1045" w:type="dxa"/>
            <w:shd w:val="clear" w:color="auto" w:fill="auto"/>
          </w:tcPr>
          <w:p w:rsidR="001341EB" w:rsidRPr="00924421" w14:paraId="1C8E49D8" w14:textId="07BEF4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120</w:t>
            </w:r>
          </w:p>
        </w:tc>
        <w:tc>
          <w:tcPr>
            <w:tcW w:w="1065" w:type="dxa"/>
            <w:shd w:val="clear" w:color="auto" w:fill="auto"/>
          </w:tcPr>
          <w:p w:rsidR="001341EB" w:rsidRPr="00924421" w14:paraId="19B3A39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p>
        </w:tc>
        <w:tc>
          <w:tcPr>
            <w:tcW w:w="1065" w:type="dxa"/>
            <w:shd w:val="clear" w:color="auto" w:fill="auto"/>
          </w:tcPr>
          <w:p w:rsidR="001341EB" w:rsidRPr="00924421" w14:paraId="1B985DBB" w14:textId="43A847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600</w:t>
            </w:r>
          </w:p>
        </w:tc>
        <w:tc>
          <w:tcPr>
            <w:tcW w:w="1110" w:type="dxa"/>
            <w:shd w:val="clear" w:color="auto" w:fill="auto"/>
          </w:tcPr>
          <w:p w:rsidR="001341EB" w:rsidRPr="00924421" w14:paraId="3F50A26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129.28</w:t>
            </w:r>
          </w:p>
        </w:tc>
        <w:tc>
          <w:tcPr>
            <w:tcW w:w="1155" w:type="dxa"/>
            <w:shd w:val="clear" w:color="auto" w:fill="auto"/>
          </w:tcPr>
          <w:p w:rsidR="001341EB" w:rsidRPr="00924421" w14:paraId="13733099" w14:textId="0D2ED9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77,568</w:t>
            </w:r>
          </w:p>
        </w:tc>
      </w:tr>
      <w:tr w14:paraId="03849A48" w14:textId="3885467A" w:rsidTr="00FB1A47">
        <w:tblPrEx>
          <w:tblW w:w="9445" w:type="dxa"/>
          <w:tblLayout w:type="fixed"/>
          <w:tblLook w:val="00A0"/>
        </w:tblPrEx>
        <w:trPr>
          <w:cantSplit/>
          <w:trHeight w:val="20"/>
        </w:trPr>
        <w:tc>
          <w:tcPr>
            <w:tcW w:w="1890" w:type="dxa"/>
            <w:shd w:val="clear" w:color="auto" w:fill="auto"/>
          </w:tcPr>
          <w:p w:rsidR="001341EB" w:rsidRPr="00753C6D" w:rsidP="738A46D6" w14:paraId="6176963B" w14:textId="59669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5B5F5372">
              <w:rPr>
                <w:sz w:val="20"/>
                <w:szCs w:val="20"/>
              </w:rPr>
              <w:t>§414.1395 [(Physician Compare) Voluntary Participants</w:t>
            </w:r>
            <w:r w:rsidRPr="5B5F5372" w:rsidR="50B30040">
              <w:rPr>
                <w:sz w:val="20"/>
                <w:szCs w:val="20"/>
              </w:rPr>
              <w:t xml:space="preserve"> Election to Opt-out of Performance Data Display on Compare Tools</w:t>
            </w:r>
            <w:r w:rsidRPr="5B5F5372">
              <w:rPr>
                <w:sz w:val="20"/>
                <w:szCs w:val="20"/>
              </w:rPr>
              <w:t>]</w:t>
            </w:r>
          </w:p>
        </w:tc>
        <w:tc>
          <w:tcPr>
            <w:tcW w:w="870" w:type="dxa"/>
            <w:shd w:val="clear" w:color="auto" w:fill="auto"/>
          </w:tcPr>
          <w:p w:rsidR="001341EB" w:rsidRPr="00753C6D" w:rsidP="738A46D6" w14:paraId="1D6E3FFC" w14:textId="508C3E0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2</w:t>
            </w:r>
            <w:r w:rsidRPr="738A46D6" w:rsidR="5B24C6CC">
              <w:rPr>
                <w:sz w:val="20"/>
                <w:szCs w:val="20"/>
              </w:rPr>
              <w:t>7</w:t>
            </w:r>
          </w:p>
        </w:tc>
        <w:tc>
          <w:tcPr>
            <w:tcW w:w="1245" w:type="dxa"/>
            <w:shd w:val="clear" w:color="auto" w:fill="auto"/>
          </w:tcPr>
          <w:p w:rsidR="001341EB" w:rsidRPr="00753C6D" w:rsidP="738A46D6" w14:paraId="29996543" w14:textId="0D52456F">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38</w:t>
            </w:r>
          </w:p>
        </w:tc>
        <w:tc>
          <w:tcPr>
            <w:tcW w:w="1045" w:type="dxa"/>
            <w:shd w:val="clear" w:color="auto" w:fill="auto"/>
          </w:tcPr>
          <w:p w:rsidR="001341EB" w:rsidRPr="00753C6D" w:rsidP="738A46D6" w14:paraId="7CCE9673" w14:textId="7E310A2D">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38</w:t>
            </w:r>
          </w:p>
        </w:tc>
        <w:tc>
          <w:tcPr>
            <w:tcW w:w="1065" w:type="dxa"/>
            <w:shd w:val="clear" w:color="auto" w:fill="auto"/>
          </w:tcPr>
          <w:p w:rsidR="001341EB" w:rsidRPr="00753C6D" w:rsidP="738A46D6" w14:paraId="1C6EB530" w14:textId="1ADE3B95">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738A46D6">
              <w:rPr>
                <w:sz w:val="20"/>
                <w:szCs w:val="20"/>
              </w:rPr>
              <w:t>0.25</w:t>
            </w:r>
          </w:p>
        </w:tc>
        <w:tc>
          <w:tcPr>
            <w:tcW w:w="1065" w:type="dxa"/>
            <w:shd w:val="clear" w:color="auto" w:fill="auto"/>
          </w:tcPr>
          <w:p w:rsidR="001341EB" w:rsidRPr="00753C6D" w:rsidP="738A46D6" w14:paraId="5E29AC35" w14:textId="5860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738A46D6">
              <w:rPr>
                <w:sz w:val="20"/>
                <w:szCs w:val="20"/>
              </w:rPr>
              <w:t>10</w:t>
            </w:r>
          </w:p>
        </w:tc>
        <w:tc>
          <w:tcPr>
            <w:tcW w:w="1110" w:type="dxa"/>
            <w:shd w:val="clear" w:color="auto" w:fill="auto"/>
          </w:tcPr>
          <w:p w:rsidR="001341EB" w:rsidRPr="00753C6D" w:rsidP="5B5F5372" w14:paraId="7FC048D0" w14:textId="2F34FF2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5B5F5372">
              <w:rPr>
                <w:sz w:val="20"/>
                <w:szCs w:val="20"/>
              </w:rPr>
              <w:t>106.54</w:t>
            </w:r>
          </w:p>
        </w:tc>
        <w:tc>
          <w:tcPr>
            <w:tcW w:w="1155" w:type="dxa"/>
            <w:shd w:val="clear" w:color="auto" w:fill="auto"/>
          </w:tcPr>
          <w:p w:rsidR="001341EB" w:rsidRPr="00753C6D" w:rsidP="5B5F5372" w14:paraId="0EB6526B" w14:textId="1F2DDFED">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59" w:lineRule="auto"/>
              <w:jc w:val="center"/>
              <w:rPr>
                <w:sz w:val="20"/>
                <w:szCs w:val="20"/>
              </w:rPr>
            </w:pPr>
            <w:r w:rsidRPr="5B5F5372">
              <w:rPr>
                <w:sz w:val="20"/>
                <w:szCs w:val="20"/>
              </w:rPr>
              <w:t>1,012</w:t>
            </w:r>
          </w:p>
        </w:tc>
      </w:tr>
      <w:tr w14:paraId="425AC27B" w14:textId="77777777" w:rsidTr="00BB4987">
        <w:tblPrEx>
          <w:tblW w:w="9445" w:type="dxa"/>
          <w:tblLayout w:type="fixed"/>
          <w:tblLook w:val="00A0"/>
        </w:tblPrEx>
        <w:trPr>
          <w:cantSplit/>
          <w:trHeight w:val="341"/>
        </w:trPr>
        <w:tc>
          <w:tcPr>
            <w:tcW w:w="1890" w:type="dxa"/>
            <w:shd w:val="clear" w:color="auto" w:fill="E7E6E6" w:themeFill="background2"/>
          </w:tcPr>
          <w:p w:rsidR="001341EB" w:rsidRPr="00753C6D" w14:paraId="111F739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rPr>
                <w:b/>
                <w:sz w:val="20"/>
                <w:szCs w:val="20"/>
              </w:rPr>
            </w:pPr>
            <w:bookmarkStart w:id="195" w:name="_Hlk186718451"/>
            <w:r w:rsidRPr="00753C6D">
              <w:rPr>
                <w:b/>
                <w:sz w:val="20"/>
                <w:szCs w:val="20"/>
              </w:rPr>
              <w:t>T</w:t>
            </w:r>
            <w:r>
              <w:rPr>
                <w:b/>
                <w:sz w:val="20"/>
                <w:szCs w:val="20"/>
              </w:rPr>
              <w:t>otal</w:t>
            </w:r>
          </w:p>
        </w:tc>
        <w:tc>
          <w:tcPr>
            <w:tcW w:w="870" w:type="dxa"/>
            <w:shd w:val="clear" w:color="auto" w:fill="E7E6E6" w:themeFill="background2"/>
          </w:tcPr>
          <w:p w:rsidR="001341EB" w:rsidRPr="00753C6D" w14:paraId="7EA2C4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n/a</w:t>
            </w:r>
          </w:p>
        </w:tc>
        <w:tc>
          <w:tcPr>
            <w:tcW w:w="1245" w:type="dxa"/>
            <w:shd w:val="clear" w:color="auto" w:fill="E7E6E6" w:themeFill="background2"/>
          </w:tcPr>
          <w:p w:rsidR="001341EB" w:rsidRPr="00753C6D" w14:paraId="455FB946" w14:textId="0D1F10B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135</w:t>
            </w:r>
            <w:r w:rsidR="00B94584">
              <w:rPr>
                <w:b/>
                <w:sz w:val="20"/>
                <w:szCs w:val="20"/>
              </w:rPr>
              <w:t>,984</w:t>
            </w:r>
          </w:p>
        </w:tc>
        <w:tc>
          <w:tcPr>
            <w:tcW w:w="1045" w:type="dxa"/>
            <w:shd w:val="clear" w:color="auto" w:fill="E7E6E6" w:themeFill="background2"/>
          </w:tcPr>
          <w:p w:rsidR="001341EB" w:rsidRPr="00753C6D" w14:paraId="045394AA" w14:textId="7BCFFF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sz w:val="20"/>
                <w:szCs w:val="20"/>
              </w:rPr>
              <w:t>135,984</w:t>
            </w:r>
          </w:p>
        </w:tc>
        <w:tc>
          <w:tcPr>
            <w:tcW w:w="1065" w:type="dxa"/>
            <w:shd w:val="clear" w:color="auto" w:fill="E7E6E6" w:themeFill="background2"/>
          </w:tcPr>
          <w:p w:rsidR="001341EB" w:rsidRPr="00753C6D" w14:paraId="157AF64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065" w:type="dxa"/>
            <w:shd w:val="clear" w:color="auto" w:fill="E7E6E6" w:themeFill="background2"/>
          </w:tcPr>
          <w:p w:rsidR="001341EB" w:rsidRPr="00753C6D" w14:paraId="2945F3CE" w14:textId="75817B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Pr>
                <w:b/>
                <w:bCs/>
                <w:sz w:val="20"/>
                <w:szCs w:val="20"/>
              </w:rPr>
              <w:t>649,</w:t>
            </w:r>
            <w:r w:rsidR="00B94584">
              <w:rPr>
                <w:b/>
                <w:bCs/>
                <w:sz w:val="20"/>
                <w:szCs w:val="20"/>
              </w:rPr>
              <w:t>371</w:t>
            </w:r>
          </w:p>
        </w:tc>
        <w:tc>
          <w:tcPr>
            <w:tcW w:w="1110" w:type="dxa"/>
            <w:shd w:val="clear" w:color="auto" w:fill="E7E6E6" w:themeFill="background2"/>
          </w:tcPr>
          <w:p w:rsidR="001341EB" w:rsidRPr="00753C6D" w14:paraId="7BA6F7A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155" w:type="dxa"/>
            <w:shd w:val="clear" w:color="auto" w:fill="E7E6E6" w:themeFill="background2"/>
          </w:tcPr>
          <w:p w:rsidR="001341EB" w:rsidRPr="00753C6D" w:rsidP="5B5F5372" w14:paraId="4F77CF5B" w14:textId="5E2FC7EA">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sz w:val="20"/>
                <w:szCs w:val="20"/>
              </w:rPr>
            </w:pPr>
            <w:r w:rsidRPr="5B5F5372">
              <w:rPr>
                <w:b/>
                <w:bCs/>
                <w:sz w:val="20"/>
                <w:szCs w:val="20"/>
              </w:rPr>
              <w:t>76,</w:t>
            </w:r>
            <w:r w:rsidR="00B94584">
              <w:rPr>
                <w:b/>
                <w:bCs/>
                <w:sz w:val="20"/>
                <w:szCs w:val="20"/>
              </w:rPr>
              <w:t>864,292</w:t>
            </w:r>
          </w:p>
        </w:tc>
      </w:tr>
    </w:tbl>
    <w:bookmarkEnd w:id="195"/>
    <w:p w:rsidR="00334306" w:rsidRPr="000840C5" w:rsidP="006E6DEB" w14:paraId="6259403B" w14:textId="003AEA20">
      <w:pPr>
        <w:pStyle w:val="Heading4"/>
      </w:pPr>
      <w:r>
        <w:t>q</w:t>
      </w:r>
      <w:r w:rsidRPr="000840C5" w:rsidR="000840C5">
        <w:t xml:space="preserve">. </w:t>
      </w:r>
      <w:r w:rsidRPr="000840C5" w:rsidR="00BA2FFA">
        <w:t>Information Collection Instruments/Instructions</w:t>
      </w:r>
    </w:p>
    <w:p w:rsidR="001662A5" w:rsidP="0067016B" w14:paraId="6C0CD3FD" w14:textId="19F4F203">
      <w:pPr>
        <w:pStyle w:val="BodyText-PostHead"/>
        <w:spacing w:before="240"/>
      </w:pPr>
      <w:r>
        <w:t xml:space="preserve">We have included a list of the </w:t>
      </w:r>
      <w:r w:rsidR="007922A5">
        <w:t>Appendices that we submitted in the CY 202</w:t>
      </w:r>
      <w:r w:rsidR="09D5AEA5">
        <w:t>5</w:t>
      </w:r>
      <w:r w:rsidR="007922A5">
        <w:t xml:space="preserve"> </w:t>
      </w:r>
      <w:r w:rsidR="00DA0C21">
        <w:t xml:space="preserve">final </w:t>
      </w:r>
      <w:r w:rsidR="00E1229A">
        <w:t xml:space="preserve">rule </w:t>
      </w:r>
      <w:r w:rsidR="007922A5">
        <w:t xml:space="preserve">MIPS PRA </w:t>
      </w:r>
      <w:r w:rsidR="00E1229A">
        <w:t xml:space="preserve">package. </w:t>
      </w:r>
      <w:r w:rsidRPr="00885BC7" w:rsidR="00885BC7">
        <w:t>We have revised Appendices A</w:t>
      </w:r>
      <w:r w:rsidR="00885BC7">
        <w:t xml:space="preserve"> </w:t>
      </w:r>
      <w:r w:rsidRPr="00885BC7" w:rsidR="00885BC7">
        <w:t xml:space="preserve">through K based on internal review feedback. </w:t>
      </w:r>
      <w:r w:rsidR="00AA5E55">
        <w:t xml:space="preserve">We </w:t>
      </w:r>
      <w:r w:rsidR="00346A1A">
        <w:t xml:space="preserve">have </w:t>
      </w:r>
      <w:r w:rsidR="00D71CBB">
        <w:t>replaced</w:t>
      </w:r>
      <w:r w:rsidR="00346A1A">
        <w:t xml:space="preserve"> the previous Appendix L</w:t>
      </w:r>
      <w:r w:rsidR="009965C4">
        <w:t xml:space="preserve">, </w:t>
      </w:r>
      <w:r w:rsidR="002362C2">
        <w:t xml:space="preserve">2023 </w:t>
      </w:r>
      <w:r w:rsidR="009965C4">
        <w:t>MVP Registration Form</w:t>
      </w:r>
      <w:r w:rsidR="00AD3116">
        <w:t xml:space="preserve">, with a new Appendix L titled </w:t>
      </w:r>
      <w:r w:rsidR="002362C2">
        <w:t xml:space="preserve">2024 </w:t>
      </w:r>
      <w:r w:rsidR="00AD3116">
        <w:t xml:space="preserve">MVP Registration Form. </w:t>
      </w:r>
    </w:p>
    <w:p w:rsidR="00BA2FFA" w:rsidP="001B7217" w14:paraId="6534995B" w14:textId="36FEE761">
      <w:pPr>
        <w:pStyle w:val="BodyText"/>
      </w:pPr>
      <w:r w:rsidRPr="00B8430E">
        <w:t xml:space="preserve">Appendix </w:t>
      </w:r>
      <w:r w:rsidRPr="00B8430E" w:rsidR="00686195">
        <w:t>A</w:t>
      </w:r>
      <w:r w:rsidRPr="00B8430E" w:rsidR="00BD5393">
        <w:t xml:space="preserve"> (See Table</w:t>
      </w:r>
      <w:r w:rsidR="00536B25">
        <w:t>s</w:t>
      </w:r>
      <w:r w:rsidRPr="00B8430E" w:rsidR="00BD5393">
        <w:t xml:space="preserve"> </w:t>
      </w:r>
      <w:r w:rsidRPr="00B8430E" w:rsidR="008E6B13">
        <w:t>3</w:t>
      </w:r>
      <w:r w:rsidR="00536B25">
        <w:t>, 4,</w:t>
      </w:r>
      <w:r w:rsidR="00534EA9">
        <w:t xml:space="preserve"> 5, 6</w:t>
      </w:r>
      <w:r w:rsidR="00BC111B">
        <w:t>, 7, and 8</w:t>
      </w:r>
      <w:r w:rsidRPr="00B8430E" w:rsidR="008E6B13">
        <w:t>)</w:t>
      </w:r>
      <w:r w:rsidRPr="00B8430E">
        <w:t xml:space="preserve">: </w:t>
      </w:r>
      <w:r w:rsidRPr="00B8430E" w:rsidR="00686195">
        <w:t>20</w:t>
      </w:r>
      <w:r w:rsidRPr="00B8430E" w:rsidR="0090246D">
        <w:t>2</w:t>
      </w:r>
      <w:r w:rsidR="0023317E">
        <w:t>5</w:t>
      </w:r>
      <w:r w:rsidRPr="00B8430E" w:rsidR="00686195">
        <w:t xml:space="preserve"> </w:t>
      </w:r>
      <w:r w:rsidR="005D11FB">
        <w:t xml:space="preserve">MIPS </w:t>
      </w:r>
      <w:r w:rsidR="004C4CBD">
        <w:t>QCDR and Registry Self-nomination User Guide</w:t>
      </w:r>
      <w:r w:rsidR="002025F9">
        <w:t xml:space="preserve"> </w:t>
      </w:r>
      <w:r w:rsidR="00B5139B">
        <w:t>(Revised)</w:t>
      </w:r>
    </w:p>
    <w:p w:rsidR="003141D8" w:rsidP="7531EBAD" w14:paraId="324016E7" w14:textId="4F164656">
      <w:pPr>
        <w:pStyle w:val="BodyText"/>
        <w:rPr>
          <w:color w:val="000000" w:themeColor="text1"/>
        </w:rPr>
      </w:pPr>
      <w:r w:rsidRPr="5B5F5372">
        <w:rPr>
          <w:color w:val="000000" w:themeColor="text1"/>
        </w:rPr>
        <w:t xml:space="preserve">Appendix </w:t>
      </w:r>
      <w:r w:rsidRPr="401F13AE" w:rsidR="749E6CC5">
        <w:rPr>
          <w:color w:val="000000" w:themeColor="text1"/>
        </w:rPr>
        <w:t>B</w:t>
      </w:r>
      <w:r w:rsidRPr="5B5F5372">
        <w:rPr>
          <w:color w:val="000000" w:themeColor="text1"/>
        </w:rPr>
        <w:t xml:space="preserve"> (See Table 2</w:t>
      </w:r>
      <w:r w:rsidRPr="5B5F5372" w:rsidR="1609631B">
        <w:rPr>
          <w:color w:val="000000" w:themeColor="text1"/>
        </w:rPr>
        <w:t>4</w:t>
      </w:r>
      <w:r w:rsidRPr="5B5F5372">
        <w:rPr>
          <w:color w:val="000000" w:themeColor="text1"/>
        </w:rPr>
        <w:t>): 202</w:t>
      </w:r>
      <w:r w:rsidR="00045ED2">
        <w:rPr>
          <w:color w:val="000000" w:themeColor="text1"/>
        </w:rPr>
        <w:t>5</w:t>
      </w:r>
      <w:r w:rsidRPr="5B5F5372">
        <w:rPr>
          <w:color w:val="000000" w:themeColor="text1"/>
        </w:rPr>
        <w:t xml:space="preserve"> Submission Form for Other Payer Requests for Other Payer Advanced Alternative Payment Model Determinations (Payer Initiated Submission Form)</w:t>
      </w:r>
      <w:r w:rsidRPr="5B5F5372" w:rsidR="6C0AB637">
        <w:rPr>
          <w:color w:val="000000" w:themeColor="text1"/>
        </w:rPr>
        <w:t xml:space="preserve"> </w:t>
      </w:r>
      <w:r w:rsidRPr="7531EBAD" w:rsidR="1930472D">
        <w:rPr>
          <w:color w:val="000000" w:themeColor="text1"/>
        </w:rPr>
        <w:t>(Revised)</w:t>
      </w:r>
    </w:p>
    <w:p w:rsidR="003141D8" w:rsidP="001B7217" w14:paraId="078910A4" w14:textId="796B8992">
      <w:pPr>
        <w:pStyle w:val="BodyText"/>
        <w:rPr>
          <w:color w:val="000000" w:themeColor="text1"/>
        </w:rPr>
      </w:pPr>
      <w:r w:rsidRPr="5B5F5372">
        <w:rPr>
          <w:color w:val="000000" w:themeColor="text1"/>
        </w:rPr>
        <w:t xml:space="preserve">Appendix </w:t>
      </w:r>
      <w:r w:rsidRPr="401F13AE">
        <w:rPr>
          <w:color w:val="000000" w:themeColor="text1"/>
        </w:rPr>
        <w:t>C</w:t>
      </w:r>
      <w:r w:rsidRPr="5B5F5372">
        <w:rPr>
          <w:color w:val="000000" w:themeColor="text1"/>
        </w:rPr>
        <w:t xml:space="preserve"> (See Table 2</w:t>
      </w:r>
      <w:r w:rsidRPr="5B5F5372" w:rsidR="07723D81">
        <w:rPr>
          <w:color w:val="000000" w:themeColor="text1"/>
        </w:rPr>
        <w:t>5</w:t>
      </w:r>
      <w:r w:rsidRPr="5B5F5372">
        <w:rPr>
          <w:color w:val="000000" w:themeColor="text1"/>
        </w:rPr>
        <w:t>): 202</w:t>
      </w:r>
      <w:r w:rsidR="002F1127">
        <w:rPr>
          <w:color w:val="000000" w:themeColor="text1"/>
        </w:rPr>
        <w:t>5</w:t>
      </w:r>
      <w:r w:rsidRPr="5B5F5372">
        <w:rPr>
          <w:color w:val="000000" w:themeColor="text1"/>
        </w:rPr>
        <w:t xml:space="preserve"> Submission Form for Eligible Clinician and APM Entity Requests for Other Payer Advanced Alternative Payment Model Determinations (Eligible Clinician Initiated Submission Form) </w:t>
      </w:r>
      <w:r w:rsidRPr="7531EBAD" w:rsidR="51799593">
        <w:rPr>
          <w:color w:val="000000" w:themeColor="text1"/>
        </w:rPr>
        <w:t>(Revised)</w:t>
      </w:r>
    </w:p>
    <w:p w:rsidR="003141D8" w:rsidP="401F13AE" w14:paraId="30502A03" w14:textId="2D89941C">
      <w:pPr>
        <w:pStyle w:val="BodyText"/>
        <w:spacing w:line="259" w:lineRule="auto"/>
        <w:rPr>
          <w:color w:val="000000" w:themeColor="text1"/>
        </w:rPr>
      </w:pPr>
      <w:r w:rsidRPr="7531EBAD">
        <w:rPr>
          <w:color w:val="000000" w:themeColor="text1"/>
        </w:rPr>
        <w:t xml:space="preserve">Appendix </w:t>
      </w:r>
      <w:r w:rsidRPr="401F13AE" w:rsidR="6BD64DF0">
        <w:rPr>
          <w:color w:val="000000" w:themeColor="text1"/>
        </w:rPr>
        <w:t>D</w:t>
      </w:r>
      <w:r w:rsidRPr="7531EBAD" w:rsidR="6BD64DF0">
        <w:rPr>
          <w:color w:val="000000" w:themeColor="text1"/>
        </w:rPr>
        <w:t xml:space="preserve"> </w:t>
      </w:r>
      <w:r w:rsidRPr="5B5F5372" w:rsidR="6BD64DF0">
        <w:rPr>
          <w:color w:val="000000" w:themeColor="text1"/>
        </w:rPr>
        <w:t>(See Table 2</w:t>
      </w:r>
      <w:r w:rsidRPr="5B5F5372" w:rsidR="1CC03D5D">
        <w:rPr>
          <w:color w:val="000000" w:themeColor="text1"/>
        </w:rPr>
        <w:t>6</w:t>
      </w:r>
      <w:r w:rsidRPr="5B5F5372" w:rsidR="6BD64DF0">
        <w:rPr>
          <w:color w:val="000000" w:themeColor="text1"/>
        </w:rPr>
        <w:t>): 202</w:t>
      </w:r>
      <w:r w:rsidR="00257AB7">
        <w:rPr>
          <w:color w:val="000000" w:themeColor="text1"/>
        </w:rPr>
        <w:t>5</w:t>
      </w:r>
      <w:r w:rsidRPr="5B5F5372" w:rsidR="6BD64DF0">
        <w:rPr>
          <w:color w:val="000000" w:themeColor="text1"/>
        </w:rPr>
        <w:t xml:space="preserve"> Submission Form for Requests for Qualifying Alternative Payment Model Participant (QP) Determinations under the All-Payer Combination Option </w:t>
      </w:r>
      <w:r w:rsidRPr="7531EBAD" w:rsidR="1ADE06C1">
        <w:rPr>
          <w:color w:val="000000" w:themeColor="text1"/>
        </w:rPr>
        <w:t>(Revised)</w:t>
      </w:r>
    </w:p>
    <w:p w:rsidR="003141D8" w:rsidP="401F13AE" w14:paraId="0E68850B" w14:textId="1203C992">
      <w:pPr>
        <w:pStyle w:val="BodyText"/>
        <w:spacing w:line="259" w:lineRule="auto"/>
        <w:rPr>
          <w:color w:val="000000" w:themeColor="text1"/>
        </w:rPr>
      </w:pPr>
      <w:r w:rsidRPr="5623DC36">
        <w:rPr>
          <w:color w:val="000000" w:themeColor="text1"/>
        </w:rPr>
        <w:t>Appendix E</w:t>
      </w:r>
      <w:r w:rsidRPr="5623DC36" w:rsidR="005D41B6">
        <w:rPr>
          <w:color w:val="000000" w:themeColor="text1"/>
        </w:rPr>
        <w:t xml:space="preserve"> </w:t>
      </w:r>
      <w:r w:rsidRPr="5623DC36">
        <w:rPr>
          <w:color w:val="000000" w:themeColor="text1"/>
        </w:rPr>
        <w:t>(See Table 1</w:t>
      </w:r>
      <w:r w:rsidRPr="5623DC36" w:rsidR="00BC111B">
        <w:rPr>
          <w:color w:val="000000" w:themeColor="text1"/>
        </w:rPr>
        <w:t>7</w:t>
      </w:r>
      <w:r w:rsidRPr="5623DC36">
        <w:rPr>
          <w:color w:val="000000" w:themeColor="text1"/>
        </w:rPr>
        <w:t>): Measures under Consideration 202</w:t>
      </w:r>
      <w:r w:rsidR="00742485">
        <w:rPr>
          <w:color w:val="000000" w:themeColor="text1"/>
        </w:rPr>
        <w:t>4</w:t>
      </w:r>
      <w:r w:rsidRPr="5623DC36">
        <w:rPr>
          <w:color w:val="000000" w:themeColor="text1"/>
        </w:rPr>
        <w:t xml:space="preserve"> Data Template for Candidate Measures </w:t>
      </w:r>
      <w:r w:rsidR="00B12416">
        <w:rPr>
          <w:color w:val="000000" w:themeColor="text1"/>
        </w:rPr>
        <w:t>(Revised)</w:t>
      </w:r>
    </w:p>
    <w:p w:rsidR="00502002" w:rsidP="001B7217" w14:paraId="3F730086" w14:textId="6873D966">
      <w:pPr>
        <w:pStyle w:val="BodyText"/>
        <w:rPr>
          <w:color w:val="000000" w:themeColor="text1"/>
        </w:rPr>
      </w:pPr>
      <w:r w:rsidRPr="5623DC36">
        <w:rPr>
          <w:color w:val="000000" w:themeColor="text1"/>
        </w:rPr>
        <w:t>Appendix F (See Table 1</w:t>
      </w:r>
      <w:r w:rsidRPr="5623DC36" w:rsidR="009C045E">
        <w:rPr>
          <w:color w:val="000000" w:themeColor="text1"/>
        </w:rPr>
        <w:t>7</w:t>
      </w:r>
      <w:r w:rsidRPr="5623DC36">
        <w:rPr>
          <w:color w:val="000000" w:themeColor="text1"/>
        </w:rPr>
        <w:t>): 202</w:t>
      </w:r>
      <w:r w:rsidR="00742485">
        <w:rPr>
          <w:color w:val="000000" w:themeColor="text1"/>
        </w:rPr>
        <w:t>4</w:t>
      </w:r>
      <w:r w:rsidRPr="5623DC36">
        <w:rPr>
          <w:color w:val="000000" w:themeColor="text1"/>
        </w:rPr>
        <w:t xml:space="preserve"> Peer Reviewed Journal Article Requirement Template </w:t>
      </w:r>
      <w:r w:rsidR="00B12416">
        <w:rPr>
          <w:color w:val="000000" w:themeColor="text1"/>
        </w:rPr>
        <w:t>(Revised)</w:t>
      </w:r>
    </w:p>
    <w:p w:rsidR="00D76178" w:rsidP="001B7217" w14:paraId="477EEDB0" w14:textId="0EB8B3E3">
      <w:pPr>
        <w:pStyle w:val="BodyText"/>
        <w:rPr>
          <w:color w:val="000000" w:themeColor="text1"/>
        </w:rPr>
      </w:pPr>
      <w:r w:rsidRPr="5B5F5372">
        <w:rPr>
          <w:color w:val="000000" w:themeColor="text1"/>
        </w:rPr>
        <w:t xml:space="preserve">Appendix </w:t>
      </w:r>
      <w:r w:rsidRPr="401F13AE" w:rsidR="773EDD2F">
        <w:rPr>
          <w:color w:val="000000" w:themeColor="text1"/>
        </w:rPr>
        <w:t>G</w:t>
      </w:r>
      <w:r w:rsidRPr="5B5F5372" w:rsidR="773EDD2F">
        <w:rPr>
          <w:color w:val="000000" w:themeColor="text1"/>
        </w:rPr>
        <w:t xml:space="preserve"> </w:t>
      </w:r>
      <w:r w:rsidRPr="5B5F5372">
        <w:rPr>
          <w:color w:val="000000" w:themeColor="text1"/>
        </w:rPr>
        <w:t>(See Table 2</w:t>
      </w:r>
      <w:r w:rsidRPr="5B5F5372" w:rsidR="214C356F">
        <w:rPr>
          <w:color w:val="000000" w:themeColor="text1"/>
        </w:rPr>
        <w:t>1</w:t>
      </w:r>
      <w:r w:rsidRPr="5B5F5372">
        <w:rPr>
          <w:color w:val="000000" w:themeColor="text1"/>
        </w:rPr>
        <w:t>): Improvement Activities Performance Category, 202</w:t>
      </w:r>
      <w:r w:rsidR="008D421C">
        <w:rPr>
          <w:color w:val="000000" w:themeColor="text1"/>
        </w:rPr>
        <w:t>5</w:t>
      </w:r>
      <w:r w:rsidRPr="5B5F5372">
        <w:rPr>
          <w:color w:val="000000" w:themeColor="text1"/>
        </w:rPr>
        <w:t xml:space="preserve"> Call for Activities Submission Form</w:t>
      </w:r>
      <w:r w:rsidR="009E4CA2">
        <w:rPr>
          <w:color w:val="000000" w:themeColor="text1"/>
        </w:rPr>
        <w:t xml:space="preserve"> (Revised)</w:t>
      </w:r>
    </w:p>
    <w:p w:rsidR="00502002" w:rsidP="001B7217" w14:paraId="16C597CA" w14:textId="66058C9D">
      <w:pPr>
        <w:pStyle w:val="BodyText"/>
        <w:rPr>
          <w:color w:val="000000" w:themeColor="text1"/>
        </w:rPr>
      </w:pPr>
      <w:r w:rsidRPr="000C4086">
        <w:rPr>
          <w:color w:val="000000" w:themeColor="text1"/>
        </w:rPr>
        <w:t xml:space="preserve">Appendix </w:t>
      </w:r>
      <w:r w:rsidR="0053082B">
        <w:rPr>
          <w:color w:val="000000" w:themeColor="text1"/>
        </w:rPr>
        <w:t>H</w:t>
      </w:r>
      <w:r w:rsidRPr="000C4086">
        <w:rPr>
          <w:color w:val="000000" w:themeColor="text1"/>
        </w:rPr>
        <w:t xml:space="preserve"> (See Table 1</w:t>
      </w:r>
      <w:r w:rsidR="0053082B">
        <w:rPr>
          <w:color w:val="000000" w:themeColor="text1"/>
        </w:rPr>
        <w:t>8</w:t>
      </w:r>
      <w:r w:rsidRPr="000C4086">
        <w:rPr>
          <w:color w:val="000000" w:themeColor="text1"/>
        </w:rPr>
        <w:t>): 202</w:t>
      </w:r>
      <w:r w:rsidR="00B12416">
        <w:rPr>
          <w:color w:val="000000" w:themeColor="text1"/>
        </w:rPr>
        <w:t>4</w:t>
      </w:r>
      <w:r w:rsidR="00306D1F">
        <w:rPr>
          <w:color w:val="000000" w:themeColor="text1"/>
        </w:rPr>
        <w:t xml:space="preserve"> MIPS Promoting Interoperability</w:t>
      </w:r>
      <w:r w:rsidRPr="000C4086">
        <w:rPr>
          <w:color w:val="000000" w:themeColor="text1"/>
        </w:rPr>
        <w:t xml:space="preserve"> Hardship Exception Application </w:t>
      </w:r>
      <w:r w:rsidR="00306D1F">
        <w:rPr>
          <w:color w:val="000000" w:themeColor="text1"/>
        </w:rPr>
        <w:t>Guide</w:t>
      </w:r>
      <w:r w:rsidRPr="000C4086">
        <w:rPr>
          <w:color w:val="000000" w:themeColor="text1"/>
        </w:rPr>
        <w:t xml:space="preserve"> </w:t>
      </w:r>
      <w:r w:rsidR="009854A0">
        <w:rPr>
          <w:color w:val="000000" w:themeColor="text1"/>
        </w:rPr>
        <w:t>(Revised)</w:t>
      </w:r>
    </w:p>
    <w:p w:rsidR="00502002" w:rsidP="001B7217" w14:paraId="52B1337D" w14:textId="48419DED">
      <w:pPr>
        <w:pStyle w:val="BodyText"/>
        <w:rPr>
          <w:color w:val="000000" w:themeColor="text1"/>
        </w:rPr>
      </w:pPr>
      <w:r w:rsidRPr="5B5F5372">
        <w:rPr>
          <w:color w:val="000000" w:themeColor="text1"/>
        </w:rPr>
        <w:t xml:space="preserve">Appendix </w:t>
      </w:r>
      <w:r w:rsidRPr="5B5F5372" w:rsidR="773EDD2F">
        <w:rPr>
          <w:color w:val="000000" w:themeColor="text1"/>
        </w:rPr>
        <w:t>I</w:t>
      </w:r>
      <w:r w:rsidRPr="5B5F5372">
        <w:rPr>
          <w:color w:val="000000" w:themeColor="text1"/>
        </w:rPr>
        <w:t xml:space="preserve"> (See Table 16): 202</w:t>
      </w:r>
      <w:r w:rsidR="003078A5">
        <w:rPr>
          <w:color w:val="000000" w:themeColor="text1"/>
        </w:rPr>
        <w:t>4</w:t>
      </w:r>
      <w:r w:rsidRPr="5B5F5372">
        <w:rPr>
          <w:color w:val="000000" w:themeColor="text1"/>
        </w:rPr>
        <w:t xml:space="preserve"> </w:t>
      </w:r>
      <w:r w:rsidRPr="5B5F5372" w:rsidR="79EDB064">
        <w:rPr>
          <w:color w:val="000000" w:themeColor="text1"/>
        </w:rPr>
        <w:t xml:space="preserve">MIPS </w:t>
      </w:r>
      <w:r w:rsidRPr="5B5F5372">
        <w:rPr>
          <w:color w:val="000000" w:themeColor="text1"/>
        </w:rPr>
        <w:t xml:space="preserve">Extreme and Uncontrollable Circumstances </w:t>
      </w:r>
      <w:r w:rsidRPr="5B5F5372" w:rsidR="79EDB064">
        <w:rPr>
          <w:color w:val="000000" w:themeColor="text1"/>
        </w:rPr>
        <w:t>Except</w:t>
      </w:r>
      <w:r w:rsidRPr="5B5F5372" w:rsidR="3FBB395B">
        <w:rPr>
          <w:color w:val="000000" w:themeColor="text1"/>
        </w:rPr>
        <w:t xml:space="preserve">ion </w:t>
      </w:r>
      <w:r w:rsidRPr="5B5F5372">
        <w:rPr>
          <w:color w:val="000000" w:themeColor="text1"/>
        </w:rPr>
        <w:t xml:space="preserve">Application </w:t>
      </w:r>
      <w:r w:rsidRPr="5B5F5372" w:rsidR="3FBB395B">
        <w:rPr>
          <w:color w:val="000000" w:themeColor="text1"/>
        </w:rPr>
        <w:t>Guide</w:t>
      </w:r>
      <w:r w:rsidRPr="5B5F5372">
        <w:rPr>
          <w:color w:val="000000" w:themeColor="text1"/>
        </w:rPr>
        <w:t xml:space="preserve"> </w:t>
      </w:r>
      <w:r w:rsidRPr="5B5F5372" w:rsidR="3F8AF872">
        <w:rPr>
          <w:color w:val="000000" w:themeColor="text1"/>
        </w:rPr>
        <w:t>(Revised)</w:t>
      </w:r>
    </w:p>
    <w:p w:rsidR="00502002" w:rsidP="001B7217" w14:paraId="62C02BBB" w14:textId="217F84EA">
      <w:pPr>
        <w:pStyle w:val="BodyText"/>
        <w:rPr>
          <w:color w:val="000000" w:themeColor="text1"/>
        </w:rPr>
      </w:pPr>
      <w:r w:rsidRPr="5B5F5372">
        <w:rPr>
          <w:color w:val="000000" w:themeColor="text1"/>
        </w:rPr>
        <w:t xml:space="preserve">Appendix </w:t>
      </w:r>
      <w:r w:rsidRPr="401F13AE" w:rsidR="773EDD2F">
        <w:rPr>
          <w:color w:val="000000" w:themeColor="text1"/>
        </w:rPr>
        <w:t>J</w:t>
      </w:r>
      <w:r w:rsidRPr="5B5F5372" w:rsidR="773EDD2F">
        <w:rPr>
          <w:color w:val="000000" w:themeColor="text1"/>
        </w:rPr>
        <w:t xml:space="preserve"> </w:t>
      </w:r>
      <w:r w:rsidRPr="5B5F5372">
        <w:rPr>
          <w:color w:val="000000" w:themeColor="text1"/>
        </w:rPr>
        <w:t>(See Table 2</w:t>
      </w:r>
      <w:r w:rsidRPr="5B5F5372" w:rsidR="0D2E6B88">
        <w:rPr>
          <w:color w:val="000000" w:themeColor="text1"/>
        </w:rPr>
        <w:t>2</w:t>
      </w:r>
      <w:r w:rsidRPr="5B5F5372">
        <w:rPr>
          <w:color w:val="000000" w:themeColor="text1"/>
        </w:rPr>
        <w:t>): 202</w:t>
      </w:r>
      <w:r w:rsidR="00347D17">
        <w:rPr>
          <w:color w:val="000000" w:themeColor="text1"/>
        </w:rPr>
        <w:t>5</w:t>
      </w:r>
      <w:r w:rsidRPr="5B5F5372">
        <w:rPr>
          <w:color w:val="000000" w:themeColor="text1"/>
        </w:rPr>
        <w:t xml:space="preserve"> MVP Candidates: Instructions and Template </w:t>
      </w:r>
      <w:r w:rsidRPr="7531EBAD" w:rsidR="052E3B66">
        <w:rPr>
          <w:color w:val="000000" w:themeColor="text1"/>
        </w:rPr>
        <w:t>(Revised)</w:t>
      </w:r>
    </w:p>
    <w:p w:rsidR="003141D8" w:rsidP="401F13AE" w14:paraId="2D8A2F15" w14:textId="0520854D">
      <w:pPr>
        <w:pStyle w:val="BodyText"/>
        <w:spacing w:line="259" w:lineRule="auto"/>
        <w:rPr>
          <w:color w:val="000000" w:themeColor="text1"/>
        </w:rPr>
      </w:pPr>
      <w:r w:rsidRPr="5B5F5372">
        <w:rPr>
          <w:color w:val="000000" w:themeColor="text1"/>
        </w:rPr>
        <w:t xml:space="preserve">Appendix </w:t>
      </w:r>
      <w:r w:rsidRPr="401F13AE" w:rsidR="773EDD2F">
        <w:rPr>
          <w:color w:val="000000" w:themeColor="text1"/>
        </w:rPr>
        <w:t>K</w:t>
      </w:r>
      <w:r w:rsidRPr="5B5F5372">
        <w:rPr>
          <w:color w:val="000000" w:themeColor="text1"/>
        </w:rPr>
        <w:t xml:space="preserve"> (See Table 2</w:t>
      </w:r>
      <w:r w:rsidR="00D85625">
        <w:rPr>
          <w:color w:val="000000" w:themeColor="text1"/>
        </w:rPr>
        <w:t>3</w:t>
      </w:r>
      <w:r w:rsidRPr="5B5F5372">
        <w:rPr>
          <w:color w:val="000000" w:themeColor="text1"/>
        </w:rPr>
        <w:t>): 202</w:t>
      </w:r>
      <w:r w:rsidR="00171CEE">
        <w:rPr>
          <w:color w:val="000000" w:themeColor="text1"/>
        </w:rPr>
        <w:t>4</w:t>
      </w:r>
      <w:r w:rsidRPr="5B5F5372">
        <w:rPr>
          <w:color w:val="000000" w:themeColor="text1"/>
        </w:rPr>
        <w:t xml:space="preserve"> Partial QP Election Form (for </w:t>
      </w:r>
      <w:r w:rsidRPr="5B5F5372" w:rsidR="2C30FD5A">
        <w:rPr>
          <w:color w:val="000000" w:themeColor="text1"/>
        </w:rPr>
        <w:t>submission in CY 202</w:t>
      </w:r>
      <w:r w:rsidR="00050671">
        <w:rPr>
          <w:color w:val="000000" w:themeColor="text1"/>
        </w:rPr>
        <w:t>5</w:t>
      </w:r>
      <w:r w:rsidRPr="5B5F5372">
        <w:rPr>
          <w:color w:val="000000" w:themeColor="text1"/>
        </w:rPr>
        <w:t>) </w:t>
      </w:r>
      <w:r w:rsidRPr="7531EBAD" w:rsidR="1136638C">
        <w:rPr>
          <w:color w:val="000000" w:themeColor="text1"/>
        </w:rPr>
        <w:t>(Revised)</w:t>
      </w:r>
    </w:p>
    <w:p w:rsidR="00502002" w:rsidRPr="0088766A" w:rsidP="401F13AE" w14:paraId="1F81D2CA" w14:textId="3380D099">
      <w:pPr>
        <w:pStyle w:val="BodyText"/>
        <w:spacing w:line="259" w:lineRule="auto"/>
        <w:rPr>
          <w:rFonts w:ascii="Segoe UI" w:hAnsi="Segoe UI" w:cs="Segoe UI"/>
          <w:color w:val="000000" w:themeColor="text1"/>
          <w:sz w:val="18"/>
          <w:szCs w:val="18"/>
        </w:rPr>
      </w:pPr>
      <w:r w:rsidRPr="0088766A">
        <w:rPr>
          <w:color w:val="000000" w:themeColor="text1"/>
        </w:rPr>
        <w:t xml:space="preserve">Appendix L </w:t>
      </w:r>
      <w:r w:rsidRPr="0088766A" w:rsidR="00404A1D">
        <w:rPr>
          <w:color w:val="000000" w:themeColor="text1"/>
        </w:rPr>
        <w:t xml:space="preserve">(See Tables 14 and 15): </w:t>
      </w:r>
      <w:r w:rsidRPr="0088766A" w:rsidR="06DD1EFD">
        <w:rPr>
          <w:color w:val="000000" w:themeColor="text1"/>
        </w:rPr>
        <w:t>202</w:t>
      </w:r>
      <w:r w:rsidRPr="0088766A" w:rsidR="00450246">
        <w:rPr>
          <w:color w:val="000000" w:themeColor="text1"/>
        </w:rPr>
        <w:t>4</w:t>
      </w:r>
      <w:r w:rsidRPr="0088766A" w:rsidR="06DD1EFD">
        <w:rPr>
          <w:color w:val="000000" w:themeColor="text1"/>
        </w:rPr>
        <w:t xml:space="preserve"> </w:t>
      </w:r>
      <w:r w:rsidRPr="0088766A" w:rsidR="00404A1D">
        <w:rPr>
          <w:color w:val="000000" w:themeColor="text1"/>
        </w:rPr>
        <w:t>MVP Registration Form</w:t>
      </w:r>
      <w:r w:rsidRPr="0088766A" w:rsidR="00396597">
        <w:rPr>
          <w:color w:val="000000" w:themeColor="text1"/>
        </w:rPr>
        <w:t xml:space="preserve"> (</w:t>
      </w:r>
      <w:r w:rsidRPr="0088766A" w:rsidR="00396597">
        <w:t>The MVP registration collection changed from submitting an Excel file via email in 2023 to an online registration form for 2024.)</w:t>
      </w:r>
    </w:p>
    <w:p w:rsidR="002E06AF" w:rsidRPr="00FD7D1D" w:rsidP="00690292" w14:paraId="34127EDE" w14:textId="28280316">
      <w:pPr>
        <w:pStyle w:val="Heading3"/>
        <w:rPr>
          <w:b/>
          <w:i/>
        </w:rPr>
      </w:pPr>
      <w:r w:rsidRPr="00FD7D1D">
        <w:t>13.</w:t>
      </w:r>
      <w:r w:rsidRPr="00FD7D1D">
        <w:tab/>
      </w:r>
      <w:r w:rsidRPr="00FD7D1D" w:rsidR="00E10E3A">
        <w:t>Capital Costs</w:t>
      </w:r>
    </w:p>
    <w:p w:rsidR="003B37A7" w:rsidRPr="0088766A" w:rsidP="001B7217" w14:paraId="05A7D702" w14:textId="553305CA">
      <w:pPr>
        <w:pStyle w:val="BodyText-PostHead"/>
      </w:pPr>
      <w:r w:rsidRPr="0088766A">
        <w:t>There are no anticipated capital costs associated with these information collections.</w:t>
      </w:r>
    </w:p>
    <w:p w:rsidR="002E06AF" w:rsidRPr="00FD7D1D" w:rsidP="00690292" w14:paraId="35D2B3D9" w14:textId="4E83FA9E">
      <w:pPr>
        <w:pStyle w:val="Heading3"/>
        <w:rPr>
          <w:b/>
          <w:i/>
        </w:rPr>
      </w:pPr>
      <w:r w:rsidRPr="00FD7D1D">
        <w:t>14.</w:t>
      </w:r>
      <w:r w:rsidRPr="00FD7D1D">
        <w:tab/>
      </w:r>
      <w:r w:rsidRPr="00FD7D1D" w:rsidR="00A64ED4">
        <w:t>Cost to Federal Government</w:t>
      </w:r>
    </w:p>
    <w:p w:rsidR="003C4605" w:rsidRPr="0088766A" w:rsidP="001B7217" w14:paraId="0755C832" w14:textId="3AAAF6B0">
      <w:pPr>
        <w:pStyle w:val="BodyText-PostHead"/>
      </w:pPr>
      <w:r w:rsidRPr="0088766A">
        <w:t xml:space="preserve">Aside from program administrative and implementation costs, MIPS payment incentives and penalties are budget-neutral and present no cost to the federal government, with respect to the application of the MIPS payment adjustments. </w:t>
      </w:r>
    </w:p>
    <w:p w:rsidR="000273E3" w:rsidRPr="0088766A" w:rsidP="001B7217" w14:paraId="4BC68438" w14:textId="7F0DF95E">
      <w:pPr>
        <w:pStyle w:val="BodyText"/>
      </w:pPr>
      <w:r w:rsidRPr="0088766A">
        <w:t>In the CY 2021 PFS final rule</w:t>
      </w:r>
      <w:r w:rsidRPr="0088766A" w:rsidR="6A8BAE84">
        <w:t xml:space="preserve"> (85 FR 84884 through 84885)</w:t>
      </w:r>
      <w:r w:rsidRPr="0088766A">
        <w:t xml:space="preserve">, we </w:t>
      </w:r>
      <w:r w:rsidRPr="0088766A" w:rsidR="00156E6F">
        <w:t>started</w:t>
      </w:r>
      <w:r w:rsidRPr="0088766A" w:rsidR="3A97F1D3">
        <w:t xml:space="preserve"> to consider agency-nominated improvement activities</w:t>
      </w:r>
      <w:r w:rsidRPr="0088766A">
        <w:t xml:space="preserve"> beginning with the CY 2021</w:t>
      </w:r>
      <w:r w:rsidRPr="0088766A" w:rsidR="5D803A26">
        <w:t xml:space="preserve"> </w:t>
      </w:r>
      <w:r w:rsidRPr="0088766A">
        <w:t>performance period</w:t>
      </w:r>
      <w:r w:rsidRPr="0088766A" w:rsidR="5D803A26">
        <w:t>/2023 MIPS payment year</w:t>
      </w:r>
      <w:r w:rsidRPr="0088766A">
        <w:t xml:space="preserve"> and future years. </w:t>
      </w:r>
      <w:r w:rsidRPr="0088766A" w:rsidR="5692B7CE">
        <w:t>As dis</w:t>
      </w:r>
      <w:r w:rsidRPr="0088766A" w:rsidR="1A6B66A2">
        <w:t>cussed in the CY 2021 PFS final rule</w:t>
      </w:r>
      <w:r w:rsidRPr="0088766A" w:rsidR="222B40D1">
        <w:t xml:space="preserve"> (85 FR </w:t>
      </w:r>
      <w:r w:rsidRPr="0088766A" w:rsidR="30BDF892">
        <w:t>85021</w:t>
      </w:r>
      <w:r w:rsidRPr="0088766A" w:rsidR="222B40D1">
        <w:t>)</w:t>
      </w:r>
      <w:r w:rsidRPr="0088766A" w:rsidR="1A6B66A2">
        <w:t>, w</w:t>
      </w:r>
      <w:r w:rsidRPr="0088766A">
        <w:t>e are unable to estimate the number of improvement activity nominations we will receive</w:t>
      </w:r>
      <w:r w:rsidRPr="0088766A" w:rsidR="1A6B66A2">
        <w:t>. Therefore,</w:t>
      </w:r>
      <w:r w:rsidRPr="0088766A">
        <w:t xml:space="preserve"> we</w:t>
      </w:r>
      <w:r w:rsidRPr="0088766A" w:rsidR="5692B7CE">
        <w:t xml:space="preserve"> continue to</w:t>
      </w:r>
      <w:r w:rsidRPr="0088766A">
        <w:t xml:space="preserve"> assume it will require 3 hours at </w:t>
      </w:r>
      <w:r w:rsidRPr="0088766A" w:rsidR="4E931D73">
        <w:t>$</w:t>
      </w:r>
      <w:r w:rsidRPr="0088766A" w:rsidR="004773DE">
        <w:t>64</w:t>
      </w:r>
      <w:r w:rsidRPr="0088766A" w:rsidR="005C78B3">
        <w:t>.06</w:t>
      </w:r>
      <w:r w:rsidRPr="0088766A">
        <w:t xml:space="preserve">/hr </w:t>
      </w:r>
      <w:r w:rsidRPr="0088766A" w:rsidR="00F84C8D">
        <w:t>(</w:t>
      </w:r>
      <w:r w:rsidRPr="0088766A" w:rsidR="00250A79">
        <w:t xml:space="preserve">$64.06 </w:t>
      </w:r>
      <w:r w:rsidRPr="0088766A" w:rsidR="00C31AB5">
        <w:t>plus 100% fringe benefit of $64.06</w:t>
      </w:r>
      <w:r w:rsidRPr="0088766A" w:rsidR="002759C4">
        <w:t xml:space="preserve"> = $</w:t>
      </w:r>
      <w:r w:rsidRPr="0088766A" w:rsidR="00E40751">
        <w:t>128.12</w:t>
      </w:r>
      <w:r w:rsidRPr="0088766A" w:rsidR="00671F9E">
        <w:t>/hr</w:t>
      </w:r>
      <w:r w:rsidRPr="0088766A" w:rsidR="00C31AB5">
        <w:t>)</w:t>
      </w:r>
      <w:r w:rsidRPr="0088766A">
        <w:t xml:space="preserve"> for a GS-13 Step 5 to nominate an improvement activity for a total cost of $</w:t>
      </w:r>
      <w:r w:rsidRPr="0088766A" w:rsidR="00671F9E">
        <w:t>384.36</w:t>
      </w:r>
      <w:r w:rsidRPr="0088766A">
        <w:t xml:space="preserve"> (3 </w:t>
      </w:r>
      <w:r w:rsidR="00A939C5">
        <w:t>hr</w:t>
      </w:r>
      <w:r w:rsidRPr="0088766A">
        <w:t xml:space="preserve"> </w:t>
      </w:r>
      <w:r w:rsidRPr="0088766A" w:rsidR="0030165C">
        <w:t>×</w:t>
      </w:r>
      <w:r w:rsidRPr="0088766A">
        <w:t xml:space="preserve"> $</w:t>
      </w:r>
      <w:r w:rsidRPr="0088766A" w:rsidR="00671F9E">
        <w:t>128.12</w:t>
      </w:r>
      <w:r w:rsidRPr="0088766A">
        <w:t>/hr) per activity.</w:t>
      </w:r>
    </w:p>
    <w:p w:rsidR="00CC4CA8" w:rsidRPr="00FD7D1D" w:rsidP="00690292" w14:paraId="12E9A98A" w14:textId="488A237D">
      <w:pPr>
        <w:pStyle w:val="Heading3"/>
        <w:rPr>
          <w:b/>
          <w:i/>
        </w:rPr>
      </w:pPr>
      <w:r w:rsidRPr="00FD7D1D">
        <w:t>15.</w:t>
      </w:r>
      <w:r w:rsidRPr="00FD7D1D">
        <w:tab/>
      </w:r>
      <w:r w:rsidRPr="00FD7D1D" w:rsidR="005F4B49">
        <w:t xml:space="preserve">Program </w:t>
      </w:r>
      <w:r w:rsidRPr="00FD7D1D" w:rsidR="005A0F91">
        <w:t>and</w:t>
      </w:r>
      <w:r w:rsidRPr="00FD7D1D" w:rsidR="005F4B49">
        <w:t xml:space="preserve"> Burden Changes</w:t>
      </w:r>
    </w:p>
    <w:p w:rsidR="00140366" w:rsidP="00CE350D" w14:paraId="1D3F297B" w14:textId="60607B47">
      <w:pPr>
        <w:pStyle w:val="BodyText-PostHead"/>
        <w:rPr>
          <w:color w:val="000000"/>
          <w:shd w:val="clear" w:color="auto" w:fill="FFFFFF"/>
        </w:rPr>
      </w:pPr>
      <w:r w:rsidRPr="0088766A">
        <w:t xml:space="preserve">The following changes are associated with </w:t>
      </w:r>
      <w:r w:rsidRPr="0088766A" w:rsidR="00852D10">
        <w:t>our December 9, 2024 (89 FR 97710)</w:t>
      </w:r>
      <w:r w:rsidRPr="0088766A" w:rsidR="00DA0C21">
        <w:t xml:space="preserve"> CY 2025 PFS final rule (CMS-1807-</w:t>
      </w:r>
      <w:r w:rsidRPr="0088766A" w:rsidR="007C1765">
        <w:t>F</w:t>
      </w:r>
      <w:r w:rsidRPr="0088766A" w:rsidR="00DA0C21">
        <w:t>; RIN 0938-AV33)</w:t>
      </w:r>
      <w:r w:rsidR="00A54D0F">
        <w:t xml:space="preserve"> </w:t>
      </w:r>
      <w:r w:rsidRPr="00A54D0F" w:rsidR="00A54D0F">
        <w:rPr>
          <w:color w:val="000000"/>
          <w:shd w:val="clear" w:color="auto" w:fill="FFFFFF"/>
        </w:rPr>
        <w:t>and adjustments to the currently approved burden as a result of updated data sources and assumptions.</w:t>
      </w:r>
      <w:r w:rsidR="00CE350D">
        <w:rPr>
          <w:color w:val="000000"/>
          <w:shd w:val="clear" w:color="auto" w:fill="FFFFFF"/>
        </w:rPr>
        <w:t xml:space="preserve"> </w:t>
      </w:r>
      <w:r w:rsidRPr="00A54D0F" w:rsidR="00123783">
        <w:rPr>
          <w:color w:val="000000"/>
          <w:shd w:val="clear" w:color="auto" w:fill="FFFFFF"/>
        </w:rPr>
        <w:t>T</w:t>
      </w:r>
      <w:r w:rsidRPr="00A54D0F" w:rsidR="1FACCCCA">
        <w:rPr>
          <w:color w:val="000000"/>
          <w:shd w:val="clear" w:color="auto" w:fill="FFFFFF"/>
        </w:rPr>
        <w:t xml:space="preserve">able </w:t>
      </w:r>
      <w:r w:rsidRPr="00A54D0F" w:rsidR="6D7F9896">
        <w:rPr>
          <w:color w:val="000000"/>
          <w:shd w:val="clear" w:color="auto" w:fill="FFFFFF"/>
        </w:rPr>
        <w:t>29</w:t>
      </w:r>
      <w:r w:rsidRPr="00A54D0F" w:rsidR="1FACCCCA">
        <w:rPr>
          <w:color w:val="000000"/>
          <w:shd w:val="clear" w:color="auto" w:fill="FFFFFF"/>
        </w:rPr>
        <w:t xml:space="preserve"> below</w:t>
      </w:r>
      <w:r w:rsidRPr="00A54D0F" w:rsidR="30D6F1E1">
        <w:rPr>
          <w:color w:val="000000"/>
          <w:shd w:val="clear" w:color="auto" w:fill="FFFFFF"/>
        </w:rPr>
        <w:t xml:space="preserve">, </w:t>
      </w:r>
      <w:r w:rsidR="00CE350D">
        <w:rPr>
          <w:color w:val="000000"/>
          <w:shd w:val="clear" w:color="auto" w:fill="FFFFFF"/>
        </w:rPr>
        <w:t>i</w:t>
      </w:r>
      <w:r w:rsidRPr="00A54D0F" w:rsidR="0A9D338D">
        <w:rPr>
          <w:color w:val="000000"/>
          <w:shd w:val="clear" w:color="auto" w:fill="FFFFFF"/>
        </w:rPr>
        <w:t>llustrate</w:t>
      </w:r>
      <w:r w:rsidR="00CE350D">
        <w:rPr>
          <w:color w:val="000000"/>
          <w:shd w:val="clear" w:color="auto" w:fill="FFFFFF"/>
        </w:rPr>
        <w:t>s</w:t>
      </w:r>
      <w:r w:rsidRPr="00A54D0F" w:rsidR="30D6F1E1">
        <w:rPr>
          <w:color w:val="000000"/>
          <w:shd w:val="clear" w:color="auto" w:fill="FFFFFF"/>
        </w:rPr>
        <w:t xml:space="preserve"> </w:t>
      </w:r>
      <w:r w:rsidR="00CE350D">
        <w:rPr>
          <w:color w:val="000000"/>
          <w:shd w:val="clear" w:color="auto" w:fill="FFFFFF"/>
        </w:rPr>
        <w:t xml:space="preserve">both types of changes. The same for Table 31 (below) except that Table 31 also </w:t>
      </w:r>
      <w:r>
        <w:rPr>
          <w:color w:val="000000"/>
          <w:shd w:val="clear" w:color="auto" w:fill="FFFFFF"/>
        </w:rPr>
        <w:t xml:space="preserve">provides </w:t>
      </w:r>
      <w:r w:rsidRPr="00140366">
        <w:rPr>
          <w:color w:val="000000"/>
          <w:shd w:val="clear" w:color="auto" w:fill="FFFFFF"/>
        </w:rPr>
        <w:t xml:space="preserve">a </w:t>
      </w:r>
      <w:r w:rsidRPr="00140366" w:rsidR="00844BE6">
        <w:rPr>
          <w:color w:val="000000"/>
          <w:shd w:val="clear" w:color="auto" w:fill="FFFFFF"/>
        </w:rPr>
        <w:t>side-by-side</w:t>
      </w:r>
      <w:r w:rsidRPr="00140366">
        <w:rPr>
          <w:color w:val="000000"/>
          <w:shd w:val="clear" w:color="auto" w:fill="FFFFFF"/>
        </w:rPr>
        <w:t xml:space="preserve"> summary of this iteration’s rule and non-rule related changes.</w:t>
      </w:r>
    </w:p>
    <w:p w:rsidR="003C7C53" w:rsidRPr="0001047E" w:rsidP="001B7217" w14:paraId="6E01B5E5" w14:textId="77777777">
      <w:pPr>
        <w:pStyle w:val="BodyText"/>
      </w:pPr>
      <w:r w:rsidRPr="0001047E">
        <w:t>Overall, this iteration proposes to decrease the current estimates by minus 55,241 responses (from 191,225 to 135,984 responses</w:t>
      </w:r>
      <w:r w:rsidRPr="0001047E" w:rsidR="00761605">
        <w:t xml:space="preserve"> or 2,506 – 57,747 responses</w:t>
      </w:r>
      <w:r w:rsidRPr="0001047E">
        <w:t>) and minus 78,771 hours (from 728,142 to 649,371 h</w:t>
      </w:r>
      <w:r w:rsidRPr="0001047E" w:rsidR="00761605">
        <w:t>r or -71,201 – 7,570 hr</w:t>
      </w:r>
      <w:r w:rsidRPr="0001047E">
        <w:t>).</w:t>
      </w:r>
      <w:r w:rsidRPr="0001047E" w:rsidR="00654EB2">
        <w:t xml:space="preserve"> </w:t>
      </w:r>
    </w:p>
    <w:p w:rsidR="00F8353C" w:rsidRPr="0001047E" w:rsidP="001B7217" w14:paraId="7ECA0DE1" w14:textId="408FF6F4">
      <w:pPr>
        <w:pStyle w:val="BodyText"/>
        <w:rPr>
          <w:color w:val="000000"/>
          <w:shd w:val="clear" w:color="auto" w:fill="FFFFFF"/>
        </w:rPr>
      </w:pPr>
      <w:r w:rsidRPr="0001047E">
        <w:rPr>
          <w:color w:val="000000"/>
          <w:shd w:val="clear" w:color="auto" w:fill="FFFFFF"/>
        </w:rPr>
        <w:t>We have also revised Appendices A through K and replaced active Appendix L (2023 MVP Registration Form) with a new Appendix L entitled, “2024 MVP Registration Form.” The MVP registration collection changed from submitting an Excel file via email in 2023 to an online registration form for 2024.</w:t>
      </w:r>
    </w:p>
    <w:p w:rsidR="00B90263" w:rsidRPr="0001047E" w:rsidP="00361BB4" w14:paraId="2DBD4EC5" w14:textId="2253581C">
      <w:pPr>
        <w:pStyle w:val="ExhibitTitle"/>
        <w:rPr>
          <w:b w:val="0"/>
          <w:bCs/>
        </w:rPr>
      </w:pPr>
      <w:bookmarkStart w:id="196" w:name="_Hlk78872000"/>
      <w:r w:rsidRPr="0001047E">
        <w:rPr>
          <w:b w:val="0"/>
          <w:bCs/>
        </w:rPr>
        <w:t>T</w:t>
      </w:r>
      <w:r w:rsidRPr="0001047E" w:rsidR="0DBCB0B4">
        <w:rPr>
          <w:b w:val="0"/>
          <w:bCs/>
        </w:rPr>
        <w:t>able</w:t>
      </w:r>
      <w:r w:rsidRPr="0001047E">
        <w:rPr>
          <w:b w:val="0"/>
          <w:bCs/>
        </w:rPr>
        <w:t xml:space="preserve"> </w:t>
      </w:r>
      <w:r w:rsidRPr="0001047E" w:rsidR="59668D29">
        <w:rPr>
          <w:b w:val="0"/>
          <w:bCs/>
        </w:rPr>
        <w:t>29</w:t>
      </w:r>
      <w:r w:rsidRPr="0001047E" w:rsidR="4352B800">
        <w:rPr>
          <w:b w:val="0"/>
          <w:bCs/>
        </w:rPr>
        <w:t>:</w:t>
      </w:r>
      <w:r w:rsidRPr="0001047E">
        <w:rPr>
          <w:b w:val="0"/>
          <w:bCs/>
        </w:rPr>
        <w:t xml:space="preserve"> Change in Burden</w:t>
      </w:r>
      <w:r w:rsidRPr="0001047E" w:rsidR="5A15C2ED">
        <w:rPr>
          <w:b w:val="0"/>
          <w:bCs/>
        </w:rPr>
        <w:t xml:space="preserve"> for </w:t>
      </w:r>
      <w:r w:rsidRPr="0001047E" w:rsidR="1963B651">
        <w:rPr>
          <w:b w:val="0"/>
          <w:bCs/>
        </w:rPr>
        <w:t xml:space="preserve">CY </w:t>
      </w:r>
      <w:r w:rsidRPr="0001047E" w:rsidR="5A15C2ED">
        <w:rPr>
          <w:b w:val="0"/>
          <w:bCs/>
        </w:rPr>
        <w:t>202</w:t>
      </w:r>
      <w:r w:rsidRPr="0001047E" w:rsidR="2A18CA35">
        <w:rPr>
          <w:b w:val="0"/>
          <w:bCs/>
        </w:rPr>
        <w:t>5</w:t>
      </w:r>
      <w:r w:rsidRPr="0001047E" w:rsidR="5A15C2ED">
        <w:rPr>
          <w:b w:val="0"/>
          <w:bCs/>
        </w:rPr>
        <w:t xml:space="preserve"> Performance Period</w:t>
      </w:r>
      <w:r w:rsidRPr="0001047E" w:rsidR="1963B651">
        <w:rPr>
          <w:b w:val="0"/>
          <w:bCs/>
        </w:rPr>
        <w:t>/202</w:t>
      </w:r>
      <w:r w:rsidRPr="0001047E" w:rsidR="3A8CB7D6">
        <w:rPr>
          <w:b w:val="0"/>
          <w:bCs/>
        </w:rPr>
        <w:t>7</w:t>
      </w:r>
      <w:r w:rsidRPr="0001047E" w:rsidR="1963B651">
        <w:rPr>
          <w:b w:val="0"/>
          <w:bCs/>
        </w:rPr>
        <w:t xml:space="preserve"> MIPS Payment Year</w:t>
      </w:r>
    </w:p>
    <w:tbl>
      <w:tblPr>
        <w:tblStyle w:val="TableGrid"/>
        <w:tblDescription w:val="Table 29: the estimated change in burden to our currently approved burden estimates."/>
        <w:tblW w:w="9265" w:type="dxa"/>
        <w:tblLayout w:type="fixed"/>
        <w:tblLook w:val="04A0"/>
      </w:tblPr>
      <w:tblGrid>
        <w:gridCol w:w="1795"/>
        <w:gridCol w:w="1620"/>
        <w:gridCol w:w="1260"/>
        <w:gridCol w:w="1440"/>
        <w:gridCol w:w="1710"/>
        <w:gridCol w:w="1440"/>
      </w:tblGrid>
      <w:tr w14:paraId="4CB36C13" w14:textId="77777777" w:rsidTr="00BB4987">
        <w:tblPrEx>
          <w:tblW w:w="9265" w:type="dxa"/>
          <w:tblLayout w:type="fixed"/>
          <w:tblLook w:val="04A0"/>
        </w:tblPrEx>
        <w:trPr>
          <w:cantSplit/>
          <w:trHeight w:val="20"/>
          <w:tblHeader/>
        </w:trPr>
        <w:tc>
          <w:tcPr>
            <w:tcW w:w="1795" w:type="dxa"/>
          </w:tcPr>
          <w:bookmarkEnd w:id="196"/>
          <w:p w:rsidR="00466350" w:rsidRPr="0001047E" w:rsidP="00BB4987" w14:paraId="2144D374" w14:textId="77777777">
            <w:pPr>
              <w:pStyle w:val="Table10-ColumnHeading"/>
              <w:ind w:left="-20"/>
              <w:jc w:val="left"/>
              <w:rPr>
                <w:sz w:val="22"/>
              </w:rPr>
            </w:pPr>
            <w:r w:rsidRPr="0001047E">
              <w:rPr>
                <w:sz w:val="22"/>
              </w:rPr>
              <w:t>Burden Type</w:t>
            </w:r>
          </w:p>
        </w:tc>
        <w:tc>
          <w:tcPr>
            <w:tcW w:w="1620" w:type="dxa"/>
          </w:tcPr>
          <w:p w:rsidR="00466350" w:rsidRPr="0001047E" w:rsidP="00BB4987" w14:paraId="6870CF32" w14:textId="77777777">
            <w:pPr>
              <w:pStyle w:val="Table10-ColumnHeading"/>
              <w:ind w:left="-110" w:right="-20"/>
              <w:rPr>
                <w:sz w:val="22"/>
              </w:rPr>
            </w:pPr>
            <w:r w:rsidRPr="0001047E">
              <w:rPr>
                <w:sz w:val="22"/>
              </w:rPr>
              <w:t>Total Requested (A)</w:t>
            </w:r>
          </w:p>
        </w:tc>
        <w:tc>
          <w:tcPr>
            <w:tcW w:w="1260" w:type="dxa"/>
          </w:tcPr>
          <w:p w:rsidR="00466350" w:rsidRPr="0001047E" w:rsidP="00BB4987" w14:paraId="4AC9AAFF" w14:textId="77777777">
            <w:pPr>
              <w:pStyle w:val="Table10-ColumnHeading"/>
              <w:ind w:left="-110" w:right="-20"/>
              <w:rPr>
                <w:sz w:val="22"/>
              </w:rPr>
            </w:pPr>
            <w:r w:rsidRPr="0001047E">
              <w:rPr>
                <w:sz w:val="22"/>
              </w:rPr>
              <w:t>Change Due to New Statute (B)</w:t>
            </w:r>
          </w:p>
        </w:tc>
        <w:tc>
          <w:tcPr>
            <w:tcW w:w="1440" w:type="dxa"/>
          </w:tcPr>
          <w:p w:rsidR="00466350" w:rsidRPr="0001047E" w:rsidP="00BB4987" w14:paraId="35B1DFD0" w14:textId="77777777">
            <w:pPr>
              <w:pStyle w:val="Table10-ColumnHeading"/>
              <w:ind w:left="-110" w:right="-20"/>
              <w:rPr>
                <w:sz w:val="22"/>
              </w:rPr>
            </w:pPr>
            <w:r w:rsidRPr="0001047E">
              <w:rPr>
                <w:sz w:val="22"/>
              </w:rPr>
              <w:t>Change Due to Program Discretion (C)</w:t>
            </w:r>
          </w:p>
        </w:tc>
        <w:tc>
          <w:tcPr>
            <w:tcW w:w="1710" w:type="dxa"/>
          </w:tcPr>
          <w:p w:rsidR="00466350" w:rsidRPr="0001047E" w:rsidP="00BB4987" w14:paraId="03E40CFA" w14:textId="77777777">
            <w:pPr>
              <w:pStyle w:val="Table10-ColumnHeading"/>
              <w:ind w:left="-110" w:right="-20"/>
              <w:rPr>
                <w:sz w:val="22"/>
              </w:rPr>
            </w:pPr>
            <w:r w:rsidRPr="0001047E">
              <w:rPr>
                <w:sz w:val="22"/>
              </w:rPr>
              <w:t>Change Due to Program Adjustment (D)</w:t>
            </w:r>
          </w:p>
        </w:tc>
        <w:tc>
          <w:tcPr>
            <w:tcW w:w="1440" w:type="dxa"/>
          </w:tcPr>
          <w:p w:rsidR="00466350" w:rsidRPr="0001047E" w:rsidP="00BB4987" w14:paraId="5ED28133" w14:textId="440E769A">
            <w:pPr>
              <w:pStyle w:val="Table10-ColumnHeading"/>
              <w:ind w:left="-110" w:right="-20"/>
              <w:rPr>
                <w:sz w:val="22"/>
              </w:rPr>
            </w:pPr>
            <w:r w:rsidRPr="0001047E">
              <w:rPr>
                <w:sz w:val="22"/>
              </w:rPr>
              <w:t>Total Currently Approved (E)</w:t>
            </w:r>
            <w:r w:rsidR="00C95F97">
              <w:rPr>
                <w:sz w:val="22"/>
              </w:rPr>
              <w:t>*</w:t>
            </w:r>
          </w:p>
        </w:tc>
      </w:tr>
      <w:tr w14:paraId="1D804FF9" w14:textId="77777777" w:rsidTr="00BB4987">
        <w:tblPrEx>
          <w:tblW w:w="9265" w:type="dxa"/>
          <w:tblLayout w:type="fixed"/>
          <w:tblLook w:val="04A0"/>
        </w:tblPrEx>
        <w:trPr>
          <w:cantSplit/>
          <w:trHeight w:val="20"/>
        </w:trPr>
        <w:tc>
          <w:tcPr>
            <w:tcW w:w="1795" w:type="dxa"/>
          </w:tcPr>
          <w:p w:rsidR="00466350" w:rsidRPr="0001047E" w:rsidP="00B01022" w14:paraId="1A45F9FC" w14:textId="77777777">
            <w:pPr>
              <w:pStyle w:val="Table10Basic"/>
              <w:rPr>
                <w:sz w:val="22"/>
              </w:rPr>
            </w:pPr>
            <w:r w:rsidRPr="0001047E">
              <w:rPr>
                <w:sz w:val="22"/>
              </w:rPr>
              <w:t>Total Responses</w:t>
            </w:r>
          </w:p>
        </w:tc>
        <w:tc>
          <w:tcPr>
            <w:tcW w:w="1620" w:type="dxa"/>
          </w:tcPr>
          <w:p w:rsidR="00466350" w:rsidRPr="0001047E" w:rsidP="00BB4987" w14:paraId="0993ED4D" w14:textId="7E8375AE">
            <w:pPr>
              <w:pStyle w:val="Table10Basic"/>
              <w:ind w:left="-110" w:right="-20"/>
              <w:jc w:val="center"/>
              <w:rPr>
                <w:sz w:val="22"/>
              </w:rPr>
            </w:pPr>
            <w:r w:rsidRPr="0001047E">
              <w:rPr>
                <w:sz w:val="22"/>
              </w:rPr>
              <w:t>13</w:t>
            </w:r>
            <w:r w:rsidRPr="0001047E" w:rsidR="00BA5039">
              <w:rPr>
                <w:sz w:val="22"/>
              </w:rPr>
              <w:t>5,984</w:t>
            </w:r>
          </w:p>
        </w:tc>
        <w:tc>
          <w:tcPr>
            <w:tcW w:w="1260" w:type="dxa"/>
          </w:tcPr>
          <w:p w:rsidR="00466350" w:rsidRPr="0001047E" w:rsidP="00BB4987" w14:paraId="0B0351A8" w14:textId="5EED4CDC">
            <w:pPr>
              <w:pStyle w:val="Table10Basic"/>
              <w:ind w:left="-110" w:right="-20"/>
              <w:jc w:val="center"/>
              <w:rPr>
                <w:sz w:val="22"/>
              </w:rPr>
            </w:pPr>
            <w:r w:rsidRPr="0001047E">
              <w:rPr>
                <w:sz w:val="22"/>
              </w:rPr>
              <w:t>+</w:t>
            </w:r>
            <w:r w:rsidRPr="0001047E" w:rsidR="004A1560">
              <w:rPr>
                <w:sz w:val="22"/>
              </w:rPr>
              <w:t>2,506</w:t>
            </w:r>
          </w:p>
        </w:tc>
        <w:tc>
          <w:tcPr>
            <w:tcW w:w="1440" w:type="dxa"/>
          </w:tcPr>
          <w:p w:rsidR="00466350" w:rsidRPr="0001047E" w:rsidP="00BB4987" w14:paraId="196053BB" w14:textId="77777777">
            <w:pPr>
              <w:pStyle w:val="Table10Basic"/>
              <w:ind w:left="-110" w:right="-20"/>
              <w:jc w:val="center"/>
              <w:rPr>
                <w:sz w:val="22"/>
              </w:rPr>
            </w:pPr>
            <w:r w:rsidRPr="0001047E">
              <w:rPr>
                <w:sz w:val="22"/>
              </w:rPr>
              <w:t>0</w:t>
            </w:r>
          </w:p>
        </w:tc>
        <w:tc>
          <w:tcPr>
            <w:tcW w:w="1710" w:type="dxa"/>
          </w:tcPr>
          <w:p w:rsidR="00466350" w:rsidRPr="0001047E" w:rsidP="00BB4987" w14:paraId="1F78DB2B" w14:textId="60F3ACA6">
            <w:pPr>
              <w:pStyle w:val="Table10Basic"/>
              <w:ind w:left="-110" w:right="-20"/>
              <w:jc w:val="center"/>
              <w:rPr>
                <w:sz w:val="22"/>
              </w:rPr>
            </w:pPr>
            <w:r w:rsidRPr="007D0191">
              <w:rPr>
                <w:sz w:val="22"/>
              </w:rPr>
              <w:t>133,478</w:t>
            </w:r>
            <w:r w:rsidRPr="007D0191">
              <w:rPr>
                <w:sz w:val="22"/>
              </w:rPr>
              <w:t xml:space="preserve"> </w:t>
            </w:r>
            <w:r w:rsidR="00C95F97">
              <w:rPr>
                <w:sz w:val="22"/>
              </w:rPr>
              <w:t>(</w:t>
            </w:r>
            <w:r w:rsidRPr="00C95F97" w:rsidR="00C95F97">
              <w:rPr>
                <w:sz w:val="22"/>
              </w:rPr>
              <w:t>191,225</w:t>
            </w:r>
            <w:r w:rsidR="00C95F97">
              <w:rPr>
                <w:sz w:val="22"/>
              </w:rPr>
              <w:t xml:space="preserve"> </w:t>
            </w:r>
            <w:r w:rsidRPr="0001047E" w:rsidR="004A1560">
              <w:rPr>
                <w:sz w:val="22"/>
              </w:rPr>
              <w:t>-</w:t>
            </w:r>
            <w:r w:rsidR="00C95F97">
              <w:rPr>
                <w:sz w:val="22"/>
              </w:rPr>
              <w:t xml:space="preserve"> </w:t>
            </w:r>
            <w:r w:rsidRPr="0001047E" w:rsidR="004A1560">
              <w:rPr>
                <w:sz w:val="22"/>
              </w:rPr>
              <w:t>57,</w:t>
            </w:r>
            <w:r w:rsidRPr="0001047E" w:rsidR="001540AF">
              <w:rPr>
                <w:sz w:val="22"/>
              </w:rPr>
              <w:t>747</w:t>
            </w:r>
            <w:r w:rsidR="00C95F97">
              <w:rPr>
                <w:sz w:val="22"/>
              </w:rPr>
              <w:t>)</w:t>
            </w:r>
          </w:p>
        </w:tc>
        <w:tc>
          <w:tcPr>
            <w:tcW w:w="1440" w:type="dxa"/>
          </w:tcPr>
          <w:p w:rsidR="00466350" w:rsidRPr="0001047E" w:rsidP="00BB4987" w14:paraId="7A7CB6DE" w14:textId="373B8CC0">
            <w:pPr>
              <w:pStyle w:val="Table10Basic"/>
              <w:ind w:left="-110" w:right="-20"/>
              <w:jc w:val="center"/>
              <w:rPr>
                <w:sz w:val="22"/>
              </w:rPr>
            </w:pPr>
            <w:r w:rsidRPr="0001047E">
              <w:rPr>
                <w:sz w:val="22"/>
              </w:rPr>
              <w:t>191,225</w:t>
            </w:r>
          </w:p>
        </w:tc>
      </w:tr>
      <w:tr w14:paraId="52A016D2" w14:textId="77777777" w:rsidTr="00BB4987">
        <w:tblPrEx>
          <w:tblW w:w="9265" w:type="dxa"/>
          <w:tblLayout w:type="fixed"/>
          <w:tblLook w:val="04A0"/>
        </w:tblPrEx>
        <w:trPr>
          <w:cantSplit/>
          <w:trHeight w:val="20"/>
        </w:trPr>
        <w:tc>
          <w:tcPr>
            <w:tcW w:w="1795" w:type="dxa"/>
          </w:tcPr>
          <w:p w:rsidR="00466350" w:rsidRPr="0001047E" w:rsidP="00B01022" w14:paraId="5E88B788" w14:textId="77777777">
            <w:pPr>
              <w:pStyle w:val="Table10Basic"/>
              <w:rPr>
                <w:sz w:val="22"/>
              </w:rPr>
            </w:pPr>
            <w:r w:rsidRPr="0001047E">
              <w:rPr>
                <w:sz w:val="22"/>
              </w:rPr>
              <w:t>Total Time (hr)</w:t>
            </w:r>
          </w:p>
        </w:tc>
        <w:tc>
          <w:tcPr>
            <w:tcW w:w="1620" w:type="dxa"/>
          </w:tcPr>
          <w:p w:rsidR="00466350" w:rsidRPr="0001047E" w:rsidP="00BB4987" w14:paraId="3DF5BF76" w14:textId="703D34E8">
            <w:pPr>
              <w:pStyle w:val="Table10Basic"/>
              <w:ind w:left="-110" w:right="-20"/>
              <w:jc w:val="center"/>
              <w:rPr>
                <w:sz w:val="22"/>
              </w:rPr>
            </w:pPr>
            <w:r w:rsidRPr="0001047E">
              <w:rPr>
                <w:sz w:val="22"/>
              </w:rPr>
              <w:t>649,371</w:t>
            </w:r>
          </w:p>
        </w:tc>
        <w:tc>
          <w:tcPr>
            <w:tcW w:w="1260" w:type="dxa"/>
          </w:tcPr>
          <w:p w:rsidR="00466350" w:rsidRPr="0001047E" w:rsidP="00BB4987" w14:paraId="17BEF0A7" w14:textId="6F71DC18">
            <w:pPr>
              <w:pStyle w:val="Table10Basic"/>
              <w:ind w:left="-110" w:right="-20"/>
              <w:jc w:val="center"/>
              <w:rPr>
                <w:sz w:val="22"/>
              </w:rPr>
            </w:pPr>
            <w:r w:rsidRPr="0001047E">
              <w:rPr>
                <w:sz w:val="22"/>
              </w:rPr>
              <w:t>-</w:t>
            </w:r>
            <w:r w:rsidRPr="0001047E" w:rsidR="001A2C43">
              <w:rPr>
                <w:sz w:val="22"/>
              </w:rPr>
              <w:t>7,570</w:t>
            </w:r>
          </w:p>
        </w:tc>
        <w:tc>
          <w:tcPr>
            <w:tcW w:w="1440" w:type="dxa"/>
          </w:tcPr>
          <w:p w:rsidR="00466350" w:rsidRPr="0001047E" w:rsidP="00BB4987" w14:paraId="132307E5" w14:textId="77777777">
            <w:pPr>
              <w:pStyle w:val="Table10Basic"/>
              <w:ind w:left="-110" w:right="-20"/>
              <w:jc w:val="center"/>
              <w:rPr>
                <w:sz w:val="22"/>
              </w:rPr>
            </w:pPr>
            <w:r w:rsidRPr="0001047E">
              <w:rPr>
                <w:sz w:val="22"/>
              </w:rPr>
              <w:t>0</w:t>
            </w:r>
          </w:p>
        </w:tc>
        <w:tc>
          <w:tcPr>
            <w:tcW w:w="1710" w:type="dxa"/>
          </w:tcPr>
          <w:p w:rsidR="00466350" w:rsidRPr="0001047E" w:rsidP="00BB4987" w14:paraId="41F28BC5" w14:textId="7649F4E3">
            <w:pPr>
              <w:pStyle w:val="Table10Basic"/>
              <w:ind w:left="-110" w:right="-20"/>
              <w:jc w:val="center"/>
              <w:rPr>
                <w:sz w:val="22"/>
              </w:rPr>
            </w:pPr>
            <w:r w:rsidRPr="007D0191">
              <w:rPr>
                <w:sz w:val="22"/>
              </w:rPr>
              <w:t>656,941</w:t>
            </w:r>
            <w:r w:rsidRPr="007D0191">
              <w:rPr>
                <w:sz w:val="22"/>
              </w:rPr>
              <w:t xml:space="preserve"> </w:t>
            </w:r>
            <w:r w:rsidR="00C95F97">
              <w:rPr>
                <w:sz w:val="22"/>
              </w:rPr>
              <w:t>(</w:t>
            </w:r>
            <w:r w:rsidRPr="0001047E" w:rsidR="00C95F97">
              <w:rPr>
                <w:sz w:val="22"/>
              </w:rPr>
              <w:t>728,142</w:t>
            </w:r>
            <w:r w:rsidR="00C95F97">
              <w:rPr>
                <w:sz w:val="22"/>
              </w:rPr>
              <w:t xml:space="preserve"> </w:t>
            </w:r>
            <w:r w:rsidRPr="0001047E" w:rsidR="001A2C43">
              <w:rPr>
                <w:sz w:val="22"/>
              </w:rPr>
              <w:t>-</w:t>
            </w:r>
            <w:r w:rsidR="00C95F97">
              <w:rPr>
                <w:sz w:val="22"/>
              </w:rPr>
              <w:t xml:space="preserve"> </w:t>
            </w:r>
            <w:r w:rsidRPr="0001047E" w:rsidR="001A2C43">
              <w:rPr>
                <w:sz w:val="22"/>
              </w:rPr>
              <w:t>7</w:t>
            </w:r>
            <w:r w:rsidRPr="0001047E" w:rsidR="004467B1">
              <w:rPr>
                <w:sz w:val="22"/>
              </w:rPr>
              <w:t>1,201</w:t>
            </w:r>
            <w:r w:rsidR="00C95F97">
              <w:rPr>
                <w:sz w:val="22"/>
              </w:rPr>
              <w:t>)</w:t>
            </w:r>
          </w:p>
        </w:tc>
        <w:tc>
          <w:tcPr>
            <w:tcW w:w="1440" w:type="dxa"/>
          </w:tcPr>
          <w:p w:rsidR="00466350" w:rsidRPr="0001047E" w:rsidP="00BB4987" w14:paraId="10E8EB85" w14:textId="1796DD12">
            <w:pPr>
              <w:pStyle w:val="Table10Basic"/>
              <w:ind w:left="-110" w:right="-20"/>
              <w:jc w:val="center"/>
              <w:rPr>
                <w:sz w:val="22"/>
              </w:rPr>
            </w:pPr>
            <w:r w:rsidRPr="0001047E">
              <w:rPr>
                <w:sz w:val="22"/>
              </w:rPr>
              <w:t>728,142</w:t>
            </w:r>
          </w:p>
        </w:tc>
      </w:tr>
      <w:tr w14:paraId="1DCF7A74" w14:textId="77777777" w:rsidTr="00BB4987">
        <w:tblPrEx>
          <w:tblW w:w="9265" w:type="dxa"/>
          <w:tblLayout w:type="fixed"/>
          <w:tblLook w:val="04A0"/>
        </w:tblPrEx>
        <w:trPr>
          <w:cantSplit/>
          <w:trHeight w:val="20"/>
        </w:trPr>
        <w:tc>
          <w:tcPr>
            <w:tcW w:w="1795" w:type="dxa"/>
          </w:tcPr>
          <w:p w:rsidR="00466350" w:rsidRPr="0001047E" w:rsidP="00B01022" w14:paraId="62985765" w14:textId="77777777">
            <w:pPr>
              <w:pStyle w:val="Table10Basic"/>
              <w:rPr>
                <w:sz w:val="22"/>
              </w:rPr>
            </w:pPr>
            <w:r w:rsidRPr="0001047E">
              <w:rPr>
                <w:sz w:val="22"/>
              </w:rPr>
              <w:t>Total Cost ($)</w:t>
            </w:r>
          </w:p>
        </w:tc>
        <w:tc>
          <w:tcPr>
            <w:tcW w:w="1620" w:type="dxa"/>
          </w:tcPr>
          <w:p w:rsidR="00466350" w:rsidRPr="0001047E" w:rsidP="00BB4987" w14:paraId="095DA71F" w14:textId="13AE92EA">
            <w:pPr>
              <w:pStyle w:val="Table10Basic"/>
              <w:ind w:left="-110" w:right="-20"/>
              <w:jc w:val="center"/>
              <w:rPr>
                <w:sz w:val="22"/>
              </w:rPr>
            </w:pPr>
            <w:r w:rsidRPr="0001047E">
              <w:rPr>
                <w:sz w:val="22"/>
              </w:rPr>
              <w:t>76,</w:t>
            </w:r>
            <w:r w:rsidRPr="0001047E" w:rsidR="00BA5039">
              <w:rPr>
                <w:sz w:val="22"/>
              </w:rPr>
              <w:t>864,292</w:t>
            </w:r>
          </w:p>
        </w:tc>
        <w:tc>
          <w:tcPr>
            <w:tcW w:w="1260" w:type="dxa"/>
          </w:tcPr>
          <w:p w:rsidR="00466350" w:rsidRPr="0001047E" w:rsidP="00BB4987" w14:paraId="68E0F32D" w14:textId="5E49E89E">
            <w:pPr>
              <w:pStyle w:val="Table10Basic"/>
              <w:ind w:left="-110" w:right="-20"/>
              <w:jc w:val="center"/>
              <w:rPr>
                <w:sz w:val="22"/>
              </w:rPr>
            </w:pPr>
            <w:r w:rsidRPr="0001047E">
              <w:rPr>
                <w:sz w:val="22"/>
              </w:rPr>
              <w:t>-</w:t>
            </w:r>
            <w:r w:rsidRPr="0001047E" w:rsidR="3E6CD91F">
              <w:rPr>
                <w:sz w:val="22"/>
              </w:rPr>
              <w:t>913,176</w:t>
            </w:r>
          </w:p>
        </w:tc>
        <w:tc>
          <w:tcPr>
            <w:tcW w:w="1440" w:type="dxa"/>
          </w:tcPr>
          <w:p w:rsidR="00466350" w:rsidRPr="0001047E" w:rsidP="00BB4987" w14:paraId="18DDF7EA" w14:textId="77777777">
            <w:pPr>
              <w:pStyle w:val="Table10Basic"/>
              <w:ind w:left="-110" w:right="-20"/>
              <w:jc w:val="center"/>
              <w:rPr>
                <w:sz w:val="22"/>
              </w:rPr>
            </w:pPr>
            <w:r w:rsidRPr="0001047E">
              <w:rPr>
                <w:sz w:val="22"/>
              </w:rPr>
              <w:t>0</w:t>
            </w:r>
          </w:p>
        </w:tc>
        <w:tc>
          <w:tcPr>
            <w:tcW w:w="1710" w:type="dxa"/>
          </w:tcPr>
          <w:p w:rsidR="00466350" w:rsidRPr="0001047E" w:rsidP="00BB4987" w14:paraId="167C9B6F" w14:textId="28AA3461">
            <w:pPr>
              <w:pStyle w:val="Table10Basic"/>
              <w:ind w:left="-110" w:right="-20"/>
              <w:jc w:val="center"/>
              <w:rPr>
                <w:sz w:val="22"/>
              </w:rPr>
            </w:pPr>
            <w:r w:rsidRPr="00ED641C">
              <w:rPr>
                <w:sz w:val="22"/>
              </w:rPr>
              <w:t>77,777,468</w:t>
            </w:r>
            <w:r w:rsidRPr="00ED641C">
              <w:rPr>
                <w:sz w:val="22"/>
              </w:rPr>
              <w:t xml:space="preserve"> </w:t>
            </w:r>
            <w:r w:rsidR="00C95F97">
              <w:rPr>
                <w:sz w:val="22"/>
              </w:rPr>
              <w:t>(</w:t>
            </w:r>
            <w:r w:rsidRPr="0001047E" w:rsidR="00C95F97">
              <w:rPr>
                <w:sz w:val="22"/>
              </w:rPr>
              <w:t>85,908,261</w:t>
            </w:r>
            <w:r w:rsidR="00C95F97">
              <w:rPr>
                <w:sz w:val="22"/>
              </w:rPr>
              <w:t xml:space="preserve"> </w:t>
            </w:r>
            <w:r w:rsidRPr="0001047E" w:rsidR="00C26129">
              <w:rPr>
                <w:sz w:val="22"/>
              </w:rPr>
              <w:t>-8,</w:t>
            </w:r>
            <w:r w:rsidRPr="0001047E" w:rsidR="00B44CDD">
              <w:rPr>
                <w:sz w:val="22"/>
              </w:rPr>
              <w:t>130,793</w:t>
            </w:r>
            <w:r w:rsidR="00C95F97">
              <w:rPr>
                <w:sz w:val="22"/>
              </w:rPr>
              <w:t>)</w:t>
            </w:r>
          </w:p>
        </w:tc>
        <w:tc>
          <w:tcPr>
            <w:tcW w:w="1440" w:type="dxa"/>
          </w:tcPr>
          <w:p w:rsidR="00466350" w:rsidRPr="0001047E" w:rsidP="00BB4987" w14:paraId="4563B97B" w14:textId="1612AD8C">
            <w:pPr>
              <w:pStyle w:val="Table10Basic"/>
              <w:ind w:left="-110" w:right="-20"/>
              <w:jc w:val="center"/>
              <w:rPr>
                <w:sz w:val="22"/>
              </w:rPr>
            </w:pPr>
            <w:r w:rsidRPr="0001047E">
              <w:rPr>
                <w:sz w:val="22"/>
              </w:rPr>
              <w:t>85,908,261</w:t>
            </w:r>
          </w:p>
        </w:tc>
      </w:tr>
    </w:tbl>
    <w:p w:rsidR="00C95F97" w:rsidRPr="00C95F97" w:rsidP="00C95F97" w14:paraId="735D2A00" w14:textId="361F03E7">
      <w:pPr>
        <w:pStyle w:val="BodyText"/>
        <w:spacing w:before="0"/>
        <w:rPr>
          <w:rFonts w:eastAsia="Calibri"/>
          <w:sz w:val="18"/>
          <w:szCs w:val="18"/>
        </w:rPr>
      </w:pPr>
      <w:r w:rsidRPr="00C95F97">
        <w:rPr>
          <w:rFonts w:eastAsia="Calibri"/>
          <w:sz w:val="18"/>
          <w:szCs w:val="18"/>
        </w:rPr>
        <w:t xml:space="preserve">* </w:t>
      </w:r>
      <w:r w:rsidRPr="00C95F97">
        <w:rPr>
          <w:rFonts w:eastAsia="Calibri"/>
          <w:sz w:val="18"/>
          <w:szCs w:val="18"/>
        </w:rPr>
        <w:t>CY 2024 Performance Period/2026 MIPS Payment Year Burden Summary</w:t>
      </w:r>
    </w:p>
    <w:p w:rsidR="0006071B" w:rsidRPr="00FB3725" w:rsidP="001B7217" w14:paraId="2956250E" w14:textId="79E8CF14">
      <w:pPr>
        <w:pStyle w:val="BodyText"/>
        <w:rPr>
          <w:rFonts w:eastAsia="Calibri"/>
        </w:rPr>
      </w:pPr>
      <w:r w:rsidRPr="0001047E">
        <w:rPr>
          <w:rFonts w:eastAsia="Calibri"/>
        </w:rPr>
        <w:t xml:space="preserve">As shown above in </w:t>
      </w:r>
      <w:r w:rsidRPr="0001047E" w:rsidR="22B7CAC4">
        <w:rPr>
          <w:rFonts w:eastAsia="Calibri"/>
        </w:rPr>
        <w:t>T</w:t>
      </w:r>
      <w:r w:rsidRPr="0001047E">
        <w:rPr>
          <w:rFonts w:eastAsia="Calibri"/>
        </w:rPr>
        <w:t xml:space="preserve">able </w:t>
      </w:r>
      <w:r w:rsidRPr="0001047E" w:rsidR="5FC38B27">
        <w:rPr>
          <w:rFonts w:eastAsia="Calibri"/>
        </w:rPr>
        <w:t>29</w:t>
      </w:r>
      <w:r w:rsidRPr="0001047E">
        <w:rPr>
          <w:rFonts w:eastAsia="Calibri"/>
        </w:rPr>
        <w:t>, t</w:t>
      </w:r>
      <w:r w:rsidRPr="0001047E" w:rsidR="1FAC66C2">
        <w:rPr>
          <w:rFonts w:eastAsia="Calibri"/>
        </w:rPr>
        <w:t xml:space="preserve">he </w:t>
      </w:r>
      <w:r w:rsidRPr="0001047E" w:rsidR="123EBB76">
        <w:rPr>
          <w:rFonts w:eastAsia="Calibri"/>
        </w:rPr>
        <w:t>in</w:t>
      </w:r>
      <w:r w:rsidRPr="0001047E" w:rsidR="43328188">
        <w:rPr>
          <w:rFonts w:eastAsia="Calibri"/>
        </w:rPr>
        <w:t>crease</w:t>
      </w:r>
      <w:r w:rsidRPr="0001047E" w:rsidR="6CA56D85">
        <w:rPr>
          <w:rFonts w:eastAsia="Calibri"/>
        </w:rPr>
        <w:t xml:space="preserve"> </w:t>
      </w:r>
      <w:r w:rsidRPr="0001047E" w:rsidR="00B978E5">
        <w:rPr>
          <w:rFonts w:eastAsia="Calibri"/>
        </w:rPr>
        <w:t xml:space="preserve">of </w:t>
      </w:r>
      <w:r w:rsidRPr="0001047E" w:rsidR="4310B261">
        <w:rPr>
          <w:rFonts w:eastAsia="Calibri"/>
        </w:rPr>
        <w:t>2,506</w:t>
      </w:r>
      <w:r w:rsidRPr="0001047E" w:rsidR="0A9D338D">
        <w:rPr>
          <w:rFonts w:eastAsia="Calibri"/>
        </w:rPr>
        <w:t xml:space="preserve"> </w:t>
      </w:r>
      <w:r w:rsidRPr="0001047E" w:rsidR="1FAC66C2">
        <w:rPr>
          <w:rFonts w:eastAsia="Calibri"/>
        </w:rPr>
        <w:t>responses</w:t>
      </w:r>
      <w:r w:rsidRPr="0001047E" w:rsidR="00B978E5">
        <w:rPr>
          <w:rFonts w:eastAsia="Calibri"/>
        </w:rPr>
        <w:t xml:space="preserve">, </w:t>
      </w:r>
      <w:r w:rsidRPr="0001047E" w:rsidR="6200A16B">
        <w:rPr>
          <w:rFonts w:eastAsia="Calibri"/>
        </w:rPr>
        <w:t xml:space="preserve">decrease </w:t>
      </w:r>
      <w:r w:rsidRPr="0001047E" w:rsidR="00B978E5">
        <w:rPr>
          <w:rFonts w:eastAsia="Calibri"/>
        </w:rPr>
        <w:t xml:space="preserve">of </w:t>
      </w:r>
      <w:r w:rsidRPr="0001047E" w:rsidR="11EA6DD2">
        <w:rPr>
          <w:rFonts w:eastAsia="Calibri"/>
        </w:rPr>
        <w:t>7,570</w:t>
      </w:r>
      <w:r w:rsidRPr="0001047E" w:rsidR="03E35794">
        <w:rPr>
          <w:rFonts w:eastAsia="Calibri"/>
        </w:rPr>
        <w:t xml:space="preserve"> hours</w:t>
      </w:r>
      <w:r w:rsidRPr="0001047E" w:rsidR="00B978E5">
        <w:rPr>
          <w:rFonts w:eastAsia="Calibri"/>
        </w:rPr>
        <w:t xml:space="preserve">, and </w:t>
      </w:r>
      <w:r w:rsidRPr="0001047E" w:rsidR="3EEA9ACC">
        <w:rPr>
          <w:rFonts w:eastAsia="Calibri"/>
        </w:rPr>
        <w:t xml:space="preserve">decrease </w:t>
      </w:r>
      <w:r w:rsidRPr="0001047E" w:rsidR="1FAC66C2">
        <w:rPr>
          <w:rFonts w:eastAsia="Calibri"/>
        </w:rPr>
        <w:t>$</w:t>
      </w:r>
      <w:r w:rsidRPr="0001047E" w:rsidR="11EA6DD2">
        <w:rPr>
          <w:rFonts w:eastAsia="Calibri"/>
        </w:rPr>
        <w:t>913,176</w:t>
      </w:r>
      <w:r w:rsidRPr="0001047E" w:rsidR="15ABD395">
        <w:rPr>
          <w:rFonts w:eastAsia="Calibri"/>
        </w:rPr>
        <w:t xml:space="preserve"> </w:t>
      </w:r>
      <w:r w:rsidRPr="0001047E" w:rsidR="00B978E5">
        <w:rPr>
          <w:rFonts w:eastAsia="Calibri"/>
        </w:rPr>
        <w:t xml:space="preserve">is </w:t>
      </w:r>
      <w:r w:rsidRPr="0001047E" w:rsidR="1FAC66C2">
        <w:rPr>
          <w:rFonts w:eastAsia="Calibri"/>
        </w:rPr>
        <w:t>due to new statute</w:t>
      </w:r>
      <w:r w:rsidRPr="0001047E" w:rsidR="03E35794">
        <w:rPr>
          <w:rFonts w:eastAsia="Calibri"/>
        </w:rPr>
        <w:t>s</w:t>
      </w:r>
      <w:r w:rsidRPr="0001047E" w:rsidR="1FAC66C2">
        <w:rPr>
          <w:rFonts w:eastAsia="Calibri"/>
        </w:rPr>
        <w:t xml:space="preserve"> (Column B)</w:t>
      </w:r>
      <w:r w:rsidRPr="0001047E" w:rsidR="00B978E5">
        <w:rPr>
          <w:rFonts w:eastAsia="Calibri"/>
        </w:rPr>
        <w:t xml:space="preserve">. The changes are associated with (1) </w:t>
      </w:r>
      <w:r w:rsidRPr="0001047E" w:rsidR="15DD2776">
        <w:rPr>
          <w:rFonts w:eastAsia="Calibri"/>
        </w:rPr>
        <w:t xml:space="preserve">the addition of </w:t>
      </w:r>
      <w:r w:rsidRPr="0001047E" w:rsidR="00123783">
        <w:rPr>
          <w:rFonts w:eastAsia="Calibri"/>
        </w:rPr>
        <w:t xml:space="preserve">six </w:t>
      </w:r>
      <w:r w:rsidRPr="0001047E" w:rsidR="15DD2776">
        <w:rPr>
          <w:rFonts w:eastAsia="Calibri"/>
        </w:rPr>
        <w:t>new MVPs to the existing MVP Inventory resulting in an increase in the number of respondents registering for MVP reporting</w:t>
      </w:r>
      <w:r w:rsidRPr="0001047E" w:rsidR="00B978E5">
        <w:rPr>
          <w:rFonts w:eastAsia="Calibri"/>
        </w:rPr>
        <w:t xml:space="preserve">, (2) an </w:t>
      </w:r>
      <w:r w:rsidRPr="0001047E" w:rsidR="15DD2776">
        <w:rPr>
          <w:rFonts w:eastAsia="Calibri"/>
        </w:rPr>
        <w:t xml:space="preserve">increase in the number of respondents submitting for the quality performance category of MVPs, and </w:t>
      </w:r>
      <w:r w:rsidRPr="0001047E" w:rsidR="00B978E5">
        <w:rPr>
          <w:rFonts w:eastAsia="Calibri"/>
        </w:rPr>
        <w:t xml:space="preserve">(3) </w:t>
      </w:r>
      <w:r w:rsidRPr="0001047E" w:rsidR="15DD2776">
        <w:rPr>
          <w:rFonts w:eastAsia="Calibri"/>
        </w:rPr>
        <w:t>a decrease in the number of respondents submitting for the Medicare Part B Claims</w:t>
      </w:r>
      <w:r w:rsidRPr="0001047E" w:rsidR="00B978E5">
        <w:rPr>
          <w:rFonts w:eastAsia="Calibri"/>
        </w:rPr>
        <w:t>, and (4)</w:t>
      </w:r>
      <w:r w:rsidRPr="0001047E" w:rsidR="15DD2776">
        <w:rPr>
          <w:rFonts w:eastAsia="Calibri"/>
        </w:rPr>
        <w:t xml:space="preserve"> </w:t>
      </w:r>
      <w:r w:rsidRPr="0001047E" w:rsidR="00B978E5">
        <w:rPr>
          <w:rFonts w:eastAsia="Calibri"/>
        </w:rPr>
        <w:t xml:space="preserve">a decrease in </w:t>
      </w:r>
      <w:r w:rsidRPr="0001047E" w:rsidR="15DD2776">
        <w:rPr>
          <w:rFonts w:eastAsia="Calibri"/>
        </w:rPr>
        <w:t>MIPS CQM</w:t>
      </w:r>
      <w:r w:rsidRPr="0001047E" w:rsidR="00B978E5">
        <w:rPr>
          <w:rFonts w:eastAsia="Calibri"/>
        </w:rPr>
        <w:t xml:space="preserve">, </w:t>
      </w:r>
      <w:r w:rsidRPr="00FB3725" w:rsidR="15DD2776">
        <w:rPr>
          <w:rFonts w:eastAsia="Calibri"/>
        </w:rPr>
        <w:t>QCDR</w:t>
      </w:r>
      <w:r w:rsidRPr="00FB3725" w:rsidR="00B978E5">
        <w:rPr>
          <w:rFonts w:eastAsia="Calibri"/>
        </w:rPr>
        <w:t xml:space="preserve">, </w:t>
      </w:r>
      <w:r w:rsidRPr="00FB3725" w:rsidR="15DD2776">
        <w:rPr>
          <w:rFonts w:eastAsia="Calibri"/>
        </w:rPr>
        <w:t>and eCQM collection types</w:t>
      </w:r>
      <w:r w:rsidRPr="00FB3725" w:rsidR="72223DA8">
        <w:rPr>
          <w:rFonts w:eastAsia="Calibri"/>
        </w:rPr>
        <w:t>.</w:t>
      </w:r>
      <w:r w:rsidRPr="00FB3725" w:rsidR="669F941B">
        <w:rPr>
          <w:rFonts w:eastAsia="Calibri"/>
        </w:rPr>
        <w:t xml:space="preserve"> </w:t>
      </w:r>
    </w:p>
    <w:p w:rsidR="00C344AB" w:rsidRPr="0001047E" w:rsidP="001B7217" w14:paraId="0A6A5934" w14:textId="5052E8D5">
      <w:pPr>
        <w:pStyle w:val="BodyText"/>
        <w:rPr>
          <w:rFonts w:eastAsia="Calibri"/>
        </w:rPr>
      </w:pPr>
      <w:r w:rsidRPr="00FB3725">
        <w:rPr>
          <w:rFonts w:eastAsia="Calibri"/>
        </w:rPr>
        <w:t>The remaining changes due to program adjustment (Column D) are entirely due to availability of updated data</w:t>
      </w:r>
      <w:r w:rsidRPr="00FB3725" w:rsidR="669F941B">
        <w:rPr>
          <w:rFonts w:eastAsia="Calibri"/>
        </w:rPr>
        <w:t xml:space="preserve"> and assumptions</w:t>
      </w:r>
      <w:r w:rsidRPr="00FB3725">
        <w:rPr>
          <w:rFonts w:eastAsia="Calibri"/>
        </w:rPr>
        <w:t>.</w:t>
      </w:r>
      <w:r w:rsidRPr="0001047E">
        <w:rPr>
          <w:rFonts w:eastAsia="Calibri"/>
        </w:rPr>
        <w:t xml:space="preserve"> </w:t>
      </w:r>
      <w:bookmarkStart w:id="197" w:name="_Hlk76638718"/>
    </w:p>
    <w:p w:rsidR="00B978E5" w:rsidP="00B978E5" w14:paraId="7FB77BEF" w14:textId="21806020">
      <w:pPr>
        <w:pStyle w:val="BodyText"/>
      </w:pPr>
      <w:r w:rsidRPr="0001047E">
        <w:rPr>
          <w:rFonts w:eastAsia="Calibri"/>
        </w:rPr>
        <w:t>Table</w:t>
      </w:r>
      <w:r w:rsidRPr="0001047E" w:rsidR="0DE5B886">
        <w:rPr>
          <w:rFonts w:eastAsia="Calibri"/>
        </w:rPr>
        <w:t xml:space="preserve"> series </w:t>
      </w:r>
      <w:r w:rsidRPr="0001047E" w:rsidR="732F9DB1">
        <w:rPr>
          <w:rFonts w:eastAsia="Calibri"/>
        </w:rPr>
        <w:t>3</w:t>
      </w:r>
      <w:r w:rsidRPr="0001047E" w:rsidR="26B030C1">
        <w:rPr>
          <w:rFonts w:eastAsia="Calibri"/>
        </w:rPr>
        <w:t>0</w:t>
      </w:r>
      <w:r w:rsidRPr="0001047E">
        <w:rPr>
          <w:rFonts w:eastAsia="Calibri"/>
        </w:rPr>
        <w:t xml:space="preserve"> below details the changes in burden for each information collection.</w:t>
      </w:r>
      <w:bookmarkEnd w:id="197"/>
      <w:r w:rsidRPr="0001047E">
        <w:rPr>
          <w:rFonts w:eastAsia="Calibri"/>
        </w:rPr>
        <w:t xml:space="preserve"> </w:t>
      </w:r>
      <w:r w:rsidRPr="0001047E">
        <w:t xml:space="preserve">Table 31: identifies </w:t>
      </w:r>
      <w:r w:rsidRPr="0001047E" w:rsidR="007C1C05">
        <w:t xml:space="preserve">each of the series 30 tables, identifies </w:t>
      </w:r>
      <w:r w:rsidRPr="0001047E">
        <w:t>the changes</w:t>
      </w:r>
      <w:r w:rsidRPr="0001047E" w:rsidR="007C1C05">
        <w:t>,</w:t>
      </w:r>
      <w:r w:rsidRPr="0001047E">
        <w:t xml:space="preserve"> and </w:t>
      </w:r>
      <w:r w:rsidRPr="0001047E" w:rsidR="007C1C05">
        <w:t xml:space="preserve">sets forth </w:t>
      </w:r>
      <w:r w:rsidRPr="0001047E">
        <w:t>the reason for each change.</w:t>
      </w:r>
    </w:p>
    <w:p w:rsidR="005011E1" w:rsidRPr="00B7366A" w:rsidP="00361BB4" w14:paraId="4342506D" w14:textId="511185DE">
      <w:pPr>
        <w:pStyle w:val="ExhibitTitle"/>
        <w:rPr>
          <w:rFonts w:eastAsia="Calibri"/>
          <w:b w:val="0"/>
          <w:bCs/>
        </w:rPr>
      </w:pPr>
      <w:r w:rsidRPr="00B7366A">
        <w:rPr>
          <w:rFonts w:eastAsia="Calibri"/>
          <w:b w:val="0"/>
          <w:bCs/>
        </w:rPr>
        <w:t>T</w:t>
      </w:r>
      <w:r w:rsidRPr="00B7366A" w:rsidR="27C0A852">
        <w:rPr>
          <w:rFonts w:eastAsia="Calibri"/>
          <w:b w:val="0"/>
          <w:bCs/>
        </w:rPr>
        <w:t>able</w:t>
      </w:r>
      <w:r w:rsidRPr="00B7366A">
        <w:rPr>
          <w:rFonts w:eastAsia="Calibri"/>
          <w:b w:val="0"/>
          <w:bCs/>
        </w:rPr>
        <w:t xml:space="preserve"> </w:t>
      </w:r>
      <w:r w:rsidRPr="00B7366A" w:rsidR="5A15C2ED">
        <w:rPr>
          <w:rFonts w:eastAsia="Calibri"/>
          <w:b w:val="0"/>
          <w:bCs/>
        </w:rPr>
        <w:t>3</w:t>
      </w:r>
      <w:r w:rsidRPr="00B7366A" w:rsidR="0988DA32">
        <w:rPr>
          <w:rFonts w:eastAsia="Calibri"/>
          <w:b w:val="0"/>
          <w:bCs/>
        </w:rPr>
        <w:t>0</w:t>
      </w:r>
      <w:r w:rsidRPr="00B7366A">
        <w:rPr>
          <w:rFonts w:eastAsia="Calibri"/>
          <w:b w:val="0"/>
          <w:bCs/>
        </w:rPr>
        <w:t xml:space="preserve">A: Burden Reconciliation for </w:t>
      </w:r>
      <w:r w:rsidRPr="00B7366A" w:rsidR="5D4F560A">
        <w:rPr>
          <w:rFonts w:eastAsia="Calibri"/>
          <w:b w:val="0"/>
          <w:bCs/>
        </w:rPr>
        <w:t xml:space="preserve">Simplified </w:t>
      </w:r>
      <w:r w:rsidRPr="00B7366A">
        <w:rPr>
          <w:rFonts w:eastAsia="Calibri"/>
          <w:b w:val="0"/>
          <w:bCs/>
        </w:rPr>
        <w:t>Qualified Registry Self-Nomination</w:t>
      </w:r>
    </w:p>
    <w:tbl>
      <w:tblPr>
        <w:tblStyle w:val="TableGrid"/>
        <w:tblDescription w:val="Table 30A: the estimated change in burden to our currently approved burden estimates for the simplified qualified registry self-nomination."/>
        <w:tblW w:w="5000" w:type="pct"/>
        <w:tblLayout w:type="fixed"/>
        <w:tblCellMar>
          <w:left w:w="43" w:type="dxa"/>
          <w:right w:w="43" w:type="dxa"/>
        </w:tblCellMar>
        <w:tblLook w:val="04A0"/>
      </w:tblPr>
      <w:tblGrid>
        <w:gridCol w:w="1165"/>
        <w:gridCol w:w="1440"/>
        <w:gridCol w:w="1260"/>
        <w:gridCol w:w="1170"/>
        <w:gridCol w:w="1080"/>
        <w:gridCol w:w="1080"/>
        <w:gridCol w:w="1080"/>
        <w:gridCol w:w="1075"/>
      </w:tblGrid>
      <w:tr w14:paraId="08112641" w14:textId="77777777" w:rsidTr="00A27B9E">
        <w:tblPrEx>
          <w:tblW w:w="5000" w:type="pct"/>
          <w:tblLayout w:type="fixed"/>
          <w:tblCellMar>
            <w:left w:w="43" w:type="dxa"/>
            <w:right w:w="43" w:type="dxa"/>
          </w:tblCellMar>
          <w:tblLook w:val="04A0"/>
        </w:tblPrEx>
        <w:trPr>
          <w:cantSplit/>
          <w:tblHeader/>
        </w:trPr>
        <w:tc>
          <w:tcPr>
            <w:tcW w:w="1165" w:type="dxa"/>
            <w:tcMar>
              <w:left w:w="14" w:type="dxa"/>
              <w:right w:w="14" w:type="dxa"/>
            </w:tcMar>
          </w:tcPr>
          <w:p w:rsidR="00BB7053" w:rsidRPr="00A600E9" w:rsidP="0081082E" w14:paraId="573CF526" w14:textId="21432F27">
            <w:pPr>
              <w:pStyle w:val="Table10-ColumnHeading"/>
              <w:spacing w:before="0" w:after="0"/>
              <w:jc w:val="left"/>
            </w:pPr>
            <w:r w:rsidRPr="00A600E9">
              <w:t>Burden Category</w:t>
            </w:r>
          </w:p>
        </w:tc>
        <w:tc>
          <w:tcPr>
            <w:tcW w:w="1440" w:type="dxa"/>
            <w:tcMar>
              <w:left w:w="14" w:type="dxa"/>
              <w:right w:w="14" w:type="dxa"/>
            </w:tcMar>
          </w:tcPr>
          <w:p w:rsidR="00BB7053" w:rsidRPr="00A600E9" w:rsidP="0081082E" w14:paraId="58958B5E" w14:textId="62A9ACF6">
            <w:pPr>
              <w:pStyle w:val="Table10-ColumnHeading"/>
              <w:spacing w:before="0" w:after="0"/>
            </w:pPr>
            <w:r w:rsidRPr="00A600E9">
              <w:t>Total Annual Respondents</w:t>
            </w:r>
          </w:p>
        </w:tc>
        <w:tc>
          <w:tcPr>
            <w:tcW w:w="1260" w:type="dxa"/>
            <w:tcMar>
              <w:left w:w="14" w:type="dxa"/>
              <w:right w:w="14" w:type="dxa"/>
            </w:tcMar>
          </w:tcPr>
          <w:p w:rsidR="00BB7053" w:rsidRPr="00A600E9" w:rsidP="0081082E" w14:paraId="7C1089CF" w14:textId="5707D023">
            <w:pPr>
              <w:pStyle w:val="Table10-ColumnHeading"/>
              <w:spacing w:before="0" w:after="0"/>
            </w:pPr>
            <w:r w:rsidRPr="00A600E9">
              <w:t>Response Frequency (per year)</w:t>
            </w:r>
          </w:p>
        </w:tc>
        <w:tc>
          <w:tcPr>
            <w:tcW w:w="1170" w:type="dxa"/>
            <w:tcMar>
              <w:left w:w="14" w:type="dxa"/>
              <w:right w:w="14" w:type="dxa"/>
            </w:tcMar>
          </w:tcPr>
          <w:p w:rsidR="00BB7053" w:rsidRPr="00A600E9" w:rsidP="0081082E" w14:paraId="2183C349" w14:textId="737A2C8E">
            <w:pPr>
              <w:pStyle w:val="Table10-ColumnHeading"/>
              <w:spacing w:before="0" w:after="0"/>
            </w:pPr>
            <w:r w:rsidRPr="00A600E9">
              <w:t>Total Annual Responses</w:t>
            </w:r>
          </w:p>
        </w:tc>
        <w:tc>
          <w:tcPr>
            <w:tcW w:w="1080" w:type="dxa"/>
            <w:tcMar>
              <w:left w:w="14" w:type="dxa"/>
              <w:right w:w="14" w:type="dxa"/>
            </w:tcMar>
          </w:tcPr>
          <w:p w:rsidR="00BB7053" w:rsidRPr="00A600E9" w:rsidP="0081082E" w14:paraId="56E78F60" w14:textId="4E0A3E2C">
            <w:pPr>
              <w:pStyle w:val="Table10-ColumnHeading"/>
              <w:spacing w:before="0" w:after="0"/>
            </w:pPr>
            <w:r w:rsidRPr="00A600E9">
              <w:t>Time Per Response (hr)</w:t>
            </w:r>
          </w:p>
        </w:tc>
        <w:tc>
          <w:tcPr>
            <w:tcW w:w="1080" w:type="dxa"/>
            <w:tcMar>
              <w:left w:w="14" w:type="dxa"/>
              <w:right w:w="14" w:type="dxa"/>
            </w:tcMar>
          </w:tcPr>
          <w:p w:rsidR="00BB7053" w:rsidRPr="00A600E9" w:rsidP="0081082E" w14:paraId="0C743723" w14:textId="6EA86CC0">
            <w:pPr>
              <w:pStyle w:val="Table10-ColumnHeading"/>
              <w:spacing w:before="0" w:after="0"/>
            </w:pPr>
            <w:r w:rsidRPr="00A600E9">
              <w:t>Total Annual Time (hr)</w:t>
            </w:r>
          </w:p>
        </w:tc>
        <w:tc>
          <w:tcPr>
            <w:tcW w:w="1080" w:type="dxa"/>
            <w:tcMar>
              <w:left w:w="14" w:type="dxa"/>
              <w:right w:w="14" w:type="dxa"/>
            </w:tcMar>
          </w:tcPr>
          <w:p w:rsidR="00BB7053" w:rsidRPr="00A600E9" w:rsidP="0081082E" w14:paraId="6173E459" w14:textId="46C4B5B7">
            <w:pPr>
              <w:pStyle w:val="Table10-ColumnHeading"/>
              <w:spacing w:before="0" w:after="0"/>
            </w:pPr>
            <w:r w:rsidRPr="00A600E9">
              <w:t>Labor Cost ($/hr)</w:t>
            </w:r>
          </w:p>
        </w:tc>
        <w:tc>
          <w:tcPr>
            <w:tcW w:w="1075" w:type="dxa"/>
            <w:tcMar>
              <w:left w:w="14" w:type="dxa"/>
              <w:right w:w="14" w:type="dxa"/>
            </w:tcMar>
          </w:tcPr>
          <w:p w:rsidR="00BB7053" w:rsidRPr="00A600E9" w:rsidP="0081082E" w14:paraId="360C11BC" w14:textId="23120ABB">
            <w:pPr>
              <w:pStyle w:val="Table10-ColumnHeading"/>
              <w:spacing w:before="0" w:after="0"/>
            </w:pPr>
            <w:r w:rsidRPr="00A600E9">
              <w:t>Total</w:t>
            </w:r>
            <w:r w:rsidRPr="00A600E9" w:rsidR="005664AD">
              <w:t xml:space="preserve"> </w:t>
            </w:r>
            <w:r w:rsidRPr="00A600E9">
              <w:t>Annual Cost ($)</w:t>
            </w:r>
          </w:p>
        </w:tc>
      </w:tr>
      <w:tr w14:paraId="1AB7D727" w14:textId="77777777" w:rsidTr="00A27B9E">
        <w:tblPrEx>
          <w:tblW w:w="5000" w:type="pct"/>
          <w:tblLayout w:type="fixed"/>
          <w:tblCellMar>
            <w:left w:w="43" w:type="dxa"/>
            <w:right w:w="43" w:type="dxa"/>
          </w:tblCellMar>
          <w:tblLook w:val="04A0"/>
        </w:tblPrEx>
        <w:trPr>
          <w:cantSplit/>
        </w:trPr>
        <w:tc>
          <w:tcPr>
            <w:tcW w:w="1165" w:type="dxa"/>
          </w:tcPr>
          <w:p w:rsidR="00D64B9C" w:rsidRPr="00BB7053" w:rsidP="0081082E" w14:paraId="0A918F2B" w14:textId="592338DE">
            <w:pPr>
              <w:pStyle w:val="Table10Basic"/>
              <w:spacing w:before="0" w:after="0"/>
            </w:pPr>
            <w:r>
              <w:t xml:space="preserve">Currently Approved </w:t>
            </w:r>
          </w:p>
        </w:tc>
        <w:tc>
          <w:tcPr>
            <w:tcW w:w="1440" w:type="dxa"/>
          </w:tcPr>
          <w:p w:rsidR="00D64B9C" w:rsidRPr="002C057F" w:rsidP="0081082E" w14:paraId="0D2E2331" w14:textId="28496CCB">
            <w:pPr>
              <w:pStyle w:val="Table10Basic"/>
              <w:spacing w:before="0" w:after="0"/>
              <w:jc w:val="center"/>
            </w:pPr>
            <w:r w:rsidRPr="002C057F">
              <w:t>84</w:t>
            </w:r>
          </w:p>
        </w:tc>
        <w:tc>
          <w:tcPr>
            <w:tcW w:w="1260" w:type="dxa"/>
          </w:tcPr>
          <w:p w:rsidR="00D64B9C" w:rsidRPr="002C057F" w:rsidP="0081082E" w14:paraId="3E08B59D" w14:textId="23DF64BD">
            <w:pPr>
              <w:pStyle w:val="Table10Basic"/>
              <w:spacing w:before="0" w:after="0"/>
              <w:jc w:val="center"/>
            </w:pPr>
            <w:r w:rsidRPr="002C057F">
              <w:t>1</w:t>
            </w:r>
          </w:p>
        </w:tc>
        <w:tc>
          <w:tcPr>
            <w:tcW w:w="1170" w:type="dxa"/>
          </w:tcPr>
          <w:p w:rsidR="00D64B9C" w:rsidRPr="002C057F" w:rsidP="0081082E" w14:paraId="6F2C2551" w14:textId="4C287AF4">
            <w:pPr>
              <w:pStyle w:val="Table10Basic"/>
              <w:spacing w:before="0" w:after="0"/>
              <w:jc w:val="center"/>
            </w:pPr>
            <w:r w:rsidRPr="002C057F">
              <w:t>84</w:t>
            </w:r>
          </w:p>
        </w:tc>
        <w:tc>
          <w:tcPr>
            <w:tcW w:w="1080" w:type="dxa"/>
          </w:tcPr>
          <w:p w:rsidR="00D64B9C" w:rsidRPr="002C057F" w:rsidP="0081082E" w14:paraId="0BA09A1A" w14:textId="4801C9BE">
            <w:pPr>
              <w:pStyle w:val="Table10Basic"/>
              <w:spacing w:before="0" w:after="0"/>
              <w:jc w:val="center"/>
            </w:pPr>
            <w:r w:rsidRPr="002C057F">
              <w:t>0.5</w:t>
            </w:r>
          </w:p>
        </w:tc>
        <w:tc>
          <w:tcPr>
            <w:tcW w:w="1080" w:type="dxa"/>
          </w:tcPr>
          <w:p w:rsidR="00D64B9C" w:rsidRPr="002C057F" w:rsidP="0081082E" w14:paraId="2B448CB9" w14:textId="07A55578">
            <w:pPr>
              <w:pStyle w:val="Table10Basic"/>
              <w:spacing w:before="0" w:after="0"/>
              <w:jc w:val="center"/>
            </w:pPr>
            <w:r w:rsidRPr="002C057F">
              <w:t>42</w:t>
            </w:r>
          </w:p>
        </w:tc>
        <w:tc>
          <w:tcPr>
            <w:tcW w:w="1080" w:type="dxa"/>
          </w:tcPr>
          <w:p w:rsidR="00D64B9C" w:rsidRPr="002C057F" w:rsidP="0081082E" w14:paraId="7FD74E4C" w14:textId="7E9A75E3">
            <w:pPr>
              <w:pStyle w:val="Table10Basic"/>
              <w:spacing w:before="0" w:after="0"/>
              <w:jc w:val="center"/>
            </w:pPr>
            <w:r w:rsidRPr="002C057F">
              <w:t>106.54</w:t>
            </w:r>
          </w:p>
        </w:tc>
        <w:tc>
          <w:tcPr>
            <w:tcW w:w="1075" w:type="dxa"/>
          </w:tcPr>
          <w:p w:rsidR="00D64B9C" w:rsidRPr="002C057F" w:rsidP="0081082E" w14:paraId="01E3C98D" w14:textId="32B2E943">
            <w:pPr>
              <w:pStyle w:val="Table10Basic"/>
              <w:spacing w:before="0" w:after="0"/>
              <w:jc w:val="center"/>
            </w:pPr>
            <w:r w:rsidRPr="002C057F">
              <w:t>4,</w:t>
            </w:r>
            <w:r w:rsidRPr="002C057F" w:rsidR="00D96B76">
              <w:t>475</w:t>
            </w:r>
          </w:p>
        </w:tc>
      </w:tr>
      <w:tr w14:paraId="1FB22BD0" w14:textId="77777777" w:rsidTr="00A27B9E">
        <w:tblPrEx>
          <w:tblW w:w="5000" w:type="pct"/>
          <w:tblLayout w:type="fixed"/>
          <w:tblCellMar>
            <w:left w:w="43" w:type="dxa"/>
            <w:right w:w="43" w:type="dxa"/>
          </w:tblCellMar>
          <w:tblLook w:val="04A0"/>
        </w:tblPrEx>
        <w:trPr>
          <w:cantSplit/>
        </w:trPr>
        <w:tc>
          <w:tcPr>
            <w:tcW w:w="1165" w:type="dxa"/>
          </w:tcPr>
          <w:p w:rsidR="00BB7053" w:rsidRPr="00BB7053" w:rsidP="0081082E" w14:paraId="19C5BE1A" w14:textId="7C151F90">
            <w:pPr>
              <w:pStyle w:val="Table10Basic"/>
              <w:spacing w:before="0" w:after="0"/>
            </w:pPr>
            <w:r>
              <w:t xml:space="preserve">Requested </w:t>
            </w:r>
            <w:r w:rsidRPr="00A67FD9" w:rsidR="00A67FD9">
              <w:t>(See Table 3)</w:t>
            </w:r>
          </w:p>
        </w:tc>
        <w:tc>
          <w:tcPr>
            <w:tcW w:w="1440" w:type="dxa"/>
          </w:tcPr>
          <w:p w:rsidR="00BB7053" w:rsidRPr="002C057F" w:rsidP="0081082E" w14:paraId="521AA823" w14:textId="414BC62E">
            <w:pPr>
              <w:pStyle w:val="Table10Basic"/>
              <w:spacing w:before="0" w:after="0"/>
              <w:jc w:val="center"/>
            </w:pPr>
            <w:r w:rsidRPr="002C057F">
              <w:t>7</w:t>
            </w:r>
            <w:r w:rsidRPr="002C057F" w:rsidR="009E69E3">
              <w:t>4</w:t>
            </w:r>
          </w:p>
        </w:tc>
        <w:tc>
          <w:tcPr>
            <w:tcW w:w="1260" w:type="dxa"/>
          </w:tcPr>
          <w:p w:rsidR="00BB7053" w:rsidRPr="002C057F" w:rsidP="0081082E" w14:paraId="63B1257F" w14:textId="7B5A1243">
            <w:pPr>
              <w:pStyle w:val="Table10Basic"/>
              <w:spacing w:before="0" w:after="0"/>
              <w:jc w:val="center"/>
            </w:pPr>
            <w:r w:rsidRPr="002C057F">
              <w:t>1</w:t>
            </w:r>
          </w:p>
        </w:tc>
        <w:tc>
          <w:tcPr>
            <w:tcW w:w="1170" w:type="dxa"/>
          </w:tcPr>
          <w:p w:rsidR="00BB7053" w:rsidRPr="002C057F" w:rsidP="0081082E" w14:paraId="1DF870BA" w14:textId="12FEA4E9">
            <w:pPr>
              <w:pStyle w:val="Table10Basic"/>
              <w:spacing w:before="0" w:after="0"/>
              <w:jc w:val="center"/>
            </w:pPr>
            <w:r w:rsidRPr="002C057F">
              <w:t>7</w:t>
            </w:r>
            <w:r w:rsidRPr="002C057F" w:rsidR="009E69E3">
              <w:t>4</w:t>
            </w:r>
          </w:p>
        </w:tc>
        <w:tc>
          <w:tcPr>
            <w:tcW w:w="1080" w:type="dxa"/>
          </w:tcPr>
          <w:p w:rsidR="00BB7053" w:rsidRPr="002C057F" w:rsidP="0081082E" w14:paraId="5F093F26" w14:textId="1DBC544D">
            <w:pPr>
              <w:pStyle w:val="Table10Basic"/>
              <w:spacing w:before="0" w:after="0"/>
              <w:jc w:val="center"/>
            </w:pPr>
            <w:r w:rsidRPr="002C057F">
              <w:t>0.5</w:t>
            </w:r>
          </w:p>
        </w:tc>
        <w:tc>
          <w:tcPr>
            <w:tcW w:w="1080" w:type="dxa"/>
          </w:tcPr>
          <w:p w:rsidR="00BB7053" w:rsidRPr="002C057F" w:rsidP="0081082E" w14:paraId="00C87BC3" w14:textId="4E093C16">
            <w:pPr>
              <w:pStyle w:val="Table10Basic"/>
              <w:spacing w:before="0" w:after="0"/>
              <w:jc w:val="center"/>
            </w:pPr>
            <w:r w:rsidRPr="002C057F">
              <w:t>3</w:t>
            </w:r>
            <w:r w:rsidRPr="002C057F" w:rsidR="00D57451">
              <w:t>7</w:t>
            </w:r>
          </w:p>
        </w:tc>
        <w:tc>
          <w:tcPr>
            <w:tcW w:w="1080" w:type="dxa"/>
          </w:tcPr>
          <w:p w:rsidR="00BB7053" w:rsidRPr="002C057F" w:rsidP="0081082E" w14:paraId="26408AFC" w14:textId="36B090D7">
            <w:pPr>
              <w:pStyle w:val="Table10Basic"/>
              <w:spacing w:before="0" w:after="0"/>
              <w:jc w:val="center"/>
            </w:pPr>
            <w:r w:rsidRPr="002C057F">
              <w:t>106.54</w:t>
            </w:r>
          </w:p>
        </w:tc>
        <w:tc>
          <w:tcPr>
            <w:tcW w:w="1075" w:type="dxa"/>
          </w:tcPr>
          <w:p w:rsidR="00BB7053" w:rsidRPr="002C057F" w:rsidP="0081082E" w14:paraId="1520A04B" w14:textId="2FC3CDAC">
            <w:pPr>
              <w:pStyle w:val="Table10Basic"/>
              <w:spacing w:before="0" w:after="0"/>
              <w:jc w:val="center"/>
            </w:pPr>
            <w:r w:rsidRPr="002C057F">
              <w:t>3,942</w:t>
            </w:r>
          </w:p>
        </w:tc>
      </w:tr>
      <w:tr w14:paraId="63668DB0" w14:textId="77777777" w:rsidTr="00A27B9E">
        <w:tblPrEx>
          <w:tblW w:w="5000" w:type="pct"/>
          <w:tblLayout w:type="fixed"/>
          <w:tblCellMar>
            <w:left w:w="43" w:type="dxa"/>
            <w:right w:w="43" w:type="dxa"/>
          </w:tblCellMar>
          <w:tblLook w:val="04A0"/>
        </w:tblPrEx>
        <w:trPr>
          <w:cantSplit/>
        </w:trPr>
        <w:tc>
          <w:tcPr>
            <w:tcW w:w="1165" w:type="dxa"/>
            <w:shd w:val="clear" w:color="auto" w:fill="D9D9D9" w:themeFill="background1" w:themeFillShade="D9"/>
          </w:tcPr>
          <w:p w:rsidR="00BB7053" w:rsidRPr="00BB7053" w:rsidP="0081082E" w14:paraId="11477C21" w14:textId="30EF3211">
            <w:pPr>
              <w:pStyle w:val="Table10Basic"/>
              <w:spacing w:before="0" w:after="0"/>
            </w:pPr>
            <w:r>
              <w:t>Adjustment</w:t>
            </w:r>
          </w:p>
        </w:tc>
        <w:tc>
          <w:tcPr>
            <w:tcW w:w="1440" w:type="dxa"/>
            <w:shd w:val="clear" w:color="auto" w:fill="D9D9D9" w:themeFill="background1" w:themeFillShade="D9"/>
          </w:tcPr>
          <w:p w:rsidR="00BB7053" w:rsidRPr="002C057F" w:rsidP="0081082E" w14:paraId="7E71CA99" w14:textId="05B6192D">
            <w:pPr>
              <w:pStyle w:val="Table10Basic"/>
              <w:spacing w:before="0" w:after="0"/>
              <w:jc w:val="center"/>
            </w:pPr>
            <w:r w:rsidRPr="002C057F">
              <w:t>-</w:t>
            </w:r>
            <w:r w:rsidRPr="002C057F" w:rsidR="009E69E3">
              <w:t>10</w:t>
            </w:r>
          </w:p>
        </w:tc>
        <w:tc>
          <w:tcPr>
            <w:tcW w:w="1260" w:type="dxa"/>
            <w:shd w:val="clear" w:color="auto" w:fill="D9D9D9" w:themeFill="background1" w:themeFillShade="D9"/>
          </w:tcPr>
          <w:p w:rsidR="00BB7053" w:rsidRPr="002C057F" w:rsidP="0081082E" w14:paraId="6E765883" w14:textId="623DADF8">
            <w:pPr>
              <w:pStyle w:val="Table10Basic"/>
              <w:spacing w:before="0" w:after="0"/>
              <w:jc w:val="center"/>
            </w:pPr>
            <w:r w:rsidRPr="002C057F">
              <w:t>No change</w:t>
            </w:r>
          </w:p>
        </w:tc>
        <w:tc>
          <w:tcPr>
            <w:tcW w:w="1170" w:type="dxa"/>
            <w:shd w:val="clear" w:color="auto" w:fill="D9D9D9" w:themeFill="background1" w:themeFillShade="D9"/>
          </w:tcPr>
          <w:p w:rsidR="00BB7053" w:rsidRPr="002C057F" w:rsidP="0081082E" w14:paraId="4D2E84A9" w14:textId="35F09715">
            <w:pPr>
              <w:pStyle w:val="Table10Basic"/>
              <w:spacing w:before="0" w:after="0"/>
              <w:jc w:val="center"/>
            </w:pPr>
            <w:r w:rsidRPr="002C057F">
              <w:t>-</w:t>
            </w:r>
            <w:r w:rsidRPr="002C057F" w:rsidR="009E69E3">
              <w:t>10</w:t>
            </w:r>
          </w:p>
        </w:tc>
        <w:tc>
          <w:tcPr>
            <w:tcW w:w="1080" w:type="dxa"/>
            <w:shd w:val="clear" w:color="auto" w:fill="D9D9D9" w:themeFill="background1" w:themeFillShade="D9"/>
          </w:tcPr>
          <w:p w:rsidR="00BB7053" w:rsidRPr="002C057F" w:rsidP="0081082E" w14:paraId="0CA436F7" w14:textId="54534EC9">
            <w:pPr>
              <w:pStyle w:val="Table10Basic"/>
              <w:spacing w:before="0" w:after="0"/>
              <w:jc w:val="center"/>
            </w:pPr>
            <w:r w:rsidRPr="002C057F">
              <w:t>n/a</w:t>
            </w:r>
          </w:p>
        </w:tc>
        <w:tc>
          <w:tcPr>
            <w:tcW w:w="1080" w:type="dxa"/>
            <w:shd w:val="clear" w:color="auto" w:fill="D9D9D9" w:themeFill="background1" w:themeFillShade="D9"/>
          </w:tcPr>
          <w:p w:rsidR="00BB7053" w:rsidRPr="002C057F" w:rsidP="0081082E" w14:paraId="12DD66F8" w14:textId="69E0E242">
            <w:pPr>
              <w:pStyle w:val="Table10Basic"/>
              <w:spacing w:before="0" w:after="0"/>
              <w:jc w:val="center"/>
            </w:pPr>
            <w:r w:rsidRPr="002C057F">
              <w:t>-</w:t>
            </w:r>
            <w:r w:rsidRPr="002C057F" w:rsidR="00D57451">
              <w:t>5</w:t>
            </w:r>
          </w:p>
        </w:tc>
        <w:tc>
          <w:tcPr>
            <w:tcW w:w="1080" w:type="dxa"/>
            <w:shd w:val="clear" w:color="auto" w:fill="D9D9D9" w:themeFill="background1" w:themeFillShade="D9"/>
          </w:tcPr>
          <w:p w:rsidR="00BB7053" w:rsidRPr="002C057F" w:rsidP="0081082E" w14:paraId="52C3E546" w14:textId="1FB01A42">
            <w:pPr>
              <w:pStyle w:val="Table10Basic"/>
              <w:spacing w:before="0" w:after="0"/>
              <w:jc w:val="center"/>
            </w:pPr>
            <w:r w:rsidRPr="002C057F">
              <w:t>No change</w:t>
            </w:r>
          </w:p>
        </w:tc>
        <w:tc>
          <w:tcPr>
            <w:tcW w:w="1075" w:type="dxa"/>
            <w:shd w:val="clear" w:color="auto" w:fill="D9D9D9" w:themeFill="background1" w:themeFillShade="D9"/>
          </w:tcPr>
          <w:p w:rsidR="00BB7053" w:rsidRPr="002C057F" w:rsidP="0081082E" w14:paraId="403F9C93" w14:textId="7354F1D0">
            <w:pPr>
              <w:pStyle w:val="Table10Basic"/>
              <w:spacing w:before="0" w:after="0"/>
              <w:jc w:val="center"/>
            </w:pPr>
            <w:r w:rsidRPr="002C057F">
              <w:t>-</w:t>
            </w:r>
            <w:r w:rsidRPr="002C057F" w:rsidR="00B62421">
              <w:t>533</w:t>
            </w:r>
          </w:p>
        </w:tc>
      </w:tr>
    </w:tbl>
    <w:p w:rsidR="00806117" w:rsidRPr="00B7366A" w:rsidP="00361BB4" w14:paraId="305C9A02" w14:textId="14A4C91F">
      <w:pPr>
        <w:pStyle w:val="ExhibitTitle"/>
        <w:rPr>
          <w:rFonts w:eastAsia="Calibri"/>
          <w:b w:val="0"/>
          <w:bCs/>
        </w:rPr>
      </w:pPr>
      <w:bookmarkStart w:id="198" w:name="_Hlk107401733"/>
      <w:r w:rsidRPr="00B7366A">
        <w:rPr>
          <w:rFonts w:eastAsia="Calibri"/>
          <w:b w:val="0"/>
          <w:bCs/>
        </w:rPr>
        <w:t>T</w:t>
      </w:r>
      <w:r w:rsidRPr="00B7366A" w:rsidR="27C0A852">
        <w:rPr>
          <w:rFonts w:eastAsia="Calibri"/>
          <w:b w:val="0"/>
          <w:bCs/>
        </w:rPr>
        <w:t>able</w:t>
      </w:r>
      <w:r w:rsidRPr="00B7366A">
        <w:rPr>
          <w:rFonts w:eastAsia="Calibri"/>
          <w:b w:val="0"/>
          <w:bCs/>
        </w:rPr>
        <w:t xml:space="preserve"> </w:t>
      </w:r>
      <w:r w:rsidRPr="00B7366A" w:rsidR="5A15C2ED">
        <w:rPr>
          <w:rFonts w:eastAsia="Calibri"/>
          <w:b w:val="0"/>
          <w:bCs/>
        </w:rPr>
        <w:t>3</w:t>
      </w:r>
      <w:r w:rsidRPr="00B7366A" w:rsidR="38836F13">
        <w:rPr>
          <w:rFonts w:eastAsia="Calibri"/>
          <w:b w:val="0"/>
          <w:bCs/>
        </w:rPr>
        <w:t>0</w:t>
      </w:r>
      <w:r w:rsidRPr="00B7366A" w:rsidR="2F282953">
        <w:rPr>
          <w:rFonts w:eastAsia="Calibri"/>
          <w:b w:val="0"/>
          <w:bCs/>
        </w:rPr>
        <w:t>B</w:t>
      </w:r>
      <w:r w:rsidRPr="00B7366A">
        <w:rPr>
          <w:rFonts w:eastAsia="Calibri"/>
          <w:b w:val="0"/>
          <w:bCs/>
        </w:rPr>
        <w:t xml:space="preserve">: </w:t>
      </w:r>
      <w:r w:rsidRPr="00B7366A" w:rsidR="50C98CC3">
        <w:rPr>
          <w:rFonts w:eastAsia="Calibri"/>
          <w:b w:val="0"/>
          <w:bCs/>
        </w:rPr>
        <w:t xml:space="preserve">Burden Reconciliation for </w:t>
      </w:r>
      <w:r w:rsidRPr="00B7366A" w:rsidR="5D4F560A">
        <w:rPr>
          <w:rFonts w:eastAsia="Calibri"/>
          <w:b w:val="0"/>
          <w:bCs/>
        </w:rPr>
        <w:t xml:space="preserve">Full </w:t>
      </w:r>
      <w:r w:rsidRPr="00B7366A" w:rsidR="50C98CC3">
        <w:rPr>
          <w:rFonts w:eastAsia="Calibri"/>
          <w:b w:val="0"/>
          <w:bCs/>
        </w:rPr>
        <w:t>Qualified Registry Self-Nomination</w:t>
      </w:r>
    </w:p>
    <w:tbl>
      <w:tblPr>
        <w:tblStyle w:val="TableGrid"/>
        <w:tblDescription w:val="Table 30B: the estimated change in burden to our currently approved burden estimates for the full qualified registry self-nomination."/>
        <w:tblW w:w="9265" w:type="dxa"/>
        <w:tblLayout w:type="fixed"/>
        <w:tblLook w:val="04A0"/>
      </w:tblPr>
      <w:tblGrid>
        <w:gridCol w:w="1255"/>
        <w:gridCol w:w="1350"/>
        <w:gridCol w:w="1260"/>
        <w:gridCol w:w="1170"/>
        <w:gridCol w:w="1080"/>
        <w:gridCol w:w="1080"/>
        <w:gridCol w:w="1080"/>
        <w:gridCol w:w="990"/>
      </w:tblGrid>
      <w:tr w14:paraId="0428B4BC" w14:textId="77777777" w:rsidTr="0081082E">
        <w:tblPrEx>
          <w:tblW w:w="9265" w:type="dxa"/>
          <w:tblLayout w:type="fixed"/>
          <w:tblLook w:val="04A0"/>
        </w:tblPrEx>
        <w:trPr>
          <w:cantSplit/>
          <w:trHeight w:val="20"/>
          <w:tblHeader/>
        </w:trPr>
        <w:tc>
          <w:tcPr>
            <w:tcW w:w="1255" w:type="dxa"/>
            <w:tcMar>
              <w:left w:w="14" w:type="dxa"/>
              <w:right w:w="14" w:type="dxa"/>
            </w:tcMar>
          </w:tcPr>
          <w:p w:rsidR="00806117" w:rsidRPr="00C748DF" w:rsidP="0081082E" w14:paraId="6218DBA4" w14:textId="77777777">
            <w:pPr>
              <w:pStyle w:val="Table10-ColumnHeading"/>
              <w:spacing w:before="0" w:after="0"/>
              <w:jc w:val="left"/>
            </w:pPr>
            <w:r w:rsidRPr="00C748DF">
              <w:t>Burden Category</w:t>
            </w:r>
          </w:p>
        </w:tc>
        <w:tc>
          <w:tcPr>
            <w:tcW w:w="1350" w:type="dxa"/>
            <w:tcMar>
              <w:left w:w="14" w:type="dxa"/>
              <w:right w:w="14" w:type="dxa"/>
            </w:tcMar>
          </w:tcPr>
          <w:p w:rsidR="00806117" w:rsidRPr="00B216EC" w:rsidP="0081082E" w14:paraId="6EAF143E" w14:textId="77777777">
            <w:pPr>
              <w:pStyle w:val="Table10-ColumnHeading"/>
              <w:spacing w:before="0" w:after="0"/>
              <w:ind w:left="-30" w:right="-20"/>
            </w:pPr>
            <w:r w:rsidRPr="00B216EC">
              <w:t>Total Annual Respondents</w:t>
            </w:r>
          </w:p>
        </w:tc>
        <w:tc>
          <w:tcPr>
            <w:tcW w:w="1260" w:type="dxa"/>
            <w:tcMar>
              <w:left w:w="14" w:type="dxa"/>
              <w:right w:w="14" w:type="dxa"/>
            </w:tcMar>
          </w:tcPr>
          <w:p w:rsidR="00806117" w:rsidRPr="00B216EC" w:rsidP="0081082E" w14:paraId="4DA87D6B" w14:textId="77777777">
            <w:pPr>
              <w:pStyle w:val="Table10-ColumnHeading"/>
              <w:spacing w:before="0" w:after="0"/>
              <w:ind w:left="-30" w:right="-20"/>
            </w:pPr>
            <w:r w:rsidRPr="00B216EC">
              <w:t>Response Frequency (per year)</w:t>
            </w:r>
          </w:p>
        </w:tc>
        <w:tc>
          <w:tcPr>
            <w:tcW w:w="1170" w:type="dxa"/>
            <w:tcMar>
              <w:left w:w="14" w:type="dxa"/>
              <w:right w:w="14" w:type="dxa"/>
            </w:tcMar>
          </w:tcPr>
          <w:p w:rsidR="00806117" w:rsidRPr="00B216EC" w:rsidP="0081082E" w14:paraId="53E0451E" w14:textId="77777777">
            <w:pPr>
              <w:pStyle w:val="Table10-ColumnHeading"/>
              <w:spacing w:before="0" w:after="0"/>
              <w:ind w:left="-30" w:right="-20"/>
            </w:pPr>
            <w:r w:rsidRPr="00B216EC">
              <w:t>Total Annual Responses</w:t>
            </w:r>
          </w:p>
        </w:tc>
        <w:tc>
          <w:tcPr>
            <w:tcW w:w="1080" w:type="dxa"/>
            <w:tcMar>
              <w:left w:w="14" w:type="dxa"/>
              <w:right w:w="14" w:type="dxa"/>
            </w:tcMar>
          </w:tcPr>
          <w:p w:rsidR="00806117" w:rsidRPr="00B216EC" w:rsidP="0081082E" w14:paraId="5DC8622B" w14:textId="77777777">
            <w:pPr>
              <w:pStyle w:val="Table10-ColumnHeading"/>
              <w:spacing w:before="0" w:after="0"/>
              <w:ind w:left="-30" w:right="-20"/>
            </w:pPr>
            <w:r w:rsidRPr="00B216EC">
              <w:t>Time Per Response (hr)</w:t>
            </w:r>
          </w:p>
        </w:tc>
        <w:tc>
          <w:tcPr>
            <w:tcW w:w="1080" w:type="dxa"/>
            <w:tcMar>
              <w:left w:w="14" w:type="dxa"/>
              <w:right w:w="14" w:type="dxa"/>
            </w:tcMar>
          </w:tcPr>
          <w:p w:rsidR="00806117" w:rsidRPr="00B216EC" w:rsidP="0081082E" w14:paraId="6B6AF664" w14:textId="77777777">
            <w:pPr>
              <w:pStyle w:val="Table10-ColumnHeading"/>
              <w:spacing w:before="0" w:after="0"/>
              <w:ind w:left="-30" w:right="-20"/>
            </w:pPr>
            <w:r w:rsidRPr="00B216EC">
              <w:t>Total Annual Time (hr)</w:t>
            </w:r>
          </w:p>
        </w:tc>
        <w:tc>
          <w:tcPr>
            <w:tcW w:w="1080" w:type="dxa"/>
            <w:tcMar>
              <w:left w:w="14" w:type="dxa"/>
              <w:right w:w="14" w:type="dxa"/>
            </w:tcMar>
          </w:tcPr>
          <w:p w:rsidR="00806117" w:rsidRPr="00B216EC" w:rsidP="0081082E" w14:paraId="017B5451" w14:textId="77777777">
            <w:pPr>
              <w:pStyle w:val="Table10-ColumnHeading"/>
              <w:spacing w:before="0" w:after="0"/>
              <w:ind w:left="-30" w:right="-20"/>
            </w:pPr>
            <w:r w:rsidRPr="00B216EC">
              <w:t>Labor Cost ($/hr)</w:t>
            </w:r>
          </w:p>
        </w:tc>
        <w:tc>
          <w:tcPr>
            <w:tcW w:w="990" w:type="dxa"/>
            <w:tcMar>
              <w:left w:w="14" w:type="dxa"/>
              <w:right w:w="14" w:type="dxa"/>
            </w:tcMar>
          </w:tcPr>
          <w:p w:rsidR="00806117" w:rsidRPr="00B216EC" w:rsidP="0081082E" w14:paraId="735E4FCF" w14:textId="77777777">
            <w:pPr>
              <w:pStyle w:val="Table10-ColumnHeading"/>
              <w:spacing w:before="0" w:after="0"/>
              <w:ind w:left="-30" w:right="-20"/>
            </w:pPr>
            <w:r w:rsidRPr="00B216EC">
              <w:t>Total Annual Cost ($)</w:t>
            </w:r>
          </w:p>
        </w:tc>
      </w:tr>
      <w:tr w14:paraId="56FAA08A" w14:textId="77777777" w:rsidTr="0081082E">
        <w:tblPrEx>
          <w:tblW w:w="9265" w:type="dxa"/>
          <w:tblLayout w:type="fixed"/>
          <w:tblLook w:val="04A0"/>
        </w:tblPrEx>
        <w:trPr>
          <w:cantSplit/>
          <w:trHeight w:val="20"/>
        </w:trPr>
        <w:tc>
          <w:tcPr>
            <w:tcW w:w="1255" w:type="dxa"/>
          </w:tcPr>
          <w:p w:rsidR="006217FF" w:rsidRPr="00BB7053" w:rsidP="0081082E" w14:paraId="28AA4AF8" w14:textId="77777777">
            <w:pPr>
              <w:pStyle w:val="Table10Basic"/>
              <w:keepNext/>
              <w:spacing w:before="0" w:after="0"/>
            </w:pPr>
            <w:r>
              <w:t xml:space="preserve">Currently Approved </w:t>
            </w:r>
          </w:p>
        </w:tc>
        <w:tc>
          <w:tcPr>
            <w:tcW w:w="1350" w:type="dxa"/>
          </w:tcPr>
          <w:p w:rsidR="006217FF" w:rsidRPr="00BB7053" w:rsidP="0081082E" w14:paraId="280AC830" w14:textId="10C45712">
            <w:pPr>
              <w:pStyle w:val="Table10Centered"/>
              <w:keepNext/>
              <w:spacing w:before="0" w:after="0"/>
              <w:ind w:left="-30" w:right="-20"/>
            </w:pPr>
            <w:r>
              <w:t>27</w:t>
            </w:r>
          </w:p>
        </w:tc>
        <w:tc>
          <w:tcPr>
            <w:tcW w:w="1260" w:type="dxa"/>
          </w:tcPr>
          <w:p w:rsidR="006217FF" w:rsidRPr="00BB7053" w:rsidP="0081082E" w14:paraId="40AEA6D7" w14:textId="574D18D7">
            <w:pPr>
              <w:pStyle w:val="Table10Centered"/>
              <w:keepNext/>
              <w:spacing w:before="0" w:after="0"/>
              <w:ind w:left="-30" w:right="-20"/>
            </w:pPr>
            <w:r>
              <w:t>1</w:t>
            </w:r>
          </w:p>
        </w:tc>
        <w:tc>
          <w:tcPr>
            <w:tcW w:w="1170" w:type="dxa"/>
          </w:tcPr>
          <w:p w:rsidR="006217FF" w:rsidRPr="00BB7053" w:rsidP="0081082E" w14:paraId="074351F0" w14:textId="43BEDF00">
            <w:pPr>
              <w:pStyle w:val="Table10Centered"/>
              <w:keepNext/>
              <w:spacing w:before="0" w:after="0"/>
              <w:ind w:left="-30" w:right="-20"/>
            </w:pPr>
            <w:r>
              <w:t>27</w:t>
            </w:r>
          </w:p>
        </w:tc>
        <w:tc>
          <w:tcPr>
            <w:tcW w:w="1080" w:type="dxa"/>
          </w:tcPr>
          <w:p w:rsidR="006217FF" w:rsidRPr="00BB7053" w:rsidP="0081082E" w14:paraId="3CAB10C5" w14:textId="0C7DD640">
            <w:pPr>
              <w:pStyle w:val="Table10Centered"/>
              <w:keepNext/>
              <w:spacing w:before="0" w:after="0"/>
              <w:ind w:left="-30" w:right="-20"/>
            </w:pPr>
            <w:r>
              <w:t>2</w:t>
            </w:r>
          </w:p>
        </w:tc>
        <w:tc>
          <w:tcPr>
            <w:tcW w:w="1080" w:type="dxa"/>
          </w:tcPr>
          <w:p w:rsidR="006217FF" w:rsidRPr="00BB7053" w:rsidP="0081082E" w14:paraId="09AF3255" w14:textId="52910128">
            <w:pPr>
              <w:pStyle w:val="Table10Centered"/>
              <w:keepNext/>
              <w:spacing w:before="0" w:after="0"/>
              <w:ind w:left="-30" w:right="-20"/>
            </w:pPr>
            <w:r>
              <w:t>54</w:t>
            </w:r>
          </w:p>
        </w:tc>
        <w:tc>
          <w:tcPr>
            <w:tcW w:w="1080" w:type="dxa"/>
          </w:tcPr>
          <w:p w:rsidR="006217FF" w:rsidRPr="00BB7053" w:rsidP="0081082E" w14:paraId="212A9569" w14:textId="5E0612C1">
            <w:pPr>
              <w:pStyle w:val="Table10Centered"/>
              <w:keepNext/>
              <w:spacing w:before="0" w:after="0"/>
              <w:ind w:left="-30" w:right="-20"/>
            </w:pPr>
            <w:r>
              <w:t>106.54</w:t>
            </w:r>
          </w:p>
        </w:tc>
        <w:tc>
          <w:tcPr>
            <w:tcW w:w="990" w:type="dxa"/>
          </w:tcPr>
          <w:p w:rsidR="006217FF" w:rsidRPr="00BB7053" w:rsidP="0081082E" w14:paraId="79B2AF43" w14:textId="448632CF">
            <w:pPr>
              <w:pStyle w:val="Table10Centered"/>
              <w:keepNext/>
              <w:spacing w:before="0" w:after="0"/>
              <w:ind w:left="-30" w:right="-20"/>
            </w:pPr>
            <w:r>
              <w:t>5,753</w:t>
            </w:r>
          </w:p>
        </w:tc>
      </w:tr>
      <w:tr w14:paraId="06F8823C" w14:textId="77777777" w:rsidTr="0081082E">
        <w:tblPrEx>
          <w:tblW w:w="9265" w:type="dxa"/>
          <w:tblLayout w:type="fixed"/>
          <w:tblLook w:val="04A0"/>
        </w:tblPrEx>
        <w:trPr>
          <w:cantSplit/>
          <w:trHeight w:val="20"/>
        </w:trPr>
        <w:tc>
          <w:tcPr>
            <w:tcW w:w="1255" w:type="dxa"/>
          </w:tcPr>
          <w:p w:rsidR="00806117" w:rsidRPr="00BB7053" w:rsidP="0081082E" w14:paraId="67EDAA11" w14:textId="2CA187D2">
            <w:pPr>
              <w:pStyle w:val="Table10Basic"/>
              <w:keepNext/>
              <w:spacing w:before="0" w:after="0"/>
              <w:ind w:left="-20" w:right="-20"/>
            </w:pPr>
            <w:r>
              <w:t>Requested</w:t>
            </w:r>
            <w:r>
              <w:t xml:space="preserve"> </w:t>
            </w:r>
            <w:r w:rsidRPr="00A67FD9">
              <w:t xml:space="preserve">(See Table </w:t>
            </w:r>
            <w:r>
              <w:t>4</w:t>
            </w:r>
            <w:r w:rsidRPr="00A67FD9">
              <w:t>)</w:t>
            </w:r>
          </w:p>
        </w:tc>
        <w:tc>
          <w:tcPr>
            <w:tcW w:w="1350" w:type="dxa"/>
          </w:tcPr>
          <w:p w:rsidR="00806117" w:rsidRPr="002C057F" w:rsidP="0081082E" w14:paraId="23A24983" w14:textId="1CCDB1B9">
            <w:pPr>
              <w:pStyle w:val="Table10Centered"/>
              <w:keepNext/>
              <w:spacing w:before="0" w:after="0"/>
              <w:ind w:left="-30" w:right="-20"/>
            </w:pPr>
            <w:r w:rsidRPr="002C057F">
              <w:t>14</w:t>
            </w:r>
          </w:p>
        </w:tc>
        <w:tc>
          <w:tcPr>
            <w:tcW w:w="1260" w:type="dxa"/>
          </w:tcPr>
          <w:p w:rsidR="00806117" w:rsidRPr="002C057F" w:rsidP="0081082E" w14:paraId="23EAD951" w14:textId="77777777">
            <w:pPr>
              <w:pStyle w:val="Table10Centered"/>
              <w:keepNext/>
              <w:spacing w:before="0" w:after="0"/>
              <w:ind w:left="-30" w:right="-20"/>
            </w:pPr>
            <w:r w:rsidRPr="002C057F">
              <w:t>1</w:t>
            </w:r>
          </w:p>
        </w:tc>
        <w:tc>
          <w:tcPr>
            <w:tcW w:w="1170" w:type="dxa"/>
          </w:tcPr>
          <w:p w:rsidR="00806117" w:rsidRPr="002C057F" w:rsidP="0081082E" w14:paraId="039FD125" w14:textId="1A27D51C">
            <w:pPr>
              <w:pStyle w:val="Table10Centered"/>
              <w:keepNext/>
              <w:spacing w:before="0" w:after="0"/>
              <w:ind w:left="-30" w:right="-20"/>
            </w:pPr>
            <w:r w:rsidRPr="002C057F">
              <w:t>14</w:t>
            </w:r>
          </w:p>
        </w:tc>
        <w:tc>
          <w:tcPr>
            <w:tcW w:w="1080" w:type="dxa"/>
          </w:tcPr>
          <w:p w:rsidR="00806117" w:rsidRPr="002C057F" w:rsidP="0081082E" w14:paraId="25272E51" w14:textId="02722925">
            <w:pPr>
              <w:pStyle w:val="Table10Centered"/>
              <w:keepNext/>
              <w:spacing w:before="0" w:after="0"/>
              <w:ind w:left="-30" w:right="-20"/>
            </w:pPr>
            <w:r w:rsidRPr="002C057F">
              <w:t>2</w:t>
            </w:r>
          </w:p>
        </w:tc>
        <w:tc>
          <w:tcPr>
            <w:tcW w:w="1080" w:type="dxa"/>
          </w:tcPr>
          <w:p w:rsidR="00806117" w:rsidRPr="002C057F" w:rsidP="0081082E" w14:paraId="6B28A3E7" w14:textId="052750EB">
            <w:pPr>
              <w:pStyle w:val="Table10Centered"/>
              <w:keepNext/>
              <w:spacing w:before="0" w:after="0"/>
              <w:ind w:left="-30" w:right="-20"/>
            </w:pPr>
            <w:r w:rsidRPr="002C057F">
              <w:t>28</w:t>
            </w:r>
          </w:p>
        </w:tc>
        <w:tc>
          <w:tcPr>
            <w:tcW w:w="1080" w:type="dxa"/>
          </w:tcPr>
          <w:p w:rsidR="00806117" w:rsidRPr="002C057F" w:rsidP="0081082E" w14:paraId="1124C3E4" w14:textId="46A19130">
            <w:pPr>
              <w:pStyle w:val="Table10Centered"/>
              <w:keepNext/>
              <w:spacing w:before="0" w:after="0"/>
              <w:ind w:left="-30" w:right="-20"/>
            </w:pPr>
            <w:r w:rsidRPr="002C057F">
              <w:t>106.54</w:t>
            </w:r>
          </w:p>
        </w:tc>
        <w:tc>
          <w:tcPr>
            <w:tcW w:w="990" w:type="dxa"/>
          </w:tcPr>
          <w:p w:rsidR="00806117" w:rsidRPr="002C057F" w:rsidP="0081082E" w14:paraId="4A7BB5C1" w14:textId="5057EE42">
            <w:pPr>
              <w:pStyle w:val="Table10Centered"/>
              <w:keepNext/>
              <w:spacing w:before="0" w:after="0"/>
              <w:ind w:left="-30" w:right="-20"/>
            </w:pPr>
            <w:r w:rsidRPr="002C057F">
              <w:t>2,983</w:t>
            </w:r>
          </w:p>
        </w:tc>
      </w:tr>
      <w:tr w14:paraId="29FDC7DE" w14:textId="77777777" w:rsidTr="0081082E">
        <w:tblPrEx>
          <w:tblW w:w="9265" w:type="dxa"/>
          <w:tblLayout w:type="fixed"/>
          <w:tblLook w:val="04A0"/>
        </w:tblPrEx>
        <w:trPr>
          <w:cantSplit/>
          <w:trHeight w:val="20"/>
        </w:trPr>
        <w:tc>
          <w:tcPr>
            <w:tcW w:w="1255" w:type="dxa"/>
            <w:shd w:val="clear" w:color="auto" w:fill="D9D9D9" w:themeFill="background1" w:themeFillShade="D9"/>
          </w:tcPr>
          <w:p w:rsidR="00806117" w:rsidRPr="00BB7053" w:rsidP="0081082E" w14:paraId="06A8F877" w14:textId="77777777">
            <w:pPr>
              <w:pStyle w:val="Table10Basic"/>
              <w:spacing w:before="0" w:after="0"/>
            </w:pPr>
            <w:r>
              <w:t>Adjustment</w:t>
            </w:r>
          </w:p>
        </w:tc>
        <w:tc>
          <w:tcPr>
            <w:tcW w:w="1350" w:type="dxa"/>
            <w:shd w:val="clear" w:color="auto" w:fill="D9D9D9" w:themeFill="background1" w:themeFillShade="D9"/>
          </w:tcPr>
          <w:p w:rsidR="00806117" w:rsidRPr="002C057F" w:rsidP="0081082E" w14:paraId="1B509758" w14:textId="65CC389F">
            <w:pPr>
              <w:pStyle w:val="Table10Centered"/>
              <w:spacing w:before="0" w:after="0"/>
              <w:ind w:left="-30" w:right="-20"/>
            </w:pPr>
            <w:r w:rsidRPr="002C057F">
              <w:t>-13</w:t>
            </w:r>
          </w:p>
        </w:tc>
        <w:tc>
          <w:tcPr>
            <w:tcW w:w="1260" w:type="dxa"/>
            <w:shd w:val="clear" w:color="auto" w:fill="D9D9D9" w:themeFill="background1" w:themeFillShade="D9"/>
          </w:tcPr>
          <w:p w:rsidR="00806117" w:rsidRPr="002C057F" w:rsidP="0081082E" w14:paraId="7DCAC197" w14:textId="3A2BA609">
            <w:pPr>
              <w:pStyle w:val="Table10Centered"/>
              <w:spacing w:before="0" w:after="0"/>
              <w:ind w:left="-30" w:right="-20"/>
            </w:pPr>
            <w:r w:rsidRPr="002C057F">
              <w:t xml:space="preserve">No </w:t>
            </w:r>
            <w:r w:rsidRPr="002C057F" w:rsidR="00341C9F">
              <w:t>change</w:t>
            </w:r>
          </w:p>
        </w:tc>
        <w:tc>
          <w:tcPr>
            <w:tcW w:w="1170" w:type="dxa"/>
            <w:shd w:val="clear" w:color="auto" w:fill="D9D9D9" w:themeFill="background1" w:themeFillShade="D9"/>
          </w:tcPr>
          <w:p w:rsidR="00806117" w:rsidRPr="002C057F" w:rsidP="0081082E" w14:paraId="6671A7A7" w14:textId="642812DD">
            <w:pPr>
              <w:pStyle w:val="Table10Centered"/>
              <w:spacing w:before="0" w:after="0"/>
              <w:ind w:left="-30" w:right="-20"/>
            </w:pPr>
            <w:r w:rsidRPr="002C057F">
              <w:t>-13</w:t>
            </w:r>
          </w:p>
        </w:tc>
        <w:tc>
          <w:tcPr>
            <w:tcW w:w="1080" w:type="dxa"/>
            <w:shd w:val="clear" w:color="auto" w:fill="D9D9D9" w:themeFill="background1" w:themeFillShade="D9"/>
          </w:tcPr>
          <w:p w:rsidR="00806117" w:rsidRPr="002C057F" w:rsidP="0081082E" w14:paraId="31399DCA" w14:textId="694F2DC7">
            <w:pPr>
              <w:pStyle w:val="Table10Centered"/>
              <w:spacing w:before="0" w:after="0"/>
              <w:ind w:left="-30" w:right="-20"/>
            </w:pPr>
            <w:r w:rsidRPr="002C057F">
              <w:t>No change</w:t>
            </w:r>
          </w:p>
        </w:tc>
        <w:tc>
          <w:tcPr>
            <w:tcW w:w="1080" w:type="dxa"/>
            <w:shd w:val="clear" w:color="auto" w:fill="D9D9D9" w:themeFill="background1" w:themeFillShade="D9"/>
          </w:tcPr>
          <w:p w:rsidR="00806117" w:rsidRPr="002C057F" w:rsidP="0081082E" w14:paraId="0A672C59" w14:textId="7959BD7C">
            <w:pPr>
              <w:pStyle w:val="Table10Centered"/>
              <w:spacing w:before="0" w:after="0"/>
              <w:ind w:left="-30" w:right="-20"/>
            </w:pPr>
            <w:r w:rsidRPr="002C057F">
              <w:t>-26</w:t>
            </w:r>
          </w:p>
        </w:tc>
        <w:tc>
          <w:tcPr>
            <w:tcW w:w="1080" w:type="dxa"/>
            <w:shd w:val="clear" w:color="auto" w:fill="D9D9D9" w:themeFill="background1" w:themeFillShade="D9"/>
          </w:tcPr>
          <w:p w:rsidR="00806117" w:rsidRPr="002C057F" w:rsidP="0081082E" w14:paraId="331CFD44" w14:textId="061BD3EA">
            <w:pPr>
              <w:pStyle w:val="Table10Centered"/>
              <w:spacing w:before="0" w:after="0"/>
              <w:ind w:left="-30" w:right="-20"/>
            </w:pPr>
            <w:r w:rsidRPr="002C057F">
              <w:t>No change</w:t>
            </w:r>
          </w:p>
        </w:tc>
        <w:tc>
          <w:tcPr>
            <w:tcW w:w="990" w:type="dxa"/>
            <w:shd w:val="clear" w:color="auto" w:fill="D9D9D9" w:themeFill="background1" w:themeFillShade="D9"/>
          </w:tcPr>
          <w:p w:rsidR="00806117" w:rsidRPr="002C057F" w:rsidP="0081082E" w14:paraId="7A2CF69C" w14:textId="3083B0CF">
            <w:pPr>
              <w:pStyle w:val="Table10Centered"/>
              <w:spacing w:before="0" w:after="0"/>
              <w:ind w:left="-30" w:right="-20"/>
            </w:pPr>
            <w:r w:rsidRPr="002C057F">
              <w:t>-2,770</w:t>
            </w:r>
          </w:p>
        </w:tc>
      </w:tr>
    </w:tbl>
    <w:p w:rsidR="003C6D38" w:rsidRPr="00B7366A" w:rsidP="00361BB4" w14:paraId="116DD3EC" w14:textId="1DE8B66F">
      <w:pPr>
        <w:pStyle w:val="ExhibitTitle"/>
        <w:rPr>
          <w:rFonts w:eastAsia="Calibri"/>
          <w:b w:val="0"/>
          <w:bCs/>
        </w:rPr>
      </w:pPr>
      <w:r w:rsidRPr="00B7366A">
        <w:rPr>
          <w:rFonts w:eastAsia="Calibri"/>
          <w:b w:val="0"/>
          <w:bCs/>
        </w:rPr>
        <w:t>Table 3</w:t>
      </w:r>
      <w:r w:rsidRPr="00B7366A" w:rsidR="7EAF0B5E">
        <w:rPr>
          <w:rFonts w:eastAsia="Calibri"/>
          <w:b w:val="0"/>
          <w:bCs/>
        </w:rPr>
        <w:t>0</w:t>
      </w:r>
      <w:r w:rsidRPr="00B7366A">
        <w:rPr>
          <w:rFonts w:eastAsia="Calibri"/>
          <w:b w:val="0"/>
          <w:bCs/>
        </w:rPr>
        <w:t xml:space="preserve">C: </w:t>
      </w:r>
      <w:r w:rsidRPr="00B7366A" w:rsidR="711BEFF8">
        <w:rPr>
          <w:rFonts w:eastAsia="Calibri"/>
          <w:b w:val="0"/>
          <w:bCs/>
        </w:rPr>
        <w:t xml:space="preserve">Burden Reconciliation for </w:t>
      </w:r>
      <w:r w:rsidRPr="00B7366A" w:rsidR="5D4F560A">
        <w:rPr>
          <w:rFonts w:eastAsia="Calibri"/>
          <w:b w:val="0"/>
          <w:bCs/>
        </w:rPr>
        <w:t xml:space="preserve">Simplified </w:t>
      </w:r>
      <w:r w:rsidRPr="00B7366A" w:rsidR="76A51C7A">
        <w:rPr>
          <w:rFonts w:eastAsia="Calibri"/>
          <w:b w:val="0"/>
          <w:bCs/>
        </w:rPr>
        <w:t xml:space="preserve">QCDR Self-Nomination and </w:t>
      </w:r>
      <w:r w:rsidRPr="00B7366A" w:rsidR="6575D868">
        <w:rPr>
          <w:rFonts w:eastAsia="Calibri"/>
          <w:b w:val="0"/>
          <w:bCs/>
        </w:rPr>
        <w:t xml:space="preserve">QCDR </w:t>
      </w:r>
      <w:r w:rsidRPr="00B7366A" w:rsidR="00806117">
        <w:rPr>
          <w:b w:val="0"/>
          <w:bCs/>
        </w:rPr>
        <w:br/>
      </w:r>
      <w:r w:rsidRPr="00B7366A" w:rsidR="6575D868">
        <w:rPr>
          <w:rFonts w:eastAsia="Calibri"/>
          <w:b w:val="0"/>
          <w:bCs/>
        </w:rPr>
        <w:t>Measure Submission</w:t>
      </w:r>
    </w:p>
    <w:tbl>
      <w:tblPr>
        <w:tblStyle w:val="TableGrid"/>
        <w:tblDescription w:val="Table 30C: the estimated change in burden to our currently approved burden estimates for the simplified Q C D R self-nomination."/>
        <w:tblW w:w="9247" w:type="dxa"/>
        <w:tblLayout w:type="fixed"/>
        <w:tblLook w:val="04A0"/>
      </w:tblPr>
      <w:tblGrid>
        <w:gridCol w:w="1255"/>
        <w:gridCol w:w="1350"/>
        <w:gridCol w:w="1170"/>
        <w:gridCol w:w="1080"/>
        <w:gridCol w:w="1350"/>
        <w:gridCol w:w="990"/>
        <w:gridCol w:w="1080"/>
        <w:gridCol w:w="972"/>
      </w:tblGrid>
      <w:tr w14:paraId="2DE1A8E0" w14:textId="77777777" w:rsidTr="0081082E">
        <w:tblPrEx>
          <w:tblW w:w="9247" w:type="dxa"/>
          <w:tblLayout w:type="fixed"/>
          <w:tblLook w:val="04A0"/>
        </w:tblPrEx>
        <w:trPr>
          <w:cantSplit/>
          <w:tblHeader/>
        </w:trPr>
        <w:tc>
          <w:tcPr>
            <w:tcW w:w="1255" w:type="dxa"/>
          </w:tcPr>
          <w:p w:rsidR="003C6D38" w:rsidRPr="00A600E9" w:rsidP="0081082E" w14:paraId="3D67C613" w14:textId="77777777">
            <w:pPr>
              <w:pStyle w:val="Table10-ColumnHeading"/>
              <w:spacing w:before="0" w:after="0"/>
              <w:ind w:left="-14"/>
              <w:jc w:val="left"/>
              <w:rPr>
                <w:rFonts w:ascii="Times New Roman Bold" w:hAnsi="Times New Roman Bold"/>
                <w:spacing w:val="-4"/>
              </w:rPr>
            </w:pPr>
            <w:r w:rsidRPr="00A600E9">
              <w:rPr>
                <w:rFonts w:ascii="Times New Roman Bold" w:hAnsi="Times New Roman Bold"/>
                <w:spacing w:val="-4"/>
              </w:rPr>
              <w:t>Burden Category</w:t>
            </w:r>
          </w:p>
        </w:tc>
        <w:tc>
          <w:tcPr>
            <w:tcW w:w="1350" w:type="dxa"/>
          </w:tcPr>
          <w:p w:rsidR="003C6D38" w:rsidRPr="00A600E9" w:rsidP="0081082E" w14:paraId="5126895D" w14:textId="77777777">
            <w:pPr>
              <w:pStyle w:val="Table10-ColumnHeading"/>
              <w:spacing w:before="0" w:after="0"/>
              <w:ind w:left="-14" w:right="-20"/>
              <w:rPr>
                <w:rFonts w:ascii="Times New Roman Bold" w:hAnsi="Times New Roman Bold"/>
                <w:spacing w:val="-4"/>
              </w:rPr>
            </w:pPr>
            <w:r w:rsidRPr="00A600E9">
              <w:rPr>
                <w:rFonts w:ascii="Times New Roman Bold" w:hAnsi="Times New Roman Bold"/>
                <w:spacing w:val="-4"/>
              </w:rPr>
              <w:t>Total Annual Respondents</w:t>
            </w:r>
          </w:p>
        </w:tc>
        <w:tc>
          <w:tcPr>
            <w:tcW w:w="1170" w:type="dxa"/>
          </w:tcPr>
          <w:p w:rsidR="003C6D38" w:rsidRPr="00A600E9" w:rsidP="0081082E" w14:paraId="4E70930B" w14:textId="77777777">
            <w:pPr>
              <w:pStyle w:val="Table10-ColumnHeading"/>
              <w:spacing w:before="0" w:after="0"/>
              <w:ind w:left="-14" w:right="-20"/>
              <w:rPr>
                <w:rFonts w:ascii="Times New Roman Bold" w:hAnsi="Times New Roman Bold"/>
                <w:spacing w:val="-4"/>
              </w:rPr>
            </w:pPr>
            <w:r w:rsidRPr="00A600E9">
              <w:rPr>
                <w:rFonts w:ascii="Times New Roman Bold" w:hAnsi="Times New Roman Bold"/>
                <w:spacing w:val="-4"/>
              </w:rPr>
              <w:t>Response Frequency (per year)</w:t>
            </w:r>
          </w:p>
        </w:tc>
        <w:tc>
          <w:tcPr>
            <w:tcW w:w="1080" w:type="dxa"/>
          </w:tcPr>
          <w:p w:rsidR="003C6D38" w:rsidRPr="00A600E9" w:rsidP="0081082E" w14:paraId="4FC5FA2A" w14:textId="77777777">
            <w:pPr>
              <w:pStyle w:val="Table10-ColumnHeading"/>
              <w:spacing w:before="0" w:after="0"/>
              <w:ind w:left="-14" w:right="-20"/>
              <w:rPr>
                <w:rFonts w:ascii="Times New Roman Bold" w:hAnsi="Times New Roman Bold"/>
                <w:spacing w:val="-4"/>
              </w:rPr>
            </w:pPr>
            <w:r w:rsidRPr="00A600E9">
              <w:rPr>
                <w:rFonts w:ascii="Times New Roman Bold" w:hAnsi="Times New Roman Bold"/>
                <w:spacing w:val="-4"/>
              </w:rPr>
              <w:t>Total Annual Responses</w:t>
            </w:r>
          </w:p>
        </w:tc>
        <w:tc>
          <w:tcPr>
            <w:tcW w:w="1350" w:type="dxa"/>
          </w:tcPr>
          <w:p w:rsidR="003C6D38" w:rsidRPr="00A600E9" w:rsidP="0081082E" w14:paraId="791B100B" w14:textId="08FE6EDE">
            <w:pPr>
              <w:pStyle w:val="Table10-ColumnHeading"/>
              <w:spacing w:before="0" w:after="0"/>
              <w:ind w:left="-14" w:right="-20"/>
              <w:rPr>
                <w:rFonts w:ascii="Times New Roman Bold" w:hAnsi="Times New Roman Bold"/>
                <w:spacing w:val="-4"/>
              </w:rPr>
            </w:pPr>
            <w:r w:rsidRPr="00A600E9">
              <w:rPr>
                <w:rFonts w:ascii="Times New Roman Bold" w:hAnsi="Times New Roman Bold"/>
                <w:spacing w:val="-4"/>
              </w:rPr>
              <w:t>Time Per Response</w:t>
            </w:r>
            <w:r w:rsidR="0081082E">
              <w:rPr>
                <w:rFonts w:ascii="Times New Roman Bold" w:hAnsi="Times New Roman Bold"/>
                <w:spacing w:val="-4"/>
              </w:rPr>
              <w:t xml:space="preserve"> </w:t>
            </w:r>
            <w:r w:rsidRPr="00A600E9">
              <w:rPr>
                <w:rFonts w:ascii="Times New Roman Bold" w:hAnsi="Times New Roman Bold"/>
                <w:spacing w:val="-4"/>
              </w:rPr>
              <w:t>(hr)</w:t>
            </w:r>
          </w:p>
        </w:tc>
        <w:tc>
          <w:tcPr>
            <w:tcW w:w="990" w:type="dxa"/>
          </w:tcPr>
          <w:p w:rsidR="003C6D38" w:rsidRPr="00A600E9" w:rsidP="0081082E" w14:paraId="1E4380B1" w14:textId="77777777">
            <w:pPr>
              <w:pStyle w:val="Table10-ColumnHeading"/>
              <w:spacing w:before="0" w:after="0"/>
              <w:ind w:left="-14" w:right="-20"/>
              <w:rPr>
                <w:rFonts w:ascii="Times New Roman Bold" w:hAnsi="Times New Roman Bold"/>
                <w:spacing w:val="-4"/>
              </w:rPr>
            </w:pPr>
            <w:r w:rsidRPr="00A600E9">
              <w:rPr>
                <w:rFonts w:ascii="Times New Roman Bold" w:hAnsi="Times New Roman Bold"/>
                <w:spacing w:val="-4"/>
              </w:rPr>
              <w:t>Total Annual Time (hr)</w:t>
            </w:r>
          </w:p>
        </w:tc>
        <w:tc>
          <w:tcPr>
            <w:tcW w:w="1080" w:type="dxa"/>
          </w:tcPr>
          <w:p w:rsidR="003C6D38" w:rsidRPr="00A600E9" w:rsidP="0081082E" w14:paraId="1EACC22C" w14:textId="77777777">
            <w:pPr>
              <w:pStyle w:val="Table10-ColumnHeading"/>
              <w:spacing w:before="0" w:after="0"/>
              <w:ind w:left="-14" w:right="-20"/>
              <w:rPr>
                <w:rFonts w:ascii="Times New Roman Bold" w:hAnsi="Times New Roman Bold"/>
                <w:spacing w:val="-4"/>
              </w:rPr>
            </w:pPr>
            <w:r w:rsidRPr="00A600E9">
              <w:rPr>
                <w:rFonts w:ascii="Times New Roman Bold" w:hAnsi="Times New Roman Bold"/>
                <w:spacing w:val="-4"/>
              </w:rPr>
              <w:t>Labor Cost ($/hr)</w:t>
            </w:r>
          </w:p>
        </w:tc>
        <w:tc>
          <w:tcPr>
            <w:tcW w:w="972" w:type="dxa"/>
          </w:tcPr>
          <w:p w:rsidR="003C6D38" w:rsidRPr="00A600E9" w:rsidP="0081082E" w14:paraId="64A1CA7A" w14:textId="77777777">
            <w:pPr>
              <w:pStyle w:val="Table10-ColumnHeading"/>
              <w:spacing w:before="0" w:after="0"/>
              <w:ind w:left="-14" w:right="-20"/>
              <w:rPr>
                <w:rFonts w:ascii="Times New Roman Bold" w:hAnsi="Times New Roman Bold"/>
                <w:spacing w:val="-4"/>
              </w:rPr>
            </w:pPr>
            <w:r w:rsidRPr="00A600E9">
              <w:rPr>
                <w:rFonts w:ascii="Times New Roman Bold" w:hAnsi="Times New Roman Bold"/>
                <w:spacing w:val="-4"/>
              </w:rPr>
              <w:t>Total Annual Cost ($)</w:t>
            </w:r>
          </w:p>
        </w:tc>
      </w:tr>
      <w:tr w14:paraId="0BEC95A6" w14:textId="77777777" w:rsidTr="0081082E">
        <w:tblPrEx>
          <w:tblW w:w="9247" w:type="dxa"/>
          <w:tblLayout w:type="fixed"/>
          <w:tblLook w:val="04A0"/>
        </w:tblPrEx>
        <w:trPr>
          <w:cantSplit/>
        </w:trPr>
        <w:tc>
          <w:tcPr>
            <w:tcW w:w="1255" w:type="dxa"/>
          </w:tcPr>
          <w:p w:rsidR="009909C6" w:rsidRPr="00A600E9" w:rsidP="0081082E" w14:paraId="45186B32" w14:textId="1A38A79E">
            <w:pPr>
              <w:pStyle w:val="Table10Basic"/>
              <w:spacing w:before="0" w:after="0"/>
              <w:ind w:left="-14"/>
              <w:rPr>
                <w:spacing w:val="-4"/>
              </w:rPr>
            </w:pPr>
            <w:r w:rsidRPr="00A600E9">
              <w:rPr>
                <w:spacing w:val="-4"/>
              </w:rPr>
              <w:t xml:space="preserve">Currently Approved </w:t>
            </w:r>
          </w:p>
        </w:tc>
        <w:tc>
          <w:tcPr>
            <w:tcW w:w="1350" w:type="dxa"/>
          </w:tcPr>
          <w:p w:rsidR="009909C6" w:rsidRPr="00A600E9" w:rsidP="0081082E" w14:paraId="54D5447D" w14:textId="03AB86C3">
            <w:pPr>
              <w:pStyle w:val="Table10Centered"/>
              <w:spacing w:before="0" w:after="0"/>
              <w:ind w:left="-14" w:right="-20"/>
              <w:rPr>
                <w:spacing w:val="-4"/>
              </w:rPr>
            </w:pPr>
            <w:r w:rsidRPr="00A600E9">
              <w:rPr>
                <w:spacing w:val="-4"/>
              </w:rPr>
              <w:t>44</w:t>
            </w:r>
          </w:p>
        </w:tc>
        <w:tc>
          <w:tcPr>
            <w:tcW w:w="1170" w:type="dxa"/>
          </w:tcPr>
          <w:p w:rsidR="009909C6" w:rsidRPr="00A600E9" w:rsidP="0081082E" w14:paraId="14B15BC2" w14:textId="665D906C">
            <w:pPr>
              <w:pStyle w:val="Table10Centered"/>
              <w:spacing w:before="0" w:after="0"/>
              <w:ind w:left="-14" w:right="-20"/>
              <w:rPr>
                <w:spacing w:val="-4"/>
              </w:rPr>
            </w:pPr>
            <w:r w:rsidRPr="00A600E9">
              <w:rPr>
                <w:spacing w:val="-4"/>
              </w:rPr>
              <w:t>1</w:t>
            </w:r>
          </w:p>
        </w:tc>
        <w:tc>
          <w:tcPr>
            <w:tcW w:w="1080" w:type="dxa"/>
          </w:tcPr>
          <w:p w:rsidR="009909C6" w:rsidRPr="00A600E9" w:rsidP="0081082E" w14:paraId="7319EDFA" w14:textId="2E7A782C">
            <w:pPr>
              <w:pStyle w:val="Table10Centered"/>
              <w:spacing w:before="0" w:after="0"/>
              <w:ind w:left="-14" w:right="-20"/>
              <w:rPr>
                <w:spacing w:val="-4"/>
              </w:rPr>
            </w:pPr>
            <w:r w:rsidRPr="00A600E9">
              <w:rPr>
                <w:spacing w:val="-4"/>
              </w:rPr>
              <w:t>44</w:t>
            </w:r>
          </w:p>
        </w:tc>
        <w:tc>
          <w:tcPr>
            <w:tcW w:w="1350" w:type="dxa"/>
          </w:tcPr>
          <w:p w:rsidR="009909C6" w:rsidRPr="00A600E9" w:rsidP="0081082E" w14:paraId="44CB7B1E" w14:textId="2B60E9E8">
            <w:pPr>
              <w:pStyle w:val="Table10Centered"/>
              <w:spacing w:before="0" w:after="0"/>
              <w:ind w:left="-14" w:right="-20"/>
              <w:rPr>
                <w:spacing w:val="-4"/>
              </w:rPr>
            </w:pPr>
            <w:r w:rsidRPr="00A600E9">
              <w:rPr>
                <w:spacing w:val="-4"/>
              </w:rPr>
              <w:t>9.5</w:t>
            </w:r>
          </w:p>
        </w:tc>
        <w:tc>
          <w:tcPr>
            <w:tcW w:w="990" w:type="dxa"/>
          </w:tcPr>
          <w:p w:rsidR="009909C6" w:rsidRPr="00A600E9" w:rsidP="0081082E" w14:paraId="4D3F0BEF" w14:textId="3FFA2C6B">
            <w:pPr>
              <w:pStyle w:val="Table10Centered"/>
              <w:spacing w:before="0" w:after="0"/>
              <w:ind w:left="-14" w:right="-20"/>
              <w:rPr>
                <w:spacing w:val="-4"/>
              </w:rPr>
            </w:pPr>
            <w:r w:rsidRPr="00A600E9">
              <w:rPr>
                <w:spacing w:val="-4"/>
              </w:rPr>
              <w:t>418</w:t>
            </w:r>
          </w:p>
        </w:tc>
        <w:tc>
          <w:tcPr>
            <w:tcW w:w="1080" w:type="dxa"/>
          </w:tcPr>
          <w:p w:rsidR="009909C6" w:rsidRPr="00A600E9" w:rsidP="0081082E" w14:paraId="06B9A818" w14:textId="7B86D51E">
            <w:pPr>
              <w:pStyle w:val="Table10Centered"/>
              <w:spacing w:before="0" w:after="0"/>
              <w:ind w:left="-14" w:right="-20"/>
              <w:rPr>
                <w:spacing w:val="-4"/>
              </w:rPr>
            </w:pPr>
            <w:r w:rsidRPr="00A600E9">
              <w:rPr>
                <w:spacing w:val="-4"/>
              </w:rPr>
              <w:t>106.54</w:t>
            </w:r>
          </w:p>
        </w:tc>
        <w:tc>
          <w:tcPr>
            <w:tcW w:w="972" w:type="dxa"/>
          </w:tcPr>
          <w:p w:rsidR="009909C6" w:rsidRPr="00A600E9" w:rsidP="0081082E" w14:paraId="1B725326" w14:textId="7EAACE57">
            <w:pPr>
              <w:pStyle w:val="Table10Centered"/>
              <w:spacing w:before="0" w:after="0"/>
              <w:ind w:left="-14" w:right="-20"/>
              <w:rPr>
                <w:spacing w:val="-4"/>
              </w:rPr>
            </w:pPr>
            <w:r w:rsidRPr="00A600E9">
              <w:rPr>
                <w:spacing w:val="-4"/>
              </w:rPr>
              <w:t>44,534</w:t>
            </w:r>
          </w:p>
        </w:tc>
      </w:tr>
      <w:tr w14:paraId="3B546B42" w14:textId="77777777" w:rsidTr="0081082E">
        <w:tblPrEx>
          <w:tblW w:w="9247" w:type="dxa"/>
          <w:tblLayout w:type="fixed"/>
          <w:tblLook w:val="04A0"/>
        </w:tblPrEx>
        <w:trPr>
          <w:cantSplit/>
        </w:trPr>
        <w:tc>
          <w:tcPr>
            <w:tcW w:w="1255" w:type="dxa"/>
          </w:tcPr>
          <w:p w:rsidR="00DD286B" w:rsidRPr="00A600E9" w:rsidP="0081082E" w14:paraId="0E35C7AA" w14:textId="0FAD6B05">
            <w:pPr>
              <w:pStyle w:val="Table10Basic"/>
              <w:spacing w:before="0" w:after="0"/>
              <w:ind w:left="-14"/>
              <w:rPr>
                <w:spacing w:val="-4"/>
              </w:rPr>
            </w:pPr>
            <w:r w:rsidRPr="00A600E9">
              <w:rPr>
                <w:spacing w:val="-4"/>
              </w:rPr>
              <w:t>Requested</w:t>
            </w:r>
            <w:r w:rsidRPr="00A600E9" w:rsidR="008B6075">
              <w:rPr>
                <w:spacing w:val="-4"/>
              </w:rPr>
              <w:t xml:space="preserve"> </w:t>
            </w:r>
            <w:r w:rsidRPr="00A600E9" w:rsidR="00A67FD9">
              <w:rPr>
                <w:spacing w:val="-4"/>
              </w:rPr>
              <w:t xml:space="preserve">(See Table </w:t>
            </w:r>
            <w:r w:rsidRPr="00A600E9" w:rsidR="00567278">
              <w:rPr>
                <w:spacing w:val="-4"/>
              </w:rPr>
              <w:t>5</w:t>
            </w:r>
            <w:r w:rsidRPr="00A600E9" w:rsidR="00A67FD9">
              <w:rPr>
                <w:spacing w:val="-4"/>
              </w:rPr>
              <w:t>)</w:t>
            </w:r>
          </w:p>
        </w:tc>
        <w:tc>
          <w:tcPr>
            <w:tcW w:w="1350" w:type="dxa"/>
          </w:tcPr>
          <w:p w:rsidR="00DD286B" w:rsidRPr="00A600E9" w:rsidP="0081082E" w14:paraId="40398DBD" w14:textId="4722C287">
            <w:pPr>
              <w:pStyle w:val="Table10Centered"/>
              <w:spacing w:before="0" w:after="0"/>
              <w:ind w:left="-14" w:right="-20"/>
              <w:rPr>
                <w:spacing w:val="-4"/>
              </w:rPr>
            </w:pPr>
            <w:r>
              <w:rPr>
                <w:spacing w:val="-4"/>
              </w:rPr>
              <w:t>41</w:t>
            </w:r>
          </w:p>
        </w:tc>
        <w:tc>
          <w:tcPr>
            <w:tcW w:w="1170" w:type="dxa"/>
          </w:tcPr>
          <w:p w:rsidR="00DD286B" w:rsidRPr="00A600E9" w:rsidP="0081082E" w14:paraId="7AFF6259" w14:textId="2CB01981">
            <w:pPr>
              <w:pStyle w:val="Table10Centered"/>
              <w:spacing w:before="0" w:after="0"/>
              <w:ind w:left="-14" w:right="-20"/>
              <w:rPr>
                <w:spacing w:val="-4"/>
              </w:rPr>
            </w:pPr>
            <w:r w:rsidRPr="00A600E9">
              <w:rPr>
                <w:spacing w:val="-4"/>
              </w:rPr>
              <w:t>1</w:t>
            </w:r>
          </w:p>
        </w:tc>
        <w:tc>
          <w:tcPr>
            <w:tcW w:w="1080" w:type="dxa"/>
          </w:tcPr>
          <w:p w:rsidR="00DD286B" w:rsidRPr="00A600E9" w:rsidP="0081082E" w14:paraId="326CF69B" w14:textId="1B8D90E8">
            <w:pPr>
              <w:pStyle w:val="Table10Centered"/>
              <w:spacing w:before="0" w:after="0"/>
              <w:ind w:left="-14" w:right="-20"/>
              <w:rPr>
                <w:spacing w:val="-4"/>
              </w:rPr>
            </w:pPr>
            <w:r>
              <w:rPr>
                <w:spacing w:val="-4"/>
              </w:rPr>
              <w:t>41</w:t>
            </w:r>
          </w:p>
        </w:tc>
        <w:tc>
          <w:tcPr>
            <w:tcW w:w="1350" w:type="dxa"/>
          </w:tcPr>
          <w:p w:rsidR="00DD286B" w:rsidRPr="00A600E9" w:rsidP="0081082E" w14:paraId="193D5EF8" w14:textId="20FCE249">
            <w:pPr>
              <w:pStyle w:val="Table10Centered"/>
              <w:spacing w:before="0" w:after="0"/>
              <w:ind w:left="-14" w:right="-20"/>
              <w:rPr>
                <w:spacing w:val="-4"/>
              </w:rPr>
            </w:pPr>
            <w:r>
              <w:rPr>
                <w:spacing w:val="-4"/>
              </w:rPr>
              <w:t>10</w:t>
            </w:r>
          </w:p>
        </w:tc>
        <w:tc>
          <w:tcPr>
            <w:tcW w:w="990" w:type="dxa"/>
          </w:tcPr>
          <w:p w:rsidR="00DD286B" w:rsidRPr="00A600E9" w:rsidP="0081082E" w14:paraId="62710E95" w14:textId="2081C15F">
            <w:pPr>
              <w:pStyle w:val="Table10Centered"/>
              <w:spacing w:before="0" w:after="0"/>
              <w:ind w:left="-14" w:right="-20"/>
              <w:rPr>
                <w:spacing w:val="-4"/>
              </w:rPr>
            </w:pPr>
            <w:r w:rsidRPr="00A600E9">
              <w:rPr>
                <w:spacing w:val="-4"/>
              </w:rPr>
              <w:t>4</w:t>
            </w:r>
            <w:r>
              <w:rPr>
                <w:spacing w:val="-4"/>
              </w:rPr>
              <w:t>10</w:t>
            </w:r>
          </w:p>
        </w:tc>
        <w:tc>
          <w:tcPr>
            <w:tcW w:w="1080" w:type="dxa"/>
          </w:tcPr>
          <w:p w:rsidR="00DD286B" w:rsidRPr="00A600E9" w:rsidP="0081082E" w14:paraId="264956B4" w14:textId="430F95BE">
            <w:pPr>
              <w:pStyle w:val="Table10Centered"/>
              <w:spacing w:before="0" w:after="0"/>
              <w:ind w:left="-14" w:right="-20"/>
              <w:rPr>
                <w:spacing w:val="-4"/>
              </w:rPr>
            </w:pPr>
            <w:r w:rsidRPr="00A600E9">
              <w:rPr>
                <w:spacing w:val="-4"/>
              </w:rPr>
              <w:t>106.54</w:t>
            </w:r>
          </w:p>
        </w:tc>
        <w:tc>
          <w:tcPr>
            <w:tcW w:w="972" w:type="dxa"/>
          </w:tcPr>
          <w:p w:rsidR="00DD286B" w:rsidRPr="00A600E9" w:rsidP="0081082E" w14:paraId="668FF26F" w14:textId="43999A2B">
            <w:pPr>
              <w:pStyle w:val="Table10Centered"/>
              <w:spacing w:before="0" w:after="0"/>
              <w:ind w:left="-14" w:right="-20"/>
              <w:rPr>
                <w:spacing w:val="-4"/>
              </w:rPr>
            </w:pPr>
            <w:r>
              <w:rPr>
                <w:spacing w:val="-4"/>
              </w:rPr>
              <w:t>43,681</w:t>
            </w:r>
          </w:p>
        </w:tc>
      </w:tr>
      <w:tr w14:paraId="2D4E4EE2" w14:textId="77777777" w:rsidTr="0081082E">
        <w:tblPrEx>
          <w:tblW w:w="9247" w:type="dxa"/>
          <w:tblLayout w:type="fixed"/>
          <w:tblLook w:val="04A0"/>
        </w:tblPrEx>
        <w:trPr>
          <w:cantSplit/>
        </w:trPr>
        <w:tc>
          <w:tcPr>
            <w:tcW w:w="1255" w:type="dxa"/>
            <w:shd w:val="clear" w:color="auto" w:fill="D9D9D9" w:themeFill="background1" w:themeFillShade="D9"/>
          </w:tcPr>
          <w:p w:rsidR="00DD286B" w:rsidRPr="00A600E9" w:rsidP="0081082E" w14:paraId="30A3A223" w14:textId="77777777">
            <w:pPr>
              <w:pStyle w:val="Table10Basic"/>
              <w:spacing w:before="0" w:after="0"/>
              <w:ind w:left="-14"/>
              <w:rPr>
                <w:spacing w:val="-4"/>
              </w:rPr>
            </w:pPr>
            <w:r w:rsidRPr="00A600E9">
              <w:rPr>
                <w:spacing w:val="-4"/>
              </w:rPr>
              <w:t>Adjustment</w:t>
            </w:r>
          </w:p>
        </w:tc>
        <w:tc>
          <w:tcPr>
            <w:tcW w:w="1350" w:type="dxa"/>
            <w:shd w:val="clear" w:color="auto" w:fill="D9D9D9" w:themeFill="background1" w:themeFillShade="D9"/>
          </w:tcPr>
          <w:p w:rsidR="00DD286B" w:rsidRPr="00A600E9" w:rsidP="0081082E" w14:paraId="108FE66B" w14:textId="76BC42B4">
            <w:pPr>
              <w:pStyle w:val="Table10Centered"/>
              <w:spacing w:before="0" w:after="0"/>
              <w:ind w:left="-14" w:right="-20"/>
              <w:rPr>
                <w:spacing w:val="-4"/>
              </w:rPr>
            </w:pPr>
            <w:r w:rsidRPr="00A600E9">
              <w:rPr>
                <w:spacing w:val="-4"/>
              </w:rPr>
              <w:t>-</w:t>
            </w:r>
            <w:r w:rsidR="00DA6F18">
              <w:rPr>
                <w:spacing w:val="-4"/>
              </w:rPr>
              <w:t>3</w:t>
            </w:r>
          </w:p>
        </w:tc>
        <w:tc>
          <w:tcPr>
            <w:tcW w:w="1170" w:type="dxa"/>
            <w:shd w:val="clear" w:color="auto" w:fill="D9D9D9" w:themeFill="background1" w:themeFillShade="D9"/>
          </w:tcPr>
          <w:p w:rsidR="00DD286B" w:rsidRPr="00A600E9" w:rsidP="0081082E" w14:paraId="7B875835" w14:textId="66CEE57F">
            <w:pPr>
              <w:pStyle w:val="Table10Centered"/>
              <w:spacing w:before="0" w:after="0"/>
              <w:ind w:left="-14" w:right="-20"/>
              <w:rPr>
                <w:spacing w:val="-4"/>
              </w:rPr>
            </w:pPr>
            <w:r w:rsidRPr="00A600E9">
              <w:rPr>
                <w:spacing w:val="-4"/>
              </w:rPr>
              <w:t>No change</w:t>
            </w:r>
          </w:p>
        </w:tc>
        <w:tc>
          <w:tcPr>
            <w:tcW w:w="1080" w:type="dxa"/>
            <w:shd w:val="clear" w:color="auto" w:fill="D9D9D9" w:themeFill="background1" w:themeFillShade="D9"/>
          </w:tcPr>
          <w:p w:rsidR="00DD286B" w:rsidRPr="00A600E9" w:rsidP="0081082E" w14:paraId="124FD215" w14:textId="2F57E07D">
            <w:pPr>
              <w:pStyle w:val="Table10Centered"/>
              <w:spacing w:before="0" w:after="0"/>
              <w:ind w:left="-14" w:right="-20"/>
              <w:rPr>
                <w:spacing w:val="-4"/>
              </w:rPr>
            </w:pPr>
            <w:r w:rsidRPr="00A600E9">
              <w:rPr>
                <w:spacing w:val="-4"/>
              </w:rPr>
              <w:t>-</w:t>
            </w:r>
            <w:r w:rsidR="00DA6F18">
              <w:rPr>
                <w:spacing w:val="-4"/>
              </w:rPr>
              <w:t>3</w:t>
            </w:r>
          </w:p>
        </w:tc>
        <w:tc>
          <w:tcPr>
            <w:tcW w:w="1350" w:type="dxa"/>
            <w:shd w:val="clear" w:color="auto" w:fill="D9D9D9" w:themeFill="background1" w:themeFillShade="D9"/>
          </w:tcPr>
          <w:p w:rsidR="00DD286B" w:rsidRPr="00A600E9" w:rsidP="0081082E" w14:paraId="1B3B279A" w14:textId="594BE0DE">
            <w:pPr>
              <w:pStyle w:val="Table10Centered"/>
              <w:spacing w:before="0" w:after="0"/>
              <w:ind w:left="-14" w:right="-20"/>
              <w:rPr>
                <w:spacing w:val="-4"/>
              </w:rPr>
            </w:pPr>
            <w:r w:rsidRPr="00A600E9">
              <w:rPr>
                <w:spacing w:val="-4"/>
              </w:rPr>
              <w:t>+</w:t>
            </w:r>
            <w:r w:rsidR="00234468">
              <w:rPr>
                <w:spacing w:val="-4"/>
              </w:rPr>
              <w:t>0.5</w:t>
            </w:r>
          </w:p>
        </w:tc>
        <w:tc>
          <w:tcPr>
            <w:tcW w:w="990" w:type="dxa"/>
            <w:shd w:val="clear" w:color="auto" w:fill="D9D9D9" w:themeFill="background1" w:themeFillShade="D9"/>
          </w:tcPr>
          <w:p w:rsidR="00DD286B" w:rsidRPr="00A600E9" w:rsidP="0081082E" w14:paraId="476B0CB9" w14:textId="1677D9DE">
            <w:pPr>
              <w:pStyle w:val="Table10Centered"/>
              <w:spacing w:before="0" w:after="0"/>
              <w:ind w:left="-14" w:right="-20"/>
              <w:rPr>
                <w:spacing w:val="-4"/>
              </w:rPr>
            </w:pPr>
            <w:r>
              <w:rPr>
                <w:spacing w:val="-4"/>
              </w:rPr>
              <w:t>-8</w:t>
            </w:r>
          </w:p>
        </w:tc>
        <w:tc>
          <w:tcPr>
            <w:tcW w:w="1080" w:type="dxa"/>
            <w:shd w:val="clear" w:color="auto" w:fill="D9D9D9" w:themeFill="background1" w:themeFillShade="D9"/>
          </w:tcPr>
          <w:p w:rsidR="00DD286B" w:rsidRPr="00A600E9" w:rsidP="0081082E" w14:paraId="70D3DD83" w14:textId="74C13000">
            <w:pPr>
              <w:pStyle w:val="Table10Centered"/>
              <w:spacing w:before="0" w:after="0"/>
              <w:ind w:left="-14" w:right="-20"/>
              <w:rPr>
                <w:spacing w:val="-4"/>
              </w:rPr>
            </w:pPr>
            <w:r w:rsidRPr="00A600E9">
              <w:rPr>
                <w:spacing w:val="-4"/>
              </w:rPr>
              <w:t>No change</w:t>
            </w:r>
          </w:p>
        </w:tc>
        <w:tc>
          <w:tcPr>
            <w:tcW w:w="972" w:type="dxa"/>
            <w:shd w:val="clear" w:color="auto" w:fill="D9D9D9" w:themeFill="background1" w:themeFillShade="D9"/>
          </w:tcPr>
          <w:p w:rsidR="00DD286B" w:rsidRPr="00A600E9" w:rsidP="0081082E" w14:paraId="0AE5CF4C" w14:textId="541F7395">
            <w:pPr>
              <w:pStyle w:val="Table10Centered"/>
              <w:spacing w:before="0" w:after="0"/>
              <w:ind w:left="-14" w:right="-20"/>
              <w:rPr>
                <w:spacing w:val="-4"/>
              </w:rPr>
            </w:pPr>
            <w:r>
              <w:rPr>
                <w:spacing w:val="-4"/>
              </w:rPr>
              <w:t>-853</w:t>
            </w:r>
          </w:p>
        </w:tc>
      </w:tr>
    </w:tbl>
    <w:bookmarkEnd w:id="198"/>
    <w:p w:rsidR="00567278" w:rsidRPr="00B7366A" w:rsidP="00361BB4" w14:paraId="2128EFE9" w14:textId="42ADA8F2">
      <w:pPr>
        <w:pStyle w:val="ExhibitTitle"/>
        <w:rPr>
          <w:rFonts w:eastAsia="Calibri"/>
          <w:b w:val="0"/>
          <w:bCs/>
        </w:rPr>
      </w:pPr>
      <w:r w:rsidRPr="00B7366A">
        <w:rPr>
          <w:rFonts w:eastAsia="Calibri"/>
          <w:b w:val="0"/>
          <w:bCs/>
        </w:rPr>
        <w:t>T</w:t>
      </w:r>
      <w:r w:rsidRPr="00B7366A" w:rsidR="27C0A852">
        <w:rPr>
          <w:rFonts w:eastAsia="Calibri"/>
          <w:b w:val="0"/>
          <w:bCs/>
        </w:rPr>
        <w:t>able</w:t>
      </w:r>
      <w:r w:rsidRPr="00B7366A">
        <w:rPr>
          <w:rFonts w:eastAsia="Calibri"/>
          <w:b w:val="0"/>
          <w:bCs/>
        </w:rPr>
        <w:t xml:space="preserve"> 3</w:t>
      </w:r>
      <w:r w:rsidRPr="00B7366A" w:rsidR="00A833F4">
        <w:rPr>
          <w:rFonts w:eastAsia="Calibri"/>
          <w:b w:val="0"/>
          <w:bCs/>
        </w:rPr>
        <w:t>0</w:t>
      </w:r>
      <w:r w:rsidRPr="00B7366A" w:rsidR="7BF409EF">
        <w:rPr>
          <w:rFonts w:eastAsia="Calibri"/>
          <w:b w:val="0"/>
          <w:bCs/>
        </w:rPr>
        <w:t>D</w:t>
      </w:r>
      <w:r w:rsidRPr="00B7366A">
        <w:rPr>
          <w:rFonts w:eastAsia="Calibri"/>
          <w:b w:val="0"/>
          <w:bCs/>
        </w:rPr>
        <w:t xml:space="preserve">: </w:t>
      </w:r>
      <w:r w:rsidRPr="00B7366A" w:rsidR="7BF409EF">
        <w:rPr>
          <w:rFonts w:eastAsia="Calibri"/>
          <w:b w:val="0"/>
          <w:bCs/>
        </w:rPr>
        <w:t xml:space="preserve">Burden Reconciliation for </w:t>
      </w:r>
      <w:r w:rsidRPr="00B7366A" w:rsidR="5D4F560A">
        <w:rPr>
          <w:rFonts w:eastAsia="Calibri"/>
          <w:b w:val="0"/>
          <w:bCs/>
        </w:rPr>
        <w:t xml:space="preserve">Full </w:t>
      </w:r>
      <w:r w:rsidRPr="00B7366A" w:rsidR="7BF409EF">
        <w:rPr>
          <w:rFonts w:eastAsia="Calibri"/>
          <w:b w:val="0"/>
          <w:bCs/>
        </w:rPr>
        <w:t>QCDR</w:t>
      </w:r>
      <w:r w:rsidRPr="00B7366A" w:rsidR="5D4F560A">
        <w:rPr>
          <w:rFonts w:eastAsia="Calibri"/>
          <w:b w:val="0"/>
          <w:bCs/>
        </w:rPr>
        <w:t xml:space="preserve"> </w:t>
      </w:r>
      <w:r w:rsidRPr="00B7366A" w:rsidR="7BF409EF">
        <w:rPr>
          <w:rFonts w:eastAsia="Calibri"/>
          <w:b w:val="0"/>
          <w:bCs/>
        </w:rPr>
        <w:t xml:space="preserve">Self-Nomination and QCDR </w:t>
      </w:r>
      <w:r w:rsidRPr="00B7366A" w:rsidR="00F76B0E">
        <w:rPr>
          <w:b w:val="0"/>
          <w:bCs/>
        </w:rPr>
        <w:br/>
      </w:r>
      <w:r w:rsidRPr="00B7366A" w:rsidR="7BF409EF">
        <w:rPr>
          <w:rFonts w:eastAsia="Calibri"/>
          <w:b w:val="0"/>
          <w:bCs/>
        </w:rPr>
        <w:t>Measure Submission</w:t>
      </w:r>
    </w:p>
    <w:tbl>
      <w:tblPr>
        <w:tblStyle w:val="TableGrid"/>
        <w:tblDescription w:val="Table 30D: the estimated change in burden to our currently approved burden estimates for the full Q C D R self-nomination."/>
        <w:tblW w:w="9292" w:type="dxa"/>
        <w:tblCellMar>
          <w:left w:w="43" w:type="dxa"/>
          <w:right w:w="43" w:type="dxa"/>
        </w:tblCellMar>
        <w:tblLook w:val="04A0"/>
      </w:tblPr>
      <w:tblGrid>
        <w:gridCol w:w="1255"/>
        <w:gridCol w:w="1331"/>
        <w:gridCol w:w="1189"/>
        <w:gridCol w:w="1080"/>
        <w:gridCol w:w="1350"/>
        <w:gridCol w:w="990"/>
        <w:gridCol w:w="1092"/>
        <w:gridCol w:w="1005"/>
      </w:tblGrid>
      <w:tr w14:paraId="483A2507" w14:textId="77777777" w:rsidTr="0081082E">
        <w:tblPrEx>
          <w:tblW w:w="9292" w:type="dxa"/>
          <w:tblCellMar>
            <w:left w:w="43" w:type="dxa"/>
            <w:right w:w="43" w:type="dxa"/>
          </w:tblCellMar>
          <w:tblLook w:val="04A0"/>
        </w:tblPrEx>
        <w:trPr>
          <w:cantSplit/>
          <w:tblHeader/>
        </w:trPr>
        <w:tc>
          <w:tcPr>
            <w:tcW w:w="1255" w:type="dxa"/>
          </w:tcPr>
          <w:p w:rsidR="00567278" w:rsidRPr="00DF4016" w:rsidP="0081082E" w14:paraId="44BE0E40" w14:textId="77777777">
            <w:pPr>
              <w:pStyle w:val="Table10-ColumnHeading"/>
              <w:spacing w:before="0" w:after="0"/>
              <w:ind w:left="0"/>
              <w:jc w:val="left"/>
            </w:pPr>
            <w:r w:rsidRPr="00DF4016">
              <w:t>Burden Category</w:t>
            </w:r>
          </w:p>
        </w:tc>
        <w:tc>
          <w:tcPr>
            <w:tcW w:w="1331" w:type="dxa"/>
          </w:tcPr>
          <w:p w:rsidR="00567278" w:rsidRPr="00DF4016" w:rsidP="0081082E" w14:paraId="4A358A29" w14:textId="77777777">
            <w:pPr>
              <w:pStyle w:val="Table10-ColumnHeading"/>
              <w:spacing w:before="0" w:after="0"/>
              <w:ind w:left="20" w:right="0"/>
            </w:pPr>
            <w:r w:rsidRPr="00DF4016">
              <w:t>Total Annual Respondents</w:t>
            </w:r>
          </w:p>
        </w:tc>
        <w:tc>
          <w:tcPr>
            <w:tcW w:w="1189" w:type="dxa"/>
          </w:tcPr>
          <w:p w:rsidR="00567278" w:rsidRPr="00DF4016" w:rsidP="0081082E" w14:paraId="030229BB" w14:textId="77777777">
            <w:pPr>
              <w:pStyle w:val="Table10-ColumnHeading"/>
              <w:spacing w:before="0" w:after="0"/>
              <w:ind w:left="20" w:right="0"/>
            </w:pPr>
            <w:r w:rsidRPr="00DF4016">
              <w:t>Response Frequency (per year)</w:t>
            </w:r>
          </w:p>
        </w:tc>
        <w:tc>
          <w:tcPr>
            <w:tcW w:w="1080" w:type="dxa"/>
          </w:tcPr>
          <w:p w:rsidR="00567278" w:rsidRPr="00DF4016" w:rsidP="0081082E" w14:paraId="05078E74" w14:textId="77777777">
            <w:pPr>
              <w:pStyle w:val="Table10-ColumnHeading"/>
              <w:spacing w:before="0" w:after="0"/>
              <w:ind w:left="20" w:right="0"/>
            </w:pPr>
            <w:r w:rsidRPr="00DF4016">
              <w:t>Total Annual Responses</w:t>
            </w:r>
          </w:p>
        </w:tc>
        <w:tc>
          <w:tcPr>
            <w:tcW w:w="1350" w:type="dxa"/>
          </w:tcPr>
          <w:p w:rsidR="00567278" w:rsidRPr="00DF4016" w:rsidP="0081082E" w14:paraId="0DF0AF5E" w14:textId="77777777">
            <w:pPr>
              <w:pStyle w:val="Table10-ColumnHeading"/>
              <w:spacing w:before="0" w:after="0"/>
              <w:ind w:left="20" w:right="0"/>
            </w:pPr>
            <w:r w:rsidRPr="00DF4016">
              <w:t>Time Per Response (hr)</w:t>
            </w:r>
          </w:p>
        </w:tc>
        <w:tc>
          <w:tcPr>
            <w:tcW w:w="990" w:type="dxa"/>
          </w:tcPr>
          <w:p w:rsidR="00567278" w:rsidRPr="00DF4016" w:rsidP="0081082E" w14:paraId="65846E9A" w14:textId="77777777">
            <w:pPr>
              <w:pStyle w:val="Table10-ColumnHeading"/>
              <w:spacing w:before="0" w:after="0"/>
              <w:ind w:left="20" w:right="0"/>
            </w:pPr>
            <w:r w:rsidRPr="00DF4016">
              <w:t>Total Annual Time (hr)</w:t>
            </w:r>
          </w:p>
        </w:tc>
        <w:tc>
          <w:tcPr>
            <w:tcW w:w="1092" w:type="dxa"/>
          </w:tcPr>
          <w:p w:rsidR="00567278" w:rsidRPr="00DF4016" w:rsidP="0081082E" w14:paraId="2493EAC6" w14:textId="77777777">
            <w:pPr>
              <w:pStyle w:val="Table10-ColumnHeading"/>
              <w:spacing w:before="0" w:after="0"/>
              <w:ind w:left="20" w:right="0"/>
            </w:pPr>
            <w:r w:rsidRPr="00DF4016">
              <w:t>Labor Cost ($/hr)</w:t>
            </w:r>
          </w:p>
        </w:tc>
        <w:tc>
          <w:tcPr>
            <w:tcW w:w="1005" w:type="dxa"/>
          </w:tcPr>
          <w:p w:rsidR="00567278" w:rsidRPr="00DF4016" w:rsidP="0081082E" w14:paraId="59A2739D" w14:textId="77777777">
            <w:pPr>
              <w:pStyle w:val="Table10-ColumnHeading"/>
              <w:spacing w:before="0" w:after="0"/>
              <w:ind w:left="20" w:right="0"/>
            </w:pPr>
            <w:r w:rsidRPr="00DF4016">
              <w:t>Total Annual Cost ($)</w:t>
            </w:r>
          </w:p>
        </w:tc>
      </w:tr>
      <w:tr w14:paraId="2491836B" w14:textId="77777777" w:rsidTr="0081082E">
        <w:tblPrEx>
          <w:tblW w:w="9292" w:type="dxa"/>
          <w:tblCellMar>
            <w:left w:w="43" w:type="dxa"/>
            <w:right w:w="43" w:type="dxa"/>
          </w:tblCellMar>
          <w:tblLook w:val="04A0"/>
        </w:tblPrEx>
        <w:trPr>
          <w:cantSplit/>
        </w:trPr>
        <w:tc>
          <w:tcPr>
            <w:tcW w:w="1255" w:type="dxa"/>
          </w:tcPr>
          <w:p w:rsidR="00555372" w:rsidRPr="00BB7053" w:rsidP="0081082E" w14:paraId="79AB52F5" w14:textId="77777777">
            <w:pPr>
              <w:pStyle w:val="Table10Basic"/>
              <w:spacing w:before="0" w:after="0"/>
            </w:pPr>
            <w:r>
              <w:t xml:space="preserve">Currently Approved </w:t>
            </w:r>
          </w:p>
        </w:tc>
        <w:tc>
          <w:tcPr>
            <w:tcW w:w="1331" w:type="dxa"/>
          </w:tcPr>
          <w:p w:rsidR="00555372" w:rsidRPr="00BB7053" w:rsidP="0081082E" w14:paraId="3C9A83E7" w14:textId="1B372289">
            <w:pPr>
              <w:pStyle w:val="Table10Centered"/>
              <w:spacing w:before="0" w:after="0"/>
              <w:ind w:left="20"/>
            </w:pPr>
            <w:r>
              <w:t>12</w:t>
            </w:r>
          </w:p>
        </w:tc>
        <w:tc>
          <w:tcPr>
            <w:tcW w:w="1189" w:type="dxa"/>
          </w:tcPr>
          <w:p w:rsidR="00555372" w:rsidRPr="00BB7053" w:rsidP="0081082E" w14:paraId="0EC31B59" w14:textId="2D349459">
            <w:pPr>
              <w:pStyle w:val="Table10Centered"/>
              <w:spacing w:before="0" w:after="0"/>
              <w:ind w:left="20"/>
            </w:pPr>
            <w:r>
              <w:t>1</w:t>
            </w:r>
          </w:p>
        </w:tc>
        <w:tc>
          <w:tcPr>
            <w:tcW w:w="1080" w:type="dxa"/>
          </w:tcPr>
          <w:p w:rsidR="00555372" w:rsidRPr="00BB7053" w:rsidP="0081082E" w14:paraId="6DFCE46B" w14:textId="552BE51C">
            <w:pPr>
              <w:pStyle w:val="Table10Centered"/>
              <w:spacing w:before="0" w:after="0"/>
              <w:ind w:left="20"/>
            </w:pPr>
            <w:r>
              <w:t>12</w:t>
            </w:r>
          </w:p>
        </w:tc>
        <w:tc>
          <w:tcPr>
            <w:tcW w:w="1350" w:type="dxa"/>
          </w:tcPr>
          <w:p w:rsidR="00555372" w:rsidRPr="00BB7053" w:rsidP="0081082E" w14:paraId="19D3DAD4" w14:textId="100147A7">
            <w:pPr>
              <w:pStyle w:val="Table10Centered"/>
              <w:spacing w:before="0" w:after="0"/>
              <w:ind w:left="20"/>
            </w:pPr>
            <w:r>
              <w:t>11.5</w:t>
            </w:r>
          </w:p>
        </w:tc>
        <w:tc>
          <w:tcPr>
            <w:tcW w:w="990" w:type="dxa"/>
          </w:tcPr>
          <w:p w:rsidR="00555372" w:rsidRPr="00BB7053" w:rsidP="0081082E" w14:paraId="6F7EB787" w14:textId="1C269B66">
            <w:pPr>
              <w:pStyle w:val="Table10Centered"/>
              <w:spacing w:before="0" w:after="0"/>
              <w:ind w:left="20"/>
            </w:pPr>
            <w:r>
              <w:t>138</w:t>
            </w:r>
          </w:p>
        </w:tc>
        <w:tc>
          <w:tcPr>
            <w:tcW w:w="1092" w:type="dxa"/>
          </w:tcPr>
          <w:p w:rsidR="00555372" w:rsidRPr="00BB7053" w:rsidP="0081082E" w14:paraId="6B539EF1" w14:textId="102467B5">
            <w:pPr>
              <w:pStyle w:val="Table10Centered"/>
              <w:spacing w:before="0" w:after="0"/>
              <w:ind w:left="20"/>
            </w:pPr>
            <w:r>
              <w:t>106.54</w:t>
            </w:r>
          </w:p>
        </w:tc>
        <w:tc>
          <w:tcPr>
            <w:tcW w:w="1005" w:type="dxa"/>
          </w:tcPr>
          <w:p w:rsidR="00555372" w:rsidRPr="00BB7053" w:rsidP="0081082E" w14:paraId="020568C8" w14:textId="5FAB4173">
            <w:pPr>
              <w:pStyle w:val="Table10Centered"/>
              <w:spacing w:before="0" w:after="0"/>
              <w:ind w:left="20"/>
            </w:pPr>
            <w:r>
              <w:t>14,703</w:t>
            </w:r>
          </w:p>
        </w:tc>
      </w:tr>
      <w:tr w14:paraId="260189A8" w14:textId="77777777" w:rsidTr="0081082E">
        <w:tblPrEx>
          <w:tblW w:w="9292" w:type="dxa"/>
          <w:tblCellMar>
            <w:left w:w="43" w:type="dxa"/>
            <w:right w:w="43" w:type="dxa"/>
          </w:tblCellMar>
          <w:tblLook w:val="04A0"/>
        </w:tblPrEx>
        <w:trPr>
          <w:cantSplit/>
        </w:trPr>
        <w:tc>
          <w:tcPr>
            <w:tcW w:w="1255" w:type="dxa"/>
          </w:tcPr>
          <w:p w:rsidR="00567278" w:rsidRPr="00BB7053" w:rsidP="0081082E" w14:paraId="7D6B73A4" w14:textId="7B12C17E">
            <w:pPr>
              <w:pStyle w:val="Table10Basic"/>
              <w:spacing w:before="0" w:after="0"/>
            </w:pPr>
            <w:r>
              <w:t>Requested</w:t>
            </w:r>
            <w:r>
              <w:t xml:space="preserve"> </w:t>
            </w:r>
            <w:r w:rsidRPr="00A67FD9">
              <w:t xml:space="preserve">(See Table </w:t>
            </w:r>
            <w:r>
              <w:t>6</w:t>
            </w:r>
            <w:r w:rsidRPr="00A67FD9">
              <w:t>)</w:t>
            </w:r>
          </w:p>
        </w:tc>
        <w:tc>
          <w:tcPr>
            <w:tcW w:w="1331" w:type="dxa"/>
          </w:tcPr>
          <w:p w:rsidR="00567278" w:rsidRPr="00BB7053" w:rsidP="0081082E" w14:paraId="1E404E45" w14:textId="0B0611FF">
            <w:pPr>
              <w:pStyle w:val="Table10Centered"/>
              <w:spacing w:before="0" w:after="0"/>
              <w:ind w:left="20"/>
            </w:pPr>
            <w:r>
              <w:t>1</w:t>
            </w:r>
            <w:r w:rsidR="0055254D">
              <w:t>1</w:t>
            </w:r>
          </w:p>
        </w:tc>
        <w:tc>
          <w:tcPr>
            <w:tcW w:w="1189" w:type="dxa"/>
          </w:tcPr>
          <w:p w:rsidR="00567278" w:rsidRPr="00BB7053" w:rsidP="0081082E" w14:paraId="240771ED" w14:textId="77777777">
            <w:pPr>
              <w:pStyle w:val="Table10Centered"/>
              <w:spacing w:before="0" w:after="0"/>
              <w:ind w:left="20"/>
            </w:pPr>
            <w:r>
              <w:t>1</w:t>
            </w:r>
          </w:p>
        </w:tc>
        <w:tc>
          <w:tcPr>
            <w:tcW w:w="1080" w:type="dxa"/>
          </w:tcPr>
          <w:p w:rsidR="00567278" w:rsidRPr="00BB7053" w:rsidP="0081082E" w14:paraId="4CAA682A" w14:textId="02ED092E">
            <w:pPr>
              <w:pStyle w:val="Table10Centered"/>
              <w:spacing w:before="0" w:after="0"/>
              <w:ind w:left="20"/>
            </w:pPr>
            <w:r>
              <w:t>1</w:t>
            </w:r>
            <w:r w:rsidR="0055254D">
              <w:t>1</w:t>
            </w:r>
          </w:p>
        </w:tc>
        <w:tc>
          <w:tcPr>
            <w:tcW w:w="1350" w:type="dxa"/>
          </w:tcPr>
          <w:p w:rsidR="00567278" w:rsidRPr="00BB7053" w:rsidP="0081082E" w14:paraId="406AEFA5" w14:textId="5A85DD43">
            <w:pPr>
              <w:pStyle w:val="Table10Centered"/>
              <w:spacing w:before="0" w:after="0"/>
              <w:ind w:left="20"/>
            </w:pPr>
            <w:r>
              <w:t>12</w:t>
            </w:r>
          </w:p>
        </w:tc>
        <w:tc>
          <w:tcPr>
            <w:tcW w:w="990" w:type="dxa"/>
          </w:tcPr>
          <w:p w:rsidR="00567278" w:rsidRPr="00BB7053" w:rsidP="0081082E" w14:paraId="6178655B" w14:textId="5C862BFB">
            <w:pPr>
              <w:pStyle w:val="Table10Centered"/>
              <w:spacing w:before="0" w:after="0"/>
              <w:ind w:left="20"/>
            </w:pPr>
            <w:r>
              <w:t>132</w:t>
            </w:r>
          </w:p>
        </w:tc>
        <w:tc>
          <w:tcPr>
            <w:tcW w:w="1092" w:type="dxa"/>
          </w:tcPr>
          <w:p w:rsidR="00567278" w:rsidRPr="00BB7053" w:rsidP="0081082E" w14:paraId="62D53AC9" w14:textId="5BC95AD5">
            <w:pPr>
              <w:pStyle w:val="Table10Centered"/>
              <w:spacing w:before="0" w:after="0"/>
              <w:ind w:left="20"/>
            </w:pPr>
            <w:r>
              <w:t>106.54</w:t>
            </w:r>
          </w:p>
        </w:tc>
        <w:tc>
          <w:tcPr>
            <w:tcW w:w="1005" w:type="dxa"/>
          </w:tcPr>
          <w:p w:rsidR="00567278" w:rsidRPr="00BB7053" w:rsidP="0081082E" w14:paraId="293D0BFC" w14:textId="22522875">
            <w:pPr>
              <w:pStyle w:val="Table10Centered"/>
              <w:spacing w:before="0" w:after="0"/>
              <w:ind w:left="20"/>
            </w:pPr>
            <w:r>
              <w:t>14,063</w:t>
            </w:r>
          </w:p>
        </w:tc>
      </w:tr>
      <w:tr w14:paraId="28E4340E" w14:textId="77777777" w:rsidTr="0081082E">
        <w:tblPrEx>
          <w:tblW w:w="9292" w:type="dxa"/>
          <w:tblCellMar>
            <w:left w:w="43" w:type="dxa"/>
            <w:right w:w="43" w:type="dxa"/>
          </w:tblCellMar>
          <w:tblLook w:val="04A0"/>
        </w:tblPrEx>
        <w:trPr>
          <w:cantSplit/>
        </w:trPr>
        <w:tc>
          <w:tcPr>
            <w:tcW w:w="1255" w:type="dxa"/>
            <w:shd w:val="clear" w:color="auto" w:fill="D9D9D9" w:themeFill="background1" w:themeFillShade="D9"/>
          </w:tcPr>
          <w:p w:rsidR="00567278" w:rsidRPr="00BB7053" w:rsidP="0081082E" w14:paraId="240AB3F8" w14:textId="77777777">
            <w:pPr>
              <w:pStyle w:val="Table10Basic"/>
              <w:spacing w:before="0" w:after="0"/>
            </w:pPr>
            <w:r>
              <w:t>Adjustment</w:t>
            </w:r>
          </w:p>
        </w:tc>
        <w:tc>
          <w:tcPr>
            <w:tcW w:w="1331" w:type="dxa"/>
            <w:shd w:val="clear" w:color="auto" w:fill="D9D9D9" w:themeFill="background1" w:themeFillShade="D9"/>
          </w:tcPr>
          <w:p w:rsidR="00567278" w:rsidRPr="00BB7053" w:rsidP="0081082E" w14:paraId="49A704F0" w14:textId="44E6D60A">
            <w:pPr>
              <w:pStyle w:val="Table10Centered"/>
              <w:spacing w:before="0" w:after="0"/>
              <w:ind w:left="20"/>
            </w:pPr>
            <w:r>
              <w:t>-1</w:t>
            </w:r>
          </w:p>
        </w:tc>
        <w:tc>
          <w:tcPr>
            <w:tcW w:w="1189" w:type="dxa"/>
            <w:shd w:val="clear" w:color="auto" w:fill="D9D9D9" w:themeFill="background1" w:themeFillShade="D9"/>
          </w:tcPr>
          <w:p w:rsidR="00567278" w:rsidRPr="00BB7053" w:rsidP="0081082E" w14:paraId="27754ED8" w14:textId="77777777">
            <w:pPr>
              <w:pStyle w:val="Table10Centered"/>
              <w:spacing w:before="0" w:after="0"/>
              <w:ind w:left="20"/>
            </w:pPr>
            <w:r w:rsidRPr="00224344">
              <w:t>No change</w:t>
            </w:r>
          </w:p>
        </w:tc>
        <w:tc>
          <w:tcPr>
            <w:tcW w:w="1080" w:type="dxa"/>
            <w:shd w:val="clear" w:color="auto" w:fill="D9D9D9" w:themeFill="background1" w:themeFillShade="D9"/>
          </w:tcPr>
          <w:p w:rsidR="00567278" w:rsidRPr="00BB7053" w:rsidP="0081082E" w14:paraId="5A5E7E46" w14:textId="66AE06B0">
            <w:pPr>
              <w:pStyle w:val="Table10Centered"/>
              <w:spacing w:before="0" w:after="0"/>
              <w:ind w:left="20"/>
            </w:pPr>
            <w:r>
              <w:t>-1</w:t>
            </w:r>
          </w:p>
        </w:tc>
        <w:tc>
          <w:tcPr>
            <w:tcW w:w="1350" w:type="dxa"/>
            <w:shd w:val="clear" w:color="auto" w:fill="D9D9D9" w:themeFill="background1" w:themeFillShade="D9"/>
          </w:tcPr>
          <w:p w:rsidR="00567278" w:rsidRPr="00BB7053" w:rsidP="0081082E" w14:paraId="761F1A0B" w14:textId="3D436B99">
            <w:pPr>
              <w:pStyle w:val="Table10Centered"/>
              <w:spacing w:before="0" w:after="0"/>
              <w:ind w:left="20"/>
            </w:pPr>
            <w:r>
              <w:t>+</w:t>
            </w:r>
            <w:r w:rsidR="009652D8">
              <w:t>0.5</w:t>
            </w:r>
          </w:p>
        </w:tc>
        <w:tc>
          <w:tcPr>
            <w:tcW w:w="990" w:type="dxa"/>
            <w:shd w:val="clear" w:color="auto" w:fill="D9D9D9" w:themeFill="background1" w:themeFillShade="D9"/>
          </w:tcPr>
          <w:p w:rsidR="00567278" w:rsidRPr="00BB7053" w:rsidP="0081082E" w14:paraId="2237174D" w14:textId="5E83A85E">
            <w:pPr>
              <w:pStyle w:val="Table10Centered"/>
              <w:spacing w:before="0" w:after="0"/>
              <w:ind w:left="20"/>
            </w:pPr>
            <w:r>
              <w:t>-6</w:t>
            </w:r>
          </w:p>
        </w:tc>
        <w:tc>
          <w:tcPr>
            <w:tcW w:w="1092" w:type="dxa"/>
            <w:shd w:val="clear" w:color="auto" w:fill="D9D9D9" w:themeFill="background1" w:themeFillShade="D9"/>
          </w:tcPr>
          <w:p w:rsidR="00567278" w:rsidRPr="00BB7053" w:rsidP="0081082E" w14:paraId="3685AFD4" w14:textId="688408FD">
            <w:pPr>
              <w:pStyle w:val="Table10Centered"/>
              <w:spacing w:before="0" w:after="0"/>
              <w:ind w:left="20"/>
            </w:pPr>
            <w:r w:rsidRPr="00224344">
              <w:t>No</w:t>
            </w:r>
            <w:r w:rsidR="00D248F7">
              <w:t xml:space="preserve"> change</w:t>
            </w:r>
          </w:p>
        </w:tc>
        <w:tc>
          <w:tcPr>
            <w:tcW w:w="1005" w:type="dxa"/>
            <w:shd w:val="clear" w:color="auto" w:fill="D9D9D9" w:themeFill="background1" w:themeFillShade="D9"/>
          </w:tcPr>
          <w:p w:rsidR="00567278" w:rsidRPr="00BB7053" w:rsidP="0081082E" w14:paraId="41B71D1A" w14:textId="7BDF0B8A">
            <w:pPr>
              <w:pStyle w:val="Table10Centered"/>
              <w:spacing w:before="0" w:after="0"/>
              <w:ind w:left="20"/>
            </w:pPr>
            <w:r>
              <w:t>-640</w:t>
            </w:r>
          </w:p>
        </w:tc>
      </w:tr>
    </w:tbl>
    <w:p w:rsidR="00F76B0E" w:rsidRPr="00B7366A" w:rsidP="00361BB4" w14:paraId="34BA9A5C" w14:textId="38F66499">
      <w:pPr>
        <w:pStyle w:val="ExhibitTitle"/>
        <w:rPr>
          <w:rFonts w:eastAsia="Calibri"/>
          <w:b w:val="0"/>
          <w:bCs/>
        </w:rPr>
      </w:pPr>
      <w:r w:rsidRPr="00B7366A">
        <w:rPr>
          <w:rFonts w:eastAsia="Calibri"/>
          <w:b w:val="0"/>
          <w:bCs/>
        </w:rPr>
        <w:t>T</w:t>
      </w:r>
      <w:r w:rsidRPr="00B7366A" w:rsidR="27C0A852">
        <w:rPr>
          <w:rFonts w:eastAsia="Calibri"/>
          <w:b w:val="0"/>
          <w:bCs/>
        </w:rPr>
        <w:t>able</w:t>
      </w:r>
      <w:r w:rsidRPr="00B7366A">
        <w:rPr>
          <w:rFonts w:eastAsia="Calibri"/>
          <w:b w:val="0"/>
          <w:bCs/>
        </w:rPr>
        <w:t xml:space="preserve"> 3</w:t>
      </w:r>
      <w:r w:rsidRPr="00B7366A" w:rsidR="22B073EC">
        <w:rPr>
          <w:rFonts w:eastAsia="Calibri"/>
          <w:b w:val="0"/>
          <w:bCs/>
        </w:rPr>
        <w:t>0</w:t>
      </w:r>
      <w:r w:rsidRPr="00B7366A">
        <w:rPr>
          <w:rFonts w:eastAsia="Calibri"/>
          <w:b w:val="0"/>
          <w:bCs/>
        </w:rPr>
        <w:t xml:space="preserve">E: </w:t>
      </w:r>
      <w:r w:rsidRPr="00B7366A" w:rsidR="50E824B5">
        <w:rPr>
          <w:rFonts w:eastAsia="Calibri"/>
          <w:b w:val="0"/>
          <w:bCs/>
        </w:rPr>
        <w:t>Burden Reconciliation for Third Party Intermediary Plan Audits</w:t>
      </w:r>
    </w:p>
    <w:tbl>
      <w:tblPr>
        <w:tblStyle w:val="TableGrid"/>
        <w:tblDescription w:val="Table 30E: the estimated change in burden to our currently approved burden estimates for the third-party intermediary plan audits."/>
        <w:tblW w:w="9265" w:type="dxa"/>
        <w:tblLayout w:type="fixed"/>
        <w:tblLook w:val="04A0"/>
      </w:tblPr>
      <w:tblGrid>
        <w:gridCol w:w="1165"/>
        <w:gridCol w:w="1350"/>
        <w:gridCol w:w="1170"/>
        <w:gridCol w:w="1080"/>
        <w:gridCol w:w="1350"/>
        <w:gridCol w:w="1080"/>
        <w:gridCol w:w="1080"/>
        <w:gridCol w:w="990"/>
      </w:tblGrid>
      <w:tr w14:paraId="1CEC1EF4" w14:textId="77777777" w:rsidTr="00E852D4">
        <w:tblPrEx>
          <w:tblW w:w="9265" w:type="dxa"/>
          <w:tblLayout w:type="fixed"/>
          <w:tblLook w:val="04A0"/>
        </w:tblPrEx>
        <w:trPr>
          <w:cantSplit/>
          <w:tblHeader/>
        </w:trPr>
        <w:tc>
          <w:tcPr>
            <w:tcW w:w="1165" w:type="dxa"/>
          </w:tcPr>
          <w:p w:rsidR="00F76B0E" w:rsidRPr="00DF4016" w:rsidP="0081082E" w14:paraId="75C08F44" w14:textId="77777777">
            <w:pPr>
              <w:pStyle w:val="Table10-ColumnHeading"/>
              <w:spacing w:before="0" w:after="0"/>
              <w:ind w:left="-14" w:right="0"/>
              <w:jc w:val="left"/>
            </w:pPr>
            <w:r w:rsidRPr="00DF4016">
              <w:t>Burden Category</w:t>
            </w:r>
          </w:p>
        </w:tc>
        <w:tc>
          <w:tcPr>
            <w:tcW w:w="1350" w:type="dxa"/>
          </w:tcPr>
          <w:p w:rsidR="00F76B0E" w:rsidRPr="00DF4016" w:rsidP="0081082E" w14:paraId="7745075B" w14:textId="77777777">
            <w:pPr>
              <w:pStyle w:val="Table10-ColumnHeading"/>
              <w:spacing w:before="0" w:after="0"/>
              <w:ind w:left="-14" w:right="-10"/>
            </w:pPr>
            <w:r w:rsidRPr="00DF4016">
              <w:t>Total Annual Respondents</w:t>
            </w:r>
          </w:p>
        </w:tc>
        <w:tc>
          <w:tcPr>
            <w:tcW w:w="1170" w:type="dxa"/>
          </w:tcPr>
          <w:p w:rsidR="00F76B0E" w:rsidRPr="00DF4016" w:rsidP="0081082E" w14:paraId="2E381E61" w14:textId="77777777">
            <w:pPr>
              <w:pStyle w:val="Table10-ColumnHeading"/>
              <w:spacing w:before="0" w:after="0"/>
              <w:ind w:left="-14" w:right="-10"/>
            </w:pPr>
            <w:r w:rsidRPr="00DF4016">
              <w:t>Response Frequency (per year)</w:t>
            </w:r>
          </w:p>
        </w:tc>
        <w:tc>
          <w:tcPr>
            <w:tcW w:w="1080" w:type="dxa"/>
          </w:tcPr>
          <w:p w:rsidR="00F76B0E" w:rsidRPr="00DF4016" w:rsidP="0081082E" w14:paraId="39F22D81" w14:textId="77777777">
            <w:pPr>
              <w:pStyle w:val="Table10-ColumnHeading"/>
              <w:spacing w:before="0" w:after="0"/>
              <w:ind w:left="-14" w:right="-10"/>
            </w:pPr>
            <w:r w:rsidRPr="00DF4016">
              <w:t>Total Annual Responses</w:t>
            </w:r>
          </w:p>
        </w:tc>
        <w:tc>
          <w:tcPr>
            <w:tcW w:w="1350" w:type="dxa"/>
          </w:tcPr>
          <w:p w:rsidR="00F76B0E" w:rsidRPr="00DF4016" w:rsidP="0081082E" w14:paraId="1AC88588" w14:textId="77777777">
            <w:pPr>
              <w:pStyle w:val="Table10-ColumnHeading"/>
              <w:spacing w:before="0" w:after="0"/>
              <w:ind w:left="-14" w:right="-110"/>
            </w:pPr>
            <w:r w:rsidRPr="00DF4016">
              <w:t>Time Per Response (hr)</w:t>
            </w:r>
          </w:p>
        </w:tc>
        <w:tc>
          <w:tcPr>
            <w:tcW w:w="1080" w:type="dxa"/>
          </w:tcPr>
          <w:p w:rsidR="00F76B0E" w:rsidRPr="00DF4016" w:rsidP="0081082E" w14:paraId="19B779D1" w14:textId="77777777">
            <w:pPr>
              <w:pStyle w:val="Table10-ColumnHeading"/>
              <w:spacing w:before="0" w:after="0"/>
              <w:ind w:left="-14" w:right="-10"/>
            </w:pPr>
            <w:r w:rsidRPr="00DF4016">
              <w:t>Total Annual Time (hr)</w:t>
            </w:r>
          </w:p>
        </w:tc>
        <w:tc>
          <w:tcPr>
            <w:tcW w:w="1080" w:type="dxa"/>
          </w:tcPr>
          <w:p w:rsidR="00F76B0E" w:rsidRPr="00DF4016" w:rsidP="00E852D4" w14:paraId="2EC8FE60" w14:textId="77777777">
            <w:pPr>
              <w:pStyle w:val="Table10-ColumnHeading"/>
              <w:tabs>
                <w:tab w:val="left" w:pos="870"/>
              </w:tabs>
              <w:spacing w:before="0" w:after="0"/>
              <w:ind w:left="-110" w:right="-10"/>
            </w:pPr>
            <w:r w:rsidRPr="00DF4016">
              <w:t>Labor Cost ($/hr)</w:t>
            </w:r>
          </w:p>
        </w:tc>
        <w:tc>
          <w:tcPr>
            <w:tcW w:w="990" w:type="dxa"/>
          </w:tcPr>
          <w:p w:rsidR="00F76B0E" w:rsidRPr="00DF4016" w:rsidP="00E852D4" w14:paraId="6FD36C3C" w14:textId="77777777">
            <w:pPr>
              <w:pStyle w:val="Table10-ColumnHeading"/>
              <w:tabs>
                <w:tab w:val="left" w:pos="870"/>
              </w:tabs>
              <w:spacing w:before="0" w:after="0"/>
              <w:ind w:left="-20" w:right="-10"/>
            </w:pPr>
            <w:r w:rsidRPr="00DF4016">
              <w:t>Total Annual Cost ($)</w:t>
            </w:r>
          </w:p>
        </w:tc>
      </w:tr>
      <w:tr w14:paraId="0A39EE6F" w14:textId="77777777" w:rsidTr="00E852D4">
        <w:tblPrEx>
          <w:tblW w:w="9265" w:type="dxa"/>
          <w:tblLayout w:type="fixed"/>
          <w:tblLook w:val="04A0"/>
        </w:tblPrEx>
        <w:trPr>
          <w:cantSplit/>
        </w:trPr>
        <w:tc>
          <w:tcPr>
            <w:tcW w:w="1165" w:type="dxa"/>
          </w:tcPr>
          <w:p w:rsidR="00F53045" w:rsidRPr="00BB7053" w:rsidP="0081082E" w14:paraId="296C3283" w14:textId="77777777">
            <w:pPr>
              <w:pStyle w:val="Table10Basic"/>
              <w:keepNext/>
              <w:spacing w:before="0" w:after="0"/>
              <w:ind w:left="-14"/>
            </w:pPr>
            <w:r>
              <w:t xml:space="preserve">Currently Approved </w:t>
            </w:r>
          </w:p>
        </w:tc>
        <w:tc>
          <w:tcPr>
            <w:tcW w:w="1350" w:type="dxa"/>
          </w:tcPr>
          <w:p w:rsidR="00F53045" w:rsidRPr="00BB7053" w:rsidP="0081082E" w14:paraId="36DA8416" w14:textId="5F7E0923">
            <w:pPr>
              <w:pStyle w:val="Table10Centered"/>
              <w:keepNext/>
              <w:spacing w:before="0" w:after="0"/>
              <w:ind w:left="-14" w:right="-10"/>
            </w:pPr>
            <w:r>
              <w:t>126</w:t>
            </w:r>
          </w:p>
        </w:tc>
        <w:tc>
          <w:tcPr>
            <w:tcW w:w="1170" w:type="dxa"/>
          </w:tcPr>
          <w:p w:rsidR="00F53045" w:rsidRPr="00BB7053" w:rsidP="0081082E" w14:paraId="780A182E" w14:textId="01316F77">
            <w:pPr>
              <w:pStyle w:val="Table10Centered"/>
              <w:keepNext/>
              <w:spacing w:before="0" w:after="0"/>
              <w:ind w:left="-14" w:right="-10"/>
            </w:pPr>
            <w:r>
              <w:t>1</w:t>
            </w:r>
          </w:p>
        </w:tc>
        <w:tc>
          <w:tcPr>
            <w:tcW w:w="1080" w:type="dxa"/>
          </w:tcPr>
          <w:p w:rsidR="00F53045" w:rsidRPr="00BB7053" w:rsidP="0081082E" w14:paraId="364E94E6" w14:textId="608DE359">
            <w:pPr>
              <w:pStyle w:val="Table10Centered"/>
              <w:keepNext/>
              <w:spacing w:before="0" w:after="0"/>
              <w:ind w:left="-14" w:right="-10"/>
            </w:pPr>
            <w:r>
              <w:t>126</w:t>
            </w:r>
          </w:p>
        </w:tc>
        <w:tc>
          <w:tcPr>
            <w:tcW w:w="1350" w:type="dxa"/>
          </w:tcPr>
          <w:p w:rsidR="00F53045" w:rsidRPr="00BB7053" w:rsidP="0081082E" w14:paraId="7FB2FC84" w14:textId="3E57B33C">
            <w:pPr>
              <w:pStyle w:val="Table10Centered"/>
              <w:keepNext/>
              <w:spacing w:before="0" w:after="0"/>
              <w:ind w:left="-14" w:right="-10"/>
            </w:pPr>
            <w:r>
              <w:t>Varies</w:t>
            </w:r>
          </w:p>
        </w:tc>
        <w:tc>
          <w:tcPr>
            <w:tcW w:w="1080" w:type="dxa"/>
          </w:tcPr>
          <w:p w:rsidR="00F53045" w:rsidRPr="00BB7053" w:rsidP="0081082E" w14:paraId="108E404D" w14:textId="4583EB4C">
            <w:pPr>
              <w:pStyle w:val="Table10Centered"/>
              <w:keepNext/>
              <w:spacing w:before="0" w:after="0"/>
              <w:ind w:left="-14" w:right="-10"/>
            </w:pPr>
            <w:r>
              <w:t>499</w:t>
            </w:r>
          </w:p>
        </w:tc>
        <w:tc>
          <w:tcPr>
            <w:tcW w:w="1080" w:type="dxa"/>
          </w:tcPr>
          <w:p w:rsidR="00F53045" w:rsidRPr="00BB7053" w:rsidP="00E852D4" w14:paraId="3C4596A0" w14:textId="70E6AF07">
            <w:pPr>
              <w:pStyle w:val="Table10Centered"/>
              <w:keepNext/>
              <w:tabs>
                <w:tab w:val="left" w:pos="870"/>
              </w:tabs>
              <w:spacing w:before="0" w:after="0"/>
              <w:ind w:left="-20" w:right="-10"/>
            </w:pPr>
            <w:r>
              <w:t>106.54</w:t>
            </w:r>
          </w:p>
        </w:tc>
        <w:tc>
          <w:tcPr>
            <w:tcW w:w="990" w:type="dxa"/>
          </w:tcPr>
          <w:p w:rsidR="00F53045" w:rsidRPr="00BB7053" w:rsidP="00E852D4" w14:paraId="54B04AFF" w14:textId="5CD59960">
            <w:pPr>
              <w:pStyle w:val="Table10Centered"/>
              <w:keepNext/>
              <w:tabs>
                <w:tab w:val="left" w:pos="870"/>
              </w:tabs>
              <w:spacing w:before="0" w:after="0"/>
              <w:ind w:left="-20" w:right="-10"/>
            </w:pPr>
            <w:r>
              <w:t>53,164</w:t>
            </w:r>
          </w:p>
        </w:tc>
      </w:tr>
      <w:tr w14:paraId="6FDAA899" w14:textId="77777777" w:rsidTr="00E852D4">
        <w:tblPrEx>
          <w:tblW w:w="9265" w:type="dxa"/>
          <w:tblLayout w:type="fixed"/>
          <w:tblLook w:val="04A0"/>
        </w:tblPrEx>
        <w:trPr>
          <w:cantSplit/>
        </w:trPr>
        <w:tc>
          <w:tcPr>
            <w:tcW w:w="1165" w:type="dxa"/>
          </w:tcPr>
          <w:p w:rsidR="00F76B0E" w:rsidRPr="00BB7053" w:rsidP="0081082E" w14:paraId="6B7CCAF9" w14:textId="3DA493E0">
            <w:pPr>
              <w:pStyle w:val="Table10Basic"/>
              <w:keepNext/>
              <w:spacing w:before="0" w:after="0"/>
              <w:ind w:left="-14"/>
            </w:pPr>
            <w:r>
              <w:t>Requested</w:t>
            </w:r>
            <w:r>
              <w:t xml:space="preserve"> </w:t>
            </w:r>
            <w:r w:rsidRPr="00A67FD9">
              <w:t>(See Table</w:t>
            </w:r>
            <w:r w:rsidR="009E40D8">
              <w:t xml:space="preserve">s </w:t>
            </w:r>
            <w:r w:rsidR="00DF7717">
              <w:t>7</w:t>
            </w:r>
            <w:r w:rsidR="009E40D8">
              <w:t xml:space="preserve"> and</w:t>
            </w:r>
            <w:r w:rsidRPr="00A67FD9">
              <w:t xml:space="preserve"> </w:t>
            </w:r>
            <w:r w:rsidR="00DF7717">
              <w:t>8</w:t>
            </w:r>
            <w:r w:rsidRPr="00A67FD9">
              <w:t>)</w:t>
            </w:r>
          </w:p>
        </w:tc>
        <w:tc>
          <w:tcPr>
            <w:tcW w:w="1350" w:type="dxa"/>
          </w:tcPr>
          <w:p w:rsidR="00F76B0E" w:rsidRPr="00584C50" w:rsidP="0081082E" w14:paraId="2D83AA92" w14:textId="36CAB4D4">
            <w:pPr>
              <w:pStyle w:val="Table10Centered"/>
              <w:keepNext/>
              <w:spacing w:before="0" w:after="0"/>
              <w:ind w:left="-14" w:right="-10"/>
            </w:pPr>
            <w:r w:rsidRPr="00584C50">
              <w:t>42</w:t>
            </w:r>
          </w:p>
        </w:tc>
        <w:tc>
          <w:tcPr>
            <w:tcW w:w="1170" w:type="dxa"/>
          </w:tcPr>
          <w:p w:rsidR="00F76B0E" w:rsidRPr="00584C50" w:rsidP="0081082E" w14:paraId="2F335D1C" w14:textId="77777777">
            <w:pPr>
              <w:pStyle w:val="Table10Centered"/>
              <w:keepNext/>
              <w:spacing w:before="0" w:after="0"/>
              <w:ind w:left="-14" w:right="-10"/>
            </w:pPr>
            <w:r w:rsidRPr="00584C50">
              <w:t>1</w:t>
            </w:r>
          </w:p>
        </w:tc>
        <w:tc>
          <w:tcPr>
            <w:tcW w:w="1080" w:type="dxa"/>
          </w:tcPr>
          <w:p w:rsidR="00F76B0E" w:rsidRPr="00584C50" w:rsidP="0081082E" w14:paraId="6087CC3E" w14:textId="1988010F">
            <w:pPr>
              <w:pStyle w:val="Table10Centered"/>
              <w:keepNext/>
              <w:spacing w:before="0" w:after="0"/>
              <w:ind w:left="-14" w:right="-10"/>
            </w:pPr>
            <w:r w:rsidRPr="00584C50">
              <w:t>42</w:t>
            </w:r>
          </w:p>
        </w:tc>
        <w:tc>
          <w:tcPr>
            <w:tcW w:w="1350" w:type="dxa"/>
          </w:tcPr>
          <w:p w:rsidR="00F76B0E" w:rsidRPr="00584C50" w:rsidP="0081082E" w14:paraId="54B354E4" w14:textId="60A5C7B3">
            <w:pPr>
              <w:pStyle w:val="Table10Centered"/>
              <w:keepNext/>
              <w:spacing w:before="0" w:after="0"/>
              <w:ind w:left="-14" w:right="-10"/>
            </w:pPr>
            <w:r w:rsidRPr="00584C50">
              <w:t>Varies</w:t>
            </w:r>
          </w:p>
        </w:tc>
        <w:tc>
          <w:tcPr>
            <w:tcW w:w="1080" w:type="dxa"/>
          </w:tcPr>
          <w:p w:rsidR="00F76B0E" w:rsidRPr="00584C50" w:rsidP="0081082E" w14:paraId="7ECC9E05" w14:textId="119D6056">
            <w:pPr>
              <w:pStyle w:val="Table10Centered"/>
              <w:keepNext/>
              <w:spacing w:before="0" w:after="0"/>
              <w:ind w:left="-14" w:right="-10"/>
            </w:pPr>
            <w:r w:rsidRPr="00584C50">
              <w:t>263</w:t>
            </w:r>
          </w:p>
        </w:tc>
        <w:tc>
          <w:tcPr>
            <w:tcW w:w="1080" w:type="dxa"/>
          </w:tcPr>
          <w:p w:rsidR="00F76B0E" w:rsidRPr="00584C50" w:rsidP="00E852D4" w14:paraId="0AD714F0" w14:textId="2721DA78">
            <w:pPr>
              <w:pStyle w:val="Table10Centered"/>
              <w:keepNext/>
              <w:tabs>
                <w:tab w:val="left" w:pos="870"/>
              </w:tabs>
              <w:spacing w:before="0" w:after="0"/>
              <w:ind w:left="-20" w:right="-10"/>
            </w:pPr>
            <w:r w:rsidRPr="00584C50">
              <w:t>106.54</w:t>
            </w:r>
          </w:p>
        </w:tc>
        <w:tc>
          <w:tcPr>
            <w:tcW w:w="990" w:type="dxa"/>
          </w:tcPr>
          <w:p w:rsidR="00F76B0E" w:rsidRPr="00584C50" w:rsidP="00E852D4" w14:paraId="784AFD0C" w14:textId="63508FA2">
            <w:pPr>
              <w:pStyle w:val="Table10Centered"/>
              <w:keepNext/>
              <w:tabs>
                <w:tab w:val="left" w:pos="870"/>
              </w:tabs>
              <w:spacing w:before="0" w:after="0"/>
              <w:ind w:left="-20" w:right="-10"/>
            </w:pPr>
            <w:r w:rsidRPr="00584C50">
              <w:t>28,02</w:t>
            </w:r>
            <w:r w:rsidRPr="00584C50" w:rsidR="00E86CB1">
              <w:t>1</w:t>
            </w:r>
          </w:p>
        </w:tc>
      </w:tr>
      <w:tr w14:paraId="65AA63F3" w14:textId="77777777" w:rsidTr="00E852D4">
        <w:tblPrEx>
          <w:tblW w:w="9265" w:type="dxa"/>
          <w:tblLayout w:type="fixed"/>
          <w:tblLook w:val="04A0"/>
        </w:tblPrEx>
        <w:trPr>
          <w:cantSplit/>
        </w:trPr>
        <w:tc>
          <w:tcPr>
            <w:tcW w:w="1165" w:type="dxa"/>
            <w:shd w:val="clear" w:color="auto" w:fill="D9D9D9" w:themeFill="background1" w:themeFillShade="D9"/>
          </w:tcPr>
          <w:p w:rsidR="00F76B0E" w:rsidRPr="00BB7053" w:rsidP="0081082E" w14:paraId="3282DD82" w14:textId="77777777">
            <w:pPr>
              <w:pStyle w:val="Table10Basic"/>
              <w:spacing w:before="0" w:after="0"/>
              <w:ind w:left="-14"/>
            </w:pPr>
            <w:r>
              <w:t>Adjustment</w:t>
            </w:r>
          </w:p>
        </w:tc>
        <w:tc>
          <w:tcPr>
            <w:tcW w:w="1350" w:type="dxa"/>
            <w:shd w:val="clear" w:color="auto" w:fill="D9D9D9" w:themeFill="background1" w:themeFillShade="D9"/>
          </w:tcPr>
          <w:p w:rsidR="00F76B0E" w:rsidRPr="00584C50" w:rsidP="0081082E" w14:paraId="61789BAB" w14:textId="24A32800">
            <w:pPr>
              <w:pStyle w:val="Table10Centered"/>
              <w:spacing w:before="0" w:after="0"/>
              <w:ind w:left="-14" w:right="-10"/>
            </w:pPr>
            <w:r w:rsidRPr="00584C50">
              <w:t>-</w:t>
            </w:r>
            <w:r w:rsidRPr="00584C50" w:rsidR="00A83843">
              <w:t>84</w:t>
            </w:r>
          </w:p>
        </w:tc>
        <w:tc>
          <w:tcPr>
            <w:tcW w:w="1170" w:type="dxa"/>
            <w:shd w:val="clear" w:color="auto" w:fill="D9D9D9" w:themeFill="background1" w:themeFillShade="D9"/>
          </w:tcPr>
          <w:p w:rsidR="00F76B0E" w:rsidRPr="00584C50" w:rsidP="0081082E" w14:paraId="6AF8C7FC" w14:textId="77777777">
            <w:pPr>
              <w:pStyle w:val="Table10Centered"/>
              <w:spacing w:before="0" w:after="0"/>
              <w:ind w:left="-14" w:right="-10"/>
            </w:pPr>
            <w:r w:rsidRPr="00584C50">
              <w:t>No change</w:t>
            </w:r>
          </w:p>
        </w:tc>
        <w:tc>
          <w:tcPr>
            <w:tcW w:w="1080" w:type="dxa"/>
            <w:shd w:val="clear" w:color="auto" w:fill="D9D9D9" w:themeFill="background1" w:themeFillShade="D9"/>
          </w:tcPr>
          <w:p w:rsidR="00F76B0E" w:rsidRPr="00584C50" w:rsidP="0081082E" w14:paraId="651CF8B8" w14:textId="6201C837">
            <w:pPr>
              <w:pStyle w:val="Table10Centered"/>
              <w:spacing w:before="0" w:after="0"/>
              <w:ind w:left="-14" w:right="-10"/>
            </w:pPr>
            <w:r w:rsidRPr="00584C50">
              <w:t>-84</w:t>
            </w:r>
          </w:p>
        </w:tc>
        <w:tc>
          <w:tcPr>
            <w:tcW w:w="1350" w:type="dxa"/>
            <w:shd w:val="clear" w:color="auto" w:fill="D9D9D9" w:themeFill="background1" w:themeFillShade="D9"/>
          </w:tcPr>
          <w:p w:rsidR="00F76B0E" w:rsidRPr="00584C50" w:rsidP="0081082E" w14:paraId="237E9385" w14:textId="757EC818">
            <w:pPr>
              <w:pStyle w:val="Table10Centered"/>
              <w:spacing w:before="0" w:after="0"/>
              <w:ind w:left="-14" w:right="-10"/>
            </w:pPr>
            <w:r w:rsidRPr="00584C50">
              <w:t>Varies</w:t>
            </w:r>
          </w:p>
        </w:tc>
        <w:tc>
          <w:tcPr>
            <w:tcW w:w="1080" w:type="dxa"/>
            <w:shd w:val="clear" w:color="auto" w:fill="D9D9D9" w:themeFill="background1" w:themeFillShade="D9"/>
          </w:tcPr>
          <w:p w:rsidR="00F76B0E" w:rsidRPr="00584C50" w:rsidP="0081082E" w14:paraId="49EE25A4" w14:textId="796ACD01">
            <w:pPr>
              <w:pStyle w:val="Table10Centered"/>
              <w:spacing w:before="0" w:after="0"/>
              <w:ind w:left="-14" w:right="-10"/>
            </w:pPr>
            <w:r w:rsidRPr="00584C50">
              <w:t>-</w:t>
            </w:r>
            <w:r w:rsidRPr="00584C50" w:rsidR="009A66E2">
              <w:t>2</w:t>
            </w:r>
            <w:r w:rsidRPr="00584C50" w:rsidR="00A927AA">
              <w:t>36</w:t>
            </w:r>
          </w:p>
        </w:tc>
        <w:tc>
          <w:tcPr>
            <w:tcW w:w="1080" w:type="dxa"/>
            <w:shd w:val="clear" w:color="auto" w:fill="D9D9D9" w:themeFill="background1" w:themeFillShade="D9"/>
          </w:tcPr>
          <w:p w:rsidR="00F76B0E" w:rsidRPr="00584C50" w:rsidP="0081082E" w14:paraId="5026D3A0" w14:textId="69B338DE">
            <w:pPr>
              <w:pStyle w:val="Table10Centered"/>
              <w:spacing w:before="0" w:after="0"/>
              <w:ind w:left="-14" w:right="-10"/>
            </w:pPr>
            <w:r w:rsidRPr="00584C50">
              <w:t>No change</w:t>
            </w:r>
          </w:p>
        </w:tc>
        <w:tc>
          <w:tcPr>
            <w:tcW w:w="990" w:type="dxa"/>
            <w:shd w:val="clear" w:color="auto" w:fill="D9D9D9" w:themeFill="background1" w:themeFillShade="D9"/>
          </w:tcPr>
          <w:p w:rsidR="00F76B0E" w:rsidRPr="00584C50" w:rsidP="0081082E" w14:paraId="7C91932A" w14:textId="11479634">
            <w:pPr>
              <w:pStyle w:val="Table10Centered"/>
              <w:spacing w:before="0" w:after="0"/>
              <w:ind w:left="-14" w:right="-10"/>
            </w:pPr>
            <w:r w:rsidRPr="00584C50">
              <w:t>-</w:t>
            </w:r>
            <w:r w:rsidRPr="00584C50" w:rsidR="00DA3B26">
              <w:t>2</w:t>
            </w:r>
            <w:r w:rsidRPr="00584C50" w:rsidR="005413C8">
              <w:t>5,</w:t>
            </w:r>
            <w:r w:rsidRPr="00584C50" w:rsidR="4B081844">
              <w:t>14</w:t>
            </w:r>
            <w:r w:rsidRPr="00584C50" w:rsidR="5E8AB3E6">
              <w:t>3</w:t>
            </w:r>
          </w:p>
        </w:tc>
      </w:tr>
    </w:tbl>
    <w:p w:rsidR="003C6D38" w:rsidRPr="00B7366A" w:rsidP="00361BB4" w14:paraId="31BE246C" w14:textId="7E5A7AF3">
      <w:pPr>
        <w:pStyle w:val="ExhibitTitle"/>
        <w:rPr>
          <w:rFonts w:eastAsia="Calibri"/>
          <w:b w:val="0"/>
          <w:bCs/>
        </w:rPr>
      </w:pPr>
      <w:r w:rsidRPr="00B7366A">
        <w:rPr>
          <w:rFonts w:eastAsia="Calibri"/>
          <w:b w:val="0"/>
          <w:bCs/>
        </w:rPr>
        <w:t>T</w:t>
      </w:r>
      <w:r w:rsidRPr="00B7366A" w:rsidR="132D0E07">
        <w:rPr>
          <w:rFonts w:eastAsia="Calibri"/>
          <w:b w:val="0"/>
          <w:bCs/>
        </w:rPr>
        <w:t>able</w:t>
      </w:r>
      <w:r w:rsidRPr="00B7366A">
        <w:rPr>
          <w:rFonts w:eastAsia="Calibri"/>
          <w:b w:val="0"/>
          <w:bCs/>
        </w:rPr>
        <w:t xml:space="preserve"> </w:t>
      </w:r>
      <w:r w:rsidRPr="00B7366A" w:rsidR="5A15C2ED">
        <w:rPr>
          <w:rFonts w:eastAsia="Calibri"/>
          <w:b w:val="0"/>
          <w:bCs/>
        </w:rPr>
        <w:t>3</w:t>
      </w:r>
      <w:r w:rsidRPr="00B7366A" w:rsidR="4F5A604D">
        <w:rPr>
          <w:rFonts w:eastAsia="Calibri"/>
          <w:b w:val="0"/>
          <w:bCs/>
        </w:rPr>
        <w:t>0</w:t>
      </w:r>
      <w:r w:rsidRPr="00B7366A" w:rsidR="2AC054FE">
        <w:rPr>
          <w:rFonts w:eastAsia="Calibri"/>
          <w:b w:val="0"/>
          <w:bCs/>
        </w:rPr>
        <w:t>F</w:t>
      </w:r>
      <w:r w:rsidRPr="00B7366A">
        <w:rPr>
          <w:rFonts w:eastAsia="Calibri"/>
          <w:b w:val="0"/>
          <w:bCs/>
        </w:rPr>
        <w:t xml:space="preserve">: Burden Reconciliation for </w:t>
      </w:r>
      <w:r w:rsidRPr="00B7366A" w:rsidR="6F7CFD7E">
        <w:rPr>
          <w:rFonts w:eastAsia="Calibri"/>
          <w:b w:val="0"/>
          <w:bCs/>
        </w:rPr>
        <w:t>Quality Payment Program Identity Management Application Process</w:t>
      </w:r>
    </w:p>
    <w:tbl>
      <w:tblPr>
        <w:tblStyle w:val="TableGrid"/>
        <w:tblDescription w:val="Table 30F: the estimated change in burden to our currently approved burden estimates for the Q P P identity management application process."/>
        <w:tblW w:w="9535" w:type="dxa"/>
        <w:tblLayout w:type="fixed"/>
        <w:tblLook w:val="04A0"/>
      </w:tblPr>
      <w:tblGrid>
        <w:gridCol w:w="1435"/>
        <w:gridCol w:w="1170"/>
        <w:gridCol w:w="1170"/>
        <w:gridCol w:w="1080"/>
        <w:gridCol w:w="1350"/>
        <w:gridCol w:w="990"/>
        <w:gridCol w:w="1170"/>
        <w:gridCol w:w="1170"/>
      </w:tblGrid>
      <w:tr w14:paraId="29437C65" w14:textId="77777777" w:rsidTr="0081082E">
        <w:tblPrEx>
          <w:tblW w:w="9535" w:type="dxa"/>
          <w:tblLayout w:type="fixed"/>
          <w:tblLook w:val="04A0"/>
        </w:tblPrEx>
        <w:trPr>
          <w:cantSplit/>
          <w:tblHeader/>
        </w:trPr>
        <w:tc>
          <w:tcPr>
            <w:tcW w:w="1435" w:type="dxa"/>
            <w:tcMar>
              <w:left w:w="14" w:type="dxa"/>
              <w:right w:w="14" w:type="dxa"/>
            </w:tcMar>
          </w:tcPr>
          <w:p w:rsidR="003C6D38" w:rsidRPr="001212E7" w:rsidP="0081082E" w14:paraId="6688235E" w14:textId="77777777">
            <w:pPr>
              <w:pStyle w:val="Table10-ColumnHeading"/>
              <w:spacing w:before="0" w:after="0"/>
              <w:jc w:val="left"/>
            </w:pPr>
            <w:r w:rsidRPr="001212E7">
              <w:t>Burden Category</w:t>
            </w:r>
          </w:p>
        </w:tc>
        <w:tc>
          <w:tcPr>
            <w:tcW w:w="1170" w:type="dxa"/>
            <w:tcMar>
              <w:left w:w="14" w:type="dxa"/>
              <w:right w:w="14" w:type="dxa"/>
            </w:tcMar>
          </w:tcPr>
          <w:p w:rsidR="003C6D38" w:rsidRPr="001212E7" w:rsidP="0081082E" w14:paraId="0FC1A8B7" w14:textId="77777777">
            <w:pPr>
              <w:pStyle w:val="Table10-ColumnHeading"/>
              <w:spacing w:before="0" w:after="0"/>
              <w:ind w:left="0" w:right="0"/>
            </w:pPr>
            <w:r w:rsidRPr="001212E7">
              <w:t>Total Annual Respondents</w:t>
            </w:r>
          </w:p>
        </w:tc>
        <w:tc>
          <w:tcPr>
            <w:tcW w:w="1170" w:type="dxa"/>
            <w:tcMar>
              <w:left w:w="14" w:type="dxa"/>
              <w:right w:w="14" w:type="dxa"/>
            </w:tcMar>
          </w:tcPr>
          <w:p w:rsidR="003C6D38" w:rsidRPr="001212E7" w:rsidP="0081082E" w14:paraId="1372269C" w14:textId="77777777">
            <w:pPr>
              <w:pStyle w:val="Table10-ColumnHeading"/>
              <w:spacing w:before="0" w:after="0"/>
              <w:ind w:left="-50" w:right="0"/>
            </w:pPr>
            <w:r w:rsidRPr="001212E7">
              <w:t>Response Frequency (per year)</w:t>
            </w:r>
          </w:p>
        </w:tc>
        <w:tc>
          <w:tcPr>
            <w:tcW w:w="1080" w:type="dxa"/>
            <w:tcMar>
              <w:left w:w="14" w:type="dxa"/>
              <w:right w:w="14" w:type="dxa"/>
            </w:tcMar>
          </w:tcPr>
          <w:p w:rsidR="003C6D38" w:rsidRPr="001212E7" w:rsidP="0081082E" w14:paraId="1D3FF602" w14:textId="77777777">
            <w:pPr>
              <w:pStyle w:val="Table10-ColumnHeading"/>
              <w:spacing w:before="0" w:after="0"/>
              <w:ind w:left="-50" w:right="0"/>
            </w:pPr>
            <w:r w:rsidRPr="001212E7">
              <w:t>Total Annual Responses</w:t>
            </w:r>
          </w:p>
        </w:tc>
        <w:tc>
          <w:tcPr>
            <w:tcW w:w="1350" w:type="dxa"/>
            <w:tcMar>
              <w:left w:w="14" w:type="dxa"/>
              <w:right w:w="14" w:type="dxa"/>
            </w:tcMar>
          </w:tcPr>
          <w:p w:rsidR="003C6D38" w:rsidRPr="001212E7" w:rsidP="0081082E" w14:paraId="39CD5B35" w14:textId="77777777">
            <w:pPr>
              <w:pStyle w:val="Table10-ColumnHeading"/>
              <w:spacing w:before="0" w:after="0"/>
              <w:ind w:left="-50" w:right="0"/>
            </w:pPr>
            <w:r w:rsidRPr="001212E7">
              <w:t>Time Per Response (hr)</w:t>
            </w:r>
          </w:p>
        </w:tc>
        <w:tc>
          <w:tcPr>
            <w:tcW w:w="990" w:type="dxa"/>
            <w:tcMar>
              <w:left w:w="14" w:type="dxa"/>
              <w:right w:w="14" w:type="dxa"/>
            </w:tcMar>
          </w:tcPr>
          <w:p w:rsidR="003C6D38" w:rsidRPr="001212E7" w:rsidP="0081082E" w14:paraId="1630C7BD" w14:textId="77777777">
            <w:pPr>
              <w:pStyle w:val="Table10-ColumnHeading"/>
              <w:spacing w:before="0" w:after="0"/>
              <w:ind w:left="-50" w:right="0"/>
            </w:pPr>
            <w:r w:rsidRPr="001212E7">
              <w:t>Total Annual Time (hr)</w:t>
            </w:r>
          </w:p>
        </w:tc>
        <w:tc>
          <w:tcPr>
            <w:tcW w:w="1170" w:type="dxa"/>
            <w:tcMar>
              <w:left w:w="14" w:type="dxa"/>
              <w:right w:w="14" w:type="dxa"/>
            </w:tcMar>
          </w:tcPr>
          <w:p w:rsidR="003C6D38" w:rsidRPr="001212E7" w:rsidP="0081082E" w14:paraId="686B5C13" w14:textId="059B5856">
            <w:pPr>
              <w:pStyle w:val="Table10-ColumnHeading"/>
              <w:spacing w:before="0" w:after="0"/>
              <w:ind w:left="-50" w:right="0"/>
            </w:pPr>
            <w:r w:rsidRPr="001212E7">
              <w:t>Labor</w:t>
            </w:r>
            <w:r w:rsidR="00C20704">
              <w:t xml:space="preserve"> </w:t>
            </w:r>
            <w:r w:rsidRPr="001212E7">
              <w:t>Cost</w:t>
            </w:r>
            <w:r w:rsidR="00076FDB">
              <w:t xml:space="preserve"> </w:t>
            </w:r>
            <w:r w:rsidRPr="001212E7">
              <w:t>($/h</w:t>
            </w:r>
            <w:r w:rsidR="00381507">
              <w:t>r</w:t>
            </w:r>
            <w:r w:rsidRPr="001212E7">
              <w:t>)</w:t>
            </w:r>
          </w:p>
        </w:tc>
        <w:tc>
          <w:tcPr>
            <w:tcW w:w="1170" w:type="dxa"/>
            <w:tcMar>
              <w:left w:w="14" w:type="dxa"/>
              <w:right w:w="14" w:type="dxa"/>
            </w:tcMar>
          </w:tcPr>
          <w:p w:rsidR="003C6D38" w:rsidRPr="001212E7" w:rsidP="0081082E" w14:paraId="79B82A80" w14:textId="77777777">
            <w:pPr>
              <w:pStyle w:val="Table10-ColumnHeading"/>
              <w:spacing w:before="0" w:after="0"/>
              <w:ind w:left="-50" w:right="0"/>
            </w:pPr>
            <w:r w:rsidRPr="001212E7">
              <w:t>Total Annual Cost ($)</w:t>
            </w:r>
          </w:p>
        </w:tc>
      </w:tr>
      <w:tr w14:paraId="4400BC87" w14:textId="77777777" w:rsidTr="0081082E">
        <w:tblPrEx>
          <w:tblW w:w="9535" w:type="dxa"/>
          <w:tblLayout w:type="fixed"/>
          <w:tblLook w:val="04A0"/>
        </w:tblPrEx>
        <w:trPr>
          <w:cantSplit/>
        </w:trPr>
        <w:tc>
          <w:tcPr>
            <w:tcW w:w="1435" w:type="dxa"/>
          </w:tcPr>
          <w:p w:rsidR="00303707" w:rsidRPr="00BB7053" w:rsidP="0081082E" w14:paraId="1D07E6F7" w14:textId="527E2587">
            <w:pPr>
              <w:pStyle w:val="Table10Basic"/>
              <w:spacing w:before="0" w:after="0"/>
            </w:pPr>
            <w:r>
              <w:t xml:space="preserve">Currently Approved </w:t>
            </w:r>
          </w:p>
        </w:tc>
        <w:tc>
          <w:tcPr>
            <w:tcW w:w="1170" w:type="dxa"/>
          </w:tcPr>
          <w:p w:rsidR="00303707" w:rsidRPr="00BB7053" w:rsidP="0081082E" w14:paraId="53345504" w14:textId="702BB00A">
            <w:pPr>
              <w:pStyle w:val="Table10Centered"/>
              <w:spacing w:before="0" w:after="0"/>
              <w:ind w:left="-50"/>
            </w:pPr>
            <w:r>
              <w:t>6,500</w:t>
            </w:r>
          </w:p>
        </w:tc>
        <w:tc>
          <w:tcPr>
            <w:tcW w:w="1170" w:type="dxa"/>
          </w:tcPr>
          <w:p w:rsidR="00303707" w:rsidRPr="00BB7053" w:rsidP="0081082E" w14:paraId="19AE58A4" w14:textId="570D61E6">
            <w:pPr>
              <w:pStyle w:val="Table10Centered"/>
              <w:spacing w:before="0" w:after="0"/>
              <w:ind w:left="-50"/>
            </w:pPr>
            <w:r>
              <w:t>1</w:t>
            </w:r>
          </w:p>
        </w:tc>
        <w:tc>
          <w:tcPr>
            <w:tcW w:w="1080" w:type="dxa"/>
          </w:tcPr>
          <w:p w:rsidR="00303707" w:rsidRPr="00BB7053" w:rsidP="0081082E" w14:paraId="508B4B6B" w14:textId="37718E8B">
            <w:pPr>
              <w:pStyle w:val="Table10Centered"/>
              <w:spacing w:before="0" w:after="0"/>
              <w:ind w:left="-50"/>
            </w:pPr>
            <w:r>
              <w:t>6,500</w:t>
            </w:r>
          </w:p>
        </w:tc>
        <w:tc>
          <w:tcPr>
            <w:tcW w:w="1350" w:type="dxa"/>
          </w:tcPr>
          <w:p w:rsidR="00303707" w:rsidRPr="00BB7053" w:rsidP="0081082E" w14:paraId="0AD9186C" w14:textId="1A764A1B">
            <w:pPr>
              <w:pStyle w:val="Table10Centered"/>
              <w:spacing w:before="0" w:after="0"/>
              <w:ind w:left="-50"/>
            </w:pPr>
            <w:r>
              <w:t>1</w:t>
            </w:r>
          </w:p>
        </w:tc>
        <w:tc>
          <w:tcPr>
            <w:tcW w:w="990" w:type="dxa"/>
          </w:tcPr>
          <w:p w:rsidR="00303707" w:rsidRPr="00BB7053" w:rsidP="0081082E" w14:paraId="458AA4D3" w14:textId="4705BEF5">
            <w:pPr>
              <w:pStyle w:val="Table10Centered"/>
              <w:spacing w:before="0" w:after="0"/>
              <w:ind w:left="-50"/>
            </w:pPr>
            <w:r>
              <w:t>6,500</w:t>
            </w:r>
          </w:p>
        </w:tc>
        <w:tc>
          <w:tcPr>
            <w:tcW w:w="1170" w:type="dxa"/>
          </w:tcPr>
          <w:p w:rsidR="00303707" w:rsidRPr="00BB7053" w:rsidP="0081082E" w14:paraId="72E21854" w14:textId="427B8BFA">
            <w:pPr>
              <w:pStyle w:val="Table10Centered"/>
              <w:spacing w:before="0" w:after="0"/>
              <w:ind w:left="-50"/>
            </w:pPr>
            <w:r>
              <w:t>106.54</w:t>
            </w:r>
          </w:p>
        </w:tc>
        <w:tc>
          <w:tcPr>
            <w:tcW w:w="1170" w:type="dxa"/>
          </w:tcPr>
          <w:p w:rsidR="00303707" w:rsidRPr="00BB7053" w:rsidP="0081082E" w14:paraId="66CC3B02" w14:textId="18B5E0E5">
            <w:pPr>
              <w:pStyle w:val="Table10Centered"/>
              <w:spacing w:before="0" w:after="0"/>
              <w:ind w:left="-50"/>
            </w:pPr>
            <w:r>
              <w:t>692,510</w:t>
            </w:r>
          </w:p>
        </w:tc>
      </w:tr>
      <w:tr w14:paraId="6FBC8BD8" w14:textId="77777777" w:rsidTr="0081082E">
        <w:tblPrEx>
          <w:tblW w:w="9535" w:type="dxa"/>
          <w:tblLayout w:type="fixed"/>
          <w:tblLook w:val="04A0"/>
        </w:tblPrEx>
        <w:trPr>
          <w:cantSplit/>
        </w:trPr>
        <w:tc>
          <w:tcPr>
            <w:tcW w:w="1435" w:type="dxa"/>
          </w:tcPr>
          <w:p w:rsidR="00A27B9E" w:rsidP="0081082E" w14:paraId="052106E0" w14:textId="77777777">
            <w:pPr>
              <w:pStyle w:val="Table10Basic"/>
              <w:spacing w:before="0" w:after="0"/>
              <w:ind w:left="-20"/>
            </w:pPr>
            <w:r>
              <w:t>Requested</w:t>
            </w:r>
            <w:r w:rsidR="00A64437">
              <w:t xml:space="preserve"> </w:t>
            </w:r>
          </w:p>
          <w:p w:rsidR="00FB22E6" w:rsidRPr="00BB7053" w:rsidP="0081082E" w14:paraId="6B4D6A19" w14:textId="169C4C1F">
            <w:pPr>
              <w:pStyle w:val="Table10Basic"/>
              <w:spacing w:before="0" w:after="0"/>
              <w:ind w:left="-20"/>
            </w:pPr>
            <w:r w:rsidRPr="00A67FD9">
              <w:t xml:space="preserve">(See Table </w:t>
            </w:r>
            <w:r w:rsidR="00D24DBB">
              <w:t>10</w:t>
            </w:r>
            <w:r w:rsidRPr="00A67FD9">
              <w:t>)</w:t>
            </w:r>
          </w:p>
        </w:tc>
        <w:tc>
          <w:tcPr>
            <w:tcW w:w="1170" w:type="dxa"/>
          </w:tcPr>
          <w:p w:rsidR="00FB22E6" w:rsidRPr="00BB7053" w:rsidP="0081082E" w14:paraId="13EC1FDF" w14:textId="66D16089">
            <w:pPr>
              <w:pStyle w:val="Table10Centered"/>
              <w:spacing w:before="0" w:after="0"/>
              <w:ind w:left="-50"/>
            </w:pPr>
            <w:r>
              <w:t>6,</w:t>
            </w:r>
            <w:r w:rsidR="00560DC1">
              <w:t>237</w:t>
            </w:r>
          </w:p>
        </w:tc>
        <w:tc>
          <w:tcPr>
            <w:tcW w:w="1170" w:type="dxa"/>
          </w:tcPr>
          <w:p w:rsidR="00FB22E6" w:rsidRPr="00BB7053" w:rsidP="0081082E" w14:paraId="648F58F2" w14:textId="2A593523">
            <w:pPr>
              <w:pStyle w:val="Table10Centered"/>
              <w:spacing w:before="0" w:after="0"/>
              <w:ind w:left="-50"/>
            </w:pPr>
            <w:r>
              <w:t>1</w:t>
            </w:r>
          </w:p>
        </w:tc>
        <w:tc>
          <w:tcPr>
            <w:tcW w:w="1080" w:type="dxa"/>
          </w:tcPr>
          <w:p w:rsidR="00FB22E6" w:rsidRPr="00BB7053" w:rsidP="0081082E" w14:paraId="6A5418D3" w14:textId="0971558B">
            <w:pPr>
              <w:pStyle w:val="Table10Centered"/>
              <w:spacing w:before="0" w:after="0"/>
              <w:ind w:left="-50"/>
            </w:pPr>
            <w:r>
              <w:t>6,</w:t>
            </w:r>
            <w:r w:rsidR="00FD7199">
              <w:t>237</w:t>
            </w:r>
          </w:p>
        </w:tc>
        <w:tc>
          <w:tcPr>
            <w:tcW w:w="1350" w:type="dxa"/>
          </w:tcPr>
          <w:p w:rsidR="00FB22E6" w:rsidRPr="00BB7053" w:rsidP="0081082E" w14:paraId="3749397C" w14:textId="5159E213">
            <w:pPr>
              <w:pStyle w:val="Table10Centered"/>
              <w:spacing w:before="0" w:after="0"/>
              <w:ind w:left="-50"/>
            </w:pPr>
            <w:r>
              <w:t>1</w:t>
            </w:r>
          </w:p>
        </w:tc>
        <w:tc>
          <w:tcPr>
            <w:tcW w:w="990" w:type="dxa"/>
          </w:tcPr>
          <w:p w:rsidR="00FB22E6" w:rsidRPr="00BB7053" w:rsidP="0081082E" w14:paraId="0F2F13EE" w14:textId="5BEB6CF1">
            <w:pPr>
              <w:pStyle w:val="Table10Centered"/>
              <w:spacing w:before="0" w:after="0"/>
              <w:ind w:left="-50"/>
            </w:pPr>
            <w:r>
              <w:t>6,</w:t>
            </w:r>
            <w:r w:rsidR="00FD7199">
              <w:t>237</w:t>
            </w:r>
          </w:p>
        </w:tc>
        <w:tc>
          <w:tcPr>
            <w:tcW w:w="1170" w:type="dxa"/>
          </w:tcPr>
          <w:p w:rsidR="00FB22E6" w:rsidRPr="00BB7053" w:rsidP="0081082E" w14:paraId="1C1C48B0" w14:textId="71BF4346">
            <w:pPr>
              <w:pStyle w:val="Table10Centered"/>
              <w:spacing w:before="0" w:after="0"/>
              <w:ind w:left="-50"/>
            </w:pPr>
            <w:r>
              <w:t>106.54</w:t>
            </w:r>
          </w:p>
        </w:tc>
        <w:tc>
          <w:tcPr>
            <w:tcW w:w="1170" w:type="dxa"/>
          </w:tcPr>
          <w:p w:rsidR="00FB22E6" w:rsidRPr="00BB7053" w:rsidP="0081082E" w14:paraId="041D3666" w14:textId="6BD06B5C">
            <w:pPr>
              <w:pStyle w:val="Table10Centered"/>
              <w:spacing w:before="0" w:after="0"/>
              <w:ind w:left="-50"/>
            </w:pPr>
            <w:r>
              <w:t>664,490</w:t>
            </w:r>
          </w:p>
        </w:tc>
      </w:tr>
      <w:tr w14:paraId="1AEBBFA4" w14:textId="77777777" w:rsidTr="0081082E">
        <w:tblPrEx>
          <w:tblW w:w="9535" w:type="dxa"/>
          <w:tblLayout w:type="fixed"/>
          <w:tblLook w:val="04A0"/>
        </w:tblPrEx>
        <w:trPr>
          <w:cantSplit/>
        </w:trPr>
        <w:tc>
          <w:tcPr>
            <w:tcW w:w="1435" w:type="dxa"/>
            <w:shd w:val="clear" w:color="auto" w:fill="D9D9D9" w:themeFill="background1" w:themeFillShade="D9"/>
          </w:tcPr>
          <w:p w:rsidR="00FB22E6" w:rsidRPr="00BB7053" w:rsidP="0081082E" w14:paraId="2F4DBE6D" w14:textId="77777777">
            <w:pPr>
              <w:pStyle w:val="Table10Basic"/>
              <w:spacing w:before="0" w:after="0"/>
            </w:pPr>
            <w:r>
              <w:t>Adjustment</w:t>
            </w:r>
          </w:p>
        </w:tc>
        <w:tc>
          <w:tcPr>
            <w:tcW w:w="1170" w:type="dxa"/>
            <w:shd w:val="clear" w:color="auto" w:fill="D9D9D9" w:themeFill="background1" w:themeFillShade="D9"/>
          </w:tcPr>
          <w:p w:rsidR="00FB22E6" w:rsidRPr="00BB7053" w:rsidP="0081082E" w14:paraId="548F373C" w14:textId="35B38748">
            <w:pPr>
              <w:pStyle w:val="Table10Centered"/>
              <w:spacing w:before="0" w:after="0"/>
              <w:ind w:left="-50"/>
            </w:pPr>
            <w:r>
              <w:t>-263</w:t>
            </w:r>
          </w:p>
        </w:tc>
        <w:tc>
          <w:tcPr>
            <w:tcW w:w="1170" w:type="dxa"/>
            <w:shd w:val="clear" w:color="auto" w:fill="D9D9D9" w:themeFill="background1" w:themeFillShade="D9"/>
          </w:tcPr>
          <w:p w:rsidR="00FB22E6" w:rsidRPr="00BB7053" w:rsidP="0081082E" w14:paraId="1546D842" w14:textId="5BA3A8A5">
            <w:pPr>
              <w:pStyle w:val="Table10Centered"/>
              <w:spacing w:before="0" w:after="0"/>
              <w:ind w:left="-50"/>
            </w:pPr>
            <w:r w:rsidRPr="00224344">
              <w:t>No change</w:t>
            </w:r>
          </w:p>
        </w:tc>
        <w:tc>
          <w:tcPr>
            <w:tcW w:w="1080" w:type="dxa"/>
            <w:shd w:val="clear" w:color="auto" w:fill="D9D9D9" w:themeFill="background1" w:themeFillShade="D9"/>
          </w:tcPr>
          <w:p w:rsidR="00FB22E6" w:rsidRPr="00BB7053" w:rsidP="0081082E" w14:paraId="59E31F30" w14:textId="4359AD7F">
            <w:pPr>
              <w:pStyle w:val="Table10Centered"/>
              <w:spacing w:before="0" w:after="0"/>
              <w:ind w:left="-50"/>
            </w:pPr>
            <w:r>
              <w:t>-263</w:t>
            </w:r>
          </w:p>
        </w:tc>
        <w:tc>
          <w:tcPr>
            <w:tcW w:w="1350" w:type="dxa"/>
            <w:shd w:val="clear" w:color="auto" w:fill="D9D9D9" w:themeFill="background1" w:themeFillShade="D9"/>
          </w:tcPr>
          <w:p w:rsidR="00FB22E6" w:rsidRPr="00BB7053" w:rsidP="0081082E" w14:paraId="79304BA7" w14:textId="50939D9E">
            <w:pPr>
              <w:pStyle w:val="Table10Centered"/>
              <w:spacing w:before="0" w:after="0"/>
              <w:ind w:left="-50"/>
            </w:pPr>
            <w:r w:rsidRPr="00224344">
              <w:t>No change</w:t>
            </w:r>
          </w:p>
        </w:tc>
        <w:tc>
          <w:tcPr>
            <w:tcW w:w="990" w:type="dxa"/>
            <w:shd w:val="clear" w:color="auto" w:fill="D9D9D9" w:themeFill="background1" w:themeFillShade="D9"/>
          </w:tcPr>
          <w:p w:rsidR="00FB22E6" w:rsidRPr="00BB7053" w:rsidP="0081082E" w14:paraId="4CD32FFE" w14:textId="6261C0E5">
            <w:pPr>
              <w:pStyle w:val="Table10Centered"/>
              <w:spacing w:before="0" w:after="0"/>
              <w:ind w:left="-50"/>
            </w:pPr>
            <w:r>
              <w:t>-263</w:t>
            </w:r>
          </w:p>
        </w:tc>
        <w:tc>
          <w:tcPr>
            <w:tcW w:w="1170" w:type="dxa"/>
            <w:shd w:val="clear" w:color="auto" w:fill="D9D9D9" w:themeFill="background1" w:themeFillShade="D9"/>
          </w:tcPr>
          <w:p w:rsidR="00FB22E6" w:rsidRPr="00BB7053" w:rsidP="0081082E" w14:paraId="5CE4F385" w14:textId="4616143F">
            <w:pPr>
              <w:pStyle w:val="Table10Centered"/>
              <w:spacing w:before="0" w:after="0"/>
              <w:ind w:left="-50"/>
            </w:pPr>
            <w:r w:rsidRPr="00224344">
              <w:t>No change</w:t>
            </w:r>
          </w:p>
        </w:tc>
        <w:tc>
          <w:tcPr>
            <w:tcW w:w="1170" w:type="dxa"/>
            <w:shd w:val="clear" w:color="auto" w:fill="D9D9D9" w:themeFill="background1" w:themeFillShade="D9"/>
          </w:tcPr>
          <w:p w:rsidR="00FB22E6" w:rsidRPr="00BB7053" w:rsidP="0081082E" w14:paraId="565F23C2" w14:textId="5B31F046">
            <w:pPr>
              <w:pStyle w:val="Table10Centered"/>
              <w:spacing w:before="0" w:after="0"/>
              <w:ind w:left="-50"/>
            </w:pPr>
            <w:r>
              <w:t>-28,020</w:t>
            </w:r>
          </w:p>
        </w:tc>
      </w:tr>
    </w:tbl>
    <w:p w:rsidR="00885183" w:rsidRPr="00B7366A" w:rsidP="00361BB4" w14:paraId="380090BA" w14:textId="25DB9A87">
      <w:pPr>
        <w:pStyle w:val="ExhibitTitle"/>
        <w:rPr>
          <w:rFonts w:eastAsia="Calibri"/>
          <w:b w:val="0"/>
          <w:bCs/>
        </w:rPr>
      </w:pPr>
      <w:r w:rsidRPr="00B7366A">
        <w:rPr>
          <w:rFonts w:eastAsia="Calibri"/>
          <w:b w:val="0"/>
          <w:bCs/>
        </w:rPr>
        <w:t>T</w:t>
      </w:r>
      <w:r w:rsidRPr="00B7366A" w:rsidR="132D0E07">
        <w:rPr>
          <w:rFonts w:eastAsia="Calibri"/>
          <w:b w:val="0"/>
          <w:bCs/>
        </w:rPr>
        <w:t>able</w:t>
      </w:r>
      <w:r w:rsidRPr="00B7366A">
        <w:rPr>
          <w:rFonts w:eastAsia="Calibri"/>
          <w:b w:val="0"/>
          <w:bCs/>
        </w:rPr>
        <w:t xml:space="preserve"> </w:t>
      </w:r>
      <w:r w:rsidRPr="00B7366A" w:rsidR="5A15C2ED">
        <w:rPr>
          <w:rFonts w:eastAsia="Calibri"/>
          <w:b w:val="0"/>
          <w:bCs/>
        </w:rPr>
        <w:t>3</w:t>
      </w:r>
      <w:r w:rsidRPr="00B7366A" w:rsidR="49816D46">
        <w:rPr>
          <w:rFonts w:eastAsia="Calibri"/>
          <w:b w:val="0"/>
          <w:bCs/>
        </w:rPr>
        <w:t>0</w:t>
      </w:r>
      <w:r w:rsidRPr="00B7366A" w:rsidR="14B8DEC5">
        <w:rPr>
          <w:rFonts w:eastAsia="Calibri"/>
          <w:b w:val="0"/>
          <w:bCs/>
        </w:rPr>
        <w:t>G</w:t>
      </w:r>
      <w:r w:rsidRPr="00B7366A">
        <w:rPr>
          <w:rFonts w:eastAsia="Calibri"/>
          <w:b w:val="0"/>
          <w:bCs/>
        </w:rPr>
        <w:t xml:space="preserve">: Burden Reconciliation for </w:t>
      </w:r>
      <w:r w:rsidRPr="00B7366A" w:rsidR="055D806F">
        <w:rPr>
          <w:rFonts w:eastAsia="Calibri"/>
          <w:b w:val="0"/>
          <w:bCs/>
        </w:rPr>
        <w:t xml:space="preserve">Quality Performance Category Claims </w:t>
      </w:r>
      <w:r w:rsidRPr="00B7366A">
        <w:rPr>
          <w:b w:val="0"/>
          <w:bCs/>
        </w:rPr>
        <w:br/>
      </w:r>
      <w:r w:rsidRPr="00B7366A" w:rsidR="055D806F">
        <w:rPr>
          <w:rFonts w:eastAsia="Calibri"/>
          <w:b w:val="0"/>
          <w:bCs/>
        </w:rPr>
        <w:t>Collection Type</w:t>
      </w:r>
    </w:p>
    <w:tbl>
      <w:tblPr>
        <w:tblStyle w:val="TableGrid"/>
        <w:tblDescription w:val="Table 30G: the estimated change in burden to our currently approved burden estimates for the quality performance category submission via the Medicare Part B claims collection type."/>
        <w:tblW w:w="9535" w:type="dxa"/>
        <w:tblLayout w:type="fixed"/>
        <w:tblLook w:val="04A0"/>
      </w:tblPr>
      <w:tblGrid>
        <w:gridCol w:w="1435"/>
        <w:gridCol w:w="1170"/>
        <w:gridCol w:w="1170"/>
        <w:gridCol w:w="1170"/>
        <w:gridCol w:w="1260"/>
        <w:gridCol w:w="990"/>
        <w:gridCol w:w="1260"/>
        <w:gridCol w:w="1080"/>
      </w:tblGrid>
      <w:tr w14:paraId="2C8C1EEF" w14:textId="77777777" w:rsidTr="00E852D4">
        <w:tblPrEx>
          <w:tblW w:w="9535" w:type="dxa"/>
          <w:tblLayout w:type="fixed"/>
          <w:tblLook w:val="04A0"/>
        </w:tblPrEx>
        <w:trPr>
          <w:cantSplit/>
          <w:tblHeader/>
        </w:trPr>
        <w:tc>
          <w:tcPr>
            <w:tcW w:w="1435" w:type="dxa"/>
            <w:tcMar>
              <w:left w:w="14" w:type="dxa"/>
              <w:right w:w="14" w:type="dxa"/>
            </w:tcMar>
          </w:tcPr>
          <w:p w:rsidR="00885183" w:rsidRPr="001212E7" w:rsidP="00E852D4" w14:paraId="08BD11F4" w14:textId="77777777">
            <w:pPr>
              <w:pStyle w:val="Table10-ColumnHeading"/>
              <w:spacing w:before="0" w:after="0"/>
              <w:jc w:val="left"/>
            </w:pPr>
            <w:r w:rsidRPr="2F5B7FA3">
              <w:t>Burden Category</w:t>
            </w:r>
          </w:p>
        </w:tc>
        <w:tc>
          <w:tcPr>
            <w:tcW w:w="1170" w:type="dxa"/>
            <w:tcMar>
              <w:left w:w="14" w:type="dxa"/>
              <w:right w:w="14" w:type="dxa"/>
            </w:tcMar>
          </w:tcPr>
          <w:p w:rsidR="00885183" w:rsidRPr="001212E7" w:rsidP="00E852D4" w14:paraId="58668412" w14:textId="77777777">
            <w:pPr>
              <w:pStyle w:val="Table10-ColumnHeading"/>
              <w:spacing w:before="0" w:after="0"/>
              <w:ind w:left="-20" w:right="0"/>
            </w:pPr>
            <w:r w:rsidRPr="2F5B7FA3">
              <w:t>Total Annual Respondents</w:t>
            </w:r>
          </w:p>
        </w:tc>
        <w:tc>
          <w:tcPr>
            <w:tcW w:w="1170" w:type="dxa"/>
            <w:tcMar>
              <w:left w:w="14" w:type="dxa"/>
              <w:right w:w="14" w:type="dxa"/>
            </w:tcMar>
          </w:tcPr>
          <w:p w:rsidR="00885183" w:rsidRPr="001212E7" w:rsidP="00E852D4" w14:paraId="6FE59CD9" w14:textId="77777777">
            <w:pPr>
              <w:pStyle w:val="Table10-ColumnHeading"/>
              <w:spacing w:before="0" w:after="0"/>
              <w:ind w:left="-20" w:right="0"/>
            </w:pPr>
            <w:r w:rsidRPr="2F5B7FA3">
              <w:t>Response Frequency (per year)</w:t>
            </w:r>
          </w:p>
        </w:tc>
        <w:tc>
          <w:tcPr>
            <w:tcW w:w="1170" w:type="dxa"/>
            <w:tcMar>
              <w:left w:w="14" w:type="dxa"/>
              <w:right w:w="14" w:type="dxa"/>
            </w:tcMar>
          </w:tcPr>
          <w:p w:rsidR="00885183" w:rsidRPr="001212E7" w:rsidP="00E852D4" w14:paraId="56BF29C4" w14:textId="77777777">
            <w:pPr>
              <w:pStyle w:val="Table10-ColumnHeading"/>
              <w:spacing w:before="0" w:after="0"/>
              <w:ind w:left="-20" w:right="0"/>
            </w:pPr>
            <w:r w:rsidRPr="2F5B7FA3">
              <w:t>Total Annual Responses</w:t>
            </w:r>
          </w:p>
        </w:tc>
        <w:tc>
          <w:tcPr>
            <w:tcW w:w="1260" w:type="dxa"/>
            <w:tcMar>
              <w:left w:w="14" w:type="dxa"/>
              <w:right w:w="14" w:type="dxa"/>
            </w:tcMar>
          </w:tcPr>
          <w:p w:rsidR="00885183" w:rsidRPr="001212E7" w:rsidP="00E852D4" w14:paraId="7EB224A2" w14:textId="77777777">
            <w:pPr>
              <w:pStyle w:val="Table10-ColumnHeading"/>
              <w:spacing w:before="0" w:after="0"/>
              <w:ind w:left="-20" w:right="0"/>
            </w:pPr>
            <w:r w:rsidRPr="2F5B7FA3">
              <w:t>Time Per Response (hr)</w:t>
            </w:r>
          </w:p>
        </w:tc>
        <w:tc>
          <w:tcPr>
            <w:tcW w:w="990" w:type="dxa"/>
            <w:tcMar>
              <w:left w:w="14" w:type="dxa"/>
              <w:right w:w="14" w:type="dxa"/>
            </w:tcMar>
          </w:tcPr>
          <w:p w:rsidR="00885183" w:rsidRPr="001212E7" w:rsidP="00E852D4" w14:paraId="1334524A" w14:textId="73B6D392">
            <w:pPr>
              <w:pStyle w:val="Table10-ColumnHeading"/>
              <w:spacing w:before="0" w:after="0"/>
              <w:ind w:left="-20" w:right="0"/>
            </w:pPr>
            <w:r w:rsidRPr="2F5B7FA3">
              <w:t>Total</w:t>
            </w:r>
            <w:r w:rsidRPr="2F5B7FA3" w:rsidR="00F11C6B">
              <w:t xml:space="preserve"> </w:t>
            </w:r>
            <w:r w:rsidRPr="2F5B7FA3">
              <w:t>Annual Time (hr)</w:t>
            </w:r>
          </w:p>
        </w:tc>
        <w:tc>
          <w:tcPr>
            <w:tcW w:w="1260" w:type="dxa"/>
            <w:tcMar>
              <w:left w:w="14" w:type="dxa"/>
              <w:right w:w="14" w:type="dxa"/>
            </w:tcMar>
          </w:tcPr>
          <w:p w:rsidR="00885183" w:rsidRPr="001212E7" w:rsidP="00E852D4" w14:paraId="5945A90A" w14:textId="77777777">
            <w:pPr>
              <w:pStyle w:val="Table10-ColumnHeading"/>
              <w:spacing w:before="0" w:after="0"/>
              <w:ind w:left="-20" w:right="0"/>
            </w:pPr>
            <w:r w:rsidRPr="2F5B7FA3">
              <w:t>Labor Cost ($/hr)</w:t>
            </w:r>
          </w:p>
        </w:tc>
        <w:tc>
          <w:tcPr>
            <w:tcW w:w="1080" w:type="dxa"/>
            <w:tcMar>
              <w:left w:w="14" w:type="dxa"/>
              <w:right w:w="14" w:type="dxa"/>
            </w:tcMar>
          </w:tcPr>
          <w:p w:rsidR="00885183" w:rsidRPr="001212E7" w:rsidP="00E852D4" w14:paraId="6072BB66" w14:textId="77777777">
            <w:pPr>
              <w:pStyle w:val="Table10-ColumnHeading"/>
              <w:spacing w:before="0" w:after="0"/>
              <w:ind w:left="-20" w:right="0"/>
            </w:pPr>
            <w:r w:rsidRPr="2F5B7FA3">
              <w:t>Total Annual Cost ($)</w:t>
            </w:r>
          </w:p>
        </w:tc>
      </w:tr>
      <w:tr w14:paraId="755C8675" w14:textId="77777777" w:rsidTr="00E852D4">
        <w:tblPrEx>
          <w:tblW w:w="9535" w:type="dxa"/>
          <w:tblLayout w:type="fixed"/>
          <w:tblLook w:val="04A0"/>
        </w:tblPrEx>
        <w:trPr>
          <w:cantSplit/>
        </w:trPr>
        <w:tc>
          <w:tcPr>
            <w:tcW w:w="1435" w:type="dxa"/>
          </w:tcPr>
          <w:p w:rsidR="00C0743E" w:rsidRPr="00BB7053" w:rsidP="00E852D4" w14:paraId="168B795D" w14:textId="14CEA81D">
            <w:pPr>
              <w:pStyle w:val="Table10Basic"/>
              <w:spacing w:before="0" w:after="0"/>
            </w:pPr>
            <w:r w:rsidRPr="2F5B7FA3">
              <w:t xml:space="preserve">Currently Approved </w:t>
            </w:r>
          </w:p>
        </w:tc>
        <w:tc>
          <w:tcPr>
            <w:tcW w:w="1170" w:type="dxa"/>
          </w:tcPr>
          <w:p w:rsidR="00C0743E" w:rsidRPr="00BB7053" w:rsidP="00E852D4" w14:paraId="7FBBA3A5" w14:textId="74C3F280">
            <w:pPr>
              <w:pStyle w:val="Table10Centered"/>
              <w:spacing w:before="0" w:after="0"/>
              <w:ind w:left="-20"/>
            </w:pPr>
            <w:r w:rsidRPr="2F5B7FA3">
              <w:t>13,413</w:t>
            </w:r>
          </w:p>
        </w:tc>
        <w:tc>
          <w:tcPr>
            <w:tcW w:w="1170" w:type="dxa"/>
          </w:tcPr>
          <w:p w:rsidR="00C0743E" w:rsidRPr="00BB7053" w:rsidP="00E852D4" w14:paraId="5C82005A" w14:textId="1C3B00F4">
            <w:pPr>
              <w:pStyle w:val="Table10Centered"/>
              <w:spacing w:before="0" w:after="0"/>
              <w:ind w:left="-20"/>
            </w:pPr>
            <w:r w:rsidRPr="2F5B7FA3">
              <w:t>1</w:t>
            </w:r>
          </w:p>
        </w:tc>
        <w:tc>
          <w:tcPr>
            <w:tcW w:w="1170" w:type="dxa"/>
          </w:tcPr>
          <w:p w:rsidR="00C0743E" w:rsidRPr="00BB7053" w:rsidP="00E852D4" w14:paraId="02547004" w14:textId="1EA04C36">
            <w:pPr>
              <w:pStyle w:val="Table10Centered"/>
              <w:spacing w:before="0" w:after="0"/>
              <w:ind w:left="-20"/>
            </w:pPr>
            <w:r w:rsidRPr="2F5B7FA3">
              <w:t>13,413</w:t>
            </w:r>
          </w:p>
        </w:tc>
        <w:tc>
          <w:tcPr>
            <w:tcW w:w="1260" w:type="dxa"/>
          </w:tcPr>
          <w:p w:rsidR="00C0743E" w:rsidRPr="00BB7053" w:rsidP="00E852D4" w14:paraId="7C59EB78" w14:textId="0698769B">
            <w:pPr>
              <w:pStyle w:val="Table10Centered"/>
              <w:spacing w:before="0" w:after="0"/>
              <w:ind w:left="-20"/>
            </w:pPr>
            <w:r w:rsidRPr="2F5B7FA3">
              <w:t>14.2</w:t>
            </w:r>
          </w:p>
        </w:tc>
        <w:tc>
          <w:tcPr>
            <w:tcW w:w="990" w:type="dxa"/>
          </w:tcPr>
          <w:p w:rsidR="00C0743E" w:rsidRPr="00BB7053" w:rsidP="00E852D4" w14:paraId="20AB4645" w14:textId="220ADA9F">
            <w:pPr>
              <w:pStyle w:val="Table10Centered"/>
              <w:spacing w:before="0" w:after="0"/>
              <w:ind w:left="-20"/>
            </w:pPr>
            <w:r w:rsidRPr="2F5B7FA3">
              <w:t>190,465</w:t>
            </w:r>
          </w:p>
        </w:tc>
        <w:tc>
          <w:tcPr>
            <w:tcW w:w="1260" w:type="dxa"/>
          </w:tcPr>
          <w:p w:rsidR="00C0743E" w:rsidRPr="00BB7053" w:rsidP="00E852D4" w14:paraId="65B39038" w14:textId="3E6CFF07">
            <w:pPr>
              <w:pStyle w:val="Table10Centered"/>
              <w:spacing w:before="0" w:after="0"/>
              <w:ind w:left="-20"/>
            </w:pPr>
            <w:r w:rsidRPr="2F5B7FA3">
              <w:t>Varies</w:t>
            </w:r>
          </w:p>
        </w:tc>
        <w:tc>
          <w:tcPr>
            <w:tcW w:w="1080" w:type="dxa"/>
          </w:tcPr>
          <w:p w:rsidR="00C0743E" w:rsidRPr="00BB7053" w:rsidP="00E852D4" w14:paraId="34B0954D" w14:textId="1571D616">
            <w:pPr>
              <w:pStyle w:val="Table10Centered"/>
              <w:spacing w:before="0" w:after="0"/>
              <w:ind w:left="-20"/>
            </w:pPr>
            <w:r w:rsidRPr="2F5B7FA3">
              <w:t>22,223,866</w:t>
            </w:r>
          </w:p>
        </w:tc>
      </w:tr>
      <w:tr w14:paraId="1C0F00DB" w14:textId="77777777" w:rsidTr="00E852D4">
        <w:tblPrEx>
          <w:tblW w:w="9535" w:type="dxa"/>
          <w:tblLayout w:type="fixed"/>
          <w:tblLook w:val="04A0"/>
        </w:tblPrEx>
        <w:trPr>
          <w:cantSplit/>
        </w:trPr>
        <w:tc>
          <w:tcPr>
            <w:tcW w:w="1435" w:type="dxa"/>
          </w:tcPr>
          <w:p w:rsidR="00A27B9E" w:rsidP="00E852D4" w14:paraId="75F53DCE" w14:textId="77777777">
            <w:pPr>
              <w:pStyle w:val="Table10Basic"/>
              <w:spacing w:before="0" w:after="0"/>
              <w:ind w:left="-20"/>
            </w:pPr>
            <w:r w:rsidRPr="2F5B7FA3">
              <w:t>Requested</w:t>
            </w:r>
            <w:r>
              <w:t xml:space="preserve"> </w:t>
            </w:r>
          </w:p>
          <w:p w:rsidR="00555018" w:rsidRPr="00BB7053" w:rsidP="00E852D4" w14:paraId="799F2E63" w14:textId="36D7200C">
            <w:pPr>
              <w:pStyle w:val="Table10Basic"/>
              <w:spacing w:before="0" w:after="0"/>
              <w:ind w:left="-20"/>
            </w:pPr>
            <w:r w:rsidRPr="2F5B7FA3">
              <w:t xml:space="preserve">(See Table </w:t>
            </w:r>
            <w:r w:rsidRPr="2F5B7FA3" w:rsidR="0CB627B0">
              <w:t>11</w:t>
            </w:r>
            <w:r w:rsidRPr="2F5B7FA3">
              <w:t>)</w:t>
            </w:r>
          </w:p>
        </w:tc>
        <w:tc>
          <w:tcPr>
            <w:tcW w:w="1170" w:type="dxa"/>
          </w:tcPr>
          <w:p w:rsidR="00555018" w:rsidRPr="00BB7053" w:rsidP="00E852D4" w14:paraId="6AC37DC7" w14:textId="59B7F990">
            <w:pPr>
              <w:pStyle w:val="Table10Centered"/>
              <w:spacing w:before="0" w:after="0"/>
              <w:ind w:left="-20"/>
            </w:pPr>
            <w:r w:rsidRPr="2F5B7FA3">
              <w:t>12,197</w:t>
            </w:r>
          </w:p>
        </w:tc>
        <w:tc>
          <w:tcPr>
            <w:tcW w:w="1170" w:type="dxa"/>
          </w:tcPr>
          <w:p w:rsidR="00555018" w:rsidRPr="00BB7053" w:rsidP="00E852D4" w14:paraId="68BD3832" w14:textId="280EFBFE">
            <w:pPr>
              <w:pStyle w:val="Table10Centered"/>
              <w:spacing w:before="0" w:after="0"/>
              <w:ind w:left="-20"/>
            </w:pPr>
            <w:r w:rsidRPr="2F5B7FA3">
              <w:t>1</w:t>
            </w:r>
          </w:p>
        </w:tc>
        <w:tc>
          <w:tcPr>
            <w:tcW w:w="1170" w:type="dxa"/>
          </w:tcPr>
          <w:p w:rsidR="00555018" w:rsidRPr="00BB7053" w:rsidP="00E852D4" w14:paraId="3E21CE80" w14:textId="1D55AAAC">
            <w:pPr>
              <w:pStyle w:val="Table10Centered"/>
              <w:spacing w:before="0" w:after="0"/>
              <w:ind w:left="-20"/>
            </w:pPr>
            <w:r w:rsidRPr="2F5B7FA3">
              <w:t>12,197</w:t>
            </w:r>
          </w:p>
        </w:tc>
        <w:tc>
          <w:tcPr>
            <w:tcW w:w="1260" w:type="dxa"/>
          </w:tcPr>
          <w:p w:rsidR="00555018" w:rsidRPr="00BB7053" w:rsidP="00E852D4" w14:paraId="31FBD367" w14:textId="61841EB2">
            <w:pPr>
              <w:pStyle w:val="Table10Centered"/>
              <w:spacing w:before="0" w:after="0"/>
              <w:ind w:left="-20"/>
            </w:pPr>
            <w:r w:rsidRPr="2F5B7FA3">
              <w:t>14.2</w:t>
            </w:r>
          </w:p>
        </w:tc>
        <w:tc>
          <w:tcPr>
            <w:tcW w:w="990" w:type="dxa"/>
          </w:tcPr>
          <w:p w:rsidR="00555018" w:rsidRPr="00BB7053" w:rsidP="00E852D4" w14:paraId="24E9D429" w14:textId="4BC66AF4">
            <w:pPr>
              <w:pStyle w:val="Table10Centered"/>
              <w:spacing w:before="0" w:after="0"/>
              <w:ind w:left="-20"/>
            </w:pPr>
            <w:r w:rsidRPr="2F5B7FA3">
              <w:t>1</w:t>
            </w:r>
            <w:r w:rsidRPr="2F5B7FA3" w:rsidR="2783025D">
              <w:t>73,197</w:t>
            </w:r>
          </w:p>
        </w:tc>
        <w:tc>
          <w:tcPr>
            <w:tcW w:w="1260" w:type="dxa"/>
          </w:tcPr>
          <w:p w:rsidR="00555018" w:rsidRPr="00BB7053" w:rsidP="00E852D4" w14:paraId="397CF625" w14:textId="3EA75ADC">
            <w:pPr>
              <w:pStyle w:val="Table10Centered"/>
              <w:spacing w:before="0" w:after="0"/>
              <w:ind w:left="-20"/>
            </w:pPr>
            <w:r w:rsidRPr="2F5B7FA3">
              <w:t>Varies</w:t>
            </w:r>
          </w:p>
        </w:tc>
        <w:tc>
          <w:tcPr>
            <w:tcW w:w="1080" w:type="dxa"/>
          </w:tcPr>
          <w:p w:rsidR="00555018" w:rsidRPr="00BB7053" w:rsidP="00E852D4" w14:paraId="09FBCDB3" w14:textId="23CC30B8">
            <w:pPr>
              <w:pStyle w:val="Table10Centered"/>
              <w:spacing w:before="0" w:after="0"/>
              <w:ind w:left="-20"/>
            </w:pPr>
            <w:r w:rsidRPr="2F5B7FA3">
              <w:rPr>
                <w:color w:val="000000" w:themeColor="text1"/>
              </w:rPr>
              <w:t xml:space="preserve">20,209,087 </w:t>
            </w:r>
          </w:p>
        </w:tc>
      </w:tr>
      <w:tr w14:paraId="2985E698" w14:textId="77777777" w:rsidTr="00E852D4">
        <w:tblPrEx>
          <w:tblW w:w="9535" w:type="dxa"/>
          <w:tblLayout w:type="fixed"/>
          <w:tblLook w:val="04A0"/>
        </w:tblPrEx>
        <w:trPr>
          <w:cantSplit/>
        </w:trPr>
        <w:tc>
          <w:tcPr>
            <w:tcW w:w="1435" w:type="dxa"/>
            <w:shd w:val="clear" w:color="auto" w:fill="D9D9D9" w:themeFill="background1" w:themeFillShade="D9"/>
          </w:tcPr>
          <w:p w:rsidR="00555018" w:rsidRPr="00BB7053" w:rsidP="00E852D4" w14:paraId="06A08736" w14:textId="182B520A">
            <w:pPr>
              <w:pStyle w:val="Table10Basic"/>
              <w:spacing w:before="0" w:after="0"/>
            </w:pPr>
            <w:r w:rsidRPr="2F5B7FA3">
              <w:t>Adjustment</w:t>
            </w:r>
            <w:r w:rsidRPr="2F5B7FA3" w:rsidR="23FD4366">
              <w:t xml:space="preserve"> </w:t>
            </w:r>
          </w:p>
        </w:tc>
        <w:tc>
          <w:tcPr>
            <w:tcW w:w="1170" w:type="dxa"/>
            <w:shd w:val="clear" w:color="auto" w:fill="D9D9D9" w:themeFill="background1" w:themeFillShade="D9"/>
          </w:tcPr>
          <w:p w:rsidR="00555018" w:rsidRPr="00BB7053" w:rsidP="00E852D4" w14:paraId="576FD831" w14:textId="6A1A64FC">
            <w:pPr>
              <w:pStyle w:val="Table10Centered"/>
              <w:spacing w:before="0" w:after="0"/>
              <w:ind w:left="-20"/>
            </w:pPr>
            <w:r w:rsidRPr="2F5B7FA3">
              <w:t>-</w:t>
            </w:r>
            <w:r w:rsidRPr="2F5B7FA3" w:rsidR="330F014B">
              <w:t>1,</w:t>
            </w:r>
            <w:r w:rsidRPr="2F5B7FA3" w:rsidR="195F8CE9">
              <w:t>216</w:t>
            </w:r>
          </w:p>
        </w:tc>
        <w:tc>
          <w:tcPr>
            <w:tcW w:w="1170" w:type="dxa"/>
            <w:shd w:val="clear" w:color="auto" w:fill="D9D9D9" w:themeFill="background1" w:themeFillShade="D9"/>
          </w:tcPr>
          <w:p w:rsidR="00555018" w:rsidRPr="00BB7053" w:rsidP="00E852D4" w14:paraId="78C5A4C4" w14:textId="17FC59AB">
            <w:pPr>
              <w:pStyle w:val="Table10Centered"/>
              <w:spacing w:before="0" w:after="0"/>
              <w:ind w:left="-20"/>
            </w:pPr>
            <w:r w:rsidRPr="2F5B7FA3">
              <w:t>No change</w:t>
            </w:r>
          </w:p>
        </w:tc>
        <w:tc>
          <w:tcPr>
            <w:tcW w:w="1170" w:type="dxa"/>
            <w:shd w:val="clear" w:color="auto" w:fill="D9D9D9" w:themeFill="background1" w:themeFillShade="D9"/>
          </w:tcPr>
          <w:p w:rsidR="00555018" w:rsidRPr="00BB7053" w:rsidP="00E852D4" w14:paraId="514EF2A8" w14:textId="11A10DC9">
            <w:pPr>
              <w:pStyle w:val="Table10Centered"/>
              <w:spacing w:before="0" w:after="0"/>
              <w:ind w:left="-20"/>
            </w:pPr>
            <w:r w:rsidRPr="2F5B7FA3">
              <w:t>-</w:t>
            </w:r>
            <w:r w:rsidRPr="2F5B7FA3" w:rsidR="5128ADB1">
              <w:t>1,</w:t>
            </w:r>
            <w:r w:rsidRPr="2F5B7FA3" w:rsidR="195F8CE9">
              <w:t>216</w:t>
            </w:r>
          </w:p>
        </w:tc>
        <w:tc>
          <w:tcPr>
            <w:tcW w:w="1260" w:type="dxa"/>
            <w:shd w:val="clear" w:color="auto" w:fill="D9D9D9" w:themeFill="background1" w:themeFillShade="D9"/>
          </w:tcPr>
          <w:p w:rsidR="00555018" w:rsidRPr="00BB7053" w:rsidP="00E852D4" w14:paraId="5CBFEFD2" w14:textId="46BED106">
            <w:pPr>
              <w:pStyle w:val="Table10Centered"/>
              <w:spacing w:before="0" w:after="0"/>
              <w:ind w:left="-20"/>
            </w:pPr>
            <w:r w:rsidRPr="2F5B7FA3">
              <w:t>No change</w:t>
            </w:r>
          </w:p>
        </w:tc>
        <w:tc>
          <w:tcPr>
            <w:tcW w:w="990" w:type="dxa"/>
            <w:shd w:val="clear" w:color="auto" w:fill="D9D9D9" w:themeFill="background1" w:themeFillShade="D9"/>
          </w:tcPr>
          <w:p w:rsidR="00555018" w:rsidRPr="00BB7053" w:rsidP="00E852D4" w14:paraId="4A602E7E" w14:textId="6A9AA39F">
            <w:pPr>
              <w:pStyle w:val="Table10Centered"/>
              <w:spacing w:before="0" w:after="0"/>
              <w:ind w:left="-20"/>
            </w:pPr>
            <w:r w:rsidRPr="2F5B7FA3">
              <w:t>-</w:t>
            </w:r>
            <w:r w:rsidRPr="2F5B7FA3" w:rsidR="3AEFB08E">
              <w:t>17,268</w:t>
            </w:r>
          </w:p>
        </w:tc>
        <w:tc>
          <w:tcPr>
            <w:tcW w:w="1260" w:type="dxa"/>
            <w:shd w:val="clear" w:color="auto" w:fill="D9D9D9" w:themeFill="background1" w:themeFillShade="D9"/>
          </w:tcPr>
          <w:p w:rsidR="00555018" w:rsidRPr="00BB7053" w:rsidP="00E852D4" w14:paraId="66E4847E" w14:textId="2BE95409">
            <w:pPr>
              <w:pStyle w:val="Table10Centered"/>
              <w:spacing w:before="0" w:after="0"/>
              <w:ind w:left="-20"/>
            </w:pPr>
            <w:r w:rsidRPr="2F5B7FA3">
              <w:t>No change</w:t>
            </w:r>
          </w:p>
        </w:tc>
        <w:tc>
          <w:tcPr>
            <w:tcW w:w="1080" w:type="dxa"/>
            <w:shd w:val="clear" w:color="auto" w:fill="D9D9D9" w:themeFill="background1" w:themeFillShade="D9"/>
          </w:tcPr>
          <w:p w:rsidR="00555018" w:rsidRPr="00BB7053" w:rsidP="00E852D4" w14:paraId="67BBC51D" w14:textId="4983EF2A">
            <w:pPr>
              <w:pStyle w:val="Table10Centered"/>
              <w:spacing w:before="0" w:after="0"/>
              <w:ind w:left="-20"/>
            </w:pPr>
            <w:r w:rsidRPr="2F5B7FA3">
              <w:t>-</w:t>
            </w:r>
            <w:r w:rsidRPr="2F5B7FA3" w:rsidR="52C733F8">
              <w:t>2,</w:t>
            </w:r>
            <w:r w:rsidRPr="2F5B7FA3" w:rsidR="166F6292">
              <w:t>014,779</w:t>
            </w:r>
          </w:p>
        </w:tc>
      </w:tr>
    </w:tbl>
    <w:p w:rsidR="00885183" w:rsidRPr="00B7366A" w:rsidP="00361BB4" w14:paraId="3CA84BC7" w14:textId="657B0761">
      <w:pPr>
        <w:pStyle w:val="ExhibitTitle"/>
        <w:rPr>
          <w:rFonts w:eastAsia="Calibri"/>
          <w:b w:val="0"/>
          <w:bCs/>
        </w:rPr>
      </w:pPr>
      <w:r w:rsidRPr="00B7366A">
        <w:rPr>
          <w:rFonts w:eastAsia="Calibri"/>
          <w:b w:val="0"/>
          <w:bCs/>
        </w:rPr>
        <w:t>T</w:t>
      </w:r>
      <w:r w:rsidRPr="00B7366A" w:rsidR="132D0E07">
        <w:rPr>
          <w:rFonts w:eastAsia="Calibri"/>
          <w:b w:val="0"/>
          <w:bCs/>
        </w:rPr>
        <w:t>able</w:t>
      </w:r>
      <w:r w:rsidRPr="00B7366A">
        <w:rPr>
          <w:rFonts w:eastAsia="Calibri"/>
          <w:b w:val="0"/>
          <w:bCs/>
        </w:rPr>
        <w:t xml:space="preserve"> </w:t>
      </w:r>
      <w:r w:rsidRPr="00B7366A" w:rsidR="5A15C2ED">
        <w:rPr>
          <w:rFonts w:eastAsia="Calibri"/>
          <w:b w:val="0"/>
          <w:bCs/>
        </w:rPr>
        <w:t>3</w:t>
      </w:r>
      <w:r w:rsidRPr="00B7366A" w:rsidR="2656CFD5">
        <w:rPr>
          <w:rFonts w:eastAsia="Calibri"/>
          <w:b w:val="0"/>
          <w:bCs/>
        </w:rPr>
        <w:t>0</w:t>
      </w:r>
      <w:r w:rsidRPr="00B7366A" w:rsidR="6142F9BC">
        <w:rPr>
          <w:rFonts w:eastAsia="Calibri"/>
          <w:b w:val="0"/>
          <w:bCs/>
        </w:rPr>
        <w:t>H</w:t>
      </w:r>
      <w:r w:rsidRPr="00B7366A">
        <w:rPr>
          <w:rFonts w:eastAsia="Calibri"/>
          <w:b w:val="0"/>
          <w:bCs/>
        </w:rPr>
        <w:t xml:space="preserve">: Burden Reconciliation for </w:t>
      </w:r>
      <w:r w:rsidRPr="00B7366A" w:rsidR="380245E5">
        <w:rPr>
          <w:rFonts w:eastAsia="Calibri"/>
          <w:b w:val="0"/>
          <w:bCs/>
        </w:rPr>
        <w:t>Quality Performance Category QCDR/MIPS CQM Collection Type</w:t>
      </w:r>
    </w:p>
    <w:tbl>
      <w:tblPr>
        <w:tblStyle w:val="TableGrid"/>
        <w:tblDescription w:val="Table 30H: the estimated change in burden to our currently approved burden estimates for the quality performance category submission via the Q C D R/M I P S C Q M collection type."/>
        <w:tblW w:w="9445" w:type="dxa"/>
        <w:tblLayout w:type="fixed"/>
        <w:tblCellMar>
          <w:left w:w="43" w:type="dxa"/>
          <w:right w:w="43" w:type="dxa"/>
        </w:tblCellMar>
        <w:tblLook w:val="04A0"/>
      </w:tblPr>
      <w:tblGrid>
        <w:gridCol w:w="1255"/>
        <w:gridCol w:w="1350"/>
        <w:gridCol w:w="1170"/>
        <w:gridCol w:w="1080"/>
        <w:gridCol w:w="1350"/>
        <w:gridCol w:w="990"/>
        <w:gridCol w:w="1350"/>
        <w:gridCol w:w="900"/>
      </w:tblGrid>
      <w:tr w14:paraId="0F913CDB" w14:textId="77777777" w:rsidTr="00E860B3">
        <w:tblPrEx>
          <w:tblW w:w="9445" w:type="dxa"/>
          <w:tblLayout w:type="fixed"/>
          <w:tblCellMar>
            <w:left w:w="43" w:type="dxa"/>
            <w:right w:w="43" w:type="dxa"/>
          </w:tblCellMar>
          <w:tblLook w:val="04A0"/>
        </w:tblPrEx>
        <w:trPr>
          <w:cantSplit/>
          <w:trHeight w:val="20"/>
          <w:tblHeader/>
        </w:trPr>
        <w:tc>
          <w:tcPr>
            <w:tcW w:w="1255" w:type="dxa"/>
          </w:tcPr>
          <w:p w:rsidR="00885183" w:rsidRPr="00B76FCA" w:rsidP="00E860B3" w14:paraId="1F6FD781" w14:textId="77777777">
            <w:pPr>
              <w:pStyle w:val="Table10-ColumnHeading"/>
              <w:keepNext/>
              <w:keepLines/>
              <w:spacing w:before="0" w:after="0"/>
              <w:ind w:left="40"/>
              <w:jc w:val="left"/>
            </w:pPr>
            <w:r w:rsidRPr="004F3C8C">
              <w:t>Burden Category</w:t>
            </w:r>
          </w:p>
        </w:tc>
        <w:tc>
          <w:tcPr>
            <w:tcW w:w="1350" w:type="dxa"/>
          </w:tcPr>
          <w:p w:rsidR="00885183" w:rsidRPr="00B76FCA" w:rsidP="00E860B3" w14:paraId="20AB2AE9" w14:textId="77777777">
            <w:pPr>
              <w:pStyle w:val="Table10-ColumnHeading"/>
              <w:keepNext/>
              <w:keepLines/>
              <w:spacing w:before="0" w:after="0"/>
              <w:ind w:left="0" w:right="50"/>
            </w:pPr>
            <w:r w:rsidRPr="00B76FCA">
              <w:t>Total Annual Respondents</w:t>
            </w:r>
          </w:p>
        </w:tc>
        <w:tc>
          <w:tcPr>
            <w:tcW w:w="1170" w:type="dxa"/>
          </w:tcPr>
          <w:p w:rsidR="00885183" w:rsidRPr="00B76FCA" w:rsidP="00E860B3" w14:paraId="6199E537" w14:textId="77777777">
            <w:pPr>
              <w:pStyle w:val="Table10-ColumnHeading"/>
              <w:keepNext/>
              <w:keepLines/>
              <w:spacing w:before="0" w:after="0"/>
              <w:ind w:left="0" w:right="50"/>
            </w:pPr>
            <w:r w:rsidRPr="00B76FCA">
              <w:t>Response Frequency (per year)</w:t>
            </w:r>
          </w:p>
        </w:tc>
        <w:tc>
          <w:tcPr>
            <w:tcW w:w="1080" w:type="dxa"/>
          </w:tcPr>
          <w:p w:rsidR="00885183" w:rsidRPr="00B76FCA" w:rsidP="00E860B3" w14:paraId="67FB4E23" w14:textId="77777777">
            <w:pPr>
              <w:pStyle w:val="Table10-ColumnHeading"/>
              <w:keepNext/>
              <w:keepLines/>
              <w:spacing w:before="0" w:after="0"/>
              <w:ind w:left="0" w:right="50"/>
            </w:pPr>
            <w:r w:rsidRPr="00B76FCA">
              <w:t>Total Annual Responses</w:t>
            </w:r>
          </w:p>
        </w:tc>
        <w:tc>
          <w:tcPr>
            <w:tcW w:w="1350" w:type="dxa"/>
          </w:tcPr>
          <w:p w:rsidR="00885183" w:rsidRPr="00B76FCA" w:rsidP="00E860B3" w14:paraId="2EF188C8" w14:textId="77777777">
            <w:pPr>
              <w:pStyle w:val="Table10-ColumnHeading"/>
              <w:keepNext/>
              <w:keepLines/>
              <w:spacing w:before="0" w:after="0"/>
              <w:ind w:left="0" w:right="50"/>
            </w:pPr>
            <w:r w:rsidRPr="00B76FCA">
              <w:t>Time Per Response (hr)</w:t>
            </w:r>
          </w:p>
        </w:tc>
        <w:tc>
          <w:tcPr>
            <w:tcW w:w="990" w:type="dxa"/>
          </w:tcPr>
          <w:p w:rsidR="00885183" w:rsidRPr="00B76FCA" w:rsidP="00E860B3" w14:paraId="031921FF" w14:textId="77777777">
            <w:pPr>
              <w:pStyle w:val="Table10-ColumnHeading"/>
              <w:keepNext/>
              <w:keepLines/>
              <w:spacing w:before="0" w:after="0"/>
              <w:ind w:left="0" w:right="50"/>
            </w:pPr>
            <w:r w:rsidRPr="00B76FCA">
              <w:t>Total Annual Time (hr)</w:t>
            </w:r>
          </w:p>
        </w:tc>
        <w:tc>
          <w:tcPr>
            <w:tcW w:w="1350" w:type="dxa"/>
          </w:tcPr>
          <w:p w:rsidR="00885183" w:rsidRPr="00B76FCA" w:rsidP="00E860B3" w14:paraId="7639F618" w14:textId="77777777">
            <w:pPr>
              <w:pStyle w:val="Table10-ColumnHeading"/>
              <w:keepNext/>
              <w:keepLines/>
              <w:spacing w:before="0" w:after="0"/>
              <w:ind w:left="0" w:right="50"/>
            </w:pPr>
            <w:r w:rsidRPr="00B76FCA">
              <w:t>Labor Cost ($/hr)</w:t>
            </w:r>
          </w:p>
        </w:tc>
        <w:tc>
          <w:tcPr>
            <w:tcW w:w="900" w:type="dxa"/>
          </w:tcPr>
          <w:p w:rsidR="00885183" w:rsidRPr="00B76FCA" w:rsidP="00E860B3" w14:paraId="28A2FB59" w14:textId="77777777">
            <w:pPr>
              <w:pStyle w:val="Table10-ColumnHeading"/>
              <w:keepNext/>
              <w:keepLines/>
              <w:spacing w:before="0" w:after="0"/>
              <w:ind w:left="0" w:right="50"/>
            </w:pPr>
            <w:r w:rsidRPr="00B76FCA">
              <w:t>Total Annual Cost ($)</w:t>
            </w:r>
          </w:p>
        </w:tc>
      </w:tr>
      <w:tr w14:paraId="4610A13C" w14:textId="77777777" w:rsidTr="00E860B3">
        <w:tblPrEx>
          <w:tblW w:w="9445" w:type="dxa"/>
          <w:tblLayout w:type="fixed"/>
          <w:tblCellMar>
            <w:left w:w="43" w:type="dxa"/>
            <w:right w:w="43" w:type="dxa"/>
          </w:tblCellMar>
          <w:tblLook w:val="04A0"/>
        </w:tblPrEx>
        <w:trPr>
          <w:cantSplit/>
          <w:trHeight w:val="20"/>
        </w:trPr>
        <w:tc>
          <w:tcPr>
            <w:tcW w:w="1255" w:type="dxa"/>
          </w:tcPr>
          <w:p w:rsidR="00EE5A31" w:rsidRPr="00B76FCA" w:rsidP="00E860B3" w14:paraId="51D867E3" w14:textId="3699988D">
            <w:pPr>
              <w:pStyle w:val="Table10Basic"/>
              <w:keepNext/>
              <w:keepLines/>
              <w:spacing w:before="0" w:after="0"/>
            </w:pPr>
            <w:r w:rsidRPr="00B76FCA">
              <w:t>Currently Approved</w:t>
            </w:r>
            <w:r>
              <w:t xml:space="preserve"> </w:t>
            </w:r>
          </w:p>
        </w:tc>
        <w:tc>
          <w:tcPr>
            <w:tcW w:w="1350" w:type="dxa"/>
          </w:tcPr>
          <w:p w:rsidR="00EE5A31" w:rsidRPr="00B76FCA" w:rsidP="00E860B3" w14:paraId="7616507E" w14:textId="3BD70E5F">
            <w:pPr>
              <w:pStyle w:val="Table10Centered"/>
              <w:keepNext/>
              <w:keepLines/>
              <w:spacing w:before="0" w:after="0"/>
              <w:ind w:right="50"/>
            </w:pPr>
            <w:r>
              <w:t>16,632</w:t>
            </w:r>
          </w:p>
        </w:tc>
        <w:tc>
          <w:tcPr>
            <w:tcW w:w="1170" w:type="dxa"/>
          </w:tcPr>
          <w:p w:rsidR="00EE5A31" w:rsidRPr="00B76FCA" w:rsidP="00E860B3" w14:paraId="511AFA97" w14:textId="444F2F33">
            <w:pPr>
              <w:pStyle w:val="Table10Centered"/>
              <w:keepNext/>
              <w:keepLines/>
              <w:spacing w:before="0" w:after="0"/>
              <w:ind w:right="50"/>
            </w:pPr>
            <w:r w:rsidRPr="00B76FCA">
              <w:t>1</w:t>
            </w:r>
          </w:p>
        </w:tc>
        <w:tc>
          <w:tcPr>
            <w:tcW w:w="1080" w:type="dxa"/>
          </w:tcPr>
          <w:p w:rsidR="00EE5A31" w:rsidRPr="00B76FCA" w:rsidP="00E860B3" w14:paraId="130C66C6" w14:textId="2CD28574">
            <w:pPr>
              <w:pStyle w:val="Table10Centered"/>
              <w:keepNext/>
              <w:keepLines/>
              <w:spacing w:before="0" w:after="0"/>
              <w:ind w:right="50"/>
            </w:pPr>
            <w:r w:rsidRPr="75100B9B">
              <w:t>16,632</w:t>
            </w:r>
          </w:p>
        </w:tc>
        <w:tc>
          <w:tcPr>
            <w:tcW w:w="1350" w:type="dxa"/>
          </w:tcPr>
          <w:p w:rsidR="00EE5A31" w:rsidRPr="00B76FCA" w:rsidP="00E860B3" w14:paraId="5DCF6D54" w14:textId="23568963">
            <w:pPr>
              <w:pStyle w:val="Table10Centered"/>
              <w:keepNext/>
              <w:keepLines/>
              <w:spacing w:before="0" w:after="0"/>
              <w:ind w:right="50"/>
            </w:pPr>
            <w:r w:rsidRPr="00B76FCA">
              <w:t>9.083</w:t>
            </w:r>
          </w:p>
        </w:tc>
        <w:tc>
          <w:tcPr>
            <w:tcW w:w="990" w:type="dxa"/>
          </w:tcPr>
          <w:p w:rsidR="00EE5A31" w:rsidRPr="00B76FCA" w:rsidP="00E860B3" w14:paraId="79A22094" w14:textId="49E15110">
            <w:pPr>
              <w:pStyle w:val="Table10Centered"/>
              <w:keepNext/>
              <w:keepLines/>
              <w:spacing w:before="0" w:after="0"/>
              <w:ind w:right="50"/>
            </w:pPr>
            <w:r>
              <w:t>151,068</w:t>
            </w:r>
          </w:p>
        </w:tc>
        <w:tc>
          <w:tcPr>
            <w:tcW w:w="1350" w:type="dxa"/>
          </w:tcPr>
          <w:p w:rsidR="00EE5A31" w:rsidRPr="00B76FCA" w:rsidP="00E860B3" w14:paraId="5BC8D1A3" w14:textId="6587E663">
            <w:pPr>
              <w:pStyle w:val="Table10Centered"/>
              <w:keepNext/>
              <w:keepLines/>
              <w:spacing w:before="0" w:after="0"/>
              <w:ind w:right="50"/>
            </w:pPr>
            <w:r w:rsidRPr="00B76FCA">
              <w:t>Varies</w:t>
            </w:r>
          </w:p>
        </w:tc>
        <w:tc>
          <w:tcPr>
            <w:tcW w:w="900" w:type="dxa"/>
          </w:tcPr>
          <w:p w:rsidR="00EE5A31" w:rsidRPr="00B76FCA" w:rsidP="00E860B3" w14:paraId="421F4E6E" w14:textId="63EFB232">
            <w:pPr>
              <w:pStyle w:val="Table10Centered"/>
              <w:keepNext/>
              <w:keepLines/>
              <w:spacing w:before="0" w:after="0"/>
              <w:ind w:right="50"/>
            </w:pPr>
            <w:r>
              <w:t>18,111,915</w:t>
            </w:r>
          </w:p>
        </w:tc>
      </w:tr>
      <w:tr w14:paraId="5C560AD5" w14:textId="77777777" w:rsidTr="00E860B3">
        <w:tblPrEx>
          <w:tblW w:w="9445" w:type="dxa"/>
          <w:tblLayout w:type="fixed"/>
          <w:tblCellMar>
            <w:left w:w="43" w:type="dxa"/>
            <w:right w:w="43" w:type="dxa"/>
          </w:tblCellMar>
          <w:tblLook w:val="04A0"/>
        </w:tblPrEx>
        <w:trPr>
          <w:cantSplit/>
          <w:trHeight w:val="20"/>
        </w:trPr>
        <w:tc>
          <w:tcPr>
            <w:tcW w:w="1255" w:type="dxa"/>
          </w:tcPr>
          <w:p w:rsidR="00595F34" w:rsidRPr="00A600E9" w:rsidP="00E860B3" w14:paraId="07065B62" w14:textId="336E02E8">
            <w:pPr>
              <w:pStyle w:val="Table10Basic"/>
              <w:keepNext/>
              <w:keepLines/>
              <w:spacing w:before="0" w:after="0"/>
              <w:rPr>
                <w:spacing w:val="-4"/>
              </w:rPr>
            </w:pPr>
            <w:r w:rsidRPr="00A600E9">
              <w:rPr>
                <w:spacing w:val="-4"/>
              </w:rPr>
              <w:t>Requested</w:t>
            </w:r>
            <w:r w:rsidRPr="00A600E9" w:rsidR="00F424A2">
              <w:rPr>
                <w:spacing w:val="-4"/>
              </w:rPr>
              <w:br/>
            </w:r>
            <w:r w:rsidRPr="00A600E9" w:rsidR="00A67FD9">
              <w:rPr>
                <w:spacing w:val="-4"/>
              </w:rPr>
              <w:t xml:space="preserve">(See Table </w:t>
            </w:r>
            <w:r w:rsidRPr="00A600E9" w:rsidR="006B4EF6">
              <w:rPr>
                <w:spacing w:val="-4"/>
              </w:rPr>
              <w:t>1</w:t>
            </w:r>
            <w:r w:rsidRPr="00A600E9" w:rsidR="00F42C74">
              <w:rPr>
                <w:spacing w:val="-4"/>
              </w:rPr>
              <w:t>2</w:t>
            </w:r>
            <w:r w:rsidRPr="00A600E9" w:rsidR="00A67FD9">
              <w:rPr>
                <w:spacing w:val="-4"/>
              </w:rPr>
              <w:t>)</w:t>
            </w:r>
          </w:p>
        </w:tc>
        <w:tc>
          <w:tcPr>
            <w:tcW w:w="1350" w:type="dxa"/>
          </w:tcPr>
          <w:p w:rsidR="00595F34" w:rsidRPr="00B76FCA" w:rsidP="00E860B3" w14:paraId="19EC7740" w14:textId="1E7241F2">
            <w:pPr>
              <w:pStyle w:val="Table10Centered"/>
              <w:keepNext/>
              <w:keepLines/>
              <w:spacing w:before="0" w:after="0"/>
              <w:ind w:right="50"/>
            </w:pPr>
            <w:r>
              <w:t>17,008</w:t>
            </w:r>
          </w:p>
        </w:tc>
        <w:tc>
          <w:tcPr>
            <w:tcW w:w="1170" w:type="dxa"/>
          </w:tcPr>
          <w:p w:rsidR="00595F34" w:rsidRPr="00B76FCA" w:rsidP="00E860B3" w14:paraId="1FA79204" w14:textId="6095FFFD">
            <w:pPr>
              <w:pStyle w:val="Table10Centered"/>
              <w:keepNext/>
              <w:keepLines/>
              <w:spacing w:before="0" w:after="0"/>
              <w:ind w:right="50"/>
            </w:pPr>
            <w:r w:rsidRPr="00B76FCA">
              <w:t>1</w:t>
            </w:r>
          </w:p>
        </w:tc>
        <w:tc>
          <w:tcPr>
            <w:tcW w:w="1080" w:type="dxa"/>
          </w:tcPr>
          <w:p w:rsidR="00595F34" w:rsidRPr="00B76FCA" w:rsidP="00E860B3" w14:paraId="7A996D08" w14:textId="01613095">
            <w:pPr>
              <w:pStyle w:val="Table10Centered"/>
              <w:keepNext/>
              <w:keepLines/>
              <w:spacing w:before="0" w:after="0"/>
              <w:ind w:right="50"/>
            </w:pPr>
            <w:r>
              <w:t>17,008</w:t>
            </w:r>
          </w:p>
        </w:tc>
        <w:tc>
          <w:tcPr>
            <w:tcW w:w="1350" w:type="dxa"/>
          </w:tcPr>
          <w:p w:rsidR="00595F34" w:rsidRPr="00B76FCA" w:rsidP="00E860B3" w14:paraId="6AF8B3FB" w14:textId="623372EA">
            <w:pPr>
              <w:pStyle w:val="Table10Centered"/>
              <w:keepNext/>
              <w:keepLines/>
              <w:spacing w:before="0" w:after="0"/>
              <w:ind w:right="50"/>
            </w:pPr>
            <w:r w:rsidRPr="00B76FCA">
              <w:t>9.083</w:t>
            </w:r>
          </w:p>
        </w:tc>
        <w:tc>
          <w:tcPr>
            <w:tcW w:w="990" w:type="dxa"/>
          </w:tcPr>
          <w:p w:rsidR="00595F34" w:rsidRPr="00B76FCA" w:rsidP="00E860B3" w14:paraId="621D898F" w14:textId="13C2FCE7">
            <w:pPr>
              <w:pStyle w:val="Table10Centered"/>
              <w:keepNext/>
              <w:keepLines/>
              <w:spacing w:before="0" w:after="0"/>
              <w:ind w:right="50"/>
            </w:pPr>
            <w:r>
              <w:t>154,484</w:t>
            </w:r>
          </w:p>
        </w:tc>
        <w:tc>
          <w:tcPr>
            <w:tcW w:w="1350" w:type="dxa"/>
          </w:tcPr>
          <w:p w:rsidR="00595F34" w:rsidRPr="00B76FCA" w:rsidP="00E860B3" w14:paraId="22332A03" w14:textId="167548DB">
            <w:pPr>
              <w:pStyle w:val="Table10Centered"/>
              <w:keepNext/>
              <w:keepLines/>
              <w:spacing w:before="0" w:after="0"/>
              <w:ind w:right="50"/>
            </w:pPr>
            <w:r w:rsidRPr="00B76FCA">
              <w:t>Varies</w:t>
            </w:r>
          </w:p>
        </w:tc>
        <w:tc>
          <w:tcPr>
            <w:tcW w:w="900" w:type="dxa"/>
          </w:tcPr>
          <w:p w:rsidR="00595F34" w:rsidRPr="00B76FCA" w:rsidP="00E860B3" w14:paraId="1FDF809F" w14:textId="1CDE6C4D">
            <w:pPr>
              <w:pStyle w:val="Table10Centered"/>
              <w:keepNext/>
              <w:keepLines/>
              <w:spacing w:before="0" w:after="0"/>
              <w:ind w:right="50"/>
            </w:pPr>
            <w:r w:rsidRPr="2F5B7FA3">
              <w:rPr>
                <w:color w:val="000000" w:themeColor="text1"/>
              </w:rPr>
              <w:t>18,521,372</w:t>
            </w:r>
            <w:r w:rsidRPr="2F5B7FA3">
              <w:rPr>
                <w:rFonts w:ascii="Calibri" w:hAnsi="Calibri" w:cs="Calibri"/>
                <w:color w:val="000000" w:themeColor="text1"/>
                <w:sz w:val="22"/>
              </w:rPr>
              <w:t xml:space="preserve"> </w:t>
            </w:r>
          </w:p>
        </w:tc>
      </w:tr>
      <w:tr w14:paraId="3BA3005E" w14:textId="77777777" w:rsidTr="00E860B3">
        <w:tblPrEx>
          <w:tblW w:w="9445" w:type="dxa"/>
          <w:tblLayout w:type="fixed"/>
          <w:tblCellMar>
            <w:left w:w="43" w:type="dxa"/>
            <w:right w:w="43" w:type="dxa"/>
          </w:tblCellMar>
          <w:tblLook w:val="04A0"/>
        </w:tblPrEx>
        <w:trPr>
          <w:cantSplit/>
          <w:trHeight w:val="20"/>
        </w:trPr>
        <w:tc>
          <w:tcPr>
            <w:tcW w:w="1255" w:type="dxa"/>
            <w:shd w:val="clear" w:color="auto" w:fill="D9D9D9" w:themeFill="background1" w:themeFillShade="D9"/>
          </w:tcPr>
          <w:p w:rsidR="00595F34" w:rsidRPr="00B76FCA" w:rsidP="00E860B3" w14:paraId="6BEA7A9F" w14:textId="2638B0C8">
            <w:pPr>
              <w:pStyle w:val="Table10Basic"/>
              <w:spacing w:before="0" w:after="0"/>
            </w:pPr>
            <w:r w:rsidRPr="00B76FCA">
              <w:t>Adjustment</w:t>
            </w:r>
            <w:r w:rsidRPr="00B76FCA" w:rsidR="00C1361E">
              <w:t xml:space="preserve"> </w:t>
            </w:r>
          </w:p>
        </w:tc>
        <w:tc>
          <w:tcPr>
            <w:tcW w:w="1350" w:type="dxa"/>
            <w:shd w:val="clear" w:color="auto" w:fill="D9D9D9" w:themeFill="background1" w:themeFillShade="D9"/>
          </w:tcPr>
          <w:p w:rsidR="00595F34" w:rsidRPr="00B76FCA" w:rsidP="00E860B3" w14:paraId="1D6F1F86" w14:textId="01B2D11C">
            <w:pPr>
              <w:pStyle w:val="Table10Centered"/>
              <w:spacing w:before="0" w:after="0"/>
              <w:ind w:right="50"/>
            </w:pPr>
            <w:r>
              <w:t>+376</w:t>
            </w:r>
          </w:p>
        </w:tc>
        <w:tc>
          <w:tcPr>
            <w:tcW w:w="1170" w:type="dxa"/>
            <w:shd w:val="clear" w:color="auto" w:fill="D9D9D9" w:themeFill="background1" w:themeFillShade="D9"/>
          </w:tcPr>
          <w:p w:rsidR="00595F34" w:rsidRPr="00B76FCA" w:rsidP="00E860B3" w14:paraId="4B191199" w14:textId="446A5F2B">
            <w:pPr>
              <w:pStyle w:val="Table10Centered"/>
              <w:spacing w:before="0" w:after="0"/>
              <w:ind w:right="50"/>
            </w:pPr>
            <w:r w:rsidRPr="00B76FCA">
              <w:t>No change</w:t>
            </w:r>
          </w:p>
        </w:tc>
        <w:tc>
          <w:tcPr>
            <w:tcW w:w="1080" w:type="dxa"/>
            <w:shd w:val="clear" w:color="auto" w:fill="D9D9D9" w:themeFill="background1" w:themeFillShade="D9"/>
          </w:tcPr>
          <w:p w:rsidR="00595F34" w:rsidRPr="00B76FCA" w:rsidP="00E860B3" w14:paraId="1BC50415" w14:textId="2CC70A89">
            <w:pPr>
              <w:pStyle w:val="Table10Centered"/>
              <w:spacing w:before="0" w:after="0"/>
              <w:ind w:right="50"/>
            </w:pPr>
            <w:r>
              <w:t>+376</w:t>
            </w:r>
          </w:p>
        </w:tc>
        <w:tc>
          <w:tcPr>
            <w:tcW w:w="1350" w:type="dxa"/>
            <w:shd w:val="clear" w:color="auto" w:fill="D9D9D9" w:themeFill="background1" w:themeFillShade="D9"/>
          </w:tcPr>
          <w:p w:rsidR="00595F34" w:rsidRPr="00B76FCA" w:rsidP="00E860B3" w14:paraId="703A69E0" w14:textId="7D0F70BB">
            <w:pPr>
              <w:pStyle w:val="Table10Centered"/>
              <w:spacing w:before="0" w:after="0"/>
              <w:ind w:right="50"/>
            </w:pPr>
            <w:r w:rsidRPr="00B76FCA">
              <w:t>No change</w:t>
            </w:r>
          </w:p>
        </w:tc>
        <w:tc>
          <w:tcPr>
            <w:tcW w:w="990" w:type="dxa"/>
            <w:shd w:val="clear" w:color="auto" w:fill="D9D9D9" w:themeFill="background1" w:themeFillShade="D9"/>
          </w:tcPr>
          <w:p w:rsidR="00595F34" w:rsidRPr="00B76FCA" w:rsidP="00E860B3" w14:paraId="0BFCA4D3" w14:textId="76D57D12">
            <w:pPr>
              <w:pStyle w:val="Table10Centered"/>
              <w:spacing w:before="0" w:after="0"/>
              <w:ind w:right="50"/>
            </w:pPr>
            <w:r>
              <w:t>+3,416</w:t>
            </w:r>
          </w:p>
        </w:tc>
        <w:tc>
          <w:tcPr>
            <w:tcW w:w="1350" w:type="dxa"/>
            <w:shd w:val="clear" w:color="auto" w:fill="D9D9D9" w:themeFill="background1" w:themeFillShade="D9"/>
          </w:tcPr>
          <w:p w:rsidR="00595F34" w:rsidRPr="00B76FCA" w:rsidP="00E860B3" w14:paraId="764BDC3C" w14:textId="4B828FAF">
            <w:pPr>
              <w:pStyle w:val="Table10Centered"/>
              <w:spacing w:before="0" w:after="0"/>
              <w:ind w:right="50"/>
            </w:pPr>
            <w:r w:rsidRPr="00B76FCA">
              <w:t>No change</w:t>
            </w:r>
          </w:p>
        </w:tc>
        <w:tc>
          <w:tcPr>
            <w:tcW w:w="900" w:type="dxa"/>
            <w:shd w:val="clear" w:color="auto" w:fill="D9D9D9" w:themeFill="background1" w:themeFillShade="D9"/>
          </w:tcPr>
          <w:p w:rsidR="00595F34" w:rsidRPr="00B76FCA" w:rsidP="00E860B3" w14:paraId="574CE2BB" w14:textId="71F79C5B">
            <w:pPr>
              <w:pStyle w:val="Table10Centered"/>
              <w:spacing w:before="0" w:after="0"/>
              <w:ind w:right="50"/>
            </w:pPr>
            <w:r>
              <w:t>+409,457</w:t>
            </w:r>
          </w:p>
        </w:tc>
      </w:tr>
    </w:tbl>
    <w:p w:rsidR="00885183" w:rsidRPr="00B7366A" w:rsidP="00361BB4" w14:paraId="1BEC5E63" w14:textId="43363530">
      <w:pPr>
        <w:pStyle w:val="ExhibitTitle"/>
        <w:rPr>
          <w:rFonts w:eastAsia="Calibri"/>
          <w:b w:val="0"/>
          <w:bCs/>
        </w:rPr>
      </w:pPr>
      <w:r w:rsidRPr="00B7366A">
        <w:rPr>
          <w:rFonts w:eastAsia="Calibri"/>
          <w:b w:val="0"/>
          <w:bCs/>
        </w:rPr>
        <w:t>T</w:t>
      </w:r>
      <w:r w:rsidRPr="00B7366A" w:rsidR="3219F3B0">
        <w:rPr>
          <w:rFonts w:eastAsia="Calibri"/>
          <w:b w:val="0"/>
          <w:bCs/>
        </w:rPr>
        <w:t>able</w:t>
      </w:r>
      <w:r w:rsidRPr="00B7366A">
        <w:rPr>
          <w:rFonts w:eastAsia="Calibri"/>
          <w:b w:val="0"/>
          <w:bCs/>
        </w:rPr>
        <w:t xml:space="preserve"> </w:t>
      </w:r>
      <w:r w:rsidRPr="00B7366A" w:rsidR="2F63B0D2">
        <w:rPr>
          <w:rFonts w:eastAsia="Calibri"/>
          <w:b w:val="0"/>
          <w:bCs/>
        </w:rPr>
        <w:t>3</w:t>
      </w:r>
      <w:r w:rsidRPr="00B7366A" w:rsidR="74779A18">
        <w:rPr>
          <w:rFonts w:eastAsia="Calibri"/>
          <w:b w:val="0"/>
          <w:bCs/>
        </w:rPr>
        <w:t>0</w:t>
      </w:r>
      <w:r w:rsidRPr="00B7366A" w:rsidR="3AC36561">
        <w:rPr>
          <w:rFonts w:eastAsia="Calibri"/>
          <w:b w:val="0"/>
          <w:bCs/>
        </w:rPr>
        <w:t>I</w:t>
      </w:r>
      <w:r w:rsidRPr="00B7366A">
        <w:rPr>
          <w:rFonts w:eastAsia="Calibri"/>
          <w:b w:val="0"/>
          <w:bCs/>
        </w:rPr>
        <w:t xml:space="preserve">: Burden Reconciliation for </w:t>
      </w:r>
      <w:r w:rsidRPr="00B7366A" w:rsidR="4A50D9A0">
        <w:rPr>
          <w:rFonts w:eastAsia="Calibri"/>
          <w:b w:val="0"/>
          <w:bCs/>
        </w:rPr>
        <w:t>Quality Performance Category</w:t>
      </w:r>
      <w:r w:rsidRPr="00B7366A" w:rsidR="21E0677F">
        <w:rPr>
          <w:rFonts w:eastAsia="Calibri"/>
          <w:b w:val="0"/>
          <w:bCs/>
        </w:rPr>
        <w:t xml:space="preserve"> </w:t>
      </w:r>
      <w:r w:rsidRPr="00B7366A" w:rsidR="4A50D9A0">
        <w:rPr>
          <w:rFonts w:eastAsia="Calibri"/>
          <w:b w:val="0"/>
          <w:bCs/>
        </w:rPr>
        <w:t xml:space="preserve">eCQM </w:t>
      </w:r>
      <w:r w:rsidRPr="00B7366A">
        <w:rPr>
          <w:b w:val="0"/>
          <w:bCs/>
        </w:rPr>
        <w:br/>
      </w:r>
      <w:r w:rsidRPr="00B7366A" w:rsidR="0C538030">
        <w:rPr>
          <w:rFonts w:eastAsia="Calibri"/>
          <w:b w:val="0"/>
          <w:bCs/>
        </w:rPr>
        <w:t>Collection Type</w:t>
      </w:r>
    </w:p>
    <w:tbl>
      <w:tblPr>
        <w:tblStyle w:val="TableGrid"/>
        <w:tblDescription w:val="Table 30I: the estimated change in burden to our currently approved burden estimates for the quality performance category submission via the e C Q M collection type."/>
        <w:tblW w:w="9445" w:type="dxa"/>
        <w:tblLayout w:type="fixed"/>
        <w:tblCellMar>
          <w:left w:w="43" w:type="dxa"/>
          <w:right w:w="43" w:type="dxa"/>
        </w:tblCellMar>
        <w:tblLook w:val="04A0"/>
      </w:tblPr>
      <w:tblGrid>
        <w:gridCol w:w="1255"/>
        <w:gridCol w:w="1350"/>
        <w:gridCol w:w="1170"/>
        <w:gridCol w:w="1080"/>
        <w:gridCol w:w="1350"/>
        <w:gridCol w:w="990"/>
        <w:gridCol w:w="1080"/>
        <w:gridCol w:w="1170"/>
      </w:tblGrid>
      <w:tr w14:paraId="12A4DC46" w14:textId="77777777" w:rsidTr="00CF320F">
        <w:tblPrEx>
          <w:tblW w:w="9445" w:type="dxa"/>
          <w:tblLayout w:type="fixed"/>
          <w:tblCellMar>
            <w:left w:w="43" w:type="dxa"/>
            <w:right w:w="43" w:type="dxa"/>
          </w:tblCellMar>
          <w:tblLook w:val="04A0"/>
        </w:tblPrEx>
        <w:trPr>
          <w:cantSplit/>
          <w:trHeight w:val="20"/>
          <w:tblHeader/>
        </w:trPr>
        <w:tc>
          <w:tcPr>
            <w:tcW w:w="1255" w:type="dxa"/>
          </w:tcPr>
          <w:p w:rsidR="00885183" w:rsidRPr="00FB02B1" w:rsidP="00E860B3" w14:paraId="55EDCBB0" w14:textId="77777777">
            <w:pPr>
              <w:pStyle w:val="Table10-ColumnHeading"/>
              <w:spacing w:before="0" w:after="0"/>
              <w:ind w:left="40"/>
              <w:jc w:val="left"/>
            </w:pPr>
            <w:r w:rsidRPr="00FB02B1">
              <w:t>Burden Category</w:t>
            </w:r>
          </w:p>
        </w:tc>
        <w:tc>
          <w:tcPr>
            <w:tcW w:w="1350" w:type="dxa"/>
          </w:tcPr>
          <w:p w:rsidR="00885183" w:rsidRPr="00FB02B1" w:rsidP="00E860B3" w14:paraId="1EAC02F8" w14:textId="77777777">
            <w:pPr>
              <w:pStyle w:val="Table10-ColumnHeading"/>
              <w:spacing w:before="0" w:after="0"/>
              <w:ind w:left="0" w:right="50"/>
            </w:pPr>
            <w:r w:rsidRPr="00FB02B1">
              <w:t>Total Annual Respondents</w:t>
            </w:r>
          </w:p>
        </w:tc>
        <w:tc>
          <w:tcPr>
            <w:tcW w:w="1170" w:type="dxa"/>
          </w:tcPr>
          <w:p w:rsidR="00885183" w:rsidRPr="00FB02B1" w:rsidP="00E860B3" w14:paraId="47FAAA60" w14:textId="77777777">
            <w:pPr>
              <w:pStyle w:val="Table10-ColumnHeading"/>
              <w:spacing w:before="0" w:after="0"/>
              <w:ind w:left="0" w:right="50"/>
            </w:pPr>
            <w:r w:rsidRPr="00FB02B1">
              <w:t>Response Frequency (per year)</w:t>
            </w:r>
          </w:p>
        </w:tc>
        <w:tc>
          <w:tcPr>
            <w:tcW w:w="1080" w:type="dxa"/>
          </w:tcPr>
          <w:p w:rsidR="00885183" w:rsidRPr="00FB02B1" w:rsidP="00E860B3" w14:paraId="76670D3F" w14:textId="77777777">
            <w:pPr>
              <w:pStyle w:val="Table10-ColumnHeading"/>
              <w:spacing w:before="0" w:after="0"/>
              <w:ind w:left="0" w:right="50"/>
            </w:pPr>
            <w:r w:rsidRPr="00FB02B1">
              <w:t>Total Annual Responses</w:t>
            </w:r>
          </w:p>
        </w:tc>
        <w:tc>
          <w:tcPr>
            <w:tcW w:w="1350" w:type="dxa"/>
          </w:tcPr>
          <w:p w:rsidR="00885183" w:rsidRPr="00FB02B1" w:rsidP="00E860B3" w14:paraId="6A742B10" w14:textId="77777777">
            <w:pPr>
              <w:pStyle w:val="Table10-ColumnHeading"/>
              <w:spacing w:before="0" w:after="0"/>
              <w:ind w:left="0" w:right="0"/>
            </w:pPr>
            <w:r w:rsidRPr="00FB02B1">
              <w:t>Time Per Response (hr)</w:t>
            </w:r>
          </w:p>
        </w:tc>
        <w:tc>
          <w:tcPr>
            <w:tcW w:w="990" w:type="dxa"/>
          </w:tcPr>
          <w:p w:rsidR="00885183" w:rsidRPr="00FB02B1" w:rsidP="00E860B3" w14:paraId="05A4E45A" w14:textId="77777777">
            <w:pPr>
              <w:pStyle w:val="Table10-ColumnHeading"/>
              <w:spacing w:before="0" w:after="0"/>
              <w:ind w:left="0" w:right="50"/>
            </w:pPr>
            <w:r w:rsidRPr="00FB02B1">
              <w:t>Total Annual Time (hr)</w:t>
            </w:r>
          </w:p>
        </w:tc>
        <w:tc>
          <w:tcPr>
            <w:tcW w:w="1080" w:type="dxa"/>
          </w:tcPr>
          <w:p w:rsidR="00885183" w:rsidRPr="00FB02B1" w:rsidP="00E860B3" w14:paraId="21D8F483" w14:textId="77777777">
            <w:pPr>
              <w:pStyle w:val="Table10-ColumnHeading"/>
              <w:spacing w:before="0" w:after="0"/>
              <w:ind w:left="0" w:right="50"/>
            </w:pPr>
            <w:r w:rsidRPr="00FB02B1">
              <w:t>Labor Cost ($/hr)</w:t>
            </w:r>
          </w:p>
        </w:tc>
        <w:tc>
          <w:tcPr>
            <w:tcW w:w="1170" w:type="dxa"/>
          </w:tcPr>
          <w:p w:rsidR="00885183" w:rsidRPr="00FB02B1" w:rsidP="00E860B3" w14:paraId="1B2918B0" w14:textId="77777777">
            <w:pPr>
              <w:pStyle w:val="Table10-ColumnHeading"/>
              <w:spacing w:before="0" w:after="0"/>
              <w:ind w:left="0" w:right="50"/>
            </w:pPr>
            <w:r w:rsidRPr="00FB02B1">
              <w:t>Total Annual Cost ($)</w:t>
            </w:r>
          </w:p>
        </w:tc>
      </w:tr>
      <w:tr w14:paraId="6926222E" w14:textId="77777777" w:rsidTr="00CF320F">
        <w:tblPrEx>
          <w:tblW w:w="9445" w:type="dxa"/>
          <w:tblLayout w:type="fixed"/>
          <w:tblCellMar>
            <w:left w:w="43" w:type="dxa"/>
            <w:right w:w="43" w:type="dxa"/>
          </w:tblCellMar>
          <w:tblLook w:val="04A0"/>
        </w:tblPrEx>
        <w:trPr>
          <w:cantSplit/>
          <w:trHeight w:val="20"/>
        </w:trPr>
        <w:tc>
          <w:tcPr>
            <w:tcW w:w="1255" w:type="dxa"/>
          </w:tcPr>
          <w:p w:rsidR="00787537" w:rsidRPr="00BB7053" w:rsidP="00E860B3" w14:paraId="59A33615" w14:textId="018D0684">
            <w:pPr>
              <w:pStyle w:val="Table10Basic"/>
              <w:spacing w:before="0" w:after="0"/>
            </w:pPr>
            <w:r w:rsidRPr="2F5B7FA3">
              <w:t xml:space="preserve">Currently Approved </w:t>
            </w:r>
          </w:p>
        </w:tc>
        <w:tc>
          <w:tcPr>
            <w:tcW w:w="1350" w:type="dxa"/>
          </w:tcPr>
          <w:p w:rsidR="00787537" w:rsidRPr="00BB7053" w:rsidP="00E860B3" w14:paraId="655E967F" w14:textId="11A33C18">
            <w:pPr>
              <w:pStyle w:val="Table10Centered"/>
              <w:spacing w:before="0" w:after="0"/>
              <w:ind w:right="50"/>
            </w:pPr>
            <w:r w:rsidRPr="2F5B7FA3">
              <w:t>28,714</w:t>
            </w:r>
          </w:p>
        </w:tc>
        <w:tc>
          <w:tcPr>
            <w:tcW w:w="1170" w:type="dxa"/>
          </w:tcPr>
          <w:p w:rsidR="00787537" w:rsidRPr="00BB7053" w:rsidP="00E860B3" w14:paraId="78C0824A" w14:textId="3E452D66">
            <w:pPr>
              <w:pStyle w:val="Table10Centered"/>
              <w:spacing w:before="0" w:after="0"/>
              <w:ind w:right="50"/>
            </w:pPr>
            <w:r w:rsidRPr="2F5B7FA3">
              <w:t>1</w:t>
            </w:r>
          </w:p>
        </w:tc>
        <w:tc>
          <w:tcPr>
            <w:tcW w:w="1080" w:type="dxa"/>
          </w:tcPr>
          <w:p w:rsidR="00787537" w:rsidRPr="00BB7053" w:rsidP="00E860B3" w14:paraId="0C535044" w14:textId="7EEB833C">
            <w:pPr>
              <w:pStyle w:val="Table10Centered"/>
              <w:spacing w:before="0" w:after="0"/>
              <w:ind w:right="50"/>
            </w:pPr>
            <w:r w:rsidRPr="2F5B7FA3">
              <w:t>28,714</w:t>
            </w:r>
          </w:p>
        </w:tc>
        <w:tc>
          <w:tcPr>
            <w:tcW w:w="1350" w:type="dxa"/>
          </w:tcPr>
          <w:p w:rsidR="00787537" w:rsidRPr="00BB7053" w:rsidP="00E860B3" w14:paraId="733AEC15" w14:textId="2C168531">
            <w:pPr>
              <w:pStyle w:val="Table10Centered"/>
              <w:spacing w:before="0" w:after="0"/>
            </w:pPr>
            <w:r w:rsidRPr="2F5B7FA3">
              <w:t>8</w:t>
            </w:r>
          </w:p>
        </w:tc>
        <w:tc>
          <w:tcPr>
            <w:tcW w:w="990" w:type="dxa"/>
          </w:tcPr>
          <w:p w:rsidR="00787537" w:rsidRPr="00BB7053" w:rsidP="00E860B3" w14:paraId="367FE85A" w14:textId="77006DF5">
            <w:pPr>
              <w:pStyle w:val="Table10Centered"/>
              <w:spacing w:before="0" w:after="0"/>
              <w:ind w:right="50"/>
            </w:pPr>
            <w:r w:rsidRPr="2F5B7FA3">
              <w:t>229,712</w:t>
            </w:r>
          </w:p>
        </w:tc>
        <w:tc>
          <w:tcPr>
            <w:tcW w:w="1080" w:type="dxa"/>
          </w:tcPr>
          <w:p w:rsidR="00787537" w:rsidRPr="00BB7053" w:rsidP="00E860B3" w14:paraId="64018EF3" w14:textId="5C0A1E4B">
            <w:pPr>
              <w:pStyle w:val="Table10Centered"/>
              <w:spacing w:before="0" w:after="0"/>
              <w:ind w:right="50"/>
            </w:pPr>
            <w:r w:rsidRPr="2F5B7FA3">
              <w:t>Varies</w:t>
            </w:r>
          </w:p>
        </w:tc>
        <w:tc>
          <w:tcPr>
            <w:tcW w:w="1170" w:type="dxa"/>
          </w:tcPr>
          <w:p w:rsidR="00787537" w:rsidRPr="00BB7053" w:rsidP="00E860B3" w14:paraId="2AD5DA58" w14:textId="15D6A2C0">
            <w:pPr>
              <w:pStyle w:val="Table10Centered"/>
              <w:spacing w:before="0" w:after="0"/>
              <w:ind w:right="50"/>
            </w:pPr>
            <w:r w:rsidRPr="2F5B7FA3">
              <w:t>27,955,950</w:t>
            </w:r>
          </w:p>
        </w:tc>
      </w:tr>
      <w:tr w14:paraId="19494939" w14:textId="77777777" w:rsidTr="00CF320F">
        <w:tblPrEx>
          <w:tblW w:w="9445" w:type="dxa"/>
          <w:tblLayout w:type="fixed"/>
          <w:tblCellMar>
            <w:left w:w="43" w:type="dxa"/>
            <w:right w:w="43" w:type="dxa"/>
          </w:tblCellMar>
          <w:tblLook w:val="04A0"/>
        </w:tblPrEx>
        <w:trPr>
          <w:cantSplit/>
          <w:trHeight w:val="20"/>
        </w:trPr>
        <w:tc>
          <w:tcPr>
            <w:tcW w:w="1255" w:type="dxa"/>
          </w:tcPr>
          <w:p w:rsidR="00F915C9" w:rsidRPr="00A600E9" w:rsidP="00E860B3" w14:paraId="76FA3219" w14:textId="5E2B3094">
            <w:pPr>
              <w:pStyle w:val="Table10Basic"/>
              <w:spacing w:before="0" w:after="0"/>
              <w:rPr>
                <w:spacing w:val="-4"/>
              </w:rPr>
            </w:pPr>
            <w:r w:rsidRPr="00A600E9">
              <w:rPr>
                <w:spacing w:val="-4"/>
              </w:rPr>
              <w:t>Requested</w:t>
            </w:r>
            <w:r w:rsidRPr="00A600E9" w:rsidR="41222D55">
              <w:rPr>
                <w:spacing w:val="-4"/>
              </w:rPr>
              <w:t xml:space="preserve"> </w:t>
            </w:r>
            <w:r w:rsidRPr="00A600E9" w:rsidR="00467F7B">
              <w:rPr>
                <w:spacing w:val="-4"/>
              </w:rPr>
              <w:br/>
            </w:r>
            <w:r w:rsidRPr="00A600E9" w:rsidR="7F44D54B">
              <w:rPr>
                <w:spacing w:val="-4"/>
              </w:rPr>
              <w:t xml:space="preserve">(See Table </w:t>
            </w:r>
            <w:r w:rsidRPr="00A600E9" w:rsidR="35C751FF">
              <w:rPr>
                <w:spacing w:val="-4"/>
              </w:rPr>
              <w:t>1</w:t>
            </w:r>
            <w:r w:rsidRPr="00A600E9" w:rsidR="13C4DE77">
              <w:rPr>
                <w:spacing w:val="-4"/>
              </w:rPr>
              <w:t>3</w:t>
            </w:r>
            <w:r w:rsidRPr="00A600E9" w:rsidR="7F44D54B">
              <w:rPr>
                <w:spacing w:val="-4"/>
              </w:rPr>
              <w:t>)</w:t>
            </w:r>
          </w:p>
        </w:tc>
        <w:tc>
          <w:tcPr>
            <w:tcW w:w="1350" w:type="dxa"/>
          </w:tcPr>
          <w:p w:rsidR="00F915C9" w:rsidRPr="00BB7053" w:rsidP="00E860B3" w14:paraId="7760DECB" w14:textId="564F3DD4">
            <w:pPr>
              <w:pStyle w:val="Table10Centered"/>
              <w:spacing w:before="0" w:after="0"/>
              <w:ind w:right="50"/>
            </w:pPr>
            <w:r w:rsidRPr="2F5B7FA3">
              <w:t xml:space="preserve">27,179 </w:t>
            </w:r>
          </w:p>
        </w:tc>
        <w:tc>
          <w:tcPr>
            <w:tcW w:w="1170" w:type="dxa"/>
          </w:tcPr>
          <w:p w:rsidR="00F915C9" w:rsidRPr="00BB7053" w:rsidP="00E860B3" w14:paraId="5A4FF95F" w14:textId="2E2DDB15">
            <w:pPr>
              <w:pStyle w:val="Table10Centered"/>
              <w:spacing w:before="0" w:after="0"/>
              <w:ind w:right="50"/>
            </w:pPr>
            <w:r w:rsidRPr="2F5B7FA3">
              <w:t>1</w:t>
            </w:r>
          </w:p>
        </w:tc>
        <w:tc>
          <w:tcPr>
            <w:tcW w:w="1080" w:type="dxa"/>
          </w:tcPr>
          <w:p w:rsidR="00F915C9" w:rsidRPr="00BB7053" w:rsidP="00E860B3" w14:paraId="491E9371" w14:textId="693B4D8B">
            <w:pPr>
              <w:pStyle w:val="Table10Centered"/>
              <w:spacing w:before="0" w:after="0"/>
              <w:ind w:right="50"/>
            </w:pPr>
            <w:r w:rsidRPr="2F5B7FA3">
              <w:t xml:space="preserve">27,179 </w:t>
            </w:r>
          </w:p>
        </w:tc>
        <w:tc>
          <w:tcPr>
            <w:tcW w:w="1350" w:type="dxa"/>
          </w:tcPr>
          <w:p w:rsidR="00F915C9" w:rsidRPr="00BB7053" w:rsidP="00E860B3" w14:paraId="350B3F67" w14:textId="71EC6A01">
            <w:pPr>
              <w:pStyle w:val="Table10Centered"/>
              <w:spacing w:before="0" w:after="0"/>
            </w:pPr>
            <w:r w:rsidRPr="2F5B7FA3">
              <w:t>8</w:t>
            </w:r>
          </w:p>
        </w:tc>
        <w:tc>
          <w:tcPr>
            <w:tcW w:w="990" w:type="dxa"/>
          </w:tcPr>
          <w:p w:rsidR="00F915C9" w:rsidRPr="00BB7053" w:rsidP="00E860B3" w14:paraId="0B8C14BC" w14:textId="3903CB87">
            <w:pPr>
              <w:pStyle w:val="Table10Centered"/>
              <w:spacing w:before="0" w:after="0"/>
              <w:ind w:right="50"/>
            </w:pPr>
            <w:r w:rsidRPr="2F5B7FA3">
              <w:t>217,43</w:t>
            </w:r>
            <w:r w:rsidRPr="2F5B7FA3" w:rsidR="6154B0CB">
              <w:t>2</w:t>
            </w:r>
          </w:p>
        </w:tc>
        <w:tc>
          <w:tcPr>
            <w:tcW w:w="1080" w:type="dxa"/>
          </w:tcPr>
          <w:p w:rsidR="00F915C9" w:rsidRPr="00BB7053" w:rsidP="00E860B3" w14:paraId="18041A42" w14:textId="68478642">
            <w:pPr>
              <w:pStyle w:val="Table10Centered"/>
              <w:spacing w:before="0" w:after="0"/>
              <w:ind w:right="50"/>
            </w:pPr>
            <w:r w:rsidRPr="2F5B7FA3">
              <w:t>Varies</w:t>
            </w:r>
          </w:p>
        </w:tc>
        <w:tc>
          <w:tcPr>
            <w:tcW w:w="1170" w:type="dxa"/>
          </w:tcPr>
          <w:p w:rsidR="00F915C9" w:rsidRPr="00BB7053" w:rsidP="00E860B3" w14:paraId="70702506" w14:textId="66E257BC">
            <w:pPr>
              <w:pStyle w:val="Table10Centered"/>
              <w:spacing w:before="0" w:after="0"/>
              <w:ind w:right="50"/>
            </w:pPr>
            <w:r w:rsidRPr="2F5B7FA3">
              <w:rPr>
                <w:color w:val="000000" w:themeColor="text1"/>
              </w:rPr>
              <w:t xml:space="preserve"> 26,461,474 </w:t>
            </w:r>
          </w:p>
        </w:tc>
      </w:tr>
      <w:tr w14:paraId="6A6C7DA4" w14:textId="77777777" w:rsidTr="00CF320F">
        <w:tblPrEx>
          <w:tblW w:w="9445" w:type="dxa"/>
          <w:tblLayout w:type="fixed"/>
          <w:tblCellMar>
            <w:left w:w="43" w:type="dxa"/>
            <w:right w:w="43" w:type="dxa"/>
          </w:tblCellMar>
          <w:tblLook w:val="04A0"/>
        </w:tblPrEx>
        <w:trPr>
          <w:cantSplit/>
          <w:trHeight w:val="20"/>
        </w:trPr>
        <w:tc>
          <w:tcPr>
            <w:tcW w:w="1255" w:type="dxa"/>
            <w:shd w:val="clear" w:color="auto" w:fill="D9D9D9" w:themeFill="background1" w:themeFillShade="D9"/>
          </w:tcPr>
          <w:p w:rsidR="00F915C9" w:rsidRPr="00BB7053" w:rsidP="00E860B3" w14:paraId="2B8AD4DE" w14:textId="21E78281">
            <w:pPr>
              <w:pStyle w:val="Table10Basic"/>
              <w:spacing w:before="0" w:after="0"/>
            </w:pPr>
            <w:r>
              <w:t>Adjustment</w:t>
            </w:r>
            <w:r w:rsidR="00C1361E">
              <w:t xml:space="preserve"> </w:t>
            </w:r>
          </w:p>
        </w:tc>
        <w:tc>
          <w:tcPr>
            <w:tcW w:w="1350" w:type="dxa"/>
            <w:shd w:val="clear" w:color="auto" w:fill="D9D9D9" w:themeFill="background1" w:themeFillShade="D9"/>
          </w:tcPr>
          <w:p w:rsidR="00F915C9" w:rsidRPr="00BB7053" w:rsidP="00E860B3" w14:paraId="0815153B" w14:textId="7FCD909E">
            <w:pPr>
              <w:pStyle w:val="Table10Centered"/>
              <w:spacing w:before="0" w:after="0"/>
              <w:ind w:right="50"/>
            </w:pPr>
            <w:r w:rsidRPr="2F5B7FA3">
              <w:t>-1,535</w:t>
            </w:r>
          </w:p>
        </w:tc>
        <w:tc>
          <w:tcPr>
            <w:tcW w:w="1170" w:type="dxa"/>
            <w:shd w:val="clear" w:color="auto" w:fill="D9D9D9" w:themeFill="background1" w:themeFillShade="D9"/>
          </w:tcPr>
          <w:p w:rsidR="00F915C9" w:rsidRPr="00BB7053" w:rsidP="00E860B3" w14:paraId="2BDC1DF9" w14:textId="6E961EB5">
            <w:pPr>
              <w:pStyle w:val="Table10Centered"/>
              <w:spacing w:before="0" w:after="0"/>
              <w:ind w:right="50"/>
            </w:pPr>
            <w:r>
              <w:t>No change</w:t>
            </w:r>
          </w:p>
        </w:tc>
        <w:tc>
          <w:tcPr>
            <w:tcW w:w="1080" w:type="dxa"/>
            <w:shd w:val="clear" w:color="auto" w:fill="D9D9D9" w:themeFill="background1" w:themeFillShade="D9"/>
          </w:tcPr>
          <w:p w:rsidR="00F915C9" w:rsidRPr="00BB7053" w:rsidP="00E860B3" w14:paraId="3676B35F" w14:textId="0C31ED0C">
            <w:pPr>
              <w:pStyle w:val="Table10Centered"/>
              <w:spacing w:before="0" w:after="0"/>
              <w:ind w:right="50"/>
            </w:pPr>
            <w:r>
              <w:t>-1,535</w:t>
            </w:r>
          </w:p>
        </w:tc>
        <w:tc>
          <w:tcPr>
            <w:tcW w:w="1350" w:type="dxa"/>
            <w:shd w:val="clear" w:color="auto" w:fill="D9D9D9" w:themeFill="background1" w:themeFillShade="D9"/>
          </w:tcPr>
          <w:p w:rsidR="00F915C9" w:rsidRPr="00BB7053" w:rsidP="00E860B3" w14:paraId="02CC1C28" w14:textId="7062C02C">
            <w:pPr>
              <w:pStyle w:val="Table10Centered"/>
              <w:spacing w:before="0" w:after="0"/>
            </w:pPr>
            <w:r>
              <w:t>No change</w:t>
            </w:r>
          </w:p>
        </w:tc>
        <w:tc>
          <w:tcPr>
            <w:tcW w:w="990" w:type="dxa"/>
            <w:shd w:val="clear" w:color="auto" w:fill="D9D9D9" w:themeFill="background1" w:themeFillShade="D9"/>
          </w:tcPr>
          <w:p w:rsidR="00F915C9" w:rsidRPr="00BB7053" w:rsidP="00E860B3" w14:paraId="6B60D96F" w14:textId="725F8B58">
            <w:pPr>
              <w:pStyle w:val="Table10Centered"/>
              <w:spacing w:before="0" w:after="0"/>
              <w:ind w:right="50"/>
            </w:pPr>
            <w:r>
              <w:t>-12,280</w:t>
            </w:r>
          </w:p>
        </w:tc>
        <w:tc>
          <w:tcPr>
            <w:tcW w:w="1080" w:type="dxa"/>
            <w:shd w:val="clear" w:color="auto" w:fill="D9D9D9" w:themeFill="background1" w:themeFillShade="D9"/>
          </w:tcPr>
          <w:p w:rsidR="00F915C9" w:rsidRPr="00BB7053" w:rsidP="00E860B3" w14:paraId="7D826C49" w14:textId="3566F18E">
            <w:pPr>
              <w:pStyle w:val="Table10Centered"/>
              <w:spacing w:before="0" w:after="0"/>
              <w:ind w:right="50"/>
            </w:pPr>
            <w:r>
              <w:t>No change</w:t>
            </w:r>
          </w:p>
        </w:tc>
        <w:tc>
          <w:tcPr>
            <w:tcW w:w="1170" w:type="dxa"/>
            <w:shd w:val="clear" w:color="auto" w:fill="D9D9D9" w:themeFill="background1" w:themeFillShade="D9"/>
          </w:tcPr>
          <w:p w:rsidR="00F915C9" w:rsidRPr="00BB7053" w:rsidP="00E860B3" w14:paraId="0F81321F" w14:textId="5671B2B1">
            <w:pPr>
              <w:pStyle w:val="Table10Centered"/>
              <w:spacing w:before="0" w:after="0"/>
              <w:ind w:right="50"/>
            </w:pPr>
            <w:r>
              <w:t>-1,494,476</w:t>
            </w:r>
          </w:p>
        </w:tc>
      </w:tr>
    </w:tbl>
    <w:p w:rsidR="00C1361E" w:rsidRPr="00B7366A" w:rsidP="00361BB4" w14:paraId="1126D762" w14:textId="62E116BA">
      <w:pPr>
        <w:pStyle w:val="ExhibitTitle"/>
        <w:rPr>
          <w:rFonts w:eastAsia="Calibri"/>
          <w:b w:val="0"/>
          <w:bCs/>
        </w:rPr>
      </w:pPr>
      <w:r w:rsidRPr="00B7366A">
        <w:rPr>
          <w:rFonts w:eastAsia="Calibri"/>
          <w:b w:val="0"/>
          <w:bCs/>
        </w:rPr>
        <w:t>T</w:t>
      </w:r>
      <w:r w:rsidRPr="00B7366A" w:rsidR="140FF158">
        <w:rPr>
          <w:rFonts w:eastAsia="Calibri"/>
          <w:b w:val="0"/>
          <w:bCs/>
        </w:rPr>
        <w:t>able</w:t>
      </w:r>
      <w:r w:rsidRPr="00B7366A">
        <w:rPr>
          <w:rFonts w:eastAsia="Calibri"/>
          <w:b w:val="0"/>
          <w:bCs/>
        </w:rPr>
        <w:t xml:space="preserve"> </w:t>
      </w:r>
      <w:r w:rsidRPr="00B7366A" w:rsidR="5A15C2ED">
        <w:rPr>
          <w:rFonts w:eastAsia="Calibri"/>
          <w:b w:val="0"/>
          <w:bCs/>
        </w:rPr>
        <w:t>3</w:t>
      </w:r>
      <w:r w:rsidRPr="00B7366A" w:rsidR="106892C7">
        <w:rPr>
          <w:rFonts w:eastAsia="Calibri"/>
          <w:b w:val="0"/>
          <w:bCs/>
        </w:rPr>
        <w:t>0</w:t>
      </w:r>
      <w:r w:rsidRPr="00B7366A" w:rsidR="0ABDBFFC">
        <w:rPr>
          <w:rFonts w:eastAsia="Calibri"/>
          <w:b w:val="0"/>
          <w:bCs/>
        </w:rPr>
        <w:t>J</w:t>
      </w:r>
      <w:r w:rsidRPr="00B7366A" w:rsidR="5A15C2ED">
        <w:rPr>
          <w:rFonts w:eastAsia="Calibri"/>
          <w:b w:val="0"/>
          <w:bCs/>
        </w:rPr>
        <w:t xml:space="preserve">: Burden Reconciliation for </w:t>
      </w:r>
      <w:r w:rsidRPr="00B7366A" w:rsidR="26C89C4D">
        <w:rPr>
          <w:rFonts w:eastAsia="Calibri"/>
          <w:b w:val="0"/>
          <w:bCs/>
        </w:rPr>
        <w:t>MVP Registration</w:t>
      </w:r>
    </w:p>
    <w:tbl>
      <w:tblPr>
        <w:tblStyle w:val="TableGrid"/>
        <w:tblDescription w:val="Table 30J: the estimated change in burden to our currently approved burden estimates for M V P registration."/>
        <w:tblW w:w="9495" w:type="dxa"/>
        <w:tblLook w:val="04A0"/>
      </w:tblPr>
      <w:tblGrid>
        <w:gridCol w:w="1345"/>
        <w:gridCol w:w="1338"/>
        <w:gridCol w:w="1092"/>
        <w:gridCol w:w="1080"/>
        <w:gridCol w:w="1350"/>
        <w:gridCol w:w="1080"/>
        <w:gridCol w:w="1174"/>
        <w:gridCol w:w="1036"/>
      </w:tblGrid>
      <w:tr w14:paraId="17593DB0" w14:textId="77777777" w:rsidTr="00CF320F">
        <w:tblPrEx>
          <w:tblW w:w="9495" w:type="dxa"/>
          <w:tblLook w:val="04A0"/>
        </w:tblPrEx>
        <w:trPr>
          <w:cantSplit/>
          <w:tblHeader/>
        </w:trPr>
        <w:tc>
          <w:tcPr>
            <w:tcW w:w="1345" w:type="dxa"/>
          </w:tcPr>
          <w:p w:rsidR="00C1361E" w:rsidRPr="00FB02B1" w:rsidP="00CF320F" w14:paraId="1A217DDB" w14:textId="77777777">
            <w:pPr>
              <w:pStyle w:val="Table10-ColumnHeading"/>
              <w:spacing w:before="0" w:after="0"/>
              <w:ind w:left="-20" w:right="0"/>
              <w:jc w:val="left"/>
            </w:pPr>
            <w:r w:rsidRPr="2F5B7FA3">
              <w:t>Burden Category</w:t>
            </w:r>
          </w:p>
        </w:tc>
        <w:tc>
          <w:tcPr>
            <w:tcW w:w="1338" w:type="dxa"/>
          </w:tcPr>
          <w:p w:rsidR="00C1361E" w:rsidRPr="00FB02B1" w:rsidP="00CF320F" w14:paraId="11E5F754" w14:textId="77777777">
            <w:pPr>
              <w:pStyle w:val="Table10-ColumnHeading"/>
              <w:spacing w:before="0" w:after="0"/>
              <w:ind w:left="-50" w:right="0"/>
            </w:pPr>
            <w:r w:rsidRPr="2F5B7FA3">
              <w:t>Total Annual Respondents</w:t>
            </w:r>
          </w:p>
        </w:tc>
        <w:tc>
          <w:tcPr>
            <w:tcW w:w="1092" w:type="dxa"/>
          </w:tcPr>
          <w:p w:rsidR="00C1361E" w:rsidRPr="00FB02B1" w:rsidP="00CF320F" w14:paraId="3E4E10E8" w14:textId="77777777">
            <w:pPr>
              <w:pStyle w:val="Table10-ColumnHeading"/>
              <w:spacing w:before="0" w:after="0"/>
              <w:ind w:left="-50" w:right="0"/>
            </w:pPr>
            <w:r w:rsidRPr="2F5B7FA3">
              <w:t>Response Frequency (per year)</w:t>
            </w:r>
          </w:p>
        </w:tc>
        <w:tc>
          <w:tcPr>
            <w:tcW w:w="1080" w:type="dxa"/>
          </w:tcPr>
          <w:p w:rsidR="00C1361E" w:rsidRPr="00FB02B1" w:rsidP="00CF320F" w14:paraId="53EB6162" w14:textId="77777777">
            <w:pPr>
              <w:pStyle w:val="Table10-ColumnHeading"/>
              <w:spacing w:before="0" w:after="0"/>
              <w:ind w:left="-50" w:right="0"/>
            </w:pPr>
            <w:r w:rsidRPr="2F5B7FA3">
              <w:t>Total Annual Responses</w:t>
            </w:r>
          </w:p>
        </w:tc>
        <w:tc>
          <w:tcPr>
            <w:tcW w:w="1350" w:type="dxa"/>
          </w:tcPr>
          <w:p w:rsidR="00C1361E" w:rsidRPr="00FB02B1" w:rsidP="00CF320F" w14:paraId="0803C2EC" w14:textId="77777777">
            <w:pPr>
              <w:pStyle w:val="Table10-ColumnHeading"/>
              <w:tabs>
                <w:tab w:val="left" w:pos="1130"/>
              </w:tabs>
              <w:spacing w:before="0" w:after="0"/>
              <w:ind w:left="-50" w:right="-110"/>
            </w:pPr>
            <w:r w:rsidRPr="2F5B7FA3">
              <w:t>Time Per Response (hr)</w:t>
            </w:r>
          </w:p>
        </w:tc>
        <w:tc>
          <w:tcPr>
            <w:tcW w:w="1080" w:type="dxa"/>
          </w:tcPr>
          <w:p w:rsidR="00C1361E" w:rsidRPr="00FB02B1" w:rsidP="00CF320F" w14:paraId="135994CE" w14:textId="77777777">
            <w:pPr>
              <w:pStyle w:val="Table10-ColumnHeading"/>
              <w:spacing w:before="0" w:after="0"/>
              <w:ind w:left="-50" w:right="0"/>
            </w:pPr>
            <w:r w:rsidRPr="2F5B7FA3">
              <w:t>Total Annual Time (hr)</w:t>
            </w:r>
          </w:p>
        </w:tc>
        <w:tc>
          <w:tcPr>
            <w:tcW w:w="1174" w:type="dxa"/>
          </w:tcPr>
          <w:p w:rsidR="00C1361E" w:rsidRPr="00FB02B1" w:rsidP="00CF320F" w14:paraId="6EAE57BC" w14:textId="77777777">
            <w:pPr>
              <w:pStyle w:val="Table10-ColumnHeading"/>
              <w:spacing w:before="0" w:after="0"/>
              <w:ind w:left="-50" w:right="0"/>
            </w:pPr>
            <w:r w:rsidRPr="2F5B7FA3">
              <w:t>Labor Cost ($/hr)</w:t>
            </w:r>
          </w:p>
        </w:tc>
        <w:tc>
          <w:tcPr>
            <w:tcW w:w="1036" w:type="dxa"/>
          </w:tcPr>
          <w:p w:rsidR="00C1361E" w:rsidRPr="00FB02B1" w:rsidP="00CF320F" w14:paraId="3168AA47" w14:textId="77777777">
            <w:pPr>
              <w:pStyle w:val="Table10-ColumnHeading"/>
              <w:spacing w:before="0" w:after="0"/>
              <w:ind w:left="-50" w:right="0"/>
            </w:pPr>
            <w:r w:rsidRPr="2F5B7FA3">
              <w:t>Total Annual Cost ($)</w:t>
            </w:r>
          </w:p>
        </w:tc>
      </w:tr>
      <w:tr w14:paraId="066A584F" w14:textId="77777777" w:rsidTr="00CF320F">
        <w:tblPrEx>
          <w:tblW w:w="9495" w:type="dxa"/>
          <w:tblLook w:val="04A0"/>
        </w:tblPrEx>
        <w:trPr>
          <w:cantSplit/>
        </w:trPr>
        <w:tc>
          <w:tcPr>
            <w:tcW w:w="1345" w:type="dxa"/>
          </w:tcPr>
          <w:p w:rsidR="00832199" w:rsidRPr="00BB7053" w:rsidP="00CF320F" w14:paraId="55A03EE3" w14:textId="43176E47">
            <w:pPr>
              <w:pStyle w:val="Table10Basic"/>
              <w:spacing w:before="0" w:after="0"/>
              <w:ind w:left="-20"/>
            </w:pPr>
            <w:r w:rsidRPr="2F5B7FA3">
              <w:t xml:space="preserve">Currently Approved </w:t>
            </w:r>
          </w:p>
        </w:tc>
        <w:tc>
          <w:tcPr>
            <w:tcW w:w="1338" w:type="dxa"/>
          </w:tcPr>
          <w:p w:rsidR="00832199" w:rsidRPr="00BB7053" w:rsidP="00CF320F" w14:paraId="7F995BE9" w14:textId="7031C305">
            <w:pPr>
              <w:pStyle w:val="Table10Centered"/>
              <w:spacing w:before="0" w:after="0"/>
              <w:ind w:left="-50"/>
            </w:pPr>
            <w:r w:rsidRPr="2F5B7FA3">
              <w:t>9,585</w:t>
            </w:r>
          </w:p>
        </w:tc>
        <w:tc>
          <w:tcPr>
            <w:tcW w:w="1092" w:type="dxa"/>
          </w:tcPr>
          <w:p w:rsidR="00832199" w:rsidRPr="00BB7053" w:rsidP="00CF320F" w14:paraId="3967E47E" w14:textId="401394C5">
            <w:pPr>
              <w:pStyle w:val="Table10Centered"/>
              <w:spacing w:before="0" w:after="0"/>
              <w:ind w:left="-50"/>
            </w:pPr>
            <w:r w:rsidRPr="2F5B7FA3">
              <w:t>1</w:t>
            </w:r>
          </w:p>
        </w:tc>
        <w:tc>
          <w:tcPr>
            <w:tcW w:w="1080" w:type="dxa"/>
          </w:tcPr>
          <w:p w:rsidR="00832199" w:rsidRPr="00BB7053" w:rsidP="00CF320F" w14:paraId="61B59083" w14:textId="4A3F3071">
            <w:pPr>
              <w:pStyle w:val="Table10Centered"/>
              <w:spacing w:before="0" w:after="0"/>
              <w:ind w:left="-50"/>
            </w:pPr>
            <w:r w:rsidRPr="2F5B7FA3">
              <w:t>9,585</w:t>
            </w:r>
          </w:p>
        </w:tc>
        <w:tc>
          <w:tcPr>
            <w:tcW w:w="1350" w:type="dxa"/>
          </w:tcPr>
          <w:p w:rsidR="00832199" w:rsidRPr="00BB7053" w:rsidP="00CF320F" w14:paraId="0D75CA29" w14:textId="753247F3">
            <w:pPr>
              <w:pStyle w:val="Table10Centered"/>
              <w:tabs>
                <w:tab w:val="left" w:pos="1130"/>
              </w:tabs>
              <w:spacing w:before="0" w:after="0"/>
              <w:ind w:left="-50" w:right="-110"/>
            </w:pPr>
            <w:r w:rsidRPr="2F5B7FA3">
              <w:t>0.25</w:t>
            </w:r>
          </w:p>
        </w:tc>
        <w:tc>
          <w:tcPr>
            <w:tcW w:w="1080" w:type="dxa"/>
          </w:tcPr>
          <w:p w:rsidR="00832199" w:rsidRPr="00BB7053" w:rsidP="00CF320F" w14:paraId="7AD92ED4" w14:textId="24FF1A82">
            <w:pPr>
              <w:pStyle w:val="Table10Centered"/>
              <w:spacing w:before="0" w:after="0"/>
              <w:ind w:left="-50"/>
            </w:pPr>
            <w:r w:rsidRPr="2F5B7FA3">
              <w:t>2,396</w:t>
            </w:r>
          </w:p>
        </w:tc>
        <w:tc>
          <w:tcPr>
            <w:tcW w:w="1174" w:type="dxa"/>
          </w:tcPr>
          <w:p w:rsidR="00832199" w:rsidRPr="00BB7053" w:rsidP="00CF320F" w14:paraId="78E67419" w14:textId="69A8AFFC">
            <w:pPr>
              <w:pStyle w:val="Table10Centered"/>
              <w:spacing w:before="0" w:after="0"/>
              <w:ind w:left="-50"/>
            </w:pPr>
            <w:r w:rsidRPr="2F5B7FA3">
              <w:t>106.54</w:t>
            </w:r>
          </w:p>
        </w:tc>
        <w:tc>
          <w:tcPr>
            <w:tcW w:w="1036" w:type="dxa"/>
          </w:tcPr>
          <w:p w:rsidR="00832199" w:rsidRPr="00BB7053" w:rsidP="00CF320F" w14:paraId="3C00D14D" w14:textId="2892EFCE">
            <w:pPr>
              <w:pStyle w:val="Table10Centered"/>
              <w:spacing w:before="0" w:after="0"/>
              <w:ind w:left="-50"/>
            </w:pPr>
            <w:r w:rsidRPr="2F5B7FA3">
              <w:rPr>
                <w:color w:val="000000" w:themeColor="text1"/>
              </w:rPr>
              <w:t xml:space="preserve">255,344 </w:t>
            </w:r>
          </w:p>
        </w:tc>
      </w:tr>
      <w:tr w14:paraId="56CF29C7" w14:textId="77777777" w:rsidTr="00CF320F">
        <w:tblPrEx>
          <w:tblW w:w="9495" w:type="dxa"/>
          <w:tblLook w:val="04A0"/>
        </w:tblPrEx>
        <w:trPr>
          <w:cantSplit/>
        </w:trPr>
        <w:tc>
          <w:tcPr>
            <w:tcW w:w="1345" w:type="dxa"/>
          </w:tcPr>
          <w:p w:rsidR="00C1361E" w:rsidRPr="00A600E9" w:rsidP="00CF320F" w14:paraId="38CA804D" w14:textId="2930E87B">
            <w:pPr>
              <w:pStyle w:val="Table10Basic"/>
              <w:spacing w:before="0" w:after="0"/>
              <w:ind w:left="-20"/>
              <w:rPr>
                <w:spacing w:val="-4"/>
              </w:rPr>
            </w:pPr>
            <w:r w:rsidRPr="00A600E9">
              <w:rPr>
                <w:spacing w:val="-4"/>
              </w:rPr>
              <w:t>Requested</w:t>
            </w:r>
            <w:r w:rsidRPr="00A600E9" w:rsidR="6C1C9083">
              <w:rPr>
                <w:spacing w:val="-4"/>
              </w:rPr>
              <w:t xml:space="preserve"> </w:t>
            </w:r>
            <w:r w:rsidRPr="00A600E9" w:rsidR="00467F7B">
              <w:rPr>
                <w:spacing w:val="-4"/>
              </w:rPr>
              <w:br/>
            </w:r>
            <w:r w:rsidRPr="00A600E9" w:rsidR="7F44D54B">
              <w:rPr>
                <w:spacing w:val="-4"/>
              </w:rPr>
              <w:t>(See Table 1</w:t>
            </w:r>
            <w:r w:rsidRPr="00A600E9" w:rsidR="138D048A">
              <w:rPr>
                <w:spacing w:val="-4"/>
              </w:rPr>
              <w:t>4</w:t>
            </w:r>
            <w:r w:rsidRPr="00A600E9" w:rsidR="7F44D54B">
              <w:rPr>
                <w:spacing w:val="-4"/>
              </w:rPr>
              <w:t>)</w:t>
            </w:r>
          </w:p>
        </w:tc>
        <w:tc>
          <w:tcPr>
            <w:tcW w:w="1338" w:type="dxa"/>
          </w:tcPr>
          <w:p w:rsidR="00C1361E" w:rsidRPr="00BB7053" w:rsidP="00CF320F" w14:paraId="4BA8ED41" w14:textId="0E3BAF8C">
            <w:pPr>
              <w:pStyle w:val="Table10Centered"/>
              <w:spacing w:before="0" w:after="0"/>
              <w:ind w:left="-50"/>
            </w:pPr>
            <w:r w:rsidRPr="2F5B7FA3">
              <w:rPr>
                <w:color w:val="000000" w:themeColor="text1"/>
              </w:rPr>
              <w:t xml:space="preserve">6,285 </w:t>
            </w:r>
          </w:p>
        </w:tc>
        <w:tc>
          <w:tcPr>
            <w:tcW w:w="1092" w:type="dxa"/>
          </w:tcPr>
          <w:p w:rsidR="00C1361E" w:rsidRPr="00BB7053" w:rsidP="00CF320F" w14:paraId="2AA2A3F1" w14:textId="2EA753F8">
            <w:pPr>
              <w:pStyle w:val="Table10Centered"/>
              <w:spacing w:before="0" w:after="0"/>
              <w:ind w:left="-50"/>
            </w:pPr>
            <w:r w:rsidRPr="2F5B7FA3">
              <w:t>1</w:t>
            </w:r>
          </w:p>
        </w:tc>
        <w:tc>
          <w:tcPr>
            <w:tcW w:w="1080" w:type="dxa"/>
          </w:tcPr>
          <w:p w:rsidR="00C1361E" w:rsidRPr="00BB7053" w:rsidP="00CF320F" w14:paraId="3C781969" w14:textId="53D0D9AD">
            <w:pPr>
              <w:pStyle w:val="Table10Centered"/>
              <w:spacing w:before="0" w:after="0"/>
              <w:ind w:left="-50"/>
            </w:pPr>
            <w:r w:rsidRPr="2F5B7FA3">
              <w:rPr>
                <w:color w:val="000000" w:themeColor="text1"/>
              </w:rPr>
              <w:t xml:space="preserve">6,285 </w:t>
            </w:r>
          </w:p>
        </w:tc>
        <w:tc>
          <w:tcPr>
            <w:tcW w:w="1350" w:type="dxa"/>
          </w:tcPr>
          <w:p w:rsidR="00C1361E" w:rsidRPr="00BB7053" w:rsidP="00CF320F" w14:paraId="6673A836" w14:textId="4030BB03">
            <w:pPr>
              <w:pStyle w:val="Table10Centered"/>
              <w:tabs>
                <w:tab w:val="left" w:pos="1130"/>
              </w:tabs>
              <w:spacing w:before="0" w:after="0"/>
              <w:ind w:left="-50" w:right="-110"/>
            </w:pPr>
            <w:r w:rsidRPr="2F5B7FA3">
              <w:t>0.25</w:t>
            </w:r>
          </w:p>
        </w:tc>
        <w:tc>
          <w:tcPr>
            <w:tcW w:w="1080" w:type="dxa"/>
          </w:tcPr>
          <w:p w:rsidR="00C1361E" w:rsidRPr="00BB7053" w:rsidP="00CF320F" w14:paraId="7E08FC00" w14:textId="23CB92F0">
            <w:pPr>
              <w:pStyle w:val="Table10Centered"/>
              <w:spacing w:before="0" w:after="0"/>
              <w:ind w:left="-50"/>
            </w:pPr>
            <w:r w:rsidRPr="2F5B7FA3">
              <w:rPr>
                <w:color w:val="000000" w:themeColor="text1"/>
              </w:rPr>
              <w:t xml:space="preserve">1,571 </w:t>
            </w:r>
          </w:p>
        </w:tc>
        <w:tc>
          <w:tcPr>
            <w:tcW w:w="1174" w:type="dxa"/>
          </w:tcPr>
          <w:p w:rsidR="00C1361E" w:rsidRPr="00BB7053" w:rsidP="00CF320F" w14:paraId="39B88AC8" w14:textId="5A74DEEA">
            <w:pPr>
              <w:pStyle w:val="Table10Centered"/>
              <w:spacing w:before="0" w:after="0"/>
              <w:ind w:left="-50"/>
            </w:pPr>
            <w:r w:rsidRPr="2F5B7FA3">
              <w:t>106.54</w:t>
            </w:r>
          </w:p>
        </w:tc>
        <w:tc>
          <w:tcPr>
            <w:tcW w:w="1036" w:type="dxa"/>
          </w:tcPr>
          <w:p w:rsidR="00C1361E" w:rsidRPr="00BB7053" w:rsidP="00CF320F" w14:paraId="77B0DB04" w14:textId="2806713A">
            <w:pPr>
              <w:pStyle w:val="Table10Centered"/>
              <w:spacing w:before="0" w:after="0"/>
              <w:ind w:left="-50"/>
            </w:pPr>
            <w:r w:rsidRPr="2F5B7FA3">
              <w:rPr>
                <w:color w:val="000000" w:themeColor="text1"/>
              </w:rPr>
              <w:t xml:space="preserve">167,432 </w:t>
            </w:r>
          </w:p>
        </w:tc>
      </w:tr>
      <w:tr w14:paraId="68FD0602" w14:textId="77777777" w:rsidTr="00CF320F">
        <w:tblPrEx>
          <w:tblW w:w="9495" w:type="dxa"/>
          <w:tblLook w:val="04A0"/>
        </w:tblPrEx>
        <w:trPr>
          <w:cantSplit/>
        </w:trPr>
        <w:tc>
          <w:tcPr>
            <w:tcW w:w="1345" w:type="dxa"/>
            <w:shd w:val="clear" w:color="auto" w:fill="D9D9D9" w:themeFill="background1" w:themeFillShade="D9"/>
          </w:tcPr>
          <w:p w:rsidR="00C1361E" w:rsidRPr="00BB7053" w:rsidP="00CF320F" w14:paraId="6482A4E9" w14:textId="74EE64B8">
            <w:pPr>
              <w:pStyle w:val="Table10Basic"/>
              <w:spacing w:before="0" w:after="0"/>
              <w:ind w:left="-20"/>
            </w:pPr>
            <w:r w:rsidRPr="2F5B7FA3">
              <w:t xml:space="preserve">Adjustment </w:t>
            </w:r>
          </w:p>
        </w:tc>
        <w:tc>
          <w:tcPr>
            <w:tcW w:w="1338" w:type="dxa"/>
            <w:shd w:val="clear" w:color="auto" w:fill="D9D9D9" w:themeFill="background1" w:themeFillShade="D9"/>
          </w:tcPr>
          <w:p w:rsidR="00C1361E" w:rsidRPr="00BB7053" w:rsidP="00CF320F" w14:paraId="02FD74E3" w14:textId="2A2DFE0D">
            <w:pPr>
              <w:pStyle w:val="Table10Centered"/>
              <w:spacing w:before="0" w:after="0"/>
              <w:ind w:left="-50"/>
            </w:pPr>
            <w:r w:rsidRPr="2F5B7FA3">
              <w:t>-3,300</w:t>
            </w:r>
          </w:p>
        </w:tc>
        <w:tc>
          <w:tcPr>
            <w:tcW w:w="1092" w:type="dxa"/>
            <w:shd w:val="clear" w:color="auto" w:fill="D9D9D9" w:themeFill="background1" w:themeFillShade="D9"/>
          </w:tcPr>
          <w:p w:rsidR="00C1361E" w:rsidRPr="00BB7053" w:rsidP="00CF320F" w14:paraId="5079CDB4" w14:textId="3C940902">
            <w:pPr>
              <w:pStyle w:val="Table10Centered"/>
              <w:spacing w:before="0" w:after="0"/>
              <w:ind w:left="-50"/>
            </w:pPr>
            <w:r w:rsidRPr="2F5B7FA3">
              <w:t>No change</w:t>
            </w:r>
          </w:p>
        </w:tc>
        <w:tc>
          <w:tcPr>
            <w:tcW w:w="1080" w:type="dxa"/>
            <w:shd w:val="clear" w:color="auto" w:fill="D9D9D9" w:themeFill="background1" w:themeFillShade="D9"/>
          </w:tcPr>
          <w:p w:rsidR="00C1361E" w:rsidRPr="00BB7053" w:rsidP="00CF320F" w14:paraId="6BD556CB" w14:textId="31998038">
            <w:pPr>
              <w:pStyle w:val="Table10Centered"/>
              <w:spacing w:before="0" w:after="0"/>
              <w:ind w:left="-50"/>
            </w:pPr>
            <w:r w:rsidRPr="2F5B7FA3">
              <w:t>-3,300</w:t>
            </w:r>
          </w:p>
        </w:tc>
        <w:tc>
          <w:tcPr>
            <w:tcW w:w="1350" w:type="dxa"/>
            <w:shd w:val="clear" w:color="auto" w:fill="D9D9D9" w:themeFill="background1" w:themeFillShade="D9"/>
          </w:tcPr>
          <w:p w:rsidR="00C1361E" w:rsidRPr="00BB7053" w:rsidP="00CF320F" w14:paraId="726FA9DF" w14:textId="04429BC9">
            <w:pPr>
              <w:pStyle w:val="Table10Centered"/>
              <w:tabs>
                <w:tab w:val="left" w:pos="1130"/>
              </w:tabs>
              <w:spacing w:before="0" w:after="0"/>
              <w:ind w:left="-50" w:right="-110"/>
            </w:pPr>
            <w:r w:rsidRPr="2F5B7FA3">
              <w:t>No change</w:t>
            </w:r>
          </w:p>
        </w:tc>
        <w:tc>
          <w:tcPr>
            <w:tcW w:w="1080" w:type="dxa"/>
            <w:shd w:val="clear" w:color="auto" w:fill="D9D9D9" w:themeFill="background1" w:themeFillShade="D9"/>
          </w:tcPr>
          <w:p w:rsidR="00C1361E" w:rsidRPr="00BB7053" w:rsidP="00CF320F" w14:paraId="40D4C13B" w14:textId="5E3000CE">
            <w:pPr>
              <w:pStyle w:val="Table10Centered"/>
              <w:spacing w:before="0" w:after="0"/>
              <w:ind w:left="-50"/>
            </w:pPr>
            <w:r w:rsidRPr="2F5B7FA3">
              <w:t>-825</w:t>
            </w:r>
          </w:p>
        </w:tc>
        <w:tc>
          <w:tcPr>
            <w:tcW w:w="1174" w:type="dxa"/>
            <w:shd w:val="clear" w:color="auto" w:fill="D9D9D9" w:themeFill="background1" w:themeFillShade="D9"/>
          </w:tcPr>
          <w:p w:rsidR="00C1361E" w:rsidRPr="00BB7053" w:rsidP="00CF320F" w14:paraId="3D05B998" w14:textId="4136E941">
            <w:pPr>
              <w:pStyle w:val="Table10Centered"/>
              <w:spacing w:before="0" w:after="0"/>
              <w:ind w:left="-50"/>
            </w:pPr>
            <w:r w:rsidRPr="2F5B7FA3">
              <w:t xml:space="preserve">No </w:t>
            </w:r>
            <w:r w:rsidR="005406D7">
              <w:t>c</w:t>
            </w:r>
            <w:r w:rsidRPr="2F5B7FA3">
              <w:t>hange</w:t>
            </w:r>
          </w:p>
        </w:tc>
        <w:tc>
          <w:tcPr>
            <w:tcW w:w="1036" w:type="dxa"/>
            <w:shd w:val="clear" w:color="auto" w:fill="D9D9D9" w:themeFill="background1" w:themeFillShade="D9"/>
          </w:tcPr>
          <w:p w:rsidR="00C1361E" w:rsidRPr="00BB7053" w:rsidP="00CF320F" w14:paraId="1FADC8CC" w14:textId="16991AAE">
            <w:pPr>
              <w:pStyle w:val="Table10Centered"/>
              <w:spacing w:before="0" w:after="0"/>
              <w:ind w:left="-50"/>
            </w:pPr>
            <w:r w:rsidRPr="2F5B7FA3">
              <w:t>-87</w:t>
            </w:r>
            <w:r w:rsidRPr="2F5B7FA3" w:rsidR="636411F8">
              <w:t>,912</w:t>
            </w:r>
          </w:p>
        </w:tc>
      </w:tr>
    </w:tbl>
    <w:p w:rsidR="00C32A37" w:rsidRPr="00B7366A" w:rsidP="00361BB4" w14:paraId="29911F48" w14:textId="1F1AB469">
      <w:pPr>
        <w:pStyle w:val="ExhibitTitle"/>
        <w:rPr>
          <w:rFonts w:eastAsia="Calibri"/>
          <w:b w:val="0"/>
          <w:bCs/>
        </w:rPr>
      </w:pPr>
      <w:r w:rsidRPr="00B7366A">
        <w:rPr>
          <w:rFonts w:eastAsia="Calibri"/>
          <w:b w:val="0"/>
          <w:bCs/>
        </w:rPr>
        <w:t>T</w:t>
      </w:r>
      <w:r w:rsidRPr="00B7366A" w:rsidR="2FAD34AE">
        <w:rPr>
          <w:rFonts w:eastAsia="Calibri"/>
          <w:b w:val="0"/>
          <w:bCs/>
        </w:rPr>
        <w:t>able</w:t>
      </w:r>
      <w:r w:rsidRPr="00B7366A">
        <w:rPr>
          <w:rFonts w:eastAsia="Calibri"/>
          <w:b w:val="0"/>
          <w:bCs/>
        </w:rPr>
        <w:t xml:space="preserve"> 3</w:t>
      </w:r>
      <w:r w:rsidRPr="00B7366A" w:rsidR="4612822B">
        <w:rPr>
          <w:rFonts w:eastAsia="Calibri"/>
          <w:b w:val="0"/>
          <w:bCs/>
        </w:rPr>
        <w:t>0</w:t>
      </w:r>
      <w:r w:rsidRPr="00B7366A" w:rsidR="4BA8F4D8">
        <w:rPr>
          <w:rFonts w:eastAsia="Calibri"/>
          <w:b w:val="0"/>
          <w:bCs/>
        </w:rPr>
        <w:t>K</w:t>
      </w:r>
      <w:r w:rsidRPr="00B7366A">
        <w:rPr>
          <w:rFonts w:eastAsia="Calibri"/>
          <w:b w:val="0"/>
          <w:bCs/>
        </w:rPr>
        <w:t xml:space="preserve">: Burden Reconciliation for </w:t>
      </w:r>
      <w:r w:rsidRPr="00B7366A" w:rsidR="5FC56492">
        <w:rPr>
          <w:rFonts w:eastAsia="Calibri"/>
          <w:b w:val="0"/>
          <w:bCs/>
        </w:rPr>
        <w:t>MVP Quality Performance Category Submission</w:t>
      </w:r>
    </w:p>
    <w:tbl>
      <w:tblPr>
        <w:tblStyle w:val="TableGrid"/>
        <w:tblDescription w:val="Table 30K: the estimated change in burden to our currently approved burden estimates for data submission in the M V P quality performance category."/>
        <w:tblW w:w="9444" w:type="dxa"/>
        <w:tblLayout w:type="fixed"/>
        <w:tblCellMar>
          <w:left w:w="43" w:type="dxa"/>
          <w:right w:w="43" w:type="dxa"/>
        </w:tblCellMar>
        <w:tblLook w:val="04A0"/>
      </w:tblPr>
      <w:tblGrid>
        <w:gridCol w:w="1435"/>
        <w:gridCol w:w="1350"/>
        <w:gridCol w:w="1080"/>
        <w:gridCol w:w="990"/>
        <w:gridCol w:w="1350"/>
        <w:gridCol w:w="1080"/>
        <w:gridCol w:w="990"/>
        <w:gridCol w:w="1169"/>
      </w:tblGrid>
      <w:tr w14:paraId="46D22FA0" w14:textId="77777777" w:rsidTr="002E08B3">
        <w:tblPrEx>
          <w:tblW w:w="9444" w:type="dxa"/>
          <w:tblLayout w:type="fixed"/>
          <w:tblCellMar>
            <w:left w:w="43" w:type="dxa"/>
            <w:right w:w="43" w:type="dxa"/>
          </w:tblCellMar>
          <w:tblLook w:val="04A0"/>
        </w:tblPrEx>
        <w:trPr>
          <w:cantSplit/>
          <w:tblHeader/>
        </w:trPr>
        <w:tc>
          <w:tcPr>
            <w:tcW w:w="1435" w:type="dxa"/>
          </w:tcPr>
          <w:p w:rsidR="006042C9" w:rsidRPr="00FB02B1" w:rsidP="002E08B3" w14:paraId="3605394D" w14:textId="77777777">
            <w:pPr>
              <w:pStyle w:val="Table10-ColumnHeading"/>
              <w:spacing w:before="0" w:after="0"/>
              <w:ind w:left="40" w:right="50"/>
              <w:jc w:val="left"/>
            </w:pPr>
            <w:r w:rsidRPr="2F5B7FA3">
              <w:t>Burden Category</w:t>
            </w:r>
          </w:p>
        </w:tc>
        <w:tc>
          <w:tcPr>
            <w:tcW w:w="1350" w:type="dxa"/>
          </w:tcPr>
          <w:p w:rsidR="006042C9" w:rsidRPr="00FB02B1" w:rsidP="002E08B3" w14:paraId="01741D63" w14:textId="2B30F790">
            <w:pPr>
              <w:pStyle w:val="Table10-ColumnHeading"/>
              <w:tabs>
                <w:tab w:val="left" w:pos="1310"/>
              </w:tabs>
              <w:spacing w:before="0" w:after="0"/>
              <w:ind w:left="0" w:right="0"/>
            </w:pPr>
            <w:r w:rsidRPr="2F5B7FA3">
              <w:t>Total</w:t>
            </w:r>
            <w:r w:rsidRPr="2F5B7FA3" w:rsidR="7E4CF389">
              <w:t xml:space="preserve"> </w:t>
            </w:r>
            <w:r w:rsidRPr="2F5B7FA3">
              <w:t>Annual Respondents</w:t>
            </w:r>
          </w:p>
        </w:tc>
        <w:tc>
          <w:tcPr>
            <w:tcW w:w="1080" w:type="dxa"/>
          </w:tcPr>
          <w:p w:rsidR="006042C9" w:rsidRPr="00FB02B1" w:rsidP="002E08B3" w14:paraId="5E980D58" w14:textId="77777777">
            <w:pPr>
              <w:pStyle w:val="Table10-ColumnHeading"/>
              <w:tabs>
                <w:tab w:val="left" w:pos="860"/>
                <w:tab w:val="left" w:pos="1310"/>
              </w:tabs>
              <w:spacing w:before="0" w:after="0"/>
              <w:ind w:left="0" w:right="0"/>
            </w:pPr>
            <w:r w:rsidRPr="2F5B7FA3">
              <w:t>Response Frequency (per year)</w:t>
            </w:r>
          </w:p>
        </w:tc>
        <w:tc>
          <w:tcPr>
            <w:tcW w:w="990" w:type="dxa"/>
          </w:tcPr>
          <w:p w:rsidR="006042C9" w:rsidRPr="00FB02B1" w:rsidP="002E08B3" w14:paraId="0A44D386" w14:textId="77777777">
            <w:pPr>
              <w:pStyle w:val="Table10-ColumnHeading"/>
              <w:tabs>
                <w:tab w:val="left" w:pos="860"/>
                <w:tab w:val="left" w:pos="1310"/>
              </w:tabs>
              <w:spacing w:before="0" w:after="0"/>
              <w:ind w:left="0" w:right="0"/>
            </w:pPr>
            <w:r w:rsidRPr="2F5B7FA3">
              <w:t>Total Annual Responses</w:t>
            </w:r>
          </w:p>
        </w:tc>
        <w:tc>
          <w:tcPr>
            <w:tcW w:w="1350" w:type="dxa"/>
          </w:tcPr>
          <w:p w:rsidR="006042C9" w:rsidRPr="00FB02B1" w:rsidP="002E08B3" w14:paraId="0D735F80" w14:textId="77777777">
            <w:pPr>
              <w:pStyle w:val="Table10-ColumnHeading"/>
              <w:tabs>
                <w:tab w:val="left" w:pos="860"/>
                <w:tab w:val="left" w:pos="1310"/>
              </w:tabs>
              <w:spacing w:before="0" w:after="0"/>
              <w:ind w:left="0" w:right="0"/>
            </w:pPr>
            <w:r w:rsidRPr="2F5B7FA3">
              <w:t>Time Per Response (hr)</w:t>
            </w:r>
          </w:p>
        </w:tc>
        <w:tc>
          <w:tcPr>
            <w:tcW w:w="1080" w:type="dxa"/>
          </w:tcPr>
          <w:p w:rsidR="006042C9" w:rsidRPr="00FB02B1" w:rsidP="002E08B3" w14:paraId="1E235E3C" w14:textId="77777777">
            <w:pPr>
              <w:pStyle w:val="Table10-ColumnHeading"/>
              <w:tabs>
                <w:tab w:val="left" w:pos="860"/>
                <w:tab w:val="left" w:pos="1310"/>
              </w:tabs>
              <w:spacing w:before="0" w:after="0"/>
              <w:ind w:left="0" w:right="0"/>
            </w:pPr>
            <w:r w:rsidRPr="2F5B7FA3">
              <w:t>Total Annual Time (hr)</w:t>
            </w:r>
          </w:p>
        </w:tc>
        <w:tc>
          <w:tcPr>
            <w:tcW w:w="990" w:type="dxa"/>
          </w:tcPr>
          <w:p w:rsidR="006042C9" w:rsidRPr="00FB02B1" w:rsidP="002E08B3" w14:paraId="4DE2E822" w14:textId="77777777">
            <w:pPr>
              <w:pStyle w:val="Table10-ColumnHeading"/>
              <w:tabs>
                <w:tab w:val="left" w:pos="860"/>
                <w:tab w:val="left" w:pos="1310"/>
              </w:tabs>
              <w:spacing w:before="0" w:after="0"/>
              <w:ind w:left="0" w:right="0"/>
            </w:pPr>
            <w:r w:rsidRPr="2F5B7FA3">
              <w:t>Labor Cost ($/hr)</w:t>
            </w:r>
          </w:p>
        </w:tc>
        <w:tc>
          <w:tcPr>
            <w:tcW w:w="1169" w:type="dxa"/>
          </w:tcPr>
          <w:p w:rsidR="006042C9" w:rsidRPr="00FB02B1" w:rsidP="002E08B3" w14:paraId="14F02D02" w14:textId="77777777">
            <w:pPr>
              <w:pStyle w:val="Table10-ColumnHeading"/>
              <w:tabs>
                <w:tab w:val="left" w:pos="860"/>
                <w:tab w:val="left" w:pos="1310"/>
              </w:tabs>
              <w:spacing w:before="0" w:after="0"/>
              <w:ind w:left="0" w:right="0"/>
            </w:pPr>
            <w:r w:rsidRPr="2F5B7FA3">
              <w:t>Total Annual Cost ($)</w:t>
            </w:r>
          </w:p>
        </w:tc>
      </w:tr>
      <w:tr w14:paraId="1CEE0801" w14:textId="77777777" w:rsidTr="002E08B3">
        <w:tblPrEx>
          <w:tblW w:w="9444" w:type="dxa"/>
          <w:tblLayout w:type="fixed"/>
          <w:tblCellMar>
            <w:left w:w="43" w:type="dxa"/>
            <w:right w:w="43" w:type="dxa"/>
          </w:tblCellMar>
          <w:tblLook w:val="04A0"/>
        </w:tblPrEx>
        <w:trPr>
          <w:cantSplit/>
        </w:trPr>
        <w:tc>
          <w:tcPr>
            <w:tcW w:w="1435" w:type="dxa"/>
          </w:tcPr>
          <w:p w:rsidR="00B66DFF" w:rsidRPr="00BB7053" w:rsidP="002E08B3" w14:paraId="6A4082DE" w14:textId="41929E46">
            <w:pPr>
              <w:keepNext/>
              <w:keepLines/>
              <w:tabs>
                <w:tab w:val="left" w:pos="6030"/>
              </w:tabs>
              <w:ind w:left="40" w:right="50"/>
              <w:jc w:val="both"/>
              <w:rPr>
                <w:sz w:val="20"/>
                <w:szCs w:val="20"/>
              </w:rPr>
            </w:pPr>
            <w:r w:rsidRPr="2F5B7FA3">
              <w:rPr>
                <w:sz w:val="20"/>
                <w:szCs w:val="20"/>
              </w:rPr>
              <w:t xml:space="preserve">Currently Approved </w:t>
            </w:r>
          </w:p>
        </w:tc>
        <w:tc>
          <w:tcPr>
            <w:tcW w:w="1350" w:type="dxa"/>
          </w:tcPr>
          <w:p w:rsidR="00B66DFF" w:rsidRPr="00BB7053" w:rsidP="002E08B3" w14:paraId="47E976C2" w14:textId="5E87F616">
            <w:pPr>
              <w:keepNext/>
              <w:keepLines/>
              <w:tabs>
                <w:tab w:val="left" w:pos="1160"/>
                <w:tab w:val="left" w:pos="1310"/>
                <w:tab w:val="left" w:pos="6030"/>
              </w:tabs>
              <w:ind w:right="-103"/>
              <w:jc w:val="center"/>
              <w:rPr>
                <w:sz w:val="20"/>
                <w:szCs w:val="20"/>
              </w:rPr>
            </w:pPr>
            <w:r w:rsidRPr="2F5B7FA3">
              <w:rPr>
                <w:sz w:val="20"/>
                <w:szCs w:val="20"/>
              </w:rPr>
              <w:t>9,585</w:t>
            </w:r>
          </w:p>
        </w:tc>
        <w:tc>
          <w:tcPr>
            <w:tcW w:w="1080" w:type="dxa"/>
          </w:tcPr>
          <w:p w:rsidR="00B66DFF" w:rsidRPr="00BB7053" w:rsidP="002E08B3" w14:paraId="627DD0D5" w14:textId="20F890F2">
            <w:pPr>
              <w:keepNext/>
              <w:keepLines/>
              <w:tabs>
                <w:tab w:val="left" w:pos="1160"/>
                <w:tab w:val="left" w:pos="1310"/>
                <w:tab w:val="left" w:pos="6030"/>
              </w:tabs>
              <w:ind w:right="-103"/>
              <w:jc w:val="center"/>
              <w:rPr>
                <w:sz w:val="20"/>
                <w:szCs w:val="20"/>
              </w:rPr>
            </w:pPr>
            <w:r w:rsidRPr="2F5B7FA3">
              <w:rPr>
                <w:sz w:val="20"/>
                <w:szCs w:val="20"/>
              </w:rPr>
              <w:t>1</w:t>
            </w:r>
          </w:p>
        </w:tc>
        <w:tc>
          <w:tcPr>
            <w:tcW w:w="990" w:type="dxa"/>
          </w:tcPr>
          <w:p w:rsidR="00B66DFF" w:rsidRPr="00BB7053" w:rsidP="002E08B3" w14:paraId="0FC16BD9" w14:textId="7ADD5D6A">
            <w:pPr>
              <w:keepNext/>
              <w:keepLines/>
              <w:tabs>
                <w:tab w:val="left" w:pos="1160"/>
                <w:tab w:val="left" w:pos="1310"/>
                <w:tab w:val="left" w:pos="6030"/>
              </w:tabs>
              <w:ind w:right="-103"/>
              <w:jc w:val="center"/>
              <w:rPr>
                <w:sz w:val="20"/>
                <w:szCs w:val="20"/>
              </w:rPr>
            </w:pPr>
            <w:r w:rsidRPr="2F5B7FA3">
              <w:rPr>
                <w:sz w:val="20"/>
                <w:szCs w:val="20"/>
              </w:rPr>
              <w:t>9,585</w:t>
            </w:r>
          </w:p>
        </w:tc>
        <w:tc>
          <w:tcPr>
            <w:tcW w:w="1350" w:type="dxa"/>
          </w:tcPr>
          <w:p w:rsidR="00B66DFF" w:rsidRPr="00BB7053" w:rsidP="002E08B3" w14:paraId="0A532FF6" w14:textId="1955B2FB">
            <w:pPr>
              <w:keepNext/>
              <w:keepLines/>
              <w:tabs>
                <w:tab w:val="left" w:pos="1160"/>
                <w:tab w:val="left" w:pos="1310"/>
                <w:tab w:val="left" w:pos="6030"/>
              </w:tabs>
              <w:ind w:right="-103"/>
              <w:jc w:val="center"/>
              <w:rPr>
                <w:sz w:val="20"/>
                <w:szCs w:val="20"/>
              </w:rPr>
            </w:pPr>
            <w:r w:rsidRPr="2F5B7FA3">
              <w:rPr>
                <w:sz w:val="20"/>
                <w:szCs w:val="20"/>
              </w:rPr>
              <w:t>Varies</w:t>
            </w:r>
          </w:p>
        </w:tc>
        <w:tc>
          <w:tcPr>
            <w:tcW w:w="1080" w:type="dxa"/>
          </w:tcPr>
          <w:p w:rsidR="00B66DFF" w:rsidRPr="00BB7053" w:rsidP="002E08B3" w14:paraId="3463B8D3" w14:textId="07C00A40">
            <w:pPr>
              <w:keepNext/>
              <w:keepLines/>
              <w:tabs>
                <w:tab w:val="left" w:pos="1160"/>
                <w:tab w:val="left" w:pos="1310"/>
                <w:tab w:val="left" w:pos="6030"/>
              </w:tabs>
              <w:ind w:right="-103"/>
              <w:jc w:val="center"/>
              <w:rPr>
                <w:sz w:val="20"/>
                <w:szCs w:val="20"/>
              </w:rPr>
            </w:pPr>
            <w:r w:rsidRPr="2F5B7FA3">
              <w:rPr>
                <w:sz w:val="20"/>
                <w:szCs w:val="20"/>
              </w:rPr>
              <w:t>61,662</w:t>
            </w:r>
          </w:p>
        </w:tc>
        <w:tc>
          <w:tcPr>
            <w:tcW w:w="990" w:type="dxa"/>
          </w:tcPr>
          <w:p w:rsidR="00B66DFF" w:rsidRPr="00BB7053" w:rsidP="002E08B3" w14:paraId="70B642ED" w14:textId="04FB3CAC">
            <w:pPr>
              <w:keepNext/>
              <w:keepLines/>
              <w:tabs>
                <w:tab w:val="left" w:pos="1160"/>
                <w:tab w:val="left" w:pos="1310"/>
                <w:tab w:val="left" w:pos="6030"/>
              </w:tabs>
              <w:ind w:right="-103"/>
              <w:jc w:val="center"/>
              <w:rPr>
                <w:sz w:val="20"/>
                <w:szCs w:val="20"/>
              </w:rPr>
            </w:pPr>
            <w:r w:rsidRPr="2F5B7FA3">
              <w:rPr>
                <w:sz w:val="20"/>
                <w:szCs w:val="20"/>
              </w:rPr>
              <w:t>Varies</w:t>
            </w:r>
          </w:p>
        </w:tc>
        <w:tc>
          <w:tcPr>
            <w:tcW w:w="1169" w:type="dxa"/>
          </w:tcPr>
          <w:p w:rsidR="00B66DFF" w:rsidRPr="00BB7053" w:rsidP="002E08B3" w14:paraId="1B327ADB" w14:textId="11669C9D">
            <w:pPr>
              <w:tabs>
                <w:tab w:val="left" w:pos="1160"/>
                <w:tab w:val="left" w:pos="1310"/>
              </w:tabs>
              <w:jc w:val="center"/>
              <w:rPr>
                <w:sz w:val="20"/>
                <w:szCs w:val="20"/>
              </w:rPr>
            </w:pPr>
            <w:r w:rsidRPr="2F5B7FA3">
              <w:rPr>
                <w:color w:val="000000" w:themeColor="text1"/>
                <w:sz w:val="20"/>
                <w:szCs w:val="20"/>
              </w:rPr>
              <w:t>7,372,174</w:t>
            </w:r>
          </w:p>
        </w:tc>
      </w:tr>
      <w:tr w14:paraId="30C86BA4" w14:textId="77777777" w:rsidTr="002E08B3">
        <w:tblPrEx>
          <w:tblW w:w="9444" w:type="dxa"/>
          <w:tblLayout w:type="fixed"/>
          <w:tblCellMar>
            <w:left w:w="43" w:type="dxa"/>
            <w:right w:w="43" w:type="dxa"/>
          </w:tblCellMar>
          <w:tblLook w:val="04A0"/>
        </w:tblPrEx>
        <w:trPr>
          <w:cantSplit/>
        </w:trPr>
        <w:tc>
          <w:tcPr>
            <w:tcW w:w="1435" w:type="dxa"/>
          </w:tcPr>
          <w:p w:rsidR="005406D7" w:rsidP="002E08B3" w14:paraId="7DEC7C1F" w14:textId="77777777">
            <w:pPr>
              <w:keepNext/>
              <w:keepLines/>
              <w:tabs>
                <w:tab w:val="left" w:pos="6030"/>
              </w:tabs>
              <w:ind w:left="40" w:right="50"/>
              <w:rPr>
                <w:sz w:val="20"/>
                <w:szCs w:val="20"/>
              </w:rPr>
            </w:pPr>
            <w:r w:rsidRPr="2F5B7FA3">
              <w:rPr>
                <w:sz w:val="20"/>
                <w:szCs w:val="20"/>
              </w:rPr>
              <w:t>Requested</w:t>
            </w:r>
            <w:r w:rsidRPr="2F5B7FA3" w:rsidR="006042C9">
              <w:rPr>
                <w:sz w:val="20"/>
                <w:szCs w:val="20"/>
              </w:rPr>
              <w:t xml:space="preserve"> </w:t>
            </w:r>
          </w:p>
          <w:p w:rsidR="006042C9" w:rsidRPr="00BB7053" w:rsidP="002E08B3" w14:paraId="5CDCDBAB" w14:textId="142581AD">
            <w:pPr>
              <w:keepNext/>
              <w:keepLines/>
              <w:tabs>
                <w:tab w:val="left" w:pos="6030"/>
              </w:tabs>
              <w:ind w:left="40" w:right="50"/>
              <w:rPr>
                <w:sz w:val="20"/>
                <w:szCs w:val="20"/>
              </w:rPr>
            </w:pPr>
            <w:r w:rsidRPr="2F5B7FA3">
              <w:rPr>
                <w:sz w:val="20"/>
                <w:szCs w:val="20"/>
              </w:rPr>
              <w:t>(See Table 1</w:t>
            </w:r>
            <w:r w:rsidRPr="2F5B7FA3" w:rsidR="0B1A7796">
              <w:rPr>
                <w:sz w:val="20"/>
                <w:szCs w:val="20"/>
              </w:rPr>
              <w:t>6</w:t>
            </w:r>
            <w:r w:rsidRPr="2F5B7FA3">
              <w:rPr>
                <w:sz w:val="20"/>
                <w:szCs w:val="20"/>
              </w:rPr>
              <w:t>)</w:t>
            </w:r>
          </w:p>
        </w:tc>
        <w:tc>
          <w:tcPr>
            <w:tcW w:w="1350" w:type="dxa"/>
          </w:tcPr>
          <w:p w:rsidR="006042C9" w:rsidRPr="00BB7053" w:rsidP="002E08B3" w14:paraId="1FE403CB" w14:textId="0B3DC7AE">
            <w:pPr>
              <w:tabs>
                <w:tab w:val="left" w:pos="1160"/>
                <w:tab w:val="left" w:pos="1310"/>
              </w:tabs>
              <w:jc w:val="center"/>
              <w:rPr>
                <w:sz w:val="20"/>
                <w:szCs w:val="20"/>
              </w:rPr>
            </w:pPr>
            <w:r w:rsidRPr="2F5B7FA3">
              <w:rPr>
                <w:color w:val="000000" w:themeColor="text1"/>
                <w:sz w:val="20"/>
                <w:szCs w:val="20"/>
              </w:rPr>
              <w:t xml:space="preserve">6,285 </w:t>
            </w:r>
          </w:p>
        </w:tc>
        <w:tc>
          <w:tcPr>
            <w:tcW w:w="1080" w:type="dxa"/>
          </w:tcPr>
          <w:p w:rsidR="006042C9" w:rsidRPr="00BB7053" w:rsidP="002E08B3" w14:paraId="09723FF7" w14:textId="77777777">
            <w:pPr>
              <w:keepNext/>
              <w:keepLines/>
              <w:tabs>
                <w:tab w:val="left" w:pos="1160"/>
                <w:tab w:val="left" w:pos="1310"/>
                <w:tab w:val="left" w:pos="6030"/>
              </w:tabs>
              <w:ind w:right="-103"/>
              <w:jc w:val="center"/>
              <w:rPr>
                <w:sz w:val="20"/>
                <w:szCs w:val="20"/>
              </w:rPr>
            </w:pPr>
            <w:r w:rsidRPr="2F5B7FA3">
              <w:rPr>
                <w:sz w:val="20"/>
                <w:szCs w:val="20"/>
              </w:rPr>
              <w:t>1</w:t>
            </w:r>
          </w:p>
        </w:tc>
        <w:tc>
          <w:tcPr>
            <w:tcW w:w="990" w:type="dxa"/>
          </w:tcPr>
          <w:p w:rsidR="006042C9" w:rsidRPr="00BB7053" w:rsidP="002E08B3" w14:paraId="7F0CA990" w14:textId="5C2204E0">
            <w:pPr>
              <w:tabs>
                <w:tab w:val="left" w:pos="1160"/>
                <w:tab w:val="left" w:pos="1310"/>
              </w:tabs>
              <w:jc w:val="center"/>
              <w:rPr>
                <w:sz w:val="20"/>
                <w:szCs w:val="20"/>
              </w:rPr>
            </w:pPr>
            <w:r w:rsidRPr="2F5B7FA3">
              <w:rPr>
                <w:color w:val="000000" w:themeColor="text1"/>
                <w:sz w:val="20"/>
                <w:szCs w:val="20"/>
              </w:rPr>
              <w:t xml:space="preserve">6,285 </w:t>
            </w:r>
          </w:p>
        </w:tc>
        <w:tc>
          <w:tcPr>
            <w:tcW w:w="1350" w:type="dxa"/>
          </w:tcPr>
          <w:p w:rsidR="006042C9" w:rsidRPr="00BB7053" w:rsidP="002E08B3" w14:paraId="23D1FA6A" w14:textId="7DA4E3AC">
            <w:pPr>
              <w:keepNext/>
              <w:keepLines/>
              <w:tabs>
                <w:tab w:val="left" w:pos="1160"/>
                <w:tab w:val="left" w:pos="1310"/>
                <w:tab w:val="left" w:pos="6030"/>
              </w:tabs>
              <w:ind w:right="-103"/>
              <w:jc w:val="center"/>
              <w:rPr>
                <w:sz w:val="20"/>
                <w:szCs w:val="20"/>
              </w:rPr>
            </w:pPr>
            <w:r w:rsidRPr="2F5B7FA3">
              <w:rPr>
                <w:sz w:val="20"/>
                <w:szCs w:val="20"/>
              </w:rPr>
              <w:t>Varies</w:t>
            </w:r>
          </w:p>
        </w:tc>
        <w:tc>
          <w:tcPr>
            <w:tcW w:w="1080" w:type="dxa"/>
          </w:tcPr>
          <w:p w:rsidR="006042C9" w:rsidRPr="00BB7053" w:rsidP="002E08B3" w14:paraId="49808D26" w14:textId="2021EBB8">
            <w:pPr>
              <w:tabs>
                <w:tab w:val="left" w:pos="1160"/>
                <w:tab w:val="left" w:pos="1310"/>
              </w:tabs>
              <w:jc w:val="center"/>
              <w:rPr>
                <w:sz w:val="20"/>
                <w:szCs w:val="20"/>
              </w:rPr>
            </w:pPr>
            <w:r w:rsidRPr="2F5B7FA3">
              <w:rPr>
                <w:color w:val="000000" w:themeColor="text1"/>
                <w:sz w:val="20"/>
                <w:szCs w:val="20"/>
              </w:rPr>
              <w:t>40,193</w:t>
            </w:r>
            <w:r w:rsidRPr="2F5B7FA3" w:rsidR="6F885792">
              <w:rPr>
                <w:color w:val="000000" w:themeColor="text1"/>
                <w:sz w:val="20"/>
                <w:szCs w:val="20"/>
              </w:rPr>
              <w:t xml:space="preserve"> </w:t>
            </w:r>
          </w:p>
        </w:tc>
        <w:tc>
          <w:tcPr>
            <w:tcW w:w="990" w:type="dxa"/>
          </w:tcPr>
          <w:p w:rsidR="006042C9" w:rsidRPr="00BB7053" w:rsidP="002E08B3" w14:paraId="63B3C012" w14:textId="39BF3C7D">
            <w:pPr>
              <w:keepNext/>
              <w:keepLines/>
              <w:tabs>
                <w:tab w:val="left" w:pos="1160"/>
                <w:tab w:val="left" w:pos="1310"/>
                <w:tab w:val="left" w:pos="6030"/>
              </w:tabs>
              <w:ind w:right="-103"/>
              <w:jc w:val="center"/>
              <w:rPr>
                <w:sz w:val="20"/>
                <w:szCs w:val="20"/>
              </w:rPr>
            </w:pPr>
            <w:r w:rsidRPr="2F5B7FA3">
              <w:rPr>
                <w:sz w:val="20"/>
                <w:szCs w:val="20"/>
              </w:rPr>
              <w:t>Varies</w:t>
            </w:r>
          </w:p>
        </w:tc>
        <w:tc>
          <w:tcPr>
            <w:tcW w:w="1169" w:type="dxa"/>
          </w:tcPr>
          <w:p w:rsidR="006042C9" w:rsidRPr="00BB7053" w:rsidP="002E08B3" w14:paraId="01DC6782" w14:textId="505CC10B">
            <w:pPr>
              <w:tabs>
                <w:tab w:val="left" w:pos="1160"/>
                <w:tab w:val="left" w:pos="1310"/>
              </w:tabs>
              <w:jc w:val="center"/>
              <w:rPr>
                <w:sz w:val="20"/>
                <w:szCs w:val="20"/>
              </w:rPr>
            </w:pPr>
            <w:r w:rsidRPr="2F5B7FA3">
              <w:rPr>
                <w:color w:val="000000" w:themeColor="text1"/>
                <w:sz w:val="20"/>
                <w:szCs w:val="20"/>
              </w:rPr>
              <w:t>4,807,307</w:t>
            </w:r>
          </w:p>
        </w:tc>
      </w:tr>
      <w:tr w14:paraId="661FC49B" w14:textId="77777777" w:rsidTr="002E08B3">
        <w:tblPrEx>
          <w:tblW w:w="9444" w:type="dxa"/>
          <w:tblLayout w:type="fixed"/>
          <w:tblCellMar>
            <w:left w:w="43" w:type="dxa"/>
            <w:right w:w="43" w:type="dxa"/>
          </w:tblCellMar>
          <w:tblLook w:val="04A0"/>
        </w:tblPrEx>
        <w:trPr>
          <w:cantSplit/>
          <w:trHeight w:val="377"/>
        </w:trPr>
        <w:tc>
          <w:tcPr>
            <w:tcW w:w="1435" w:type="dxa"/>
            <w:shd w:val="clear" w:color="auto" w:fill="D9D9D9" w:themeFill="background1" w:themeFillShade="D9"/>
          </w:tcPr>
          <w:p w:rsidR="006042C9" w:rsidRPr="00BB7053" w:rsidP="002E08B3" w14:paraId="4120DE75" w14:textId="3D593A32">
            <w:pPr>
              <w:keepNext/>
              <w:keepLines/>
              <w:tabs>
                <w:tab w:val="left" w:pos="6030"/>
              </w:tabs>
              <w:ind w:left="40" w:right="50"/>
              <w:jc w:val="both"/>
              <w:rPr>
                <w:sz w:val="20"/>
                <w:szCs w:val="20"/>
              </w:rPr>
            </w:pPr>
            <w:r w:rsidRPr="2F5B7FA3">
              <w:rPr>
                <w:sz w:val="20"/>
                <w:szCs w:val="20"/>
              </w:rPr>
              <w:t xml:space="preserve">Adjustment </w:t>
            </w:r>
          </w:p>
        </w:tc>
        <w:tc>
          <w:tcPr>
            <w:tcW w:w="1350" w:type="dxa"/>
            <w:shd w:val="clear" w:color="auto" w:fill="D9D9D9" w:themeFill="background1" w:themeFillShade="D9"/>
          </w:tcPr>
          <w:p w:rsidR="006042C9" w:rsidRPr="00BB7053" w:rsidP="002E08B3" w14:paraId="250301E7" w14:textId="2AC9E3AA">
            <w:pPr>
              <w:keepNext/>
              <w:keepLines/>
              <w:tabs>
                <w:tab w:val="left" w:pos="1160"/>
                <w:tab w:val="left" w:pos="1310"/>
                <w:tab w:val="left" w:pos="6030"/>
              </w:tabs>
              <w:ind w:right="-103"/>
              <w:jc w:val="center"/>
              <w:rPr>
                <w:sz w:val="20"/>
                <w:szCs w:val="20"/>
              </w:rPr>
            </w:pPr>
            <w:r w:rsidRPr="2F5B7FA3">
              <w:rPr>
                <w:sz w:val="20"/>
                <w:szCs w:val="20"/>
              </w:rPr>
              <w:t>-3,300</w:t>
            </w:r>
          </w:p>
        </w:tc>
        <w:tc>
          <w:tcPr>
            <w:tcW w:w="1080" w:type="dxa"/>
            <w:shd w:val="clear" w:color="auto" w:fill="D9D9D9" w:themeFill="background1" w:themeFillShade="D9"/>
          </w:tcPr>
          <w:p w:rsidR="006042C9" w:rsidRPr="00BB7053" w:rsidP="002E08B3" w14:paraId="7F6CB4C2" w14:textId="77777777">
            <w:pPr>
              <w:keepNext/>
              <w:keepLines/>
              <w:tabs>
                <w:tab w:val="left" w:pos="1160"/>
                <w:tab w:val="left" w:pos="1310"/>
                <w:tab w:val="left" w:pos="6030"/>
              </w:tabs>
              <w:ind w:right="-103"/>
              <w:jc w:val="center"/>
              <w:rPr>
                <w:sz w:val="20"/>
                <w:szCs w:val="20"/>
              </w:rPr>
            </w:pPr>
            <w:r w:rsidRPr="2F5B7FA3">
              <w:rPr>
                <w:sz w:val="20"/>
                <w:szCs w:val="20"/>
              </w:rPr>
              <w:t>No change</w:t>
            </w:r>
          </w:p>
        </w:tc>
        <w:tc>
          <w:tcPr>
            <w:tcW w:w="990" w:type="dxa"/>
            <w:shd w:val="clear" w:color="auto" w:fill="D9D9D9" w:themeFill="background1" w:themeFillShade="D9"/>
          </w:tcPr>
          <w:p w:rsidR="006042C9" w:rsidRPr="00BB7053" w:rsidP="002E08B3" w14:paraId="085F7F60" w14:textId="32B0B12A">
            <w:pPr>
              <w:keepNext/>
              <w:keepLines/>
              <w:tabs>
                <w:tab w:val="left" w:pos="1160"/>
                <w:tab w:val="left" w:pos="1310"/>
                <w:tab w:val="left" w:pos="6030"/>
              </w:tabs>
              <w:ind w:right="-103"/>
              <w:jc w:val="center"/>
              <w:rPr>
                <w:sz w:val="20"/>
                <w:szCs w:val="20"/>
              </w:rPr>
            </w:pPr>
            <w:r w:rsidRPr="2F5B7FA3">
              <w:rPr>
                <w:sz w:val="20"/>
                <w:szCs w:val="20"/>
              </w:rPr>
              <w:t>-3,300</w:t>
            </w:r>
          </w:p>
        </w:tc>
        <w:tc>
          <w:tcPr>
            <w:tcW w:w="1350" w:type="dxa"/>
            <w:shd w:val="clear" w:color="auto" w:fill="D9D9D9" w:themeFill="background1" w:themeFillShade="D9"/>
          </w:tcPr>
          <w:p w:rsidR="006042C9" w:rsidRPr="00BB7053" w:rsidP="002E08B3" w14:paraId="52A633F5" w14:textId="77777777">
            <w:pPr>
              <w:keepNext/>
              <w:keepLines/>
              <w:tabs>
                <w:tab w:val="left" w:pos="1160"/>
                <w:tab w:val="left" w:pos="1310"/>
                <w:tab w:val="left" w:pos="6030"/>
              </w:tabs>
              <w:ind w:right="-103"/>
              <w:jc w:val="center"/>
              <w:rPr>
                <w:sz w:val="20"/>
                <w:szCs w:val="20"/>
              </w:rPr>
            </w:pPr>
            <w:r w:rsidRPr="2F5B7FA3">
              <w:rPr>
                <w:sz w:val="20"/>
                <w:szCs w:val="20"/>
              </w:rPr>
              <w:t>No change</w:t>
            </w:r>
          </w:p>
        </w:tc>
        <w:tc>
          <w:tcPr>
            <w:tcW w:w="1080" w:type="dxa"/>
            <w:shd w:val="clear" w:color="auto" w:fill="D9D9D9" w:themeFill="background1" w:themeFillShade="D9"/>
          </w:tcPr>
          <w:p w:rsidR="006042C9" w:rsidRPr="00BB7053" w:rsidP="002E08B3" w14:paraId="4D240CAE" w14:textId="166C8072">
            <w:pPr>
              <w:keepNext/>
              <w:keepLines/>
              <w:tabs>
                <w:tab w:val="left" w:pos="1160"/>
                <w:tab w:val="left" w:pos="1310"/>
                <w:tab w:val="left" w:pos="6030"/>
              </w:tabs>
              <w:ind w:right="-103"/>
              <w:jc w:val="center"/>
              <w:rPr>
                <w:sz w:val="20"/>
                <w:szCs w:val="20"/>
              </w:rPr>
            </w:pPr>
            <w:r w:rsidRPr="2F5B7FA3">
              <w:rPr>
                <w:sz w:val="20"/>
                <w:szCs w:val="20"/>
              </w:rPr>
              <w:t>-21,469</w:t>
            </w:r>
          </w:p>
        </w:tc>
        <w:tc>
          <w:tcPr>
            <w:tcW w:w="990" w:type="dxa"/>
            <w:shd w:val="clear" w:color="auto" w:fill="D9D9D9" w:themeFill="background1" w:themeFillShade="D9"/>
          </w:tcPr>
          <w:p w:rsidR="005406D7" w:rsidP="002E08B3" w14:paraId="2946408C" w14:textId="77777777">
            <w:pPr>
              <w:keepNext/>
              <w:keepLines/>
              <w:tabs>
                <w:tab w:val="left" w:pos="1160"/>
                <w:tab w:val="left" w:pos="1310"/>
                <w:tab w:val="left" w:pos="6030"/>
              </w:tabs>
              <w:ind w:right="-103"/>
              <w:jc w:val="center"/>
              <w:rPr>
                <w:sz w:val="20"/>
                <w:szCs w:val="20"/>
              </w:rPr>
            </w:pPr>
            <w:r w:rsidRPr="2F5B7FA3">
              <w:rPr>
                <w:sz w:val="20"/>
                <w:szCs w:val="20"/>
              </w:rPr>
              <w:t xml:space="preserve">No </w:t>
            </w:r>
          </w:p>
          <w:p w:rsidR="006042C9" w:rsidRPr="00BB7053" w:rsidP="002E08B3" w14:paraId="7B073E68" w14:textId="614C6668">
            <w:pPr>
              <w:keepNext/>
              <w:keepLines/>
              <w:tabs>
                <w:tab w:val="left" w:pos="1160"/>
                <w:tab w:val="left" w:pos="1310"/>
                <w:tab w:val="left" w:pos="6030"/>
              </w:tabs>
              <w:ind w:right="-103"/>
              <w:jc w:val="center"/>
              <w:rPr>
                <w:sz w:val="20"/>
                <w:szCs w:val="20"/>
              </w:rPr>
            </w:pPr>
            <w:r>
              <w:rPr>
                <w:sz w:val="20"/>
                <w:szCs w:val="20"/>
              </w:rPr>
              <w:t>c</w:t>
            </w:r>
            <w:r w:rsidRPr="2F5B7FA3">
              <w:rPr>
                <w:sz w:val="20"/>
                <w:szCs w:val="20"/>
              </w:rPr>
              <w:t>hange</w:t>
            </w:r>
          </w:p>
        </w:tc>
        <w:tc>
          <w:tcPr>
            <w:tcW w:w="1169" w:type="dxa"/>
            <w:shd w:val="clear" w:color="auto" w:fill="D9D9D9" w:themeFill="background1" w:themeFillShade="D9"/>
          </w:tcPr>
          <w:p w:rsidR="006042C9" w:rsidRPr="00BB7053" w:rsidP="002E08B3" w14:paraId="5FF21BC2" w14:textId="1A7D352B">
            <w:pPr>
              <w:keepNext/>
              <w:keepLines/>
              <w:tabs>
                <w:tab w:val="left" w:pos="1160"/>
                <w:tab w:val="left" w:pos="1310"/>
                <w:tab w:val="left" w:pos="6030"/>
              </w:tabs>
              <w:ind w:right="-103"/>
              <w:jc w:val="center"/>
              <w:rPr>
                <w:sz w:val="20"/>
                <w:szCs w:val="20"/>
              </w:rPr>
            </w:pPr>
            <w:r w:rsidRPr="2F5B7FA3">
              <w:rPr>
                <w:sz w:val="20"/>
                <w:szCs w:val="20"/>
              </w:rPr>
              <w:t>-2,564,867</w:t>
            </w:r>
          </w:p>
        </w:tc>
      </w:tr>
    </w:tbl>
    <w:p w:rsidR="00885183" w:rsidRPr="00B7366A" w:rsidP="00361BB4" w14:paraId="6DF12380" w14:textId="506D7FDF">
      <w:pPr>
        <w:pStyle w:val="ExhibitTitle"/>
        <w:rPr>
          <w:rFonts w:eastAsia="Calibri"/>
          <w:b w:val="0"/>
          <w:bCs/>
        </w:rPr>
      </w:pPr>
      <w:r w:rsidRPr="00B7366A">
        <w:rPr>
          <w:rFonts w:eastAsia="Calibri"/>
          <w:b w:val="0"/>
          <w:bCs/>
        </w:rPr>
        <w:t>T</w:t>
      </w:r>
      <w:r w:rsidRPr="00B7366A" w:rsidR="17088102">
        <w:rPr>
          <w:rFonts w:eastAsia="Calibri"/>
          <w:b w:val="0"/>
          <w:bCs/>
        </w:rPr>
        <w:t>able</w:t>
      </w:r>
      <w:r w:rsidRPr="00B7366A">
        <w:rPr>
          <w:rFonts w:eastAsia="Calibri"/>
          <w:b w:val="0"/>
          <w:bCs/>
        </w:rPr>
        <w:t xml:space="preserve"> </w:t>
      </w:r>
      <w:r w:rsidRPr="00B7366A" w:rsidR="5A15C2ED">
        <w:rPr>
          <w:rFonts w:eastAsia="Calibri"/>
          <w:b w:val="0"/>
          <w:bCs/>
        </w:rPr>
        <w:t>3</w:t>
      </w:r>
      <w:r w:rsidRPr="00B7366A" w:rsidR="2ED1391B">
        <w:rPr>
          <w:rFonts w:eastAsia="Calibri"/>
          <w:b w:val="0"/>
          <w:bCs/>
        </w:rPr>
        <w:t>0</w:t>
      </w:r>
      <w:r w:rsidRPr="00B7366A" w:rsidR="6302DF24">
        <w:rPr>
          <w:rFonts w:eastAsia="Calibri"/>
          <w:b w:val="0"/>
          <w:bCs/>
        </w:rPr>
        <w:t>L</w:t>
      </w:r>
      <w:r w:rsidRPr="00B7366A" w:rsidR="2C4A7A69">
        <w:rPr>
          <w:rFonts w:eastAsia="Calibri"/>
          <w:b w:val="0"/>
          <w:bCs/>
        </w:rPr>
        <w:t>:</w:t>
      </w:r>
      <w:r w:rsidRPr="00B7366A">
        <w:rPr>
          <w:rFonts w:eastAsia="Calibri"/>
          <w:b w:val="0"/>
          <w:bCs/>
        </w:rPr>
        <w:t xml:space="preserve"> Burden Reconciliation for </w:t>
      </w:r>
      <w:r w:rsidRPr="00B7366A" w:rsidR="1BD684BB">
        <w:rPr>
          <w:rFonts w:eastAsia="Calibri"/>
          <w:b w:val="0"/>
          <w:bCs/>
        </w:rPr>
        <w:t>Call for Quality Measures</w:t>
      </w:r>
    </w:p>
    <w:tbl>
      <w:tblPr>
        <w:tblStyle w:val="TableGrid"/>
        <w:tblDescription w:val="Table 30L: the estimated change in burden to our currently approved burden estimates for the annual call for quality measures."/>
        <w:tblW w:w="9445" w:type="dxa"/>
        <w:tblLayout w:type="fixed"/>
        <w:tblLook w:val="04A0"/>
      </w:tblPr>
      <w:tblGrid>
        <w:gridCol w:w="1345"/>
        <w:gridCol w:w="1350"/>
        <w:gridCol w:w="1170"/>
        <w:gridCol w:w="1080"/>
        <w:gridCol w:w="1313"/>
        <w:gridCol w:w="1064"/>
        <w:gridCol w:w="1029"/>
        <w:gridCol w:w="1094"/>
      </w:tblGrid>
      <w:tr w14:paraId="7DA0547C" w14:textId="77777777" w:rsidTr="002E08B3">
        <w:tblPrEx>
          <w:tblW w:w="9445" w:type="dxa"/>
          <w:tblLayout w:type="fixed"/>
          <w:tblLook w:val="04A0"/>
        </w:tblPrEx>
        <w:trPr>
          <w:cantSplit/>
          <w:tblHeader/>
        </w:trPr>
        <w:tc>
          <w:tcPr>
            <w:tcW w:w="1345" w:type="dxa"/>
          </w:tcPr>
          <w:p w:rsidR="00885183" w:rsidRPr="00173FA2" w:rsidP="002E08B3" w14:paraId="56EBE0E8" w14:textId="77777777">
            <w:pPr>
              <w:pStyle w:val="Table10-ColumnHeading"/>
              <w:ind w:left="-20" w:right="0"/>
              <w:jc w:val="left"/>
            </w:pPr>
            <w:r w:rsidRPr="00173FA2">
              <w:t>Burden Category</w:t>
            </w:r>
          </w:p>
        </w:tc>
        <w:tc>
          <w:tcPr>
            <w:tcW w:w="1350" w:type="dxa"/>
          </w:tcPr>
          <w:p w:rsidR="00885183" w:rsidRPr="00173FA2" w:rsidP="002E08B3" w14:paraId="3220046A" w14:textId="77777777">
            <w:pPr>
              <w:pStyle w:val="Table10-ColumnHeading"/>
              <w:ind w:left="-20" w:right="0"/>
            </w:pPr>
            <w:r w:rsidRPr="00173FA2">
              <w:t>Total Annual Respondents</w:t>
            </w:r>
          </w:p>
        </w:tc>
        <w:tc>
          <w:tcPr>
            <w:tcW w:w="1170" w:type="dxa"/>
          </w:tcPr>
          <w:p w:rsidR="00885183" w:rsidRPr="00173FA2" w:rsidP="002E08B3" w14:paraId="11563213" w14:textId="77777777">
            <w:pPr>
              <w:pStyle w:val="Table10-ColumnHeading"/>
              <w:ind w:left="-20" w:right="0"/>
            </w:pPr>
            <w:r w:rsidRPr="00173FA2">
              <w:t>Response Frequency (per year)</w:t>
            </w:r>
          </w:p>
        </w:tc>
        <w:tc>
          <w:tcPr>
            <w:tcW w:w="1080" w:type="dxa"/>
          </w:tcPr>
          <w:p w:rsidR="00885183" w:rsidRPr="00173FA2" w:rsidP="002E08B3" w14:paraId="32CBB508" w14:textId="77777777">
            <w:pPr>
              <w:pStyle w:val="Table10-ColumnHeading"/>
              <w:ind w:left="-20" w:right="0"/>
            </w:pPr>
            <w:r w:rsidRPr="00173FA2">
              <w:t>Total Annual Responses</w:t>
            </w:r>
          </w:p>
        </w:tc>
        <w:tc>
          <w:tcPr>
            <w:tcW w:w="1313" w:type="dxa"/>
          </w:tcPr>
          <w:p w:rsidR="00885183" w:rsidRPr="00173FA2" w:rsidP="002E08B3" w14:paraId="4BECBB3D" w14:textId="77777777">
            <w:pPr>
              <w:pStyle w:val="Table10-ColumnHeading"/>
              <w:ind w:left="-20" w:right="0"/>
            </w:pPr>
            <w:r w:rsidRPr="00173FA2">
              <w:t>Time Per Response (hr)</w:t>
            </w:r>
          </w:p>
        </w:tc>
        <w:tc>
          <w:tcPr>
            <w:tcW w:w="1064" w:type="dxa"/>
          </w:tcPr>
          <w:p w:rsidR="00885183" w:rsidRPr="00173FA2" w:rsidP="002E08B3" w14:paraId="53D7EA00" w14:textId="77777777">
            <w:pPr>
              <w:pStyle w:val="Table10-ColumnHeading"/>
              <w:ind w:left="-20" w:right="0"/>
            </w:pPr>
            <w:r w:rsidRPr="00173FA2">
              <w:t>Total Annual Time (hr)</w:t>
            </w:r>
          </w:p>
        </w:tc>
        <w:tc>
          <w:tcPr>
            <w:tcW w:w="1029" w:type="dxa"/>
          </w:tcPr>
          <w:p w:rsidR="00885183" w:rsidRPr="00173FA2" w:rsidP="002E08B3" w14:paraId="1D38EFD9" w14:textId="77777777">
            <w:pPr>
              <w:pStyle w:val="Table10-ColumnHeading"/>
              <w:ind w:left="-20" w:right="-50"/>
            </w:pPr>
            <w:r w:rsidRPr="00173FA2">
              <w:t>Labor Cost ($/hr)</w:t>
            </w:r>
          </w:p>
        </w:tc>
        <w:tc>
          <w:tcPr>
            <w:tcW w:w="1094" w:type="dxa"/>
          </w:tcPr>
          <w:p w:rsidR="00885183" w:rsidRPr="00173FA2" w:rsidP="002E08B3" w14:paraId="2C561640" w14:textId="77777777">
            <w:pPr>
              <w:pStyle w:val="Table10-ColumnHeading"/>
              <w:ind w:left="-20" w:right="0"/>
            </w:pPr>
            <w:r w:rsidRPr="00173FA2">
              <w:t>Total Annual Cost ($)</w:t>
            </w:r>
          </w:p>
        </w:tc>
      </w:tr>
      <w:tr w14:paraId="7D30C4F2" w14:textId="77777777" w:rsidTr="002E08B3">
        <w:tblPrEx>
          <w:tblW w:w="9445" w:type="dxa"/>
          <w:tblLayout w:type="fixed"/>
          <w:tblLook w:val="04A0"/>
        </w:tblPrEx>
        <w:trPr>
          <w:cantSplit/>
        </w:trPr>
        <w:tc>
          <w:tcPr>
            <w:tcW w:w="1345" w:type="dxa"/>
          </w:tcPr>
          <w:p w:rsidR="00BF0F99" w:rsidRPr="00BB7053" w:rsidP="00181C05" w14:paraId="0AD624F1" w14:textId="5DA1F420">
            <w:pPr>
              <w:pStyle w:val="Table10Basic"/>
              <w:ind w:left="-20"/>
            </w:pPr>
            <w:r>
              <w:t xml:space="preserve">Currently Approved </w:t>
            </w:r>
          </w:p>
        </w:tc>
        <w:tc>
          <w:tcPr>
            <w:tcW w:w="1350" w:type="dxa"/>
          </w:tcPr>
          <w:p w:rsidR="00BF0F99" w:rsidRPr="00BB7053" w:rsidP="00181C05" w14:paraId="5453E9D2" w14:textId="13CF7245">
            <w:pPr>
              <w:pStyle w:val="Table10Centered"/>
              <w:ind w:left="-20"/>
            </w:pPr>
            <w:r w:rsidRPr="40D0ACB0">
              <w:t>31</w:t>
            </w:r>
          </w:p>
        </w:tc>
        <w:tc>
          <w:tcPr>
            <w:tcW w:w="1170" w:type="dxa"/>
          </w:tcPr>
          <w:p w:rsidR="00BF0F99" w:rsidRPr="00BB7053" w:rsidP="00181C05" w14:paraId="323E06F0" w14:textId="185F75E5">
            <w:pPr>
              <w:pStyle w:val="Table10Centered"/>
              <w:ind w:left="-20"/>
            </w:pPr>
            <w:r w:rsidRPr="40D0ACB0">
              <w:t>1</w:t>
            </w:r>
          </w:p>
        </w:tc>
        <w:tc>
          <w:tcPr>
            <w:tcW w:w="1080" w:type="dxa"/>
          </w:tcPr>
          <w:p w:rsidR="00BF0F99" w:rsidRPr="00BB7053" w:rsidP="00181C05" w14:paraId="109D0360" w14:textId="213A87D8">
            <w:pPr>
              <w:pStyle w:val="Table10Centered"/>
              <w:ind w:left="-20"/>
            </w:pPr>
            <w:r w:rsidRPr="40D0ACB0">
              <w:t>31</w:t>
            </w:r>
          </w:p>
        </w:tc>
        <w:tc>
          <w:tcPr>
            <w:tcW w:w="1313" w:type="dxa"/>
          </w:tcPr>
          <w:p w:rsidR="00BF0F99" w:rsidRPr="00BB7053" w:rsidP="00181C05" w14:paraId="729739B6" w14:textId="5D7A1F0A">
            <w:pPr>
              <w:pStyle w:val="Table10Centered"/>
              <w:ind w:left="-20"/>
            </w:pPr>
            <w:r w:rsidRPr="40D0ACB0">
              <w:t>5.5</w:t>
            </w:r>
          </w:p>
        </w:tc>
        <w:tc>
          <w:tcPr>
            <w:tcW w:w="1064" w:type="dxa"/>
          </w:tcPr>
          <w:p w:rsidR="00BF0F99" w:rsidRPr="00BB7053" w:rsidP="00181C05" w14:paraId="2E8DF208" w14:textId="3105BDF7">
            <w:pPr>
              <w:pStyle w:val="Table10Centered"/>
              <w:ind w:left="-20"/>
            </w:pPr>
            <w:r w:rsidRPr="40D0ACB0">
              <w:t>171</w:t>
            </w:r>
          </w:p>
        </w:tc>
        <w:tc>
          <w:tcPr>
            <w:tcW w:w="1029" w:type="dxa"/>
          </w:tcPr>
          <w:p w:rsidR="00BF0F99" w:rsidRPr="00BB7053" w:rsidP="002E08B3" w14:paraId="168ADA93" w14:textId="0257DF17">
            <w:pPr>
              <w:pStyle w:val="Table10Centered"/>
              <w:ind w:left="-20" w:right="-50"/>
            </w:pPr>
            <w:r>
              <w:t>Varies</w:t>
            </w:r>
          </w:p>
        </w:tc>
        <w:tc>
          <w:tcPr>
            <w:tcW w:w="1094" w:type="dxa"/>
          </w:tcPr>
          <w:p w:rsidR="00BF0F99" w:rsidRPr="00BB7053" w:rsidP="00181C05" w14:paraId="67EFFFAF" w14:textId="66893AD7">
            <w:pPr>
              <w:pStyle w:val="Table10Centered"/>
              <w:ind w:left="-20"/>
            </w:pPr>
            <w:r w:rsidRPr="40D0ACB0">
              <w:t xml:space="preserve">37,645 </w:t>
            </w:r>
          </w:p>
        </w:tc>
      </w:tr>
      <w:tr w14:paraId="27DB0A68" w14:textId="77777777" w:rsidTr="002E08B3">
        <w:tblPrEx>
          <w:tblW w:w="9445" w:type="dxa"/>
          <w:tblLayout w:type="fixed"/>
          <w:tblLook w:val="04A0"/>
        </w:tblPrEx>
        <w:trPr>
          <w:cantSplit/>
        </w:trPr>
        <w:tc>
          <w:tcPr>
            <w:tcW w:w="1345" w:type="dxa"/>
          </w:tcPr>
          <w:p w:rsidR="00181C05" w:rsidP="002E08B3" w14:paraId="758E7165" w14:textId="77777777">
            <w:pPr>
              <w:pStyle w:val="Table10Basic"/>
              <w:ind w:left="-20" w:right="-110"/>
            </w:pPr>
            <w:r w:rsidRPr="40D0ACB0">
              <w:t>Requested</w:t>
            </w:r>
            <w:r w:rsidRPr="40D0ACB0" w:rsidR="00FA7465">
              <w:t xml:space="preserve"> </w:t>
            </w:r>
          </w:p>
          <w:p w:rsidR="001667FB" w:rsidRPr="00BB7053" w:rsidP="002E08B3" w14:paraId="53007917" w14:textId="587E04E4">
            <w:pPr>
              <w:pStyle w:val="Table10Basic"/>
              <w:ind w:left="-20" w:right="-110"/>
            </w:pPr>
            <w:r w:rsidRPr="40D0ACB0">
              <w:t>(See Table 1</w:t>
            </w:r>
            <w:r w:rsidRPr="40D0ACB0" w:rsidR="003D0E8A">
              <w:t>7</w:t>
            </w:r>
            <w:r w:rsidRPr="40D0ACB0">
              <w:t>)</w:t>
            </w:r>
          </w:p>
        </w:tc>
        <w:tc>
          <w:tcPr>
            <w:tcW w:w="1350" w:type="dxa"/>
          </w:tcPr>
          <w:p w:rsidR="001667FB" w:rsidRPr="00BB7053" w:rsidP="00181C05" w14:paraId="543246E3" w14:textId="1E55CA6D">
            <w:pPr>
              <w:pStyle w:val="Table10Centered"/>
              <w:ind w:left="-20"/>
            </w:pPr>
            <w:r w:rsidRPr="40D0ACB0">
              <w:t>16</w:t>
            </w:r>
          </w:p>
        </w:tc>
        <w:tc>
          <w:tcPr>
            <w:tcW w:w="1170" w:type="dxa"/>
          </w:tcPr>
          <w:p w:rsidR="001667FB" w:rsidRPr="00BB7053" w:rsidP="00181C05" w14:paraId="27D66302" w14:textId="72439E7B">
            <w:pPr>
              <w:pStyle w:val="Table10Centered"/>
              <w:ind w:left="-20"/>
            </w:pPr>
            <w:r>
              <w:t>1</w:t>
            </w:r>
          </w:p>
        </w:tc>
        <w:tc>
          <w:tcPr>
            <w:tcW w:w="1080" w:type="dxa"/>
          </w:tcPr>
          <w:p w:rsidR="001667FB" w:rsidRPr="00BB7053" w:rsidP="00181C05" w14:paraId="66A116D2" w14:textId="5C438034">
            <w:pPr>
              <w:pStyle w:val="Table10Centered"/>
              <w:ind w:left="-20"/>
            </w:pPr>
            <w:r w:rsidRPr="40D0ACB0">
              <w:t>16</w:t>
            </w:r>
          </w:p>
        </w:tc>
        <w:tc>
          <w:tcPr>
            <w:tcW w:w="1313" w:type="dxa"/>
          </w:tcPr>
          <w:p w:rsidR="001667FB" w:rsidRPr="00BB7053" w:rsidP="00181C05" w14:paraId="4CF560FD" w14:textId="417710CD">
            <w:pPr>
              <w:pStyle w:val="Table10Centered"/>
              <w:ind w:left="-20"/>
            </w:pPr>
            <w:r>
              <w:t>5.5</w:t>
            </w:r>
          </w:p>
        </w:tc>
        <w:tc>
          <w:tcPr>
            <w:tcW w:w="1064" w:type="dxa"/>
          </w:tcPr>
          <w:p w:rsidR="001667FB" w:rsidRPr="00BB7053" w:rsidP="00181C05" w14:paraId="7C96968F" w14:textId="488E4AF5">
            <w:pPr>
              <w:pStyle w:val="Table10Centered"/>
              <w:ind w:left="-20"/>
            </w:pPr>
            <w:r w:rsidRPr="40D0ACB0">
              <w:t>88</w:t>
            </w:r>
          </w:p>
        </w:tc>
        <w:tc>
          <w:tcPr>
            <w:tcW w:w="1029" w:type="dxa"/>
          </w:tcPr>
          <w:p w:rsidR="001667FB" w:rsidRPr="00BB7053" w:rsidP="002E08B3" w14:paraId="381AE52F" w14:textId="1768C789">
            <w:pPr>
              <w:pStyle w:val="Table10Centered"/>
              <w:ind w:left="-20" w:right="-50"/>
            </w:pPr>
            <w:r>
              <w:t>Varies</w:t>
            </w:r>
          </w:p>
        </w:tc>
        <w:tc>
          <w:tcPr>
            <w:tcW w:w="1094" w:type="dxa"/>
          </w:tcPr>
          <w:p w:rsidR="001667FB" w:rsidRPr="00BB7053" w:rsidP="00181C05" w14:paraId="7AD71204" w14:textId="39A34A02">
            <w:pPr>
              <w:pStyle w:val="Table10Centered"/>
              <w:ind w:left="-20"/>
            </w:pPr>
            <w:r w:rsidRPr="40D0ACB0">
              <w:t xml:space="preserve">19,430 </w:t>
            </w:r>
          </w:p>
        </w:tc>
      </w:tr>
      <w:tr w14:paraId="6BE41D16" w14:textId="77777777" w:rsidTr="002E08B3">
        <w:tblPrEx>
          <w:tblW w:w="9445" w:type="dxa"/>
          <w:tblLayout w:type="fixed"/>
          <w:tblLook w:val="04A0"/>
        </w:tblPrEx>
        <w:trPr>
          <w:cantSplit/>
        </w:trPr>
        <w:tc>
          <w:tcPr>
            <w:tcW w:w="1345" w:type="dxa"/>
            <w:shd w:val="clear" w:color="auto" w:fill="D9D9D9" w:themeFill="background1" w:themeFillShade="D9"/>
          </w:tcPr>
          <w:p w:rsidR="001667FB" w:rsidRPr="00BB7053" w:rsidP="00181C05" w14:paraId="192B0170" w14:textId="77777777">
            <w:pPr>
              <w:pStyle w:val="Table10Basic"/>
              <w:ind w:left="-20"/>
            </w:pPr>
            <w:r>
              <w:t>Adjustment</w:t>
            </w:r>
          </w:p>
        </w:tc>
        <w:tc>
          <w:tcPr>
            <w:tcW w:w="1350" w:type="dxa"/>
            <w:shd w:val="clear" w:color="auto" w:fill="D9D9D9" w:themeFill="background1" w:themeFillShade="D9"/>
          </w:tcPr>
          <w:p w:rsidR="001667FB" w:rsidRPr="00BB7053" w:rsidP="00181C05" w14:paraId="21E2EE5F" w14:textId="4F2298A8">
            <w:pPr>
              <w:pStyle w:val="Table10Centered"/>
              <w:ind w:left="-20"/>
            </w:pPr>
            <w:r w:rsidRPr="40D0ACB0">
              <w:t>-15</w:t>
            </w:r>
          </w:p>
        </w:tc>
        <w:tc>
          <w:tcPr>
            <w:tcW w:w="1170" w:type="dxa"/>
            <w:shd w:val="clear" w:color="auto" w:fill="D9D9D9" w:themeFill="background1" w:themeFillShade="D9"/>
          </w:tcPr>
          <w:p w:rsidR="001667FB" w:rsidRPr="00BB7053" w:rsidP="00181C05" w14:paraId="19DF6D55" w14:textId="2AC93BA7">
            <w:pPr>
              <w:pStyle w:val="Table10Centered"/>
              <w:ind w:left="-20"/>
            </w:pPr>
            <w:r>
              <w:t>No change</w:t>
            </w:r>
          </w:p>
        </w:tc>
        <w:tc>
          <w:tcPr>
            <w:tcW w:w="1080" w:type="dxa"/>
            <w:shd w:val="clear" w:color="auto" w:fill="D9D9D9" w:themeFill="background1" w:themeFillShade="D9"/>
          </w:tcPr>
          <w:p w:rsidR="001667FB" w:rsidRPr="00BB7053" w:rsidP="00181C05" w14:paraId="2B721FE9" w14:textId="33B9465D">
            <w:pPr>
              <w:pStyle w:val="Table10Centered"/>
              <w:ind w:left="-20"/>
            </w:pPr>
            <w:r w:rsidRPr="40D0ACB0">
              <w:t>-15</w:t>
            </w:r>
          </w:p>
        </w:tc>
        <w:tc>
          <w:tcPr>
            <w:tcW w:w="1313" w:type="dxa"/>
            <w:shd w:val="clear" w:color="auto" w:fill="D9D9D9" w:themeFill="background1" w:themeFillShade="D9"/>
          </w:tcPr>
          <w:p w:rsidR="001667FB" w:rsidRPr="00BB7053" w:rsidP="00181C05" w14:paraId="543EF2CD" w14:textId="0B5EF566">
            <w:pPr>
              <w:pStyle w:val="Table10Centered"/>
              <w:ind w:left="-20"/>
            </w:pPr>
            <w:r>
              <w:t>No change</w:t>
            </w:r>
          </w:p>
        </w:tc>
        <w:tc>
          <w:tcPr>
            <w:tcW w:w="1064" w:type="dxa"/>
            <w:shd w:val="clear" w:color="auto" w:fill="D9D9D9" w:themeFill="background1" w:themeFillShade="D9"/>
          </w:tcPr>
          <w:p w:rsidR="001667FB" w:rsidRPr="00BB7053" w:rsidP="00181C05" w14:paraId="0DF5956B" w14:textId="09C82A3C">
            <w:pPr>
              <w:pStyle w:val="Table10Centered"/>
              <w:ind w:left="-20"/>
            </w:pPr>
            <w:r w:rsidRPr="40D0ACB0">
              <w:t>-83</w:t>
            </w:r>
          </w:p>
        </w:tc>
        <w:tc>
          <w:tcPr>
            <w:tcW w:w="1029" w:type="dxa"/>
            <w:shd w:val="clear" w:color="auto" w:fill="D9D9D9" w:themeFill="background1" w:themeFillShade="D9"/>
          </w:tcPr>
          <w:p w:rsidR="001667FB" w:rsidRPr="00BB7053" w:rsidP="002E08B3" w14:paraId="2171CF6A" w14:textId="77AC281A">
            <w:pPr>
              <w:pStyle w:val="Table10Centered"/>
              <w:ind w:left="-20" w:right="-50"/>
            </w:pPr>
            <w:r>
              <w:t>No change</w:t>
            </w:r>
          </w:p>
        </w:tc>
        <w:tc>
          <w:tcPr>
            <w:tcW w:w="1094" w:type="dxa"/>
            <w:shd w:val="clear" w:color="auto" w:fill="D9D9D9" w:themeFill="background1" w:themeFillShade="D9"/>
          </w:tcPr>
          <w:p w:rsidR="001667FB" w:rsidRPr="00BB7053" w:rsidP="00181C05" w14:paraId="262EC90F" w14:textId="77D67A2A">
            <w:pPr>
              <w:pStyle w:val="Table10Centered"/>
              <w:ind w:left="-20"/>
            </w:pPr>
            <w:r w:rsidRPr="40D0ACB0">
              <w:t>-18,215</w:t>
            </w:r>
          </w:p>
        </w:tc>
      </w:tr>
    </w:tbl>
    <w:p w:rsidR="00AB04AF" w:rsidRPr="00B7366A" w:rsidP="00361BB4" w14:paraId="282182DB" w14:textId="2FCE858A">
      <w:pPr>
        <w:pStyle w:val="ExhibitTitle"/>
        <w:rPr>
          <w:rFonts w:eastAsia="Calibri"/>
          <w:b w:val="0"/>
          <w:bCs/>
        </w:rPr>
      </w:pPr>
      <w:r w:rsidRPr="00B7366A">
        <w:rPr>
          <w:rFonts w:eastAsia="Calibri"/>
          <w:b w:val="0"/>
          <w:bCs/>
        </w:rPr>
        <w:t>T</w:t>
      </w:r>
      <w:r w:rsidRPr="00B7366A" w:rsidR="17088102">
        <w:rPr>
          <w:rFonts w:eastAsia="Calibri"/>
          <w:b w:val="0"/>
          <w:bCs/>
        </w:rPr>
        <w:t>able</w:t>
      </w:r>
      <w:r w:rsidRPr="00B7366A">
        <w:rPr>
          <w:rFonts w:eastAsia="Calibri"/>
          <w:b w:val="0"/>
          <w:bCs/>
        </w:rPr>
        <w:t xml:space="preserve"> </w:t>
      </w:r>
      <w:r w:rsidRPr="00B7366A" w:rsidR="5A15C2ED">
        <w:rPr>
          <w:rFonts w:eastAsia="Calibri"/>
          <w:b w:val="0"/>
          <w:bCs/>
        </w:rPr>
        <w:t>3</w:t>
      </w:r>
      <w:r w:rsidRPr="00B7366A" w:rsidR="701FDC83">
        <w:rPr>
          <w:rFonts w:eastAsia="Calibri"/>
          <w:b w:val="0"/>
          <w:bCs/>
        </w:rPr>
        <w:t>0</w:t>
      </w:r>
      <w:r w:rsidRPr="00B7366A" w:rsidR="7282EF14">
        <w:rPr>
          <w:rFonts w:eastAsia="Calibri"/>
          <w:b w:val="0"/>
          <w:bCs/>
        </w:rPr>
        <w:t>M</w:t>
      </w:r>
      <w:r w:rsidRPr="00B7366A">
        <w:rPr>
          <w:rFonts w:eastAsia="Calibri"/>
          <w:b w:val="0"/>
          <w:bCs/>
        </w:rPr>
        <w:t xml:space="preserve">: Burden Reconciliation for </w:t>
      </w:r>
      <w:r w:rsidRPr="00B7366A" w:rsidR="2718DC0F">
        <w:rPr>
          <w:rFonts w:eastAsia="Calibri"/>
          <w:b w:val="0"/>
          <w:bCs/>
        </w:rPr>
        <w:t xml:space="preserve">Reweighting Applications for </w:t>
      </w:r>
      <w:r w:rsidRPr="00B7366A" w:rsidR="001B0F9B">
        <w:rPr>
          <w:rFonts w:eastAsia="Calibri"/>
          <w:b w:val="0"/>
          <w:bCs/>
        </w:rPr>
        <w:t>MIPS Performance Categories</w:t>
      </w:r>
      <w:r w:rsidRPr="00B7366A" w:rsidR="001B0F9B">
        <w:rPr>
          <w:rFonts w:eastAsia="Calibri"/>
          <w:b w:val="0"/>
          <w:bCs/>
        </w:rPr>
        <w:t xml:space="preserve"> </w:t>
      </w:r>
    </w:p>
    <w:tbl>
      <w:tblPr>
        <w:tblStyle w:val="TableGrid"/>
        <w:tblDescription w:val="Table 30M: the estimated change in burden to our currently approved burden estimates to submit reweighting applications for MIPS Performance Categories."/>
        <w:tblW w:w="5099" w:type="pct"/>
        <w:tblLayout w:type="fixed"/>
        <w:tblCellMar>
          <w:left w:w="43" w:type="dxa"/>
          <w:right w:w="43" w:type="dxa"/>
        </w:tblCellMar>
        <w:tblLook w:val="04A0"/>
      </w:tblPr>
      <w:tblGrid>
        <w:gridCol w:w="1390"/>
        <w:gridCol w:w="1367"/>
        <w:gridCol w:w="1108"/>
        <w:gridCol w:w="1080"/>
        <w:gridCol w:w="1260"/>
        <w:gridCol w:w="1080"/>
        <w:gridCol w:w="1080"/>
        <w:gridCol w:w="1170"/>
      </w:tblGrid>
      <w:tr w14:paraId="05709B71" w14:textId="77777777" w:rsidTr="002E08B3">
        <w:tblPrEx>
          <w:tblW w:w="5099" w:type="pct"/>
          <w:tblLayout w:type="fixed"/>
          <w:tblCellMar>
            <w:left w:w="43" w:type="dxa"/>
            <w:right w:w="43" w:type="dxa"/>
          </w:tblCellMar>
          <w:tblLook w:val="04A0"/>
        </w:tblPrEx>
        <w:trPr>
          <w:cantSplit/>
          <w:tblHeader/>
        </w:trPr>
        <w:tc>
          <w:tcPr>
            <w:tcW w:w="1390" w:type="dxa"/>
          </w:tcPr>
          <w:p w:rsidR="00885183" w:rsidRPr="00173FA2" w:rsidP="002E08B3" w14:paraId="4E802CFD" w14:textId="77777777">
            <w:pPr>
              <w:pStyle w:val="Table10-ColumnHeading"/>
              <w:spacing w:before="0" w:after="0"/>
              <w:ind w:left="0"/>
              <w:jc w:val="left"/>
            </w:pPr>
            <w:r w:rsidRPr="00173FA2">
              <w:t>Burden Category</w:t>
            </w:r>
          </w:p>
        </w:tc>
        <w:tc>
          <w:tcPr>
            <w:tcW w:w="1367" w:type="dxa"/>
          </w:tcPr>
          <w:p w:rsidR="00885183" w:rsidRPr="00173FA2" w:rsidP="002E08B3" w14:paraId="264AC96B" w14:textId="77777777">
            <w:pPr>
              <w:pStyle w:val="Table10-ColumnHeading"/>
              <w:spacing w:before="0" w:after="0"/>
              <w:ind w:left="0" w:right="60"/>
            </w:pPr>
            <w:r w:rsidRPr="00173FA2">
              <w:t>Total Annual Respondents</w:t>
            </w:r>
          </w:p>
        </w:tc>
        <w:tc>
          <w:tcPr>
            <w:tcW w:w="1108" w:type="dxa"/>
          </w:tcPr>
          <w:p w:rsidR="00885183" w:rsidRPr="00173FA2" w:rsidP="002E08B3" w14:paraId="1E1DC9BE" w14:textId="77777777">
            <w:pPr>
              <w:pStyle w:val="Table10-ColumnHeading"/>
              <w:spacing w:before="0" w:after="0"/>
              <w:ind w:left="0" w:right="60"/>
            </w:pPr>
            <w:r w:rsidRPr="00173FA2">
              <w:t>Response Frequency (per year)</w:t>
            </w:r>
          </w:p>
        </w:tc>
        <w:tc>
          <w:tcPr>
            <w:tcW w:w="1080" w:type="dxa"/>
          </w:tcPr>
          <w:p w:rsidR="00885183" w:rsidRPr="00173FA2" w:rsidP="002E08B3" w14:paraId="77D13684" w14:textId="77777777">
            <w:pPr>
              <w:pStyle w:val="Table10-ColumnHeading"/>
              <w:spacing w:before="0" w:after="0"/>
              <w:ind w:left="0" w:right="60"/>
            </w:pPr>
            <w:r w:rsidRPr="00173FA2">
              <w:t>Total Annual Responses</w:t>
            </w:r>
          </w:p>
        </w:tc>
        <w:tc>
          <w:tcPr>
            <w:tcW w:w="1260" w:type="dxa"/>
          </w:tcPr>
          <w:p w:rsidR="00885183" w:rsidRPr="00173FA2" w:rsidP="002E08B3" w14:paraId="30256482" w14:textId="77777777">
            <w:pPr>
              <w:pStyle w:val="Table10-ColumnHeading"/>
              <w:spacing w:before="0" w:after="0"/>
              <w:ind w:left="0" w:right="60"/>
            </w:pPr>
            <w:r w:rsidRPr="00173FA2">
              <w:t>Time Per Response (hr)</w:t>
            </w:r>
          </w:p>
        </w:tc>
        <w:tc>
          <w:tcPr>
            <w:tcW w:w="1080" w:type="dxa"/>
          </w:tcPr>
          <w:p w:rsidR="00885183" w:rsidRPr="00173FA2" w:rsidP="002E08B3" w14:paraId="258DA120" w14:textId="77777777">
            <w:pPr>
              <w:pStyle w:val="Table10-ColumnHeading"/>
              <w:spacing w:before="0" w:after="0"/>
              <w:ind w:left="0" w:right="60"/>
            </w:pPr>
            <w:r w:rsidRPr="00173FA2">
              <w:t>Total Annual Time (hr)</w:t>
            </w:r>
          </w:p>
        </w:tc>
        <w:tc>
          <w:tcPr>
            <w:tcW w:w="1080" w:type="dxa"/>
          </w:tcPr>
          <w:p w:rsidR="00885183" w:rsidRPr="00173FA2" w:rsidP="002E08B3" w14:paraId="456B108E" w14:textId="77777777">
            <w:pPr>
              <w:pStyle w:val="Table10-ColumnHeading"/>
              <w:spacing w:before="0" w:after="0"/>
              <w:ind w:left="0" w:right="60"/>
            </w:pPr>
            <w:r w:rsidRPr="00173FA2">
              <w:t>Labor Cost ($/hr)</w:t>
            </w:r>
          </w:p>
        </w:tc>
        <w:tc>
          <w:tcPr>
            <w:tcW w:w="1170" w:type="dxa"/>
          </w:tcPr>
          <w:p w:rsidR="00885183" w:rsidRPr="00173FA2" w:rsidP="002E08B3" w14:paraId="3766FFD0" w14:textId="77777777">
            <w:pPr>
              <w:pStyle w:val="Table10-ColumnHeading"/>
              <w:spacing w:before="0" w:after="0"/>
              <w:ind w:left="0" w:right="60"/>
            </w:pPr>
            <w:r w:rsidRPr="00173FA2">
              <w:t>Total Annual Cost ($)</w:t>
            </w:r>
          </w:p>
        </w:tc>
      </w:tr>
      <w:tr w14:paraId="774188B8" w14:textId="77777777" w:rsidTr="002E08B3">
        <w:tblPrEx>
          <w:tblW w:w="5099" w:type="pct"/>
          <w:tblLayout w:type="fixed"/>
          <w:tblCellMar>
            <w:left w:w="43" w:type="dxa"/>
            <w:right w:w="43" w:type="dxa"/>
          </w:tblCellMar>
          <w:tblLook w:val="04A0"/>
        </w:tblPrEx>
        <w:trPr>
          <w:cantSplit/>
        </w:trPr>
        <w:tc>
          <w:tcPr>
            <w:tcW w:w="1390" w:type="dxa"/>
          </w:tcPr>
          <w:p w:rsidR="00365215" w:rsidRPr="00BB7053" w:rsidP="002E08B3" w14:paraId="4C07FF76" w14:textId="42BA5D99">
            <w:pPr>
              <w:pStyle w:val="Table10Basic"/>
              <w:spacing w:before="0" w:after="0"/>
            </w:pPr>
            <w:r>
              <w:t xml:space="preserve">Currently Approved </w:t>
            </w:r>
          </w:p>
        </w:tc>
        <w:tc>
          <w:tcPr>
            <w:tcW w:w="1367" w:type="dxa"/>
          </w:tcPr>
          <w:p w:rsidR="00365215" w:rsidRPr="00BB7053" w:rsidP="002E08B3" w14:paraId="69E041A8" w14:textId="20E5CB1D">
            <w:pPr>
              <w:pStyle w:val="Table10Centered"/>
              <w:spacing w:before="0" w:after="0"/>
              <w:ind w:right="60"/>
            </w:pPr>
            <w:r w:rsidRPr="714BD918">
              <w:t>29,227</w:t>
            </w:r>
          </w:p>
        </w:tc>
        <w:tc>
          <w:tcPr>
            <w:tcW w:w="1108" w:type="dxa"/>
          </w:tcPr>
          <w:p w:rsidR="00365215" w:rsidRPr="00BB7053" w:rsidP="002E08B3" w14:paraId="5B43CA88" w14:textId="2AADD20E">
            <w:pPr>
              <w:pStyle w:val="Table10Centered"/>
              <w:spacing w:before="0" w:after="0"/>
              <w:ind w:right="60"/>
            </w:pPr>
            <w:r w:rsidRPr="714BD918">
              <w:t>1</w:t>
            </w:r>
          </w:p>
        </w:tc>
        <w:tc>
          <w:tcPr>
            <w:tcW w:w="1080" w:type="dxa"/>
          </w:tcPr>
          <w:p w:rsidR="00365215" w:rsidRPr="00BB7053" w:rsidP="002E08B3" w14:paraId="52BDB0F3" w14:textId="6960379A">
            <w:pPr>
              <w:pStyle w:val="Table10Centered"/>
              <w:spacing w:before="0" w:after="0"/>
              <w:ind w:right="60"/>
            </w:pPr>
            <w:r w:rsidRPr="714BD918">
              <w:t>29,227</w:t>
            </w:r>
          </w:p>
        </w:tc>
        <w:tc>
          <w:tcPr>
            <w:tcW w:w="1260" w:type="dxa"/>
          </w:tcPr>
          <w:p w:rsidR="00365215" w:rsidRPr="00BB7053" w:rsidP="002E08B3" w14:paraId="523A498C" w14:textId="2B420AF4">
            <w:pPr>
              <w:pStyle w:val="Table10Centered"/>
              <w:spacing w:before="0" w:after="0"/>
              <w:ind w:right="60"/>
            </w:pPr>
            <w:r w:rsidRPr="714BD918">
              <w:t>0.25</w:t>
            </w:r>
          </w:p>
        </w:tc>
        <w:tc>
          <w:tcPr>
            <w:tcW w:w="1080" w:type="dxa"/>
          </w:tcPr>
          <w:p w:rsidR="00365215" w:rsidRPr="00BB7053" w:rsidP="002E08B3" w14:paraId="21244F96" w14:textId="1FAAFDB9">
            <w:pPr>
              <w:pStyle w:val="Table10Centered"/>
              <w:spacing w:before="0" w:after="0"/>
              <w:ind w:right="60"/>
            </w:pPr>
            <w:r w:rsidRPr="714BD918">
              <w:t>7,307</w:t>
            </w:r>
          </w:p>
        </w:tc>
        <w:tc>
          <w:tcPr>
            <w:tcW w:w="1080" w:type="dxa"/>
          </w:tcPr>
          <w:p w:rsidR="00365215" w:rsidRPr="00BB7053" w:rsidP="002E08B3" w14:paraId="090DEB29" w14:textId="7DD455D4">
            <w:pPr>
              <w:pStyle w:val="Table10Centered"/>
              <w:spacing w:before="0" w:after="0"/>
              <w:ind w:right="60"/>
            </w:pPr>
            <w:r w:rsidRPr="714BD918">
              <w:t>106.54</w:t>
            </w:r>
          </w:p>
        </w:tc>
        <w:tc>
          <w:tcPr>
            <w:tcW w:w="1170" w:type="dxa"/>
          </w:tcPr>
          <w:p w:rsidR="00365215" w:rsidRPr="00BB7053" w:rsidP="002E08B3" w14:paraId="76034A2D" w14:textId="608B9036">
            <w:pPr>
              <w:pStyle w:val="Table10Centered"/>
              <w:spacing w:before="0" w:after="0"/>
              <w:ind w:right="60"/>
            </w:pPr>
            <w:r w:rsidRPr="714BD918">
              <w:t xml:space="preserve">778,607 </w:t>
            </w:r>
          </w:p>
        </w:tc>
      </w:tr>
      <w:tr w14:paraId="5BF76EF4" w14:textId="77777777" w:rsidTr="002E08B3">
        <w:tblPrEx>
          <w:tblW w:w="5099" w:type="pct"/>
          <w:tblLayout w:type="fixed"/>
          <w:tblCellMar>
            <w:left w:w="43" w:type="dxa"/>
            <w:right w:w="43" w:type="dxa"/>
          </w:tblCellMar>
          <w:tblLook w:val="04A0"/>
        </w:tblPrEx>
        <w:trPr>
          <w:cantSplit/>
        </w:trPr>
        <w:tc>
          <w:tcPr>
            <w:tcW w:w="1390" w:type="dxa"/>
          </w:tcPr>
          <w:p w:rsidR="0081082E" w:rsidP="002E08B3" w14:paraId="661D8F57" w14:textId="77777777">
            <w:pPr>
              <w:pStyle w:val="Table10Basic"/>
              <w:spacing w:before="0" w:after="0"/>
            </w:pPr>
            <w:r>
              <w:t>Requested</w:t>
            </w:r>
            <w:r w:rsidRPr="4C9692AA" w:rsidR="008E2BA0">
              <w:t xml:space="preserve"> </w:t>
            </w:r>
          </w:p>
          <w:p w:rsidR="001572E5" w:rsidRPr="00BB7053" w:rsidP="002E08B3" w14:paraId="2826FC19" w14:textId="134C030C">
            <w:pPr>
              <w:pStyle w:val="Table10Basic"/>
              <w:spacing w:before="0" w:after="0"/>
            </w:pPr>
            <w:r w:rsidRPr="4C9692AA">
              <w:t>(See Table 1</w:t>
            </w:r>
            <w:r w:rsidRPr="4C9692AA" w:rsidR="0002015D">
              <w:t>8</w:t>
            </w:r>
            <w:r w:rsidRPr="4C9692AA">
              <w:t>)</w:t>
            </w:r>
          </w:p>
        </w:tc>
        <w:tc>
          <w:tcPr>
            <w:tcW w:w="1367" w:type="dxa"/>
          </w:tcPr>
          <w:p w:rsidR="001572E5" w:rsidRPr="00BB7053" w:rsidP="002E08B3" w14:paraId="7AA20B4B" w14:textId="069A51D5">
            <w:pPr>
              <w:pStyle w:val="Table10Centered"/>
              <w:spacing w:before="0" w:after="0"/>
              <w:ind w:right="60"/>
            </w:pPr>
            <w:r w:rsidRPr="453EA43A">
              <w:t>3,297</w:t>
            </w:r>
          </w:p>
        </w:tc>
        <w:tc>
          <w:tcPr>
            <w:tcW w:w="1108" w:type="dxa"/>
          </w:tcPr>
          <w:p w:rsidR="001572E5" w:rsidRPr="00BB7053" w:rsidP="002E08B3" w14:paraId="35982FA3" w14:textId="562B4AA3">
            <w:pPr>
              <w:pStyle w:val="Table10Centered"/>
              <w:spacing w:before="0" w:after="0"/>
              <w:ind w:right="60"/>
            </w:pPr>
            <w:r>
              <w:t>1</w:t>
            </w:r>
          </w:p>
        </w:tc>
        <w:tc>
          <w:tcPr>
            <w:tcW w:w="1080" w:type="dxa"/>
          </w:tcPr>
          <w:p w:rsidR="001572E5" w:rsidRPr="00BB7053" w:rsidP="002E08B3" w14:paraId="2A684F91" w14:textId="694216A4">
            <w:pPr>
              <w:pStyle w:val="Table10Centered"/>
              <w:spacing w:before="0" w:after="0"/>
              <w:ind w:right="60"/>
            </w:pPr>
            <w:r w:rsidRPr="453EA43A">
              <w:t>3,297</w:t>
            </w:r>
          </w:p>
        </w:tc>
        <w:tc>
          <w:tcPr>
            <w:tcW w:w="1260" w:type="dxa"/>
          </w:tcPr>
          <w:p w:rsidR="001572E5" w:rsidRPr="00BB7053" w:rsidP="002E08B3" w14:paraId="7EC12EDC" w14:textId="17D66708">
            <w:pPr>
              <w:pStyle w:val="Table10Centered"/>
              <w:spacing w:before="0" w:after="0"/>
              <w:ind w:right="60"/>
            </w:pPr>
            <w:r>
              <w:t>0.25</w:t>
            </w:r>
          </w:p>
        </w:tc>
        <w:tc>
          <w:tcPr>
            <w:tcW w:w="1080" w:type="dxa"/>
            <w:shd w:val="clear" w:color="auto" w:fill="auto"/>
          </w:tcPr>
          <w:p w:rsidR="001572E5" w:rsidRPr="0029091F" w:rsidP="002E08B3" w14:paraId="542FAF2C" w14:textId="42E0A5A0">
            <w:pPr>
              <w:pStyle w:val="Table10Centered"/>
              <w:spacing w:before="0" w:after="0"/>
              <w:ind w:right="60"/>
            </w:pPr>
            <w:r w:rsidRPr="0029091F">
              <w:t>7,307</w:t>
            </w:r>
            <w:r w:rsidRPr="0029091F" w:rsidR="00807A19">
              <w:t>824</w:t>
            </w:r>
          </w:p>
        </w:tc>
        <w:tc>
          <w:tcPr>
            <w:tcW w:w="1080" w:type="dxa"/>
            <w:shd w:val="clear" w:color="auto" w:fill="auto"/>
          </w:tcPr>
          <w:p w:rsidR="001572E5" w:rsidRPr="0029091F" w:rsidP="002E08B3" w14:paraId="44601190" w14:textId="5C4F940D">
            <w:pPr>
              <w:pStyle w:val="Table10Centered"/>
              <w:spacing w:before="0" w:after="0"/>
              <w:ind w:right="60"/>
            </w:pPr>
            <w:r w:rsidRPr="0029091F">
              <w:t>106.54</w:t>
            </w:r>
            <w:r w:rsidRPr="0029091F" w:rsidR="0002015D">
              <w:t>103.40</w:t>
            </w:r>
          </w:p>
        </w:tc>
        <w:tc>
          <w:tcPr>
            <w:tcW w:w="1170" w:type="dxa"/>
          </w:tcPr>
          <w:p w:rsidR="001572E5" w:rsidRPr="00BB7053" w:rsidP="002E08B3" w14:paraId="348E8E57" w14:textId="65285D07">
            <w:pPr>
              <w:pStyle w:val="Table10Centered"/>
              <w:spacing w:before="0" w:after="0"/>
              <w:ind w:right="60"/>
            </w:pPr>
            <w:r w:rsidRPr="714BD918">
              <w:t xml:space="preserve">87,832 </w:t>
            </w:r>
          </w:p>
        </w:tc>
      </w:tr>
      <w:tr w14:paraId="19427EC9" w14:textId="77777777" w:rsidTr="002E08B3">
        <w:tblPrEx>
          <w:tblW w:w="5099" w:type="pct"/>
          <w:tblLayout w:type="fixed"/>
          <w:tblCellMar>
            <w:left w:w="43" w:type="dxa"/>
            <w:right w:w="43" w:type="dxa"/>
          </w:tblCellMar>
          <w:tblLook w:val="04A0"/>
        </w:tblPrEx>
        <w:trPr>
          <w:cantSplit/>
        </w:trPr>
        <w:tc>
          <w:tcPr>
            <w:tcW w:w="1390" w:type="dxa"/>
            <w:shd w:val="clear" w:color="auto" w:fill="D9D9D9" w:themeFill="background1" w:themeFillShade="D9"/>
          </w:tcPr>
          <w:p w:rsidR="001572E5" w:rsidRPr="00BB7053" w:rsidP="002E08B3" w14:paraId="3E686E31" w14:textId="77777777">
            <w:pPr>
              <w:pStyle w:val="Table10Basic"/>
              <w:spacing w:before="0" w:after="0"/>
            </w:pPr>
            <w:r>
              <w:t>Adjustment</w:t>
            </w:r>
          </w:p>
        </w:tc>
        <w:tc>
          <w:tcPr>
            <w:tcW w:w="1367" w:type="dxa"/>
            <w:shd w:val="clear" w:color="auto" w:fill="D9D9D9" w:themeFill="background1" w:themeFillShade="D9"/>
          </w:tcPr>
          <w:p w:rsidR="001572E5" w:rsidRPr="00BB7053" w:rsidP="002E08B3" w14:paraId="475828B0" w14:textId="596E151A">
            <w:pPr>
              <w:pStyle w:val="Table10Centered"/>
              <w:spacing w:before="0" w:after="0"/>
              <w:ind w:right="60"/>
            </w:pPr>
            <w:r w:rsidRPr="453EA43A">
              <w:t>-25,930</w:t>
            </w:r>
          </w:p>
        </w:tc>
        <w:tc>
          <w:tcPr>
            <w:tcW w:w="1108" w:type="dxa"/>
            <w:shd w:val="clear" w:color="auto" w:fill="D9D9D9" w:themeFill="background1" w:themeFillShade="D9"/>
          </w:tcPr>
          <w:p w:rsidR="001572E5" w:rsidRPr="00BB7053" w:rsidP="002E08B3" w14:paraId="1C1DCE71" w14:textId="1F912627">
            <w:pPr>
              <w:pStyle w:val="Table10Centered"/>
              <w:spacing w:before="0" w:after="0"/>
              <w:ind w:right="60"/>
            </w:pPr>
            <w:r>
              <w:t>No change</w:t>
            </w:r>
          </w:p>
        </w:tc>
        <w:tc>
          <w:tcPr>
            <w:tcW w:w="1080" w:type="dxa"/>
            <w:shd w:val="clear" w:color="auto" w:fill="D9D9D9" w:themeFill="background1" w:themeFillShade="D9"/>
          </w:tcPr>
          <w:p w:rsidR="001572E5" w:rsidRPr="00BB7053" w:rsidP="002E08B3" w14:paraId="3E858B1C" w14:textId="5885D30C">
            <w:pPr>
              <w:pStyle w:val="Table10Centered"/>
              <w:spacing w:before="0" w:after="0"/>
              <w:ind w:right="60"/>
            </w:pPr>
            <w:r w:rsidRPr="453EA43A">
              <w:t>-25,930</w:t>
            </w:r>
          </w:p>
        </w:tc>
        <w:tc>
          <w:tcPr>
            <w:tcW w:w="1260" w:type="dxa"/>
            <w:shd w:val="clear" w:color="auto" w:fill="D9D9D9" w:themeFill="background1" w:themeFillShade="D9"/>
          </w:tcPr>
          <w:p w:rsidR="001572E5" w:rsidRPr="00BB7053" w:rsidP="002E08B3" w14:paraId="243684A5" w14:textId="42FFA655">
            <w:pPr>
              <w:pStyle w:val="Table10Centered"/>
              <w:spacing w:before="0" w:after="0"/>
              <w:ind w:right="60"/>
            </w:pPr>
            <w:r>
              <w:t>No change</w:t>
            </w:r>
          </w:p>
        </w:tc>
        <w:tc>
          <w:tcPr>
            <w:tcW w:w="1080" w:type="dxa"/>
            <w:shd w:val="clear" w:color="auto" w:fill="D9D9D9" w:themeFill="background1" w:themeFillShade="D9"/>
          </w:tcPr>
          <w:p w:rsidR="001572E5" w:rsidRPr="00BB7053" w:rsidP="002E08B3" w14:paraId="5A8B6EC1" w14:textId="055B36E1">
            <w:pPr>
              <w:pStyle w:val="Table10Centered"/>
              <w:spacing w:before="0" w:after="0"/>
              <w:ind w:right="60"/>
            </w:pPr>
            <w:r w:rsidRPr="36024EB8">
              <w:t>-6,843</w:t>
            </w:r>
          </w:p>
        </w:tc>
        <w:tc>
          <w:tcPr>
            <w:tcW w:w="1080" w:type="dxa"/>
            <w:shd w:val="clear" w:color="auto" w:fill="D9D9D9" w:themeFill="background1" w:themeFillShade="D9"/>
          </w:tcPr>
          <w:p w:rsidR="001572E5" w:rsidRPr="00BB7053" w:rsidP="002E08B3" w14:paraId="3224C086" w14:textId="1EC3658A">
            <w:pPr>
              <w:pStyle w:val="Table10Centered"/>
              <w:spacing w:before="0" w:after="0"/>
              <w:ind w:right="60"/>
            </w:pPr>
            <w:r>
              <w:t>No change</w:t>
            </w:r>
          </w:p>
        </w:tc>
        <w:tc>
          <w:tcPr>
            <w:tcW w:w="1170" w:type="dxa"/>
            <w:shd w:val="clear" w:color="auto" w:fill="D9D9D9" w:themeFill="background1" w:themeFillShade="D9"/>
          </w:tcPr>
          <w:p w:rsidR="001572E5" w:rsidRPr="00BB7053" w:rsidP="002E08B3" w14:paraId="46FAA96C" w14:textId="1755004D">
            <w:pPr>
              <w:pStyle w:val="Table10Centered"/>
              <w:spacing w:before="0" w:after="0"/>
              <w:ind w:right="60"/>
            </w:pPr>
            <w:r w:rsidRPr="36024EB8">
              <w:t>-690,775</w:t>
            </w:r>
          </w:p>
        </w:tc>
      </w:tr>
    </w:tbl>
    <w:p w:rsidR="00885183" w:rsidRPr="00B7366A" w:rsidP="00361BB4" w14:paraId="379B1730" w14:textId="32F9440B">
      <w:pPr>
        <w:pStyle w:val="ExhibitTitle"/>
        <w:rPr>
          <w:rFonts w:eastAsia="Calibri"/>
          <w:b w:val="0"/>
          <w:bCs/>
        </w:rPr>
      </w:pPr>
      <w:r w:rsidRPr="00B7366A">
        <w:rPr>
          <w:rFonts w:eastAsia="Calibri"/>
          <w:b w:val="0"/>
          <w:bCs/>
        </w:rPr>
        <w:t>T</w:t>
      </w:r>
      <w:r w:rsidRPr="00B7366A" w:rsidR="17088102">
        <w:rPr>
          <w:rFonts w:eastAsia="Calibri"/>
          <w:b w:val="0"/>
          <w:bCs/>
        </w:rPr>
        <w:t>able</w:t>
      </w:r>
      <w:r w:rsidRPr="00B7366A">
        <w:rPr>
          <w:rFonts w:eastAsia="Calibri"/>
          <w:b w:val="0"/>
          <w:bCs/>
        </w:rPr>
        <w:t xml:space="preserve"> </w:t>
      </w:r>
      <w:r w:rsidRPr="00B7366A" w:rsidR="5A15C2ED">
        <w:rPr>
          <w:rFonts w:eastAsia="Calibri"/>
          <w:b w:val="0"/>
          <w:bCs/>
        </w:rPr>
        <w:t>3</w:t>
      </w:r>
      <w:r w:rsidRPr="00B7366A" w:rsidR="19EB6F2C">
        <w:rPr>
          <w:rFonts w:eastAsia="Calibri"/>
          <w:b w:val="0"/>
          <w:bCs/>
        </w:rPr>
        <w:t>0</w:t>
      </w:r>
      <w:r w:rsidRPr="00B7366A" w:rsidR="228193AE">
        <w:rPr>
          <w:rFonts w:eastAsia="Calibri"/>
          <w:b w:val="0"/>
          <w:bCs/>
        </w:rPr>
        <w:t>N</w:t>
      </w:r>
      <w:r w:rsidRPr="00B7366A">
        <w:rPr>
          <w:rFonts w:eastAsia="Calibri"/>
          <w:b w:val="0"/>
          <w:bCs/>
        </w:rPr>
        <w:t xml:space="preserve">: Burden Reconciliation for </w:t>
      </w:r>
      <w:r w:rsidRPr="00B7366A" w:rsidR="5FAABC5D">
        <w:rPr>
          <w:rFonts w:eastAsia="Calibri"/>
          <w:b w:val="0"/>
          <w:bCs/>
        </w:rPr>
        <w:t>Promoting Interoperability Performance Category Data Submission</w:t>
      </w:r>
    </w:p>
    <w:tbl>
      <w:tblPr>
        <w:tblStyle w:val="TableGrid"/>
        <w:tblDescription w:val="Table 30N: the estimated change in burden to our currently approved burden estimates for data submission in the Promoting Interoperability performance category."/>
        <w:tblW w:w="9535" w:type="dxa"/>
        <w:tblLayout w:type="fixed"/>
        <w:tblCellMar>
          <w:left w:w="29" w:type="dxa"/>
          <w:right w:w="29" w:type="dxa"/>
        </w:tblCellMar>
        <w:tblLook w:val="04A0"/>
      </w:tblPr>
      <w:tblGrid>
        <w:gridCol w:w="1345"/>
        <w:gridCol w:w="1350"/>
        <w:gridCol w:w="1260"/>
        <w:gridCol w:w="1170"/>
        <w:gridCol w:w="1080"/>
        <w:gridCol w:w="1170"/>
        <w:gridCol w:w="990"/>
        <w:gridCol w:w="1170"/>
      </w:tblGrid>
      <w:tr w14:paraId="4359804C" w14:textId="77777777" w:rsidTr="00442BD3">
        <w:tblPrEx>
          <w:tblW w:w="9535" w:type="dxa"/>
          <w:tblLayout w:type="fixed"/>
          <w:tblCellMar>
            <w:left w:w="29" w:type="dxa"/>
            <w:right w:w="29" w:type="dxa"/>
          </w:tblCellMar>
          <w:tblLook w:val="04A0"/>
        </w:tblPrEx>
        <w:trPr>
          <w:cantSplit/>
          <w:tblHeader/>
        </w:trPr>
        <w:tc>
          <w:tcPr>
            <w:tcW w:w="1345" w:type="dxa"/>
          </w:tcPr>
          <w:p w:rsidR="00885183" w:rsidRPr="00173FA2" w:rsidP="002E08B3" w14:paraId="53D56C7F" w14:textId="77777777">
            <w:pPr>
              <w:pStyle w:val="Table10-ColumnHeading"/>
              <w:spacing w:before="0" w:after="0"/>
              <w:ind w:left="58"/>
              <w:jc w:val="left"/>
            </w:pPr>
            <w:r w:rsidRPr="00173FA2">
              <w:t>Burden Category</w:t>
            </w:r>
          </w:p>
        </w:tc>
        <w:tc>
          <w:tcPr>
            <w:tcW w:w="1350" w:type="dxa"/>
          </w:tcPr>
          <w:p w:rsidR="00885183" w:rsidRPr="00173FA2" w:rsidP="002E08B3" w14:paraId="3DB018BB" w14:textId="77777777">
            <w:pPr>
              <w:pStyle w:val="Table10-ColumnHeading"/>
              <w:spacing w:before="0" w:after="0"/>
              <w:ind w:left="58" w:right="0"/>
            </w:pPr>
            <w:r w:rsidRPr="00173FA2">
              <w:t>Total Annual Respondents</w:t>
            </w:r>
          </w:p>
        </w:tc>
        <w:tc>
          <w:tcPr>
            <w:tcW w:w="1260" w:type="dxa"/>
          </w:tcPr>
          <w:p w:rsidR="00885183" w:rsidRPr="00173FA2" w:rsidP="002E08B3" w14:paraId="27B19A8C" w14:textId="6562025E">
            <w:pPr>
              <w:pStyle w:val="Table10-ColumnHeading"/>
              <w:spacing w:before="0" w:after="0"/>
              <w:ind w:left="58" w:right="0"/>
            </w:pPr>
            <w:r w:rsidRPr="00173FA2">
              <w:t>Response Frequency</w:t>
            </w:r>
            <w:r w:rsidR="001B7217">
              <w:t xml:space="preserve"> </w:t>
            </w:r>
            <w:r w:rsidRPr="00173FA2">
              <w:t>(per year)</w:t>
            </w:r>
          </w:p>
        </w:tc>
        <w:tc>
          <w:tcPr>
            <w:tcW w:w="1170" w:type="dxa"/>
          </w:tcPr>
          <w:p w:rsidR="00885183" w:rsidRPr="00173FA2" w:rsidP="002E08B3" w14:paraId="6382B3D1" w14:textId="77777777">
            <w:pPr>
              <w:pStyle w:val="Table10-ColumnHeading"/>
              <w:spacing w:before="0" w:after="0"/>
              <w:ind w:left="58" w:right="0"/>
            </w:pPr>
            <w:r w:rsidRPr="00173FA2">
              <w:t>Total Annual Responses</w:t>
            </w:r>
          </w:p>
        </w:tc>
        <w:tc>
          <w:tcPr>
            <w:tcW w:w="1080" w:type="dxa"/>
          </w:tcPr>
          <w:p w:rsidR="00885183" w:rsidRPr="00173FA2" w:rsidP="002E08B3" w14:paraId="2839334B" w14:textId="77777777">
            <w:pPr>
              <w:pStyle w:val="Table10-ColumnHeading"/>
              <w:spacing w:before="0" w:after="0"/>
              <w:ind w:left="58" w:right="0"/>
            </w:pPr>
            <w:r w:rsidRPr="00173FA2">
              <w:t>Time Per Response (hr)</w:t>
            </w:r>
          </w:p>
        </w:tc>
        <w:tc>
          <w:tcPr>
            <w:tcW w:w="1170" w:type="dxa"/>
          </w:tcPr>
          <w:p w:rsidR="00885183" w:rsidRPr="00173FA2" w:rsidP="002E08B3" w14:paraId="357179F8" w14:textId="77777777">
            <w:pPr>
              <w:pStyle w:val="Table10-ColumnHeading"/>
              <w:spacing w:before="0" w:after="0"/>
              <w:ind w:left="58" w:right="0"/>
            </w:pPr>
            <w:r w:rsidRPr="00173FA2">
              <w:t>Total Annual Time (hr)</w:t>
            </w:r>
          </w:p>
        </w:tc>
        <w:tc>
          <w:tcPr>
            <w:tcW w:w="990" w:type="dxa"/>
          </w:tcPr>
          <w:p w:rsidR="00885183" w:rsidRPr="00173FA2" w:rsidP="002E08B3" w14:paraId="5D6101FF" w14:textId="77777777">
            <w:pPr>
              <w:pStyle w:val="Table10-ColumnHeading"/>
              <w:spacing w:before="0" w:after="0"/>
              <w:ind w:left="58" w:right="0"/>
            </w:pPr>
            <w:r w:rsidRPr="00173FA2">
              <w:t>Labor Cost ($/hr)</w:t>
            </w:r>
          </w:p>
        </w:tc>
        <w:tc>
          <w:tcPr>
            <w:tcW w:w="1170" w:type="dxa"/>
          </w:tcPr>
          <w:p w:rsidR="00885183" w:rsidRPr="00173FA2" w:rsidP="002E08B3" w14:paraId="6D968AD8" w14:textId="77777777">
            <w:pPr>
              <w:pStyle w:val="Table10-ColumnHeading"/>
              <w:spacing w:before="0" w:after="0"/>
              <w:ind w:left="58" w:right="0"/>
            </w:pPr>
            <w:r w:rsidRPr="00173FA2">
              <w:t>Total Annual Cost ($)</w:t>
            </w:r>
          </w:p>
        </w:tc>
      </w:tr>
      <w:tr w14:paraId="4AA5E1C6" w14:textId="77777777" w:rsidTr="00442BD3">
        <w:tblPrEx>
          <w:tblW w:w="9535" w:type="dxa"/>
          <w:tblLayout w:type="fixed"/>
          <w:tblCellMar>
            <w:left w:w="29" w:type="dxa"/>
            <w:right w:w="29" w:type="dxa"/>
          </w:tblCellMar>
          <w:tblLook w:val="04A0"/>
        </w:tblPrEx>
        <w:trPr>
          <w:cantSplit/>
        </w:trPr>
        <w:tc>
          <w:tcPr>
            <w:tcW w:w="1345" w:type="dxa"/>
          </w:tcPr>
          <w:p w:rsidR="00C85434" w:rsidRPr="00BB7053" w:rsidP="002E08B3" w14:paraId="5B9BB8F4" w14:textId="1D71A9A4">
            <w:pPr>
              <w:pStyle w:val="Table10Basic"/>
              <w:keepNext/>
              <w:spacing w:before="0" w:after="0"/>
              <w:ind w:left="58"/>
            </w:pPr>
            <w:r>
              <w:t xml:space="preserve">Currently Approved </w:t>
            </w:r>
          </w:p>
        </w:tc>
        <w:tc>
          <w:tcPr>
            <w:tcW w:w="1350" w:type="dxa"/>
          </w:tcPr>
          <w:p w:rsidR="00C85434" w:rsidRPr="00BB7053" w:rsidP="002E08B3" w14:paraId="00133E37" w14:textId="5B5CDEB1">
            <w:pPr>
              <w:pStyle w:val="Table10Centered"/>
              <w:keepNext/>
              <w:spacing w:before="0" w:after="0"/>
              <w:ind w:left="58"/>
            </w:pPr>
            <w:r w:rsidRPr="73FC2C5F">
              <w:t>25,990</w:t>
            </w:r>
          </w:p>
        </w:tc>
        <w:tc>
          <w:tcPr>
            <w:tcW w:w="1260" w:type="dxa"/>
          </w:tcPr>
          <w:p w:rsidR="00C85434" w:rsidRPr="00BB7053" w:rsidP="002E08B3" w14:paraId="7D4661B9" w14:textId="511126BD">
            <w:pPr>
              <w:pStyle w:val="Table10Centered"/>
              <w:keepNext/>
              <w:spacing w:before="0" w:after="0"/>
              <w:ind w:left="58"/>
            </w:pPr>
            <w:r w:rsidRPr="27A2AA57">
              <w:t>11</w:t>
            </w:r>
          </w:p>
        </w:tc>
        <w:tc>
          <w:tcPr>
            <w:tcW w:w="1170" w:type="dxa"/>
          </w:tcPr>
          <w:p w:rsidR="00C85434" w:rsidRPr="00BB7053" w:rsidP="002E08B3" w14:paraId="101FFAAF" w14:textId="3E08E968">
            <w:pPr>
              <w:pStyle w:val="Table10Centered"/>
              <w:keepNext/>
              <w:spacing w:before="0" w:after="0"/>
              <w:ind w:left="58"/>
            </w:pPr>
            <w:r w:rsidRPr="73FC2C5F">
              <w:t>25,990</w:t>
            </w:r>
          </w:p>
        </w:tc>
        <w:tc>
          <w:tcPr>
            <w:tcW w:w="1080" w:type="dxa"/>
          </w:tcPr>
          <w:p w:rsidR="00C85434" w:rsidRPr="00BB7053" w:rsidP="002E08B3" w14:paraId="35E0D23C" w14:textId="57071E29">
            <w:pPr>
              <w:pStyle w:val="Table10Centered"/>
              <w:keepNext/>
              <w:spacing w:before="0" w:after="0"/>
              <w:ind w:left="58"/>
            </w:pPr>
            <w:r w:rsidRPr="27A2AA57">
              <w:t>2.702.70</w:t>
            </w:r>
          </w:p>
        </w:tc>
        <w:tc>
          <w:tcPr>
            <w:tcW w:w="1170" w:type="dxa"/>
          </w:tcPr>
          <w:p w:rsidR="00C85434" w:rsidRPr="00BB7053" w:rsidP="002E08B3" w14:paraId="0CEE064A" w14:textId="570B84CE">
            <w:pPr>
              <w:pStyle w:val="Table10Centered"/>
              <w:keepNext/>
              <w:spacing w:before="0" w:after="0"/>
              <w:ind w:left="58"/>
            </w:pPr>
            <w:r w:rsidRPr="73FC2C5F">
              <w:t>70,173</w:t>
            </w:r>
          </w:p>
        </w:tc>
        <w:tc>
          <w:tcPr>
            <w:tcW w:w="990" w:type="dxa"/>
          </w:tcPr>
          <w:p w:rsidR="00C85434" w:rsidRPr="00BB7053" w:rsidP="002E08B3" w14:paraId="22740B18" w14:textId="6FF2ABB3">
            <w:pPr>
              <w:pStyle w:val="Table10Centered"/>
              <w:keepNext/>
              <w:spacing w:before="0" w:after="0"/>
              <w:ind w:left="58"/>
            </w:pPr>
            <w:r w:rsidRPr="73FC2C5F">
              <w:t>106.54</w:t>
            </w:r>
          </w:p>
        </w:tc>
        <w:tc>
          <w:tcPr>
            <w:tcW w:w="1170" w:type="dxa"/>
          </w:tcPr>
          <w:p w:rsidR="00C85434" w:rsidRPr="00BB7053" w:rsidP="002E08B3" w14:paraId="58DA52C3" w14:textId="718B4C3C">
            <w:pPr>
              <w:pStyle w:val="Table10Centered"/>
              <w:keepNext/>
              <w:spacing w:before="0" w:after="0"/>
              <w:ind w:left="58"/>
            </w:pPr>
            <w:r w:rsidRPr="0C22BCA3">
              <w:t>7,476,283</w:t>
            </w:r>
          </w:p>
        </w:tc>
      </w:tr>
      <w:tr w14:paraId="5E7EB5F7" w14:textId="77777777" w:rsidTr="00442BD3">
        <w:tblPrEx>
          <w:tblW w:w="9535" w:type="dxa"/>
          <w:tblLayout w:type="fixed"/>
          <w:tblCellMar>
            <w:left w:w="29" w:type="dxa"/>
            <w:right w:w="29" w:type="dxa"/>
          </w:tblCellMar>
          <w:tblLook w:val="04A0"/>
        </w:tblPrEx>
        <w:trPr>
          <w:cantSplit/>
        </w:trPr>
        <w:tc>
          <w:tcPr>
            <w:tcW w:w="1345" w:type="dxa"/>
          </w:tcPr>
          <w:p w:rsidR="009971ED" w:rsidRPr="00BB7053" w:rsidP="002E08B3" w14:paraId="58D34816" w14:textId="4F1D239C">
            <w:pPr>
              <w:pStyle w:val="Table10Basic"/>
              <w:keepNext/>
              <w:spacing w:before="0" w:after="0"/>
              <w:ind w:left="58"/>
            </w:pPr>
            <w:r>
              <w:t>Requested</w:t>
            </w:r>
            <w:r w:rsidRPr="73FC2C5F" w:rsidR="00A67FD9">
              <w:t xml:space="preserve"> (See Table </w:t>
            </w:r>
            <w:r w:rsidRPr="73FC2C5F" w:rsidR="00E67FEF">
              <w:t>1</w:t>
            </w:r>
            <w:r w:rsidRPr="73FC2C5F" w:rsidR="00526AC6">
              <w:t>9</w:t>
            </w:r>
            <w:r w:rsidRPr="73FC2C5F" w:rsidR="00A67FD9">
              <w:t>)</w:t>
            </w:r>
          </w:p>
        </w:tc>
        <w:tc>
          <w:tcPr>
            <w:tcW w:w="1350" w:type="dxa"/>
          </w:tcPr>
          <w:p w:rsidR="009971ED" w:rsidRPr="00BB7053" w:rsidP="002E08B3" w14:paraId="3C81680F" w14:textId="14D80372">
            <w:pPr>
              <w:pStyle w:val="Table10Centered"/>
              <w:keepNext/>
              <w:spacing w:before="0" w:after="0"/>
              <w:ind w:left="58"/>
            </w:pPr>
            <w:r w:rsidRPr="73FC2C5F">
              <w:t xml:space="preserve"> 18,609 </w:t>
            </w:r>
          </w:p>
        </w:tc>
        <w:tc>
          <w:tcPr>
            <w:tcW w:w="1260" w:type="dxa"/>
          </w:tcPr>
          <w:p w:rsidR="009971ED" w:rsidRPr="00BB7053" w:rsidP="002E08B3" w14:paraId="4B81C8C9" w14:textId="569C7A45">
            <w:pPr>
              <w:pStyle w:val="Table10Centered"/>
              <w:keepNext/>
              <w:spacing w:before="0" w:after="0"/>
              <w:ind w:left="58"/>
            </w:pPr>
            <w:r>
              <w:t>1</w:t>
            </w:r>
          </w:p>
        </w:tc>
        <w:tc>
          <w:tcPr>
            <w:tcW w:w="1170" w:type="dxa"/>
          </w:tcPr>
          <w:p w:rsidR="009971ED" w:rsidRPr="00BB7053" w:rsidP="002E08B3" w14:paraId="4D00AFD8" w14:textId="76EF0F13">
            <w:pPr>
              <w:pStyle w:val="Table10Centered"/>
              <w:keepNext/>
              <w:spacing w:before="0" w:after="0"/>
              <w:ind w:left="58"/>
            </w:pPr>
            <w:r w:rsidRPr="73FC2C5F">
              <w:t xml:space="preserve">18,609 </w:t>
            </w:r>
          </w:p>
        </w:tc>
        <w:tc>
          <w:tcPr>
            <w:tcW w:w="1080" w:type="dxa"/>
          </w:tcPr>
          <w:p w:rsidR="009971ED" w:rsidRPr="00BB7053" w:rsidP="002E08B3" w14:paraId="2E66CFBB" w14:textId="2E269866">
            <w:pPr>
              <w:pStyle w:val="Table10Centered"/>
              <w:keepNext/>
              <w:spacing w:before="0" w:after="0"/>
              <w:ind w:left="58"/>
            </w:pPr>
            <w:r>
              <w:t>2.</w:t>
            </w:r>
            <w:r w:rsidR="003B7F4A">
              <w:t>7</w:t>
            </w:r>
            <w:r w:rsidR="00BC76D3">
              <w:t>0</w:t>
            </w:r>
          </w:p>
        </w:tc>
        <w:tc>
          <w:tcPr>
            <w:tcW w:w="1170" w:type="dxa"/>
          </w:tcPr>
          <w:p w:rsidR="009971ED" w:rsidRPr="00BB7053" w:rsidP="002E08B3" w14:paraId="393BFFBE" w14:textId="4C223301">
            <w:pPr>
              <w:pStyle w:val="Table10Centered"/>
              <w:keepNext/>
              <w:spacing w:before="0" w:after="0"/>
              <w:ind w:left="58"/>
            </w:pPr>
            <w:r w:rsidRPr="27A2AA57">
              <w:t xml:space="preserve">50,244 </w:t>
            </w:r>
          </w:p>
        </w:tc>
        <w:tc>
          <w:tcPr>
            <w:tcW w:w="990" w:type="dxa"/>
          </w:tcPr>
          <w:p w:rsidR="009971ED" w:rsidRPr="00BB7053" w:rsidP="002E08B3" w14:paraId="4DCEE873" w14:textId="4BB1DC33">
            <w:pPr>
              <w:pStyle w:val="Table10Centered"/>
              <w:keepNext/>
              <w:spacing w:before="0" w:after="0"/>
              <w:ind w:left="58"/>
            </w:pPr>
            <w:r w:rsidRPr="73FC2C5F">
              <w:t>106.54</w:t>
            </w:r>
          </w:p>
        </w:tc>
        <w:tc>
          <w:tcPr>
            <w:tcW w:w="1170" w:type="dxa"/>
          </w:tcPr>
          <w:p w:rsidR="009971ED" w:rsidRPr="00BB7053" w:rsidP="002E08B3" w14:paraId="15B8681C" w14:textId="01597935">
            <w:pPr>
              <w:pStyle w:val="Table10Centered"/>
              <w:keepNext/>
              <w:spacing w:before="0" w:after="0"/>
              <w:ind w:left="58"/>
            </w:pPr>
            <w:r w:rsidRPr="27A2AA57">
              <w:t xml:space="preserve">5,353,065 </w:t>
            </w:r>
          </w:p>
        </w:tc>
      </w:tr>
      <w:tr w14:paraId="27D1DA06" w14:textId="77777777" w:rsidTr="00442BD3">
        <w:tblPrEx>
          <w:tblW w:w="9535" w:type="dxa"/>
          <w:tblLayout w:type="fixed"/>
          <w:tblCellMar>
            <w:left w:w="29" w:type="dxa"/>
            <w:right w:w="29" w:type="dxa"/>
          </w:tblCellMar>
          <w:tblLook w:val="04A0"/>
        </w:tblPrEx>
        <w:trPr>
          <w:cantSplit/>
        </w:trPr>
        <w:tc>
          <w:tcPr>
            <w:tcW w:w="1345" w:type="dxa"/>
            <w:shd w:val="clear" w:color="auto" w:fill="D9D9D9" w:themeFill="background1" w:themeFillShade="D9"/>
          </w:tcPr>
          <w:p w:rsidR="009971ED" w:rsidRPr="00BB7053" w:rsidP="002E08B3" w14:paraId="3E179C9F" w14:textId="25BA7C29">
            <w:pPr>
              <w:pStyle w:val="Table10Basic"/>
              <w:spacing w:before="0" w:after="0"/>
              <w:ind w:left="58"/>
            </w:pPr>
            <w:r w:rsidRPr="27A2AA57">
              <w:t>Adjustment</w:t>
            </w:r>
            <w:r w:rsidRPr="27A2AA57" w:rsidR="00B42D7E">
              <w:t xml:space="preserve"> </w:t>
            </w:r>
          </w:p>
        </w:tc>
        <w:tc>
          <w:tcPr>
            <w:tcW w:w="1350" w:type="dxa"/>
            <w:shd w:val="clear" w:color="auto" w:fill="D9D9D9" w:themeFill="background1" w:themeFillShade="D9"/>
          </w:tcPr>
          <w:p w:rsidR="009971ED" w:rsidRPr="00BB7053" w:rsidP="002E08B3" w14:paraId="2AE05C13" w14:textId="689650B8">
            <w:pPr>
              <w:pStyle w:val="Table10Centered"/>
              <w:spacing w:before="0" w:after="0"/>
              <w:ind w:left="58"/>
            </w:pPr>
            <w:r w:rsidRPr="0C22BCA3">
              <w:t>-</w:t>
            </w:r>
            <w:r w:rsidRPr="0C22BCA3" w:rsidR="008C6ED6">
              <w:t>7,381</w:t>
            </w:r>
          </w:p>
        </w:tc>
        <w:tc>
          <w:tcPr>
            <w:tcW w:w="1260" w:type="dxa"/>
            <w:shd w:val="clear" w:color="auto" w:fill="D9D9D9" w:themeFill="background1" w:themeFillShade="D9"/>
          </w:tcPr>
          <w:p w:rsidR="009971ED" w:rsidRPr="00BB7053" w:rsidP="002E08B3" w14:paraId="7C391659" w14:textId="34472E78">
            <w:pPr>
              <w:pStyle w:val="Table10Centered"/>
              <w:spacing w:before="0" w:after="0"/>
              <w:ind w:left="58"/>
            </w:pPr>
            <w:r>
              <w:t>No change</w:t>
            </w:r>
          </w:p>
        </w:tc>
        <w:tc>
          <w:tcPr>
            <w:tcW w:w="1170" w:type="dxa"/>
            <w:shd w:val="clear" w:color="auto" w:fill="D9D9D9" w:themeFill="background1" w:themeFillShade="D9"/>
          </w:tcPr>
          <w:p w:rsidR="009971ED" w:rsidRPr="00BB7053" w:rsidP="002E08B3" w14:paraId="351B3F2E" w14:textId="69A38EF7">
            <w:pPr>
              <w:pStyle w:val="Table10Centered"/>
              <w:spacing w:before="0" w:after="0"/>
              <w:ind w:left="58"/>
            </w:pPr>
            <w:r w:rsidRPr="0C22BCA3">
              <w:t>-</w:t>
            </w:r>
            <w:r w:rsidRPr="0C22BCA3" w:rsidR="008C6ED6">
              <w:t>7,381</w:t>
            </w:r>
          </w:p>
        </w:tc>
        <w:tc>
          <w:tcPr>
            <w:tcW w:w="1080" w:type="dxa"/>
            <w:shd w:val="clear" w:color="auto" w:fill="D9D9D9" w:themeFill="background1" w:themeFillShade="D9"/>
          </w:tcPr>
          <w:p w:rsidR="009971ED" w:rsidRPr="00BB7053" w:rsidP="002E08B3" w14:paraId="7153A272" w14:textId="3A89FB07">
            <w:pPr>
              <w:pStyle w:val="Table10Centered"/>
              <w:spacing w:before="0" w:after="0"/>
              <w:ind w:left="58"/>
            </w:pPr>
            <w:r>
              <w:t>No change</w:t>
            </w:r>
          </w:p>
        </w:tc>
        <w:tc>
          <w:tcPr>
            <w:tcW w:w="1170" w:type="dxa"/>
            <w:shd w:val="clear" w:color="auto" w:fill="D9D9D9" w:themeFill="background1" w:themeFillShade="D9"/>
          </w:tcPr>
          <w:p w:rsidR="009971ED" w:rsidRPr="00BB7053" w:rsidP="002E08B3" w14:paraId="308BEE58" w14:textId="42B077B1">
            <w:pPr>
              <w:pStyle w:val="Table10Centered"/>
              <w:spacing w:before="0" w:after="0"/>
              <w:ind w:left="58"/>
            </w:pPr>
            <w:r w:rsidRPr="0C22BCA3">
              <w:t>-</w:t>
            </w:r>
            <w:r w:rsidRPr="0C22BCA3" w:rsidR="008C6ED6">
              <w:t>19,929</w:t>
            </w:r>
          </w:p>
        </w:tc>
        <w:tc>
          <w:tcPr>
            <w:tcW w:w="990" w:type="dxa"/>
            <w:shd w:val="clear" w:color="auto" w:fill="D9D9D9" w:themeFill="background1" w:themeFillShade="D9"/>
          </w:tcPr>
          <w:p w:rsidR="009971ED" w:rsidRPr="00BB7053" w:rsidP="002E08B3" w14:paraId="0343746C" w14:textId="1E9EC20F">
            <w:pPr>
              <w:pStyle w:val="Table10Centered"/>
              <w:spacing w:before="0" w:after="0"/>
              <w:ind w:left="58"/>
            </w:pPr>
            <w:r>
              <w:t>No change</w:t>
            </w:r>
          </w:p>
        </w:tc>
        <w:tc>
          <w:tcPr>
            <w:tcW w:w="1170" w:type="dxa"/>
            <w:shd w:val="clear" w:color="auto" w:fill="D9D9D9" w:themeFill="background1" w:themeFillShade="D9"/>
          </w:tcPr>
          <w:p w:rsidR="009971ED" w:rsidRPr="00BB7053" w:rsidP="002E08B3" w14:paraId="4DD60D87" w14:textId="06EC929A">
            <w:pPr>
              <w:pStyle w:val="Table10Centered"/>
              <w:spacing w:before="0" w:after="0"/>
              <w:ind w:left="58"/>
            </w:pPr>
            <w:r w:rsidRPr="0C22BCA3">
              <w:t>-</w:t>
            </w:r>
            <w:r w:rsidRPr="0C22BCA3" w:rsidR="007C5482">
              <w:t>2,123,218</w:t>
            </w:r>
          </w:p>
        </w:tc>
      </w:tr>
    </w:tbl>
    <w:p w:rsidR="00885183" w:rsidRPr="00B7366A" w:rsidP="00361BB4" w14:paraId="46143B43" w14:textId="609250DF">
      <w:pPr>
        <w:pStyle w:val="ExhibitTitle"/>
        <w:rPr>
          <w:rFonts w:eastAsia="Calibri"/>
          <w:b w:val="0"/>
          <w:bCs/>
        </w:rPr>
      </w:pPr>
      <w:r w:rsidRPr="00B7366A">
        <w:rPr>
          <w:rFonts w:eastAsia="Calibri"/>
          <w:b w:val="0"/>
          <w:bCs/>
        </w:rPr>
        <w:t>T</w:t>
      </w:r>
      <w:r w:rsidRPr="00B7366A" w:rsidR="360FFDD9">
        <w:rPr>
          <w:rFonts w:eastAsia="Calibri"/>
          <w:b w:val="0"/>
          <w:bCs/>
        </w:rPr>
        <w:t>able</w:t>
      </w:r>
      <w:r w:rsidRPr="00B7366A">
        <w:rPr>
          <w:rFonts w:eastAsia="Calibri"/>
          <w:b w:val="0"/>
          <w:bCs/>
        </w:rPr>
        <w:t xml:space="preserve"> </w:t>
      </w:r>
      <w:r w:rsidRPr="00B7366A" w:rsidR="5A15C2ED">
        <w:rPr>
          <w:rFonts w:eastAsia="Calibri"/>
          <w:b w:val="0"/>
          <w:bCs/>
        </w:rPr>
        <w:t>3</w:t>
      </w:r>
      <w:r w:rsidRPr="00B7366A" w:rsidR="5EADC388">
        <w:rPr>
          <w:rFonts w:eastAsia="Calibri"/>
          <w:b w:val="0"/>
          <w:bCs/>
        </w:rPr>
        <w:t>0</w:t>
      </w:r>
      <w:r w:rsidRPr="00B7366A" w:rsidR="610BF86E">
        <w:rPr>
          <w:rFonts w:eastAsia="Calibri"/>
          <w:b w:val="0"/>
          <w:bCs/>
        </w:rPr>
        <w:t>O</w:t>
      </w:r>
      <w:r w:rsidRPr="00B7366A">
        <w:rPr>
          <w:rFonts w:eastAsia="Calibri"/>
          <w:b w:val="0"/>
          <w:bCs/>
        </w:rPr>
        <w:t xml:space="preserve">: Burden Reconciliation for </w:t>
      </w:r>
      <w:r w:rsidRPr="00B7366A" w:rsidR="7A88C362">
        <w:rPr>
          <w:rFonts w:eastAsia="Calibri"/>
          <w:b w:val="0"/>
          <w:bCs/>
        </w:rPr>
        <w:t>Improvement Activities Submission</w:t>
      </w:r>
    </w:p>
    <w:tbl>
      <w:tblPr>
        <w:tblStyle w:val="TableGrid"/>
        <w:tblDescription w:val="Table 30O: the estimated change in burden to our currently approved burden estimates for data submission in the I A performance category."/>
        <w:tblW w:w="9445" w:type="dxa"/>
        <w:tblLook w:val="04A0"/>
      </w:tblPr>
      <w:tblGrid>
        <w:gridCol w:w="1435"/>
        <w:gridCol w:w="1370"/>
        <w:gridCol w:w="1164"/>
        <w:gridCol w:w="1169"/>
        <w:gridCol w:w="1078"/>
        <w:gridCol w:w="1165"/>
        <w:gridCol w:w="1076"/>
        <w:gridCol w:w="988"/>
      </w:tblGrid>
      <w:tr w14:paraId="1554655C" w14:textId="77777777" w:rsidTr="002E08B3">
        <w:tblPrEx>
          <w:tblW w:w="9445" w:type="dxa"/>
          <w:tblLook w:val="04A0"/>
        </w:tblPrEx>
        <w:trPr>
          <w:cantSplit/>
          <w:tblHeader/>
        </w:trPr>
        <w:tc>
          <w:tcPr>
            <w:tcW w:w="1435" w:type="dxa"/>
          </w:tcPr>
          <w:p w:rsidR="00885183" w:rsidRPr="00173FA2" w:rsidP="002E08B3" w14:paraId="1132646A" w14:textId="77777777">
            <w:pPr>
              <w:pStyle w:val="Table10-ColumnHeading"/>
              <w:spacing w:before="0" w:after="0"/>
              <w:ind w:left="-20" w:right="0"/>
              <w:jc w:val="left"/>
            </w:pPr>
            <w:r w:rsidRPr="00173FA2">
              <w:t>Burden Category</w:t>
            </w:r>
          </w:p>
        </w:tc>
        <w:tc>
          <w:tcPr>
            <w:tcW w:w="1370" w:type="dxa"/>
          </w:tcPr>
          <w:p w:rsidR="00885183" w:rsidRPr="00173FA2" w:rsidP="002E08B3" w14:paraId="5542FFA3" w14:textId="77777777">
            <w:pPr>
              <w:pStyle w:val="Table10-ColumnHeading"/>
              <w:spacing w:before="0" w:after="0"/>
              <w:ind w:left="-20" w:right="0"/>
            </w:pPr>
            <w:r w:rsidRPr="00173FA2">
              <w:t>Total Annual Respondents</w:t>
            </w:r>
          </w:p>
        </w:tc>
        <w:tc>
          <w:tcPr>
            <w:tcW w:w="1164" w:type="dxa"/>
          </w:tcPr>
          <w:p w:rsidR="00885183" w:rsidRPr="00173FA2" w:rsidP="002E08B3" w14:paraId="0655F4D9" w14:textId="77777777">
            <w:pPr>
              <w:pStyle w:val="Table10-ColumnHeading"/>
              <w:spacing w:before="0" w:after="0"/>
              <w:ind w:left="-20" w:right="0"/>
            </w:pPr>
            <w:r w:rsidRPr="00173FA2">
              <w:t>Response Frequency (per year)</w:t>
            </w:r>
          </w:p>
        </w:tc>
        <w:tc>
          <w:tcPr>
            <w:tcW w:w="1169" w:type="dxa"/>
          </w:tcPr>
          <w:p w:rsidR="00885183" w:rsidRPr="00173FA2" w:rsidP="002E08B3" w14:paraId="2A9EDA23" w14:textId="77777777">
            <w:pPr>
              <w:pStyle w:val="Table10-ColumnHeading"/>
              <w:spacing w:before="0" w:after="0"/>
              <w:ind w:left="-20" w:right="0"/>
            </w:pPr>
            <w:r w:rsidRPr="00173FA2">
              <w:t>Total Annual Responses</w:t>
            </w:r>
          </w:p>
        </w:tc>
        <w:tc>
          <w:tcPr>
            <w:tcW w:w="1078" w:type="dxa"/>
          </w:tcPr>
          <w:p w:rsidR="00885183" w:rsidRPr="00173FA2" w:rsidP="002E08B3" w14:paraId="2B233820" w14:textId="77777777">
            <w:pPr>
              <w:pStyle w:val="Table10-ColumnHeading"/>
              <w:spacing w:before="0" w:after="0"/>
              <w:ind w:left="-110" w:right="-110"/>
            </w:pPr>
            <w:r w:rsidRPr="00173FA2">
              <w:t>Time Per Response (hr)</w:t>
            </w:r>
          </w:p>
        </w:tc>
        <w:tc>
          <w:tcPr>
            <w:tcW w:w="1165" w:type="dxa"/>
          </w:tcPr>
          <w:p w:rsidR="00885183" w:rsidRPr="00173FA2" w:rsidP="002E08B3" w14:paraId="012CDB13" w14:textId="77777777">
            <w:pPr>
              <w:pStyle w:val="Table10-ColumnHeading"/>
              <w:spacing w:before="0" w:after="0"/>
              <w:ind w:left="-20" w:right="0"/>
            </w:pPr>
            <w:r w:rsidRPr="00173FA2">
              <w:t>Total Annual Time (hr)</w:t>
            </w:r>
          </w:p>
        </w:tc>
        <w:tc>
          <w:tcPr>
            <w:tcW w:w="1076" w:type="dxa"/>
          </w:tcPr>
          <w:p w:rsidR="00885183" w:rsidRPr="00173FA2" w:rsidP="002E08B3" w14:paraId="30DD2B44" w14:textId="77777777">
            <w:pPr>
              <w:pStyle w:val="Table10-ColumnHeading"/>
              <w:spacing w:before="0" w:after="0"/>
              <w:ind w:left="-20" w:right="0"/>
            </w:pPr>
            <w:r w:rsidRPr="00173FA2">
              <w:t>Labor Cost ($/hr)</w:t>
            </w:r>
          </w:p>
        </w:tc>
        <w:tc>
          <w:tcPr>
            <w:tcW w:w="988" w:type="dxa"/>
          </w:tcPr>
          <w:p w:rsidR="00885183" w:rsidRPr="00173FA2" w:rsidP="002E08B3" w14:paraId="2FD18E7F" w14:textId="77777777">
            <w:pPr>
              <w:pStyle w:val="Table10-ColumnHeading"/>
              <w:spacing w:before="0" w:after="0"/>
              <w:ind w:left="-20" w:right="0"/>
            </w:pPr>
            <w:r w:rsidRPr="00173FA2">
              <w:t>Total Annual Cost ($)</w:t>
            </w:r>
          </w:p>
        </w:tc>
      </w:tr>
      <w:tr w14:paraId="3B85BDAF" w14:textId="77777777" w:rsidTr="002E08B3">
        <w:tblPrEx>
          <w:tblW w:w="9445" w:type="dxa"/>
          <w:tblLook w:val="04A0"/>
        </w:tblPrEx>
        <w:trPr>
          <w:cantSplit/>
        </w:trPr>
        <w:tc>
          <w:tcPr>
            <w:tcW w:w="1435" w:type="dxa"/>
          </w:tcPr>
          <w:p w:rsidR="00B10438" w:rsidRPr="00BB7053" w:rsidP="002E08B3" w14:paraId="61C133A1" w14:textId="0EDF0D1E">
            <w:pPr>
              <w:pStyle w:val="Table10Basic"/>
              <w:spacing w:before="0" w:after="0"/>
              <w:ind w:left="-20"/>
            </w:pPr>
            <w:r>
              <w:t xml:space="preserve">Currently Approved </w:t>
            </w:r>
          </w:p>
        </w:tc>
        <w:tc>
          <w:tcPr>
            <w:tcW w:w="1370" w:type="dxa"/>
          </w:tcPr>
          <w:p w:rsidR="00B10438" w:rsidRPr="00BB7053" w:rsidP="002E08B3" w14:paraId="4BE68855" w14:textId="68356D5A">
            <w:pPr>
              <w:pStyle w:val="Table10Centered"/>
              <w:spacing w:before="0" w:after="0"/>
              <w:ind w:left="-20"/>
            </w:pPr>
            <w:r w:rsidRPr="061F9AC0">
              <w:t>50,289</w:t>
            </w:r>
          </w:p>
        </w:tc>
        <w:tc>
          <w:tcPr>
            <w:tcW w:w="1164" w:type="dxa"/>
          </w:tcPr>
          <w:p w:rsidR="00B10438" w:rsidRPr="00BB7053" w:rsidP="002E08B3" w14:paraId="66090922" w14:textId="64B0F693">
            <w:pPr>
              <w:pStyle w:val="Table10Centered"/>
              <w:spacing w:before="0" w:after="0"/>
              <w:ind w:left="-20"/>
            </w:pPr>
            <w:r w:rsidRPr="061F9AC0">
              <w:t>1</w:t>
            </w:r>
          </w:p>
        </w:tc>
        <w:tc>
          <w:tcPr>
            <w:tcW w:w="1169" w:type="dxa"/>
          </w:tcPr>
          <w:p w:rsidR="00B10438" w:rsidRPr="00BB7053" w:rsidP="002E08B3" w14:paraId="03B0388B" w14:textId="73F06048">
            <w:pPr>
              <w:pStyle w:val="Table10Centered"/>
              <w:spacing w:before="0" w:after="0"/>
              <w:ind w:left="-20"/>
            </w:pPr>
            <w:r w:rsidRPr="061F9AC0">
              <w:t>50,289</w:t>
            </w:r>
          </w:p>
        </w:tc>
        <w:tc>
          <w:tcPr>
            <w:tcW w:w="1078" w:type="dxa"/>
          </w:tcPr>
          <w:p w:rsidR="00B10438" w:rsidRPr="00BB7053" w:rsidP="002E08B3" w14:paraId="1A75E226" w14:textId="67AAA629">
            <w:pPr>
              <w:pStyle w:val="Table10Centered"/>
              <w:spacing w:before="0" w:after="0"/>
              <w:ind w:left="-20"/>
            </w:pPr>
            <w:r w:rsidRPr="061F9AC0">
              <w:t>0.083</w:t>
            </w:r>
          </w:p>
        </w:tc>
        <w:tc>
          <w:tcPr>
            <w:tcW w:w="1165" w:type="dxa"/>
          </w:tcPr>
          <w:p w:rsidR="00B10438" w:rsidRPr="00BB7053" w:rsidP="002E08B3" w14:paraId="37718161" w14:textId="18B5646A">
            <w:pPr>
              <w:pStyle w:val="Table10Centered"/>
              <w:spacing w:before="0" w:after="0"/>
              <w:ind w:left="-20"/>
            </w:pPr>
            <w:r w:rsidRPr="061F9AC0">
              <w:t>4,174</w:t>
            </w:r>
          </w:p>
        </w:tc>
        <w:tc>
          <w:tcPr>
            <w:tcW w:w="1076" w:type="dxa"/>
          </w:tcPr>
          <w:p w:rsidR="00B10438" w:rsidRPr="00BB7053" w:rsidP="002E08B3" w14:paraId="187D3B36" w14:textId="01D9F11B">
            <w:pPr>
              <w:pStyle w:val="Table10Centered"/>
              <w:spacing w:before="0" w:after="0"/>
              <w:ind w:left="-20"/>
            </w:pPr>
            <w:r w:rsidRPr="061F9AC0">
              <w:t>106.54</w:t>
            </w:r>
          </w:p>
        </w:tc>
        <w:tc>
          <w:tcPr>
            <w:tcW w:w="988" w:type="dxa"/>
          </w:tcPr>
          <w:p w:rsidR="00B10438" w:rsidRPr="00BB7053" w:rsidP="002E08B3" w14:paraId="17553959" w14:textId="21034DEF">
            <w:pPr>
              <w:pStyle w:val="Table10Centered"/>
              <w:spacing w:before="0" w:after="0"/>
              <w:ind w:left="-20"/>
            </w:pPr>
            <w:r w:rsidRPr="061F9AC0">
              <w:t>444,555</w:t>
            </w:r>
          </w:p>
        </w:tc>
      </w:tr>
      <w:tr w14:paraId="72FB6C9E" w14:textId="77777777" w:rsidTr="002E08B3">
        <w:tblPrEx>
          <w:tblW w:w="9445" w:type="dxa"/>
          <w:tblLook w:val="04A0"/>
        </w:tblPrEx>
        <w:trPr>
          <w:cantSplit/>
        </w:trPr>
        <w:tc>
          <w:tcPr>
            <w:tcW w:w="1435" w:type="dxa"/>
          </w:tcPr>
          <w:p w:rsidR="002E08B3" w:rsidP="002E08B3" w14:paraId="6724A87A" w14:textId="77777777">
            <w:pPr>
              <w:pStyle w:val="Table10Basic"/>
              <w:spacing w:before="0" w:after="0"/>
              <w:ind w:left="-20"/>
            </w:pPr>
            <w:r w:rsidRPr="061F9AC0">
              <w:t>Requested</w:t>
            </w:r>
            <w:r w:rsidRPr="061F9AC0" w:rsidR="0293DBB1">
              <w:t xml:space="preserve"> </w:t>
            </w:r>
          </w:p>
          <w:p w:rsidR="001E58F6" w:rsidRPr="00BB7053" w:rsidP="002E08B3" w14:paraId="14CABED0" w14:textId="70D2EEEB">
            <w:pPr>
              <w:pStyle w:val="Table10Basic"/>
              <w:spacing w:before="0" w:after="0"/>
              <w:ind w:left="-20"/>
            </w:pPr>
            <w:r w:rsidRPr="061F9AC0">
              <w:t xml:space="preserve">(See Table </w:t>
            </w:r>
            <w:r w:rsidRPr="061F9AC0" w:rsidR="6119BCEC">
              <w:t>2</w:t>
            </w:r>
            <w:r w:rsidRPr="061F9AC0" w:rsidR="607576B6">
              <w:t>0</w:t>
            </w:r>
            <w:r w:rsidRPr="061F9AC0">
              <w:t>)</w:t>
            </w:r>
          </w:p>
        </w:tc>
        <w:tc>
          <w:tcPr>
            <w:tcW w:w="1370" w:type="dxa"/>
          </w:tcPr>
          <w:p w:rsidR="001E58F6" w:rsidRPr="00BB7053" w:rsidP="002E08B3" w14:paraId="4106FC0B" w14:textId="779ED319">
            <w:pPr>
              <w:pStyle w:val="Table10Centered"/>
              <w:spacing w:before="0" w:after="0"/>
              <w:ind w:left="-20"/>
            </w:pPr>
            <w:r w:rsidRPr="061F9AC0">
              <w:t xml:space="preserve">38,433 </w:t>
            </w:r>
          </w:p>
        </w:tc>
        <w:tc>
          <w:tcPr>
            <w:tcW w:w="1164" w:type="dxa"/>
          </w:tcPr>
          <w:p w:rsidR="001E58F6" w:rsidRPr="00BB7053" w:rsidP="002E08B3" w14:paraId="43FFFA9A" w14:textId="2DF50565">
            <w:pPr>
              <w:pStyle w:val="Table10Centered"/>
              <w:spacing w:before="0" w:after="0"/>
              <w:ind w:left="-20"/>
            </w:pPr>
            <w:r>
              <w:t>1</w:t>
            </w:r>
          </w:p>
        </w:tc>
        <w:tc>
          <w:tcPr>
            <w:tcW w:w="1169" w:type="dxa"/>
          </w:tcPr>
          <w:p w:rsidR="001E58F6" w:rsidRPr="00BB7053" w:rsidP="002E08B3" w14:paraId="4E3DC029" w14:textId="23156922">
            <w:pPr>
              <w:pStyle w:val="Table10Centered"/>
              <w:spacing w:before="0" w:after="0"/>
              <w:ind w:left="-20"/>
            </w:pPr>
            <w:r w:rsidRPr="061F9AC0">
              <w:t xml:space="preserve">38,433 </w:t>
            </w:r>
          </w:p>
        </w:tc>
        <w:tc>
          <w:tcPr>
            <w:tcW w:w="1078" w:type="dxa"/>
          </w:tcPr>
          <w:p w:rsidR="001E58F6" w:rsidRPr="00BB7053" w:rsidP="002E08B3" w14:paraId="3201B30C" w14:textId="5193BCD3">
            <w:pPr>
              <w:pStyle w:val="Table10Centered"/>
              <w:spacing w:before="0" w:after="0"/>
              <w:ind w:left="-20"/>
            </w:pPr>
            <w:r>
              <w:t>0.083</w:t>
            </w:r>
          </w:p>
        </w:tc>
        <w:tc>
          <w:tcPr>
            <w:tcW w:w="1165" w:type="dxa"/>
          </w:tcPr>
          <w:p w:rsidR="001E58F6" w:rsidRPr="00BB7053" w:rsidP="002E08B3" w14:paraId="063E9826" w14:textId="076F0B5B">
            <w:pPr>
              <w:pStyle w:val="Table10Centered"/>
              <w:spacing w:before="0" w:after="0"/>
              <w:ind w:left="-20"/>
            </w:pPr>
            <w:r w:rsidRPr="061F9AC0">
              <w:t xml:space="preserve">3,190 </w:t>
            </w:r>
          </w:p>
        </w:tc>
        <w:tc>
          <w:tcPr>
            <w:tcW w:w="1076" w:type="dxa"/>
          </w:tcPr>
          <w:p w:rsidR="001E58F6" w:rsidRPr="00BB7053" w:rsidP="002E08B3" w14:paraId="2A5F938B" w14:textId="6B2B0D59">
            <w:pPr>
              <w:pStyle w:val="Table10Centered"/>
              <w:spacing w:before="0" w:after="0"/>
              <w:ind w:left="-20"/>
            </w:pPr>
            <w:r w:rsidRPr="061F9AC0">
              <w:t>106.54</w:t>
            </w:r>
          </w:p>
        </w:tc>
        <w:tc>
          <w:tcPr>
            <w:tcW w:w="988" w:type="dxa"/>
          </w:tcPr>
          <w:p w:rsidR="001E58F6" w:rsidRPr="00BB7053" w:rsidP="002E08B3" w14:paraId="2FABF5A4" w14:textId="4A1358E8">
            <w:pPr>
              <w:pStyle w:val="Table10Centered"/>
              <w:spacing w:before="0" w:after="0"/>
              <w:ind w:left="-20"/>
            </w:pPr>
            <w:r w:rsidRPr="061F9AC0">
              <w:t xml:space="preserve">339,748 </w:t>
            </w:r>
          </w:p>
        </w:tc>
      </w:tr>
      <w:tr w14:paraId="37CFF55C" w14:textId="77777777" w:rsidTr="002E08B3">
        <w:tblPrEx>
          <w:tblW w:w="9445" w:type="dxa"/>
          <w:tblLook w:val="04A0"/>
        </w:tblPrEx>
        <w:trPr>
          <w:cantSplit/>
          <w:trHeight w:val="224"/>
        </w:trPr>
        <w:tc>
          <w:tcPr>
            <w:tcW w:w="1435" w:type="dxa"/>
            <w:shd w:val="clear" w:color="auto" w:fill="D9D9D9" w:themeFill="background1" w:themeFillShade="D9"/>
          </w:tcPr>
          <w:p w:rsidR="001E58F6" w:rsidRPr="00BB7053" w:rsidP="002E08B3" w14:paraId="3282D3A6" w14:textId="7241D7A6">
            <w:pPr>
              <w:pStyle w:val="Table10Basic"/>
              <w:spacing w:before="0" w:after="0"/>
              <w:ind w:left="-14"/>
            </w:pPr>
            <w:r>
              <w:t>Adjustment</w:t>
            </w:r>
          </w:p>
        </w:tc>
        <w:tc>
          <w:tcPr>
            <w:tcW w:w="1370" w:type="dxa"/>
            <w:shd w:val="clear" w:color="auto" w:fill="D9D9D9" w:themeFill="background1" w:themeFillShade="D9"/>
          </w:tcPr>
          <w:p w:rsidR="001E58F6" w:rsidRPr="00BB7053" w:rsidP="002E08B3" w14:paraId="5FFE50A8" w14:textId="7C3EB38D">
            <w:pPr>
              <w:pStyle w:val="Table10Centered"/>
              <w:spacing w:before="0" w:after="0"/>
              <w:ind w:left="-14"/>
            </w:pPr>
            <w:r w:rsidRPr="061F9AC0">
              <w:t>-11,856</w:t>
            </w:r>
          </w:p>
        </w:tc>
        <w:tc>
          <w:tcPr>
            <w:tcW w:w="1164" w:type="dxa"/>
            <w:shd w:val="clear" w:color="auto" w:fill="D9D9D9" w:themeFill="background1" w:themeFillShade="D9"/>
          </w:tcPr>
          <w:p w:rsidR="001E58F6" w:rsidRPr="00BB7053" w:rsidP="002E08B3" w14:paraId="3A693691" w14:textId="33A635B3">
            <w:pPr>
              <w:pStyle w:val="Table10Centered"/>
              <w:spacing w:before="0" w:after="0"/>
              <w:ind w:left="-14"/>
            </w:pPr>
            <w:r>
              <w:t>No change</w:t>
            </w:r>
          </w:p>
        </w:tc>
        <w:tc>
          <w:tcPr>
            <w:tcW w:w="1169" w:type="dxa"/>
            <w:shd w:val="clear" w:color="auto" w:fill="D9D9D9" w:themeFill="background1" w:themeFillShade="D9"/>
          </w:tcPr>
          <w:p w:rsidR="001E58F6" w:rsidRPr="00BB7053" w:rsidP="002E08B3" w14:paraId="715F23FA" w14:textId="0C7B2488">
            <w:pPr>
              <w:pStyle w:val="Table10Centered"/>
              <w:spacing w:before="0" w:after="0"/>
              <w:ind w:left="-14"/>
            </w:pPr>
            <w:r w:rsidRPr="061F9AC0">
              <w:t>-11,856</w:t>
            </w:r>
          </w:p>
        </w:tc>
        <w:tc>
          <w:tcPr>
            <w:tcW w:w="1078" w:type="dxa"/>
            <w:shd w:val="clear" w:color="auto" w:fill="D9D9D9" w:themeFill="background1" w:themeFillShade="D9"/>
          </w:tcPr>
          <w:p w:rsidR="001E58F6" w:rsidRPr="00BB7053" w:rsidP="002E08B3" w14:paraId="69F41CB6" w14:textId="223BDD0C">
            <w:pPr>
              <w:pStyle w:val="Table10Centered"/>
              <w:spacing w:before="0" w:after="0"/>
              <w:ind w:left="-14"/>
            </w:pPr>
            <w:r>
              <w:t>No change</w:t>
            </w:r>
          </w:p>
        </w:tc>
        <w:tc>
          <w:tcPr>
            <w:tcW w:w="1165" w:type="dxa"/>
            <w:shd w:val="clear" w:color="auto" w:fill="D9D9D9" w:themeFill="background1" w:themeFillShade="D9"/>
          </w:tcPr>
          <w:p w:rsidR="001E58F6" w:rsidRPr="00BB7053" w:rsidP="002E08B3" w14:paraId="54FE6BBA" w14:textId="6B353611">
            <w:pPr>
              <w:pStyle w:val="Table10Centered"/>
              <w:spacing w:before="0" w:after="0"/>
              <w:ind w:left="-14"/>
            </w:pPr>
            <w:r w:rsidRPr="061F9AC0">
              <w:t>-984</w:t>
            </w:r>
          </w:p>
        </w:tc>
        <w:tc>
          <w:tcPr>
            <w:tcW w:w="1076" w:type="dxa"/>
            <w:shd w:val="clear" w:color="auto" w:fill="D9D9D9" w:themeFill="background1" w:themeFillShade="D9"/>
          </w:tcPr>
          <w:p w:rsidR="001E58F6" w:rsidRPr="00BB7053" w:rsidP="002E08B3" w14:paraId="3F7790D8" w14:textId="0EF5831A">
            <w:pPr>
              <w:pStyle w:val="Table10Centered"/>
              <w:spacing w:before="0" w:after="0"/>
              <w:ind w:left="-14"/>
            </w:pPr>
            <w:r>
              <w:t>No change</w:t>
            </w:r>
          </w:p>
        </w:tc>
        <w:tc>
          <w:tcPr>
            <w:tcW w:w="988" w:type="dxa"/>
            <w:shd w:val="clear" w:color="auto" w:fill="D9D9D9" w:themeFill="background1" w:themeFillShade="D9"/>
          </w:tcPr>
          <w:p w:rsidR="001E58F6" w:rsidRPr="00BB7053" w:rsidP="002E08B3" w14:paraId="68FC72E0" w14:textId="6346949F">
            <w:pPr>
              <w:pStyle w:val="Table10Centered"/>
              <w:spacing w:before="0" w:after="0"/>
              <w:ind w:left="-14"/>
            </w:pPr>
            <w:r w:rsidRPr="061F9AC0">
              <w:t>-104,807</w:t>
            </w:r>
          </w:p>
        </w:tc>
      </w:tr>
    </w:tbl>
    <w:p w:rsidR="00885183" w:rsidRPr="00B7366A" w:rsidP="00361BB4" w14:paraId="73D5F9DE" w14:textId="497AD4B5">
      <w:pPr>
        <w:pStyle w:val="ExhibitTitle"/>
        <w:rPr>
          <w:rFonts w:eastAsia="Calibri"/>
          <w:b w:val="0"/>
          <w:bCs/>
        </w:rPr>
      </w:pPr>
      <w:r w:rsidRPr="00B7366A">
        <w:rPr>
          <w:rFonts w:eastAsia="Calibri"/>
          <w:b w:val="0"/>
          <w:bCs/>
        </w:rPr>
        <w:t>T</w:t>
      </w:r>
      <w:r w:rsidRPr="00B7366A" w:rsidR="08172BBA">
        <w:rPr>
          <w:rFonts w:eastAsia="Calibri"/>
          <w:b w:val="0"/>
          <w:bCs/>
        </w:rPr>
        <w:t>able</w:t>
      </w:r>
      <w:r w:rsidRPr="00B7366A">
        <w:rPr>
          <w:rFonts w:eastAsia="Calibri"/>
          <w:b w:val="0"/>
          <w:bCs/>
        </w:rPr>
        <w:t xml:space="preserve"> </w:t>
      </w:r>
      <w:r w:rsidRPr="00B7366A" w:rsidR="5A15C2ED">
        <w:rPr>
          <w:rFonts w:eastAsia="Calibri"/>
          <w:b w:val="0"/>
          <w:bCs/>
        </w:rPr>
        <w:t>3</w:t>
      </w:r>
      <w:r w:rsidRPr="00B7366A" w:rsidR="4392753A">
        <w:rPr>
          <w:rFonts w:eastAsia="Calibri"/>
          <w:b w:val="0"/>
          <w:bCs/>
        </w:rPr>
        <w:t>0</w:t>
      </w:r>
      <w:r w:rsidRPr="00B7366A" w:rsidR="18084FEC">
        <w:rPr>
          <w:rFonts w:eastAsia="Calibri"/>
          <w:b w:val="0"/>
          <w:bCs/>
        </w:rPr>
        <w:t>P</w:t>
      </w:r>
      <w:r w:rsidRPr="00B7366A">
        <w:rPr>
          <w:rFonts w:eastAsia="Calibri"/>
          <w:b w:val="0"/>
          <w:bCs/>
        </w:rPr>
        <w:t xml:space="preserve">: Burden Reconciliation for </w:t>
      </w:r>
      <w:r w:rsidRPr="00B7366A" w:rsidR="46F23BD7">
        <w:rPr>
          <w:rFonts w:eastAsia="Calibri"/>
          <w:b w:val="0"/>
          <w:bCs/>
        </w:rPr>
        <w:t>Partial QP Election</w:t>
      </w:r>
    </w:p>
    <w:tbl>
      <w:tblPr>
        <w:tblStyle w:val="TableGrid"/>
        <w:tblDescription w:val="Table 30P: the estimated change in burden to our currently approved burden estimates for partial Q P election process."/>
        <w:tblW w:w="9445" w:type="dxa"/>
        <w:tblLook w:val="04A0"/>
      </w:tblPr>
      <w:tblGrid>
        <w:gridCol w:w="1407"/>
        <w:gridCol w:w="1354"/>
        <w:gridCol w:w="1113"/>
        <w:gridCol w:w="1220"/>
        <w:gridCol w:w="1075"/>
        <w:gridCol w:w="1116"/>
        <w:gridCol w:w="1080"/>
        <w:gridCol w:w="1080"/>
      </w:tblGrid>
      <w:tr w14:paraId="2582352A" w14:textId="77777777" w:rsidTr="002E08B3">
        <w:tblPrEx>
          <w:tblW w:w="9445" w:type="dxa"/>
          <w:tblLook w:val="04A0"/>
        </w:tblPrEx>
        <w:trPr>
          <w:cantSplit/>
          <w:tblHeader/>
        </w:trPr>
        <w:tc>
          <w:tcPr>
            <w:tcW w:w="1407" w:type="dxa"/>
          </w:tcPr>
          <w:p w:rsidR="00885183" w:rsidRPr="00173FA2" w:rsidP="002E08B3" w14:paraId="72DFBCC5" w14:textId="77777777">
            <w:pPr>
              <w:pStyle w:val="Table10-ColumnHeading"/>
              <w:spacing w:before="0" w:after="0"/>
              <w:ind w:left="-14" w:right="-14"/>
              <w:jc w:val="left"/>
            </w:pPr>
            <w:r w:rsidRPr="061F9AC0">
              <w:t>Burden Category</w:t>
            </w:r>
          </w:p>
        </w:tc>
        <w:tc>
          <w:tcPr>
            <w:tcW w:w="1354" w:type="dxa"/>
          </w:tcPr>
          <w:p w:rsidR="00885183" w:rsidRPr="00173FA2" w:rsidP="002E08B3" w14:paraId="0C59CCFA" w14:textId="77777777">
            <w:pPr>
              <w:pStyle w:val="Table10-ColumnHeading"/>
              <w:spacing w:before="0" w:after="0"/>
              <w:ind w:left="-14" w:right="-14"/>
            </w:pPr>
            <w:r w:rsidRPr="061F9AC0">
              <w:t>Total Annual Respondents</w:t>
            </w:r>
          </w:p>
        </w:tc>
        <w:tc>
          <w:tcPr>
            <w:tcW w:w="1113" w:type="dxa"/>
          </w:tcPr>
          <w:p w:rsidR="00885183" w:rsidRPr="00173FA2" w:rsidP="002E08B3" w14:paraId="6C194C96" w14:textId="77777777">
            <w:pPr>
              <w:pStyle w:val="Table10-ColumnHeading"/>
              <w:spacing w:before="0" w:after="0"/>
              <w:ind w:left="-14" w:right="-14"/>
            </w:pPr>
            <w:r w:rsidRPr="061F9AC0">
              <w:t>Response Frequency (per year)</w:t>
            </w:r>
          </w:p>
        </w:tc>
        <w:tc>
          <w:tcPr>
            <w:tcW w:w="1220" w:type="dxa"/>
          </w:tcPr>
          <w:p w:rsidR="00885183" w:rsidRPr="00173FA2" w:rsidP="002E08B3" w14:paraId="219C186C" w14:textId="77777777">
            <w:pPr>
              <w:pStyle w:val="Table10-ColumnHeading"/>
              <w:spacing w:before="0" w:after="0"/>
              <w:ind w:left="-14" w:right="-14"/>
            </w:pPr>
            <w:r w:rsidRPr="061F9AC0">
              <w:t>Total Annual Responses</w:t>
            </w:r>
          </w:p>
        </w:tc>
        <w:tc>
          <w:tcPr>
            <w:tcW w:w="1075" w:type="dxa"/>
          </w:tcPr>
          <w:p w:rsidR="00885183" w:rsidRPr="00173FA2" w:rsidP="002E08B3" w14:paraId="7C619982" w14:textId="77777777">
            <w:pPr>
              <w:pStyle w:val="Table10-ColumnHeading"/>
              <w:spacing w:before="0" w:after="0"/>
              <w:ind w:left="-14" w:right="-14"/>
            </w:pPr>
            <w:r w:rsidRPr="061F9AC0">
              <w:t>Time Per Response (hr)</w:t>
            </w:r>
          </w:p>
        </w:tc>
        <w:tc>
          <w:tcPr>
            <w:tcW w:w="1116" w:type="dxa"/>
          </w:tcPr>
          <w:p w:rsidR="00885183" w:rsidRPr="00173FA2" w:rsidP="002E08B3" w14:paraId="474B0BDC" w14:textId="77777777">
            <w:pPr>
              <w:pStyle w:val="Table10-ColumnHeading"/>
              <w:spacing w:before="0" w:after="0"/>
              <w:ind w:left="-14" w:right="-14"/>
            </w:pPr>
            <w:r w:rsidRPr="061F9AC0">
              <w:t>Total Annual Time (hr)</w:t>
            </w:r>
          </w:p>
        </w:tc>
        <w:tc>
          <w:tcPr>
            <w:tcW w:w="1080" w:type="dxa"/>
          </w:tcPr>
          <w:p w:rsidR="00885183" w:rsidRPr="00173FA2" w:rsidP="002E08B3" w14:paraId="2512C5AC" w14:textId="77777777">
            <w:pPr>
              <w:pStyle w:val="Table10-ColumnHeading"/>
              <w:spacing w:before="0" w:after="0"/>
              <w:ind w:left="-14" w:right="-14"/>
            </w:pPr>
            <w:r w:rsidRPr="061F9AC0">
              <w:t>Labor Cost ($/hr)</w:t>
            </w:r>
          </w:p>
        </w:tc>
        <w:tc>
          <w:tcPr>
            <w:tcW w:w="1080" w:type="dxa"/>
          </w:tcPr>
          <w:p w:rsidR="00885183" w:rsidRPr="00173FA2" w:rsidP="002E08B3" w14:paraId="5C362DA7" w14:textId="77777777">
            <w:pPr>
              <w:pStyle w:val="Table10-ColumnHeading"/>
              <w:spacing w:before="0" w:after="0"/>
              <w:ind w:left="-14" w:right="-14"/>
            </w:pPr>
            <w:r w:rsidRPr="061F9AC0">
              <w:t>Total Annual Cost ($)</w:t>
            </w:r>
          </w:p>
        </w:tc>
      </w:tr>
      <w:tr w14:paraId="3D234594" w14:textId="77777777" w:rsidTr="002E08B3">
        <w:tblPrEx>
          <w:tblW w:w="9445" w:type="dxa"/>
          <w:tblLook w:val="04A0"/>
        </w:tblPrEx>
        <w:trPr>
          <w:cantSplit/>
        </w:trPr>
        <w:tc>
          <w:tcPr>
            <w:tcW w:w="1407" w:type="dxa"/>
          </w:tcPr>
          <w:p w:rsidR="00FD6503" w:rsidRPr="00BB7053" w:rsidP="002E08B3" w14:paraId="0F3E4967" w14:textId="297D5E9C">
            <w:pPr>
              <w:pStyle w:val="Table10Basic"/>
              <w:spacing w:before="0" w:after="0"/>
              <w:ind w:left="-14" w:right="-14"/>
            </w:pPr>
            <w:r w:rsidRPr="061F9AC0">
              <w:t>Currently Approved</w:t>
            </w:r>
            <w:r w:rsidRPr="061F9AC0" w:rsidR="50A50955">
              <w:t xml:space="preserve"> </w:t>
            </w:r>
          </w:p>
        </w:tc>
        <w:tc>
          <w:tcPr>
            <w:tcW w:w="1354" w:type="dxa"/>
          </w:tcPr>
          <w:p w:rsidR="00FD6503" w:rsidRPr="00BB7053" w:rsidP="002E08B3" w14:paraId="6392B049" w14:textId="4BA7B865">
            <w:pPr>
              <w:pStyle w:val="Table10Centered"/>
              <w:spacing w:before="0" w:after="0"/>
              <w:ind w:left="-14" w:right="-14"/>
            </w:pPr>
            <w:r w:rsidRPr="061F9AC0">
              <w:t>2</w:t>
            </w:r>
            <w:r w:rsidRPr="061F9AC0" w:rsidR="3F1F2C67">
              <w:t>87</w:t>
            </w:r>
          </w:p>
        </w:tc>
        <w:tc>
          <w:tcPr>
            <w:tcW w:w="1113" w:type="dxa"/>
          </w:tcPr>
          <w:p w:rsidR="00FD6503" w:rsidRPr="00BB7053" w:rsidP="002E08B3" w14:paraId="0D81BF62" w14:textId="59B97962">
            <w:pPr>
              <w:pStyle w:val="Table10Centered"/>
              <w:spacing w:before="0" w:after="0"/>
              <w:ind w:left="-14" w:right="-14"/>
            </w:pPr>
            <w:r w:rsidRPr="061F9AC0">
              <w:t>1</w:t>
            </w:r>
          </w:p>
        </w:tc>
        <w:tc>
          <w:tcPr>
            <w:tcW w:w="1220" w:type="dxa"/>
          </w:tcPr>
          <w:p w:rsidR="00FD6503" w:rsidRPr="00BB7053" w:rsidP="002E08B3" w14:paraId="4597C46E" w14:textId="7C59C577">
            <w:pPr>
              <w:pStyle w:val="Table10Centered"/>
              <w:spacing w:before="0" w:after="0"/>
              <w:ind w:left="-14" w:right="-14"/>
            </w:pPr>
            <w:r w:rsidRPr="061F9AC0">
              <w:t>2</w:t>
            </w:r>
            <w:r w:rsidRPr="061F9AC0" w:rsidR="3F1F2C67">
              <w:t>87</w:t>
            </w:r>
          </w:p>
        </w:tc>
        <w:tc>
          <w:tcPr>
            <w:tcW w:w="1075" w:type="dxa"/>
          </w:tcPr>
          <w:p w:rsidR="00FD6503" w:rsidRPr="00BB7053" w:rsidP="002E08B3" w14:paraId="6A5781C8" w14:textId="766A32F5">
            <w:pPr>
              <w:pStyle w:val="Table10Centered"/>
              <w:spacing w:before="0" w:after="0"/>
              <w:ind w:left="-14" w:right="-14"/>
            </w:pPr>
            <w:r w:rsidRPr="061F9AC0">
              <w:t>0.25</w:t>
            </w:r>
          </w:p>
        </w:tc>
        <w:tc>
          <w:tcPr>
            <w:tcW w:w="1116" w:type="dxa"/>
          </w:tcPr>
          <w:p w:rsidR="00FD6503" w:rsidRPr="00BB7053" w:rsidP="002E08B3" w14:paraId="3A1ABCFC" w14:textId="3DFC7E75">
            <w:pPr>
              <w:pStyle w:val="Table10Centered"/>
              <w:spacing w:before="0" w:after="0"/>
              <w:ind w:left="-14" w:right="-14"/>
            </w:pPr>
            <w:r w:rsidRPr="061F9AC0">
              <w:t>72</w:t>
            </w:r>
          </w:p>
        </w:tc>
        <w:tc>
          <w:tcPr>
            <w:tcW w:w="1080" w:type="dxa"/>
          </w:tcPr>
          <w:p w:rsidR="00FD6503" w:rsidRPr="00BB7053" w:rsidP="002E08B3" w14:paraId="2ED0D588" w14:textId="32DBE360">
            <w:pPr>
              <w:pStyle w:val="Table10Centered"/>
              <w:spacing w:before="0" w:after="0"/>
              <w:ind w:left="-14" w:right="-14"/>
            </w:pPr>
            <w:r w:rsidRPr="061F9AC0">
              <w:t>106.54</w:t>
            </w:r>
          </w:p>
        </w:tc>
        <w:tc>
          <w:tcPr>
            <w:tcW w:w="1080" w:type="dxa"/>
          </w:tcPr>
          <w:p w:rsidR="00FD6503" w:rsidRPr="00BB7053" w:rsidP="002E08B3" w14:paraId="1C9C8EE9" w14:textId="0FF98C11">
            <w:pPr>
              <w:pStyle w:val="Table10Centered"/>
              <w:spacing w:before="0" w:after="0"/>
              <w:ind w:left="-14" w:right="-14"/>
            </w:pPr>
            <w:r w:rsidRPr="061F9AC0">
              <w:rPr>
                <w:color w:val="000000" w:themeColor="text1"/>
              </w:rPr>
              <w:t xml:space="preserve">7,646 </w:t>
            </w:r>
          </w:p>
        </w:tc>
      </w:tr>
      <w:tr w14:paraId="515566E8" w14:textId="77777777" w:rsidTr="002E08B3">
        <w:tblPrEx>
          <w:tblW w:w="9445" w:type="dxa"/>
          <w:tblLook w:val="04A0"/>
        </w:tblPrEx>
        <w:trPr>
          <w:cantSplit/>
        </w:trPr>
        <w:tc>
          <w:tcPr>
            <w:tcW w:w="1407" w:type="dxa"/>
          </w:tcPr>
          <w:p w:rsidR="00FD6503" w:rsidRPr="00BB7053" w:rsidP="002E08B3" w14:paraId="0D311CCE" w14:textId="66580E2B">
            <w:pPr>
              <w:pStyle w:val="Table10Basic"/>
              <w:spacing w:before="0" w:after="0"/>
              <w:ind w:left="-14" w:right="-14"/>
            </w:pPr>
            <w:r w:rsidRPr="061F9AC0">
              <w:t>Requested</w:t>
            </w:r>
            <w:r w:rsidRPr="061F9AC0" w:rsidR="6D89C288">
              <w:t xml:space="preserve"> </w:t>
            </w:r>
            <w:r w:rsidRPr="061F9AC0" w:rsidR="2D1225E3">
              <w:t>(See Table 2</w:t>
            </w:r>
            <w:r w:rsidRPr="061F9AC0" w:rsidR="3F1F2C67">
              <w:t>4</w:t>
            </w:r>
            <w:r w:rsidRPr="061F9AC0" w:rsidR="2D1225E3">
              <w:t>)</w:t>
            </w:r>
          </w:p>
        </w:tc>
        <w:tc>
          <w:tcPr>
            <w:tcW w:w="1354" w:type="dxa"/>
          </w:tcPr>
          <w:p w:rsidR="00FD6503" w:rsidRPr="00BB7053" w:rsidP="002E08B3" w14:paraId="302ABCBD" w14:textId="21539428">
            <w:pPr>
              <w:pStyle w:val="Table10Centered"/>
              <w:spacing w:before="0" w:after="0"/>
              <w:ind w:left="-14" w:right="-14"/>
            </w:pPr>
            <w:r w:rsidRPr="061F9AC0">
              <w:t>18</w:t>
            </w:r>
          </w:p>
        </w:tc>
        <w:tc>
          <w:tcPr>
            <w:tcW w:w="1113" w:type="dxa"/>
          </w:tcPr>
          <w:p w:rsidR="00FD6503" w:rsidRPr="00BB7053" w:rsidP="002E08B3" w14:paraId="72977773" w14:textId="213397C9">
            <w:pPr>
              <w:pStyle w:val="Table10Centered"/>
              <w:spacing w:before="0" w:after="0"/>
              <w:ind w:left="-14" w:right="-14"/>
            </w:pPr>
            <w:r w:rsidRPr="061F9AC0">
              <w:t>1</w:t>
            </w:r>
          </w:p>
        </w:tc>
        <w:tc>
          <w:tcPr>
            <w:tcW w:w="1220" w:type="dxa"/>
          </w:tcPr>
          <w:p w:rsidR="00FD6503" w:rsidRPr="00BB7053" w:rsidP="002E08B3" w14:paraId="37CE59FC" w14:textId="05AD93CB">
            <w:pPr>
              <w:pStyle w:val="Table10Centered"/>
              <w:spacing w:before="0" w:after="0"/>
              <w:ind w:left="-14" w:right="-14"/>
            </w:pPr>
            <w:r w:rsidRPr="061F9AC0">
              <w:t>18</w:t>
            </w:r>
          </w:p>
        </w:tc>
        <w:tc>
          <w:tcPr>
            <w:tcW w:w="1075" w:type="dxa"/>
          </w:tcPr>
          <w:p w:rsidR="00FD6503" w:rsidRPr="00BB7053" w:rsidP="002E08B3" w14:paraId="025EDEE9" w14:textId="54C072BB">
            <w:pPr>
              <w:pStyle w:val="Table10Centered"/>
              <w:spacing w:before="0" w:after="0"/>
              <w:ind w:left="-14" w:right="-14"/>
            </w:pPr>
            <w:r w:rsidRPr="061F9AC0">
              <w:t>0.25</w:t>
            </w:r>
          </w:p>
        </w:tc>
        <w:tc>
          <w:tcPr>
            <w:tcW w:w="1116" w:type="dxa"/>
          </w:tcPr>
          <w:p w:rsidR="00FD6503" w:rsidRPr="00BB7053" w:rsidP="002E08B3" w14:paraId="0C9A3344" w14:textId="41CDD1E1">
            <w:pPr>
              <w:pStyle w:val="Table10Centered"/>
              <w:spacing w:before="0" w:after="0"/>
              <w:ind w:left="-14" w:right="-14"/>
            </w:pPr>
            <w:r w:rsidRPr="061F9AC0">
              <w:rPr>
                <w:color w:val="000000" w:themeColor="text1"/>
              </w:rPr>
              <w:t xml:space="preserve">5 </w:t>
            </w:r>
          </w:p>
        </w:tc>
        <w:tc>
          <w:tcPr>
            <w:tcW w:w="1080" w:type="dxa"/>
          </w:tcPr>
          <w:p w:rsidR="00FD6503" w:rsidRPr="00BB7053" w:rsidP="002E08B3" w14:paraId="12AD680A" w14:textId="29A4794F">
            <w:pPr>
              <w:pStyle w:val="Table10Centered"/>
              <w:spacing w:before="0" w:after="0"/>
              <w:ind w:left="-14" w:right="-14"/>
            </w:pPr>
            <w:r w:rsidRPr="061F9AC0">
              <w:t>106.54</w:t>
            </w:r>
          </w:p>
        </w:tc>
        <w:tc>
          <w:tcPr>
            <w:tcW w:w="1080" w:type="dxa"/>
          </w:tcPr>
          <w:p w:rsidR="00FD6503" w:rsidRPr="00BB7053" w:rsidP="002E08B3" w14:paraId="217CF1CF" w14:textId="737F2E28">
            <w:pPr>
              <w:pStyle w:val="Table10Centered"/>
              <w:spacing w:before="0" w:after="0"/>
              <w:ind w:left="-14" w:right="-14"/>
            </w:pPr>
            <w:r w:rsidRPr="061F9AC0">
              <w:rPr>
                <w:color w:val="000000" w:themeColor="text1"/>
              </w:rPr>
              <w:t xml:space="preserve">480 </w:t>
            </w:r>
          </w:p>
        </w:tc>
      </w:tr>
      <w:tr w14:paraId="450FF888" w14:textId="77777777" w:rsidTr="002E08B3">
        <w:tblPrEx>
          <w:tblW w:w="9445" w:type="dxa"/>
          <w:tblLook w:val="04A0"/>
        </w:tblPrEx>
        <w:trPr>
          <w:cantSplit/>
        </w:trPr>
        <w:tc>
          <w:tcPr>
            <w:tcW w:w="1407" w:type="dxa"/>
            <w:shd w:val="clear" w:color="auto" w:fill="D9D9D9" w:themeFill="background1" w:themeFillShade="D9"/>
          </w:tcPr>
          <w:p w:rsidR="00FD6503" w:rsidRPr="00BB7053" w:rsidP="002E08B3" w14:paraId="5459A62A" w14:textId="77777777">
            <w:pPr>
              <w:pStyle w:val="Table10Basic"/>
              <w:spacing w:before="0" w:after="0"/>
              <w:ind w:left="-14" w:right="-14"/>
            </w:pPr>
            <w:r w:rsidRPr="061F9AC0">
              <w:t>Adjustment</w:t>
            </w:r>
          </w:p>
        </w:tc>
        <w:tc>
          <w:tcPr>
            <w:tcW w:w="1354" w:type="dxa"/>
            <w:shd w:val="clear" w:color="auto" w:fill="D9D9D9" w:themeFill="background1" w:themeFillShade="D9"/>
          </w:tcPr>
          <w:p w:rsidR="00FD6503" w:rsidRPr="00BB7053" w:rsidP="002E08B3" w14:paraId="0E486D2E" w14:textId="6ED9B2B8">
            <w:pPr>
              <w:pStyle w:val="Table10Centered"/>
              <w:spacing w:before="0" w:after="0"/>
              <w:ind w:left="-14" w:right="-14"/>
            </w:pPr>
            <w:r w:rsidRPr="061F9AC0">
              <w:t>-269</w:t>
            </w:r>
          </w:p>
        </w:tc>
        <w:tc>
          <w:tcPr>
            <w:tcW w:w="1113" w:type="dxa"/>
            <w:shd w:val="clear" w:color="auto" w:fill="D9D9D9" w:themeFill="background1" w:themeFillShade="D9"/>
          </w:tcPr>
          <w:p w:rsidR="00FD6503" w:rsidRPr="00BB7053" w:rsidP="002E08B3" w14:paraId="0B9141F9" w14:textId="0908C66F">
            <w:pPr>
              <w:pStyle w:val="Table10Centered"/>
              <w:spacing w:before="0" w:after="0"/>
              <w:ind w:left="-14" w:right="-14"/>
            </w:pPr>
            <w:r w:rsidRPr="061F9AC0">
              <w:t>No change</w:t>
            </w:r>
          </w:p>
        </w:tc>
        <w:tc>
          <w:tcPr>
            <w:tcW w:w="1220" w:type="dxa"/>
            <w:shd w:val="clear" w:color="auto" w:fill="D9D9D9" w:themeFill="background1" w:themeFillShade="D9"/>
          </w:tcPr>
          <w:p w:rsidR="00FD6503" w:rsidRPr="00BB7053" w:rsidP="002E08B3" w14:paraId="5E9CB324" w14:textId="30AA33D5">
            <w:pPr>
              <w:pStyle w:val="Table10Centered"/>
              <w:spacing w:before="0" w:after="0"/>
              <w:ind w:left="-14" w:right="-14"/>
            </w:pPr>
            <w:r w:rsidRPr="061F9AC0">
              <w:t>-269</w:t>
            </w:r>
          </w:p>
        </w:tc>
        <w:tc>
          <w:tcPr>
            <w:tcW w:w="1075" w:type="dxa"/>
            <w:shd w:val="clear" w:color="auto" w:fill="D9D9D9" w:themeFill="background1" w:themeFillShade="D9"/>
          </w:tcPr>
          <w:p w:rsidR="00FD6503" w:rsidRPr="00BB7053" w:rsidP="002E08B3" w14:paraId="3C914312" w14:textId="65629FF7">
            <w:pPr>
              <w:pStyle w:val="Table10Centered"/>
              <w:spacing w:before="0" w:after="0"/>
              <w:ind w:left="-14" w:right="-14"/>
            </w:pPr>
            <w:r w:rsidRPr="061F9AC0">
              <w:t>No change</w:t>
            </w:r>
          </w:p>
        </w:tc>
        <w:tc>
          <w:tcPr>
            <w:tcW w:w="1116" w:type="dxa"/>
            <w:shd w:val="clear" w:color="auto" w:fill="D9D9D9" w:themeFill="background1" w:themeFillShade="D9"/>
          </w:tcPr>
          <w:p w:rsidR="00FD6503" w:rsidRPr="00BB7053" w:rsidP="002E08B3" w14:paraId="2BC6DEF5" w14:textId="0C934E05">
            <w:pPr>
              <w:pStyle w:val="Table10Centered"/>
              <w:spacing w:before="0" w:after="0"/>
              <w:ind w:left="-14" w:right="-14"/>
            </w:pPr>
            <w:r w:rsidRPr="061F9AC0">
              <w:t>-67</w:t>
            </w:r>
          </w:p>
        </w:tc>
        <w:tc>
          <w:tcPr>
            <w:tcW w:w="1080" w:type="dxa"/>
            <w:shd w:val="clear" w:color="auto" w:fill="D9D9D9" w:themeFill="background1" w:themeFillShade="D9"/>
          </w:tcPr>
          <w:p w:rsidR="00FD6503" w:rsidRPr="00BB7053" w:rsidP="002E08B3" w14:paraId="0764398B" w14:textId="1864CC9D">
            <w:pPr>
              <w:pStyle w:val="Table10Centered"/>
              <w:spacing w:before="0" w:after="0"/>
              <w:ind w:left="-14" w:right="-14"/>
            </w:pPr>
            <w:r w:rsidRPr="061F9AC0">
              <w:t>No change</w:t>
            </w:r>
          </w:p>
        </w:tc>
        <w:tc>
          <w:tcPr>
            <w:tcW w:w="1080" w:type="dxa"/>
            <w:shd w:val="clear" w:color="auto" w:fill="D9D9D9" w:themeFill="background1" w:themeFillShade="D9"/>
          </w:tcPr>
          <w:p w:rsidR="00FD6503" w:rsidRPr="00BB7053" w:rsidP="002E08B3" w14:paraId="2B00497D" w14:textId="0A24CEEA">
            <w:pPr>
              <w:pStyle w:val="Table10Centered"/>
              <w:spacing w:before="0" w:after="0"/>
              <w:ind w:left="-14" w:right="-14"/>
            </w:pPr>
            <w:r w:rsidRPr="061F9AC0">
              <w:t>-7,166</w:t>
            </w:r>
          </w:p>
        </w:tc>
      </w:tr>
    </w:tbl>
    <w:p w:rsidR="00885183" w:rsidRPr="00B7366A" w:rsidP="00361BB4" w14:paraId="1A9AC39C" w14:textId="4122AA38">
      <w:pPr>
        <w:pStyle w:val="ExhibitTitle"/>
        <w:rPr>
          <w:rFonts w:eastAsia="Calibri"/>
          <w:b w:val="0"/>
          <w:bCs/>
        </w:rPr>
      </w:pPr>
      <w:r w:rsidRPr="00B7366A">
        <w:rPr>
          <w:rFonts w:eastAsia="Calibri"/>
          <w:b w:val="0"/>
          <w:bCs/>
        </w:rPr>
        <w:t>T</w:t>
      </w:r>
      <w:r w:rsidRPr="00B7366A" w:rsidR="59DA98C3">
        <w:rPr>
          <w:rFonts w:eastAsia="Calibri"/>
          <w:b w:val="0"/>
          <w:bCs/>
        </w:rPr>
        <w:t>able</w:t>
      </w:r>
      <w:r w:rsidRPr="00B7366A">
        <w:rPr>
          <w:rFonts w:eastAsia="Calibri"/>
          <w:b w:val="0"/>
          <w:bCs/>
        </w:rPr>
        <w:t xml:space="preserve"> </w:t>
      </w:r>
      <w:r w:rsidRPr="00B7366A" w:rsidR="5A15C2ED">
        <w:rPr>
          <w:rFonts w:eastAsia="Calibri"/>
          <w:b w:val="0"/>
          <w:bCs/>
        </w:rPr>
        <w:t>3</w:t>
      </w:r>
      <w:r w:rsidRPr="00B7366A" w:rsidR="60A63C91">
        <w:rPr>
          <w:rFonts w:eastAsia="Calibri"/>
          <w:b w:val="0"/>
          <w:bCs/>
        </w:rPr>
        <w:t>0</w:t>
      </w:r>
      <w:r w:rsidRPr="00B7366A" w:rsidR="00F2F7EF">
        <w:rPr>
          <w:rFonts w:eastAsia="Calibri"/>
          <w:b w:val="0"/>
          <w:bCs/>
        </w:rPr>
        <w:t>Q</w:t>
      </w:r>
      <w:r w:rsidRPr="00B7366A">
        <w:rPr>
          <w:rFonts w:eastAsia="Calibri"/>
          <w:b w:val="0"/>
          <w:bCs/>
        </w:rPr>
        <w:t xml:space="preserve">: Burden Reconciliation for </w:t>
      </w:r>
      <w:r w:rsidRPr="00B7366A" w:rsidR="77FC6C9D">
        <w:rPr>
          <w:rFonts w:eastAsia="Calibri"/>
          <w:b w:val="0"/>
          <w:bCs/>
        </w:rPr>
        <w:t>Other Payer Advanced APM Identification: Other Payer Initiated Process</w:t>
      </w:r>
    </w:p>
    <w:tbl>
      <w:tblPr>
        <w:tblStyle w:val="TableGrid"/>
        <w:tblDescription w:val="Table 30Q: the estimated change in burden to our currently approved burden estimates for Q P determination under the other payer-initiated process."/>
        <w:tblW w:w="9445" w:type="dxa"/>
        <w:tblLook w:val="04A0"/>
      </w:tblPr>
      <w:tblGrid>
        <w:gridCol w:w="1405"/>
        <w:gridCol w:w="1356"/>
        <w:gridCol w:w="1113"/>
        <w:gridCol w:w="1220"/>
        <w:gridCol w:w="1075"/>
        <w:gridCol w:w="1116"/>
        <w:gridCol w:w="1080"/>
        <w:gridCol w:w="1080"/>
      </w:tblGrid>
      <w:tr w14:paraId="2C8D97A2" w14:textId="77777777" w:rsidTr="002E08B3">
        <w:tblPrEx>
          <w:tblW w:w="9445" w:type="dxa"/>
          <w:tblLook w:val="04A0"/>
        </w:tblPrEx>
        <w:trPr>
          <w:cantSplit/>
          <w:tblHeader/>
        </w:trPr>
        <w:tc>
          <w:tcPr>
            <w:tcW w:w="1405" w:type="dxa"/>
          </w:tcPr>
          <w:p w:rsidR="00885183" w:rsidRPr="00173FA2" w:rsidP="002E08B3" w14:paraId="3E4EE90D" w14:textId="77777777">
            <w:pPr>
              <w:pStyle w:val="Table10-ColumnHeading"/>
              <w:spacing w:before="0" w:after="0"/>
              <w:ind w:left="-14" w:right="-14"/>
              <w:jc w:val="left"/>
            </w:pPr>
            <w:r w:rsidRPr="061F9AC0">
              <w:t>Burden Category</w:t>
            </w:r>
          </w:p>
        </w:tc>
        <w:tc>
          <w:tcPr>
            <w:tcW w:w="1356" w:type="dxa"/>
          </w:tcPr>
          <w:p w:rsidR="00885183" w:rsidRPr="00173FA2" w:rsidP="002E08B3" w14:paraId="744F6618" w14:textId="77777777">
            <w:pPr>
              <w:pStyle w:val="Table10-ColumnHeading"/>
              <w:spacing w:before="0" w:after="0"/>
              <w:ind w:left="-14" w:right="-14"/>
            </w:pPr>
            <w:r w:rsidRPr="061F9AC0">
              <w:t>Total Annual Respondents</w:t>
            </w:r>
          </w:p>
        </w:tc>
        <w:tc>
          <w:tcPr>
            <w:tcW w:w="1113" w:type="dxa"/>
          </w:tcPr>
          <w:p w:rsidR="00885183" w:rsidRPr="00173FA2" w:rsidP="002E08B3" w14:paraId="250CA6C6" w14:textId="77777777">
            <w:pPr>
              <w:pStyle w:val="Table10-ColumnHeading"/>
              <w:spacing w:before="0" w:after="0"/>
              <w:ind w:left="-14" w:right="-14"/>
            </w:pPr>
            <w:r w:rsidRPr="061F9AC0">
              <w:t>Response Frequency (per year)</w:t>
            </w:r>
          </w:p>
        </w:tc>
        <w:tc>
          <w:tcPr>
            <w:tcW w:w="1220" w:type="dxa"/>
          </w:tcPr>
          <w:p w:rsidR="00885183" w:rsidRPr="00173FA2" w:rsidP="002E08B3" w14:paraId="7166BDBD" w14:textId="77777777">
            <w:pPr>
              <w:pStyle w:val="Table10-ColumnHeading"/>
              <w:spacing w:before="0" w:after="0"/>
              <w:ind w:left="-14" w:right="-14"/>
            </w:pPr>
            <w:r w:rsidRPr="061F9AC0">
              <w:t>Total Annual Responses</w:t>
            </w:r>
          </w:p>
        </w:tc>
        <w:tc>
          <w:tcPr>
            <w:tcW w:w="1075" w:type="dxa"/>
          </w:tcPr>
          <w:p w:rsidR="00885183" w:rsidRPr="00173FA2" w:rsidP="002E08B3" w14:paraId="0D89E443" w14:textId="77777777">
            <w:pPr>
              <w:pStyle w:val="Table10-ColumnHeading"/>
              <w:spacing w:before="0" w:after="0"/>
              <w:ind w:left="-14" w:right="-14"/>
            </w:pPr>
            <w:r w:rsidRPr="061F9AC0">
              <w:t>Time Per Response (hr)</w:t>
            </w:r>
          </w:p>
        </w:tc>
        <w:tc>
          <w:tcPr>
            <w:tcW w:w="1116" w:type="dxa"/>
          </w:tcPr>
          <w:p w:rsidR="00885183" w:rsidRPr="00173FA2" w:rsidP="002E08B3" w14:paraId="7E06A7B1" w14:textId="77777777">
            <w:pPr>
              <w:pStyle w:val="Table10-ColumnHeading"/>
              <w:spacing w:before="0" w:after="0"/>
              <w:ind w:left="-14" w:right="-14"/>
            </w:pPr>
            <w:r w:rsidRPr="061F9AC0">
              <w:t>Total Annual Time (hr)</w:t>
            </w:r>
          </w:p>
        </w:tc>
        <w:tc>
          <w:tcPr>
            <w:tcW w:w="1080" w:type="dxa"/>
          </w:tcPr>
          <w:p w:rsidR="00885183" w:rsidRPr="00173FA2" w:rsidP="002E08B3" w14:paraId="605C2AD5" w14:textId="77777777">
            <w:pPr>
              <w:pStyle w:val="Table10-ColumnHeading"/>
              <w:spacing w:before="0" w:after="0"/>
              <w:ind w:left="-14" w:right="-14"/>
            </w:pPr>
            <w:r w:rsidRPr="061F9AC0">
              <w:t>Labor Cost ($/hr)</w:t>
            </w:r>
          </w:p>
        </w:tc>
        <w:tc>
          <w:tcPr>
            <w:tcW w:w="1080" w:type="dxa"/>
          </w:tcPr>
          <w:p w:rsidR="00885183" w:rsidRPr="00173FA2" w:rsidP="002E08B3" w14:paraId="4AE41F32" w14:textId="77777777">
            <w:pPr>
              <w:pStyle w:val="Table10-ColumnHeading"/>
              <w:spacing w:before="0" w:after="0"/>
              <w:ind w:left="-14" w:right="-14"/>
            </w:pPr>
            <w:r w:rsidRPr="061F9AC0">
              <w:t>Total Annual Cost ($)</w:t>
            </w:r>
          </w:p>
        </w:tc>
      </w:tr>
      <w:tr w14:paraId="5873AAC5" w14:textId="77777777" w:rsidTr="002E08B3">
        <w:tblPrEx>
          <w:tblW w:w="9445" w:type="dxa"/>
          <w:tblLook w:val="04A0"/>
        </w:tblPrEx>
        <w:trPr>
          <w:cantSplit/>
        </w:trPr>
        <w:tc>
          <w:tcPr>
            <w:tcW w:w="1405" w:type="dxa"/>
          </w:tcPr>
          <w:p w:rsidR="00F352CA" w:rsidRPr="00BB7053" w:rsidP="002E08B3" w14:paraId="4EFEECDB" w14:textId="79C228E0">
            <w:pPr>
              <w:pStyle w:val="Table10Basic"/>
              <w:keepNext/>
              <w:spacing w:before="0" w:after="0"/>
              <w:ind w:left="-14" w:right="-14"/>
            </w:pPr>
            <w:r w:rsidRPr="061F9AC0">
              <w:t>Currently Approved</w:t>
            </w:r>
            <w:r w:rsidRPr="061F9AC0" w:rsidR="50A50955">
              <w:t xml:space="preserve"> </w:t>
            </w:r>
          </w:p>
        </w:tc>
        <w:tc>
          <w:tcPr>
            <w:tcW w:w="1356" w:type="dxa"/>
          </w:tcPr>
          <w:p w:rsidR="00F352CA" w:rsidRPr="00BB7053" w:rsidP="002E08B3" w14:paraId="24D16095" w14:textId="2ECC263C">
            <w:pPr>
              <w:pStyle w:val="Table10Centered"/>
              <w:keepNext/>
              <w:spacing w:before="0" w:after="0"/>
              <w:ind w:left="-14" w:right="-14"/>
            </w:pPr>
            <w:r w:rsidRPr="061F9AC0">
              <w:t>15</w:t>
            </w:r>
          </w:p>
        </w:tc>
        <w:tc>
          <w:tcPr>
            <w:tcW w:w="1113" w:type="dxa"/>
          </w:tcPr>
          <w:p w:rsidR="00F352CA" w:rsidRPr="00BB7053" w:rsidP="002E08B3" w14:paraId="0F72F180" w14:textId="725591F8">
            <w:pPr>
              <w:pStyle w:val="Table10Centered"/>
              <w:keepNext/>
              <w:spacing w:before="0" w:after="0"/>
              <w:ind w:left="-14" w:right="-14"/>
            </w:pPr>
            <w:r w:rsidRPr="061F9AC0">
              <w:t>1</w:t>
            </w:r>
          </w:p>
        </w:tc>
        <w:tc>
          <w:tcPr>
            <w:tcW w:w="1220" w:type="dxa"/>
          </w:tcPr>
          <w:p w:rsidR="00F352CA" w:rsidRPr="00BB7053" w:rsidP="002E08B3" w14:paraId="47A765E9" w14:textId="7D0BF5C7">
            <w:pPr>
              <w:pStyle w:val="Table10Centered"/>
              <w:keepNext/>
              <w:spacing w:before="0" w:after="0"/>
              <w:ind w:left="-14" w:right="-14"/>
            </w:pPr>
            <w:r w:rsidRPr="061F9AC0">
              <w:t>15</w:t>
            </w:r>
          </w:p>
        </w:tc>
        <w:tc>
          <w:tcPr>
            <w:tcW w:w="1075" w:type="dxa"/>
          </w:tcPr>
          <w:p w:rsidR="00F352CA" w:rsidRPr="00BB7053" w:rsidP="002E08B3" w14:paraId="7BFD6E23" w14:textId="421EF92A">
            <w:pPr>
              <w:pStyle w:val="Table10Centered"/>
              <w:keepNext/>
              <w:spacing w:before="0" w:after="0"/>
              <w:ind w:left="-14" w:right="-14"/>
            </w:pPr>
            <w:r w:rsidRPr="061F9AC0">
              <w:t>10</w:t>
            </w:r>
          </w:p>
        </w:tc>
        <w:tc>
          <w:tcPr>
            <w:tcW w:w="1116" w:type="dxa"/>
          </w:tcPr>
          <w:p w:rsidR="00F352CA" w:rsidRPr="00BB7053" w:rsidP="002E08B3" w14:paraId="44773465" w14:textId="1F080460">
            <w:pPr>
              <w:pStyle w:val="Table10Centered"/>
              <w:keepNext/>
              <w:spacing w:before="0" w:after="0"/>
              <w:ind w:left="-14" w:right="-14"/>
            </w:pPr>
            <w:r w:rsidRPr="061F9AC0">
              <w:t>150</w:t>
            </w:r>
          </w:p>
        </w:tc>
        <w:tc>
          <w:tcPr>
            <w:tcW w:w="1080" w:type="dxa"/>
          </w:tcPr>
          <w:p w:rsidR="00F352CA" w:rsidRPr="00BB7053" w:rsidP="002E08B3" w14:paraId="2C21CDF3" w14:textId="69E8FD8F">
            <w:pPr>
              <w:pStyle w:val="Table10Centered"/>
              <w:keepNext/>
              <w:spacing w:before="0" w:after="0"/>
              <w:ind w:left="-14" w:right="-14"/>
            </w:pPr>
            <w:r w:rsidRPr="061F9AC0">
              <w:t>106.54</w:t>
            </w:r>
          </w:p>
        </w:tc>
        <w:tc>
          <w:tcPr>
            <w:tcW w:w="1080" w:type="dxa"/>
          </w:tcPr>
          <w:p w:rsidR="0058206A" w:rsidP="002E08B3" w14:paraId="217524EB" w14:textId="0DC617AD">
            <w:pPr>
              <w:pStyle w:val="Table10Centered"/>
              <w:keepNext/>
              <w:spacing w:before="0" w:after="0"/>
              <w:ind w:left="-14" w:right="-14"/>
              <w:rPr>
                <w:color w:val="000000"/>
              </w:rPr>
            </w:pPr>
            <w:r w:rsidRPr="061F9AC0">
              <w:rPr>
                <w:color w:val="000000" w:themeColor="text1"/>
              </w:rPr>
              <w:t xml:space="preserve">15,981 </w:t>
            </w:r>
          </w:p>
          <w:p w:rsidR="00F352CA" w:rsidRPr="00BB7053" w:rsidP="002E08B3" w14:paraId="27E6B327" w14:textId="7D58EA99">
            <w:pPr>
              <w:pStyle w:val="Table10Centered"/>
              <w:keepNext/>
              <w:spacing w:before="0" w:after="0"/>
              <w:ind w:left="-14" w:right="-14"/>
            </w:pPr>
          </w:p>
        </w:tc>
      </w:tr>
      <w:tr w14:paraId="2EB99E37" w14:textId="77777777" w:rsidTr="002E08B3">
        <w:tblPrEx>
          <w:tblW w:w="9445" w:type="dxa"/>
          <w:tblLook w:val="04A0"/>
        </w:tblPrEx>
        <w:trPr>
          <w:cantSplit/>
        </w:trPr>
        <w:tc>
          <w:tcPr>
            <w:tcW w:w="1405" w:type="dxa"/>
          </w:tcPr>
          <w:p w:rsidR="00F352CA" w:rsidRPr="00BB7053" w:rsidP="002E08B3" w14:paraId="686B2BF8" w14:textId="7402EC3A">
            <w:pPr>
              <w:pStyle w:val="Table10Basic"/>
              <w:keepNext/>
              <w:spacing w:before="0" w:after="0"/>
              <w:ind w:left="-14" w:right="-14"/>
            </w:pPr>
            <w:r w:rsidRPr="061F9AC0">
              <w:t>Requested</w:t>
            </w:r>
            <w:r w:rsidRPr="061F9AC0" w:rsidR="44C5A8F6">
              <w:t xml:space="preserve"> </w:t>
            </w:r>
            <w:r w:rsidRPr="061F9AC0" w:rsidR="2D1225E3">
              <w:t xml:space="preserve">(See Table </w:t>
            </w:r>
            <w:r w:rsidRPr="061F9AC0" w:rsidR="02F26D7A">
              <w:t>2</w:t>
            </w:r>
            <w:r w:rsidRPr="061F9AC0" w:rsidR="4219FBEE">
              <w:t>5</w:t>
            </w:r>
            <w:r w:rsidRPr="061F9AC0" w:rsidR="2D1225E3">
              <w:t>)</w:t>
            </w:r>
          </w:p>
        </w:tc>
        <w:tc>
          <w:tcPr>
            <w:tcW w:w="1356" w:type="dxa"/>
          </w:tcPr>
          <w:p w:rsidR="00F352CA" w:rsidRPr="00BB7053" w:rsidP="002E08B3" w14:paraId="7282B237" w14:textId="2F2D5EAA">
            <w:pPr>
              <w:pStyle w:val="Table10Centered"/>
              <w:keepNext/>
              <w:spacing w:before="0" w:after="0"/>
              <w:ind w:left="-14" w:right="-14"/>
            </w:pPr>
            <w:r w:rsidRPr="061F9AC0">
              <w:t>10</w:t>
            </w:r>
          </w:p>
        </w:tc>
        <w:tc>
          <w:tcPr>
            <w:tcW w:w="1113" w:type="dxa"/>
          </w:tcPr>
          <w:p w:rsidR="00F352CA" w:rsidRPr="00BB7053" w:rsidP="002E08B3" w14:paraId="1AFBE21E" w14:textId="2D3B1CEA">
            <w:pPr>
              <w:pStyle w:val="Table10Centered"/>
              <w:keepNext/>
              <w:spacing w:before="0" w:after="0"/>
              <w:ind w:left="-14" w:right="-14"/>
            </w:pPr>
            <w:r w:rsidRPr="061F9AC0">
              <w:t>1</w:t>
            </w:r>
          </w:p>
        </w:tc>
        <w:tc>
          <w:tcPr>
            <w:tcW w:w="1220" w:type="dxa"/>
          </w:tcPr>
          <w:p w:rsidR="00F352CA" w:rsidRPr="00BB7053" w:rsidP="002E08B3" w14:paraId="4C1E4F5F" w14:textId="7A956151">
            <w:pPr>
              <w:pStyle w:val="Table10Centered"/>
              <w:keepNext/>
              <w:spacing w:before="0" w:after="0"/>
              <w:ind w:left="-14" w:right="-14"/>
            </w:pPr>
            <w:r w:rsidRPr="061F9AC0">
              <w:t>10</w:t>
            </w:r>
          </w:p>
        </w:tc>
        <w:tc>
          <w:tcPr>
            <w:tcW w:w="1075" w:type="dxa"/>
          </w:tcPr>
          <w:p w:rsidR="00F352CA" w:rsidRPr="00BB7053" w:rsidP="002E08B3" w14:paraId="41D7CB60" w14:textId="10B59BDA">
            <w:pPr>
              <w:pStyle w:val="Table10Centered"/>
              <w:keepNext/>
              <w:spacing w:before="0" w:after="0"/>
              <w:ind w:left="-14" w:right="-14"/>
            </w:pPr>
            <w:r w:rsidRPr="061F9AC0">
              <w:t>10</w:t>
            </w:r>
          </w:p>
        </w:tc>
        <w:tc>
          <w:tcPr>
            <w:tcW w:w="1116" w:type="dxa"/>
          </w:tcPr>
          <w:p w:rsidR="00F352CA" w:rsidRPr="00BB7053" w:rsidP="002E08B3" w14:paraId="0EA1EFE1" w14:textId="4FC35E28">
            <w:pPr>
              <w:pStyle w:val="Table10Centered"/>
              <w:keepNext/>
              <w:spacing w:before="0" w:after="0"/>
              <w:ind w:left="-14" w:right="-14"/>
            </w:pPr>
            <w:r w:rsidRPr="061F9AC0">
              <w:t>100</w:t>
            </w:r>
          </w:p>
        </w:tc>
        <w:tc>
          <w:tcPr>
            <w:tcW w:w="1080" w:type="dxa"/>
          </w:tcPr>
          <w:p w:rsidR="00F352CA" w:rsidRPr="00BB7053" w:rsidP="002E08B3" w14:paraId="757C4195" w14:textId="14FFF695">
            <w:pPr>
              <w:pStyle w:val="Table10Centered"/>
              <w:keepNext/>
              <w:spacing w:before="0" w:after="0"/>
              <w:ind w:left="-14" w:right="-14"/>
            </w:pPr>
            <w:r w:rsidRPr="061F9AC0">
              <w:t>106.54</w:t>
            </w:r>
          </w:p>
        </w:tc>
        <w:tc>
          <w:tcPr>
            <w:tcW w:w="1080" w:type="dxa"/>
          </w:tcPr>
          <w:p w:rsidR="00F352CA" w:rsidRPr="00BB7053" w:rsidP="002E08B3" w14:paraId="3AECEFD5" w14:textId="28E563D6">
            <w:pPr>
              <w:pStyle w:val="Table10Centered"/>
              <w:keepNext/>
              <w:spacing w:before="0" w:after="0"/>
              <w:ind w:left="-14" w:right="-14"/>
            </w:pPr>
            <w:r w:rsidRPr="061F9AC0">
              <w:t>10,654</w:t>
            </w:r>
          </w:p>
        </w:tc>
      </w:tr>
      <w:tr w14:paraId="1236CE21" w14:textId="77777777" w:rsidTr="002E08B3">
        <w:tblPrEx>
          <w:tblW w:w="9445" w:type="dxa"/>
          <w:tblLook w:val="04A0"/>
        </w:tblPrEx>
        <w:trPr>
          <w:cantSplit/>
        </w:trPr>
        <w:tc>
          <w:tcPr>
            <w:tcW w:w="1405" w:type="dxa"/>
            <w:shd w:val="clear" w:color="auto" w:fill="D9D9D9" w:themeFill="background1" w:themeFillShade="D9"/>
          </w:tcPr>
          <w:p w:rsidR="00F352CA" w:rsidRPr="00BB7053" w:rsidP="002E08B3" w14:paraId="21F763AC" w14:textId="77777777">
            <w:pPr>
              <w:pStyle w:val="Table10Basic"/>
              <w:spacing w:before="0" w:after="0"/>
              <w:ind w:left="-14" w:right="-14"/>
            </w:pPr>
            <w:r w:rsidRPr="061F9AC0">
              <w:t>Adjustment</w:t>
            </w:r>
          </w:p>
        </w:tc>
        <w:tc>
          <w:tcPr>
            <w:tcW w:w="1356" w:type="dxa"/>
            <w:shd w:val="clear" w:color="auto" w:fill="D9D9D9" w:themeFill="background1" w:themeFillShade="D9"/>
          </w:tcPr>
          <w:p w:rsidR="00F352CA" w:rsidRPr="00BB7053" w:rsidP="002E08B3" w14:paraId="2AB78019" w14:textId="0333D65F">
            <w:pPr>
              <w:pStyle w:val="Table10Centered"/>
              <w:spacing w:before="0" w:after="0"/>
              <w:ind w:left="-14" w:right="-14"/>
            </w:pPr>
            <w:r w:rsidRPr="061F9AC0">
              <w:t>-5</w:t>
            </w:r>
          </w:p>
        </w:tc>
        <w:tc>
          <w:tcPr>
            <w:tcW w:w="1113" w:type="dxa"/>
            <w:shd w:val="clear" w:color="auto" w:fill="D9D9D9" w:themeFill="background1" w:themeFillShade="D9"/>
          </w:tcPr>
          <w:p w:rsidR="00F352CA" w:rsidRPr="00BB7053" w:rsidP="002E08B3" w14:paraId="5CBA04EA" w14:textId="2E68870A">
            <w:pPr>
              <w:pStyle w:val="Table10Centered"/>
              <w:spacing w:before="0" w:after="0"/>
              <w:ind w:left="-14" w:right="-14"/>
            </w:pPr>
            <w:r w:rsidRPr="061F9AC0">
              <w:t>No change</w:t>
            </w:r>
          </w:p>
        </w:tc>
        <w:tc>
          <w:tcPr>
            <w:tcW w:w="1220" w:type="dxa"/>
            <w:shd w:val="clear" w:color="auto" w:fill="D9D9D9" w:themeFill="background1" w:themeFillShade="D9"/>
          </w:tcPr>
          <w:p w:rsidR="00F352CA" w:rsidRPr="00BB7053" w:rsidP="002E08B3" w14:paraId="675B69EF" w14:textId="76B3B4E1">
            <w:pPr>
              <w:pStyle w:val="Table10Centered"/>
              <w:spacing w:before="0" w:after="0"/>
              <w:ind w:left="-14" w:right="-14"/>
            </w:pPr>
            <w:r w:rsidRPr="061F9AC0">
              <w:t>-5</w:t>
            </w:r>
          </w:p>
        </w:tc>
        <w:tc>
          <w:tcPr>
            <w:tcW w:w="1075" w:type="dxa"/>
            <w:shd w:val="clear" w:color="auto" w:fill="D9D9D9" w:themeFill="background1" w:themeFillShade="D9"/>
          </w:tcPr>
          <w:p w:rsidR="00F352CA" w:rsidRPr="00BB7053" w:rsidP="002E08B3" w14:paraId="38FBE95D" w14:textId="2468A816">
            <w:pPr>
              <w:pStyle w:val="Table10Centered"/>
              <w:spacing w:before="0" w:after="0"/>
              <w:ind w:left="-14" w:right="-14"/>
            </w:pPr>
            <w:r w:rsidRPr="061F9AC0">
              <w:t>No change</w:t>
            </w:r>
          </w:p>
        </w:tc>
        <w:tc>
          <w:tcPr>
            <w:tcW w:w="1116" w:type="dxa"/>
            <w:shd w:val="clear" w:color="auto" w:fill="D9D9D9" w:themeFill="background1" w:themeFillShade="D9"/>
          </w:tcPr>
          <w:p w:rsidR="00F352CA" w:rsidRPr="00BB7053" w:rsidP="002E08B3" w14:paraId="33347212" w14:textId="7E06745C">
            <w:pPr>
              <w:pStyle w:val="Table10Centered"/>
              <w:spacing w:before="0" w:after="0"/>
              <w:ind w:left="-14" w:right="-14"/>
            </w:pPr>
            <w:r w:rsidRPr="061F9AC0">
              <w:t>-50</w:t>
            </w:r>
          </w:p>
        </w:tc>
        <w:tc>
          <w:tcPr>
            <w:tcW w:w="1080" w:type="dxa"/>
            <w:shd w:val="clear" w:color="auto" w:fill="D9D9D9" w:themeFill="background1" w:themeFillShade="D9"/>
          </w:tcPr>
          <w:p w:rsidR="00F352CA" w:rsidRPr="00BB7053" w:rsidP="002E08B3" w14:paraId="7E08FBD8" w14:textId="4CCE9740">
            <w:pPr>
              <w:pStyle w:val="Table10Centered"/>
              <w:spacing w:before="0" w:after="0"/>
              <w:ind w:left="-14" w:right="-14"/>
            </w:pPr>
            <w:r w:rsidRPr="061F9AC0">
              <w:t>No change</w:t>
            </w:r>
          </w:p>
        </w:tc>
        <w:tc>
          <w:tcPr>
            <w:tcW w:w="1080" w:type="dxa"/>
            <w:shd w:val="clear" w:color="auto" w:fill="D9D9D9" w:themeFill="background1" w:themeFillShade="D9"/>
          </w:tcPr>
          <w:p w:rsidR="00F352CA" w:rsidRPr="00BB7053" w:rsidP="002E08B3" w14:paraId="39B28F78" w14:textId="58AAF185">
            <w:pPr>
              <w:pStyle w:val="Table10Centered"/>
              <w:spacing w:before="0" w:after="0"/>
              <w:ind w:left="-14" w:right="-14"/>
            </w:pPr>
            <w:r w:rsidRPr="061F9AC0">
              <w:t>-5</w:t>
            </w:r>
            <w:r w:rsidRPr="061F9AC0" w:rsidR="01AA116B">
              <w:t>,327</w:t>
            </w:r>
          </w:p>
        </w:tc>
      </w:tr>
    </w:tbl>
    <w:p w:rsidR="00885183" w:rsidRPr="00B7366A" w:rsidP="00361BB4" w14:paraId="5FFAAD2D" w14:textId="7628A1AE">
      <w:pPr>
        <w:pStyle w:val="ExhibitTitle"/>
        <w:rPr>
          <w:rFonts w:eastAsia="Calibri"/>
          <w:b w:val="0"/>
          <w:bCs/>
        </w:rPr>
      </w:pPr>
      <w:r w:rsidRPr="00B7366A">
        <w:rPr>
          <w:rFonts w:eastAsia="Calibri"/>
          <w:b w:val="0"/>
          <w:bCs/>
        </w:rPr>
        <w:t>T</w:t>
      </w:r>
      <w:r w:rsidRPr="00B7366A" w:rsidR="59DA98C3">
        <w:rPr>
          <w:rFonts w:eastAsia="Calibri"/>
          <w:b w:val="0"/>
          <w:bCs/>
        </w:rPr>
        <w:t>able</w:t>
      </w:r>
      <w:r w:rsidRPr="00B7366A">
        <w:rPr>
          <w:rFonts w:eastAsia="Calibri"/>
          <w:b w:val="0"/>
          <w:bCs/>
        </w:rPr>
        <w:t xml:space="preserve"> </w:t>
      </w:r>
      <w:r w:rsidRPr="00B7366A" w:rsidR="5A15C2ED">
        <w:rPr>
          <w:rFonts w:eastAsia="Calibri"/>
          <w:b w:val="0"/>
          <w:bCs/>
        </w:rPr>
        <w:t>3</w:t>
      </w:r>
      <w:r w:rsidRPr="00B7366A" w:rsidR="609108F7">
        <w:rPr>
          <w:rFonts w:eastAsia="Calibri"/>
          <w:b w:val="0"/>
          <w:bCs/>
        </w:rPr>
        <w:t>0</w:t>
      </w:r>
      <w:r w:rsidRPr="00B7366A" w:rsidR="44F15424">
        <w:rPr>
          <w:rFonts w:eastAsia="Calibri"/>
          <w:b w:val="0"/>
          <w:bCs/>
        </w:rPr>
        <w:t>R</w:t>
      </w:r>
      <w:r w:rsidRPr="00B7366A">
        <w:rPr>
          <w:rFonts w:eastAsia="Calibri"/>
          <w:b w:val="0"/>
          <w:bCs/>
        </w:rPr>
        <w:t xml:space="preserve">: Burden Reconciliation for </w:t>
      </w:r>
      <w:r w:rsidRPr="00B7366A" w:rsidR="47DC1931">
        <w:rPr>
          <w:rFonts w:eastAsia="Calibri"/>
          <w:b w:val="0"/>
          <w:bCs/>
        </w:rPr>
        <w:t>Other Payer Advanced APM Identification: Eligible Clinician Initiated Process</w:t>
      </w:r>
    </w:p>
    <w:tbl>
      <w:tblPr>
        <w:tblStyle w:val="TableGrid"/>
        <w:tblDescription w:val="Table 30R: the estimated change in burden to our currently approved burden estimates for Q P determination under the eligible clinician-initiated process."/>
        <w:tblW w:w="9445" w:type="dxa"/>
        <w:tblLayout w:type="fixed"/>
        <w:tblLook w:val="04A0"/>
      </w:tblPr>
      <w:tblGrid>
        <w:gridCol w:w="1435"/>
        <w:gridCol w:w="1170"/>
        <w:gridCol w:w="1170"/>
        <w:gridCol w:w="1350"/>
        <w:gridCol w:w="1260"/>
        <w:gridCol w:w="990"/>
        <w:gridCol w:w="1080"/>
        <w:gridCol w:w="990"/>
      </w:tblGrid>
      <w:tr w14:paraId="700EE376" w14:textId="77777777" w:rsidTr="002E08B3">
        <w:tblPrEx>
          <w:tblW w:w="9445" w:type="dxa"/>
          <w:tblLayout w:type="fixed"/>
          <w:tblLook w:val="04A0"/>
        </w:tblPrEx>
        <w:trPr>
          <w:cantSplit/>
          <w:tblHeader/>
        </w:trPr>
        <w:tc>
          <w:tcPr>
            <w:tcW w:w="1435" w:type="dxa"/>
            <w:tcMar>
              <w:left w:w="14" w:type="dxa"/>
              <w:right w:w="14" w:type="dxa"/>
            </w:tcMar>
          </w:tcPr>
          <w:p w:rsidR="00885183" w:rsidRPr="00173FA2" w:rsidP="002E08B3" w14:paraId="2ED28A5D" w14:textId="77777777">
            <w:pPr>
              <w:pStyle w:val="Table10-ColumnHeading"/>
              <w:spacing w:before="0" w:after="0"/>
              <w:ind w:left="70" w:right="-20"/>
              <w:jc w:val="left"/>
            </w:pPr>
            <w:r w:rsidRPr="00173FA2">
              <w:t>Burden Category</w:t>
            </w:r>
          </w:p>
        </w:tc>
        <w:tc>
          <w:tcPr>
            <w:tcW w:w="1170" w:type="dxa"/>
            <w:tcMar>
              <w:left w:w="14" w:type="dxa"/>
              <w:right w:w="14" w:type="dxa"/>
            </w:tcMar>
          </w:tcPr>
          <w:p w:rsidR="00885183" w:rsidRPr="00173FA2" w:rsidP="002E08B3" w14:paraId="5E12E4A8" w14:textId="77777777">
            <w:pPr>
              <w:pStyle w:val="Table10-ColumnHeading"/>
              <w:spacing w:before="0" w:after="0"/>
              <w:ind w:left="-20" w:right="-20"/>
            </w:pPr>
            <w:r w:rsidRPr="00173FA2">
              <w:t>Total Annual Respondents</w:t>
            </w:r>
          </w:p>
        </w:tc>
        <w:tc>
          <w:tcPr>
            <w:tcW w:w="1170" w:type="dxa"/>
            <w:tcMar>
              <w:left w:w="14" w:type="dxa"/>
              <w:right w:w="14" w:type="dxa"/>
            </w:tcMar>
          </w:tcPr>
          <w:p w:rsidR="00885183" w:rsidRPr="00173FA2" w:rsidP="002E08B3" w14:paraId="15DAD6D4" w14:textId="77777777">
            <w:pPr>
              <w:pStyle w:val="Table10-ColumnHeading"/>
              <w:spacing w:before="0" w:after="0"/>
              <w:ind w:left="-20" w:right="-20"/>
            </w:pPr>
            <w:r w:rsidRPr="00173FA2">
              <w:t>Response Frequency (per year)</w:t>
            </w:r>
          </w:p>
        </w:tc>
        <w:tc>
          <w:tcPr>
            <w:tcW w:w="1350" w:type="dxa"/>
            <w:tcMar>
              <w:left w:w="14" w:type="dxa"/>
              <w:right w:w="14" w:type="dxa"/>
            </w:tcMar>
          </w:tcPr>
          <w:p w:rsidR="00885183" w:rsidRPr="00173FA2" w:rsidP="002E08B3" w14:paraId="077035AC" w14:textId="77777777">
            <w:pPr>
              <w:pStyle w:val="Table10-ColumnHeading"/>
              <w:spacing w:before="0" w:after="0"/>
              <w:ind w:left="-20" w:right="-20"/>
            </w:pPr>
            <w:r w:rsidRPr="00173FA2">
              <w:t>Total Annual Responses</w:t>
            </w:r>
          </w:p>
        </w:tc>
        <w:tc>
          <w:tcPr>
            <w:tcW w:w="1260" w:type="dxa"/>
            <w:tcMar>
              <w:left w:w="14" w:type="dxa"/>
              <w:right w:w="14" w:type="dxa"/>
            </w:tcMar>
          </w:tcPr>
          <w:p w:rsidR="00885183" w:rsidRPr="00173FA2" w:rsidP="002E08B3" w14:paraId="76C7B2DD" w14:textId="77777777">
            <w:pPr>
              <w:pStyle w:val="Table10-ColumnHeading"/>
              <w:spacing w:before="0" w:after="0"/>
              <w:ind w:left="-20" w:right="-20"/>
            </w:pPr>
            <w:r w:rsidRPr="00173FA2">
              <w:t>Time Per Response (hr)</w:t>
            </w:r>
          </w:p>
        </w:tc>
        <w:tc>
          <w:tcPr>
            <w:tcW w:w="990" w:type="dxa"/>
            <w:tcMar>
              <w:left w:w="14" w:type="dxa"/>
              <w:right w:w="14" w:type="dxa"/>
            </w:tcMar>
          </w:tcPr>
          <w:p w:rsidR="00885183" w:rsidRPr="00173FA2" w:rsidP="002E08B3" w14:paraId="6625CF01" w14:textId="77777777">
            <w:pPr>
              <w:pStyle w:val="Table10-ColumnHeading"/>
              <w:spacing w:before="0" w:after="0"/>
              <w:ind w:left="-20" w:right="-20"/>
            </w:pPr>
            <w:r w:rsidRPr="00173FA2">
              <w:t>Total Annual Time (hr)</w:t>
            </w:r>
          </w:p>
        </w:tc>
        <w:tc>
          <w:tcPr>
            <w:tcW w:w="1080" w:type="dxa"/>
            <w:tcMar>
              <w:left w:w="14" w:type="dxa"/>
              <w:right w:w="14" w:type="dxa"/>
            </w:tcMar>
          </w:tcPr>
          <w:p w:rsidR="00885183" w:rsidRPr="00173FA2" w:rsidP="002E08B3" w14:paraId="538349FB" w14:textId="77777777">
            <w:pPr>
              <w:pStyle w:val="Table10-ColumnHeading"/>
              <w:spacing w:before="0" w:after="0"/>
              <w:ind w:left="-20" w:right="-20"/>
            </w:pPr>
            <w:r w:rsidRPr="00173FA2">
              <w:t>Labor Cost ($/hr)</w:t>
            </w:r>
          </w:p>
        </w:tc>
        <w:tc>
          <w:tcPr>
            <w:tcW w:w="990" w:type="dxa"/>
            <w:tcMar>
              <w:left w:w="14" w:type="dxa"/>
              <w:right w:w="14" w:type="dxa"/>
            </w:tcMar>
          </w:tcPr>
          <w:p w:rsidR="00885183" w:rsidRPr="00173FA2" w:rsidP="002E08B3" w14:paraId="6EB9FC3F" w14:textId="77777777">
            <w:pPr>
              <w:pStyle w:val="Table10-ColumnHeading"/>
              <w:spacing w:before="0" w:after="0"/>
              <w:ind w:left="-20" w:right="-20"/>
            </w:pPr>
            <w:r w:rsidRPr="00173FA2">
              <w:t>Total Annual Cost ($)</w:t>
            </w:r>
          </w:p>
        </w:tc>
      </w:tr>
      <w:tr w14:paraId="1E5FB047" w14:textId="77777777" w:rsidTr="002E08B3">
        <w:tblPrEx>
          <w:tblW w:w="9445" w:type="dxa"/>
          <w:tblLayout w:type="fixed"/>
          <w:tblLook w:val="04A0"/>
        </w:tblPrEx>
        <w:trPr>
          <w:cantSplit/>
        </w:trPr>
        <w:tc>
          <w:tcPr>
            <w:tcW w:w="1435" w:type="dxa"/>
          </w:tcPr>
          <w:p w:rsidR="00460240" w:rsidRPr="00BB7053" w:rsidP="002E08B3" w14:paraId="06391956" w14:textId="0D308B39">
            <w:pPr>
              <w:pStyle w:val="Table10Basic"/>
              <w:spacing w:before="0" w:after="0"/>
              <w:ind w:left="-20" w:right="-20"/>
            </w:pPr>
            <w:r>
              <w:t>Currently Approved</w:t>
            </w:r>
            <w:r w:rsidR="00CC5836">
              <w:t xml:space="preserve"> </w:t>
            </w:r>
          </w:p>
        </w:tc>
        <w:tc>
          <w:tcPr>
            <w:tcW w:w="1170" w:type="dxa"/>
          </w:tcPr>
          <w:p w:rsidR="00460240" w:rsidRPr="00BB7053" w:rsidP="002E08B3" w14:paraId="578DA845" w14:textId="1A59C38E">
            <w:pPr>
              <w:pStyle w:val="Table10Centered"/>
              <w:spacing w:before="0" w:after="0"/>
              <w:ind w:left="-20" w:right="-20"/>
            </w:pPr>
            <w:r>
              <w:t>15</w:t>
            </w:r>
          </w:p>
        </w:tc>
        <w:tc>
          <w:tcPr>
            <w:tcW w:w="1170" w:type="dxa"/>
          </w:tcPr>
          <w:p w:rsidR="00460240" w:rsidRPr="00BB7053" w:rsidP="002E08B3" w14:paraId="707D4976" w14:textId="0846C894">
            <w:pPr>
              <w:pStyle w:val="Table10Centered"/>
              <w:spacing w:before="0" w:after="0"/>
              <w:ind w:left="-20" w:right="-20"/>
            </w:pPr>
            <w:r>
              <w:t>1</w:t>
            </w:r>
          </w:p>
        </w:tc>
        <w:tc>
          <w:tcPr>
            <w:tcW w:w="1350" w:type="dxa"/>
          </w:tcPr>
          <w:p w:rsidR="00460240" w:rsidRPr="00BB7053" w:rsidP="002E08B3" w14:paraId="11783160" w14:textId="00AFDAC2">
            <w:pPr>
              <w:pStyle w:val="Table10Centered"/>
              <w:spacing w:before="0" w:after="0"/>
              <w:ind w:left="-20" w:right="-20"/>
            </w:pPr>
            <w:r>
              <w:t>15</w:t>
            </w:r>
          </w:p>
        </w:tc>
        <w:tc>
          <w:tcPr>
            <w:tcW w:w="1260" w:type="dxa"/>
          </w:tcPr>
          <w:p w:rsidR="00460240" w:rsidRPr="00BB7053" w:rsidP="002E08B3" w14:paraId="4B0AECF1" w14:textId="1BB3ED3E">
            <w:pPr>
              <w:pStyle w:val="Table10Centered"/>
              <w:spacing w:before="0" w:after="0"/>
              <w:ind w:left="-20" w:right="-20"/>
            </w:pPr>
            <w:r>
              <w:t>10</w:t>
            </w:r>
          </w:p>
        </w:tc>
        <w:tc>
          <w:tcPr>
            <w:tcW w:w="990" w:type="dxa"/>
          </w:tcPr>
          <w:p w:rsidR="00460240" w:rsidRPr="00BB7053" w:rsidP="002E08B3" w14:paraId="7D30B4CF" w14:textId="2FCE46C1">
            <w:pPr>
              <w:pStyle w:val="Table10Centered"/>
              <w:spacing w:before="0" w:after="0"/>
              <w:ind w:left="-20" w:right="-20"/>
            </w:pPr>
            <w:r>
              <w:t>150</w:t>
            </w:r>
          </w:p>
        </w:tc>
        <w:tc>
          <w:tcPr>
            <w:tcW w:w="1080" w:type="dxa"/>
          </w:tcPr>
          <w:p w:rsidR="00460240" w:rsidRPr="00BB7053" w:rsidP="002E08B3" w14:paraId="5095728B" w14:textId="0FCF942A">
            <w:pPr>
              <w:pStyle w:val="Table10Centered"/>
              <w:spacing w:before="0" w:after="0"/>
              <w:ind w:left="-20" w:right="-20"/>
            </w:pPr>
            <w:r>
              <w:t>106.54</w:t>
            </w:r>
          </w:p>
        </w:tc>
        <w:tc>
          <w:tcPr>
            <w:tcW w:w="990" w:type="dxa"/>
          </w:tcPr>
          <w:p w:rsidR="00460240" w:rsidRPr="00BB7053" w:rsidP="002E08B3" w14:paraId="10581664" w14:textId="2973BDCA">
            <w:pPr>
              <w:pStyle w:val="Table10Centered"/>
              <w:spacing w:before="0" w:after="0"/>
              <w:ind w:left="-20" w:right="-20"/>
            </w:pPr>
            <w:r w:rsidRPr="061F9AC0">
              <w:t>1</w:t>
            </w:r>
            <w:r w:rsidRPr="061F9AC0" w:rsidR="065E95B5">
              <w:t>5,</w:t>
            </w:r>
            <w:r w:rsidRPr="061F9AC0" w:rsidR="625F22AA">
              <w:t>981</w:t>
            </w:r>
          </w:p>
        </w:tc>
      </w:tr>
      <w:tr w14:paraId="21B7DDF4" w14:textId="77777777" w:rsidTr="002E08B3">
        <w:tblPrEx>
          <w:tblW w:w="9445" w:type="dxa"/>
          <w:tblLayout w:type="fixed"/>
          <w:tblLook w:val="04A0"/>
        </w:tblPrEx>
        <w:trPr>
          <w:cantSplit/>
        </w:trPr>
        <w:tc>
          <w:tcPr>
            <w:tcW w:w="1435" w:type="dxa"/>
          </w:tcPr>
          <w:p w:rsidR="002E08B3" w:rsidP="002E08B3" w14:paraId="1949371F" w14:textId="77777777">
            <w:pPr>
              <w:pStyle w:val="Table10Basic"/>
              <w:spacing w:before="0" w:after="0"/>
              <w:ind w:left="-20" w:right="-20"/>
            </w:pPr>
            <w:r>
              <w:t xml:space="preserve">Requested </w:t>
            </w:r>
          </w:p>
          <w:p w:rsidR="00EC3321" w:rsidRPr="00BB7053" w:rsidP="002E08B3" w14:paraId="57FA653D" w14:textId="3021BC80">
            <w:pPr>
              <w:pStyle w:val="Table10Basic"/>
              <w:spacing w:before="0" w:after="0"/>
              <w:ind w:left="-20" w:right="-20"/>
            </w:pPr>
            <w:r w:rsidRPr="00A67FD9">
              <w:t xml:space="preserve">(See Table </w:t>
            </w:r>
            <w:r>
              <w:t>26</w:t>
            </w:r>
            <w:r w:rsidRPr="00A67FD9">
              <w:t>)</w:t>
            </w:r>
          </w:p>
        </w:tc>
        <w:tc>
          <w:tcPr>
            <w:tcW w:w="1170" w:type="dxa"/>
          </w:tcPr>
          <w:p w:rsidR="00EC3321" w:rsidRPr="00BB7053" w:rsidP="002E08B3" w14:paraId="3C0AC002" w14:textId="6099F1B3">
            <w:pPr>
              <w:pStyle w:val="Table10Centered"/>
              <w:spacing w:before="0" w:after="0"/>
              <w:ind w:left="-20" w:right="-20"/>
            </w:pPr>
            <w:r>
              <w:t>10</w:t>
            </w:r>
          </w:p>
        </w:tc>
        <w:tc>
          <w:tcPr>
            <w:tcW w:w="1170" w:type="dxa"/>
          </w:tcPr>
          <w:p w:rsidR="00EC3321" w:rsidRPr="00BB7053" w:rsidP="002E08B3" w14:paraId="0374E752" w14:textId="0CDA3BE5">
            <w:pPr>
              <w:pStyle w:val="Table10Centered"/>
              <w:spacing w:before="0" w:after="0"/>
              <w:ind w:left="-20" w:right="-20"/>
            </w:pPr>
            <w:r>
              <w:t>1</w:t>
            </w:r>
          </w:p>
        </w:tc>
        <w:tc>
          <w:tcPr>
            <w:tcW w:w="1350" w:type="dxa"/>
          </w:tcPr>
          <w:p w:rsidR="00EC3321" w:rsidRPr="00BB7053" w:rsidP="002E08B3" w14:paraId="36DAD90E" w14:textId="2B3867D4">
            <w:pPr>
              <w:pStyle w:val="Table10Centered"/>
              <w:spacing w:before="0" w:after="0"/>
              <w:ind w:left="-20" w:right="-20"/>
            </w:pPr>
            <w:r>
              <w:t>10</w:t>
            </w:r>
          </w:p>
        </w:tc>
        <w:tc>
          <w:tcPr>
            <w:tcW w:w="1260" w:type="dxa"/>
          </w:tcPr>
          <w:p w:rsidR="00EC3321" w:rsidRPr="00BB7053" w:rsidP="002E08B3" w14:paraId="04C5C4A2" w14:textId="2DF40D3A">
            <w:pPr>
              <w:pStyle w:val="Table10Centered"/>
              <w:spacing w:before="0" w:after="0"/>
              <w:ind w:left="-20" w:right="-20"/>
            </w:pPr>
            <w:r>
              <w:t>10</w:t>
            </w:r>
          </w:p>
        </w:tc>
        <w:tc>
          <w:tcPr>
            <w:tcW w:w="990" w:type="dxa"/>
          </w:tcPr>
          <w:p w:rsidR="00EC3321" w:rsidRPr="00BB7053" w:rsidP="002E08B3" w14:paraId="32152676" w14:textId="06AC426A">
            <w:pPr>
              <w:pStyle w:val="Table10Centered"/>
              <w:spacing w:before="0" w:after="0"/>
              <w:ind w:left="-20" w:right="-20"/>
            </w:pPr>
            <w:r>
              <w:t>100</w:t>
            </w:r>
          </w:p>
        </w:tc>
        <w:tc>
          <w:tcPr>
            <w:tcW w:w="1080" w:type="dxa"/>
          </w:tcPr>
          <w:p w:rsidR="00EC3321" w:rsidRPr="00BB7053" w:rsidP="002E08B3" w14:paraId="70714BC4" w14:textId="5B8F9E00">
            <w:pPr>
              <w:pStyle w:val="Table10Centered"/>
              <w:spacing w:before="0" w:after="0"/>
              <w:ind w:left="-20" w:right="-20"/>
            </w:pPr>
            <w:r>
              <w:t>106.54</w:t>
            </w:r>
          </w:p>
        </w:tc>
        <w:tc>
          <w:tcPr>
            <w:tcW w:w="990" w:type="dxa"/>
          </w:tcPr>
          <w:p w:rsidR="00EC3321" w:rsidRPr="00BB7053" w:rsidP="002E08B3" w14:paraId="4574824F" w14:textId="2FAD5319">
            <w:pPr>
              <w:pStyle w:val="Table10Centered"/>
              <w:spacing w:before="0" w:after="0"/>
              <w:ind w:left="-20" w:right="-20"/>
            </w:pPr>
            <w:r>
              <w:t>10,654</w:t>
            </w:r>
          </w:p>
        </w:tc>
      </w:tr>
      <w:tr w14:paraId="055D9A45" w14:textId="77777777" w:rsidTr="002E08B3">
        <w:tblPrEx>
          <w:tblW w:w="9445" w:type="dxa"/>
          <w:tblLayout w:type="fixed"/>
          <w:tblLook w:val="04A0"/>
        </w:tblPrEx>
        <w:trPr>
          <w:cantSplit/>
        </w:trPr>
        <w:tc>
          <w:tcPr>
            <w:tcW w:w="1435" w:type="dxa"/>
            <w:shd w:val="clear" w:color="auto" w:fill="D9D9D9" w:themeFill="background1" w:themeFillShade="D9"/>
          </w:tcPr>
          <w:p w:rsidR="00C13E73" w:rsidRPr="00BB7053" w:rsidP="002E08B3" w14:paraId="25CA9789" w14:textId="77777777">
            <w:pPr>
              <w:pStyle w:val="Table10Basic"/>
              <w:spacing w:before="0" w:after="0"/>
              <w:ind w:left="-20" w:right="-20"/>
            </w:pPr>
            <w:r>
              <w:t>Adjustment</w:t>
            </w:r>
          </w:p>
        </w:tc>
        <w:tc>
          <w:tcPr>
            <w:tcW w:w="1170" w:type="dxa"/>
            <w:shd w:val="clear" w:color="auto" w:fill="D9D9D9" w:themeFill="background1" w:themeFillShade="D9"/>
          </w:tcPr>
          <w:p w:rsidR="00C13E73" w:rsidRPr="00BB7053" w:rsidP="002E08B3" w14:paraId="68241798" w14:textId="2759AB8B">
            <w:pPr>
              <w:pStyle w:val="Table10Centered"/>
              <w:spacing w:before="0" w:after="0"/>
              <w:ind w:left="-20" w:right="-20"/>
            </w:pPr>
            <w:r>
              <w:t>-5</w:t>
            </w:r>
          </w:p>
        </w:tc>
        <w:tc>
          <w:tcPr>
            <w:tcW w:w="1170" w:type="dxa"/>
            <w:shd w:val="clear" w:color="auto" w:fill="D9D9D9" w:themeFill="background1" w:themeFillShade="D9"/>
          </w:tcPr>
          <w:p w:rsidR="00C13E73" w:rsidRPr="00BB7053" w:rsidP="002E08B3" w14:paraId="4BA9FE3B" w14:textId="3616B595">
            <w:pPr>
              <w:pStyle w:val="Table10Centered"/>
              <w:spacing w:before="0" w:after="0"/>
              <w:ind w:left="-20" w:right="-20"/>
            </w:pPr>
            <w:r>
              <w:t>No change</w:t>
            </w:r>
          </w:p>
        </w:tc>
        <w:tc>
          <w:tcPr>
            <w:tcW w:w="1350" w:type="dxa"/>
            <w:shd w:val="clear" w:color="auto" w:fill="D9D9D9" w:themeFill="background1" w:themeFillShade="D9"/>
          </w:tcPr>
          <w:p w:rsidR="00C13E73" w:rsidRPr="00BB7053" w:rsidP="002E08B3" w14:paraId="538AF95F" w14:textId="2040F6EA">
            <w:pPr>
              <w:pStyle w:val="Table10Centered"/>
              <w:spacing w:before="0" w:after="0"/>
              <w:ind w:left="-20" w:right="-20"/>
            </w:pPr>
            <w:r>
              <w:t>-5</w:t>
            </w:r>
          </w:p>
        </w:tc>
        <w:tc>
          <w:tcPr>
            <w:tcW w:w="1260" w:type="dxa"/>
            <w:shd w:val="clear" w:color="auto" w:fill="D9D9D9" w:themeFill="background1" w:themeFillShade="D9"/>
          </w:tcPr>
          <w:p w:rsidR="00C13E73" w:rsidRPr="00BB7053" w:rsidP="002E08B3" w14:paraId="158D867C" w14:textId="774D240E">
            <w:pPr>
              <w:pStyle w:val="Table10Centered"/>
              <w:spacing w:before="0" w:after="0"/>
              <w:ind w:left="-20" w:right="-20"/>
            </w:pPr>
            <w:r>
              <w:t>No change</w:t>
            </w:r>
          </w:p>
        </w:tc>
        <w:tc>
          <w:tcPr>
            <w:tcW w:w="990" w:type="dxa"/>
            <w:shd w:val="clear" w:color="auto" w:fill="D9D9D9" w:themeFill="background1" w:themeFillShade="D9"/>
          </w:tcPr>
          <w:p w:rsidR="00C13E73" w:rsidRPr="00BB7053" w:rsidP="002E08B3" w14:paraId="716CF5C5" w14:textId="656D1E00">
            <w:pPr>
              <w:pStyle w:val="Table10Centered"/>
              <w:spacing w:before="0" w:after="0"/>
              <w:ind w:left="-20" w:right="-20"/>
            </w:pPr>
            <w:r>
              <w:t>-50</w:t>
            </w:r>
          </w:p>
        </w:tc>
        <w:tc>
          <w:tcPr>
            <w:tcW w:w="1080" w:type="dxa"/>
            <w:shd w:val="clear" w:color="auto" w:fill="D9D9D9" w:themeFill="background1" w:themeFillShade="D9"/>
          </w:tcPr>
          <w:p w:rsidR="00C13E73" w:rsidRPr="00BB7053" w:rsidP="002E08B3" w14:paraId="7C1D85A4" w14:textId="2624DC04">
            <w:pPr>
              <w:pStyle w:val="Table10Centered"/>
              <w:spacing w:before="0" w:after="0"/>
              <w:ind w:left="-20" w:right="-20"/>
            </w:pPr>
            <w:r>
              <w:t>No change</w:t>
            </w:r>
          </w:p>
        </w:tc>
        <w:tc>
          <w:tcPr>
            <w:tcW w:w="990" w:type="dxa"/>
            <w:shd w:val="clear" w:color="auto" w:fill="D9D9D9" w:themeFill="background1" w:themeFillShade="D9"/>
          </w:tcPr>
          <w:p w:rsidR="00C13E73" w:rsidRPr="00BB7053" w:rsidP="002E08B3" w14:paraId="139CE72E" w14:textId="6F193C26">
            <w:pPr>
              <w:pStyle w:val="Table10Centered"/>
              <w:spacing w:before="0" w:after="0"/>
              <w:ind w:left="-20" w:right="-20"/>
            </w:pPr>
            <w:r>
              <w:t>-5,327</w:t>
            </w:r>
          </w:p>
        </w:tc>
      </w:tr>
    </w:tbl>
    <w:p w:rsidR="00885183" w:rsidRPr="00B7366A" w:rsidP="00361BB4" w14:paraId="57DECA10" w14:textId="550FBF1D">
      <w:pPr>
        <w:pStyle w:val="ExhibitTitle"/>
        <w:rPr>
          <w:rFonts w:eastAsia="Calibri"/>
          <w:b w:val="0"/>
          <w:bCs/>
        </w:rPr>
      </w:pPr>
      <w:r w:rsidRPr="00B7366A">
        <w:rPr>
          <w:rFonts w:eastAsia="Calibri"/>
          <w:b w:val="0"/>
          <w:bCs/>
        </w:rPr>
        <w:t>T</w:t>
      </w:r>
      <w:r w:rsidRPr="00B7366A" w:rsidR="59DA98C3">
        <w:rPr>
          <w:rFonts w:eastAsia="Calibri"/>
          <w:b w:val="0"/>
          <w:bCs/>
        </w:rPr>
        <w:t>able</w:t>
      </w:r>
      <w:r w:rsidRPr="00B7366A">
        <w:rPr>
          <w:rFonts w:eastAsia="Calibri"/>
          <w:b w:val="0"/>
          <w:bCs/>
        </w:rPr>
        <w:t xml:space="preserve"> </w:t>
      </w:r>
      <w:r w:rsidRPr="00B7366A" w:rsidR="5A15C2ED">
        <w:rPr>
          <w:rFonts w:eastAsia="Calibri"/>
          <w:b w:val="0"/>
          <w:bCs/>
        </w:rPr>
        <w:t>3</w:t>
      </w:r>
      <w:r w:rsidRPr="00B7366A" w:rsidR="0632AB37">
        <w:rPr>
          <w:rFonts w:eastAsia="Calibri"/>
          <w:b w:val="0"/>
          <w:bCs/>
        </w:rPr>
        <w:t>0</w:t>
      </w:r>
      <w:r w:rsidRPr="00B7366A" w:rsidR="5D6905C2">
        <w:rPr>
          <w:rFonts w:eastAsia="Calibri"/>
          <w:b w:val="0"/>
          <w:bCs/>
        </w:rPr>
        <w:t>S</w:t>
      </w:r>
      <w:r w:rsidRPr="00B7366A">
        <w:rPr>
          <w:rFonts w:eastAsia="Calibri"/>
          <w:b w:val="0"/>
          <w:bCs/>
        </w:rPr>
        <w:t xml:space="preserve">: Burden Reconciliation for </w:t>
      </w:r>
      <w:r w:rsidRPr="00B7366A" w:rsidR="681C0E02">
        <w:rPr>
          <w:rFonts w:eastAsia="Calibri"/>
          <w:b w:val="0"/>
          <w:bCs/>
        </w:rPr>
        <w:t>Submission of Data for All-Payer QP Determinations under the All-Payer Combination Option</w:t>
      </w:r>
    </w:p>
    <w:tbl>
      <w:tblPr>
        <w:tblStyle w:val="TableGrid"/>
        <w:tblDescription w:val="Table 30S: the estimated change in burden to our currently approved burden estimates for Q P determination under the all-payer combination option."/>
        <w:tblW w:w="9445" w:type="dxa"/>
        <w:tblLook w:val="04A0"/>
      </w:tblPr>
      <w:tblGrid>
        <w:gridCol w:w="1408"/>
        <w:gridCol w:w="1376"/>
        <w:gridCol w:w="1107"/>
        <w:gridCol w:w="1144"/>
        <w:gridCol w:w="1127"/>
        <w:gridCol w:w="982"/>
        <w:gridCol w:w="1063"/>
        <w:gridCol w:w="1238"/>
      </w:tblGrid>
      <w:tr w14:paraId="64A2FC86" w14:textId="77777777" w:rsidTr="002E08B3">
        <w:tblPrEx>
          <w:tblW w:w="9445" w:type="dxa"/>
          <w:tblLook w:val="04A0"/>
        </w:tblPrEx>
        <w:trPr>
          <w:cantSplit/>
          <w:tblHeader/>
        </w:trPr>
        <w:tc>
          <w:tcPr>
            <w:tcW w:w="1408" w:type="dxa"/>
          </w:tcPr>
          <w:p w:rsidR="00885183" w:rsidRPr="00173FA2" w:rsidP="002E08B3" w14:paraId="18FAB669" w14:textId="77777777">
            <w:pPr>
              <w:pStyle w:val="Table10-ColumnHeading"/>
              <w:spacing w:before="0" w:after="0"/>
              <w:ind w:left="-20" w:right="-20"/>
              <w:jc w:val="left"/>
            </w:pPr>
            <w:r w:rsidRPr="00173FA2">
              <w:t>Burden Category</w:t>
            </w:r>
          </w:p>
        </w:tc>
        <w:tc>
          <w:tcPr>
            <w:tcW w:w="1376" w:type="dxa"/>
          </w:tcPr>
          <w:p w:rsidR="00885183" w:rsidRPr="00173FA2" w:rsidP="002E08B3" w14:paraId="65349184" w14:textId="77777777">
            <w:pPr>
              <w:pStyle w:val="Table10-ColumnHeading"/>
              <w:spacing w:before="0" w:after="0"/>
              <w:ind w:left="-20" w:right="-20"/>
            </w:pPr>
            <w:r w:rsidRPr="00173FA2">
              <w:t>Total Annual Respondents</w:t>
            </w:r>
          </w:p>
        </w:tc>
        <w:tc>
          <w:tcPr>
            <w:tcW w:w="1107" w:type="dxa"/>
          </w:tcPr>
          <w:p w:rsidR="00885183" w:rsidRPr="00173FA2" w:rsidP="002E08B3" w14:paraId="2CBF57B6" w14:textId="77777777">
            <w:pPr>
              <w:pStyle w:val="Table10-ColumnHeading"/>
              <w:spacing w:before="0" w:after="0"/>
              <w:ind w:left="-20" w:right="-20"/>
            </w:pPr>
            <w:r w:rsidRPr="00173FA2">
              <w:t>Response Frequency (per year)</w:t>
            </w:r>
          </w:p>
        </w:tc>
        <w:tc>
          <w:tcPr>
            <w:tcW w:w="1144" w:type="dxa"/>
          </w:tcPr>
          <w:p w:rsidR="00885183" w:rsidRPr="00173FA2" w:rsidP="002E08B3" w14:paraId="4394A407" w14:textId="77777777">
            <w:pPr>
              <w:pStyle w:val="Table10-ColumnHeading"/>
              <w:spacing w:before="0" w:after="0"/>
              <w:ind w:left="-20" w:right="-20"/>
            </w:pPr>
            <w:r w:rsidRPr="00173FA2">
              <w:t>Total Annual Responses</w:t>
            </w:r>
          </w:p>
        </w:tc>
        <w:tc>
          <w:tcPr>
            <w:tcW w:w="1127" w:type="dxa"/>
          </w:tcPr>
          <w:p w:rsidR="00885183" w:rsidRPr="00173FA2" w:rsidP="002E08B3" w14:paraId="38658240" w14:textId="77777777">
            <w:pPr>
              <w:pStyle w:val="Table10-ColumnHeading"/>
              <w:spacing w:before="0" w:after="0"/>
              <w:ind w:left="-20" w:right="-20"/>
            </w:pPr>
            <w:r w:rsidRPr="00173FA2">
              <w:t>Time Per Response (hr)</w:t>
            </w:r>
          </w:p>
        </w:tc>
        <w:tc>
          <w:tcPr>
            <w:tcW w:w="982" w:type="dxa"/>
          </w:tcPr>
          <w:p w:rsidR="00885183" w:rsidRPr="00173FA2" w:rsidP="002E08B3" w14:paraId="2942A5B2" w14:textId="77777777">
            <w:pPr>
              <w:pStyle w:val="Table10-ColumnHeading"/>
              <w:spacing w:before="0" w:after="0"/>
              <w:ind w:left="-20" w:right="-20"/>
            </w:pPr>
            <w:r w:rsidRPr="00173FA2">
              <w:t>Total Annual Time (hr)</w:t>
            </w:r>
          </w:p>
        </w:tc>
        <w:tc>
          <w:tcPr>
            <w:tcW w:w="1063" w:type="dxa"/>
          </w:tcPr>
          <w:p w:rsidR="00885183" w:rsidRPr="00173FA2" w:rsidP="002E08B3" w14:paraId="7CDB6C56" w14:textId="77777777">
            <w:pPr>
              <w:pStyle w:val="Table10-ColumnHeading"/>
              <w:spacing w:before="0" w:after="0"/>
              <w:ind w:left="-20" w:right="-20"/>
            </w:pPr>
            <w:r w:rsidRPr="00173FA2">
              <w:t>Labor Cost ($/hr)</w:t>
            </w:r>
          </w:p>
        </w:tc>
        <w:tc>
          <w:tcPr>
            <w:tcW w:w="1238" w:type="dxa"/>
          </w:tcPr>
          <w:p w:rsidR="00885183" w:rsidRPr="00173FA2" w:rsidP="002E08B3" w14:paraId="08D814CF" w14:textId="77777777">
            <w:pPr>
              <w:pStyle w:val="Table10-ColumnHeading"/>
              <w:spacing w:before="0" w:after="0"/>
              <w:ind w:left="-20" w:right="-20"/>
            </w:pPr>
            <w:r w:rsidRPr="00173FA2">
              <w:t>Total Annual Cost ($)</w:t>
            </w:r>
          </w:p>
        </w:tc>
      </w:tr>
      <w:tr w14:paraId="3C1EFBC5" w14:textId="77777777" w:rsidTr="002E08B3">
        <w:tblPrEx>
          <w:tblW w:w="9445" w:type="dxa"/>
          <w:tblLook w:val="04A0"/>
        </w:tblPrEx>
        <w:trPr>
          <w:cantSplit/>
        </w:trPr>
        <w:tc>
          <w:tcPr>
            <w:tcW w:w="1408" w:type="dxa"/>
          </w:tcPr>
          <w:p w:rsidR="00E62E62" w:rsidRPr="00BB7053" w:rsidP="002E08B3" w14:paraId="5BBE8AC7" w14:textId="2D35828F">
            <w:pPr>
              <w:pStyle w:val="Table10Basic"/>
              <w:spacing w:before="0" w:after="0"/>
              <w:ind w:left="-20" w:right="-20"/>
            </w:pPr>
            <w:r>
              <w:t>Currently Approved</w:t>
            </w:r>
            <w:r w:rsidR="00CC5836">
              <w:t xml:space="preserve"> </w:t>
            </w:r>
          </w:p>
        </w:tc>
        <w:tc>
          <w:tcPr>
            <w:tcW w:w="1376" w:type="dxa"/>
          </w:tcPr>
          <w:p w:rsidR="00E62E62" w:rsidRPr="00BB7053" w:rsidP="002E08B3" w14:paraId="37DED5ED" w14:textId="4D3DD87F">
            <w:pPr>
              <w:pStyle w:val="Table10Centered"/>
              <w:spacing w:before="0" w:after="0"/>
              <w:ind w:left="-20" w:right="-20"/>
            </w:pPr>
            <w:r>
              <w:t>551</w:t>
            </w:r>
          </w:p>
        </w:tc>
        <w:tc>
          <w:tcPr>
            <w:tcW w:w="1107" w:type="dxa"/>
          </w:tcPr>
          <w:p w:rsidR="00E62E62" w:rsidRPr="00BB7053" w:rsidP="002E08B3" w14:paraId="7AC1B292" w14:textId="292D86BC">
            <w:pPr>
              <w:pStyle w:val="Table10Centered"/>
              <w:spacing w:before="0" w:after="0"/>
              <w:ind w:left="-20" w:right="-20"/>
            </w:pPr>
            <w:r>
              <w:t>1</w:t>
            </w:r>
          </w:p>
        </w:tc>
        <w:tc>
          <w:tcPr>
            <w:tcW w:w="1144" w:type="dxa"/>
          </w:tcPr>
          <w:p w:rsidR="00E62E62" w:rsidRPr="00BB7053" w:rsidP="002E08B3" w14:paraId="73EC8432" w14:textId="7542712B">
            <w:pPr>
              <w:pStyle w:val="Table10Centered"/>
              <w:spacing w:before="0" w:after="0"/>
              <w:ind w:left="-20" w:right="-20"/>
            </w:pPr>
            <w:r>
              <w:t>551</w:t>
            </w:r>
          </w:p>
        </w:tc>
        <w:tc>
          <w:tcPr>
            <w:tcW w:w="1127" w:type="dxa"/>
          </w:tcPr>
          <w:p w:rsidR="00E62E62" w:rsidRPr="00BB7053" w:rsidP="002E08B3" w14:paraId="5398676D" w14:textId="3E97D90F">
            <w:pPr>
              <w:pStyle w:val="Table10Centered"/>
              <w:spacing w:before="0" w:after="0"/>
              <w:ind w:left="-20" w:right="-20"/>
            </w:pPr>
            <w:r>
              <w:t>5</w:t>
            </w:r>
          </w:p>
        </w:tc>
        <w:tc>
          <w:tcPr>
            <w:tcW w:w="982" w:type="dxa"/>
          </w:tcPr>
          <w:p w:rsidR="00E62E62" w:rsidRPr="00BB7053" w:rsidP="002E08B3" w14:paraId="18C4A4C8" w14:textId="547C0145">
            <w:pPr>
              <w:pStyle w:val="Table10Centered"/>
              <w:spacing w:before="0" w:after="0"/>
              <w:ind w:left="-20" w:right="-20"/>
            </w:pPr>
            <w:r>
              <w:t>2,755</w:t>
            </w:r>
          </w:p>
        </w:tc>
        <w:tc>
          <w:tcPr>
            <w:tcW w:w="1063" w:type="dxa"/>
          </w:tcPr>
          <w:p w:rsidR="00E62E62" w:rsidRPr="00BB7053" w:rsidP="002E08B3" w14:paraId="4AF23A83" w14:textId="69DE21C2">
            <w:pPr>
              <w:pStyle w:val="Table10Centered"/>
              <w:spacing w:before="0" w:after="0"/>
              <w:ind w:left="-20" w:right="-20"/>
            </w:pPr>
            <w:r>
              <w:t>129.28</w:t>
            </w:r>
          </w:p>
        </w:tc>
        <w:tc>
          <w:tcPr>
            <w:tcW w:w="1238" w:type="dxa"/>
          </w:tcPr>
          <w:p w:rsidR="00E62E62" w:rsidRPr="00BB7053" w:rsidP="002E08B3" w14:paraId="49BB93B9" w14:textId="724E157F">
            <w:pPr>
              <w:pStyle w:val="Table10Centered"/>
              <w:spacing w:before="0" w:after="0"/>
              <w:ind w:left="-20" w:right="-20"/>
            </w:pPr>
            <w:r>
              <w:t>356,166</w:t>
            </w:r>
          </w:p>
        </w:tc>
      </w:tr>
      <w:tr w14:paraId="19F8EB79" w14:textId="77777777" w:rsidTr="002E08B3">
        <w:tblPrEx>
          <w:tblW w:w="9445" w:type="dxa"/>
          <w:tblLook w:val="04A0"/>
        </w:tblPrEx>
        <w:trPr>
          <w:cantSplit/>
        </w:trPr>
        <w:tc>
          <w:tcPr>
            <w:tcW w:w="1408" w:type="dxa"/>
          </w:tcPr>
          <w:p w:rsidR="00E62E62" w:rsidRPr="00BB7053" w:rsidP="002E08B3" w14:paraId="0BAD8D0F" w14:textId="445DBB91">
            <w:pPr>
              <w:pStyle w:val="Table10Basic"/>
              <w:spacing w:before="0" w:after="0"/>
              <w:ind w:left="-20" w:right="-20"/>
            </w:pPr>
            <w:r>
              <w:t>Requested</w:t>
            </w:r>
            <w:r w:rsidR="00B44DAA">
              <w:t xml:space="preserve"> </w:t>
            </w:r>
            <w:r w:rsidRPr="00A67FD9" w:rsidR="00A67FD9">
              <w:t xml:space="preserve">(See Table </w:t>
            </w:r>
            <w:r w:rsidR="00C20979">
              <w:t>2</w:t>
            </w:r>
            <w:r w:rsidR="009617B9">
              <w:t>7</w:t>
            </w:r>
            <w:r w:rsidRPr="00A67FD9" w:rsidR="00A67FD9">
              <w:t>)</w:t>
            </w:r>
          </w:p>
        </w:tc>
        <w:tc>
          <w:tcPr>
            <w:tcW w:w="1376" w:type="dxa"/>
          </w:tcPr>
          <w:p w:rsidR="00E62E62" w:rsidRPr="00BB7053" w:rsidP="002E08B3" w14:paraId="1C093FC9" w14:textId="5AF17640">
            <w:pPr>
              <w:pStyle w:val="Table10Centered"/>
              <w:spacing w:before="0" w:after="0"/>
              <w:ind w:left="-20" w:right="-20"/>
            </w:pPr>
            <w:r>
              <w:t>120</w:t>
            </w:r>
          </w:p>
        </w:tc>
        <w:tc>
          <w:tcPr>
            <w:tcW w:w="1107" w:type="dxa"/>
          </w:tcPr>
          <w:p w:rsidR="00E62E62" w:rsidRPr="00BB7053" w:rsidP="002E08B3" w14:paraId="29E0B280" w14:textId="1CB7291B">
            <w:pPr>
              <w:pStyle w:val="Table10Centered"/>
              <w:spacing w:before="0" w:after="0"/>
              <w:ind w:left="-20" w:right="-20"/>
            </w:pPr>
            <w:r>
              <w:t>1</w:t>
            </w:r>
          </w:p>
        </w:tc>
        <w:tc>
          <w:tcPr>
            <w:tcW w:w="1144" w:type="dxa"/>
          </w:tcPr>
          <w:p w:rsidR="00E62E62" w:rsidRPr="00BB7053" w:rsidP="002E08B3" w14:paraId="2C2C9FFC" w14:textId="7C526783">
            <w:pPr>
              <w:pStyle w:val="Table10Centered"/>
              <w:spacing w:before="0" w:after="0"/>
              <w:ind w:left="-20" w:right="-20"/>
            </w:pPr>
            <w:r>
              <w:t>120</w:t>
            </w:r>
          </w:p>
        </w:tc>
        <w:tc>
          <w:tcPr>
            <w:tcW w:w="1127" w:type="dxa"/>
          </w:tcPr>
          <w:p w:rsidR="00E62E62" w:rsidRPr="00BB7053" w:rsidP="002E08B3" w14:paraId="470244F6" w14:textId="2FF686D5">
            <w:pPr>
              <w:pStyle w:val="Table10Centered"/>
              <w:spacing w:before="0" w:after="0"/>
              <w:ind w:left="-20" w:right="-20"/>
            </w:pPr>
            <w:r>
              <w:t>5</w:t>
            </w:r>
          </w:p>
        </w:tc>
        <w:tc>
          <w:tcPr>
            <w:tcW w:w="982" w:type="dxa"/>
          </w:tcPr>
          <w:p w:rsidR="00E62E62" w:rsidRPr="00BB7053" w:rsidP="002E08B3" w14:paraId="3D1C76F8" w14:textId="005A0CDF">
            <w:pPr>
              <w:pStyle w:val="Table10Centered"/>
              <w:spacing w:before="0" w:after="0"/>
              <w:ind w:left="-20" w:right="-20"/>
            </w:pPr>
            <w:r>
              <w:t>600</w:t>
            </w:r>
          </w:p>
        </w:tc>
        <w:tc>
          <w:tcPr>
            <w:tcW w:w="1063" w:type="dxa"/>
          </w:tcPr>
          <w:p w:rsidR="00E62E62" w:rsidRPr="00BB7053" w:rsidP="002E08B3" w14:paraId="080CEDA0" w14:textId="08B5E128">
            <w:pPr>
              <w:pStyle w:val="Table10Centered"/>
              <w:spacing w:before="0" w:after="0"/>
              <w:ind w:left="-20" w:right="-20"/>
            </w:pPr>
            <w:r>
              <w:t>129.28</w:t>
            </w:r>
          </w:p>
        </w:tc>
        <w:tc>
          <w:tcPr>
            <w:tcW w:w="1238" w:type="dxa"/>
          </w:tcPr>
          <w:p w:rsidR="00E62E62" w:rsidRPr="00BB7053" w:rsidP="002E08B3" w14:paraId="7304CB52" w14:textId="34A67400">
            <w:pPr>
              <w:pStyle w:val="Table10Centered"/>
              <w:spacing w:before="0" w:after="0"/>
              <w:ind w:left="-20" w:right="-20"/>
            </w:pPr>
            <w:r>
              <w:t>77,568</w:t>
            </w:r>
          </w:p>
        </w:tc>
      </w:tr>
      <w:tr w14:paraId="518F9B21" w14:textId="77777777" w:rsidTr="002E08B3">
        <w:tblPrEx>
          <w:tblW w:w="9445" w:type="dxa"/>
          <w:tblLook w:val="04A0"/>
        </w:tblPrEx>
        <w:trPr>
          <w:cantSplit/>
        </w:trPr>
        <w:tc>
          <w:tcPr>
            <w:tcW w:w="1408" w:type="dxa"/>
            <w:shd w:val="clear" w:color="auto" w:fill="D9D9D9" w:themeFill="background1" w:themeFillShade="D9"/>
          </w:tcPr>
          <w:p w:rsidR="00E62E62" w:rsidRPr="00BB7053" w:rsidP="002E08B3" w14:paraId="7D6E3CF9" w14:textId="77777777">
            <w:pPr>
              <w:pStyle w:val="Table10Basic"/>
              <w:spacing w:before="0" w:after="0"/>
              <w:ind w:left="-20" w:right="-20"/>
            </w:pPr>
            <w:r>
              <w:t>Adjustment</w:t>
            </w:r>
          </w:p>
        </w:tc>
        <w:tc>
          <w:tcPr>
            <w:tcW w:w="1376" w:type="dxa"/>
            <w:shd w:val="clear" w:color="auto" w:fill="D9D9D9" w:themeFill="background1" w:themeFillShade="D9"/>
          </w:tcPr>
          <w:p w:rsidR="00E62E62" w:rsidRPr="00BB7053" w:rsidP="002E08B3" w14:paraId="09260942" w14:textId="70BCF465">
            <w:pPr>
              <w:pStyle w:val="Table10Centered"/>
              <w:spacing w:before="0" w:after="0"/>
              <w:ind w:left="-20" w:right="-20"/>
            </w:pPr>
            <w:r>
              <w:t>-431</w:t>
            </w:r>
          </w:p>
        </w:tc>
        <w:tc>
          <w:tcPr>
            <w:tcW w:w="1107" w:type="dxa"/>
            <w:shd w:val="clear" w:color="auto" w:fill="D9D9D9" w:themeFill="background1" w:themeFillShade="D9"/>
          </w:tcPr>
          <w:p w:rsidR="00E62E62" w:rsidRPr="00BB7053" w:rsidP="002E08B3" w14:paraId="133DD291" w14:textId="12C36CA6">
            <w:pPr>
              <w:pStyle w:val="Table10Centered"/>
              <w:spacing w:before="0" w:after="0"/>
              <w:ind w:left="-20" w:right="-20"/>
            </w:pPr>
            <w:r w:rsidRPr="00B7095A">
              <w:t>No change</w:t>
            </w:r>
          </w:p>
        </w:tc>
        <w:tc>
          <w:tcPr>
            <w:tcW w:w="1144" w:type="dxa"/>
            <w:shd w:val="clear" w:color="auto" w:fill="D9D9D9" w:themeFill="background1" w:themeFillShade="D9"/>
          </w:tcPr>
          <w:p w:rsidR="00E62E62" w:rsidRPr="00BB7053" w:rsidP="002E08B3" w14:paraId="45C3B0E2" w14:textId="1BF8C313">
            <w:pPr>
              <w:pStyle w:val="Table10Centered"/>
              <w:spacing w:before="0" w:after="0"/>
              <w:ind w:left="-20" w:right="-20"/>
            </w:pPr>
            <w:r>
              <w:t>-431</w:t>
            </w:r>
          </w:p>
        </w:tc>
        <w:tc>
          <w:tcPr>
            <w:tcW w:w="1127" w:type="dxa"/>
            <w:shd w:val="clear" w:color="auto" w:fill="D9D9D9" w:themeFill="background1" w:themeFillShade="D9"/>
          </w:tcPr>
          <w:p w:rsidR="00E62E62" w:rsidRPr="00BB7053" w:rsidP="002E08B3" w14:paraId="7F65AE62" w14:textId="17440632">
            <w:pPr>
              <w:pStyle w:val="Table10Centered"/>
              <w:spacing w:before="0" w:after="0"/>
              <w:ind w:left="-20" w:right="-20"/>
            </w:pPr>
            <w:r w:rsidRPr="00B7095A">
              <w:t>No change</w:t>
            </w:r>
          </w:p>
        </w:tc>
        <w:tc>
          <w:tcPr>
            <w:tcW w:w="982" w:type="dxa"/>
            <w:shd w:val="clear" w:color="auto" w:fill="D9D9D9" w:themeFill="background1" w:themeFillShade="D9"/>
          </w:tcPr>
          <w:p w:rsidR="00E62E62" w:rsidRPr="00BB7053" w:rsidP="002E08B3" w14:paraId="7ADFCF19" w14:textId="31607776">
            <w:pPr>
              <w:pStyle w:val="Table10Centered"/>
              <w:spacing w:before="0" w:after="0"/>
              <w:ind w:left="-20" w:right="-20"/>
            </w:pPr>
            <w:r>
              <w:t>-2,155</w:t>
            </w:r>
          </w:p>
        </w:tc>
        <w:tc>
          <w:tcPr>
            <w:tcW w:w="1063" w:type="dxa"/>
            <w:shd w:val="clear" w:color="auto" w:fill="D9D9D9" w:themeFill="background1" w:themeFillShade="D9"/>
          </w:tcPr>
          <w:p w:rsidR="00E62E62" w:rsidRPr="00BB7053" w:rsidP="002E08B3" w14:paraId="7718E8B1" w14:textId="0ED29492">
            <w:pPr>
              <w:pStyle w:val="Table10Centered"/>
              <w:spacing w:before="0" w:after="0"/>
              <w:ind w:left="-20" w:right="-20"/>
            </w:pPr>
            <w:r w:rsidRPr="00B7095A">
              <w:t>No change</w:t>
            </w:r>
          </w:p>
        </w:tc>
        <w:tc>
          <w:tcPr>
            <w:tcW w:w="1238" w:type="dxa"/>
            <w:shd w:val="clear" w:color="auto" w:fill="D9D9D9" w:themeFill="background1" w:themeFillShade="D9"/>
          </w:tcPr>
          <w:p w:rsidR="00E62E62" w:rsidRPr="00BB7053" w:rsidP="002E08B3" w14:paraId="11A3BCD3" w14:textId="5CD3AF40">
            <w:pPr>
              <w:pStyle w:val="Table10Centered"/>
              <w:spacing w:before="0" w:after="0"/>
              <w:ind w:left="-20" w:right="-20"/>
            </w:pPr>
            <w:r>
              <w:t>-278,598</w:t>
            </w:r>
          </w:p>
        </w:tc>
      </w:tr>
    </w:tbl>
    <w:p w:rsidR="00312E88" w:rsidP="00361BB4" w14:paraId="3F62561F" w14:textId="722CA5F8">
      <w:pPr>
        <w:pStyle w:val="BodyText"/>
      </w:pPr>
      <w:r>
        <w:t xml:space="preserve">Table </w:t>
      </w:r>
      <w:r w:rsidR="2301B6B6">
        <w:t>3</w:t>
      </w:r>
      <w:r w:rsidR="679B933D">
        <w:t>1</w:t>
      </w:r>
      <w:r>
        <w:t xml:space="preserve"> </w:t>
      </w:r>
      <w:r w:rsidR="68BF3BF4">
        <w:t>provides the reasons for changes in the estimated burden for</w:t>
      </w:r>
      <w:r w:rsidR="63C09376">
        <w:t xml:space="preserve"> </w:t>
      </w:r>
      <w:r w:rsidR="00CF665B">
        <w:t xml:space="preserve">finalized </w:t>
      </w:r>
      <w:r w:rsidR="0AD76ADF">
        <w:t>policies and</w:t>
      </w:r>
      <w:r w:rsidR="68BF3BF4">
        <w:t xml:space="preserve"> information collections </w:t>
      </w:r>
      <w:r w:rsidR="0AD76ADF">
        <w:t xml:space="preserve">for the CY </w:t>
      </w:r>
      <w:r w:rsidR="3C05CE81">
        <w:t xml:space="preserve">2025 </w:t>
      </w:r>
      <w:r w:rsidR="0AD76ADF">
        <w:t>performance period</w:t>
      </w:r>
      <w:r w:rsidR="77D8854A">
        <w:t>/</w:t>
      </w:r>
      <w:r w:rsidR="3C05CE81">
        <w:t xml:space="preserve">2027 </w:t>
      </w:r>
      <w:r w:rsidR="77D8854A">
        <w:t>MIPS payment year</w:t>
      </w:r>
      <w:r w:rsidR="0AD76ADF">
        <w:t xml:space="preserve"> set forth </w:t>
      </w:r>
      <w:r w:rsidR="68BF3BF4">
        <w:t xml:space="preserve">in </w:t>
      </w:r>
      <w:r w:rsidR="03A1A041">
        <w:t xml:space="preserve">the CY </w:t>
      </w:r>
      <w:r w:rsidR="3C05CE81">
        <w:t xml:space="preserve">2025 </w:t>
      </w:r>
      <w:r w:rsidR="6768B3C8">
        <w:t>PFS</w:t>
      </w:r>
      <w:r w:rsidR="13127F57">
        <w:t xml:space="preserve"> </w:t>
      </w:r>
      <w:r w:rsidR="00DA0C21">
        <w:t xml:space="preserve">final </w:t>
      </w:r>
      <w:r w:rsidR="68BF3BF4">
        <w:t xml:space="preserve">rule. We have divided the reasons for </w:t>
      </w:r>
      <w:r w:rsidR="3C05CE81">
        <w:t xml:space="preserve">the </w:t>
      </w:r>
      <w:r w:rsidR="68BF3BF4">
        <w:t xml:space="preserve">change in burden into those related to </w:t>
      </w:r>
      <w:r w:rsidR="003203CE">
        <w:t xml:space="preserve">newly finalized </w:t>
      </w:r>
      <w:r w:rsidR="68BF3BF4">
        <w:t xml:space="preserve">policies and those related </w:t>
      </w:r>
      <w:r w:rsidR="6127497D">
        <w:t xml:space="preserve">to </w:t>
      </w:r>
      <w:r w:rsidR="72FA538F">
        <w:t xml:space="preserve">updated data and </w:t>
      </w:r>
      <w:r w:rsidR="4E1E3277">
        <w:t>methods for</w:t>
      </w:r>
      <w:r w:rsidR="4A7AD4A6">
        <w:t xml:space="preserve"> the </w:t>
      </w:r>
      <w:r w:rsidR="4E1E3277">
        <w:t xml:space="preserve">CY </w:t>
      </w:r>
      <w:r w:rsidR="3C05CE81">
        <w:t xml:space="preserve">2025 </w:t>
      </w:r>
      <w:r w:rsidR="4E1E3277">
        <w:t>performance period</w:t>
      </w:r>
      <w:r w:rsidR="77D8854A">
        <w:t>/20</w:t>
      </w:r>
      <w:r w:rsidR="74B13719">
        <w:t>2</w:t>
      </w:r>
      <w:r w:rsidR="3C05CE81">
        <w:t>7</w:t>
      </w:r>
      <w:r w:rsidR="74B13719">
        <w:t xml:space="preserve"> MIPS payment year</w:t>
      </w:r>
      <w:r w:rsidR="592272FE">
        <w:t xml:space="preserve"> burden</w:t>
      </w:r>
      <w:r w:rsidR="4E1E3277">
        <w:t xml:space="preserve"> set forth in the CY </w:t>
      </w:r>
      <w:r w:rsidR="3C05CE81">
        <w:t xml:space="preserve">2024 </w:t>
      </w:r>
      <w:r w:rsidR="4E1E3277">
        <w:t>PFS final rule</w:t>
      </w:r>
      <w:r>
        <w:t xml:space="preserve">. </w:t>
      </w:r>
    </w:p>
    <w:p w:rsidR="00333EB4" w:rsidRPr="00B4168B" w:rsidP="00361BB4" w14:paraId="39BD61DA" w14:textId="77E52DE9">
      <w:pPr>
        <w:pStyle w:val="ExhibitTitle"/>
        <w:rPr>
          <w:b w:val="0"/>
          <w:bCs/>
        </w:rPr>
      </w:pPr>
      <w:bookmarkStart w:id="199" w:name="_Hlk186720969"/>
      <w:r w:rsidRPr="00B4168B">
        <w:rPr>
          <w:b w:val="0"/>
          <w:bCs/>
        </w:rPr>
        <w:t>T</w:t>
      </w:r>
      <w:r w:rsidRPr="00B4168B" w:rsidR="59DA98C3">
        <w:rPr>
          <w:b w:val="0"/>
          <w:bCs/>
        </w:rPr>
        <w:t>able</w:t>
      </w:r>
      <w:r w:rsidRPr="00B4168B">
        <w:rPr>
          <w:b w:val="0"/>
          <w:bCs/>
        </w:rPr>
        <w:t xml:space="preserve"> </w:t>
      </w:r>
      <w:r w:rsidRPr="00B4168B" w:rsidR="584D82CD">
        <w:rPr>
          <w:b w:val="0"/>
          <w:bCs/>
        </w:rPr>
        <w:t>3</w:t>
      </w:r>
      <w:r w:rsidRPr="00B4168B" w:rsidR="6AC30EE1">
        <w:rPr>
          <w:b w:val="0"/>
          <w:bCs/>
        </w:rPr>
        <w:t>1</w:t>
      </w:r>
      <w:r w:rsidRPr="00B4168B">
        <w:rPr>
          <w:b w:val="0"/>
          <w:bCs/>
        </w:rPr>
        <w:t xml:space="preserve">: Reasons for Change in Burden Compared to the Currently Approved CY </w:t>
      </w:r>
      <w:r w:rsidRPr="00B4168B" w:rsidR="4F2056E6">
        <w:rPr>
          <w:b w:val="0"/>
          <w:bCs/>
        </w:rPr>
        <w:t xml:space="preserve">2024 </w:t>
      </w:r>
      <w:r w:rsidRPr="00B4168B">
        <w:rPr>
          <w:b w:val="0"/>
          <w:bCs/>
        </w:rPr>
        <w:t>Information Collection Burden</w:t>
      </w:r>
    </w:p>
    <w:tbl>
      <w:tblPr>
        <w:tblStyle w:val="TableGrid"/>
        <w:tblDescription w:val="Table 31: the reasons for the change in estimated change in burden to our currently approved burden estimates."/>
        <w:tblW w:w="9445" w:type="dxa"/>
        <w:tblLook w:val="04A0"/>
      </w:tblPr>
      <w:tblGrid>
        <w:gridCol w:w="3235"/>
        <w:gridCol w:w="2790"/>
        <w:gridCol w:w="3420"/>
      </w:tblGrid>
      <w:tr w14:paraId="1207708B" w14:textId="2E4A1B31" w:rsidTr="00D55FD9">
        <w:tblPrEx>
          <w:tblW w:w="9445" w:type="dxa"/>
          <w:tblLook w:val="04A0"/>
        </w:tblPrEx>
        <w:trPr>
          <w:cantSplit/>
          <w:trHeight w:val="20"/>
          <w:tblHeader/>
        </w:trPr>
        <w:tc>
          <w:tcPr>
            <w:tcW w:w="3235" w:type="dxa"/>
            <w:hideMark/>
          </w:tcPr>
          <w:bookmarkEnd w:id="199"/>
          <w:p w:rsidR="00333EB4" w:rsidRPr="00DE6979" w:rsidP="002E08B3" w14:paraId="315FAB68" w14:textId="2D56F763">
            <w:pPr>
              <w:pStyle w:val="Table10-ColumnHeading"/>
              <w:ind w:left="-20"/>
              <w:jc w:val="left"/>
            </w:pPr>
            <w:r w:rsidRPr="061F9AC0">
              <w:t>Table in Information</w:t>
            </w:r>
            <w:r w:rsidRPr="061F9AC0" w:rsidR="58998A8D">
              <w:t xml:space="preserve"> </w:t>
            </w:r>
            <w:r w:rsidRPr="061F9AC0">
              <w:t>Collection</w:t>
            </w:r>
          </w:p>
        </w:tc>
        <w:tc>
          <w:tcPr>
            <w:tcW w:w="2790" w:type="dxa"/>
            <w:hideMark/>
          </w:tcPr>
          <w:p w:rsidR="00333EB4" w:rsidRPr="00DE6979" w:rsidP="00361BB4" w14:paraId="3E3F8C00" w14:textId="35E81C59">
            <w:pPr>
              <w:pStyle w:val="Table10-ColumnHeading"/>
            </w:pPr>
            <w:r w:rsidRPr="00DE6979">
              <w:t xml:space="preserve">Changes in </w:t>
            </w:r>
            <w:r w:rsidR="00BE2661">
              <w:t>B</w:t>
            </w:r>
            <w:r w:rsidRPr="00DE6979">
              <w:t xml:space="preserve">urden </w:t>
            </w:r>
            <w:r w:rsidR="00BE2661">
              <w:t>D</w:t>
            </w:r>
            <w:r w:rsidRPr="00DE6979">
              <w:t xml:space="preserve">ue to </w:t>
            </w:r>
            <w:r w:rsidRPr="00155BDA" w:rsidR="00155BDA">
              <w:t xml:space="preserve">CY </w:t>
            </w:r>
            <w:r w:rsidRPr="00155BDA" w:rsidR="00BE2661">
              <w:t>202</w:t>
            </w:r>
            <w:r w:rsidR="00BE2661">
              <w:t xml:space="preserve">5 </w:t>
            </w:r>
            <w:r w:rsidR="00DA0C21">
              <w:t xml:space="preserve">Final </w:t>
            </w:r>
            <w:r w:rsidR="00BE2661">
              <w:t>Rule P</w:t>
            </w:r>
            <w:r w:rsidRPr="00DE6979">
              <w:t>olicies</w:t>
            </w:r>
          </w:p>
        </w:tc>
        <w:tc>
          <w:tcPr>
            <w:tcW w:w="3420" w:type="dxa"/>
            <w:hideMark/>
          </w:tcPr>
          <w:p w:rsidR="00333EB4" w:rsidRPr="00DE6979" w:rsidP="00361BB4" w14:paraId="26EA9FF6" w14:textId="42467821">
            <w:pPr>
              <w:pStyle w:val="Table10-ColumnHeading"/>
            </w:pPr>
            <w:bookmarkStart w:id="200" w:name="_Hlk186722276"/>
            <w:r w:rsidRPr="00356D13">
              <w:rPr>
                <w:color w:val="000000" w:themeColor="text1"/>
              </w:rPr>
              <w:t xml:space="preserve">Adjustments in </w:t>
            </w:r>
            <w:r w:rsidR="00BE2661">
              <w:rPr>
                <w:color w:val="000000" w:themeColor="text1"/>
              </w:rPr>
              <w:t>B</w:t>
            </w:r>
            <w:r w:rsidRPr="00356D13">
              <w:rPr>
                <w:color w:val="000000" w:themeColor="text1"/>
              </w:rPr>
              <w:t xml:space="preserve">urden </w:t>
            </w:r>
            <w:r w:rsidR="00BE2661">
              <w:rPr>
                <w:color w:val="000000" w:themeColor="text1"/>
              </w:rPr>
              <w:t>C</w:t>
            </w:r>
            <w:r w:rsidRPr="00356D13">
              <w:rPr>
                <w:color w:val="000000" w:themeColor="text1"/>
              </w:rPr>
              <w:t xml:space="preserve">ontinued from CY </w:t>
            </w:r>
            <w:r w:rsidRPr="00356D13" w:rsidR="00BE2661">
              <w:rPr>
                <w:color w:val="000000" w:themeColor="text1"/>
              </w:rPr>
              <w:t>202</w:t>
            </w:r>
            <w:r w:rsidR="00BE2661">
              <w:rPr>
                <w:color w:val="000000" w:themeColor="text1"/>
              </w:rPr>
              <w:t>4</w:t>
            </w:r>
            <w:r w:rsidRPr="00356D13" w:rsidR="00BE2661">
              <w:rPr>
                <w:color w:val="000000" w:themeColor="text1"/>
              </w:rPr>
              <w:t xml:space="preserve"> </w:t>
            </w:r>
            <w:r w:rsidRPr="00356D13">
              <w:rPr>
                <w:color w:val="000000" w:themeColor="text1"/>
              </w:rPr>
              <w:t xml:space="preserve">PFS </w:t>
            </w:r>
            <w:r w:rsidR="00BE2661">
              <w:rPr>
                <w:color w:val="000000" w:themeColor="text1"/>
              </w:rPr>
              <w:t>F</w:t>
            </w:r>
            <w:r w:rsidRPr="00356D13">
              <w:rPr>
                <w:color w:val="000000" w:themeColor="text1"/>
              </w:rPr>
              <w:t xml:space="preserve">inal </w:t>
            </w:r>
            <w:r w:rsidR="00BE2661">
              <w:rPr>
                <w:color w:val="000000" w:themeColor="text1"/>
              </w:rPr>
              <w:t>R</w:t>
            </w:r>
            <w:r w:rsidRPr="00356D13">
              <w:rPr>
                <w:color w:val="000000" w:themeColor="text1"/>
              </w:rPr>
              <w:t xml:space="preserve">ule </w:t>
            </w:r>
            <w:r w:rsidR="00BE2661">
              <w:rPr>
                <w:color w:val="000000" w:themeColor="text1"/>
              </w:rPr>
              <w:t>P</w:t>
            </w:r>
            <w:r w:rsidRPr="00356D13">
              <w:rPr>
                <w:color w:val="000000" w:themeColor="text1"/>
              </w:rPr>
              <w:t xml:space="preserve">olicies </w:t>
            </w:r>
            <w:r w:rsidR="00BE2661">
              <w:rPr>
                <w:color w:val="000000" w:themeColor="text1"/>
              </w:rPr>
              <w:t>D</w:t>
            </w:r>
            <w:r w:rsidRPr="00356D13">
              <w:rPr>
                <w:color w:val="000000" w:themeColor="text1"/>
              </w:rPr>
              <w:t xml:space="preserve">ue to </w:t>
            </w:r>
            <w:r w:rsidR="00BE2661">
              <w:rPr>
                <w:color w:val="000000" w:themeColor="text1"/>
              </w:rPr>
              <w:t>R</w:t>
            </w:r>
            <w:r w:rsidRPr="00356D13">
              <w:rPr>
                <w:color w:val="000000" w:themeColor="text1"/>
              </w:rPr>
              <w:t xml:space="preserve">evised </w:t>
            </w:r>
            <w:r w:rsidR="00BE2661">
              <w:rPr>
                <w:color w:val="000000" w:themeColor="text1"/>
              </w:rPr>
              <w:t>M</w:t>
            </w:r>
            <w:r w:rsidRPr="00356D13">
              <w:rPr>
                <w:color w:val="000000" w:themeColor="text1"/>
              </w:rPr>
              <w:t xml:space="preserve">ethods or </w:t>
            </w:r>
            <w:r w:rsidR="00BE2661">
              <w:rPr>
                <w:color w:val="000000" w:themeColor="text1"/>
              </w:rPr>
              <w:t>U</w:t>
            </w:r>
            <w:r w:rsidRPr="00356D13">
              <w:rPr>
                <w:color w:val="000000" w:themeColor="text1"/>
              </w:rPr>
              <w:t xml:space="preserve">pdated </w:t>
            </w:r>
            <w:r w:rsidR="00BE2661">
              <w:rPr>
                <w:color w:val="000000" w:themeColor="text1"/>
              </w:rPr>
              <w:t>D</w:t>
            </w:r>
            <w:r w:rsidRPr="00356D13">
              <w:rPr>
                <w:color w:val="000000" w:themeColor="text1"/>
              </w:rPr>
              <w:t>ata</w:t>
            </w:r>
            <w:bookmarkEnd w:id="200"/>
          </w:p>
        </w:tc>
      </w:tr>
      <w:tr w14:paraId="20BB2516" w14:textId="7BA7372A" w:rsidTr="00D55FD9">
        <w:tblPrEx>
          <w:tblW w:w="9445" w:type="dxa"/>
          <w:tblLook w:val="04A0"/>
        </w:tblPrEx>
        <w:trPr>
          <w:cantSplit/>
          <w:trHeight w:val="20"/>
        </w:trPr>
        <w:tc>
          <w:tcPr>
            <w:tcW w:w="3235" w:type="dxa"/>
            <w:hideMark/>
          </w:tcPr>
          <w:p w:rsidR="003C7350" w:rsidRPr="00DE6979" w:rsidP="00361BB4" w14:paraId="15854D25" w14:textId="247B60FB">
            <w:pPr>
              <w:pStyle w:val="Table10Basic"/>
            </w:pPr>
            <w:r w:rsidRPr="5B5F5372">
              <w:t>Table 3</w:t>
            </w:r>
            <w:r w:rsidRPr="5B5F5372" w:rsidR="74348E61">
              <w:t>0</w:t>
            </w:r>
            <w:r w:rsidRPr="5B5F5372" w:rsidR="0FAF8C87">
              <w:t>A</w:t>
            </w:r>
            <w:r w:rsidRPr="5B5F5372">
              <w:t xml:space="preserve">: </w:t>
            </w:r>
            <w:r w:rsidRPr="5B5F5372" w:rsidR="3842770E">
              <w:t xml:space="preserve">Simplified </w:t>
            </w:r>
            <w:r w:rsidRPr="5B5F5372">
              <w:t>Qualified Registry</w:t>
            </w:r>
            <w:r w:rsidRPr="5B5F5372" w:rsidR="565D60E5">
              <w:t xml:space="preserve"> </w:t>
            </w:r>
            <w:r w:rsidRPr="5B5F5372">
              <w:t>Self-Nomination and Other Requirements</w:t>
            </w:r>
          </w:p>
        </w:tc>
        <w:tc>
          <w:tcPr>
            <w:tcW w:w="2790" w:type="dxa"/>
            <w:hideMark/>
          </w:tcPr>
          <w:p w:rsidR="003C7350" w:rsidRPr="00DE6979" w:rsidP="00361BB4" w14:paraId="35ED337F" w14:textId="3FC0B329">
            <w:pPr>
              <w:pStyle w:val="Table10Centered"/>
            </w:pPr>
            <w:r>
              <w:t>None</w:t>
            </w:r>
          </w:p>
        </w:tc>
        <w:tc>
          <w:tcPr>
            <w:tcW w:w="3420" w:type="dxa"/>
            <w:hideMark/>
          </w:tcPr>
          <w:p w:rsidR="003C7350" w:rsidRPr="00584C50" w:rsidP="00361BB4" w14:paraId="7C31E214" w14:textId="66C9C1E2">
            <w:pPr>
              <w:pStyle w:val="Table10Basic"/>
              <w:rPr>
                <w:i/>
              </w:rPr>
            </w:pPr>
            <w:r w:rsidRPr="00584C50">
              <w:rPr>
                <w:rFonts w:eastAsia="Calibri"/>
              </w:rPr>
              <w:t xml:space="preserve">Decrease of </w:t>
            </w:r>
            <w:r w:rsidRPr="00584C50" w:rsidR="00942127">
              <w:rPr>
                <w:rFonts w:eastAsia="Calibri"/>
              </w:rPr>
              <w:t>10</w:t>
            </w:r>
            <w:r w:rsidRPr="00584C50" w:rsidR="004A3A0F">
              <w:rPr>
                <w:rFonts w:eastAsia="Calibri"/>
              </w:rPr>
              <w:t xml:space="preserve"> </w:t>
            </w:r>
            <w:r w:rsidRPr="00584C50">
              <w:rPr>
                <w:rFonts w:eastAsia="Calibri"/>
              </w:rPr>
              <w:t>respondents</w:t>
            </w:r>
            <w:r w:rsidRPr="00584C50" w:rsidR="004A3A0F">
              <w:rPr>
                <w:rFonts w:eastAsia="Calibri"/>
              </w:rPr>
              <w:t xml:space="preserve"> </w:t>
            </w:r>
            <w:r w:rsidRPr="00584C50" w:rsidR="004B58E7">
              <w:rPr>
                <w:rFonts w:eastAsia="Calibri"/>
              </w:rPr>
              <w:t xml:space="preserve">and </w:t>
            </w:r>
            <w:r w:rsidRPr="00584C50" w:rsidR="00965FBC">
              <w:rPr>
                <w:rFonts w:eastAsia="Calibri"/>
              </w:rPr>
              <w:t>5</w:t>
            </w:r>
            <w:r w:rsidRPr="00584C50" w:rsidR="004B58E7">
              <w:rPr>
                <w:rFonts w:eastAsia="Calibri"/>
              </w:rPr>
              <w:t xml:space="preserve"> hours</w:t>
            </w:r>
            <w:r w:rsidRPr="00584C50">
              <w:rPr>
                <w:rFonts w:eastAsia="Calibri"/>
              </w:rPr>
              <w:t xml:space="preserve"> due to updated</w:t>
            </w:r>
            <w:r w:rsidRPr="00584C50" w:rsidR="0029091F">
              <w:rPr>
                <w:rFonts w:eastAsia="Calibri"/>
              </w:rPr>
              <w:t xml:space="preserve"> </w:t>
            </w:r>
            <w:r w:rsidRPr="00584C50" w:rsidR="00AA719D">
              <w:rPr>
                <w:rFonts w:eastAsia="Calibri"/>
              </w:rPr>
              <w:t>data</w:t>
            </w:r>
            <w:r w:rsidRPr="00584C50">
              <w:t>.</w:t>
            </w:r>
          </w:p>
        </w:tc>
      </w:tr>
      <w:tr w14:paraId="1E1C3755" w14:textId="77777777" w:rsidTr="00D55FD9">
        <w:tblPrEx>
          <w:tblW w:w="9445" w:type="dxa"/>
          <w:tblLook w:val="04A0"/>
        </w:tblPrEx>
        <w:trPr>
          <w:cantSplit/>
          <w:trHeight w:val="20"/>
        </w:trPr>
        <w:tc>
          <w:tcPr>
            <w:tcW w:w="3235" w:type="dxa"/>
          </w:tcPr>
          <w:p w:rsidR="002C144A" w:rsidRPr="00DE6979" w:rsidP="00361BB4" w14:paraId="577F832A" w14:textId="6FC052EB">
            <w:pPr>
              <w:pStyle w:val="Table10Basic"/>
            </w:pPr>
            <w:r w:rsidRPr="5B5F5372">
              <w:t xml:space="preserve">Table </w:t>
            </w:r>
            <w:r w:rsidRPr="5B5F5372" w:rsidR="0FAF8C87">
              <w:t>3</w:t>
            </w:r>
            <w:r w:rsidRPr="5B5F5372" w:rsidR="27193CCD">
              <w:t>0</w:t>
            </w:r>
            <w:r w:rsidRPr="5B5F5372" w:rsidR="0FAF8C87">
              <w:t>B</w:t>
            </w:r>
            <w:r w:rsidRPr="5B5F5372">
              <w:t xml:space="preserve">: </w:t>
            </w:r>
            <w:r w:rsidRPr="5B5F5372" w:rsidR="3842770E">
              <w:t xml:space="preserve">Full </w:t>
            </w:r>
            <w:r w:rsidRPr="5B5F5372">
              <w:t>Qualified Registry Self-Nomination and Other Requirements</w:t>
            </w:r>
          </w:p>
        </w:tc>
        <w:tc>
          <w:tcPr>
            <w:tcW w:w="2790" w:type="dxa"/>
          </w:tcPr>
          <w:p w:rsidR="002C144A" w:rsidP="00361BB4" w14:paraId="51D7B979" w14:textId="195DDD4B">
            <w:pPr>
              <w:pStyle w:val="Table10Centered"/>
            </w:pPr>
            <w:r>
              <w:t>None</w:t>
            </w:r>
          </w:p>
        </w:tc>
        <w:tc>
          <w:tcPr>
            <w:tcW w:w="3420" w:type="dxa"/>
          </w:tcPr>
          <w:p w:rsidR="002C144A" w:rsidRPr="00584C50" w:rsidP="00361BB4" w14:paraId="5BF34147" w14:textId="651FF0D0">
            <w:pPr>
              <w:pStyle w:val="Table10Basic"/>
              <w:rPr>
                <w:rFonts w:eastAsia="Calibri"/>
              </w:rPr>
            </w:pPr>
            <w:r w:rsidRPr="00584C50">
              <w:rPr>
                <w:rFonts w:eastAsia="Calibri"/>
              </w:rPr>
              <w:t xml:space="preserve">Decrease </w:t>
            </w:r>
            <w:r w:rsidRPr="00584C50" w:rsidR="00D46E9E">
              <w:rPr>
                <w:rFonts w:eastAsia="Calibri"/>
              </w:rPr>
              <w:t>of</w:t>
            </w:r>
            <w:r w:rsidRPr="00584C50" w:rsidR="000540D4">
              <w:rPr>
                <w:rFonts w:eastAsia="Calibri"/>
              </w:rPr>
              <w:t xml:space="preserve"> </w:t>
            </w:r>
            <w:r w:rsidRPr="00584C50">
              <w:rPr>
                <w:rFonts w:eastAsia="Calibri"/>
              </w:rPr>
              <w:t>1</w:t>
            </w:r>
            <w:r w:rsidRPr="00584C50" w:rsidR="000540D4">
              <w:rPr>
                <w:rFonts w:eastAsia="Calibri"/>
              </w:rPr>
              <w:t>3</w:t>
            </w:r>
            <w:r w:rsidRPr="00584C50" w:rsidR="00D46E9E">
              <w:rPr>
                <w:rFonts w:eastAsia="Calibri"/>
              </w:rPr>
              <w:t xml:space="preserve"> respondents </w:t>
            </w:r>
            <w:r w:rsidRPr="00584C50" w:rsidR="000540D4">
              <w:rPr>
                <w:rFonts w:eastAsia="Calibri"/>
              </w:rPr>
              <w:t xml:space="preserve">and </w:t>
            </w:r>
            <w:r w:rsidRPr="00584C50">
              <w:rPr>
                <w:rFonts w:eastAsia="Calibri"/>
              </w:rPr>
              <w:t>2</w:t>
            </w:r>
            <w:r w:rsidRPr="00584C50" w:rsidR="000540D4">
              <w:rPr>
                <w:rFonts w:eastAsia="Calibri"/>
              </w:rPr>
              <w:t xml:space="preserve">6 hours </w:t>
            </w:r>
            <w:r w:rsidRPr="00584C50" w:rsidR="00D46E9E">
              <w:rPr>
                <w:rFonts w:eastAsia="Calibri"/>
              </w:rPr>
              <w:t>due to updated</w:t>
            </w:r>
            <w:r w:rsidRPr="00584C50" w:rsidR="00C03725">
              <w:rPr>
                <w:rFonts w:eastAsia="Calibri"/>
              </w:rPr>
              <w:t xml:space="preserve"> data</w:t>
            </w:r>
            <w:r w:rsidRPr="00584C50" w:rsidR="00D46E9E">
              <w:t>.</w:t>
            </w:r>
          </w:p>
        </w:tc>
      </w:tr>
      <w:tr w14:paraId="1A498568" w14:textId="4709166E" w:rsidTr="00D55FD9">
        <w:tblPrEx>
          <w:tblW w:w="9445" w:type="dxa"/>
          <w:tblLook w:val="04A0"/>
        </w:tblPrEx>
        <w:trPr>
          <w:cantSplit/>
          <w:trHeight w:val="20"/>
        </w:trPr>
        <w:tc>
          <w:tcPr>
            <w:tcW w:w="3235" w:type="dxa"/>
          </w:tcPr>
          <w:p w:rsidR="00AD58E6" w:rsidRPr="00DE6979" w:rsidP="00361BB4" w14:paraId="468A6E5F" w14:textId="790B42DE">
            <w:pPr>
              <w:pStyle w:val="Table10Basic"/>
            </w:pPr>
            <w:r w:rsidRPr="5B5F5372">
              <w:t xml:space="preserve">Table </w:t>
            </w:r>
            <w:r w:rsidRPr="5B5F5372" w:rsidR="0FAF8C87">
              <w:t>3</w:t>
            </w:r>
            <w:r w:rsidRPr="5B5F5372" w:rsidR="4859DAC4">
              <w:t>0</w:t>
            </w:r>
            <w:r w:rsidRPr="5B5F5372" w:rsidR="0FAF8C87">
              <w:t>C</w:t>
            </w:r>
            <w:r w:rsidRPr="5B5F5372">
              <w:t xml:space="preserve">: </w:t>
            </w:r>
            <w:r w:rsidRPr="5B5F5372" w:rsidR="3842770E">
              <w:t xml:space="preserve">Simplified </w:t>
            </w:r>
            <w:r w:rsidRPr="5B5F5372">
              <w:t>QCDR Self-Nomination and Other Requirements</w:t>
            </w:r>
          </w:p>
        </w:tc>
        <w:tc>
          <w:tcPr>
            <w:tcW w:w="2790" w:type="dxa"/>
          </w:tcPr>
          <w:p w:rsidR="00AD58E6" w:rsidRPr="005D14D3" w:rsidP="00361BB4" w14:paraId="47B900E3" w14:textId="674AD10E">
            <w:pPr>
              <w:pStyle w:val="Table10Centered"/>
            </w:pPr>
            <w:r>
              <w:t>None</w:t>
            </w:r>
          </w:p>
        </w:tc>
        <w:tc>
          <w:tcPr>
            <w:tcW w:w="3420" w:type="dxa"/>
          </w:tcPr>
          <w:p w:rsidR="00AD58E6" w:rsidRPr="00DE6979" w:rsidP="00361BB4" w14:paraId="22CC7FA4" w14:textId="4E5713B8">
            <w:pPr>
              <w:pStyle w:val="Table10Basic"/>
            </w:pPr>
            <w:r w:rsidRPr="007A1A31">
              <w:rPr>
                <w:rFonts w:eastAsia="Calibri"/>
              </w:rPr>
              <w:t>Decrease of</w:t>
            </w:r>
            <w:r w:rsidR="000540D4">
              <w:rPr>
                <w:rFonts w:eastAsia="Calibri"/>
              </w:rPr>
              <w:t xml:space="preserve"> </w:t>
            </w:r>
            <w:r w:rsidR="00BF6299">
              <w:rPr>
                <w:rFonts w:eastAsia="Calibri"/>
              </w:rPr>
              <w:t>3</w:t>
            </w:r>
            <w:r w:rsidRPr="007A1A31">
              <w:rPr>
                <w:rFonts w:eastAsia="Calibri"/>
              </w:rPr>
              <w:t xml:space="preserve"> respondents and </w:t>
            </w:r>
            <w:r w:rsidR="00FF2753">
              <w:rPr>
                <w:rFonts w:eastAsia="Calibri"/>
              </w:rPr>
              <w:t>decrease</w:t>
            </w:r>
            <w:r w:rsidRPr="007A1A31" w:rsidR="00FF2753">
              <w:rPr>
                <w:rFonts w:eastAsia="Calibri"/>
              </w:rPr>
              <w:t xml:space="preserve"> </w:t>
            </w:r>
            <w:r w:rsidRPr="007A1A31">
              <w:rPr>
                <w:rFonts w:eastAsia="Calibri"/>
              </w:rPr>
              <w:t xml:space="preserve">of </w:t>
            </w:r>
            <w:r w:rsidR="00FF2753">
              <w:rPr>
                <w:rFonts w:eastAsia="Calibri"/>
              </w:rPr>
              <w:t xml:space="preserve">8 </w:t>
            </w:r>
            <w:r w:rsidRPr="007A1A31">
              <w:rPr>
                <w:rFonts w:eastAsia="Calibri"/>
              </w:rPr>
              <w:t xml:space="preserve">hours due to updated </w:t>
            </w:r>
            <w:r w:rsidR="00C03725">
              <w:rPr>
                <w:rFonts w:eastAsia="Calibri"/>
              </w:rPr>
              <w:t>data.</w:t>
            </w:r>
            <w:r w:rsidRPr="007A1A31">
              <w:rPr>
                <w:rFonts w:eastAsia="Calibri"/>
              </w:rPr>
              <w:t xml:space="preserve"> </w:t>
            </w:r>
          </w:p>
        </w:tc>
      </w:tr>
      <w:tr w14:paraId="179935E7" w14:textId="77777777" w:rsidTr="00D55FD9">
        <w:tblPrEx>
          <w:tblW w:w="9445" w:type="dxa"/>
          <w:tblLook w:val="04A0"/>
        </w:tblPrEx>
        <w:trPr>
          <w:cantSplit/>
          <w:trHeight w:val="20"/>
        </w:trPr>
        <w:tc>
          <w:tcPr>
            <w:tcW w:w="3235" w:type="dxa"/>
          </w:tcPr>
          <w:p w:rsidR="00AE4FC3" w:rsidP="00361BB4" w14:paraId="69714C57" w14:textId="7C51DF2B">
            <w:pPr>
              <w:pStyle w:val="Table10Basic"/>
              <w:rPr>
                <w:color w:val="000000" w:themeColor="text1"/>
              </w:rPr>
            </w:pPr>
            <w:r w:rsidRPr="5B5F5372">
              <w:t xml:space="preserve">Table </w:t>
            </w:r>
            <w:r w:rsidRPr="5B5F5372" w:rsidR="0FAF8C87">
              <w:t>3</w:t>
            </w:r>
            <w:r w:rsidRPr="5B5F5372" w:rsidR="6C7D7732">
              <w:t>0</w:t>
            </w:r>
            <w:r w:rsidRPr="5B5F5372" w:rsidR="0FAF8C87">
              <w:t>D</w:t>
            </w:r>
            <w:r w:rsidRPr="5B5F5372">
              <w:t xml:space="preserve">: </w:t>
            </w:r>
            <w:r w:rsidRPr="5B5F5372" w:rsidR="3842770E">
              <w:t xml:space="preserve">Full </w:t>
            </w:r>
            <w:r w:rsidRPr="5B5F5372">
              <w:t>QCDR Self-Nomination and Other Requirements</w:t>
            </w:r>
          </w:p>
        </w:tc>
        <w:tc>
          <w:tcPr>
            <w:tcW w:w="2790" w:type="dxa"/>
          </w:tcPr>
          <w:p w:rsidR="00AE4FC3" w:rsidP="00361BB4" w14:paraId="3A8A8750" w14:textId="148517EF">
            <w:pPr>
              <w:pStyle w:val="Table10Centered"/>
              <w:rPr>
                <w:color w:val="000000" w:themeColor="text1"/>
              </w:rPr>
            </w:pPr>
            <w:r>
              <w:t>None</w:t>
            </w:r>
          </w:p>
        </w:tc>
        <w:tc>
          <w:tcPr>
            <w:tcW w:w="3420" w:type="dxa"/>
          </w:tcPr>
          <w:p w:rsidR="00AE4FC3" w:rsidRPr="00356D13" w:rsidP="00361BB4" w14:paraId="6F75DC81" w14:textId="2C1A7511">
            <w:pPr>
              <w:pStyle w:val="Table10Basic"/>
              <w:rPr>
                <w:color w:val="000000" w:themeColor="text1"/>
              </w:rPr>
            </w:pPr>
            <w:r>
              <w:rPr>
                <w:rFonts w:eastAsia="Calibri"/>
              </w:rPr>
              <w:t>Decrease of 1</w:t>
            </w:r>
            <w:r w:rsidRPr="007A1A31" w:rsidR="00EB5CA6">
              <w:rPr>
                <w:rFonts w:eastAsia="Calibri"/>
              </w:rPr>
              <w:t xml:space="preserve"> respondent and </w:t>
            </w:r>
            <w:r w:rsidR="00284C99">
              <w:rPr>
                <w:rFonts w:eastAsia="Calibri"/>
              </w:rPr>
              <w:t>decrease of 6</w:t>
            </w:r>
            <w:r w:rsidRPr="007A1A31" w:rsidR="00EB5CA6">
              <w:rPr>
                <w:rFonts w:eastAsia="Calibri"/>
              </w:rPr>
              <w:t xml:space="preserve"> hours due to updated </w:t>
            </w:r>
            <w:r w:rsidR="00EE6E57">
              <w:rPr>
                <w:rFonts w:eastAsia="Calibri"/>
              </w:rPr>
              <w:t>data.</w:t>
            </w:r>
          </w:p>
        </w:tc>
      </w:tr>
      <w:tr w14:paraId="3A4563CD" w14:textId="77777777" w:rsidTr="00D55FD9">
        <w:tblPrEx>
          <w:tblW w:w="9445" w:type="dxa"/>
          <w:tblLook w:val="04A0"/>
        </w:tblPrEx>
        <w:trPr>
          <w:cantSplit/>
          <w:trHeight w:val="20"/>
        </w:trPr>
        <w:tc>
          <w:tcPr>
            <w:tcW w:w="3235" w:type="dxa"/>
          </w:tcPr>
          <w:p w:rsidR="00AE4FC3" w:rsidP="00361BB4" w14:paraId="31782520" w14:textId="01201DC2">
            <w:pPr>
              <w:pStyle w:val="Table10Basic"/>
              <w:rPr>
                <w:rFonts w:eastAsia="Calibri"/>
              </w:rPr>
            </w:pPr>
            <w:r w:rsidRPr="5B5F5372">
              <w:rPr>
                <w:color w:val="000000" w:themeColor="text1"/>
              </w:rPr>
              <w:t>Table</w:t>
            </w:r>
            <w:r w:rsidRPr="5B5F5372" w:rsidR="0FAF8C87">
              <w:rPr>
                <w:color w:val="000000" w:themeColor="text1"/>
              </w:rPr>
              <w:t xml:space="preserve"> 3</w:t>
            </w:r>
            <w:r w:rsidRPr="5B5F5372" w:rsidR="73328122">
              <w:rPr>
                <w:color w:val="000000" w:themeColor="text1"/>
              </w:rPr>
              <w:t>0</w:t>
            </w:r>
            <w:r w:rsidRPr="5B5F5372" w:rsidR="0FAF8C87">
              <w:rPr>
                <w:color w:val="000000" w:themeColor="text1"/>
              </w:rPr>
              <w:t>E</w:t>
            </w:r>
            <w:r w:rsidRPr="5B5F5372" w:rsidR="5D522645">
              <w:rPr>
                <w:color w:val="000000" w:themeColor="text1"/>
              </w:rPr>
              <w:t>:</w:t>
            </w:r>
            <w:r w:rsidRPr="5B5F5372">
              <w:rPr>
                <w:color w:val="000000" w:themeColor="text1"/>
              </w:rPr>
              <w:t xml:space="preserve"> Third Party Intermediary Plan Audits</w:t>
            </w:r>
          </w:p>
        </w:tc>
        <w:tc>
          <w:tcPr>
            <w:tcW w:w="2790" w:type="dxa"/>
          </w:tcPr>
          <w:p w:rsidR="00AE4FC3" w:rsidP="00361BB4" w14:paraId="693505AE" w14:textId="6D980D21">
            <w:pPr>
              <w:pStyle w:val="Table10Centered"/>
            </w:pPr>
            <w:r>
              <w:rPr>
                <w:color w:val="000000" w:themeColor="text1"/>
              </w:rPr>
              <w:t>None</w:t>
            </w:r>
          </w:p>
        </w:tc>
        <w:tc>
          <w:tcPr>
            <w:tcW w:w="3420" w:type="dxa"/>
          </w:tcPr>
          <w:p w:rsidR="00AE4FC3" w:rsidP="00361BB4" w14:paraId="3227C1DF" w14:textId="28A1E0B8">
            <w:pPr>
              <w:pStyle w:val="Table10Basic"/>
              <w:rPr>
                <w:rFonts w:eastAsia="Calibri"/>
              </w:rPr>
            </w:pPr>
            <w:r w:rsidRPr="00584C50">
              <w:rPr>
                <w:rFonts w:eastAsia="Calibri"/>
              </w:rPr>
              <w:t xml:space="preserve">Decrease of </w:t>
            </w:r>
            <w:r w:rsidRPr="00584C50" w:rsidR="00567E1B">
              <w:rPr>
                <w:rFonts w:eastAsia="Calibri"/>
              </w:rPr>
              <w:t>84</w:t>
            </w:r>
            <w:r w:rsidRPr="00584C50" w:rsidR="008020AD">
              <w:rPr>
                <w:rFonts w:eastAsia="Calibri"/>
              </w:rPr>
              <w:t xml:space="preserve"> </w:t>
            </w:r>
            <w:r w:rsidRPr="00584C50">
              <w:rPr>
                <w:rFonts w:eastAsia="Calibri"/>
              </w:rPr>
              <w:t xml:space="preserve">respondents and </w:t>
            </w:r>
            <w:r w:rsidRPr="00584C50" w:rsidR="008020AD">
              <w:rPr>
                <w:rFonts w:eastAsia="Calibri"/>
              </w:rPr>
              <w:t>2</w:t>
            </w:r>
            <w:r w:rsidRPr="00584C50" w:rsidR="00567E1B">
              <w:rPr>
                <w:rFonts w:eastAsia="Calibri"/>
              </w:rPr>
              <w:t>36</w:t>
            </w:r>
            <w:r w:rsidRPr="00584C50" w:rsidR="008020AD">
              <w:rPr>
                <w:rFonts w:eastAsia="Calibri"/>
              </w:rPr>
              <w:t xml:space="preserve"> </w:t>
            </w:r>
            <w:r w:rsidRPr="00584C50">
              <w:rPr>
                <w:rFonts w:eastAsia="Calibri"/>
              </w:rPr>
              <w:t>hours due to updated</w:t>
            </w:r>
            <w:r w:rsidRPr="00584C50" w:rsidR="0029091F">
              <w:rPr>
                <w:rFonts w:eastAsia="Calibri"/>
              </w:rPr>
              <w:t xml:space="preserve"> </w:t>
            </w:r>
            <w:r w:rsidRPr="00584C50" w:rsidR="00EE6E57">
              <w:rPr>
                <w:rFonts w:eastAsia="Calibri"/>
              </w:rPr>
              <w:t>data</w:t>
            </w:r>
            <w:r w:rsidRPr="00584C50">
              <w:t>.</w:t>
            </w:r>
          </w:p>
        </w:tc>
      </w:tr>
      <w:tr w14:paraId="298EDE30" w14:textId="77777777" w:rsidTr="00D55FD9">
        <w:tblPrEx>
          <w:tblW w:w="9445" w:type="dxa"/>
          <w:tblLook w:val="04A0"/>
        </w:tblPrEx>
        <w:trPr>
          <w:cantSplit/>
          <w:trHeight w:val="20"/>
        </w:trPr>
        <w:tc>
          <w:tcPr>
            <w:tcW w:w="3235" w:type="dxa"/>
          </w:tcPr>
          <w:p w:rsidR="004E72DE" w:rsidRPr="00DE6979" w:rsidP="00361BB4" w14:paraId="1C27DA4A" w14:textId="68CE0BBF">
            <w:pPr>
              <w:pStyle w:val="Table10Basic"/>
            </w:pPr>
            <w:r w:rsidRPr="5B5F5372">
              <w:t>Table 3</w:t>
            </w:r>
            <w:r w:rsidRPr="5B5F5372" w:rsidR="356F67B2">
              <w:t>0</w:t>
            </w:r>
            <w:r w:rsidRPr="5B5F5372" w:rsidR="1ED02896">
              <w:t>F</w:t>
            </w:r>
            <w:r w:rsidRPr="5B5F5372">
              <w:t>: Quality Payment Program Identity Management Application Process</w:t>
            </w:r>
          </w:p>
        </w:tc>
        <w:tc>
          <w:tcPr>
            <w:tcW w:w="2790" w:type="dxa"/>
          </w:tcPr>
          <w:p w:rsidR="004E72DE" w:rsidRPr="00653988" w:rsidP="00361BB4" w14:paraId="3FEE1709" w14:textId="533BBAEA">
            <w:pPr>
              <w:pStyle w:val="Table10Centered"/>
            </w:pPr>
            <w:r>
              <w:t>None</w:t>
            </w:r>
          </w:p>
        </w:tc>
        <w:tc>
          <w:tcPr>
            <w:tcW w:w="3420" w:type="dxa"/>
          </w:tcPr>
          <w:p w:rsidR="004E72DE" w:rsidP="00361BB4" w14:paraId="2BF6790E" w14:textId="6536C9A5">
            <w:pPr>
              <w:pStyle w:val="Table10Basic"/>
              <w:rPr>
                <w:rFonts w:eastAsia="Calibri"/>
              </w:rPr>
            </w:pPr>
            <w:r w:rsidRPr="007A1A31">
              <w:rPr>
                <w:rFonts w:eastAsia="Calibri"/>
              </w:rPr>
              <w:t>Decrease of</w:t>
            </w:r>
            <w:r w:rsidR="0016166E">
              <w:rPr>
                <w:rFonts w:eastAsia="Calibri"/>
              </w:rPr>
              <w:t xml:space="preserve"> 263</w:t>
            </w:r>
            <w:r w:rsidRPr="007A1A31">
              <w:rPr>
                <w:rFonts w:eastAsia="Calibri"/>
              </w:rPr>
              <w:t xml:space="preserve"> respondents</w:t>
            </w:r>
            <w:r w:rsidR="001B0D4D">
              <w:rPr>
                <w:rFonts w:eastAsia="Calibri"/>
              </w:rPr>
              <w:t xml:space="preserve"> and 263 hours</w:t>
            </w:r>
            <w:r w:rsidRPr="007A1A31">
              <w:rPr>
                <w:rFonts w:eastAsia="Calibri"/>
              </w:rPr>
              <w:t xml:space="preserve"> due to updated</w:t>
            </w:r>
            <w:r w:rsidR="0029091F">
              <w:rPr>
                <w:rFonts w:eastAsia="Calibri"/>
              </w:rPr>
              <w:t xml:space="preserve"> </w:t>
            </w:r>
            <w:r w:rsidR="008E505D">
              <w:rPr>
                <w:rFonts w:eastAsia="Calibri"/>
              </w:rPr>
              <w:t>data</w:t>
            </w:r>
            <w:r w:rsidRPr="007A1A31">
              <w:t>.</w:t>
            </w:r>
          </w:p>
        </w:tc>
      </w:tr>
      <w:tr w14:paraId="7EF4464C" w14:textId="258D2774" w:rsidTr="00D55FD9">
        <w:tblPrEx>
          <w:tblW w:w="9445" w:type="dxa"/>
          <w:tblLook w:val="04A0"/>
        </w:tblPrEx>
        <w:trPr>
          <w:cantSplit/>
          <w:trHeight w:val="20"/>
        </w:trPr>
        <w:tc>
          <w:tcPr>
            <w:tcW w:w="3235" w:type="dxa"/>
          </w:tcPr>
          <w:p w:rsidR="003F03CE" w:rsidRPr="00DE6979" w:rsidP="00361BB4" w14:paraId="4EF8CAF8" w14:textId="484A5C5B">
            <w:pPr>
              <w:pStyle w:val="Table10Basic"/>
            </w:pPr>
            <w:r w:rsidRPr="5B5F5372">
              <w:t>Table 3</w:t>
            </w:r>
            <w:r w:rsidRPr="5B5F5372" w:rsidR="623D755D">
              <w:t>0</w:t>
            </w:r>
            <w:r w:rsidRPr="5B5F5372" w:rsidR="11109ED7">
              <w:t>G</w:t>
            </w:r>
            <w:r w:rsidRPr="5B5F5372">
              <w:t>: Quality Performance Category Claims Collection Type</w:t>
            </w:r>
          </w:p>
        </w:tc>
        <w:tc>
          <w:tcPr>
            <w:tcW w:w="2790" w:type="dxa"/>
          </w:tcPr>
          <w:p w:rsidR="003F03CE" w:rsidRPr="00DE6979" w:rsidP="00361BB4" w14:paraId="398F5BF8" w14:textId="42D0D2E0">
            <w:pPr>
              <w:pStyle w:val="Table10Basic"/>
            </w:pPr>
            <w:r w:rsidRPr="007A1A31">
              <w:rPr>
                <w:rFonts w:eastAsia="Calibri"/>
              </w:rPr>
              <w:t>Decrease in number of</w:t>
            </w:r>
            <w:r w:rsidR="001B0D4D">
              <w:rPr>
                <w:rFonts w:eastAsia="Calibri"/>
              </w:rPr>
              <w:t xml:space="preserve"> 542</w:t>
            </w:r>
            <w:r w:rsidRPr="007A1A31">
              <w:rPr>
                <w:rFonts w:eastAsia="Calibri"/>
              </w:rPr>
              <w:t xml:space="preserve"> respondents </w:t>
            </w:r>
            <w:r w:rsidR="001B0D4D">
              <w:rPr>
                <w:rFonts w:eastAsia="Calibri"/>
              </w:rPr>
              <w:t xml:space="preserve">and </w:t>
            </w:r>
            <w:r w:rsidR="00794B93">
              <w:rPr>
                <w:rFonts w:eastAsia="Calibri"/>
              </w:rPr>
              <w:t xml:space="preserve">7,697 hours </w:t>
            </w:r>
            <w:r w:rsidRPr="007A1A31">
              <w:rPr>
                <w:rFonts w:eastAsia="Calibri"/>
              </w:rPr>
              <w:t>due to the</w:t>
            </w:r>
            <w:r w:rsidRPr="007A1A31">
              <w:t xml:space="preserve"> estimated</w:t>
            </w:r>
            <w:r w:rsidRPr="007A1A31">
              <w:rPr>
                <w:rFonts w:eastAsia="Calibri"/>
              </w:rPr>
              <w:t xml:space="preserve"> increase in the number of respondents submitting for the MVP quality performance category via the claims collection type due to 6 new MVPs.</w:t>
            </w:r>
            <w:r w:rsidRPr="007A1A31">
              <w:t> </w:t>
            </w:r>
          </w:p>
        </w:tc>
        <w:tc>
          <w:tcPr>
            <w:tcW w:w="3420" w:type="dxa"/>
          </w:tcPr>
          <w:p w:rsidR="003F03CE" w:rsidRPr="00DE6979" w:rsidP="00361BB4" w14:paraId="53690511" w14:textId="2ECC755A">
            <w:pPr>
              <w:pStyle w:val="Table10Basic"/>
              <w:rPr>
                <w:i/>
                <w:iCs/>
              </w:rPr>
            </w:pPr>
            <w:r w:rsidRPr="007A1A31">
              <w:t>Decrease of</w:t>
            </w:r>
            <w:r w:rsidR="00794B93">
              <w:t xml:space="preserve"> 674</w:t>
            </w:r>
            <w:r w:rsidRPr="007A1A31">
              <w:t xml:space="preserve"> respondents </w:t>
            </w:r>
            <w:r w:rsidR="00794B93">
              <w:t xml:space="preserve">and 9,571 hours </w:t>
            </w:r>
            <w:r w:rsidRPr="007A1A31">
              <w:t xml:space="preserve">due to updated </w:t>
            </w:r>
            <w:r w:rsidR="00D35CE4">
              <w:t>data</w:t>
            </w:r>
            <w:r w:rsidRPr="007A1A31">
              <w:t>.</w:t>
            </w:r>
          </w:p>
        </w:tc>
      </w:tr>
      <w:tr w14:paraId="6F1327E3" w14:textId="4A7A5DE2" w:rsidTr="00D55FD9">
        <w:tblPrEx>
          <w:tblW w:w="9445" w:type="dxa"/>
          <w:tblLook w:val="04A0"/>
        </w:tblPrEx>
        <w:trPr>
          <w:cantSplit/>
          <w:trHeight w:val="20"/>
        </w:trPr>
        <w:tc>
          <w:tcPr>
            <w:tcW w:w="3235" w:type="dxa"/>
          </w:tcPr>
          <w:p w:rsidR="00AE4FC3" w:rsidRPr="00DE6979" w:rsidP="00361BB4" w14:paraId="7C39CBBD" w14:textId="53EA47C8">
            <w:pPr>
              <w:pStyle w:val="Table10Basic"/>
            </w:pPr>
            <w:r w:rsidRPr="5B5F5372">
              <w:t xml:space="preserve">Table </w:t>
            </w:r>
            <w:r w:rsidRPr="5B5F5372" w:rsidR="76C28AEC">
              <w:t>3</w:t>
            </w:r>
            <w:r w:rsidRPr="5B5F5372" w:rsidR="656B503D">
              <w:t>0</w:t>
            </w:r>
            <w:r w:rsidRPr="5B5F5372" w:rsidR="3E7A49FF">
              <w:t>H</w:t>
            </w:r>
            <w:r w:rsidRPr="5B5F5372" w:rsidR="76C28AEC">
              <w:t>:</w:t>
            </w:r>
            <w:r w:rsidRPr="5B5F5372" w:rsidR="50C9CD27">
              <w:t xml:space="preserve"> </w:t>
            </w:r>
            <w:r w:rsidRPr="5B5F5372">
              <w:t>Quality Performance Category QCDR/MIPS CQM Collection Type</w:t>
            </w:r>
          </w:p>
        </w:tc>
        <w:tc>
          <w:tcPr>
            <w:tcW w:w="2790" w:type="dxa"/>
          </w:tcPr>
          <w:p w:rsidR="00AE4FC3" w:rsidRPr="00DE6979" w:rsidP="00361BB4" w14:paraId="504A14DC" w14:textId="2AF8B181">
            <w:pPr>
              <w:pStyle w:val="Table10Basic"/>
            </w:pPr>
            <w:r w:rsidRPr="00335C89">
              <w:rPr>
                <w:rFonts w:eastAsia="Calibri"/>
              </w:rPr>
              <w:t>Decrease in number of</w:t>
            </w:r>
            <w:r w:rsidR="0047270D">
              <w:rPr>
                <w:rFonts w:eastAsia="Calibri"/>
              </w:rPr>
              <w:t xml:space="preserve"> 756</w:t>
            </w:r>
            <w:r w:rsidRPr="00335C89">
              <w:rPr>
                <w:rFonts w:eastAsia="Calibri"/>
              </w:rPr>
              <w:t xml:space="preserve"> respondents</w:t>
            </w:r>
            <w:r w:rsidR="0047270D">
              <w:rPr>
                <w:rFonts w:eastAsia="Calibri"/>
              </w:rPr>
              <w:t xml:space="preserve"> and 6,866 hours</w:t>
            </w:r>
            <w:r w:rsidRPr="00335C89">
              <w:rPr>
                <w:rFonts w:eastAsia="Calibri"/>
              </w:rPr>
              <w:t xml:space="preserve"> due to the</w:t>
            </w:r>
            <w:r w:rsidRPr="00335C89">
              <w:t xml:space="preserve"> estimated</w:t>
            </w:r>
            <w:r w:rsidRPr="00335C89">
              <w:rPr>
                <w:rFonts w:eastAsia="Calibri"/>
              </w:rPr>
              <w:t xml:space="preserve"> increase in the number of respondents submitting for the MVP quality performance category via the QCDR and MIPS CQM collection type due to </w:t>
            </w:r>
            <w:r w:rsidR="00B9494B">
              <w:rPr>
                <w:rFonts w:eastAsia="Calibri"/>
              </w:rPr>
              <w:t xml:space="preserve">6 </w:t>
            </w:r>
            <w:r w:rsidRPr="00335C89">
              <w:rPr>
                <w:rFonts w:eastAsia="Calibri"/>
              </w:rPr>
              <w:t>new MVPs.</w:t>
            </w:r>
            <w:r w:rsidRPr="00335C89">
              <w:t> </w:t>
            </w:r>
          </w:p>
        </w:tc>
        <w:tc>
          <w:tcPr>
            <w:tcW w:w="3420" w:type="dxa"/>
          </w:tcPr>
          <w:p w:rsidR="00AE4FC3" w:rsidRPr="00DE6979" w:rsidP="00361BB4" w14:paraId="450F17DC" w14:textId="21BE5FD5">
            <w:pPr>
              <w:pStyle w:val="Table10Basic"/>
              <w:rPr>
                <w:i/>
                <w:iCs/>
              </w:rPr>
            </w:pPr>
            <w:r w:rsidRPr="00335C89">
              <w:t>Increase of</w:t>
            </w:r>
            <w:r w:rsidR="0047270D">
              <w:t xml:space="preserve"> 1,132</w:t>
            </w:r>
            <w:r w:rsidRPr="00335C89">
              <w:t xml:space="preserve"> respondents</w:t>
            </w:r>
            <w:r w:rsidR="0047270D">
              <w:t xml:space="preserve"> and 10,282 hours</w:t>
            </w:r>
            <w:r w:rsidRPr="00335C89">
              <w:t xml:space="preserve"> due to updated </w:t>
            </w:r>
            <w:r w:rsidR="00203F19">
              <w:t>data</w:t>
            </w:r>
            <w:r w:rsidRPr="00335C89">
              <w:t>.</w:t>
            </w:r>
          </w:p>
        </w:tc>
      </w:tr>
      <w:tr w14:paraId="074E09CF" w14:textId="100021D6" w:rsidTr="00D55FD9">
        <w:tblPrEx>
          <w:tblW w:w="9445" w:type="dxa"/>
          <w:tblLook w:val="04A0"/>
        </w:tblPrEx>
        <w:trPr>
          <w:cantSplit/>
          <w:trHeight w:val="20"/>
        </w:trPr>
        <w:tc>
          <w:tcPr>
            <w:tcW w:w="3235" w:type="dxa"/>
          </w:tcPr>
          <w:p w:rsidR="00AE4FC3" w:rsidRPr="00DE6979" w:rsidP="00361BB4" w14:paraId="4CEE2EEB" w14:textId="7B5DC83E">
            <w:pPr>
              <w:pStyle w:val="Table10Basic"/>
            </w:pPr>
            <w:r w:rsidRPr="5B5F5372">
              <w:t xml:space="preserve">Table </w:t>
            </w:r>
            <w:r w:rsidRPr="5B5F5372" w:rsidR="2C209A69">
              <w:t>3</w:t>
            </w:r>
            <w:r w:rsidRPr="5B5F5372" w:rsidR="5BA9214D">
              <w:t>0</w:t>
            </w:r>
            <w:r w:rsidRPr="5B5F5372" w:rsidR="01DB6712">
              <w:t>I</w:t>
            </w:r>
            <w:r w:rsidRPr="5B5F5372">
              <w:t>: Quality Performance Category eCQM Collection Type</w:t>
            </w:r>
          </w:p>
        </w:tc>
        <w:tc>
          <w:tcPr>
            <w:tcW w:w="2790" w:type="dxa"/>
          </w:tcPr>
          <w:p w:rsidR="00AE4FC3" w:rsidRPr="00DE6979" w:rsidP="00361BB4" w14:paraId="688AC629" w14:textId="06B1B1E1">
            <w:pPr>
              <w:pStyle w:val="Table10Basic"/>
            </w:pPr>
            <w:r w:rsidRPr="007A1A31">
              <w:rPr>
                <w:rFonts w:eastAsia="Calibri"/>
              </w:rPr>
              <w:t>Decrease of</w:t>
            </w:r>
            <w:r w:rsidR="001170C1">
              <w:rPr>
                <w:rFonts w:eastAsia="Calibri"/>
              </w:rPr>
              <w:t xml:space="preserve"> 1,208</w:t>
            </w:r>
            <w:r w:rsidRPr="007A1A31">
              <w:rPr>
                <w:rFonts w:eastAsia="Calibri"/>
              </w:rPr>
              <w:t xml:space="preserve"> respondents </w:t>
            </w:r>
            <w:r w:rsidR="001170C1">
              <w:rPr>
                <w:rFonts w:eastAsia="Calibri"/>
              </w:rPr>
              <w:t xml:space="preserve">and 9,664 hours </w:t>
            </w:r>
            <w:r w:rsidRPr="007A1A31">
              <w:rPr>
                <w:rFonts w:eastAsia="Calibri"/>
              </w:rPr>
              <w:t>due to the</w:t>
            </w:r>
            <w:r w:rsidRPr="007A1A31">
              <w:t xml:space="preserve"> estimated</w:t>
            </w:r>
            <w:r w:rsidRPr="007A1A31">
              <w:rPr>
                <w:rFonts w:eastAsia="Calibri"/>
              </w:rPr>
              <w:t xml:space="preserve"> increase in the number of respondents submitting for the MVP quality performance category via the eCQM collection type due to 6 new MVPs.</w:t>
            </w:r>
            <w:r w:rsidRPr="007A1A31">
              <w:t>  </w:t>
            </w:r>
          </w:p>
        </w:tc>
        <w:tc>
          <w:tcPr>
            <w:tcW w:w="3420" w:type="dxa"/>
          </w:tcPr>
          <w:p w:rsidR="00AE4FC3" w:rsidRPr="00DE6979" w:rsidP="00361BB4" w14:paraId="2EE0F61A" w14:textId="14BB6B82">
            <w:pPr>
              <w:pStyle w:val="Table10Basic"/>
              <w:rPr>
                <w:i/>
                <w:iCs/>
              </w:rPr>
            </w:pPr>
            <w:r w:rsidRPr="00921244">
              <w:t xml:space="preserve">Decrease of </w:t>
            </w:r>
            <w:r w:rsidR="00841BD9">
              <w:t xml:space="preserve">327 </w:t>
            </w:r>
            <w:r w:rsidRPr="00921244">
              <w:t xml:space="preserve">respondents </w:t>
            </w:r>
            <w:r w:rsidR="00841BD9">
              <w:t xml:space="preserve">and 2,616 hours </w:t>
            </w:r>
            <w:r w:rsidRPr="00921244">
              <w:t xml:space="preserve">due to updated </w:t>
            </w:r>
            <w:r w:rsidR="006A1C45">
              <w:t>data</w:t>
            </w:r>
            <w:r w:rsidRPr="00921244">
              <w:t>.</w:t>
            </w:r>
          </w:p>
        </w:tc>
      </w:tr>
      <w:tr w14:paraId="3BD4CE47" w14:textId="77777777" w:rsidTr="00D55FD9">
        <w:tblPrEx>
          <w:tblW w:w="9445" w:type="dxa"/>
          <w:tblLook w:val="04A0"/>
        </w:tblPrEx>
        <w:trPr>
          <w:cantSplit/>
          <w:trHeight w:val="20"/>
        </w:trPr>
        <w:tc>
          <w:tcPr>
            <w:tcW w:w="3235" w:type="dxa"/>
          </w:tcPr>
          <w:p w:rsidR="00AE4FC3" w:rsidRPr="00A13D4B" w:rsidP="00361BB4" w14:paraId="3EDBE38E" w14:textId="3AE8D4FD">
            <w:pPr>
              <w:pStyle w:val="Table10Basic"/>
            </w:pPr>
            <w:r w:rsidRPr="00A13D4B">
              <w:t xml:space="preserve">Table </w:t>
            </w:r>
            <w:r w:rsidRPr="00A13D4B" w:rsidR="2C209A69">
              <w:t>3</w:t>
            </w:r>
            <w:r w:rsidRPr="00A13D4B" w:rsidR="386706F7">
              <w:t>0</w:t>
            </w:r>
            <w:r w:rsidRPr="00A13D4B" w:rsidR="08C23CE5">
              <w:t>J</w:t>
            </w:r>
            <w:r w:rsidRPr="00A13D4B" w:rsidR="2BE89743">
              <w:t>:</w:t>
            </w:r>
            <w:r w:rsidRPr="00A13D4B">
              <w:t xml:space="preserve"> MVP Registration</w:t>
            </w:r>
          </w:p>
        </w:tc>
        <w:tc>
          <w:tcPr>
            <w:tcW w:w="2790" w:type="dxa"/>
          </w:tcPr>
          <w:p w:rsidR="00AE4FC3" w:rsidRPr="00A13D4B" w:rsidP="00361BB4" w14:paraId="14B5876B" w14:textId="5F63C362">
            <w:pPr>
              <w:pStyle w:val="Table10Basic"/>
              <w:rPr>
                <w:rFonts w:eastAsia="Calibri"/>
              </w:rPr>
            </w:pPr>
            <w:r w:rsidRPr="00A13D4B">
              <w:rPr>
                <w:rFonts w:eastAsia="Calibri"/>
              </w:rPr>
              <w:t>Increase of</w:t>
            </w:r>
            <w:r w:rsidRPr="00A13D4B" w:rsidR="00EC0207">
              <w:rPr>
                <w:rFonts w:eastAsia="Calibri"/>
              </w:rPr>
              <w:t xml:space="preserve"> 2,506</w:t>
            </w:r>
            <w:r w:rsidRPr="00A13D4B">
              <w:rPr>
                <w:rFonts w:eastAsia="Calibri"/>
              </w:rPr>
              <w:t xml:space="preserve"> respondents </w:t>
            </w:r>
            <w:r w:rsidRPr="00A13D4B" w:rsidR="00EC0207">
              <w:rPr>
                <w:rFonts w:eastAsia="Calibri"/>
              </w:rPr>
              <w:t xml:space="preserve">and 626 hours </w:t>
            </w:r>
            <w:r w:rsidRPr="00A13D4B">
              <w:rPr>
                <w:rFonts w:eastAsia="Calibri"/>
              </w:rPr>
              <w:t>due to 6 new MVPs.</w:t>
            </w:r>
            <w:r w:rsidRPr="00A13D4B">
              <w:t> </w:t>
            </w:r>
          </w:p>
        </w:tc>
        <w:tc>
          <w:tcPr>
            <w:tcW w:w="3420" w:type="dxa"/>
          </w:tcPr>
          <w:p w:rsidR="00AE4FC3" w:rsidRPr="00B05DA4" w:rsidP="00361BB4" w14:paraId="1318DCA1" w14:textId="375C4A21">
            <w:pPr>
              <w:pStyle w:val="Table10Basic"/>
              <w:rPr>
                <w:rFonts w:eastAsia="Calibri"/>
                <w:iCs/>
              </w:rPr>
            </w:pPr>
            <w:r w:rsidRPr="00A13D4B">
              <w:t>Decrease of</w:t>
            </w:r>
            <w:r w:rsidRPr="00A13D4B" w:rsidR="00EC0207">
              <w:t xml:space="preserve"> 5,806</w:t>
            </w:r>
            <w:r w:rsidRPr="00A13D4B">
              <w:t xml:space="preserve"> respondents</w:t>
            </w:r>
            <w:r w:rsidRPr="00A13D4B" w:rsidR="00EC0207">
              <w:t xml:space="preserve"> and 1,451 hours</w:t>
            </w:r>
            <w:r w:rsidRPr="00A13D4B">
              <w:t xml:space="preserve"> due to updated </w:t>
            </w:r>
            <w:r w:rsidRPr="00A13D4B" w:rsidR="009713AC">
              <w:t>data</w:t>
            </w:r>
            <w:r w:rsidRPr="00A13D4B">
              <w:t>.</w:t>
            </w:r>
          </w:p>
        </w:tc>
      </w:tr>
      <w:tr w14:paraId="11FAA9E2" w14:textId="77777777" w:rsidTr="00D55FD9">
        <w:tblPrEx>
          <w:tblW w:w="9445" w:type="dxa"/>
          <w:tblLook w:val="04A0"/>
        </w:tblPrEx>
        <w:trPr>
          <w:cantSplit/>
          <w:trHeight w:val="20"/>
        </w:trPr>
        <w:tc>
          <w:tcPr>
            <w:tcW w:w="3235" w:type="dxa"/>
          </w:tcPr>
          <w:p w:rsidR="00AE4FC3" w:rsidRPr="00A13D4B" w:rsidP="00361BB4" w14:paraId="61693490" w14:textId="6D343154">
            <w:pPr>
              <w:pStyle w:val="Table10Basic"/>
            </w:pPr>
            <w:r w:rsidRPr="00A13D4B">
              <w:t xml:space="preserve">Table </w:t>
            </w:r>
            <w:r w:rsidRPr="00A13D4B" w:rsidR="2C209A69">
              <w:t>3</w:t>
            </w:r>
            <w:r w:rsidRPr="00A13D4B" w:rsidR="3A55BEC4">
              <w:t>0</w:t>
            </w:r>
            <w:r w:rsidRPr="00A13D4B" w:rsidR="66652AA7">
              <w:t>K</w:t>
            </w:r>
            <w:r w:rsidRPr="00A13D4B" w:rsidR="25337D50">
              <w:t>:</w:t>
            </w:r>
            <w:r w:rsidRPr="00A13D4B">
              <w:t xml:space="preserve"> MVP Quality Performance Category Submission</w:t>
            </w:r>
          </w:p>
        </w:tc>
        <w:tc>
          <w:tcPr>
            <w:tcW w:w="2790" w:type="dxa"/>
          </w:tcPr>
          <w:p w:rsidR="00AE4FC3" w:rsidRPr="00A13D4B" w:rsidP="00361BB4" w14:paraId="1C126722" w14:textId="164C235E">
            <w:pPr>
              <w:pStyle w:val="Table10Basic"/>
              <w:rPr>
                <w:rFonts w:eastAsia="Calibri"/>
              </w:rPr>
            </w:pPr>
            <w:r w:rsidRPr="00A13D4B">
              <w:rPr>
                <w:rFonts w:eastAsia="Calibri"/>
              </w:rPr>
              <w:t xml:space="preserve">Increase of </w:t>
            </w:r>
            <w:r w:rsidRPr="00A13D4B" w:rsidR="00ED14E4">
              <w:rPr>
                <w:rFonts w:eastAsia="Calibri"/>
              </w:rPr>
              <w:t xml:space="preserve">2,506 </w:t>
            </w:r>
            <w:r w:rsidRPr="00A13D4B">
              <w:rPr>
                <w:rFonts w:eastAsia="Calibri"/>
              </w:rPr>
              <w:t xml:space="preserve">respondents </w:t>
            </w:r>
            <w:r w:rsidRPr="00A13D4B" w:rsidR="00ED14E4">
              <w:rPr>
                <w:rFonts w:eastAsia="Calibri"/>
              </w:rPr>
              <w:t xml:space="preserve">and 16,031 hours </w:t>
            </w:r>
            <w:r w:rsidRPr="00A13D4B">
              <w:rPr>
                <w:rFonts w:eastAsia="Calibri"/>
              </w:rPr>
              <w:t>due to 6 new MVPs.</w:t>
            </w:r>
            <w:r w:rsidRPr="00A13D4B">
              <w:t> </w:t>
            </w:r>
          </w:p>
        </w:tc>
        <w:tc>
          <w:tcPr>
            <w:tcW w:w="3420" w:type="dxa"/>
          </w:tcPr>
          <w:p w:rsidR="00AE4FC3" w:rsidRPr="00B05DA4" w:rsidP="00361BB4" w14:paraId="090B4FA2" w14:textId="2EE679D6">
            <w:pPr>
              <w:pStyle w:val="Table10Basic"/>
              <w:rPr>
                <w:rFonts w:eastAsia="Calibri"/>
                <w:iCs/>
              </w:rPr>
            </w:pPr>
            <w:r w:rsidRPr="00A13D4B">
              <w:t xml:space="preserve">Decrease of </w:t>
            </w:r>
            <w:r w:rsidRPr="00A13D4B" w:rsidR="00ED14E4">
              <w:t xml:space="preserve">5,806 </w:t>
            </w:r>
            <w:r w:rsidRPr="00A13D4B">
              <w:t xml:space="preserve">respondents </w:t>
            </w:r>
            <w:r w:rsidRPr="00A13D4B" w:rsidR="00ED14E4">
              <w:t xml:space="preserve">and 37,500 hours </w:t>
            </w:r>
            <w:r w:rsidRPr="00A13D4B">
              <w:t xml:space="preserve">due to updated </w:t>
            </w:r>
            <w:r w:rsidRPr="00A13D4B" w:rsidR="009713AC">
              <w:t>data</w:t>
            </w:r>
            <w:r w:rsidRPr="00A13D4B" w:rsidR="00156E6F">
              <w:t>.</w:t>
            </w:r>
            <w:r w:rsidRPr="00921244" w:rsidR="00156E6F">
              <w:t xml:space="preserve"> </w:t>
            </w:r>
          </w:p>
        </w:tc>
      </w:tr>
      <w:tr w14:paraId="192EB4AB" w14:textId="2687EAA5" w:rsidTr="00D55FD9">
        <w:tblPrEx>
          <w:tblW w:w="9445" w:type="dxa"/>
          <w:tblLook w:val="04A0"/>
        </w:tblPrEx>
        <w:trPr>
          <w:cantSplit/>
          <w:trHeight w:val="20"/>
        </w:trPr>
        <w:tc>
          <w:tcPr>
            <w:tcW w:w="3235" w:type="dxa"/>
          </w:tcPr>
          <w:p w:rsidR="00AE4FC3" w:rsidRPr="00DE6979" w:rsidP="00361BB4" w14:paraId="5E30FD0A" w14:textId="783E5C0A">
            <w:pPr>
              <w:pStyle w:val="Table10Basic"/>
            </w:pPr>
            <w:r w:rsidRPr="5B5F5372">
              <w:t xml:space="preserve">Table </w:t>
            </w:r>
            <w:r w:rsidRPr="5B5F5372" w:rsidR="2C209A69">
              <w:t>3</w:t>
            </w:r>
            <w:r w:rsidRPr="5B5F5372" w:rsidR="3F12D72E">
              <w:t>0</w:t>
            </w:r>
            <w:r w:rsidRPr="5B5F5372" w:rsidR="31F1FCFA">
              <w:t>L</w:t>
            </w:r>
            <w:r w:rsidRPr="5B5F5372" w:rsidR="25337D50">
              <w:t>:</w:t>
            </w:r>
            <w:r w:rsidRPr="5B5F5372">
              <w:t xml:space="preserve"> Call for Quality Measures</w:t>
            </w:r>
          </w:p>
        </w:tc>
        <w:tc>
          <w:tcPr>
            <w:tcW w:w="2790" w:type="dxa"/>
          </w:tcPr>
          <w:p w:rsidR="00AE4FC3" w:rsidRPr="00485C90" w:rsidP="00361BB4" w14:paraId="186861B8" w14:textId="062D8E0C">
            <w:pPr>
              <w:pStyle w:val="Table10Centered"/>
              <w:rPr>
                <w:i/>
                <w:iCs/>
              </w:rPr>
            </w:pPr>
            <w:r w:rsidRPr="003428D4">
              <w:t>None</w:t>
            </w:r>
          </w:p>
        </w:tc>
        <w:tc>
          <w:tcPr>
            <w:tcW w:w="3420" w:type="dxa"/>
          </w:tcPr>
          <w:p w:rsidR="00AE4FC3" w:rsidRPr="00DE6979" w:rsidP="00361BB4" w14:paraId="0EBD8F4A" w14:textId="55EEBE2E">
            <w:pPr>
              <w:pStyle w:val="Table10Basic"/>
              <w:rPr>
                <w:iCs/>
              </w:rPr>
            </w:pPr>
            <w:r>
              <w:rPr>
                <w:rFonts w:eastAsia="Calibri"/>
              </w:rPr>
              <w:t xml:space="preserve">Decrease of 15 respondents and 83 hours due to updated </w:t>
            </w:r>
            <w:r w:rsidR="009713AC">
              <w:rPr>
                <w:rFonts w:eastAsia="Calibri"/>
              </w:rPr>
              <w:t>data</w:t>
            </w:r>
            <w:r w:rsidR="00C675A0">
              <w:rPr>
                <w:rFonts w:eastAsia="Calibri"/>
              </w:rPr>
              <w:t>.</w:t>
            </w:r>
          </w:p>
        </w:tc>
      </w:tr>
      <w:tr w14:paraId="42E28208" w14:textId="0F2ACC4B" w:rsidTr="00D55FD9">
        <w:tblPrEx>
          <w:tblW w:w="9445" w:type="dxa"/>
          <w:tblLook w:val="04A0"/>
        </w:tblPrEx>
        <w:trPr>
          <w:cantSplit/>
          <w:trHeight w:val="20"/>
        </w:trPr>
        <w:tc>
          <w:tcPr>
            <w:tcW w:w="3235" w:type="dxa"/>
            <w:hideMark/>
          </w:tcPr>
          <w:p w:rsidR="00AE4FC3" w:rsidRPr="00DE6979" w:rsidP="00361BB4" w14:paraId="2FD5D319" w14:textId="0D31CB3C">
            <w:pPr>
              <w:pStyle w:val="Table10Basic"/>
            </w:pPr>
            <w:r w:rsidRPr="5B5F5372">
              <w:t xml:space="preserve">Table </w:t>
            </w:r>
            <w:r w:rsidRPr="5B5F5372" w:rsidR="2C209A69">
              <w:t>3</w:t>
            </w:r>
            <w:r w:rsidRPr="5B5F5372" w:rsidR="73483921">
              <w:t>0</w:t>
            </w:r>
            <w:r w:rsidRPr="5B5F5372" w:rsidR="0152A5D4">
              <w:t>M</w:t>
            </w:r>
            <w:r w:rsidRPr="5B5F5372">
              <w:t xml:space="preserve">: Reweighting Applications for </w:t>
            </w:r>
            <w:r w:rsidRPr="001B0F9B" w:rsidR="001B0F9B">
              <w:t>MIPS Performance Categories</w:t>
            </w:r>
          </w:p>
        </w:tc>
        <w:tc>
          <w:tcPr>
            <w:tcW w:w="2790" w:type="dxa"/>
          </w:tcPr>
          <w:p w:rsidR="00AE4FC3" w:rsidRPr="00DE6979" w:rsidP="00361BB4" w14:paraId="39102ACB" w14:textId="7F5FEDD7">
            <w:pPr>
              <w:pStyle w:val="Table10Centered"/>
            </w:pPr>
            <w:r>
              <w:t>None</w:t>
            </w:r>
          </w:p>
        </w:tc>
        <w:tc>
          <w:tcPr>
            <w:tcW w:w="3420" w:type="dxa"/>
          </w:tcPr>
          <w:p w:rsidR="00AE4FC3" w:rsidRPr="00DE6979" w:rsidP="00361BB4" w14:paraId="764B5400" w14:textId="1A0B3799">
            <w:pPr>
              <w:pStyle w:val="Table10Basic"/>
              <w:rPr>
                <w:iCs/>
              </w:rPr>
            </w:pPr>
            <w:r>
              <w:rPr>
                <w:rFonts w:eastAsia="Calibri"/>
              </w:rPr>
              <w:t xml:space="preserve">Decrease of 25,930 respondents and 6,483 hours due to updated </w:t>
            </w:r>
            <w:r w:rsidR="009713AC">
              <w:rPr>
                <w:rFonts w:eastAsia="Calibri"/>
              </w:rPr>
              <w:t>data</w:t>
            </w:r>
            <w:r>
              <w:rPr>
                <w:rFonts w:eastAsia="Calibri"/>
              </w:rPr>
              <w:t>.</w:t>
            </w:r>
            <w:r>
              <w:t> </w:t>
            </w:r>
          </w:p>
        </w:tc>
      </w:tr>
      <w:tr w14:paraId="255363DC" w14:textId="0126F323" w:rsidTr="00D55FD9">
        <w:tblPrEx>
          <w:tblW w:w="9445" w:type="dxa"/>
          <w:tblLook w:val="04A0"/>
        </w:tblPrEx>
        <w:trPr>
          <w:cantSplit/>
          <w:trHeight w:val="20"/>
        </w:trPr>
        <w:tc>
          <w:tcPr>
            <w:tcW w:w="3235" w:type="dxa"/>
            <w:hideMark/>
          </w:tcPr>
          <w:p w:rsidR="00AE4FC3" w:rsidRPr="00DE6979" w:rsidP="00361BB4" w14:paraId="06A33477" w14:textId="08466F79">
            <w:pPr>
              <w:pStyle w:val="Table10Basic"/>
            </w:pPr>
            <w:r w:rsidRPr="5B5F5372">
              <w:t xml:space="preserve">Tables </w:t>
            </w:r>
            <w:r w:rsidRPr="5B5F5372" w:rsidR="2C209A69">
              <w:t>3</w:t>
            </w:r>
            <w:r w:rsidRPr="5B5F5372" w:rsidR="1308237F">
              <w:t>0</w:t>
            </w:r>
            <w:r w:rsidRPr="5B5F5372" w:rsidR="26CC8C88">
              <w:t>N</w:t>
            </w:r>
            <w:r w:rsidRPr="5B5F5372">
              <w:t>: Promoting Interoperability Performance Category Data Submission</w:t>
            </w:r>
          </w:p>
        </w:tc>
        <w:tc>
          <w:tcPr>
            <w:tcW w:w="2790" w:type="dxa"/>
          </w:tcPr>
          <w:p w:rsidR="00AE4FC3" w:rsidRPr="00DE6979" w:rsidP="00361BB4" w14:paraId="3E207E9D" w14:textId="4C987BFF">
            <w:pPr>
              <w:pStyle w:val="Table10Centered"/>
            </w:pPr>
            <w:r>
              <w:t>None</w:t>
            </w:r>
          </w:p>
        </w:tc>
        <w:tc>
          <w:tcPr>
            <w:tcW w:w="3420" w:type="dxa"/>
          </w:tcPr>
          <w:p w:rsidR="00AE4FC3" w:rsidRPr="00DE6979" w:rsidP="00361BB4" w14:paraId="7FA62E83" w14:textId="1D87652E">
            <w:pPr>
              <w:pStyle w:val="Table10Basic"/>
              <w:rPr>
                <w:i/>
              </w:rPr>
            </w:pPr>
            <w:r>
              <w:rPr>
                <w:rFonts w:eastAsia="Calibri"/>
              </w:rPr>
              <w:t xml:space="preserve">Decrease of 7,381 respondents and 19,929 hours due to updated </w:t>
            </w:r>
            <w:r w:rsidR="009713AC">
              <w:rPr>
                <w:rFonts w:eastAsia="Calibri"/>
              </w:rPr>
              <w:t>data</w:t>
            </w:r>
            <w:r w:rsidR="00156E6F">
              <w:rPr>
                <w:rFonts w:eastAsia="Calibri"/>
              </w:rPr>
              <w:t>.</w:t>
            </w:r>
            <w:r w:rsidR="00156E6F">
              <w:t xml:space="preserve"> </w:t>
            </w:r>
          </w:p>
        </w:tc>
      </w:tr>
      <w:tr w14:paraId="0A8B963F" w14:textId="4773AB89" w:rsidTr="00D55FD9">
        <w:tblPrEx>
          <w:tblW w:w="9445" w:type="dxa"/>
          <w:tblLook w:val="04A0"/>
        </w:tblPrEx>
        <w:trPr>
          <w:cantSplit/>
          <w:trHeight w:val="20"/>
        </w:trPr>
        <w:tc>
          <w:tcPr>
            <w:tcW w:w="3235" w:type="dxa"/>
            <w:hideMark/>
          </w:tcPr>
          <w:p w:rsidR="00AE4FC3" w:rsidRPr="00DE6979" w:rsidP="00361BB4" w14:paraId="5F4A43BF" w14:textId="2D132A24">
            <w:pPr>
              <w:pStyle w:val="Table10Basic"/>
            </w:pPr>
            <w:r w:rsidRPr="5B5F5372">
              <w:t xml:space="preserve">Table </w:t>
            </w:r>
            <w:r w:rsidRPr="5B5F5372" w:rsidR="2C209A69">
              <w:t>3</w:t>
            </w:r>
            <w:r w:rsidRPr="5B5F5372" w:rsidR="068477CF">
              <w:t>0</w:t>
            </w:r>
            <w:r w:rsidRPr="5B5F5372" w:rsidR="54C73735">
              <w:t>O</w:t>
            </w:r>
            <w:r w:rsidRPr="5B5F5372">
              <w:t>: Improvement Activities Submission</w:t>
            </w:r>
          </w:p>
        </w:tc>
        <w:tc>
          <w:tcPr>
            <w:tcW w:w="2790" w:type="dxa"/>
          </w:tcPr>
          <w:p w:rsidR="00AE4FC3" w:rsidRPr="00DE6979" w:rsidP="00361BB4" w14:paraId="3F15CDD4" w14:textId="0AF5AB21">
            <w:pPr>
              <w:pStyle w:val="Table10Centered"/>
            </w:pPr>
            <w:r>
              <w:t>None</w:t>
            </w:r>
          </w:p>
        </w:tc>
        <w:tc>
          <w:tcPr>
            <w:tcW w:w="3420" w:type="dxa"/>
          </w:tcPr>
          <w:p w:rsidR="00AE4FC3" w:rsidRPr="00DE6979" w:rsidP="00361BB4" w14:paraId="2D289FEA" w14:textId="5FD0E227">
            <w:pPr>
              <w:pStyle w:val="Table10Basic"/>
            </w:pPr>
            <w:r>
              <w:rPr>
                <w:rFonts w:eastAsia="Calibri"/>
              </w:rPr>
              <w:t>Decrease of 984 respondents and 104,807 hours due to updated</w:t>
            </w:r>
            <w:r w:rsidR="007464D6">
              <w:rPr>
                <w:rFonts w:eastAsia="Calibri"/>
              </w:rPr>
              <w:t xml:space="preserve"> </w:t>
            </w:r>
            <w:r w:rsidR="00404CB2">
              <w:rPr>
                <w:rFonts w:eastAsia="Calibri"/>
              </w:rPr>
              <w:t>data</w:t>
            </w:r>
            <w:r w:rsidR="00156E6F">
              <w:rPr>
                <w:rFonts w:eastAsia="Calibri"/>
              </w:rPr>
              <w:t>.</w:t>
            </w:r>
            <w:r w:rsidR="00156E6F">
              <w:t xml:space="preserve"> </w:t>
            </w:r>
          </w:p>
        </w:tc>
      </w:tr>
      <w:tr w14:paraId="2E5546F4" w14:textId="62C7493B" w:rsidTr="00D55FD9">
        <w:tblPrEx>
          <w:tblW w:w="9445" w:type="dxa"/>
          <w:tblLook w:val="04A0"/>
        </w:tblPrEx>
        <w:trPr>
          <w:cantSplit/>
          <w:trHeight w:val="20"/>
        </w:trPr>
        <w:tc>
          <w:tcPr>
            <w:tcW w:w="3235" w:type="dxa"/>
            <w:hideMark/>
          </w:tcPr>
          <w:p w:rsidR="00AE4FC3" w:rsidRPr="00DE6979" w:rsidP="00361BB4" w14:paraId="6103CF3D" w14:textId="68AC5113">
            <w:pPr>
              <w:pStyle w:val="Table10Basic"/>
            </w:pPr>
            <w:r w:rsidRPr="5B5F5372">
              <w:t xml:space="preserve">Table </w:t>
            </w:r>
            <w:r w:rsidRPr="5B5F5372" w:rsidR="2C209A69">
              <w:t>3</w:t>
            </w:r>
            <w:r w:rsidRPr="5B5F5372" w:rsidR="5B51BF73">
              <w:t>0</w:t>
            </w:r>
            <w:r w:rsidRPr="5B5F5372" w:rsidR="119AAB56">
              <w:t>P</w:t>
            </w:r>
            <w:r w:rsidRPr="5B5F5372">
              <w:t>: Partial QP Election</w:t>
            </w:r>
          </w:p>
        </w:tc>
        <w:tc>
          <w:tcPr>
            <w:tcW w:w="2790" w:type="dxa"/>
          </w:tcPr>
          <w:p w:rsidR="00AE4FC3" w:rsidRPr="00DE6979" w:rsidP="00361BB4" w14:paraId="6A324BAC" w14:textId="4906B09E">
            <w:pPr>
              <w:pStyle w:val="Table10Centered"/>
            </w:pPr>
            <w:r w:rsidRPr="00A06D61">
              <w:t>None</w:t>
            </w:r>
          </w:p>
        </w:tc>
        <w:tc>
          <w:tcPr>
            <w:tcW w:w="3420" w:type="dxa"/>
          </w:tcPr>
          <w:p w:rsidR="00AE4FC3" w:rsidRPr="00333EB4" w:rsidP="00361BB4" w14:paraId="268DF0A2" w14:textId="1EA01CD0">
            <w:pPr>
              <w:pStyle w:val="Table10Basic"/>
              <w:rPr>
                <w:i/>
              </w:rPr>
            </w:pPr>
            <w:r>
              <w:rPr>
                <w:rFonts w:eastAsia="Calibri"/>
              </w:rPr>
              <w:t xml:space="preserve">Decrease of 67 respondents and 7,166 hours due to updated </w:t>
            </w:r>
            <w:r w:rsidR="009713AC">
              <w:rPr>
                <w:rFonts w:eastAsia="Calibri"/>
              </w:rPr>
              <w:t>data</w:t>
            </w:r>
            <w:r>
              <w:rPr>
                <w:rFonts w:eastAsia="Calibri"/>
              </w:rPr>
              <w:t>.</w:t>
            </w:r>
            <w:r>
              <w:t> </w:t>
            </w:r>
          </w:p>
        </w:tc>
      </w:tr>
      <w:tr w14:paraId="7065083B" w14:textId="3C8E6C90" w:rsidTr="00D55FD9">
        <w:tblPrEx>
          <w:tblW w:w="9445" w:type="dxa"/>
          <w:tblLook w:val="04A0"/>
        </w:tblPrEx>
        <w:trPr>
          <w:cantSplit/>
          <w:trHeight w:val="20"/>
        </w:trPr>
        <w:tc>
          <w:tcPr>
            <w:tcW w:w="3235" w:type="dxa"/>
          </w:tcPr>
          <w:p w:rsidR="00AE4FC3" w:rsidRPr="00DE6979" w:rsidP="00361BB4" w14:paraId="188FB8CA" w14:textId="23ADB6F5">
            <w:pPr>
              <w:pStyle w:val="Table10Basic"/>
            </w:pPr>
            <w:r w:rsidRPr="5B5F5372">
              <w:t xml:space="preserve">Table </w:t>
            </w:r>
            <w:r w:rsidRPr="5B5F5372" w:rsidR="2C209A69">
              <w:t>3</w:t>
            </w:r>
            <w:r w:rsidRPr="5B5F5372" w:rsidR="6CF6B955">
              <w:t>0</w:t>
            </w:r>
            <w:r w:rsidRPr="5B5F5372" w:rsidR="32714E1A">
              <w:t>Q</w:t>
            </w:r>
            <w:r w:rsidRPr="5B5F5372" w:rsidR="2C209A69">
              <w:t xml:space="preserve">: </w:t>
            </w:r>
            <w:r w:rsidRPr="5B5F5372">
              <w:t>Other Payer Advanced APM Identification: Other Payer Initiated Process</w:t>
            </w:r>
          </w:p>
        </w:tc>
        <w:tc>
          <w:tcPr>
            <w:tcW w:w="2790" w:type="dxa"/>
          </w:tcPr>
          <w:p w:rsidR="00AE4FC3" w:rsidRPr="00DE6979" w:rsidP="00361BB4" w14:paraId="5CB0CF0F" w14:textId="25C9B465">
            <w:pPr>
              <w:pStyle w:val="Table10Centered"/>
            </w:pPr>
            <w:r w:rsidRPr="00A06D61">
              <w:t>None</w:t>
            </w:r>
          </w:p>
        </w:tc>
        <w:tc>
          <w:tcPr>
            <w:tcW w:w="3420" w:type="dxa"/>
          </w:tcPr>
          <w:p w:rsidR="00AE4FC3" w:rsidRPr="00DE6979" w:rsidP="00361BB4" w14:paraId="06045CB4" w14:textId="63F46A47">
            <w:pPr>
              <w:pStyle w:val="Table10Basic"/>
              <w:rPr>
                <w:i/>
              </w:rPr>
            </w:pPr>
            <w:r>
              <w:rPr>
                <w:rFonts w:eastAsia="Calibri"/>
              </w:rPr>
              <w:t xml:space="preserve">Decrease of 50 respondents and 5,327 hours due to updated </w:t>
            </w:r>
            <w:r w:rsidR="009713AC">
              <w:rPr>
                <w:rFonts w:eastAsia="Calibri"/>
              </w:rPr>
              <w:t>data</w:t>
            </w:r>
            <w:r>
              <w:rPr>
                <w:rFonts w:eastAsia="Calibri"/>
              </w:rPr>
              <w:t>.</w:t>
            </w:r>
            <w:r>
              <w:t> </w:t>
            </w:r>
          </w:p>
        </w:tc>
      </w:tr>
      <w:tr w14:paraId="2B2709F8" w14:textId="0B623016" w:rsidTr="00D55FD9">
        <w:tblPrEx>
          <w:tblW w:w="9445" w:type="dxa"/>
          <w:tblLook w:val="04A0"/>
        </w:tblPrEx>
        <w:trPr>
          <w:cantSplit/>
          <w:trHeight w:val="20"/>
        </w:trPr>
        <w:tc>
          <w:tcPr>
            <w:tcW w:w="3235" w:type="dxa"/>
            <w:hideMark/>
          </w:tcPr>
          <w:p w:rsidR="00AE4FC3" w:rsidRPr="00DE6979" w:rsidP="00361BB4" w14:paraId="6EF9AB07" w14:textId="0571093D">
            <w:pPr>
              <w:pStyle w:val="Table10Basic"/>
            </w:pPr>
            <w:r w:rsidRPr="5B5F5372">
              <w:t xml:space="preserve">Table </w:t>
            </w:r>
            <w:r w:rsidRPr="5B5F5372" w:rsidR="2C209A69">
              <w:t>3</w:t>
            </w:r>
            <w:r w:rsidRPr="5B5F5372" w:rsidR="67EEE26C">
              <w:t>0</w:t>
            </w:r>
            <w:r w:rsidRPr="5B5F5372" w:rsidR="4F6413AB">
              <w:t>R</w:t>
            </w:r>
            <w:r w:rsidRPr="5B5F5372" w:rsidR="2C209A69">
              <w:t xml:space="preserve">: </w:t>
            </w:r>
            <w:r w:rsidRPr="5B5F5372">
              <w:t>Other Payer Advanced APM Identification: Eligible Clinician Initiated Process</w:t>
            </w:r>
          </w:p>
        </w:tc>
        <w:tc>
          <w:tcPr>
            <w:tcW w:w="2790" w:type="dxa"/>
          </w:tcPr>
          <w:p w:rsidR="00AE4FC3" w:rsidRPr="00DE6979" w:rsidP="00361BB4" w14:paraId="7B232573" w14:textId="73A6457B">
            <w:pPr>
              <w:pStyle w:val="Table10Centered"/>
            </w:pPr>
            <w:r w:rsidRPr="009C0029">
              <w:t>None</w:t>
            </w:r>
          </w:p>
        </w:tc>
        <w:tc>
          <w:tcPr>
            <w:tcW w:w="3420" w:type="dxa"/>
          </w:tcPr>
          <w:p w:rsidR="00AE4FC3" w:rsidRPr="00AA2D60" w:rsidP="00361BB4" w14:paraId="0E609B00" w14:textId="1F667645">
            <w:pPr>
              <w:pStyle w:val="Table10Basic"/>
            </w:pPr>
            <w:r>
              <w:rPr>
                <w:rFonts w:eastAsia="Calibri"/>
              </w:rPr>
              <w:t xml:space="preserve">Decrease of 50 respondents and 5,327 hours due to updated </w:t>
            </w:r>
            <w:r w:rsidR="009713AC">
              <w:rPr>
                <w:rFonts w:eastAsia="Calibri"/>
              </w:rPr>
              <w:t>data</w:t>
            </w:r>
            <w:r>
              <w:rPr>
                <w:rFonts w:eastAsia="Calibri"/>
              </w:rPr>
              <w:t>.</w:t>
            </w:r>
            <w:r>
              <w:t> </w:t>
            </w:r>
          </w:p>
        </w:tc>
      </w:tr>
      <w:tr w14:paraId="20408B34" w14:textId="7FE05C99" w:rsidTr="00D55FD9">
        <w:tblPrEx>
          <w:tblW w:w="9445" w:type="dxa"/>
          <w:tblLook w:val="04A0"/>
        </w:tblPrEx>
        <w:trPr>
          <w:cantSplit/>
          <w:trHeight w:val="20"/>
        </w:trPr>
        <w:tc>
          <w:tcPr>
            <w:tcW w:w="3235" w:type="dxa"/>
          </w:tcPr>
          <w:p w:rsidR="00AE4FC3" w:rsidRPr="00DE6979" w:rsidP="00361BB4" w14:paraId="13B64710" w14:textId="371690F1">
            <w:pPr>
              <w:pStyle w:val="Table10Basic"/>
            </w:pPr>
            <w:r w:rsidRPr="5B5F5372">
              <w:t xml:space="preserve">Table </w:t>
            </w:r>
            <w:r w:rsidRPr="5B5F5372" w:rsidR="2C209A69">
              <w:t>3</w:t>
            </w:r>
            <w:r w:rsidRPr="5B5F5372" w:rsidR="47CAFAA2">
              <w:t>0</w:t>
            </w:r>
            <w:r w:rsidRPr="5B5F5372" w:rsidR="05451BAA">
              <w:t>S</w:t>
            </w:r>
            <w:r w:rsidRPr="5B5F5372" w:rsidR="2C209A69">
              <w:t>:</w:t>
            </w:r>
            <w:r w:rsidRPr="5B5F5372">
              <w:t xml:space="preserve"> Submission of Data for All-Payer QP Determinations under the All-Payer Combination Option</w:t>
            </w:r>
          </w:p>
        </w:tc>
        <w:tc>
          <w:tcPr>
            <w:tcW w:w="2790" w:type="dxa"/>
          </w:tcPr>
          <w:p w:rsidR="00AE4FC3" w:rsidRPr="00DE6979" w:rsidP="00361BB4" w14:paraId="52D0EDBA" w14:textId="13ED1A04">
            <w:pPr>
              <w:pStyle w:val="Table10Centered"/>
            </w:pPr>
            <w:r w:rsidRPr="00CC2BFB">
              <w:t>None</w:t>
            </w:r>
          </w:p>
        </w:tc>
        <w:tc>
          <w:tcPr>
            <w:tcW w:w="3420" w:type="dxa"/>
          </w:tcPr>
          <w:p w:rsidR="00AE4FC3" w:rsidRPr="00336813" w:rsidP="00361BB4" w14:paraId="343CEC43" w14:textId="17ED2C25">
            <w:pPr>
              <w:pStyle w:val="Table10Basic"/>
              <w:rPr>
                <w:iCs/>
              </w:rPr>
            </w:pPr>
            <w:r>
              <w:rPr>
                <w:rFonts w:eastAsia="Calibri"/>
              </w:rPr>
              <w:t xml:space="preserve">Decrease of 2,155 respondents and 278,598 hours due to updated </w:t>
            </w:r>
            <w:r w:rsidR="009713AC">
              <w:rPr>
                <w:rFonts w:eastAsia="Calibri"/>
              </w:rPr>
              <w:t>data</w:t>
            </w:r>
            <w:r>
              <w:rPr>
                <w:rFonts w:eastAsia="Calibri"/>
              </w:rPr>
              <w:t>.</w:t>
            </w:r>
            <w:r>
              <w:t> </w:t>
            </w:r>
          </w:p>
        </w:tc>
      </w:tr>
    </w:tbl>
    <w:p w:rsidR="000F1CBE" w:rsidP="001B7217" w14:paraId="3E085A11" w14:textId="2B72A462">
      <w:pPr>
        <w:pStyle w:val="BodyText"/>
        <w:rPr>
          <w:rFonts w:eastAsiaTheme="majorEastAsia"/>
          <w:snapToGrid w:val="0"/>
        </w:rPr>
      </w:pPr>
      <w:r w:rsidRPr="5B5F5372">
        <w:rPr>
          <w:rFonts w:eastAsiaTheme="majorEastAsia"/>
          <w:snapToGrid w:val="0"/>
        </w:rPr>
        <w:t>Table 3</w:t>
      </w:r>
      <w:r w:rsidRPr="5B5F5372" w:rsidR="1CC34ED1">
        <w:rPr>
          <w:rFonts w:eastAsiaTheme="majorEastAsia"/>
          <w:snapToGrid w:val="0"/>
        </w:rPr>
        <w:t>2</w:t>
      </w:r>
      <w:r w:rsidRPr="5B5F5372">
        <w:rPr>
          <w:rFonts w:eastAsiaTheme="majorEastAsia"/>
          <w:snapToGrid w:val="0"/>
        </w:rPr>
        <w:t xml:space="preserve"> below provides a snapshot of the estimated burden described above in Table 2</w:t>
      </w:r>
      <w:r w:rsidRPr="5B5F5372" w:rsidR="24611A14">
        <w:rPr>
          <w:rFonts w:eastAsiaTheme="majorEastAsia"/>
          <w:snapToGrid w:val="0"/>
        </w:rPr>
        <w:t>8</w:t>
      </w:r>
      <w:r w:rsidRPr="5B5F5372">
        <w:rPr>
          <w:rFonts w:eastAsiaTheme="majorEastAsia"/>
          <w:snapToGrid w:val="0"/>
        </w:rPr>
        <w:t>. Additionally, we have included the estimated total number of unique respondents that will submit data for the quality, Promoting Interoperability, and improvement activity performance categories in the CY 202</w:t>
      </w:r>
      <w:r w:rsidRPr="5B5F5372" w:rsidR="4334DAF4">
        <w:rPr>
          <w:rFonts w:eastAsiaTheme="majorEastAsia"/>
        </w:rPr>
        <w:t>5</w:t>
      </w:r>
      <w:r w:rsidRPr="5B5F5372">
        <w:rPr>
          <w:rFonts w:eastAsiaTheme="majorEastAsia"/>
          <w:snapToGrid w:val="0"/>
        </w:rPr>
        <w:t xml:space="preserve"> performance period/202</w:t>
      </w:r>
      <w:r w:rsidRPr="5B5F5372" w:rsidR="4334DAF4">
        <w:rPr>
          <w:rFonts w:eastAsiaTheme="majorEastAsia"/>
        </w:rPr>
        <w:t>7</w:t>
      </w:r>
      <w:r w:rsidRPr="5B5F5372">
        <w:rPr>
          <w:rFonts w:eastAsiaTheme="majorEastAsia"/>
          <w:snapToGrid w:val="0"/>
        </w:rPr>
        <w:t xml:space="preserve"> MIPS payment year. </w:t>
      </w:r>
      <w:r w:rsidR="006953CE">
        <w:rPr>
          <w:rFonts w:eastAsiaTheme="majorEastAsia"/>
          <w:snapToGrid w:val="0"/>
        </w:rPr>
        <w:t>W</w:t>
      </w:r>
      <w:r w:rsidRPr="5B5F5372">
        <w:rPr>
          <w:rFonts w:eastAsiaTheme="majorEastAsia"/>
          <w:snapToGrid w:val="0"/>
        </w:rPr>
        <w:t xml:space="preserve">e assume </w:t>
      </w:r>
      <w:r w:rsidR="00675CBB">
        <w:rPr>
          <w:rFonts w:eastAsiaTheme="majorEastAsia"/>
          <w:snapToGrid w:val="0"/>
        </w:rPr>
        <w:t xml:space="preserve">the </w:t>
      </w:r>
      <w:r w:rsidRPr="5B5F5372">
        <w:rPr>
          <w:rFonts w:eastAsiaTheme="majorEastAsia"/>
          <w:snapToGrid w:val="0"/>
        </w:rPr>
        <w:t>number of applications for reweighting are included in this total. We also assume that all voluntary participants that opt out of Physician Compare are included in this total. With respect to the PRA, the</w:t>
      </w:r>
      <w:r w:rsidRPr="5B5F5372" w:rsidR="1F1A2B66">
        <w:rPr>
          <w:rFonts w:eastAsiaTheme="majorEastAsia"/>
          <w:snapToGrid w:val="0"/>
        </w:rPr>
        <w:t xml:space="preserve"> estimated burden in the</w:t>
      </w:r>
      <w:r w:rsidRPr="5B5F5372">
        <w:rPr>
          <w:rFonts w:eastAsiaTheme="majorEastAsia"/>
          <w:snapToGrid w:val="0"/>
        </w:rPr>
        <w:t xml:space="preserve"> CY 202</w:t>
      </w:r>
      <w:r w:rsidRPr="5B5F5372" w:rsidR="02C34161">
        <w:rPr>
          <w:rFonts w:eastAsiaTheme="majorEastAsia"/>
        </w:rPr>
        <w:t>5</w:t>
      </w:r>
      <w:r w:rsidRPr="5B5F5372">
        <w:rPr>
          <w:rFonts w:eastAsiaTheme="majorEastAsia"/>
          <w:snapToGrid w:val="0"/>
        </w:rPr>
        <w:t xml:space="preserve"> PFS </w:t>
      </w:r>
      <w:r w:rsidR="00DA0C21">
        <w:rPr>
          <w:rFonts w:eastAsiaTheme="majorEastAsia"/>
        </w:rPr>
        <w:t>final</w:t>
      </w:r>
      <w:r w:rsidRPr="5B5F5372" w:rsidR="00DA0C21">
        <w:rPr>
          <w:rFonts w:eastAsiaTheme="majorEastAsia"/>
          <w:snapToGrid w:val="0"/>
        </w:rPr>
        <w:t xml:space="preserve"> </w:t>
      </w:r>
      <w:r w:rsidRPr="5B5F5372">
        <w:rPr>
          <w:rFonts w:eastAsiaTheme="majorEastAsia"/>
          <w:snapToGrid w:val="0"/>
        </w:rPr>
        <w:t>rule does not impose any non-labor costs.</w:t>
      </w:r>
    </w:p>
    <w:p w:rsidR="00662AFE" w:rsidP="00361BB4" w14:paraId="6D6C34EE" w14:textId="4BDEBFA1">
      <w:pPr>
        <w:pStyle w:val="ExhibitTitle"/>
        <w:rPr>
          <w:b w:val="0"/>
          <w:bCs/>
        </w:rPr>
      </w:pPr>
      <w:r w:rsidRPr="00B4168B">
        <w:rPr>
          <w:b w:val="0"/>
          <w:bCs/>
        </w:rPr>
        <w:t xml:space="preserve">Table </w:t>
      </w:r>
      <w:r w:rsidRPr="00B4168B" w:rsidR="2FBDEA46">
        <w:rPr>
          <w:b w:val="0"/>
          <w:bCs/>
        </w:rPr>
        <w:t>3</w:t>
      </w:r>
      <w:r w:rsidRPr="00B4168B" w:rsidR="196A9114">
        <w:rPr>
          <w:b w:val="0"/>
          <w:bCs/>
        </w:rPr>
        <w:t>2</w:t>
      </w:r>
      <w:r w:rsidRPr="00B4168B">
        <w:rPr>
          <w:b w:val="0"/>
          <w:bCs/>
        </w:rPr>
        <w:t xml:space="preserve">: </w:t>
      </w:r>
      <w:r w:rsidRPr="00B4168B" w:rsidR="2F8619DF">
        <w:rPr>
          <w:b w:val="0"/>
          <w:bCs/>
        </w:rPr>
        <w:t xml:space="preserve">Quality Payment Program </w:t>
      </w:r>
      <w:r w:rsidRPr="00B4168B" w:rsidR="7EC5043E">
        <w:rPr>
          <w:b w:val="0"/>
          <w:bCs/>
        </w:rPr>
        <w:t>Annual Requirements and Burden</w:t>
      </w:r>
      <w:r w:rsidRPr="00B4168B" w:rsidR="35570D97">
        <w:rPr>
          <w:b w:val="0"/>
          <w:bCs/>
        </w:rPr>
        <w:t xml:space="preserve"> </w:t>
      </w:r>
      <w:r w:rsidRPr="00B4168B" w:rsidR="2F8619DF">
        <w:rPr>
          <w:b w:val="0"/>
          <w:bCs/>
        </w:rPr>
        <w:t>Regulation Section(s) Under Title 42 of the CFR</w:t>
      </w:r>
    </w:p>
    <w:p w:rsidR="00024CEB" w:rsidP="00361BB4" w14:paraId="43BB801C" w14:textId="783DF62D">
      <w:pPr>
        <w:pStyle w:val="ExhibitTitle"/>
        <w:rPr>
          <w:b w:val="0"/>
          <w:bCs/>
        </w:rPr>
      </w:pPr>
      <w:r>
        <w:rPr>
          <w:b w:val="0"/>
          <w:bCs/>
        </w:rPr>
        <w:t>Also see Table 29 column A.</w:t>
      </w:r>
    </w:p>
    <w:tbl>
      <w:tblPr>
        <w:tblStyle w:val="TableGrid"/>
        <w:tblDescription w:val="Table 32: a high level snapshot of the burden described in table 29."/>
        <w:tblW w:w="0" w:type="auto"/>
        <w:tblLook w:val="04A0"/>
      </w:tblPr>
      <w:tblGrid>
        <w:gridCol w:w="3505"/>
        <w:gridCol w:w="3960"/>
      </w:tblGrid>
      <w:tr w14:paraId="0F38E8F4" w14:textId="77777777" w:rsidTr="00D55FD9">
        <w:tblPrEx>
          <w:tblW w:w="0" w:type="auto"/>
          <w:tblLook w:val="04A0"/>
        </w:tblPrEx>
        <w:trPr>
          <w:cantSplit/>
          <w:trHeight w:val="20"/>
          <w:tblHeader/>
        </w:trPr>
        <w:tc>
          <w:tcPr>
            <w:tcW w:w="3505" w:type="dxa"/>
          </w:tcPr>
          <w:p w:rsidR="00EC4678" w:rsidRPr="006F2CBD" w:rsidP="00361BB4" w14:paraId="7D3E3BAE" w14:textId="3B2554C3">
            <w:pPr>
              <w:pStyle w:val="Table11-ColumnHeading"/>
            </w:pPr>
            <w:r w:rsidRPr="006F2CBD">
              <w:t>Burden Category</w:t>
            </w:r>
          </w:p>
        </w:tc>
        <w:tc>
          <w:tcPr>
            <w:tcW w:w="3960" w:type="dxa"/>
          </w:tcPr>
          <w:p w:rsidR="00EC4678" w:rsidRPr="006F2CBD" w:rsidP="00361BB4" w14:paraId="578472E7" w14:textId="77777777">
            <w:pPr>
              <w:pStyle w:val="Table11-ColumnHeading"/>
            </w:pPr>
            <w:r w:rsidRPr="006F2CBD">
              <w:t>Burden Estimate</w:t>
            </w:r>
          </w:p>
        </w:tc>
      </w:tr>
      <w:tr w14:paraId="6963A2E3" w14:textId="77777777" w:rsidTr="00D55FD9">
        <w:tblPrEx>
          <w:tblW w:w="0" w:type="auto"/>
          <w:tblLook w:val="04A0"/>
        </w:tblPrEx>
        <w:trPr>
          <w:cantSplit/>
          <w:trHeight w:val="20"/>
        </w:trPr>
        <w:tc>
          <w:tcPr>
            <w:tcW w:w="3505" w:type="dxa"/>
          </w:tcPr>
          <w:p w:rsidR="00EC4678" w:rsidRPr="006F2CBD" w:rsidP="00361BB4" w14:paraId="362A6F81" w14:textId="77777777">
            <w:pPr>
              <w:pStyle w:val="Table11Basic"/>
            </w:pPr>
            <w:r w:rsidRPr="006F2CBD">
              <w:t>Total # of Responses</w:t>
            </w:r>
          </w:p>
        </w:tc>
        <w:tc>
          <w:tcPr>
            <w:tcW w:w="3960" w:type="dxa"/>
          </w:tcPr>
          <w:p w:rsidR="00EC4678" w:rsidRPr="006F2CBD" w:rsidP="00361BB4" w14:paraId="150484B4" w14:textId="4733BAC0">
            <w:pPr>
              <w:pStyle w:val="Table11Centered"/>
            </w:pPr>
            <w:r>
              <w:t>135,984</w:t>
            </w:r>
          </w:p>
        </w:tc>
      </w:tr>
      <w:tr w14:paraId="12D3456A" w14:textId="77777777" w:rsidTr="00D55FD9">
        <w:tblPrEx>
          <w:tblW w:w="0" w:type="auto"/>
          <w:tblLook w:val="04A0"/>
        </w:tblPrEx>
        <w:trPr>
          <w:cantSplit/>
          <w:trHeight w:val="20"/>
        </w:trPr>
        <w:tc>
          <w:tcPr>
            <w:tcW w:w="3505" w:type="dxa"/>
          </w:tcPr>
          <w:p w:rsidR="00EC4678" w:rsidRPr="006F2CBD" w:rsidP="00361BB4" w14:paraId="2E6CD2D4" w14:textId="6953AB7A">
            <w:pPr>
              <w:pStyle w:val="Table11Basic"/>
            </w:pPr>
            <w:r w:rsidRPr="006F2CBD">
              <w:t>Time per Response (Hours)</w:t>
            </w:r>
          </w:p>
        </w:tc>
        <w:tc>
          <w:tcPr>
            <w:tcW w:w="3960" w:type="dxa"/>
          </w:tcPr>
          <w:p w:rsidR="00EC4678" w:rsidRPr="006F2CBD" w:rsidP="00361BB4" w14:paraId="1FE0EC3B" w14:textId="77777777">
            <w:pPr>
              <w:pStyle w:val="Table11Centered"/>
            </w:pPr>
            <w:r w:rsidRPr="006F2CBD">
              <w:t>Varies</w:t>
            </w:r>
          </w:p>
        </w:tc>
      </w:tr>
      <w:tr w14:paraId="5FC86218" w14:textId="77777777" w:rsidTr="00D55FD9">
        <w:tblPrEx>
          <w:tblW w:w="0" w:type="auto"/>
          <w:tblLook w:val="04A0"/>
        </w:tblPrEx>
        <w:trPr>
          <w:cantSplit/>
          <w:trHeight w:val="20"/>
        </w:trPr>
        <w:tc>
          <w:tcPr>
            <w:tcW w:w="3505" w:type="dxa"/>
          </w:tcPr>
          <w:p w:rsidR="00EC4678" w:rsidRPr="006F2CBD" w:rsidP="00361BB4" w14:paraId="4E1AACE7" w14:textId="77777777">
            <w:pPr>
              <w:pStyle w:val="Table11Basic"/>
            </w:pPr>
            <w:r w:rsidRPr="006F2CBD">
              <w:t>Total Annual Time (Hours)</w:t>
            </w:r>
          </w:p>
        </w:tc>
        <w:tc>
          <w:tcPr>
            <w:tcW w:w="3960" w:type="dxa"/>
          </w:tcPr>
          <w:p w:rsidR="00EC4678" w:rsidRPr="006F2CBD" w:rsidP="00361BB4" w14:paraId="7067F900" w14:textId="26904572">
            <w:pPr>
              <w:pStyle w:val="Table11Centered"/>
            </w:pPr>
            <w:r>
              <w:t>649,</w:t>
            </w:r>
            <w:r w:rsidR="00582501">
              <w:t>371</w:t>
            </w:r>
          </w:p>
        </w:tc>
      </w:tr>
      <w:tr w14:paraId="118041EA" w14:textId="77777777" w:rsidTr="00D55FD9">
        <w:tblPrEx>
          <w:tblW w:w="0" w:type="auto"/>
          <w:tblLook w:val="04A0"/>
        </w:tblPrEx>
        <w:trPr>
          <w:cantSplit/>
          <w:trHeight w:val="20"/>
        </w:trPr>
        <w:tc>
          <w:tcPr>
            <w:tcW w:w="3505" w:type="dxa"/>
          </w:tcPr>
          <w:p w:rsidR="00EC4678" w:rsidRPr="006F2CBD" w:rsidP="00361BB4" w14:paraId="25681E8B" w14:textId="77777777">
            <w:pPr>
              <w:pStyle w:val="Table11Basic"/>
            </w:pPr>
            <w:r w:rsidRPr="006F2CBD">
              <w:t>Labor Cost ($/hr)</w:t>
            </w:r>
          </w:p>
        </w:tc>
        <w:tc>
          <w:tcPr>
            <w:tcW w:w="3960" w:type="dxa"/>
          </w:tcPr>
          <w:p w:rsidR="00EC4678" w:rsidRPr="006F2CBD" w:rsidP="00361BB4" w14:paraId="26687C96" w14:textId="77777777">
            <w:pPr>
              <w:pStyle w:val="Table11Centered"/>
            </w:pPr>
            <w:r w:rsidRPr="006F2CBD">
              <w:t>Varies</w:t>
            </w:r>
          </w:p>
        </w:tc>
      </w:tr>
      <w:tr w14:paraId="1FF952F1" w14:textId="77777777" w:rsidTr="00B71B03">
        <w:tblPrEx>
          <w:tblW w:w="0" w:type="auto"/>
          <w:tblLook w:val="04A0"/>
        </w:tblPrEx>
        <w:trPr>
          <w:cantSplit/>
          <w:trHeight w:val="20"/>
        </w:trPr>
        <w:tc>
          <w:tcPr>
            <w:tcW w:w="3505" w:type="dxa"/>
            <w:shd w:val="clear" w:color="auto" w:fill="auto"/>
          </w:tcPr>
          <w:p w:rsidR="00EC4678" w:rsidRPr="00B71B03" w:rsidP="00361BB4" w14:paraId="006D6310" w14:textId="77777777">
            <w:pPr>
              <w:pStyle w:val="Table11Basic"/>
            </w:pPr>
            <w:r w:rsidRPr="00B71B03">
              <w:t>Total Cost ($)</w:t>
            </w:r>
          </w:p>
        </w:tc>
        <w:tc>
          <w:tcPr>
            <w:tcW w:w="3960" w:type="dxa"/>
            <w:shd w:val="clear" w:color="auto" w:fill="auto"/>
          </w:tcPr>
          <w:p w:rsidR="00EC4678" w:rsidRPr="00B71B03" w:rsidP="00361BB4" w14:paraId="7F7E0100" w14:textId="1B303149">
            <w:pPr>
              <w:pStyle w:val="Table11Centered"/>
            </w:pPr>
            <w:r w:rsidRPr="00B71B03">
              <w:t>76,</w:t>
            </w:r>
            <w:r w:rsidRPr="00B71B03" w:rsidR="00582501">
              <w:t>864</w:t>
            </w:r>
            <w:r w:rsidRPr="00B71B03" w:rsidR="002A6C67">
              <w:t>,292</w:t>
            </w:r>
          </w:p>
        </w:tc>
      </w:tr>
    </w:tbl>
    <w:p w:rsidR="002E06AF" w:rsidRPr="00FD7D1D" w:rsidP="0054235D" w14:paraId="6FDC9D40" w14:textId="37ACCF2C">
      <w:pPr>
        <w:pStyle w:val="Heading3"/>
        <w:rPr>
          <w:b/>
          <w:i/>
        </w:rPr>
      </w:pPr>
      <w:r w:rsidRPr="00FD7D1D">
        <w:t>16.</w:t>
      </w:r>
      <w:r w:rsidRPr="00FD7D1D">
        <w:tab/>
      </w:r>
      <w:r w:rsidRPr="00FD7D1D" w:rsidR="1EA35C57">
        <w:t>Publication and Tabulation Dates</w:t>
      </w:r>
    </w:p>
    <w:p w:rsidR="00602344" w:rsidP="001B7217" w14:paraId="07921F62" w14:textId="13F0C04A">
      <w:pPr>
        <w:pStyle w:val="BodyText-PostHead"/>
      </w:pPr>
      <w:r>
        <w:t>In order t</w:t>
      </w:r>
      <w:r w:rsidRPr="00602344">
        <w:t>o</w:t>
      </w:r>
      <w:r w:rsidRPr="00602344">
        <w:t xml:space="preserve"> provide expert feedback to clinicians and </w:t>
      </w:r>
      <w:r w:rsidRPr="00602344" w:rsidR="00CE754A">
        <w:t>third</w:t>
      </w:r>
      <w:r w:rsidR="00324631">
        <w:t xml:space="preserve"> </w:t>
      </w:r>
      <w:r w:rsidRPr="00602344" w:rsidR="00CE754A">
        <w:t>party</w:t>
      </w:r>
      <w:r w:rsidRPr="00602344">
        <w:t xml:space="preserve">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t xml:space="preserve">. These reports </w:t>
      </w:r>
      <w:r w:rsidR="00390730">
        <w:t>were made</w:t>
      </w:r>
      <w:r w:rsidRPr="00602344">
        <w:t xml:space="preserve"> available starting in July 2018 at </w:t>
      </w:r>
      <w:hyperlink r:id="rId13" w:history="1">
        <w:r w:rsidRPr="007D1944" w:rsidR="00FD7D1D">
          <w:rPr>
            <w:rStyle w:val="Hyperlink"/>
          </w:rPr>
          <w:t>https://qpp.cms.gov</w:t>
        </w:r>
      </w:hyperlink>
      <w:r w:rsidR="00FD7D1D">
        <w:t>.</w:t>
      </w:r>
      <w:r w:rsidRPr="00602344">
        <w:t xml:space="preserve"> We </w:t>
      </w:r>
      <w:r w:rsidR="00390730">
        <w:t>have also</w:t>
      </w:r>
      <w:r w:rsidRPr="00602344">
        <w:t xml:space="preserve"> </w:t>
      </w:r>
      <w:r w:rsidR="004E6E6D">
        <w:t>provided</w:t>
      </w:r>
      <w:r w:rsidRPr="00602344">
        <w:t xml:space="preserve"> performance feedback to MIPS eligible clinicians who participate in MIPS APMs in 2018 and future years as technically feasible. This reflects our commitment to providing as timely information as possible to eligible clinicians to help th</w:t>
      </w:r>
      <w:r>
        <w:t xml:space="preserve">em predict their performance </w:t>
      </w:r>
      <w:r w:rsidRPr="00602344">
        <w:t>in MIPS.</w:t>
      </w:r>
    </w:p>
    <w:p w:rsidR="003D2026" w:rsidP="001B7217" w14:paraId="53C5E5DB" w14:textId="5596A407">
      <w:pPr>
        <w:pStyle w:val="BodyText"/>
        <w:rPr>
          <w:rFonts w:eastAsia="Calibri"/>
        </w:rPr>
      </w:pPr>
      <w:r w:rsidRPr="00BC322D">
        <w:rPr>
          <w:rFonts w:eastAsia="Calibri"/>
        </w:rPr>
        <w:t xml:space="preserve">MIPS information </w:t>
      </w:r>
      <w:r w:rsidR="00064D6F">
        <w:rPr>
          <w:rFonts w:eastAsia="Calibri"/>
        </w:rPr>
        <w:t>is public</w:t>
      </w:r>
      <w:r w:rsidR="007E5083">
        <w:rPr>
          <w:rFonts w:eastAsia="Calibri"/>
        </w:rPr>
        <w:t xml:space="preserve">ly reported </w:t>
      </w:r>
      <w:r w:rsidRPr="00BC322D">
        <w:rPr>
          <w:rFonts w:eastAsia="Calibri"/>
        </w:rPr>
        <w:t>through the</w:t>
      </w:r>
      <w:r w:rsidRPr="000B4434">
        <w:rPr>
          <w:rFonts w:eastAsia="Calibri"/>
        </w:rPr>
        <w:t xml:space="preserve"> Compare</w:t>
      </w:r>
      <w:r w:rsidR="00B05DC1">
        <w:rPr>
          <w:rFonts w:eastAsia="Calibri"/>
        </w:rPr>
        <w:t xml:space="preserve"> Tools</w:t>
      </w:r>
      <w:r w:rsidRPr="00BC322D">
        <w:rPr>
          <w:rFonts w:eastAsia="Calibri"/>
        </w:rPr>
        <w:t xml:space="preserve"> website</w:t>
      </w:r>
      <w:r>
        <w:rPr>
          <w:rFonts w:eastAsia="Calibri"/>
        </w:rPr>
        <w:t xml:space="preserve"> </w:t>
      </w:r>
      <w:r w:rsidR="002259A9">
        <w:rPr>
          <w:rFonts w:eastAsia="Calibri"/>
        </w:rPr>
        <w:t>(</w:t>
      </w:r>
      <w:hyperlink r:id="rId14" w:history="1">
        <w:r w:rsidRPr="007D1944" w:rsidR="00FD7D1D">
          <w:rPr>
            <w:rStyle w:val="Hyperlink"/>
            <w:rFonts w:eastAsia="Calibri"/>
          </w:rPr>
          <w:t>https://www.medicare.gov/care-compare/</w:t>
        </w:r>
      </w:hyperlink>
      <w:r w:rsidR="002259A9">
        <w:rPr>
          <w:rFonts w:eastAsia="Calibri"/>
        </w:rPr>
        <w:t>)</w:t>
      </w:r>
      <w:r w:rsidR="00C810E9">
        <w:rPr>
          <w:rFonts w:eastAsia="Calibri"/>
        </w:rPr>
        <w:t xml:space="preserve"> </w:t>
      </w:r>
      <w:r w:rsidR="007E5083">
        <w:rPr>
          <w:rFonts w:eastAsia="Calibri"/>
        </w:rPr>
        <w:t>both</w:t>
      </w:r>
      <w:r w:rsidRPr="00661E59">
        <w:rPr>
          <w:rFonts w:eastAsia="Calibri"/>
        </w:rPr>
        <w:t xml:space="preserve"> on public profile pages </w:t>
      </w:r>
      <w:r w:rsidR="007E5083">
        <w:rPr>
          <w:rFonts w:eastAsia="Calibri"/>
        </w:rPr>
        <w:t>and</w:t>
      </w:r>
      <w:r w:rsidRPr="00661E59">
        <w:rPr>
          <w:rFonts w:eastAsia="Calibri"/>
        </w:rPr>
        <w:t xml:space="preserve"> via the Downloadable Database </w:t>
      </w:r>
      <w:r w:rsidR="000E7BB4">
        <w:rPr>
          <w:rFonts w:eastAsia="Calibri"/>
        </w:rPr>
        <w:t xml:space="preserve">as discussed at </w:t>
      </w:r>
      <w:hyperlink r:id="rId15" w:history="1">
        <w:r w:rsidRPr="007D1944" w:rsidR="00FD7D1D">
          <w:rPr>
            <w:rStyle w:val="Hyperlink"/>
            <w:snapToGrid w:val="0"/>
            <w:lang w:val="en"/>
          </w:rPr>
          <w:t>https://www.cms.gov/medicare/quality-initiatives-patient-assessment-instruments/physician-compare-initiative/</w:t>
        </w:r>
      </w:hyperlink>
      <w:r w:rsidRPr="00533D81" w:rsidR="000E7BB4">
        <w:rPr>
          <w:rStyle w:val="Hyperlink"/>
          <w:snapToGrid w:val="0"/>
          <w:color w:val="000000" w:themeColor="text1"/>
          <w:u w:val="none"/>
          <w:lang w:val="en"/>
        </w:rPr>
        <w:t xml:space="preserve">. </w:t>
      </w:r>
      <w:r w:rsidRPr="00533D81" w:rsidR="00697F57">
        <w:rPr>
          <w:rStyle w:val="Hyperlink"/>
          <w:snapToGrid w:val="0"/>
          <w:color w:val="000000" w:themeColor="text1"/>
          <w:u w:val="none"/>
          <w:lang w:val="en"/>
        </w:rPr>
        <w:t xml:space="preserve">On these </w:t>
      </w:r>
      <w:r w:rsidRPr="00533D81" w:rsidR="00B07152">
        <w:rPr>
          <w:rStyle w:val="Hyperlink"/>
          <w:snapToGrid w:val="0"/>
          <w:color w:val="000000" w:themeColor="text1"/>
          <w:u w:val="none"/>
          <w:lang w:val="en"/>
        </w:rPr>
        <w:t xml:space="preserve">websites, </w:t>
      </w:r>
      <w:r w:rsidR="00485488">
        <w:rPr>
          <w:rFonts w:eastAsia="Calibri"/>
        </w:rPr>
        <w:t>2017, 2018</w:t>
      </w:r>
      <w:r w:rsidR="00F834F5">
        <w:rPr>
          <w:rFonts w:eastAsia="Calibri"/>
        </w:rPr>
        <w:t>, 2019</w:t>
      </w:r>
      <w:r w:rsidR="001F64F2">
        <w:rPr>
          <w:rFonts w:eastAsia="Calibri"/>
        </w:rPr>
        <w:t>, 2020</w:t>
      </w:r>
      <w:r w:rsidR="00C61486">
        <w:rPr>
          <w:rFonts w:eastAsia="Calibri"/>
        </w:rPr>
        <w:t>,</w:t>
      </w:r>
      <w:r w:rsidR="001F64F2">
        <w:rPr>
          <w:rFonts w:eastAsia="Calibri"/>
        </w:rPr>
        <w:t xml:space="preserve"> 2021</w:t>
      </w:r>
      <w:r w:rsidR="00C61486">
        <w:rPr>
          <w:rFonts w:eastAsia="Calibri"/>
        </w:rPr>
        <w:t xml:space="preserve">, </w:t>
      </w:r>
      <w:r w:rsidR="009645C8">
        <w:rPr>
          <w:rFonts w:eastAsia="Calibri"/>
        </w:rPr>
        <w:t xml:space="preserve">and </w:t>
      </w:r>
      <w:r w:rsidR="00C61486">
        <w:rPr>
          <w:rFonts w:eastAsia="Calibri"/>
        </w:rPr>
        <w:t>2022</w:t>
      </w:r>
      <w:r w:rsidR="009B7334">
        <w:rPr>
          <w:rFonts w:eastAsia="Calibri"/>
        </w:rPr>
        <w:t xml:space="preserve"> </w:t>
      </w:r>
      <w:r w:rsidR="002E0702">
        <w:rPr>
          <w:rFonts w:eastAsia="Calibri"/>
        </w:rPr>
        <w:t xml:space="preserve">Quality Payment Program performance information has been made available </w:t>
      </w:r>
      <w:r w:rsidR="00E21D5D">
        <w:rPr>
          <w:rFonts w:eastAsia="Calibri"/>
        </w:rPr>
        <w:t>for public review</w:t>
      </w:r>
      <w:r w:rsidR="00BB7F72">
        <w:rPr>
          <w:rFonts w:eastAsia="Calibri"/>
        </w:rPr>
        <w:t>.</w:t>
      </w:r>
      <w:r w:rsidR="00476095">
        <w:rPr>
          <w:rFonts w:eastAsia="Calibri"/>
        </w:rPr>
        <w:t xml:space="preserve"> </w:t>
      </w:r>
      <w:r w:rsidR="00F01AC3">
        <w:rPr>
          <w:rFonts w:eastAsia="Calibri"/>
        </w:rPr>
        <w:t>Additionally,</w:t>
      </w:r>
      <w:r w:rsidR="000F1109">
        <w:rPr>
          <w:rFonts w:eastAsia="Calibri"/>
        </w:rPr>
        <w:t xml:space="preserve"> QPP</w:t>
      </w:r>
      <w:r w:rsidR="00F01AC3">
        <w:rPr>
          <w:rFonts w:eastAsia="Calibri"/>
        </w:rPr>
        <w:t xml:space="preserve"> participation and performance data are released annually </w:t>
      </w:r>
      <w:r w:rsidR="000F1109">
        <w:rPr>
          <w:rFonts w:eastAsia="Calibri"/>
        </w:rPr>
        <w:t xml:space="preserve">at </w:t>
      </w:r>
      <w:hyperlink r:id="rId16" w:history="1">
        <w:r w:rsidRPr="007D1944" w:rsidR="00FD7D1D">
          <w:rPr>
            <w:rStyle w:val="Hyperlink"/>
            <w:rFonts w:eastAsia="Calibri"/>
          </w:rPr>
          <w:t>https://qpp.cms.gov/resources/performance-data</w:t>
        </w:r>
      </w:hyperlink>
      <w:r w:rsidR="00B240F4">
        <w:rPr>
          <w:rFonts w:eastAsia="Calibri"/>
        </w:rPr>
        <w:t>.</w:t>
      </w:r>
      <w:r w:rsidR="001617B4">
        <w:rPr>
          <w:rFonts w:eastAsia="Calibri"/>
        </w:rPr>
        <w:t xml:space="preserve"> Quality Payment Program resources for the</w:t>
      </w:r>
      <w:r w:rsidR="00B07152">
        <w:rPr>
          <w:rFonts w:eastAsia="Calibri"/>
        </w:rPr>
        <w:t xml:space="preserve"> 2018, 2019, 2020, 2021, and 2022 </w:t>
      </w:r>
      <w:r w:rsidR="001617B4">
        <w:rPr>
          <w:rFonts w:eastAsia="Calibri"/>
        </w:rPr>
        <w:t xml:space="preserve">performance periods </w:t>
      </w:r>
      <w:r w:rsidR="00CF2B72">
        <w:rPr>
          <w:rFonts w:eastAsia="Calibri"/>
        </w:rPr>
        <w:t xml:space="preserve">are available for public review. </w:t>
      </w:r>
    </w:p>
    <w:p w:rsidR="0078551D" w:rsidP="001B7217" w14:paraId="154B23CF" w14:textId="18815794">
      <w:pPr>
        <w:pStyle w:val="BodyText"/>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w:t>
      </w:r>
      <w:r w:rsidRPr="00214390" w:rsidR="00485488">
        <w:t>federally funded</w:t>
      </w:r>
      <w:r w:rsidRPr="00214390">
        <w:t xml:space="preserve"> health benefit programs, payment and claims processes, quality improvement outreach and reviews, and transparency projects.</w:t>
      </w:r>
    </w:p>
    <w:p w:rsidR="002E06AF" w:rsidRPr="00FD7D1D" w:rsidP="0054235D" w14:paraId="74767B5A" w14:textId="54648055">
      <w:pPr>
        <w:pStyle w:val="Heading3"/>
        <w:rPr>
          <w:b/>
          <w:i/>
        </w:rPr>
      </w:pPr>
      <w:r w:rsidRPr="00FD7D1D">
        <w:t>17.</w:t>
      </w:r>
      <w:r w:rsidRPr="00FD7D1D">
        <w:tab/>
      </w:r>
      <w:r w:rsidRPr="00FD7D1D" w:rsidR="00A64ED4">
        <w:t>Expiration Date</w:t>
      </w:r>
    </w:p>
    <w:p w:rsidR="0078551D" w:rsidP="001B7217" w14:paraId="2703DFBE" w14:textId="292A58F8">
      <w:pPr>
        <w:pStyle w:val="BodyText-PostHead"/>
      </w:pPr>
      <w:r w:rsidRPr="0000329D">
        <w:t xml:space="preserve">The expiration date </w:t>
      </w:r>
      <w:r w:rsidR="00970A32">
        <w:t xml:space="preserve">and OMB control number will appear on the first page of </w:t>
      </w:r>
      <w:r>
        <w:t xml:space="preserve">all </w:t>
      </w:r>
      <w:r w:rsidRPr="0000329D">
        <w:t>web-based data collection forms</w:t>
      </w:r>
      <w:r>
        <w:t>.</w:t>
      </w:r>
    </w:p>
    <w:sectPr w:rsidSect="00C52E34">
      <w:headerReference w:type="default"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F24D56" w14:paraId="1CCAC9E7" w14:textId="0DDD4B17">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6E55" w:rsidP="007D4251" w14:paraId="73D383C7" w14:textId="77777777">
      <w:r>
        <w:separator/>
      </w:r>
    </w:p>
  </w:footnote>
  <w:footnote w:type="continuationSeparator" w:id="1">
    <w:p w:rsidR="005B6E55" w:rsidP="007D4251" w14:paraId="28081CE4" w14:textId="77777777">
      <w:r>
        <w:continuationSeparator/>
      </w:r>
    </w:p>
  </w:footnote>
  <w:footnote w:type="continuationNotice" w:id="2">
    <w:p w:rsidR="005B6E55" w14:paraId="3FA43DEE" w14:textId="77777777"/>
  </w:footnote>
  <w:footnote w:id="3">
    <w:p w:rsidR="00A83530" w:rsidRPr="00D15988" w:rsidP="00A83530" w14:paraId="792E2141" w14:textId="77777777">
      <w:pPr>
        <w:pStyle w:val="FootnoteText"/>
        <w:spacing w:after="0"/>
        <w:rPr>
          <w:rFonts w:cs="Times New Roman"/>
        </w:rPr>
      </w:pPr>
      <w:r w:rsidRPr="00D15988">
        <w:rPr>
          <w:rStyle w:val="FootnoteReference"/>
          <w:rFonts w:cs="Times New Roman"/>
        </w:rPr>
        <w:footnoteRef/>
      </w:r>
      <w:r w:rsidRPr="00D15988">
        <w:rPr>
          <w:rFonts w:cs="Times New Roman"/>
        </w:rPr>
        <w:t xml:space="preserve"> Cost performance category measures do not require the collection of additional data because they are derived from the Medicare claims.</w:t>
      </w:r>
    </w:p>
  </w:footnote>
  <w:footnote w:id="4">
    <w:p w:rsidR="00F24D56" w:rsidRPr="00D15988" w:rsidP="005244B1" w14:paraId="1DB45198" w14:textId="0A41B9CF">
      <w:pPr>
        <w:pStyle w:val="FootnoteText"/>
        <w:spacing w:after="0"/>
        <w:rPr>
          <w:rFonts w:cs="Times New Roman"/>
        </w:rPr>
      </w:pPr>
      <w:r w:rsidRPr="00D15988">
        <w:rPr>
          <w:rStyle w:val="FootnoteReference"/>
          <w:rFonts w:cs="Times New Roman"/>
        </w:rPr>
        <w:footnoteRef/>
      </w:r>
      <w:r w:rsidRPr="00D15988">
        <w:rPr>
          <w:rFonts w:cs="Times New Roman"/>
        </w:rPr>
        <w:t xml:space="preserve"> For further detail on MIPS exclusions, see Supporting Statement B and the Regulatory Impact Analysis Section of the CY </w:t>
      </w:r>
      <w:r w:rsidRPr="00D15988" w:rsidR="003F4C0A">
        <w:rPr>
          <w:rFonts w:cs="Times New Roman"/>
        </w:rPr>
        <w:t>202</w:t>
      </w:r>
      <w:r w:rsidR="003F4C0A">
        <w:rPr>
          <w:rFonts w:cs="Times New Roman"/>
        </w:rPr>
        <w:t>5</w:t>
      </w:r>
      <w:r w:rsidRPr="00D15988" w:rsidR="003F4C0A">
        <w:rPr>
          <w:rFonts w:cs="Times New Roman"/>
        </w:rPr>
        <w:t xml:space="preserve"> </w:t>
      </w:r>
      <w:r w:rsidRPr="00D15988">
        <w:rPr>
          <w:rFonts w:cs="Times New Roman"/>
        </w:rPr>
        <w:t xml:space="preserve">PFS </w:t>
      </w:r>
      <w:r w:rsidR="00DA0C21">
        <w:rPr>
          <w:rFonts w:cs="Times New Roman"/>
        </w:rPr>
        <w:t>final</w:t>
      </w:r>
      <w:r w:rsidRPr="00D15988" w:rsidR="00DA0C21">
        <w:rPr>
          <w:rFonts w:cs="Times New Roman"/>
        </w:rPr>
        <w:t xml:space="preserve"> </w:t>
      </w:r>
      <w:r w:rsidRPr="00D15988">
        <w:rPr>
          <w:rFonts w:cs="Times New Roman"/>
        </w:rPr>
        <w:t>rule.</w:t>
      </w:r>
    </w:p>
  </w:footnote>
  <w:footnote w:id="5">
    <w:p w:rsidR="00F24D56" w:rsidRPr="00D15988" w:rsidP="00C16C84" w14:paraId="34022E9B" w14:textId="3EBD8436">
      <w:pPr>
        <w:pStyle w:val="FootnoteText"/>
        <w:spacing w:after="0"/>
        <w:rPr>
          <w:rFonts w:cs="Times New Roman"/>
        </w:rPr>
      </w:pPr>
      <w:r w:rsidRPr="00D15988">
        <w:rPr>
          <w:rStyle w:val="FootnoteReference"/>
          <w:rFonts w:cs="Times New Roman"/>
        </w:rPr>
        <w:footnoteRef/>
      </w:r>
      <w:r w:rsidRPr="00D15988">
        <w:rPr>
          <w:rFonts w:cs="Times New Roman"/>
        </w:rPr>
        <w:t xml:space="preserve"> Lawrence P. Casalino et al, “US Physician Practices Spend More than $15.4 Billion Annually to Report Quality Measures,” Health Affairs, 35, no. 3 (2016): 401-406.</w:t>
      </w:r>
    </w:p>
  </w:footnote>
  <w:footnote w:id="6">
    <w:p w:rsidR="003B7900" w:rsidRPr="006670D4" w:rsidP="00BB4987" w14:paraId="5968C974" w14:textId="7C578354">
      <w:pPr>
        <w:pStyle w:val="FootnoteText"/>
        <w:spacing w:after="0"/>
        <w:rPr>
          <w:rFonts w:cs="Times New Roman"/>
        </w:rPr>
      </w:pPr>
      <w:r w:rsidRPr="006670D4">
        <w:rPr>
          <w:rStyle w:val="FootnoteReference"/>
          <w:rFonts w:cs="Times New Roman"/>
        </w:rPr>
        <w:footnoteRef/>
      </w:r>
      <w:r w:rsidRPr="006670D4">
        <w:rPr>
          <w:rFonts w:cs="Times New Roman"/>
        </w:rPr>
        <w:t xml:space="preserve"> </w:t>
      </w:r>
      <w:hyperlink r:id="rId1" w:history="1">
        <w:r w:rsidRPr="007D1944" w:rsidR="00FD7D1D">
          <w:rPr>
            <w:rStyle w:val="Hyperlink"/>
            <w:rFonts w:cs="Times New Roman"/>
          </w:rPr>
          <w:t>https://www.hhs.gov/coronavirus/covid-19-public-health-emergency/index.html</w:t>
        </w:r>
      </w:hyperlink>
      <w:r w:rsidRPr="006670D4">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F17" w14:paraId="2D590F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30910"/>
    <w:multiLevelType w:val="hybridMultilevel"/>
    <w:tmpl w:val="A7C83798"/>
    <w:lvl w:ilvl="0">
      <w:start w:val="1"/>
      <w:numFmt w:val="upperLetter"/>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B4C38"/>
    <w:multiLevelType w:val="hybridMultilevel"/>
    <w:tmpl w:val="6D500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2505739"/>
    <w:multiLevelType w:val="hybridMultilevel"/>
    <w:tmpl w:val="0BEA49F2"/>
    <w:lvl w:ilvl="0">
      <w:start w:val="0"/>
      <w:numFmt w:val="bullet"/>
      <w:lvlText w:val="•"/>
      <w:lvlJc w:val="left"/>
      <w:pPr>
        <w:ind w:left="720" w:hanging="360"/>
      </w:pPr>
      <w:rPr>
        <w:rFonts w:ascii="Calibri" w:hAnsi="Calibri" w:hint="default"/>
        <w:i/>
        <w:color w:val="003462"/>
        <w:w w:val="10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C677D1"/>
    <w:multiLevelType w:val="multilevel"/>
    <w:tmpl w:val="D0D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9F04C1"/>
    <w:multiLevelType w:val="hybridMultilevel"/>
    <w:tmpl w:val="316EBEA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6D6056"/>
    <w:multiLevelType w:val="hybridMultilevel"/>
    <w:tmpl w:val="0392508C"/>
    <w:lvl w:ilvl="0">
      <w:start w:val="1"/>
      <w:numFmt w:val="lowerRoman"/>
      <w:lvlText w:val="%1."/>
      <w:lvlJc w:val="left"/>
      <w:pPr>
        <w:ind w:left="1080" w:hanging="720"/>
      </w:pPr>
      <w:rPr>
        <w:rFonts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7150ED"/>
    <w:multiLevelType w:val="hybridMultilevel"/>
    <w:tmpl w:val="33941350"/>
    <w:lvl w:ilvl="0">
      <w:start w:val="1"/>
      <w:numFmt w:val="decimal"/>
      <w:lvlText w:val="%1."/>
      <w:lvlJc w:val="left"/>
      <w:pPr>
        <w:ind w:left="360" w:hanging="360"/>
      </w:pPr>
      <w:rPr>
        <w:rFonts w:ascii="Times New Roman" w:hAnsi="Times New Roman" w:cs="Times New Roman" w:hint="default"/>
        <w:b w:val="0"/>
        <w:bCs w:val="0"/>
        <w:i w:val="0"/>
        <w:i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59D6B4D"/>
    <w:multiLevelType w:val="hybridMultilevel"/>
    <w:tmpl w:val="AFC499D0"/>
    <w:lvl w:ilvl="0">
      <w:start w:val="0"/>
      <w:numFmt w:val="bullet"/>
      <w:pStyle w:val="Bullet1"/>
      <w:lvlText w:val="•"/>
      <w:lvlJc w:val="left"/>
      <w:pPr>
        <w:ind w:left="720" w:hanging="360"/>
      </w:pPr>
      <w:rPr>
        <w:rFonts w:ascii="Times New Roman" w:hAnsi="Times New Roman" w:hint="default"/>
        <w:b w:val="0"/>
        <w:i w:val="0"/>
        <w:color w:val="000000" w:themeColor="text1"/>
        <w:w w:val="10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A0172C"/>
    <w:multiLevelType w:val="hybridMultilevel"/>
    <w:tmpl w:val="487E5B90"/>
    <w:lvl w:ilvl="0">
      <w:start w:val="1"/>
      <w:numFmt w:val="lowerLetter"/>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5D62EC"/>
    <w:multiLevelType w:val="hybridMultilevel"/>
    <w:tmpl w:val="772689C2"/>
    <w:lvl w:ilvl="0">
      <w:start w:val="1"/>
      <w:numFmt w:val="lowerRoman"/>
      <w:lvlText w:val="%1."/>
      <w:lvlJc w:val="left"/>
      <w:pPr>
        <w:ind w:left="1440" w:hanging="720"/>
      </w:pPr>
      <w:rPr>
        <w:rFonts w:eastAsiaTheme="majorEastAsia"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C651B02"/>
    <w:multiLevelType w:val="hybridMultilevel"/>
    <w:tmpl w:val="C3EA986A"/>
    <w:lvl w:ilvl="0">
      <w:start w:val="1"/>
      <w:numFmt w:val="lowerRoman"/>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05A6C01"/>
    <w:multiLevelType w:val="hybridMultilevel"/>
    <w:tmpl w:val="4666209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0A83398"/>
    <w:multiLevelType w:val="hybridMultilevel"/>
    <w:tmpl w:val="C456CB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012114">
    <w:abstractNumId w:val="8"/>
  </w:num>
  <w:num w:numId="2" w16cid:durableId="1050154301">
    <w:abstractNumId w:val="3"/>
  </w:num>
  <w:num w:numId="3" w16cid:durableId="464007499">
    <w:abstractNumId w:val="2"/>
    <w:lvlOverride w:ilvl="0">
      <w:startOverride w:val="1"/>
    </w:lvlOverride>
  </w:num>
  <w:num w:numId="4" w16cid:durableId="1759326702">
    <w:abstractNumId w:val="4"/>
  </w:num>
  <w:num w:numId="5" w16cid:durableId="1873616360">
    <w:abstractNumId w:val="0"/>
  </w:num>
  <w:num w:numId="6" w16cid:durableId="1267688596">
    <w:abstractNumId w:val="9"/>
  </w:num>
  <w:num w:numId="7" w16cid:durableId="729622218">
    <w:abstractNumId w:val="9"/>
    <w:lvlOverride w:ilvl="0">
      <w:startOverride w:val="1"/>
    </w:lvlOverride>
  </w:num>
  <w:num w:numId="8" w16cid:durableId="1880631500">
    <w:abstractNumId w:val="11"/>
  </w:num>
  <w:num w:numId="9" w16cid:durableId="821580308">
    <w:abstractNumId w:val="9"/>
    <w:lvlOverride w:ilvl="0">
      <w:startOverride w:val="1"/>
    </w:lvlOverride>
  </w:num>
  <w:num w:numId="10" w16cid:durableId="2039617981">
    <w:abstractNumId w:val="9"/>
    <w:lvlOverride w:ilvl="0">
      <w:startOverride w:val="1"/>
    </w:lvlOverride>
  </w:num>
  <w:num w:numId="11" w16cid:durableId="1664160070">
    <w:abstractNumId w:val="13"/>
  </w:num>
  <w:num w:numId="12" w16cid:durableId="172184552">
    <w:abstractNumId w:val="11"/>
  </w:num>
  <w:num w:numId="13" w16cid:durableId="86923796">
    <w:abstractNumId w:val="13"/>
    <w:lvlOverride w:ilvl="0">
      <w:startOverride w:val="1"/>
    </w:lvlOverride>
  </w:num>
  <w:num w:numId="14" w16cid:durableId="142163439">
    <w:abstractNumId w:val="13"/>
    <w:lvlOverride w:ilvl="0">
      <w:startOverride w:val="1"/>
    </w:lvlOverride>
  </w:num>
  <w:num w:numId="15" w16cid:durableId="967706678">
    <w:abstractNumId w:val="13"/>
    <w:lvlOverride w:ilvl="0">
      <w:startOverride w:val="1"/>
    </w:lvlOverride>
  </w:num>
  <w:num w:numId="16" w16cid:durableId="854879349">
    <w:abstractNumId w:val="13"/>
    <w:lvlOverride w:ilvl="0">
      <w:startOverride w:val="1"/>
    </w:lvlOverride>
  </w:num>
  <w:num w:numId="17" w16cid:durableId="855465225">
    <w:abstractNumId w:val="10"/>
  </w:num>
  <w:num w:numId="18" w16cid:durableId="109208027">
    <w:abstractNumId w:val="13"/>
    <w:lvlOverride w:ilvl="0">
      <w:startOverride w:val="1"/>
    </w:lvlOverride>
  </w:num>
  <w:num w:numId="19" w16cid:durableId="1778869902">
    <w:abstractNumId w:val="9"/>
    <w:lvlOverride w:ilvl="0">
      <w:startOverride w:val="1"/>
    </w:lvlOverride>
  </w:num>
  <w:num w:numId="20" w16cid:durableId="2036925647">
    <w:abstractNumId w:val="9"/>
    <w:lvlOverride w:ilvl="0">
      <w:startOverride w:val="1"/>
    </w:lvlOverride>
  </w:num>
  <w:num w:numId="21" w16cid:durableId="1467433387">
    <w:abstractNumId w:val="9"/>
    <w:lvlOverride w:ilvl="0">
      <w:startOverride w:val="1"/>
    </w:lvlOverride>
  </w:num>
  <w:num w:numId="22" w16cid:durableId="2060742264">
    <w:abstractNumId w:val="9"/>
    <w:lvlOverride w:ilvl="0">
      <w:startOverride w:val="1"/>
    </w:lvlOverride>
  </w:num>
  <w:num w:numId="23" w16cid:durableId="1741782169">
    <w:abstractNumId w:val="9"/>
    <w:lvlOverride w:ilvl="0">
      <w:startOverride w:val="1"/>
    </w:lvlOverride>
  </w:num>
  <w:num w:numId="24" w16cid:durableId="1436556606">
    <w:abstractNumId w:val="9"/>
    <w:lvlOverride w:ilvl="0">
      <w:startOverride w:val="1"/>
    </w:lvlOverride>
  </w:num>
  <w:num w:numId="25" w16cid:durableId="377973607">
    <w:abstractNumId w:val="9"/>
    <w:lvlOverride w:ilvl="0">
      <w:startOverride w:val="1"/>
    </w:lvlOverride>
  </w:num>
  <w:num w:numId="26" w16cid:durableId="1454329336">
    <w:abstractNumId w:val="9"/>
    <w:lvlOverride w:ilvl="0">
      <w:startOverride w:val="1"/>
    </w:lvlOverride>
  </w:num>
  <w:num w:numId="27" w16cid:durableId="407967422">
    <w:abstractNumId w:val="9"/>
    <w:lvlOverride w:ilvl="0">
      <w:startOverride w:val="1"/>
    </w:lvlOverride>
  </w:num>
  <w:num w:numId="28" w16cid:durableId="330259262">
    <w:abstractNumId w:val="9"/>
    <w:lvlOverride w:ilvl="0">
      <w:startOverride w:val="1"/>
    </w:lvlOverride>
  </w:num>
  <w:num w:numId="29" w16cid:durableId="259143024">
    <w:abstractNumId w:val="9"/>
    <w:lvlOverride w:ilvl="0">
      <w:startOverride w:val="1"/>
    </w:lvlOverride>
  </w:num>
  <w:num w:numId="30" w16cid:durableId="615252680">
    <w:abstractNumId w:val="9"/>
    <w:lvlOverride w:ilvl="0">
      <w:startOverride w:val="1"/>
    </w:lvlOverride>
  </w:num>
  <w:num w:numId="31" w16cid:durableId="2147385136">
    <w:abstractNumId w:val="9"/>
    <w:lvlOverride w:ilvl="0">
      <w:startOverride w:val="1"/>
    </w:lvlOverride>
  </w:num>
  <w:num w:numId="32" w16cid:durableId="852649598">
    <w:abstractNumId w:val="9"/>
    <w:lvlOverride w:ilvl="0">
      <w:startOverride w:val="1"/>
    </w:lvlOverride>
  </w:num>
  <w:num w:numId="33" w16cid:durableId="1465582055">
    <w:abstractNumId w:val="9"/>
    <w:lvlOverride w:ilvl="0">
      <w:startOverride w:val="1"/>
    </w:lvlOverride>
  </w:num>
  <w:num w:numId="34" w16cid:durableId="868954592">
    <w:abstractNumId w:val="9"/>
    <w:lvlOverride w:ilvl="0">
      <w:startOverride w:val="1"/>
    </w:lvlOverride>
  </w:num>
  <w:num w:numId="35" w16cid:durableId="1133208638">
    <w:abstractNumId w:val="15"/>
  </w:num>
  <w:num w:numId="36" w16cid:durableId="2005548595">
    <w:abstractNumId w:val="7"/>
  </w:num>
  <w:num w:numId="37" w16cid:durableId="1392119661">
    <w:abstractNumId w:val="12"/>
  </w:num>
  <w:num w:numId="38" w16cid:durableId="231740523">
    <w:abstractNumId w:val="6"/>
  </w:num>
  <w:num w:numId="39" w16cid:durableId="1122073557">
    <w:abstractNumId w:val="5"/>
  </w:num>
  <w:num w:numId="40" w16cid:durableId="73095103">
    <w:abstractNumId w:val="1"/>
  </w:num>
  <w:num w:numId="41" w16cid:durableId="157550791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Moves/>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4"/>
    <w:rsid w:val="00000132"/>
    <w:rsid w:val="00000177"/>
    <w:rsid w:val="00000322"/>
    <w:rsid w:val="00000341"/>
    <w:rsid w:val="0000054B"/>
    <w:rsid w:val="0000068E"/>
    <w:rsid w:val="00000945"/>
    <w:rsid w:val="00000A82"/>
    <w:rsid w:val="00000AC4"/>
    <w:rsid w:val="00000E02"/>
    <w:rsid w:val="00001272"/>
    <w:rsid w:val="00001454"/>
    <w:rsid w:val="0000177A"/>
    <w:rsid w:val="00001818"/>
    <w:rsid w:val="0000185B"/>
    <w:rsid w:val="000018ED"/>
    <w:rsid w:val="00001AD4"/>
    <w:rsid w:val="00001B01"/>
    <w:rsid w:val="00001BAD"/>
    <w:rsid w:val="00001DF8"/>
    <w:rsid w:val="000020A4"/>
    <w:rsid w:val="000027AB"/>
    <w:rsid w:val="00002B04"/>
    <w:rsid w:val="00002B99"/>
    <w:rsid w:val="00002C57"/>
    <w:rsid w:val="00002E1C"/>
    <w:rsid w:val="00002EA2"/>
    <w:rsid w:val="00002EB6"/>
    <w:rsid w:val="00003063"/>
    <w:rsid w:val="0000309F"/>
    <w:rsid w:val="00003201"/>
    <w:rsid w:val="0000326D"/>
    <w:rsid w:val="0000329D"/>
    <w:rsid w:val="000034A6"/>
    <w:rsid w:val="000037A3"/>
    <w:rsid w:val="00003875"/>
    <w:rsid w:val="00003880"/>
    <w:rsid w:val="000038DC"/>
    <w:rsid w:val="00003A13"/>
    <w:rsid w:val="00003ABA"/>
    <w:rsid w:val="00003CAB"/>
    <w:rsid w:val="00003CEF"/>
    <w:rsid w:val="00004270"/>
    <w:rsid w:val="000042B9"/>
    <w:rsid w:val="00004334"/>
    <w:rsid w:val="0000434B"/>
    <w:rsid w:val="00004523"/>
    <w:rsid w:val="000049F4"/>
    <w:rsid w:val="00004ACF"/>
    <w:rsid w:val="00004AD3"/>
    <w:rsid w:val="00004C8F"/>
    <w:rsid w:val="000050CB"/>
    <w:rsid w:val="000053DC"/>
    <w:rsid w:val="000056EC"/>
    <w:rsid w:val="000057DC"/>
    <w:rsid w:val="00005A1D"/>
    <w:rsid w:val="00005BDD"/>
    <w:rsid w:val="00005BE8"/>
    <w:rsid w:val="00005C1F"/>
    <w:rsid w:val="00005F46"/>
    <w:rsid w:val="000061F1"/>
    <w:rsid w:val="000062C7"/>
    <w:rsid w:val="000067D2"/>
    <w:rsid w:val="00006A28"/>
    <w:rsid w:val="00006D74"/>
    <w:rsid w:val="00006E84"/>
    <w:rsid w:val="00007047"/>
    <w:rsid w:val="000072CA"/>
    <w:rsid w:val="000072E2"/>
    <w:rsid w:val="00007330"/>
    <w:rsid w:val="00007333"/>
    <w:rsid w:val="0000733E"/>
    <w:rsid w:val="00007392"/>
    <w:rsid w:val="000073A6"/>
    <w:rsid w:val="00007529"/>
    <w:rsid w:val="0000784F"/>
    <w:rsid w:val="00007CA4"/>
    <w:rsid w:val="00007F0C"/>
    <w:rsid w:val="000102E0"/>
    <w:rsid w:val="00010400"/>
    <w:rsid w:val="0001047E"/>
    <w:rsid w:val="0001111E"/>
    <w:rsid w:val="000112E5"/>
    <w:rsid w:val="00011420"/>
    <w:rsid w:val="00011801"/>
    <w:rsid w:val="000118D8"/>
    <w:rsid w:val="000118DF"/>
    <w:rsid w:val="00011A84"/>
    <w:rsid w:val="00011DCF"/>
    <w:rsid w:val="00011FE7"/>
    <w:rsid w:val="0001219A"/>
    <w:rsid w:val="000123FA"/>
    <w:rsid w:val="000124DD"/>
    <w:rsid w:val="000125A7"/>
    <w:rsid w:val="000125C4"/>
    <w:rsid w:val="000127C9"/>
    <w:rsid w:val="00012880"/>
    <w:rsid w:val="000128EA"/>
    <w:rsid w:val="00012BA9"/>
    <w:rsid w:val="00012CEA"/>
    <w:rsid w:val="000133EA"/>
    <w:rsid w:val="000137A7"/>
    <w:rsid w:val="000138AF"/>
    <w:rsid w:val="0001395A"/>
    <w:rsid w:val="00013C53"/>
    <w:rsid w:val="00013F37"/>
    <w:rsid w:val="0001401A"/>
    <w:rsid w:val="00014098"/>
    <w:rsid w:val="00014177"/>
    <w:rsid w:val="0001418A"/>
    <w:rsid w:val="00014194"/>
    <w:rsid w:val="00014265"/>
    <w:rsid w:val="000142F5"/>
    <w:rsid w:val="0001456E"/>
    <w:rsid w:val="000146D2"/>
    <w:rsid w:val="000146DA"/>
    <w:rsid w:val="00014752"/>
    <w:rsid w:val="00014796"/>
    <w:rsid w:val="00014933"/>
    <w:rsid w:val="00014A66"/>
    <w:rsid w:val="00014B8C"/>
    <w:rsid w:val="00014C8D"/>
    <w:rsid w:val="00014D48"/>
    <w:rsid w:val="00014F78"/>
    <w:rsid w:val="00014FB4"/>
    <w:rsid w:val="00014FDE"/>
    <w:rsid w:val="0001500B"/>
    <w:rsid w:val="000151CC"/>
    <w:rsid w:val="000151E3"/>
    <w:rsid w:val="000153E4"/>
    <w:rsid w:val="000157FC"/>
    <w:rsid w:val="000158CB"/>
    <w:rsid w:val="000158EE"/>
    <w:rsid w:val="00015EA2"/>
    <w:rsid w:val="000160D9"/>
    <w:rsid w:val="000162D2"/>
    <w:rsid w:val="000163A4"/>
    <w:rsid w:val="000163A7"/>
    <w:rsid w:val="00016456"/>
    <w:rsid w:val="000167FE"/>
    <w:rsid w:val="00016891"/>
    <w:rsid w:val="00016E8B"/>
    <w:rsid w:val="00017458"/>
    <w:rsid w:val="000175E0"/>
    <w:rsid w:val="000176F9"/>
    <w:rsid w:val="000178CD"/>
    <w:rsid w:val="00017B99"/>
    <w:rsid w:val="00017D3E"/>
    <w:rsid w:val="000200AE"/>
    <w:rsid w:val="000200B1"/>
    <w:rsid w:val="0002015D"/>
    <w:rsid w:val="00020465"/>
    <w:rsid w:val="0002052B"/>
    <w:rsid w:val="0002055B"/>
    <w:rsid w:val="000205A9"/>
    <w:rsid w:val="000209FB"/>
    <w:rsid w:val="00020A6E"/>
    <w:rsid w:val="00020C22"/>
    <w:rsid w:val="00020C8A"/>
    <w:rsid w:val="00020DB7"/>
    <w:rsid w:val="00020F33"/>
    <w:rsid w:val="000211FD"/>
    <w:rsid w:val="00021309"/>
    <w:rsid w:val="00021493"/>
    <w:rsid w:val="00021E0F"/>
    <w:rsid w:val="00021E23"/>
    <w:rsid w:val="00021F21"/>
    <w:rsid w:val="00021F6B"/>
    <w:rsid w:val="00021F96"/>
    <w:rsid w:val="00022124"/>
    <w:rsid w:val="000221D0"/>
    <w:rsid w:val="00022792"/>
    <w:rsid w:val="000228C1"/>
    <w:rsid w:val="00022A43"/>
    <w:rsid w:val="00022B08"/>
    <w:rsid w:val="00022CEE"/>
    <w:rsid w:val="00022F9D"/>
    <w:rsid w:val="00022FC9"/>
    <w:rsid w:val="00022FD6"/>
    <w:rsid w:val="00023485"/>
    <w:rsid w:val="00023731"/>
    <w:rsid w:val="000239B0"/>
    <w:rsid w:val="00023BCB"/>
    <w:rsid w:val="00023C52"/>
    <w:rsid w:val="00023D09"/>
    <w:rsid w:val="00023FE0"/>
    <w:rsid w:val="0002405E"/>
    <w:rsid w:val="0002421D"/>
    <w:rsid w:val="0002497D"/>
    <w:rsid w:val="00024CDD"/>
    <w:rsid w:val="00024CEB"/>
    <w:rsid w:val="00024E97"/>
    <w:rsid w:val="00024F4A"/>
    <w:rsid w:val="00024F8C"/>
    <w:rsid w:val="000250A0"/>
    <w:rsid w:val="000250A1"/>
    <w:rsid w:val="000250F1"/>
    <w:rsid w:val="000250F7"/>
    <w:rsid w:val="00025105"/>
    <w:rsid w:val="000252CE"/>
    <w:rsid w:val="00025387"/>
    <w:rsid w:val="000253E0"/>
    <w:rsid w:val="00025984"/>
    <w:rsid w:val="00025B7F"/>
    <w:rsid w:val="00025C68"/>
    <w:rsid w:val="00025CD2"/>
    <w:rsid w:val="00025EB7"/>
    <w:rsid w:val="00026158"/>
    <w:rsid w:val="00026306"/>
    <w:rsid w:val="0002633A"/>
    <w:rsid w:val="0002634F"/>
    <w:rsid w:val="0002637C"/>
    <w:rsid w:val="0002645C"/>
    <w:rsid w:val="000264E5"/>
    <w:rsid w:val="0002662F"/>
    <w:rsid w:val="000266CB"/>
    <w:rsid w:val="00026901"/>
    <w:rsid w:val="0002696F"/>
    <w:rsid w:val="00026B41"/>
    <w:rsid w:val="00026C23"/>
    <w:rsid w:val="00026CFD"/>
    <w:rsid w:val="00026EEE"/>
    <w:rsid w:val="00026F17"/>
    <w:rsid w:val="000270EC"/>
    <w:rsid w:val="0002730A"/>
    <w:rsid w:val="000273E1"/>
    <w:rsid w:val="000273E3"/>
    <w:rsid w:val="000274D8"/>
    <w:rsid w:val="00027698"/>
    <w:rsid w:val="00027DA8"/>
    <w:rsid w:val="00027E15"/>
    <w:rsid w:val="0003005F"/>
    <w:rsid w:val="000300FC"/>
    <w:rsid w:val="000305C5"/>
    <w:rsid w:val="0003065E"/>
    <w:rsid w:val="000307CC"/>
    <w:rsid w:val="000308AE"/>
    <w:rsid w:val="00030ABB"/>
    <w:rsid w:val="00030B83"/>
    <w:rsid w:val="00030E25"/>
    <w:rsid w:val="00030F3D"/>
    <w:rsid w:val="00030FF4"/>
    <w:rsid w:val="0003127B"/>
    <w:rsid w:val="0003134F"/>
    <w:rsid w:val="00031441"/>
    <w:rsid w:val="000314AA"/>
    <w:rsid w:val="00031987"/>
    <w:rsid w:val="00031B94"/>
    <w:rsid w:val="00031C96"/>
    <w:rsid w:val="00031D8B"/>
    <w:rsid w:val="00031FC7"/>
    <w:rsid w:val="00031FDF"/>
    <w:rsid w:val="000324AB"/>
    <w:rsid w:val="000324C8"/>
    <w:rsid w:val="0003262F"/>
    <w:rsid w:val="00032887"/>
    <w:rsid w:val="000328C7"/>
    <w:rsid w:val="00032990"/>
    <w:rsid w:val="00032B74"/>
    <w:rsid w:val="00032E71"/>
    <w:rsid w:val="000330C4"/>
    <w:rsid w:val="00033326"/>
    <w:rsid w:val="00033583"/>
    <w:rsid w:val="00033654"/>
    <w:rsid w:val="0003387F"/>
    <w:rsid w:val="000338AC"/>
    <w:rsid w:val="000339E6"/>
    <w:rsid w:val="000339EA"/>
    <w:rsid w:val="00033B74"/>
    <w:rsid w:val="0003415A"/>
    <w:rsid w:val="000342D2"/>
    <w:rsid w:val="000343B7"/>
    <w:rsid w:val="00034583"/>
    <w:rsid w:val="00034668"/>
    <w:rsid w:val="0003467E"/>
    <w:rsid w:val="00034A8C"/>
    <w:rsid w:val="00034AF7"/>
    <w:rsid w:val="00034C38"/>
    <w:rsid w:val="00034E68"/>
    <w:rsid w:val="000351CB"/>
    <w:rsid w:val="00035384"/>
    <w:rsid w:val="000355A5"/>
    <w:rsid w:val="000355E3"/>
    <w:rsid w:val="000356DE"/>
    <w:rsid w:val="000359E5"/>
    <w:rsid w:val="00035BA1"/>
    <w:rsid w:val="00035BE0"/>
    <w:rsid w:val="00035DB2"/>
    <w:rsid w:val="00035F7D"/>
    <w:rsid w:val="00035F9E"/>
    <w:rsid w:val="00036095"/>
    <w:rsid w:val="00036231"/>
    <w:rsid w:val="000363EB"/>
    <w:rsid w:val="00036518"/>
    <w:rsid w:val="00036545"/>
    <w:rsid w:val="000368ED"/>
    <w:rsid w:val="00036D07"/>
    <w:rsid w:val="000372DF"/>
    <w:rsid w:val="00037475"/>
    <w:rsid w:val="00037685"/>
    <w:rsid w:val="00037779"/>
    <w:rsid w:val="000377C2"/>
    <w:rsid w:val="0003781F"/>
    <w:rsid w:val="00037833"/>
    <w:rsid w:val="00037929"/>
    <w:rsid w:val="00037ADF"/>
    <w:rsid w:val="00037BD3"/>
    <w:rsid w:val="00037F10"/>
    <w:rsid w:val="00037FB8"/>
    <w:rsid w:val="00037FF8"/>
    <w:rsid w:val="00040001"/>
    <w:rsid w:val="00040287"/>
    <w:rsid w:val="00040767"/>
    <w:rsid w:val="000407B7"/>
    <w:rsid w:val="000408F2"/>
    <w:rsid w:val="000412AB"/>
    <w:rsid w:val="00041327"/>
    <w:rsid w:val="00041916"/>
    <w:rsid w:val="000419B0"/>
    <w:rsid w:val="000419C8"/>
    <w:rsid w:val="00041A6A"/>
    <w:rsid w:val="00041F68"/>
    <w:rsid w:val="0004215B"/>
    <w:rsid w:val="000425C0"/>
    <w:rsid w:val="00042650"/>
    <w:rsid w:val="0004268F"/>
    <w:rsid w:val="000427D0"/>
    <w:rsid w:val="000429DC"/>
    <w:rsid w:val="000429FC"/>
    <w:rsid w:val="00042A05"/>
    <w:rsid w:val="00042A8A"/>
    <w:rsid w:val="00042EAA"/>
    <w:rsid w:val="00042EE3"/>
    <w:rsid w:val="00042FF0"/>
    <w:rsid w:val="000430D1"/>
    <w:rsid w:val="0004315D"/>
    <w:rsid w:val="00043200"/>
    <w:rsid w:val="000434B3"/>
    <w:rsid w:val="000436CB"/>
    <w:rsid w:val="00043761"/>
    <w:rsid w:val="000438D5"/>
    <w:rsid w:val="000439B5"/>
    <w:rsid w:val="00043C38"/>
    <w:rsid w:val="00043CF6"/>
    <w:rsid w:val="00044169"/>
    <w:rsid w:val="00044304"/>
    <w:rsid w:val="00044692"/>
    <w:rsid w:val="0004495F"/>
    <w:rsid w:val="000449C4"/>
    <w:rsid w:val="00044D0E"/>
    <w:rsid w:val="00044D61"/>
    <w:rsid w:val="00044EEB"/>
    <w:rsid w:val="00044FD5"/>
    <w:rsid w:val="00044FE3"/>
    <w:rsid w:val="000451A8"/>
    <w:rsid w:val="00045313"/>
    <w:rsid w:val="00045417"/>
    <w:rsid w:val="0004549B"/>
    <w:rsid w:val="000458CF"/>
    <w:rsid w:val="00045A79"/>
    <w:rsid w:val="00045BB5"/>
    <w:rsid w:val="00045C28"/>
    <w:rsid w:val="00045ED2"/>
    <w:rsid w:val="00045F6B"/>
    <w:rsid w:val="00045FB9"/>
    <w:rsid w:val="0004604A"/>
    <w:rsid w:val="000462E6"/>
    <w:rsid w:val="00046384"/>
    <w:rsid w:val="0004638B"/>
    <w:rsid w:val="0004677F"/>
    <w:rsid w:val="0004680F"/>
    <w:rsid w:val="00046908"/>
    <w:rsid w:val="00046ACA"/>
    <w:rsid w:val="00046E4E"/>
    <w:rsid w:val="000470A2"/>
    <w:rsid w:val="000470E8"/>
    <w:rsid w:val="00047146"/>
    <w:rsid w:val="0004737C"/>
    <w:rsid w:val="0004783F"/>
    <w:rsid w:val="000478C1"/>
    <w:rsid w:val="00047949"/>
    <w:rsid w:val="000479D5"/>
    <w:rsid w:val="00047A3C"/>
    <w:rsid w:val="00047C66"/>
    <w:rsid w:val="00047D27"/>
    <w:rsid w:val="00047D78"/>
    <w:rsid w:val="00047E7A"/>
    <w:rsid w:val="00047F9F"/>
    <w:rsid w:val="000502BF"/>
    <w:rsid w:val="00050464"/>
    <w:rsid w:val="000504DC"/>
    <w:rsid w:val="000504E4"/>
    <w:rsid w:val="00050642"/>
    <w:rsid w:val="00050671"/>
    <w:rsid w:val="000506EB"/>
    <w:rsid w:val="00050972"/>
    <w:rsid w:val="00050A69"/>
    <w:rsid w:val="00050AEB"/>
    <w:rsid w:val="00050D6C"/>
    <w:rsid w:val="00050DA1"/>
    <w:rsid w:val="00050F91"/>
    <w:rsid w:val="000510E2"/>
    <w:rsid w:val="000510ED"/>
    <w:rsid w:val="000510F3"/>
    <w:rsid w:val="00051118"/>
    <w:rsid w:val="00051326"/>
    <w:rsid w:val="000513E1"/>
    <w:rsid w:val="00051452"/>
    <w:rsid w:val="000518E0"/>
    <w:rsid w:val="00051B4D"/>
    <w:rsid w:val="00051C3E"/>
    <w:rsid w:val="00051CC1"/>
    <w:rsid w:val="00051CD1"/>
    <w:rsid w:val="00051DF6"/>
    <w:rsid w:val="000523AE"/>
    <w:rsid w:val="000525F7"/>
    <w:rsid w:val="000526A6"/>
    <w:rsid w:val="0005284E"/>
    <w:rsid w:val="0005288D"/>
    <w:rsid w:val="00052EAE"/>
    <w:rsid w:val="000531B4"/>
    <w:rsid w:val="0005321D"/>
    <w:rsid w:val="000534C3"/>
    <w:rsid w:val="00053547"/>
    <w:rsid w:val="00053715"/>
    <w:rsid w:val="0005374C"/>
    <w:rsid w:val="000537A9"/>
    <w:rsid w:val="00053903"/>
    <w:rsid w:val="00053ADD"/>
    <w:rsid w:val="00053C11"/>
    <w:rsid w:val="00053D7D"/>
    <w:rsid w:val="00053F1B"/>
    <w:rsid w:val="00053F3D"/>
    <w:rsid w:val="000540D4"/>
    <w:rsid w:val="0005428C"/>
    <w:rsid w:val="000542F3"/>
    <w:rsid w:val="00054336"/>
    <w:rsid w:val="00054352"/>
    <w:rsid w:val="00054407"/>
    <w:rsid w:val="00054566"/>
    <w:rsid w:val="00054713"/>
    <w:rsid w:val="0005492C"/>
    <w:rsid w:val="00054BFA"/>
    <w:rsid w:val="00055104"/>
    <w:rsid w:val="0005510F"/>
    <w:rsid w:val="000551E3"/>
    <w:rsid w:val="00055324"/>
    <w:rsid w:val="0005543A"/>
    <w:rsid w:val="000557B4"/>
    <w:rsid w:val="0005598C"/>
    <w:rsid w:val="000559A0"/>
    <w:rsid w:val="000559A3"/>
    <w:rsid w:val="00055B18"/>
    <w:rsid w:val="00055DD6"/>
    <w:rsid w:val="000569F4"/>
    <w:rsid w:val="00056ACD"/>
    <w:rsid w:val="00056BAA"/>
    <w:rsid w:val="00056BEA"/>
    <w:rsid w:val="00057624"/>
    <w:rsid w:val="00057B77"/>
    <w:rsid w:val="00057C04"/>
    <w:rsid w:val="00057DF1"/>
    <w:rsid w:val="00057F3C"/>
    <w:rsid w:val="00058783"/>
    <w:rsid w:val="000593FF"/>
    <w:rsid w:val="0006017A"/>
    <w:rsid w:val="000601D3"/>
    <w:rsid w:val="0006028D"/>
    <w:rsid w:val="00060351"/>
    <w:rsid w:val="00060472"/>
    <w:rsid w:val="0006071B"/>
    <w:rsid w:val="000608FD"/>
    <w:rsid w:val="0006093D"/>
    <w:rsid w:val="00060B7C"/>
    <w:rsid w:val="00060D91"/>
    <w:rsid w:val="0006119E"/>
    <w:rsid w:val="0006119F"/>
    <w:rsid w:val="00061279"/>
    <w:rsid w:val="00061961"/>
    <w:rsid w:val="00061ABB"/>
    <w:rsid w:val="00061AC7"/>
    <w:rsid w:val="00061ACC"/>
    <w:rsid w:val="00061D37"/>
    <w:rsid w:val="00061F21"/>
    <w:rsid w:val="00061F2B"/>
    <w:rsid w:val="00061F97"/>
    <w:rsid w:val="00061FD4"/>
    <w:rsid w:val="00061FF8"/>
    <w:rsid w:val="0006240E"/>
    <w:rsid w:val="000624FE"/>
    <w:rsid w:val="00062779"/>
    <w:rsid w:val="00062C4A"/>
    <w:rsid w:val="00062D49"/>
    <w:rsid w:val="0006333E"/>
    <w:rsid w:val="000634EF"/>
    <w:rsid w:val="00063599"/>
    <w:rsid w:val="000636DC"/>
    <w:rsid w:val="000638B0"/>
    <w:rsid w:val="000638C0"/>
    <w:rsid w:val="0006399F"/>
    <w:rsid w:val="00063C29"/>
    <w:rsid w:val="00063CA3"/>
    <w:rsid w:val="00063DB0"/>
    <w:rsid w:val="0006403F"/>
    <w:rsid w:val="00064064"/>
    <w:rsid w:val="0006410A"/>
    <w:rsid w:val="000642D0"/>
    <w:rsid w:val="0006437B"/>
    <w:rsid w:val="00064397"/>
    <w:rsid w:val="000643A8"/>
    <w:rsid w:val="000646E7"/>
    <w:rsid w:val="00064719"/>
    <w:rsid w:val="00064794"/>
    <w:rsid w:val="00064A2B"/>
    <w:rsid w:val="00064D6F"/>
    <w:rsid w:val="00064D96"/>
    <w:rsid w:val="00064DFC"/>
    <w:rsid w:val="00064E03"/>
    <w:rsid w:val="0006542C"/>
    <w:rsid w:val="00065609"/>
    <w:rsid w:val="00065938"/>
    <w:rsid w:val="00065C26"/>
    <w:rsid w:val="000661CE"/>
    <w:rsid w:val="000663A0"/>
    <w:rsid w:val="000664EA"/>
    <w:rsid w:val="00066981"/>
    <w:rsid w:val="00066998"/>
    <w:rsid w:val="000669BC"/>
    <w:rsid w:val="000669E7"/>
    <w:rsid w:val="00066A5C"/>
    <w:rsid w:val="00066B2B"/>
    <w:rsid w:val="00066B73"/>
    <w:rsid w:val="00066E97"/>
    <w:rsid w:val="00066EA3"/>
    <w:rsid w:val="00066FB6"/>
    <w:rsid w:val="00067362"/>
    <w:rsid w:val="00067364"/>
    <w:rsid w:val="0006756B"/>
    <w:rsid w:val="000675D6"/>
    <w:rsid w:val="0006779E"/>
    <w:rsid w:val="0006780D"/>
    <w:rsid w:val="00067A03"/>
    <w:rsid w:val="00067B1A"/>
    <w:rsid w:val="00067B45"/>
    <w:rsid w:val="00067E3E"/>
    <w:rsid w:val="00067E7E"/>
    <w:rsid w:val="00070627"/>
    <w:rsid w:val="000709BE"/>
    <w:rsid w:val="00070A46"/>
    <w:rsid w:val="00070A95"/>
    <w:rsid w:val="00070C17"/>
    <w:rsid w:val="00070CB1"/>
    <w:rsid w:val="00070F8D"/>
    <w:rsid w:val="00071076"/>
    <w:rsid w:val="0007107E"/>
    <w:rsid w:val="000710D0"/>
    <w:rsid w:val="0007119C"/>
    <w:rsid w:val="000714F8"/>
    <w:rsid w:val="00071739"/>
    <w:rsid w:val="000719C7"/>
    <w:rsid w:val="00071AA3"/>
    <w:rsid w:val="000721DB"/>
    <w:rsid w:val="00072469"/>
    <w:rsid w:val="0007248C"/>
    <w:rsid w:val="000724DB"/>
    <w:rsid w:val="000724EF"/>
    <w:rsid w:val="000726D8"/>
    <w:rsid w:val="0007271D"/>
    <w:rsid w:val="00072ABB"/>
    <w:rsid w:val="00072DB4"/>
    <w:rsid w:val="00072E7A"/>
    <w:rsid w:val="0007309D"/>
    <w:rsid w:val="00073191"/>
    <w:rsid w:val="000731E6"/>
    <w:rsid w:val="0007360B"/>
    <w:rsid w:val="0007360C"/>
    <w:rsid w:val="00073706"/>
    <w:rsid w:val="00073B9A"/>
    <w:rsid w:val="00073D51"/>
    <w:rsid w:val="00073E56"/>
    <w:rsid w:val="00074215"/>
    <w:rsid w:val="0007426C"/>
    <w:rsid w:val="00074294"/>
    <w:rsid w:val="0007435F"/>
    <w:rsid w:val="000744BF"/>
    <w:rsid w:val="00074674"/>
    <w:rsid w:val="000747BD"/>
    <w:rsid w:val="00074930"/>
    <w:rsid w:val="00074B48"/>
    <w:rsid w:val="00074B93"/>
    <w:rsid w:val="00074C86"/>
    <w:rsid w:val="00074CCD"/>
    <w:rsid w:val="00074E0C"/>
    <w:rsid w:val="000750B4"/>
    <w:rsid w:val="000753D5"/>
    <w:rsid w:val="00075663"/>
    <w:rsid w:val="00075892"/>
    <w:rsid w:val="0007596D"/>
    <w:rsid w:val="00075A45"/>
    <w:rsid w:val="00075B8A"/>
    <w:rsid w:val="00075E52"/>
    <w:rsid w:val="00076024"/>
    <w:rsid w:val="00076056"/>
    <w:rsid w:val="0007635C"/>
    <w:rsid w:val="0007638C"/>
    <w:rsid w:val="000764A5"/>
    <w:rsid w:val="000764B3"/>
    <w:rsid w:val="00076B43"/>
    <w:rsid w:val="00076C0B"/>
    <w:rsid w:val="00076EB7"/>
    <w:rsid w:val="00076EF1"/>
    <w:rsid w:val="00076EFD"/>
    <w:rsid w:val="00076FD0"/>
    <w:rsid w:val="00076FDB"/>
    <w:rsid w:val="00077156"/>
    <w:rsid w:val="00077526"/>
    <w:rsid w:val="00077766"/>
    <w:rsid w:val="000778A0"/>
    <w:rsid w:val="000778A1"/>
    <w:rsid w:val="00077A80"/>
    <w:rsid w:val="00077C7D"/>
    <w:rsid w:val="00077CCE"/>
    <w:rsid w:val="00077DD0"/>
    <w:rsid w:val="00077DD5"/>
    <w:rsid w:val="00080109"/>
    <w:rsid w:val="000803AC"/>
    <w:rsid w:val="0008057B"/>
    <w:rsid w:val="0008060F"/>
    <w:rsid w:val="0008062E"/>
    <w:rsid w:val="00080AB9"/>
    <w:rsid w:val="00080C89"/>
    <w:rsid w:val="00081041"/>
    <w:rsid w:val="00081292"/>
    <w:rsid w:val="000814C8"/>
    <w:rsid w:val="00081800"/>
    <w:rsid w:val="00081807"/>
    <w:rsid w:val="00081A5A"/>
    <w:rsid w:val="00081D78"/>
    <w:rsid w:val="00081E3C"/>
    <w:rsid w:val="00081E76"/>
    <w:rsid w:val="00081EEE"/>
    <w:rsid w:val="00081F2D"/>
    <w:rsid w:val="000822E8"/>
    <w:rsid w:val="00082356"/>
    <w:rsid w:val="0008256E"/>
    <w:rsid w:val="000826BE"/>
    <w:rsid w:val="000826CA"/>
    <w:rsid w:val="00082A13"/>
    <w:rsid w:val="00082BBE"/>
    <w:rsid w:val="00082C13"/>
    <w:rsid w:val="00082C6F"/>
    <w:rsid w:val="00082CE0"/>
    <w:rsid w:val="00083171"/>
    <w:rsid w:val="000832A7"/>
    <w:rsid w:val="000832E4"/>
    <w:rsid w:val="000833AA"/>
    <w:rsid w:val="00083787"/>
    <w:rsid w:val="00083AAB"/>
    <w:rsid w:val="000840C5"/>
    <w:rsid w:val="000841B9"/>
    <w:rsid w:val="000841E7"/>
    <w:rsid w:val="000844C0"/>
    <w:rsid w:val="0008451E"/>
    <w:rsid w:val="000845C7"/>
    <w:rsid w:val="000848A8"/>
    <w:rsid w:val="000848E5"/>
    <w:rsid w:val="00084F60"/>
    <w:rsid w:val="00084FA8"/>
    <w:rsid w:val="00085065"/>
    <w:rsid w:val="000850FA"/>
    <w:rsid w:val="000853A8"/>
    <w:rsid w:val="00085619"/>
    <w:rsid w:val="00085ADB"/>
    <w:rsid w:val="00085E61"/>
    <w:rsid w:val="00085F86"/>
    <w:rsid w:val="00086457"/>
    <w:rsid w:val="000866C8"/>
    <w:rsid w:val="000866D0"/>
    <w:rsid w:val="000867B5"/>
    <w:rsid w:val="000869B2"/>
    <w:rsid w:val="00086A59"/>
    <w:rsid w:val="00086BDA"/>
    <w:rsid w:val="00086C47"/>
    <w:rsid w:val="00086E49"/>
    <w:rsid w:val="00087024"/>
    <w:rsid w:val="000870D3"/>
    <w:rsid w:val="00087511"/>
    <w:rsid w:val="000878E0"/>
    <w:rsid w:val="00087C7F"/>
    <w:rsid w:val="00087DA5"/>
    <w:rsid w:val="00087E44"/>
    <w:rsid w:val="00087F30"/>
    <w:rsid w:val="00090650"/>
    <w:rsid w:val="000906C9"/>
    <w:rsid w:val="00090AE4"/>
    <w:rsid w:val="00090BDE"/>
    <w:rsid w:val="00090CA6"/>
    <w:rsid w:val="00090CE5"/>
    <w:rsid w:val="00090CF8"/>
    <w:rsid w:val="000913AB"/>
    <w:rsid w:val="00091623"/>
    <w:rsid w:val="00091D7D"/>
    <w:rsid w:val="00091F14"/>
    <w:rsid w:val="00092069"/>
    <w:rsid w:val="00092107"/>
    <w:rsid w:val="0009225B"/>
    <w:rsid w:val="00092667"/>
    <w:rsid w:val="000927E6"/>
    <w:rsid w:val="00092C2E"/>
    <w:rsid w:val="00092C3D"/>
    <w:rsid w:val="00092DEE"/>
    <w:rsid w:val="00092F54"/>
    <w:rsid w:val="0009356F"/>
    <w:rsid w:val="0009360A"/>
    <w:rsid w:val="00093718"/>
    <w:rsid w:val="00093842"/>
    <w:rsid w:val="00093904"/>
    <w:rsid w:val="000939FB"/>
    <w:rsid w:val="00093D26"/>
    <w:rsid w:val="00093F49"/>
    <w:rsid w:val="00093F91"/>
    <w:rsid w:val="0009418B"/>
    <w:rsid w:val="00094949"/>
    <w:rsid w:val="0009499A"/>
    <w:rsid w:val="000949B6"/>
    <w:rsid w:val="000949BF"/>
    <w:rsid w:val="00094B4E"/>
    <w:rsid w:val="00094BDE"/>
    <w:rsid w:val="0009503C"/>
    <w:rsid w:val="00095040"/>
    <w:rsid w:val="00095187"/>
    <w:rsid w:val="0009524A"/>
    <w:rsid w:val="0009568B"/>
    <w:rsid w:val="00095776"/>
    <w:rsid w:val="000958F1"/>
    <w:rsid w:val="00095C06"/>
    <w:rsid w:val="00095C79"/>
    <w:rsid w:val="0009616E"/>
    <w:rsid w:val="000964B4"/>
    <w:rsid w:val="000965E0"/>
    <w:rsid w:val="000967B8"/>
    <w:rsid w:val="00096B63"/>
    <w:rsid w:val="00096D28"/>
    <w:rsid w:val="00096E42"/>
    <w:rsid w:val="00096EA2"/>
    <w:rsid w:val="00096EF5"/>
    <w:rsid w:val="000970CA"/>
    <w:rsid w:val="000971B7"/>
    <w:rsid w:val="00097A47"/>
    <w:rsid w:val="00097BC5"/>
    <w:rsid w:val="00097CA9"/>
    <w:rsid w:val="00097D8D"/>
    <w:rsid w:val="00097E13"/>
    <w:rsid w:val="000A0331"/>
    <w:rsid w:val="000A03BB"/>
    <w:rsid w:val="000A0467"/>
    <w:rsid w:val="000A0746"/>
    <w:rsid w:val="000A07E1"/>
    <w:rsid w:val="000A085E"/>
    <w:rsid w:val="000A0A8F"/>
    <w:rsid w:val="000A0D7A"/>
    <w:rsid w:val="000A0F22"/>
    <w:rsid w:val="000A0F6D"/>
    <w:rsid w:val="000A1130"/>
    <w:rsid w:val="000A1148"/>
    <w:rsid w:val="000A141B"/>
    <w:rsid w:val="000A146E"/>
    <w:rsid w:val="000A14E5"/>
    <w:rsid w:val="000A16D7"/>
    <w:rsid w:val="000A16ED"/>
    <w:rsid w:val="000A1900"/>
    <w:rsid w:val="000A19D8"/>
    <w:rsid w:val="000A1AEC"/>
    <w:rsid w:val="000A1BC2"/>
    <w:rsid w:val="000A1D5D"/>
    <w:rsid w:val="000A1D69"/>
    <w:rsid w:val="000A1DF3"/>
    <w:rsid w:val="000A1F8E"/>
    <w:rsid w:val="000A219C"/>
    <w:rsid w:val="000A2399"/>
    <w:rsid w:val="000A2425"/>
    <w:rsid w:val="000A2B0A"/>
    <w:rsid w:val="000A2B1F"/>
    <w:rsid w:val="000A2C4E"/>
    <w:rsid w:val="000A2CDA"/>
    <w:rsid w:val="000A2DD0"/>
    <w:rsid w:val="000A2E70"/>
    <w:rsid w:val="000A2FA7"/>
    <w:rsid w:val="000A322F"/>
    <w:rsid w:val="000A34F1"/>
    <w:rsid w:val="000A3594"/>
    <w:rsid w:val="000A3C7A"/>
    <w:rsid w:val="000A3FD3"/>
    <w:rsid w:val="000A41D8"/>
    <w:rsid w:val="000A4377"/>
    <w:rsid w:val="000A455B"/>
    <w:rsid w:val="000A459A"/>
    <w:rsid w:val="000A4653"/>
    <w:rsid w:val="000A4812"/>
    <w:rsid w:val="000A48DD"/>
    <w:rsid w:val="000A4A41"/>
    <w:rsid w:val="000A4AAB"/>
    <w:rsid w:val="000A4C69"/>
    <w:rsid w:val="000A4E97"/>
    <w:rsid w:val="000A4ECB"/>
    <w:rsid w:val="000A50C8"/>
    <w:rsid w:val="000A50DB"/>
    <w:rsid w:val="000A55AF"/>
    <w:rsid w:val="000A55E4"/>
    <w:rsid w:val="000A59A4"/>
    <w:rsid w:val="000A5BF2"/>
    <w:rsid w:val="000A5D99"/>
    <w:rsid w:val="000A5DB0"/>
    <w:rsid w:val="000A633B"/>
    <w:rsid w:val="000A65B8"/>
    <w:rsid w:val="000A671F"/>
    <w:rsid w:val="000A686B"/>
    <w:rsid w:val="000A6AAC"/>
    <w:rsid w:val="000A6BE1"/>
    <w:rsid w:val="000A6E3E"/>
    <w:rsid w:val="000A6F28"/>
    <w:rsid w:val="000A762D"/>
    <w:rsid w:val="000A786C"/>
    <w:rsid w:val="000A79CB"/>
    <w:rsid w:val="000A7E15"/>
    <w:rsid w:val="000A7ECC"/>
    <w:rsid w:val="000A7F22"/>
    <w:rsid w:val="000B002A"/>
    <w:rsid w:val="000B003C"/>
    <w:rsid w:val="000B0132"/>
    <w:rsid w:val="000B0149"/>
    <w:rsid w:val="000B0849"/>
    <w:rsid w:val="000B0853"/>
    <w:rsid w:val="000B0A90"/>
    <w:rsid w:val="000B0ADB"/>
    <w:rsid w:val="000B0D8B"/>
    <w:rsid w:val="000B0DFC"/>
    <w:rsid w:val="000B0EE7"/>
    <w:rsid w:val="000B0F60"/>
    <w:rsid w:val="000B10AA"/>
    <w:rsid w:val="000B10C9"/>
    <w:rsid w:val="000B112E"/>
    <w:rsid w:val="000B11C0"/>
    <w:rsid w:val="000B1691"/>
    <w:rsid w:val="000B16B7"/>
    <w:rsid w:val="000B176E"/>
    <w:rsid w:val="000B17D3"/>
    <w:rsid w:val="000B1ABC"/>
    <w:rsid w:val="000B1ADB"/>
    <w:rsid w:val="000B1AE5"/>
    <w:rsid w:val="000B1B9F"/>
    <w:rsid w:val="000B1CD7"/>
    <w:rsid w:val="000B1D86"/>
    <w:rsid w:val="000B231D"/>
    <w:rsid w:val="000B238F"/>
    <w:rsid w:val="000B240C"/>
    <w:rsid w:val="000B24DF"/>
    <w:rsid w:val="000B2A23"/>
    <w:rsid w:val="000B2B70"/>
    <w:rsid w:val="000B2BB1"/>
    <w:rsid w:val="000B2CA4"/>
    <w:rsid w:val="000B2D36"/>
    <w:rsid w:val="000B2E99"/>
    <w:rsid w:val="000B2FDC"/>
    <w:rsid w:val="000B3039"/>
    <w:rsid w:val="000B30B7"/>
    <w:rsid w:val="000B3193"/>
    <w:rsid w:val="000B387D"/>
    <w:rsid w:val="000B3BBB"/>
    <w:rsid w:val="000B3DE1"/>
    <w:rsid w:val="000B3E7A"/>
    <w:rsid w:val="000B400C"/>
    <w:rsid w:val="000B41A7"/>
    <w:rsid w:val="000B420E"/>
    <w:rsid w:val="000B4321"/>
    <w:rsid w:val="000B4434"/>
    <w:rsid w:val="000B48E3"/>
    <w:rsid w:val="000B49EB"/>
    <w:rsid w:val="000B4C31"/>
    <w:rsid w:val="000B4D25"/>
    <w:rsid w:val="000B4F1E"/>
    <w:rsid w:val="000B4FFC"/>
    <w:rsid w:val="000B4FFF"/>
    <w:rsid w:val="000B57FF"/>
    <w:rsid w:val="000B5976"/>
    <w:rsid w:val="000B5BAF"/>
    <w:rsid w:val="000B5BFF"/>
    <w:rsid w:val="000B5D71"/>
    <w:rsid w:val="000B5ED7"/>
    <w:rsid w:val="000B61D1"/>
    <w:rsid w:val="000B620C"/>
    <w:rsid w:val="000B6263"/>
    <w:rsid w:val="000B64F7"/>
    <w:rsid w:val="000B65F9"/>
    <w:rsid w:val="000B66E0"/>
    <w:rsid w:val="000B68FB"/>
    <w:rsid w:val="000B695B"/>
    <w:rsid w:val="000B6F7A"/>
    <w:rsid w:val="000B7213"/>
    <w:rsid w:val="000B7382"/>
    <w:rsid w:val="000B7549"/>
    <w:rsid w:val="000C0055"/>
    <w:rsid w:val="000C00C3"/>
    <w:rsid w:val="000C013E"/>
    <w:rsid w:val="000C0616"/>
    <w:rsid w:val="000C0652"/>
    <w:rsid w:val="000C089B"/>
    <w:rsid w:val="000C0CFC"/>
    <w:rsid w:val="000C0D05"/>
    <w:rsid w:val="000C1030"/>
    <w:rsid w:val="000C1212"/>
    <w:rsid w:val="000C16A1"/>
    <w:rsid w:val="000C1859"/>
    <w:rsid w:val="000C1C67"/>
    <w:rsid w:val="000C1DB4"/>
    <w:rsid w:val="000C1ECC"/>
    <w:rsid w:val="000C1EF6"/>
    <w:rsid w:val="000C1FBF"/>
    <w:rsid w:val="000C1FC7"/>
    <w:rsid w:val="000C1FF9"/>
    <w:rsid w:val="000C205A"/>
    <w:rsid w:val="000C2375"/>
    <w:rsid w:val="000C23D4"/>
    <w:rsid w:val="000C2540"/>
    <w:rsid w:val="000C256D"/>
    <w:rsid w:val="000C25D7"/>
    <w:rsid w:val="000C2819"/>
    <w:rsid w:val="000C2D57"/>
    <w:rsid w:val="000C2D7C"/>
    <w:rsid w:val="000C2D86"/>
    <w:rsid w:val="000C2DE6"/>
    <w:rsid w:val="000C2EC7"/>
    <w:rsid w:val="000C3165"/>
    <w:rsid w:val="000C3495"/>
    <w:rsid w:val="000C3697"/>
    <w:rsid w:val="000C38D6"/>
    <w:rsid w:val="000C3AD6"/>
    <w:rsid w:val="000C3D13"/>
    <w:rsid w:val="000C3D42"/>
    <w:rsid w:val="000C3DD5"/>
    <w:rsid w:val="000C3E5D"/>
    <w:rsid w:val="000C3E71"/>
    <w:rsid w:val="000C3FC1"/>
    <w:rsid w:val="000C4086"/>
    <w:rsid w:val="000C410F"/>
    <w:rsid w:val="000C4183"/>
    <w:rsid w:val="000C4665"/>
    <w:rsid w:val="000C4727"/>
    <w:rsid w:val="000C4731"/>
    <w:rsid w:val="000C4A69"/>
    <w:rsid w:val="000C4AF5"/>
    <w:rsid w:val="000C4B5F"/>
    <w:rsid w:val="000C4BBE"/>
    <w:rsid w:val="000C4FEE"/>
    <w:rsid w:val="000C50DC"/>
    <w:rsid w:val="000C50E9"/>
    <w:rsid w:val="000C51E8"/>
    <w:rsid w:val="000C54AD"/>
    <w:rsid w:val="000C54E3"/>
    <w:rsid w:val="000C563F"/>
    <w:rsid w:val="000C5659"/>
    <w:rsid w:val="000C57B1"/>
    <w:rsid w:val="000C5907"/>
    <w:rsid w:val="000C61CA"/>
    <w:rsid w:val="000C6257"/>
    <w:rsid w:val="000C629B"/>
    <w:rsid w:val="000C632F"/>
    <w:rsid w:val="000C634D"/>
    <w:rsid w:val="000C6621"/>
    <w:rsid w:val="000C671D"/>
    <w:rsid w:val="000C6A6F"/>
    <w:rsid w:val="000C6A73"/>
    <w:rsid w:val="000C6ADD"/>
    <w:rsid w:val="000C6C1C"/>
    <w:rsid w:val="000C6D06"/>
    <w:rsid w:val="000C6E3A"/>
    <w:rsid w:val="000C6E5C"/>
    <w:rsid w:val="000C70A0"/>
    <w:rsid w:val="000C70B4"/>
    <w:rsid w:val="000C7149"/>
    <w:rsid w:val="000C7511"/>
    <w:rsid w:val="000C7754"/>
    <w:rsid w:val="000C77D6"/>
    <w:rsid w:val="000C77F2"/>
    <w:rsid w:val="000C7985"/>
    <w:rsid w:val="000C7C32"/>
    <w:rsid w:val="000C7C9B"/>
    <w:rsid w:val="000C7D22"/>
    <w:rsid w:val="000C7D6A"/>
    <w:rsid w:val="000C7E19"/>
    <w:rsid w:val="000D0024"/>
    <w:rsid w:val="000D03A8"/>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D42"/>
    <w:rsid w:val="000D1E6B"/>
    <w:rsid w:val="000D1F7C"/>
    <w:rsid w:val="000D20E7"/>
    <w:rsid w:val="000D20F2"/>
    <w:rsid w:val="000D2699"/>
    <w:rsid w:val="000D2784"/>
    <w:rsid w:val="000D28AC"/>
    <w:rsid w:val="000D2A9D"/>
    <w:rsid w:val="000D2AF4"/>
    <w:rsid w:val="000D2CAB"/>
    <w:rsid w:val="000D2CE0"/>
    <w:rsid w:val="000D2D8F"/>
    <w:rsid w:val="000D2E35"/>
    <w:rsid w:val="000D2F13"/>
    <w:rsid w:val="000D3027"/>
    <w:rsid w:val="000D3106"/>
    <w:rsid w:val="000D3364"/>
    <w:rsid w:val="000D3874"/>
    <w:rsid w:val="000D3936"/>
    <w:rsid w:val="000D396D"/>
    <w:rsid w:val="000D39CE"/>
    <w:rsid w:val="000D3A0E"/>
    <w:rsid w:val="000D3C24"/>
    <w:rsid w:val="000D3C8B"/>
    <w:rsid w:val="000D3ED4"/>
    <w:rsid w:val="000D3F9A"/>
    <w:rsid w:val="000D412C"/>
    <w:rsid w:val="000D4225"/>
    <w:rsid w:val="000D4417"/>
    <w:rsid w:val="000D4452"/>
    <w:rsid w:val="000D4750"/>
    <w:rsid w:val="000D49B1"/>
    <w:rsid w:val="000D49D0"/>
    <w:rsid w:val="000D4A56"/>
    <w:rsid w:val="000D4CA1"/>
    <w:rsid w:val="000D4E6B"/>
    <w:rsid w:val="000D4EB4"/>
    <w:rsid w:val="000D4FE5"/>
    <w:rsid w:val="000D4FEC"/>
    <w:rsid w:val="000D5035"/>
    <w:rsid w:val="000D52DE"/>
    <w:rsid w:val="000D5378"/>
    <w:rsid w:val="000D5495"/>
    <w:rsid w:val="000D57EF"/>
    <w:rsid w:val="000D5A66"/>
    <w:rsid w:val="000D5A7F"/>
    <w:rsid w:val="000D5B75"/>
    <w:rsid w:val="000D5E91"/>
    <w:rsid w:val="000D6125"/>
    <w:rsid w:val="000D6266"/>
    <w:rsid w:val="000D63C2"/>
    <w:rsid w:val="000D6508"/>
    <w:rsid w:val="000D652C"/>
    <w:rsid w:val="000D672D"/>
    <w:rsid w:val="000D6804"/>
    <w:rsid w:val="000D6848"/>
    <w:rsid w:val="000D6953"/>
    <w:rsid w:val="000D696E"/>
    <w:rsid w:val="000D6DBD"/>
    <w:rsid w:val="000D6FA7"/>
    <w:rsid w:val="000D7110"/>
    <w:rsid w:val="000D7165"/>
    <w:rsid w:val="000D720B"/>
    <w:rsid w:val="000D7512"/>
    <w:rsid w:val="000D7878"/>
    <w:rsid w:val="000D78AD"/>
    <w:rsid w:val="000D796F"/>
    <w:rsid w:val="000D797E"/>
    <w:rsid w:val="000D7B5E"/>
    <w:rsid w:val="000D7D72"/>
    <w:rsid w:val="000D7D76"/>
    <w:rsid w:val="000E01C3"/>
    <w:rsid w:val="000E0673"/>
    <w:rsid w:val="000E077A"/>
    <w:rsid w:val="000E0957"/>
    <w:rsid w:val="000E0A28"/>
    <w:rsid w:val="000E0ADC"/>
    <w:rsid w:val="000E0FF5"/>
    <w:rsid w:val="000E1010"/>
    <w:rsid w:val="000E123C"/>
    <w:rsid w:val="000E124E"/>
    <w:rsid w:val="000E14EC"/>
    <w:rsid w:val="000E1583"/>
    <w:rsid w:val="000E16C4"/>
    <w:rsid w:val="000E182D"/>
    <w:rsid w:val="000E1833"/>
    <w:rsid w:val="000E19DB"/>
    <w:rsid w:val="000E1BA0"/>
    <w:rsid w:val="000E1D7B"/>
    <w:rsid w:val="000E1EBC"/>
    <w:rsid w:val="000E1FE3"/>
    <w:rsid w:val="000E2341"/>
    <w:rsid w:val="000E2358"/>
    <w:rsid w:val="000E23BD"/>
    <w:rsid w:val="000E24EB"/>
    <w:rsid w:val="000E2721"/>
    <w:rsid w:val="000E28F2"/>
    <w:rsid w:val="000E2938"/>
    <w:rsid w:val="000E2AAB"/>
    <w:rsid w:val="000E2B16"/>
    <w:rsid w:val="000E2BA4"/>
    <w:rsid w:val="000E32B9"/>
    <w:rsid w:val="000E32D5"/>
    <w:rsid w:val="000E38A5"/>
    <w:rsid w:val="000E3949"/>
    <w:rsid w:val="000E399A"/>
    <w:rsid w:val="000E3ADE"/>
    <w:rsid w:val="000E3F2E"/>
    <w:rsid w:val="000E3F74"/>
    <w:rsid w:val="000E4092"/>
    <w:rsid w:val="000E4298"/>
    <w:rsid w:val="000E44DF"/>
    <w:rsid w:val="000E46BD"/>
    <w:rsid w:val="000E4776"/>
    <w:rsid w:val="000E48AB"/>
    <w:rsid w:val="000E4966"/>
    <w:rsid w:val="000E4C1F"/>
    <w:rsid w:val="000E5075"/>
    <w:rsid w:val="000E53A9"/>
    <w:rsid w:val="000E550C"/>
    <w:rsid w:val="000E56B6"/>
    <w:rsid w:val="000E57F6"/>
    <w:rsid w:val="000E57F7"/>
    <w:rsid w:val="000E5B05"/>
    <w:rsid w:val="000E5B07"/>
    <w:rsid w:val="000E5BE0"/>
    <w:rsid w:val="000E5FD4"/>
    <w:rsid w:val="000E60E3"/>
    <w:rsid w:val="000E6370"/>
    <w:rsid w:val="000E64B7"/>
    <w:rsid w:val="000E6875"/>
    <w:rsid w:val="000E68A3"/>
    <w:rsid w:val="000E6A3F"/>
    <w:rsid w:val="000E6E20"/>
    <w:rsid w:val="000E6E7A"/>
    <w:rsid w:val="000E7238"/>
    <w:rsid w:val="000E72EA"/>
    <w:rsid w:val="000E7805"/>
    <w:rsid w:val="000E7820"/>
    <w:rsid w:val="000E794A"/>
    <w:rsid w:val="000E7B63"/>
    <w:rsid w:val="000E7BB4"/>
    <w:rsid w:val="000E7CDD"/>
    <w:rsid w:val="000E7E06"/>
    <w:rsid w:val="000F017D"/>
    <w:rsid w:val="000F0280"/>
    <w:rsid w:val="000F02F5"/>
    <w:rsid w:val="000F031E"/>
    <w:rsid w:val="000F0505"/>
    <w:rsid w:val="000F0838"/>
    <w:rsid w:val="000F0B82"/>
    <w:rsid w:val="000F0C2E"/>
    <w:rsid w:val="000F0FE3"/>
    <w:rsid w:val="000F1109"/>
    <w:rsid w:val="000F11FB"/>
    <w:rsid w:val="000F172F"/>
    <w:rsid w:val="000F1947"/>
    <w:rsid w:val="000F1CBE"/>
    <w:rsid w:val="000F1CD0"/>
    <w:rsid w:val="000F2020"/>
    <w:rsid w:val="000F208F"/>
    <w:rsid w:val="000F2475"/>
    <w:rsid w:val="000F2802"/>
    <w:rsid w:val="000F28AD"/>
    <w:rsid w:val="000F2A58"/>
    <w:rsid w:val="000F2AE3"/>
    <w:rsid w:val="000F2B2C"/>
    <w:rsid w:val="000F2EDC"/>
    <w:rsid w:val="000F363A"/>
    <w:rsid w:val="000F37D1"/>
    <w:rsid w:val="000F38E5"/>
    <w:rsid w:val="000F39BD"/>
    <w:rsid w:val="000F3E22"/>
    <w:rsid w:val="000F3E36"/>
    <w:rsid w:val="000F3FCD"/>
    <w:rsid w:val="000F3FCE"/>
    <w:rsid w:val="000F432D"/>
    <w:rsid w:val="000F43E0"/>
    <w:rsid w:val="000F451E"/>
    <w:rsid w:val="000F485F"/>
    <w:rsid w:val="000F486D"/>
    <w:rsid w:val="000F4877"/>
    <w:rsid w:val="000F4AA1"/>
    <w:rsid w:val="000F4BF6"/>
    <w:rsid w:val="000F4D03"/>
    <w:rsid w:val="000F4D45"/>
    <w:rsid w:val="000F4DF0"/>
    <w:rsid w:val="000F4F57"/>
    <w:rsid w:val="000F51EC"/>
    <w:rsid w:val="000F5300"/>
    <w:rsid w:val="000F53A7"/>
    <w:rsid w:val="000F5803"/>
    <w:rsid w:val="000F598C"/>
    <w:rsid w:val="000F5AE3"/>
    <w:rsid w:val="000F5B2B"/>
    <w:rsid w:val="000F5D5E"/>
    <w:rsid w:val="000F5D8E"/>
    <w:rsid w:val="000F5F52"/>
    <w:rsid w:val="000F6241"/>
    <w:rsid w:val="000F63D0"/>
    <w:rsid w:val="000F6485"/>
    <w:rsid w:val="000F65C7"/>
    <w:rsid w:val="000F65F8"/>
    <w:rsid w:val="000F6C9F"/>
    <w:rsid w:val="000F6D3B"/>
    <w:rsid w:val="000F6DED"/>
    <w:rsid w:val="000F6F79"/>
    <w:rsid w:val="000F72AA"/>
    <w:rsid w:val="000F72FA"/>
    <w:rsid w:val="000F7454"/>
    <w:rsid w:val="000F7642"/>
    <w:rsid w:val="000F7880"/>
    <w:rsid w:val="000F78D3"/>
    <w:rsid w:val="000F7900"/>
    <w:rsid w:val="000F7A73"/>
    <w:rsid w:val="000F7ACC"/>
    <w:rsid w:val="000F7CBA"/>
    <w:rsid w:val="000F7EAA"/>
    <w:rsid w:val="000F7F34"/>
    <w:rsid w:val="000F7F36"/>
    <w:rsid w:val="000F7FB5"/>
    <w:rsid w:val="00100061"/>
    <w:rsid w:val="001000D9"/>
    <w:rsid w:val="001001A6"/>
    <w:rsid w:val="00100758"/>
    <w:rsid w:val="00100A3B"/>
    <w:rsid w:val="00100BA5"/>
    <w:rsid w:val="0010104F"/>
    <w:rsid w:val="0010115D"/>
    <w:rsid w:val="0010123F"/>
    <w:rsid w:val="00101640"/>
    <w:rsid w:val="001016DC"/>
    <w:rsid w:val="001017DC"/>
    <w:rsid w:val="00101C90"/>
    <w:rsid w:val="00101D1B"/>
    <w:rsid w:val="00101D31"/>
    <w:rsid w:val="00101E91"/>
    <w:rsid w:val="00101F88"/>
    <w:rsid w:val="00101FA4"/>
    <w:rsid w:val="001022C2"/>
    <w:rsid w:val="001025D3"/>
    <w:rsid w:val="001026E3"/>
    <w:rsid w:val="00102786"/>
    <w:rsid w:val="00102850"/>
    <w:rsid w:val="001028B7"/>
    <w:rsid w:val="00102C09"/>
    <w:rsid w:val="00102CCC"/>
    <w:rsid w:val="00102ED0"/>
    <w:rsid w:val="00103019"/>
    <w:rsid w:val="0010317E"/>
    <w:rsid w:val="001035E0"/>
    <w:rsid w:val="0010392D"/>
    <w:rsid w:val="00103E72"/>
    <w:rsid w:val="00103FCC"/>
    <w:rsid w:val="0010403D"/>
    <w:rsid w:val="001041B7"/>
    <w:rsid w:val="00104556"/>
    <w:rsid w:val="00104808"/>
    <w:rsid w:val="00104D79"/>
    <w:rsid w:val="00104DB2"/>
    <w:rsid w:val="00104E66"/>
    <w:rsid w:val="00104ED5"/>
    <w:rsid w:val="00104FB4"/>
    <w:rsid w:val="001055F6"/>
    <w:rsid w:val="00105C9B"/>
    <w:rsid w:val="00105D15"/>
    <w:rsid w:val="001060F6"/>
    <w:rsid w:val="0010613E"/>
    <w:rsid w:val="001061AB"/>
    <w:rsid w:val="00106429"/>
    <w:rsid w:val="00106546"/>
    <w:rsid w:val="0010683B"/>
    <w:rsid w:val="001069A1"/>
    <w:rsid w:val="00106B13"/>
    <w:rsid w:val="00106B1E"/>
    <w:rsid w:val="00106BE9"/>
    <w:rsid w:val="00106C8A"/>
    <w:rsid w:val="00106D5B"/>
    <w:rsid w:val="00106DBB"/>
    <w:rsid w:val="00106F52"/>
    <w:rsid w:val="00107056"/>
    <w:rsid w:val="0010707B"/>
    <w:rsid w:val="001071ED"/>
    <w:rsid w:val="00107354"/>
    <w:rsid w:val="001074E3"/>
    <w:rsid w:val="001075FA"/>
    <w:rsid w:val="001078E7"/>
    <w:rsid w:val="00107928"/>
    <w:rsid w:val="00107D7D"/>
    <w:rsid w:val="00107DFD"/>
    <w:rsid w:val="001101A9"/>
    <w:rsid w:val="0011028A"/>
    <w:rsid w:val="001102D0"/>
    <w:rsid w:val="0011036C"/>
    <w:rsid w:val="00110377"/>
    <w:rsid w:val="00110388"/>
    <w:rsid w:val="001103D8"/>
    <w:rsid w:val="001103DB"/>
    <w:rsid w:val="001103ED"/>
    <w:rsid w:val="00110580"/>
    <w:rsid w:val="001105E0"/>
    <w:rsid w:val="001107BF"/>
    <w:rsid w:val="001108C4"/>
    <w:rsid w:val="00110A7B"/>
    <w:rsid w:val="00110B96"/>
    <w:rsid w:val="00110E29"/>
    <w:rsid w:val="00110EA5"/>
    <w:rsid w:val="0011108C"/>
    <w:rsid w:val="0011123D"/>
    <w:rsid w:val="00111338"/>
    <w:rsid w:val="001114E5"/>
    <w:rsid w:val="00111531"/>
    <w:rsid w:val="001116BA"/>
    <w:rsid w:val="0011170B"/>
    <w:rsid w:val="001119CB"/>
    <w:rsid w:val="00111AB0"/>
    <w:rsid w:val="00111B78"/>
    <w:rsid w:val="00111B8C"/>
    <w:rsid w:val="00111BCB"/>
    <w:rsid w:val="00111DDE"/>
    <w:rsid w:val="00111E92"/>
    <w:rsid w:val="00111ECC"/>
    <w:rsid w:val="00112A29"/>
    <w:rsid w:val="00112D6F"/>
    <w:rsid w:val="00112DD2"/>
    <w:rsid w:val="00112DDD"/>
    <w:rsid w:val="00112DDF"/>
    <w:rsid w:val="00112EC4"/>
    <w:rsid w:val="00112F2A"/>
    <w:rsid w:val="0011328A"/>
    <w:rsid w:val="00113427"/>
    <w:rsid w:val="001136C7"/>
    <w:rsid w:val="001136CE"/>
    <w:rsid w:val="00113834"/>
    <w:rsid w:val="00113A70"/>
    <w:rsid w:val="00113AC8"/>
    <w:rsid w:val="00113CFB"/>
    <w:rsid w:val="00114248"/>
    <w:rsid w:val="001142D4"/>
    <w:rsid w:val="00114436"/>
    <w:rsid w:val="001145C3"/>
    <w:rsid w:val="00114812"/>
    <w:rsid w:val="0011517B"/>
    <w:rsid w:val="00115463"/>
    <w:rsid w:val="001157C3"/>
    <w:rsid w:val="001157FA"/>
    <w:rsid w:val="00115849"/>
    <w:rsid w:val="00115BD1"/>
    <w:rsid w:val="00115C0C"/>
    <w:rsid w:val="00116015"/>
    <w:rsid w:val="00116547"/>
    <w:rsid w:val="0011657A"/>
    <w:rsid w:val="0011664C"/>
    <w:rsid w:val="001167CE"/>
    <w:rsid w:val="0011693E"/>
    <w:rsid w:val="00116FAD"/>
    <w:rsid w:val="001170C1"/>
    <w:rsid w:val="00117131"/>
    <w:rsid w:val="00117152"/>
    <w:rsid w:val="001171DA"/>
    <w:rsid w:val="0011722C"/>
    <w:rsid w:val="00117831"/>
    <w:rsid w:val="001179EA"/>
    <w:rsid w:val="00117B2D"/>
    <w:rsid w:val="00117FAE"/>
    <w:rsid w:val="001200A6"/>
    <w:rsid w:val="001201CC"/>
    <w:rsid w:val="00120448"/>
    <w:rsid w:val="001204BA"/>
    <w:rsid w:val="00120615"/>
    <w:rsid w:val="0012072A"/>
    <w:rsid w:val="00120738"/>
    <w:rsid w:val="001208AC"/>
    <w:rsid w:val="00120D69"/>
    <w:rsid w:val="00120DEE"/>
    <w:rsid w:val="00120E58"/>
    <w:rsid w:val="0012106B"/>
    <w:rsid w:val="001212DF"/>
    <w:rsid w:val="001212E7"/>
    <w:rsid w:val="00121535"/>
    <w:rsid w:val="00121551"/>
    <w:rsid w:val="001216C8"/>
    <w:rsid w:val="001217F3"/>
    <w:rsid w:val="00121DF2"/>
    <w:rsid w:val="00121F48"/>
    <w:rsid w:val="00122072"/>
    <w:rsid w:val="00122120"/>
    <w:rsid w:val="001222BE"/>
    <w:rsid w:val="001225A9"/>
    <w:rsid w:val="0012265B"/>
    <w:rsid w:val="00122E6A"/>
    <w:rsid w:val="00123280"/>
    <w:rsid w:val="001232FA"/>
    <w:rsid w:val="001233A5"/>
    <w:rsid w:val="001234F3"/>
    <w:rsid w:val="00123509"/>
    <w:rsid w:val="00123783"/>
    <w:rsid w:val="001237C2"/>
    <w:rsid w:val="00123922"/>
    <w:rsid w:val="00123B05"/>
    <w:rsid w:val="00123BAB"/>
    <w:rsid w:val="00123F20"/>
    <w:rsid w:val="00123FC4"/>
    <w:rsid w:val="00123FDE"/>
    <w:rsid w:val="001241A3"/>
    <w:rsid w:val="00124280"/>
    <w:rsid w:val="001245BF"/>
    <w:rsid w:val="001246BA"/>
    <w:rsid w:val="001248C6"/>
    <w:rsid w:val="0012498F"/>
    <w:rsid w:val="00124B53"/>
    <w:rsid w:val="00124B74"/>
    <w:rsid w:val="00124B8C"/>
    <w:rsid w:val="00124E27"/>
    <w:rsid w:val="00124FE6"/>
    <w:rsid w:val="00125005"/>
    <w:rsid w:val="00125289"/>
    <w:rsid w:val="001252E8"/>
    <w:rsid w:val="00125378"/>
    <w:rsid w:val="00125447"/>
    <w:rsid w:val="00125452"/>
    <w:rsid w:val="0012545D"/>
    <w:rsid w:val="001255E8"/>
    <w:rsid w:val="0012571E"/>
    <w:rsid w:val="00125726"/>
    <w:rsid w:val="001259D3"/>
    <w:rsid w:val="00125A5E"/>
    <w:rsid w:val="00125B16"/>
    <w:rsid w:val="00125BDE"/>
    <w:rsid w:val="00125CE1"/>
    <w:rsid w:val="00125D10"/>
    <w:rsid w:val="00125EC5"/>
    <w:rsid w:val="00126056"/>
    <w:rsid w:val="0012607A"/>
    <w:rsid w:val="001260D0"/>
    <w:rsid w:val="001261B9"/>
    <w:rsid w:val="00126440"/>
    <w:rsid w:val="001264B6"/>
    <w:rsid w:val="0012689E"/>
    <w:rsid w:val="00126AF3"/>
    <w:rsid w:val="00126CEF"/>
    <w:rsid w:val="00126DDB"/>
    <w:rsid w:val="00127470"/>
    <w:rsid w:val="001275A0"/>
    <w:rsid w:val="0012796B"/>
    <w:rsid w:val="00127A77"/>
    <w:rsid w:val="00127CBD"/>
    <w:rsid w:val="00127E82"/>
    <w:rsid w:val="001300E4"/>
    <w:rsid w:val="001302BE"/>
    <w:rsid w:val="0013033C"/>
    <w:rsid w:val="001305FB"/>
    <w:rsid w:val="0013069A"/>
    <w:rsid w:val="0013069D"/>
    <w:rsid w:val="001306B6"/>
    <w:rsid w:val="001306F6"/>
    <w:rsid w:val="00130837"/>
    <w:rsid w:val="00130BD9"/>
    <w:rsid w:val="00130C05"/>
    <w:rsid w:val="00130C7D"/>
    <w:rsid w:val="00130E58"/>
    <w:rsid w:val="00130E87"/>
    <w:rsid w:val="001311E8"/>
    <w:rsid w:val="001313A3"/>
    <w:rsid w:val="0013142C"/>
    <w:rsid w:val="001315F7"/>
    <w:rsid w:val="00132555"/>
    <w:rsid w:val="00132571"/>
    <w:rsid w:val="00132787"/>
    <w:rsid w:val="00132B46"/>
    <w:rsid w:val="00132BEB"/>
    <w:rsid w:val="00132E55"/>
    <w:rsid w:val="00132E94"/>
    <w:rsid w:val="00132FCB"/>
    <w:rsid w:val="0013314E"/>
    <w:rsid w:val="0013319E"/>
    <w:rsid w:val="0013321B"/>
    <w:rsid w:val="001332AB"/>
    <w:rsid w:val="00133395"/>
    <w:rsid w:val="001335E5"/>
    <w:rsid w:val="001336B0"/>
    <w:rsid w:val="0013383E"/>
    <w:rsid w:val="00133C8E"/>
    <w:rsid w:val="00133D8E"/>
    <w:rsid w:val="00133ED6"/>
    <w:rsid w:val="00133FED"/>
    <w:rsid w:val="00134112"/>
    <w:rsid w:val="001341EB"/>
    <w:rsid w:val="001344E4"/>
    <w:rsid w:val="0013456D"/>
    <w:rsid w:val="001345F2"/>
    <w:rsid w:val="001347E0"/>
    <w:rsid w:val="00134969"/>
    <w:rsid w:val="001349C1"/>
    <w:rsid w:val="00134BC8"/>
    <w:rsid w:val="00134C31"/>
    <w:rsid w:val="00134C37"/>
    <w:rsid w:val="00134E7A"/>
    <w:rsid w:val="00134FCD"/>
    <w:rsid w:val="0013505B"/>
    <w:rsid w:val="00135074"/>
    <w:rsid w:val="001350CD"/>
    <w:rsid w:val="0013511E"/>
    <w:rsid w:val="001351E4"/>
    <w:rsid w:val="001351F0"/>
    <w:rsid w:val="0013561E"/>
    <w:rsid w:val="00135A30"/>
    <w:rsid w:val="00135D79"/>
    <w:rsid w:val="00135E9B"/>
    <w:rsid w:val="001361A1"/>
    <w:rsid w:val="0013632B"/>
    <w:rsid w:val="00136330"/>
    <w:rsid w:val="0013664B"/>
    <w:rsid w:val="001366FC"/>
    <w:rsid w:val="00136733"/>
    <w:rsid w:val="00136A32"/>
    <w:rsid w:val="00136B85"/>
    <w:rsid w:val="00136D0B"/>
    <w:rsid w:val="00136D86"/>
    <w:rsid w:val="00136E74"/>
    <w:rsid w:val="00137142"/>
    <w:rsid w:val="00137149"/>
    <w:rsid w:val="0013735F"/>
    <w:rsid w:val="001375BC"/>
    <w:rsid w:val="00137665"/>
    <w:rsid w:val="001376BC"/>
    <w:rsid w:val="001376EC"/>
    <w:rsid w:val="00137993"/>
    <w:rsid w:val="00137A6C"/>
    <w:rsid w:val="00137D56"/>
    <w:rsid w:val="00137DBE"/>
    <w:rsid w:val="0013BDD1"/>
    <w:rsid w:val="00140001"/>
    <w:rsid w:val="0014000E"/>
    <w:rsid w:val="0014004F"/>
    <w:rsid w:val="0014007B"/>
    <w:rsid w:val="00140098"/>
    <w:rsid w:val="00140366"/>
    <w:rsid w:val="001403BF"/>
    <w:rsid w:val="001404A5"/>
    <w:rsid w:val="00140533"/>
    <w:rsid w:val="00140745"/>
    <w:rsid w:val="00140797"/>
    <w:rsid w:val="001407BD"/>
    <w:rsid w:val="001408EE"/>
    <w:rsid w:val="001409CC"/>
    <w:rsid w:val="00140AFE"/>
    <w:rsid w:val="00140C0E"/>
    <w:rsid w:val="00140EB8"/>
    <w:rsid w:val="00140EC5"/>
    <w:rsid w:val="00140F61"/>
    <w:rsid w:val="00140F8F"/>
    <w:rsid w:val="00140FC5"/>
    <w:rsid w:val="00140FDB"/>
    <w:rsid w:val="001411C2"/>
    <w:rsid w:val="00141359"/>
    <w:rsid w:val="001416D2"/>
    <w:rsid w:val="0014173D"/>
    <w:rsid w:val="00141AAD"/>
    <w:rsid w:val="00141AD7"/>
    <w:rsid w:val="00141F5B"/>
    <w:rsid w:val="001423E2"/>
    <w:rsid w:val="001428BD"/>
    <w:rsid w:val="001429F7"/>
    <w:rsid w:val="00142A3B"/>
    <w:rsid w:val="00142AF4"/>
    <w:rsid w:val="00142C6F"/>
    <w:rsid w:val="00142E5B"/>
    <w:rsid w:val="00142FB2"/>
    <w:rsid w:val="00143534"/>
    <w:rsid w:val="0014362A"/>
    <w:rsid w:val="0014363C"/>
    <w:rsid w:val="00143674"/>
    <w:rsid w:val="00143A3D"/>
    <w:rsid w:val="001440B8"/>
    <w:rsid w:val="00144537"/>
    <w:rsid w:val="001445A0"/>
    <w:rsid w:val="001446E5"/>
    <w:rsid w:val="00144734"/>
    <w:rsid w:val="001447E2"/>
    <w:rsid w:val="001447EC"/>
    <w:rsid w:val="00144908"/>
    <w:rsid w:val="00144DB4"/>
    <w:rsid w:val="001453C0"/>
    <w:rsid w:val="001455D0"/>
    <w:rsid w:val="00145808"/>
    <w:rsid w:val="00145D8F"/>
    <w:rsid w:val="001461CA"/>
    <w:rsid w:val="00146248"/>
    <w:rsid w:val="0014630C"/>
    <w:rsid w:val="00146322"/>
    <w:rsid w:val="00146325"/>
    <w:rsid w:val="0014637A"/>
    <w:rsid w:val="00146469"/>
    <w:rsid w:val="001464B9"/>
    <w:rsid w:val="001465AD"/>
    <w:rsid w:val="0014674E"/>
    <w:rsid w:val="00146832"/>
    <w:rsid w:val="00146C82"/>
    <w:rsid w:val="00146CBA"/>
    <w:rsid w:val="001470F8"/>
    <w:rsid w:val="001471D5"/>
    <w:rsid w:val="00147280"/>
    <w:rsid w:val="00147484"/>
    <w:rsid w:val="001474D0"/>
    <w:rsid w:val="00147539"/>
    <w:rsid w:val="0014756E"/>
    <w:rsid w:val="00147814"/>
    <w:rsid w:val="001479A7"/>
    <w:rsid w:val="001479CA"/>
    <w:rsid w:val="00147AB1"/>
    <w:rsid w:val="00147B51"/>
    <w:rsid w:val="00147DD4"/>
    <w:rsid w:val="00147E96"/>
    <w:rsid w:val="00147F5B"/>
    <w:rsid w:val="00150359"/>
    <w:rsid w:val="0015036D"/>
    <w:rsid w:val="001505DF"/>
    <w:rsid w:val="001506CC"/>
    <w:rsid w:val="00150D35"/>
    <w:rsid w:val="00150D39"/>
    <w:rsid w:val="00150FAC"/>
    <w:rsid w:val="00151161"/>
    <w:rsid w:val="0015124B"/>
    <w:rsid w:val="001515D1"/>
    <w:rsid w:val="00151638"/>
    <w:rsid w:val="001519A4"/>
    <w:rsid w:val="00151AAE"/>
    <w:rsid w:val="00151B1E"/>
    <w:rsid w:val="00151DB9"/>
    <w:rsid w:val="00151E3B"/>
    <w:rsid w:val="00151E51"/>
    <w:rsid w:val="00151EF8"/>
    <w:rsid w:val="00151F15"/>
    <w:rsid w:val="00151FD5"/>
    <w:rsid w:val="00151FE6"/>
    <w:rsid w:val="0015205F"/>
    <w:rsid w:val="0015232A"/>
    <w:rsid w:val="00152723"/>
    <w:rsid w:val="001528B2"/>
    <w:rsid w:val="0015290C"/>
    <w:rsid w:val="00152973"/>
    <w:rsid w:val="0015301E"/>
    <w:rsid w:val="001537FA"/>
    <w:rsid w:val="00153914"/>
    <w:rsid w:val="001539DF"/>
    <w:rsid w:val="00153C29"/>
    <w:rsid w:val="00153C84"/>
    <w:rsid w:val="00153CEE"/>
    <w:rsid w:val="00153F26"/>
    <w:rsid w:val="001540AF"/>
    <w:rsid w:val="001541D9"/>
    <w:rsid w:val="00154394"/>
    <w:rsid w:val="00154472"/>
    <w:rsid w:val="001544C5"/>
    <w:rsid w:val="001547DE"/>
    <w:rsid w:val="00154B45"/>
    <w:rsid w:val="00154BBB"/>
    <w:rsid w:val="00154BC3"/>
    <w:rsid w:val="00154E73"/>
    <w:rsid w:val="001553B6"/>
    <w:rsid w:val="001553ED"/>
    <w:rsid w:val="0015550E"/>
    <w:rsid w:val="00155563"/>
    <w:rsid w:val="001557F2"/>
    <w:rsid w:val="0015592E"/>
    <w:rsid w:val="00155998"/>
    <w:rsid w:val="00155A3C"/>
    <w:rsid w:val="00155B27"/>
    <w:rsid w:val="00155BDA"/>
    <w:rsid w:val="00155C20"/>
    <w:rsid w:val="00155C23"/>
    <w:rsid w:val="00155FB0"/>
    <w:rsid w:val="001562FE"/>
    <w:rsid w:val="00156399"/>
    <w:rsid w:val="00156506"/>
    <w:rsid w:val="001566E8"/>
    <w:rsid w:val="001568DA"/>
    <w:rsid w:val="00156B99"/>
    <w:rsid w:val="00156BE6"/>
    <w:rsid w:val="00156BEC"/>
    <w:rsid w:val="00156E6F"/>
    <w:rsid w:val="00156EBB"/>
    <w:rsid w:val="00156F47"/>
    <w:rsid w:val="00157066"/>
    <w:rsid w:val="00157226"/>
    <w:rsid w:val="001572AE"/>
    <w:rsid w:val="001572E5"/>
    <w:rsid w:val="00157334"/>
    <w:rsid w:val="001576AB"/>
    <w:rsid w:val="00157851"/>
    <w:rsid w:val="00157CF2"/>
    <w:rsid w:val="00157DB9"/>
    <w:rsid w:val="00157EA2"/>
    <w:rsid w:val="001604AF"/>
    <w:rsid w:val="00160608"/>
    <w:rsid w:val="001608B1"/>
    <w:rsid w:val="001609BE"/>
    <w:rsid w:val="001609C6"/>
    <w:rsid w:val="00160A32"/>
    <w:rsid w:val="00160BE5"/>
    <w:rsid w:val="00160D2B"/>
    <w:rsid w:val="00160FA5"/>
    <w:rsid w:val="0016102D"/>
    <w:rsid w:val="001613F4"/>
    <w:rsid w:val="0016166E"/>
    <w:rsid w:val="001617B4"/>
    <w:rsid w:val="001618B2"/>
    <w:rsid w:val="00161D9A"/>
    <w:rsid w:val="00161E65"/>
    <w:rsid w:val="00161E70"/>
    <w:rsid w:val="00161ECE"/>
    <w:rsid w:val="00161F01"/>
    <w:rsid w:val="00162117"/>
    <w:rsid w:val="00162207"/>
    <w:rsid w:val="0016244B"/>
    <w:rsid w:val="0016248E"/>
    <w:rsid w:val="0016284A"/>
    <w:rsid w:val="001629A1"/>
    <w:rsid w:val="00162B30"/>
    <w:rsid w:val="00162CB6"/>
    <w:rsid w:val="00162E11"/>
    <w:rsid w:val="00162F39"/>
    <w:rsid w:val="00162F53"/>
    <w:rsid w:val="00162F6D"/>
    <w:rsid w:val="00163131"/>
    <w:rsid w:val="001631FC"/>
    <w:rsid w:val="00163247"/>
    <w:rsid w:val="00163256"/>
    <w:rsid w:val="00163345"/>
    <w:rsid w:val="001638FA"/>
    <w:rsid w:val="0016391C"/>
    <w:rsid w:val="00164065"/>
    <w:rsid w:val="0016406C"/>
    <w:rsid w:val="001642CA"/>
    <w:rsid w:val="0016476D"/>
    <w:rsid w:val="00164C05"/>
    <w:rsid w:val="00164CC2"/>
    <w:rsid w:val="00164DAD"/>
    <w:rsid w:val="00164FBF"/>
    <w:rsid w:val="001652E6"/>
    <w:rsid w:val="00165354"/>
    <w:rsid w:val="00165517"/>
    <w:rsid w:val="001655F3"/>
    <w:rsid w:val="00165D66"/>
    <w:rsid w:val="00165E31"/>
    <w:rsid w:val="00165F39"/>
    <w:rsid w:val="00165FAC"/>
    <w:rsid w:val="001662A5"/>
    <w:rsid w:val="00166368"/>
    <w:rsid w:val="00166462"/>
    <w:rsid w:val="001664C2"/>
    <w:rsid w:val="001667FB"/>
    <w:rsid w:val="00166A2D"/>
    <w:rsid w:val="00166B17"/>
    <w:rsid w:val="00166B6F"/>
    <w:rsid w:val="00166CC9"/>
    <w:rsid w:val="00166DB6"/>
    <w:rsid w:val="00166E89"/>
    <w:rsid w:val="00167090"/>
    <w:rsid w:val="0016714B"/>
    <w:rsid w:val="0016737E"/>
    <w:rsid w:val="00167428"/>
    <w:rsid w:val="001674CD"/>
    <w:rsid w:val="00167584"/>
    <w:rsid w:val="001675EF"/>
    <w:rsid w:val="00167951"/>
    <w:rsid w:val="00167DDE"/>
    <w:rsid w:val="00167E75"/>
    <w:rsid w:val="00167E90"/>
    <w:rsid w:val="001700F1"/>
    <w:rsid w:val="001702AE"/>
    <w:rsid w:val="001705AC"/>
    <w:rsid w:val="00170702"/>
    <w:rsid w:val="001709D2"/>
    <w:rsid w:val="00170F6F"/>
    <w:rsid w:val="00171143"/>
    <w:rsid w:val="001711C0"/>
    <w:rsid w:val="00171293"/>
    <w:rsid w:val="001712F9"/>
    <w:rsid w:val="00171424"/>
    <w:rsid w:val="00171754"/>
    <w:rsid w:val="00171872"/>
    <w:rsid w:val="00171907"/>
    <w:rsid w:val="00171ABC"/>
    <w:rsid w:val="00171CEE"/>
    <w:rsid w:val="00171F52"/>
    <w:rsid w:val="001721A6"/>
    <w:rsid w:val="00172434"/>
    <w:rsid w:val="001726ED"/>
    <w:rsid w:val="0017272E"/>
    <w:rsid w:val="00172763"/>
    <w:rsid w:val="001728D0"/>
    <w:rsid w:val="0017294B"/>
    <w:rsid w:val="001729E0"/>
    <w:rsid w:val="00172ACA"/>
    <w:rsid w:val="00172C1C"/>
    <w:rsid w:val="00172D3B"/>
    <w:rsid w:val="001731F8"/>
    <w:rsid w:val="001739F1"/>
    <w:rsid w:val="00173D96"/>
    <w:rsid w:val="00173E04"/>
    <w:rsid w:val="00173E43"/>
    <w:rsid w:val="00173ECA"/>
    <w:rsid w:val="00173FA2"/>
    <w:rsid w:val="00173FBF"/>
    <w:rsid w:val="0017428F"/>
    <w:rsid w:val="00174832"/>
    <w:rsid w:val="00174CCD"/>
    <w:rsid w:val="00174DE0"/>
    <w:rsid w:val="00174EF9"/>
    <w:rsid w:val="00175491"/>
    <w:rsid w:val="001754CE"/>
    <w:rsid w:val="001756B3"/>
    <w:rsid w:val="0017571C"/>
    <w:rsid w:val="00175852"/>
    <w:rsid w:val="00175D5B"/>
    <w:rsid w:val="001760B2"/>
    <w:rsid w:val="00176119"/>
    <w:rsid w:val="001761D4"/>
    <w:rsid w:val="001763BA"/>
    <w:rsid w:val="00176A18"/>
    <w:rsid w:val="00176D93"/>
    <w:rsid w:val="00176EA5"/>
    <w:rsid w:val="001771E7"/>
    <w:rsid w:val="001773E5"/>
    <w:rsid w:val="00177540"/>
    <w:rsid w:val="001775B3"/>
    <w:rsid w:val="00177623"/>
    <w:rsid w:val="00177699"/>
    <w:rsid w:val="001776AF"/>
    <w:rsid w:val="0017777A"/>
    <w:rsid w:val="001778A0"/>
    <w:rsid w:val="001779D3"/>
    <w:rsid w:val="00177A5D"/>
    <w:rsid w:val="00177B8B"/>
    <w:rsid w:val="00177CB6"/>
    <w:rsid w:val="00177E42"/>
    <w:rsid w:val="00177E55"/>
    <w:rsid w:val="00177E5D"/>
    <w:rsid w:val="00177E6D"/>
    <w:rsid w:val="001800F0"/>
    <w:rsid w:val="0018029F"/>
    <w:rsid w:val="00180458"/>
    <w:rsid w:val="001806DB"/>
    <w:rsid w:val="00180863"/>
    <w:rsid w:val="00180942"/>
    <w:rsid w:val="00180B3E"/>
    <w:rsid w:val="00180B53"/>
    <w:rsid w:val="00180C51"/>
    <w:rsid w:val="00180DC4"/>
    <w:rsid w:val="00180E63"/>
    <w:rsid w:val="00181558"/>
    <w:rsid w:val="00181889"/>
    <w:rsid w:val="00181C05"/>
    <w:rsid w:val="00181CE4"/>
    <w:rsid w:val="00181D53"/>
    <w:rsid w:val="0018231D"/>
    <w:rsid w:val="0018273C"/>
    <w:rsid w:val="001827DF"/>
    <w:rsid w:val="00182C5C"/>
    <w:rsid w:val="00182CE8"/>
    <w:rsid w:val="00182EFD"/>
    <w:rsid w:val="00182FDD"/>
    <w:rsid w:val="00182FDE"/>
    <w:rsid w:val="0018334A"/>
    <w:rsid w:val="001833FB"/>
    <w:rsid w:val="00183449"/>
    <w:rsid w:val="0018360B"/>
    <w:rsid w:val="0018370C"/>
    <w:rsid w:val="0018388B"/>
    <w:rsid w:val="00183A4D"/>
    <w:rsid w:val="00183A77"/>
    <w:rsid w:val="001841B2"/>
    <w:rsid w:val="00184388"/>
    <w:rsid w:val="00184546"/>
    <w:rsid w:val="0018457C"/>
    <w:rsid w:val="00184984"/>
    <w:rsid w:val="00184B11"/>
    <w:rsid w:val="00184B7F"/>
    <w:rsid w:val="00184C0E"/>
    <w:rsid w:val="00184E80"/>
    <w:rsid w:val="00184F1E"/>
    <w:rsid w:val="0018509E"/>
    <w:rsid w:val="0018550F"/>
    <w:rsid w:val="00185750"/>
    <w:rsid w:val="00185824"/>
    <w:rsid w:val="00185AD8"/>
    <w:rsid w:val="00185E23"/>
    <w:rsid w:val="00185E8C"/>
    <w:rsid w:val="00185E91"/>
    <w:rsid w:val="00186039"/>
    <w:rsid w:val="00186874"/>
    <w:rsid w:val="00186989"/>
    <w:rsid w:val="00186EA9"/>
    <w:rsid w:val="00186EB6"/>
    <w:rsid w:val="00187218"/>
    <w:rsid w:val="001877EC"/>
    <w:rsid w:val="00187851"/>
    <w:rsid w:val="00187911"/>
    <w:rsid w:val="00187AAA"/>
    <w:rsid w:val="00187F0F"/>
    <w:rsid w:val="001901B1"/>
    <w:rsid w:val="001905CD"/>
    <w:rsid w:val="00190607"/>
    <w:rsid w:val="00190747"/>
    <w:rsid w:val="0019082C"/>
    <w:rsid w:val="00190E46"/>
    <w:rsid w:val="00190EB2"/>
    <w:rsid w:val="00190EE1"/>
    <w:rsid w:val="00190FAD"/>
    <w:rsid w:val="00191039"/>
    <w:rsid w:val="0019115A"/>
    <w:rsid w:val="00191161"/>
    <w:rsid w:val="00191459"/>
    <w:rsid w:val="001918C4"/>
    <w:rsid w:val="00191AA5"/>
    <w:rsid w:val="00191B57"/>
    <w:rsid w:val="00191CFB"/>
    <w:rsid w:val="00191E0C"/>
    <w:rsid w:val="00191EE4"/>
    <w:rsid w:val="00191EFB"/>
    <w:rsid w:val="00191F16"/>
    <w:rsid w:val="0019245B"/>
    <w:rsid w:val="001927A7"/>
    <w:rsid w:val="00192C20"/>
    <w:rsid w:val="00192E1D"/>
    <w:rsid w:val="00192E2E"/>
    <w:rsid w:val="00193483"/>
    <w:rsid w:val="00193562"/>
    <w:rsid w:val="00193611"/>
    <w:rsid w:val="001937CE"/>
    <w:rsid w:val="001937DE"/>
    <w:rsid w:val="001938CA"/>
    <w:rsid w:val="00193A32"/>
    <w:rsid w:val="00193BB8"/>
    <w:rsid w:val="00193CD9"/>
    <w:rsid w:val="00193DA3"/>
    <w:rsid w:val="00193F2F"/>
    <w:rsid w:val="00193F41"/>
    <w:rsid w:val="00193F6D"/>
    <w:rsid w:val="001941DF"/>
    <w:rsid w:val="00194258"/>
    <w:rsid w:val="00194296"/>
    <w:rsid w:val="0019452C"/>
    <w:rsid w:val="00194668"/>
    <w:rsid w:val="001946F9"/>
    <w:rsid w:val="00194739"/>
    <w:rsid w:val="00194898"/>
    <w:rsid w:val="00194979"/>
    <w:rsid w:val="00194CB8"/>
    <w:rsid w:val="0019514C"/>
    <w:rsid w:val="00195186"/>
    <w:rsid w:val="001954B2"/>
    <w:rsid w:val="0019567D"/>
    <w:rsid w:val="001957C9"/>
    <w:rsid w:val="00195A69"/>
    <w:rsid w:val="00195B88"/>
    <w:rsid w:val="00195D1A"/>
    <w:rsid w:val="00195EE4"/>
    <w:rsid w:val="00196217"/>
    <w:rsid w:val="00196262"/>
    <w:rsid w:val="001963C5"/>
    <w:rsid w:val="001963EE"/>
    <w:rsid w:val="0019647C"/>
    <w:rsid w:val="001964ED"/>
    <w:rsid w:val="0019660B"/>
    <w:rsid w:val="00196712"/>
    <w:rsid w:val="00196745"/>
    <w:rsid w:val="00196858"/>
    <w:rsid w:val="001968CE"/>
    <w:rsid w:val="00196B45"/>
    <w:rsid w:val="00196C2A"/>
    <w:rsid w:val="00196F48"/>
    <w:rsid w:val="00196F50"/>
    <w:rsid w:val="00197473"/>
    <w:rsid w:val="001975BA"/>
    <w:rsid w:val="0019767C"/>
    <w:rsid w:val="0019795C"/>
    <w:rsid w:val="001979D4"/>
    <w:rsid w:val="00197DFB"/>
    <w:rsid w:val="00197E44"/>
    <w:rsid w:val="001A00B4"/>
    <w:rsid w:val="001A00DE"/>
    <w:rsid w:val="001A0168"/>
    <w:rsid w:val="001A02E5"/>
    <w:rsid w:val="001A04A1"/>
    <w:rsid w:val="001A069B"/>
    <w:rsid w:val="001A07B4"/>
    <w:rsid w:val="001A086A"/>
    <w:rsid w:val="001A0973"/>
    <w:rsid w:val="001A0B22"/>
    <w:rsid w:val="001A0E84"/>
    <w:rsid w:val="001A111A"/>
    <w:rsid w:val="001A13A0"/>
    <w:rsid w:val="001A1650"/>
    <w:rsid w:val="001A179C"/>
    <w:rsid w:val="001A17AD"/>
    <w:rsid w:val="001A1834"/>
    <w:rsid w:val="001A1B5E"/>
    <w:rsid w:val="001A1DE5"/>
    <w:rsid w:val="001A2026"/>
    <w:rsid w:val="001A208D"/>
    <w:rsid w:val="001A20C8"/>
    <w:rsid w:val="001A245E"/>
    <w:rsid w:val="001A2492"/>
    <w:rsid w:val="001A26D9"/>
    <w:rsid w:val="001A2A26"/>
    <w:rsid w:val="001A2C43"/>
    <w:rsid w:val="001A3195"/>
    <w:rsid w:val="001A36A7"/>
    <w:rsid w:val="001A3907"/>
    <w:rsid w:val="001A399F"/>
    <w:rsid w:val="001A3B27"/>
    <w:rsid w:val="001A3CAE"/>
    <w:rsid w:val="001A3D70"/>
    <w:rsid w:val="001A3F01"/>
    <w:rsid w:val="001A3F89"/>
    <w:rsid w:val="001A42BD"/>
    <w:rsid w:val="001A4337"/>
    <w:rsid w:val="001A4348"/>
    <w:rsid w:val="001A4B2B"/>
    <w:rsid w:val="001A4CDD"/>
    <w:rsid w:val="001A4EBA"/>
    <w:rsid w:val="001A4F37"/>
    <w:rsid w:val="001A5879"/>
    <w:rsid w:val="001A5A85"/>
    <w:rsid w:val="001A5ACD"/>
    <w:rsid w:val="001A5B54"/>
    <w:rsid w:val="001A5C33"/>
    <w:rsid w:val="001A5C9F"/>
    <w:rsid w:val="001A5D17"/>
    <w:rsid w:val="001A5D7B"/>
    <w:rsid w:val="001A5EC2"/>
    <w:rsid w:val="001A60AD"/>
    <w:rsid w:val="001A6764"/>
    <w:rsid w:val="001A6AA8"/>
    <w:rsid w:val="001A6ADF"/>
    <w:rsid w:val="001A6C30"/>
    <w:rsid w:val="001A6CBC"/>
    <w:rsid w:val="001A7031"/>
    <w:rsid w:val="001A7083"/>
    <w:rsid w:val="001A7949"/>
    <w:rsid w:val="001A7CF8"/>
    <w:rsid w:val="001A7D49"/>
    <w:rsid w:val="001B000A"/>
    <w:rsid w:val="001B0110"/>
    <w:rsid w:val="001B0212"/>
    <w:rsid w:val="001B02C9"/>
    <w:rsid w:val="001B02FF"/>
    <w:rsid w:val="001B0793"/>
    <w:rsid w:val="001B0A18"/>
    <w:rsid w:val="001B0A87"/>
    <w:rsid w:val="001B0AEC"/>
    <w:rsid w:val="001B0D4D"/>
    <w:rsid w:val="001B0D5B"/>
    <w:rsid w:val="001B0DA0"/>
    <w:rsid w:val="001B0E19"/>
    <w:rsid w:val="001B0F9B"/>
    <w:rsid w:val="001B0FD5"/>
    <w:rsid w:val="001B114F"/>
    <w:rsid w:val="001B12E0"/>
    <w:rsid w:val="001B13AD"/>
    <w:rsid w:val="001B1443"/>
    <w:rsid w:val="001B1593"/>
    <w:rsid w:val="001B173E"/>
    <w:rsid w:val="001B1CA7"/>
    <w:rsid w:val="001B1E8B"/>
    <w:rsid w:val="001B21C6"/>
    <w:rsid w:val="001B2269"/>
    <w:rsid w:val="001B23D2"/>
    <w:rsid w:val="001B2558"/>
    <w:rsid w:val="001B255E"/>
    <w:rsid w:val="001B25F0"/>
    <w:rsid w:val="001B28D6"/>
    <w:rsid w:val="001B2AFD"/>
    <w:rsid w:val="001B2C82"/>
    <w:rsid w:val="001B2F8D"/>
    <w:rsid w:val="001B305E"/>
    <w:rsid w:val="001B3074"/>
    <w:rsid w:val="001B3121"/>
    <w:rsid w:val="001B313A"/>
    <w:rsid w:val="001B3459"/>
    <w:rsid w:val="001B35B5"/>
    <w:rsid w:val="001B36F7"/>
    <w:rsid w:val="001B3AA3"/>
    <w:rsid w:val="001B3AA6"/>
    <w:rsid w:val="001B3DE4"/>
    <w:rsid w:val="001B3E20"/>
    <w:rsid w:val="001B3EA7"/>
    <w:rsid w:val="001B442D"/>
    <w:rsid w:val="001B44C2"/>
    <w:rsid w:val="001B44FA"/>
    <w:rsid w:val="001B46E4"/>
    <w:rsid w:val="001B47AF"/>
    <w:rsid w:val="001B4904"/>
    <w:rsid w:val="001B4CB4"/>
    <w:rsid w:val="001B5240"/>
    <w:rsid w:val="001B53B0"/>
    <w:rsid w:val="001B5A7E"/>
    <w:rsid w:val="001B5CAF"/>
    <w:rsid w:val="001B5CB7"/>
    <w:rsid w:val="001B5D24"/>
    <w:rsid w:val="001B5D6E"/>
    <w:rsid w:val="001B5ED6"/>
    <w:rsid w:val="001B5F55"/>
    <w:rsid w:val="001B616F"/>
    <w:rsid w:val="001B61AC"/>
    <w:rsid w:val="001B62FD"/>
    <w:rsid w:val="001B63D7"/>
    <w:rsid w:val="001B63F1"/>
    <w:rsid w:val="001B63FA"/>
    <w:rsid w:val="001B6605"/>
    <w:rsid w:val="001B675D"/>
    <w:rsid w:val="001B6A4F"/>
    <w:rsid w:val="001B6AA3"/>
    <w:rsid w:val="001B6CD9"/>
    <w:rsid w:val="001B6EBA"/>
    <w:rsid w:val="001B6F36"/>
    <w:rsid w:val="001B7105"/>
    <w:rsid w:val="001B7217"/>
    <w:rsid w:val="001B7241"/>
    <w:rsid w:val="001B726A"/>
    <w:rsid w:val="001B77B5"/>
    <w:rsid w:val="001B786B"/>
    <w:rsid w:val="001B7A11"/>
    <w:rsid w:val="001B7AE3"/>
    <w:rsid w:val="001B7D13"/>
    <w:rsid w:val="001B7D9F"/>
    <w:rsid w:val="001B7DC3"/>
    <w:rsid w:val="001B7F68"/>
    <w:rsid w:val="001B7F98"/>
    <w:rsid w:val="001B7FE5"/>
    <w:rsid w:val="001C0008"/>
    <w:rsid w:val="001C0129"/>
    <w:rsid w:val="001C02A4"/>
    <w:rsid w:val="001C0316"/>
    <w:rsid w:val="001C0839"/>
    <w:rsid w:val="001C0B26"/>
    <w:rsid w:val="001C13E3"/>
    <w:rsid w:val="001C15D3"/>
    <w:rsid w:val="001C1617"/>
    <w:rsid w:val="001C183F"/>
    <w:rsid w:val="001C1BD1"/>
    <w:rsid w:val="001C1C97"/>
    <w:rsid w:val="001C2190"/>
    <w:rsid w:val="001C292C"/>
    <w:rsid w:val="001C2BC1"/>
    <w:rsid w:val="001C2F70"/>
    <w:rsid w:val="001C2F74"/>
    <w:rsid w:val="001C2F87"/>
    <w:rsid w:val="001C3141"/>
    <w:rsid w:val="001C31BF"/>
    <w:rsid w:val="001C31C8"/>
    <w:rsid w:val="001C33D8"/>
    <w:rsid w:val="001C3677"/>
    <w:rsid w:val="001C36F4"/>
    <w:rsid w:val="001C3880"/>
    <w:rsid w:val="001C3AB2"/>
    <w:rsid w:val="001C3C3D"/>
    <w:rsid w:val="001C3CC1"/>
    <w:rsid w:val="001C3E9C"/>
    <w:rsid w:val="001C3EA0"/>
    <w:rsid w:val="001C4004"/>
    <w:rsid w:val="001C4129"/>
    <w:rsid w:val="001C417C"/>
    <w:rsid w:val="001C41C5"/>
    <w:rsid w:val="001C42F4"/>
    <w:rsid w:val="001C4426"/>
    <w:rsid w:val="001C4443"/>
    <w:rsid w:val="001C4752"/>
    <w:rsid w:val="001C4765"/>
    <w:rsid w:val="001C47C8"/>
    <w:rsid w:val="001C4A25"/>
    <w:rsid w:val="001C4C7C"/>
    <w:rsid w:val="001C4C82"/>
    <w:rsid w:val="001C5096"/>
    <w:rsid w:val="001C50DD"/>
    <w:rsid w:val="001C553C"/>
    <w:rsid w:val="001C5602"/>
    <w:rsid w:val="001C583A"/>
    <w:rsid w:val="001C5B06"/>
    <w:rsid w:val="001C5B3B"/>
    <w:rsid w:val="001C5D06"/>
    <w:rsid w:val="001C5D27"/>
    <w:rsid w:val="001C5F6D"/>
    <w:rsid w:val="001C601D"/>
    <w:rsid w:val="001C60DE"/>
    <w:rsid w:val="001C6451"/>
    <w:rsid w:val="001C64F9"/>
    <w:rsid w:val="001C651D"/>
    <w:rsid w:val="001C66E0"/>
    <w:rsid w:val="001C674C"/>
    <w:rsid w:val="001C6762"/>
    <w:rsid w:val="001C685C"/>
    <w:rsid w:val="001C68CA"/>
    <w:rsid w:val="001C6950"/>
    <w:rsid w:val="001C6D04"/>
    <w:rsid w:val="001C6DB5"/>
    <w:rsid w:val="001C6FCC"/>
    <w:rsid w:val="001C7143"/>
    <w:rsid w:val="001C7248"/>
    <w:rsid w:val="001C7ABB"/>
    <w:rsid w:val="001D00CA"/>
    <w:rsid w:val="001D0403"/>
    <w:rsid w:val="001D0A7C"/>
    <w:rsid w:val="001D0A90"/>
    <w:rsid w:val="001D0AE4"/>
    <w:rsid w:val="001D0B32"/>
    <w:rsid w:val="001D0C7D"/>
    <w:rsid w:val="001D0CB3"/>
    <w:rsid w:val="001D0E4A"/>
    <w:rsid w:val="001D0EE9"/>
    <w:rsid w:val="001D1174"/>
    <w:rsid w:val="001D13C4"/>
    <w:rsid w:val="001D1467"/>
    <w:rsid w:val="001D15B0"/>
    <w:rsid w:val="001D15C5"/>
    <w:rsid w:val="001D19AA"/>
    <w:rsid w:val="001D1B7E"/>
    <w:rsid w:val="001D1C02"/>
    <w:rsid w:val="001D1D65"/>
    <w:rsid w:val="001D1DE8"/>
    <w:rsid w:val="001D213E"/>
    <w:rsid w:val="001D22C4"/>
    <w:rsid w:val="001D2348"/>
    <w:rsid w:val="001D243D"/>
    <w:rsid w:val="001D2451"/>
    <w:rsid w:val="001D2754"/>
    <w:rsid w:val="001D283D"/>
    <w:rsid w:val="001D2C04"/>
    <w:rsid w:val="001D2E29"/>
    <w:rsid w:val="001D358E"/>
    <w:rsid w:val="001D3797"/>
    <w:rsid w:val="001D3CAA"/>
    <w:rsid w:val="001D3CBC"/>
    <w:rsid w:val="001D3E42"/>
    <w:rsid w:val="001D3E91"/>
    <w:rsid w:val="001D3F05"/>
    <w:rsid w:val="001D422A"/>
    <w:rsid w:val="001D42CC"/>
    <w:rsid w:val="001D43EE"/>
    <w:rsid w:val="001D4467"/>
    <w:rsid w:val="001D477D"/>
    <w:rsid w:val="001D48C8"/>
    <w:rsid w:val="001D4CA8"/>
    <w:rsid w:val="001D4D3D"/>
    <w:rsid w:val="001D4E94"/>
    <w:rsid w:val="001D50BA"/>
    <w:rsid w:val="001D5307"/>
    <w:rsid w:val="001D53B7"/>
    <w:rsid w:val="001D55E5"/>
    <w:rsid w:val="001D56A8"/>
    <w:rsid w:val="001D56CD"/>
    <w:rsid w:val="001D5825"/>
    <w:rsid w:val="001D5887"/>
    <w:rsid w:val="001D598C"/>
    <w:rsid w:val="001D5B14"/>
    <w:rsid w:val="001D5B59"/>
    <w:rsid w:val="001D6019"/>
    <w:rsid w:val="001D6028"/>
    <w:rsid w:val="001D6295"/>
    <w:rsid w:val="001D657C"/>
    <w:rsid w:val="001D664C"/>
    <w:rsid w:val="001D666B"/>
    <w:rsid w:val="001D6823"/>
    <w:rsid w:val="001D6826"/>
    <w:rsid w:val="001D69C4"/>
    <w:rsid w:val="001D69F5"/>
    <w:rsid w:val="001D6A7C"/>
    <w:rsid w:val="001D6B5C"/>
    <w:rsid w:val="001D6EC4"/>
    <w:rsid w:val="001D708B"/>
    <w:rsid w:val="001D7250"/>
    <w:rsid w:val="001D72DB"/>
    <w:rsid w:val="001D765C"/>
    <w:rsid w:val="001D7723"/>
    <w:rsid w:val="001D78F1"/>
    <w:rsid w:val="001D7948"/>
    <w:rsid w:val="001D7A1F"/>
    <w:rsid w:val="001D7DEB"/>
    <w:rsid w:val="001D7E09"/>
    <w:rsid w:val="001D7F3E"/>
    <w:rsid w:val="001E0040"/>
    <w:rsid w:val="001E0315"/>
    <w:rsid w:val="001E04BD"/>
    <w:rsid w:val="001E0653"/>
    <w:rsid w:val="001E0735"/>
    <w:rsid w:val="001E07DC"/>
    <w:rsid w:val="001E08B9"/>
    <w:rsid w:val="001E0970"/>
    <w:rsid w:val="001E149E"/>
    <w:rsid w:val="001E14BD"/>
    <w:rsid w:val="001E16F2"/>
    <w:rsid w:val="001E1895"/>
    <w:rsid w:val="001E18EF"/>
    <w:rsid w:val="001E1C08"/>
    <w:rsid w:val="001E1C42"/>
    <w:rsid w:val="001E1CF0"/>
    <w:rsid w:val="001E1DC1"/>
    <w:rsid w:val="001E1F63"/>
    <w:rsid w:val="001E2232"/>
    <w:rsid w:val="001E2477"/>
    <w:rsid w:val="001E263A"/>
    <w:rsid w:val="001E2806"/>
    <w:rsid w:val="001E287C"/>
    <w:rsid w:val="001E29D0"/>
    <w:rsid w:val="001E2B04"/>
    <w:rsid w:val="001E2BEB"/>
    <w:rsid w:val="001E2C41"/>
    <w:rsid w:val="001E2D61"/>
    <w:rsid w:val="001E2F41"/>
    <w:rsid w:val="001E2F4F"/>
    <w:rsid w:val="001E34B7"/>
    <w:rsid w:val="001E34F7"/>
    <w:rsid w:val="001E34FA"/>
    <w:rsid w:val="001E3574"/>
    <w:rsid w:val="001E37B4"/>
    <w:rsid w:val="001E39E8"/>
    <w:rsid w:val="001E3A2B"/>
    <w:rsid w:val="001E3A85"/>
    <w:rsid w:val="001E3B3B"/>
    <w:rsid w:val="001E3DEA"/>
    <w:rsid w:val="001E3F6B"/>
    <w:rsid w:val="001E40BE"/>
    <w:rsid w:val="001E40F6"/>
    <w:rsid w:val="001E4163"/>
    <w:rsid w:val="001E450D"/>
    <w:rsid w:val="001E458F"/>
    <w:rsid w:val="001E4611"/>
    <w:rsid w:val="001E49D7"/>
    <w:rsid w:val="001E4BF5"/>
    <w:rsid w:val="001E4DBE"/>
    <w:rsid w:val="001E4FA3"/>
    <w:rsid w:val="001E4FE1"/>
    <w:rsid w:val="001E5055"/>
    <w:rsid w:val="001E5671"/>
    <w:rsid w:val="001E5674"/>
    <w:rsid w:val="001E57AB"/>
    <w:rsid w:val="001E57B0"/>
    <w:rsid w:val="001E57C6"/>
    <w:rsid w:val="001E58F6"/>
    <w:rsid w:val="001E599A"/>
    <w:rsid w:val="001E602D"/>
    <w:rsid w:val="001E60B7"/>
    <w:rsid w:val="001E6389"/>
    <w:rsid w:val="001E65DE"/>
    <w:rsid w:val="001E65DF"/>
    <w:rsid w:val="001E673E"/>
    <w:rsid w:val="001E6A66"/>
    <w:rsid w:val="001E6F34"/>
    <w:rsid w:val="001E7190"/>
    <w:rsid w:val="001E7224"/>
    <w:rsid w:val="001E727F"/>
    <w:rsid w:val="001E7285"/>
    <w:rsid w:val="001E72B4"/>
    <w:rsid w:val="001E7357"/>
    <w:rsid w:val="001E73CE"/>
    <w:rsid w:val="001E753F"/>
    <w:rsid w:val="001E7BCA"/>
    <w:rsid w:val="001E7CC7"/>
    <w:rsid w:val="001E7DBC"/>
    <w:rsid w:val="001E7DCC"/>
    <w:rsid w:val="001E7DF7"/>
    <w:rsid w:val="001E7F22"/>
    <w:rsid w:val="001F019F"/>
    <w:rsid w:val="001F03D7"/>
    <w:rsid w:val="001F040C"/>
    <w:rsid w:val="001F0477"/>
    <w:rsid w:val="001F0535"/>
    <w:rsid w:val="001F090F"/>
    <w:rsid w:val="001F0989"/>
    <w:rsid w:val="001F0A4A"/>
    <w:rsid w:val="001F0BAB"/>
    <w:rsid w:val="001F0BDD"/>
    <w:rsid w:val="001F0CC8"/>
    <w:rsid w:val="001F0CF2"/>
    <w:rsid w:val="001F100D"/>
    <w:rsid w:val="001F11EC"/>
    <w:rsid w:val="001F163A"/>
    <w:rsid w:val="001F1981"/>
    <w:rsid w:val="001F19F3"/>
    <w:rsid w:val="001F229E"/>
    <w:rsid w:val="001F2515"/>
    <w:rsid w:val="001F254A"/>
    <w:rsid w:val="001F27FC"/>
    <w:rsid w:val="001F2AD7"/>
    <w:rsid w:val="001F3128"/>
    <w:rsid w:val="001F3152"/>
    <w:rsid w:val="001F3B0B"/>
    <w:rsid w:val="001F3B2E"/>
    <w:rsid w:val="001F3BB0"/>
    <w:rsid w:val="001F3CFA"/>
    <w:rsid w:val="001F3D6F"/>
    <w:rsid w:val="001F3F78"/>
    <w:rsid w:val="001F4102"/>
    <w:rsid w:val="001F4536"/>
    <w:rsid w:val="001F4662"/>
    <w:rsid w:val="001F4AB7"/>
    <w:rsid w:val="001F4C40"/>
    <w:rsid w:val="001F4DAF"/>
    <w:rsid w:val="001F4FCD"/>
    <w:rsid w:val="001F5120"/>
    <w:rsid w:val="001F5476"/>
    <w:rsid w:val="001F5654"/>
    <w:rsid w:val="001F57B2"/>
    <w:rsid w:val="001F589B"/>
    <w:rsid w:val="001F59AE"/>
    <w:rsid w:val="001F5B83"/>
    <w:rsid w:val="001F5BF2"/>
    <w:rsid w:val="001F5C5C"/>
    <w:rsid w:val="001F5CB7"/>
    <w:rsid w:val="001F5D47"/>
    <w:rsid w:val="001F5F71"/>
    <w:rsid w:val="001F62BD"/>
    <w:rsid w:val="001F630B"/>
    <w:rsid w:val="001F64F2"/>
    <w:rsid w:val="001F6604"/>
    <w:rsid w:val="001F6A15"/>
    <w:rsid w:val="001F6A96"/>
    <w:rsid w:val="001F6AD8"/>
    <w:rsid w:val="001F6C25"/>
    <w:rsid w:val="001F6D0A"/>
    <w:rsid w:val="001F6EA5"/>
    <w:rsid w:val="001F706E"/>
    <w:rsid w:val="001F72D4"/>
    <w:rsid w:val="001F7325"/>
    <w:rsid w:val="001F7349"/>
    <w:rsid w:val="001F7639"/>
    <w:rsid w:val="001F770B"/>
    <w:rsid w:val="001F7E39"/>
    <w:rsid w:val="00200243"/>
    <w:rsid w:val="00200420"/>
    <w:rsid w:val="0020093E"/>
    <w:rsid w:val="00200B79"/>
    <w:rsid w:val="00200C12"/>
    <w:rsid w:val="002010FF"/>
    <w:rsid w:val="0020111E"/>
    <w:rsid w:val="002012CC"/>
    <w:rsid w:val="00201647"/>
    <w:rsid w:val="00201B11"/>
    <w:rsid w:val="00201D8C"/>
    <w:rsid w:val="00201E09"/>
    <w:rsid w:val="00201F7B"/>
    <w:rsid w:val="00201FD2"/>
    <w:rsid w:val="00202168"/>
    <w:rsid w:val="002023D5"/>
    <w:rsid w:val="002025F9"/>
    <w:rsid w:val="00202799"/>
    <w:rsid w:val="002027CD"/>
    <w:rsid w:val="00202818"/>
    <w:rsid w:val="00202A75"/>
    <w:rsid w:val="00202ABF"/>
    <w:rsid w:val="00202E1C"/>
    <w:rsid w:val="00203186"/>
    <w:rsid w:val="002032CD"/>
    <w:rsid w:val="002032DF"/>
    <w:rsid w:val="00203416"/>
    <w:rsid w:val="002034DF"/>
    <w:rsid w:val="002035FF"/>
    <w:rsid w:val="00203608"/>
    <w:rsid w:val="00203639"/>
    <w:rsid w:val="002036BE"/>
    <w:rsid w:val="00203854"/>
    <w:rsid w:val="002038F5"/>
    <w:rsid w:val="00203D53"/>
    <w:rsid w:val="00203ED8"/>
    <w:rsid w:val="00203F19"/>
    <w:rsid w:val="00203F8E"/>
    <w:rsid w:val="0020454E"/>
    <w:rsid w:val="00204735"/>
    <w:rsid w:val="002048E0"/>
    <w:rsid w:val="0020499B"/>
    <w:rsid w:val="00204DC3"/>
    <w:rsid w:val="00204E6E"/>
    <w:rsid w:val="00205021"/>
    <w:rsid w:val="002050F7"/>
    <w:rsid w:val="00205254"/>
    <w:rsid w:val="00205570"/>
    <w:rsid w:val="00205724"/>
    <w:rsid w:val="0020599E"/>
    <w:rsid w:val="00205C35"/>
    <w:rsid w:val="00205FE4"/>
    <w:rsid w:val="00206145"/>
    <w:rsid w:val="002062FB"/>
    <w:rsid w:val="0020647D"/>
    <w:rsid w:val="00206695"/>
    <w:rsid w:val="002068BE"/>
    <w:rsid w:val="002069E3"/>
    <w:rsid w:val="002069EC"/>
    <w:rsid w:val="00206A52"/>
    <w:rsid w:val="00206AA4"/>
    <w:rsid w:val="00206C5F"/>
    <w:rsid w:val="00206D1C"/>
    <w:rsid w:val="00206D86"/>
    <w:rsid w:val="00206E29"/>
    <w:rsid w:val="00207015"/>
    <w:rsid w:val="00207033"/>
    <w:rsid w:val="0020713F"/>
    <w:rsid w:val="0020715B"/>
    <w:rsid w:val="00207186"/>
    <w:rsid w:val="002071AA"/>
    <w:rsid w:val="0020720C"/>
    <w:rsid w:val="002072A7"/>
    <w:rsid w:val="002072A9"/>
    <w:rsid w:val="0020743C"/>
    <w:rsid w:val="002074C0"/>
    <w:rsid w:val="00207506"/>
    <w:rsid w:val="002079C7"/>
    <w:rsid w:val="00207C7B"/>
    <w:rsid w:val="00207C9A"/>
    <w:rsid w:val="00207C9D"/>
    <w:rsid w:val="00207CAA"/>
    <w:rsid w:val="00207E0A"/>
    <w:rsid w:val="00207F72"/>
    <w:rsid w:val="00207FF4"/>
    <w:rsid w:val="0021008C"/>
    <w:rsid w:val="0021010A"/>
    <w:rsid w:val="00210492"/>
    <w:rsid w:val="0021097B"/>
    <w:rsid w:val="00210B17"/>
    <w:rsid w:val="00210B46"/>
    <w:rsid w:val="00210C4A"/>
    <w:rsid w:val="00210ED9"/>
    <w:rsid w:val="00210F08"/>
    <w:rsid w:val="00210F80"/>
    <w:rsid w:val="002110EE"/>
    <w:rsid w:val="00211111"/>
    <w:rsid w:val="002111DC"/>
    <w:rsid w:val="002112BE"/>
    <w:rsid w:val="002117CC"/>
    <w:rsid w:val="002119AB"/>
    <w:rsid w:val="00211A07"/>
    <w:rsid w:val="00211A17"/>
    <w:rsid w:val="00211A51"/>
    <w:rsid w:val="00211A83"/>
    <w:rsid w:val="00211EAA"/>
    <w:rsid w:val="00211F39"/>
    <w:rsid w:val="002120AF"/>
    <w:rsid w:val="002126FF"/>
    <w:rsid w:val="002127E2"/>
    <w:rsid w:val="00212852"/>
    <w:rsid w:val="0021296B"/>
    <w:rsid w:val="00212E13"/>
    <w:rsid w:val="00212E66"/>
    <w:rsid w:val="00213312"/>
    <w:rsid w:val="002134B6"/>
    <w:rsid w:val="002134F5"/>
    <w:rsid w:val="002136B0"/>
    <w:rsid w:val="002136EE"/>
    <w:rsid w:val="00213A22"/>
    <w:rsid w:val="00213AB3"/>
    <w:rsid w:val="00213C09"/>
    <w:rsid w:val="00213D8A"/>
    <w:rsid w:val="00213F32"/>
    <w:rsid w:val="00213F4F"/>
    <w:rsid w:val="0021408A"/>
    <w:rsid w:val="0021436C"/>
    <w:rsid w:val="00214390"/>
    <w:rsid w:val="00214444"/>
    <w:rsid w:val="00214486"/>
    <w:rsid w:val="002144E6"/>
    <w:rsid w:val="002146BB"/>
    <w:rsid w:val="002146F2"/>
    <w:rsid w:val="00214CE5"/>
    <w:rsid w:val="00214D87"/>
    <w:rsid w:val="002150B6"/>
    <w:rsid w:val="002150F1"/>
    <w:rsid w:val="002152DD"/>
    <w:rsid w:val="002153C4"/>
    <w:rsid w:val="00215493"/>
    <w:rsid w:val="002154C5"/>
    <w:rsid w:val="002155C5"/>
    <w:rsid w:val="00215616"/>
    <w:rsid w:val="0021579C"/>
    <w:rsid w:val="00215856"/>
    <w:rsid w:val="00215A6C"/>
    <w:rsid w:val="00215F52"/>
    <w:rsid w:val="00216082"/>
    <w:rsid w:val="0021629B"/>
    <w:rsid w:val="002165EF"/>
    <w:rsid w:val="002166CF"/>
    <w:rsid w:val="002166E5"/>
    <w:rsid w:val="00216766"/>
    <w:rsid w:val="002167CC"/>
    <w:rsid w:val="00216948"/>
    <w:rsid w:val="002169D7"/>
    <w:rsid w:val="00216C92"/>
    <w:rsid w:val="00216CDF"/>
    <w:rsid w:val="00216D7F"/>
    <w:rsid w:val="00216E41"/>
    <w:rsid w:val="00216F07"/>
    <w:rsid w:val="00217203"/>
    <w:rsid w:val="0021767F"/>
    <w:rsid w:val="00217757"/>
    <w:rsid w:val="002177F0"/>
    <w:rsid w:val="00217AB6"/>
    <w:rsid w:val="00217B82"/>
    <w:rsid w:val="00217F26"/>
    <w:rsid w:val="00220092"/>
    <w:rsid w:val="0022031D"/>
    <w:rsid w:val="002206DC"/>
    <w:rsid w:val="0022078F"/>
    <w:rsid w:val="002208FC"/>
    <w:rsid w:val="00220965"/>
    <w:rsid w:val="00220A94"/>
    <w:rsid w:val="002212C2"/>
    <w:rsid w:val="00221354"/>
    <w:rsid w:val="00221441"/>
    <w:rsid w:val="00221727"/>
    <w:rsid w:val="002217AE"/>
    <w:rsid w:val="0022187B"/>
    <w:rsid w:val="00221A67"/>
    <w:rsid w:val="00221A90"/>
    <w:rsid w:val="00221B58"/>
    <w:rsid w:val="00222083"/>
    <w:rsid w:val="002222B9"/>
    <w:rsid w:val="002222BD"/>
    <w:rsid w:val="00222300"/>
    <w:rsid w:val="00222346"/>
    <w:rsid w:val="0022293D"/>
    <w:rsid w:val="00222A2B"/>
    <w:rsid w:val="00222C85"/>
    <w:rsid w:val="00222D1B"/>
    <w:rsid w:val="00222E86"/>
    <w:rsid w:val="00223079"/>
    <w:rsid w:val="002231F0"/>
    <w:rsid w:val="002234AC"/>
    <w:rsid w:val="00223DC7"/>
    <w:rsid w:val="00223DC9"/>
    <w:rsid w:val="00223F82"/>
    <w:rsid w:val="00223FA0"/>
    <w:rsid w:val="00224129"/>
    <w:rsid w:val="00224344"/>
    <w:rsid w:val="00224512"/>
    <w:rsid w:val="002245A8"/>
    <w:rsid w:val="0022469E"/>
    <w:rsid w:val="0022470E"/>
    <w:rsid w:val="00224BBB"/>
    <w:rsid w:val="00224D05"/>
    <w:rsid w:val="00224DDB"/>
    <w:rsid w:val="002251D3"/>
    <w:rsid w:val="00225483"/>
    <w:rsid w:val="00225915"/>
    <w:rsid w:val="002259A9"/>
    <w:rsid w:val="00225B37"/>
    <w:rsid w:val="00225C8A"/>
    <w:rsid w:val="00225DB5"/>
    <w:rsid w:val="00225FF0"/>
    <w:rsid w:val="00226001"/>
    <w:rsid w:val="002261E1"/>
    <w:rsid w:val="00226210"/>
    <w:rsid w:val="002265C7"/>
    <w:rsid w:val="00226696"/>
    <w:rsid w:val="0022670C"/>
    <w:rsid w:val="00226749"/>
    <w:rsid w:val="002267AF"/>
    <w:rsid w:val="002268A0"/>
    <w:rsid w:val="002269BE"/>
    <w:rsid w:val="00226B1A"/>
    <w:rsid w:val="00226C2D"/>
    <w:rsid w:val="00226C49"/>
    <w:rsid w:val="00226D4A"/>
    <w:rsid w:val="00226EB4"/>
    <w:rsid w:val="00226FCB"/>
    <w:rsid w:val="00226FFE"/>
    <w:rsid w:val="00227070"/>
    <w:rsid w:val="0022715E"/>
    <w:rsid w:val="00227237"/>
    <w:rsid w:val="0022737C"/>
    <w:rsid w:val="00227604"/>
    <w:rsid w:val="00227719"/>
    <w:rsid w:val="0022776A"/>
    <w:rsid w:val="002277E5"/>
    <w:rsid w:val="002279F5"/>
    <w:rsid w:val="00227FB1"/>
    <w:rsid w:val="00227FE1"/>
    <w:rsid w:val="002302F2"/>
    <w:rsid w:val="0023055B"/>
    <w:rsid w:val="00230709"/>
    <w:rsid w:val="00230A31"/>
    <w:rsid w:val="00230D6D"/>
    <w:rsid w:val="00230E0B"/>
    <w:rsid w:val="00231090"/>
    <w:rsid w:val="0023115F"/>
    <w:rsid w:val="002311C7"/>
    <w:rsid w:val="00231273"/>
    <w:rsid w:val="00231411"/>
    <w:rsid w:val="0023190F"/>
    <w:rsid w:val="002319B1"/>
    <w:rsid w:val="00231A63"/>
    <w:rsid w:val="00231CB1"/>
    <w:rsid w:val="00231DE5"/>
    <w:rsid w:val="00231F38"/>
    <w:rsid w:val="00231FF0"/>
    <w:rsid w:val="0023200C"/>
    <w:rsid w:val="00232049"/>
    <w:rsid w:val="00232222"/>
    <w:rsid w:val="002323AE"/>
    <w:rsid w:val="00232639"/>
    <w:rsid w:val="0023292D"/>
    <w:rsid w:val="00232B7F"/>
    <w:rsid w:val="00232BE8"/>
    <w:rsid w:val="00232D9D"/>
    <w:rsid w:val="00232EAE"/>
    <w:rsid w:val="0023317E"/>
    <w:rsid w:val="002331CA"/>
    <w:rsid w:val="002331F5"/>
    <w:rsid w:val="002331FC"/>
    <w:rsid w:val="0023345A"/>
    <w:rsid w:val="0023389A"/>
    <w:rsid w:val="00233B0B"/>
    <w:rsid w:val="00233EE4"/>
    <w:rsid w:val="00234468"/>
    <w:rsid w:val="0023477E"/>
    <w:rsid w:val="00234A16"/>
    <w:rsid w:val="00234D99"/>
    <w:rsid w:val="00235341"/>
    <w:rsid w:val="0023549C"/>
    <w:rsid w:val="002354A3"/>
    <w:rsid w:val="002355A9"/>
    <w:rsid w:val="00235766"/>
    <w:rsid w:val="0023595B"/>
    <w:rsid w:val="00235BF3"/>
    <w:rsid w:val="00235EA7"/>
    <w:rsid w:val="00235F2B"/>
    <w:rsid w:val="00235FFD"/>
    <w:rsid w:val="002360BD"/>
    <w:rsid w:val="00236153"/>
    <w:rsid w:val="002362C2"/>
    <w:rsid w:val="002362E1"/>
    <w:rsid w:val="0023648D"/>
    <w:rsid w:val="002367E5"/>
    <w:rsid w:val="0023681E"/>
    <w:rsid w:val="002369B9"/>
    <w:rsid w:val="00236A49"/>
    <w:rsid w:val="00236B51"/>
    <w:rsid w:val="00236C22"/>
    <w:rsid w:val="00236C54"/>
    <w:rsid w:val="00236C82"/>
    <w:rsid w:val="00236DF2"/>
    <w:rsid w:val="00236E12"/>
    <w:rsid w:val="00236FF1"/>
    <w:rsid w:val="0023702C"/>
    <w:rsid w:val="002371F8"/>
    <w:rsid w:val="0023725D"/>
    <w:rsid w:val="002372D9"/>
    <w:rsid w:val="002372FA"/>
    <w:rsid w:val="0023733C"/>
    <w:rsid w:val="002375FA"/>
    <w:rsid w:val="002377A5"/>
    <w:rsid w:val="00237988"/>
    <w:rsid w:val="00237A14"/>
    <w:rsid w:val="00237A77"/>
    <w:rsid w:val="00237AB7"/>
    <w:rsid w:val="00237B61"/>
    <w:rsid w:val="00237F40"/>
    <w:rsid w:val="00240288"/>
    <w:rsid w:val="002402D4"/>
    <w:rsid w:val="00240322"/>
    <w:rsid w:val="00240382"/>
    <w:rsid w:val="002404DA"/>
    <w:rsid w:val="0024057F"/>
    <w:rsid w:val="002406BF"/>
    <w:rsid w:val="00240738"/>
    <w:rsid w:val="0024090E"/>
    <w:rsid w:val="002409F3"/>
    <w:rsid w:val="00240C82"/>
    <w:rsid w:val="00240E2B"/>
    <w:rsid w:val="00240F50"/>
    <w:rsid w:val="0024114A"/>
    <w:rsid w:val="002414E6"/>
    <w:rsid w:val="0024173D"/>
    <w:rsid w:val="00241B7F"/>
    <w:rsid w:val="00241BDE"/>
    <w:rsid w:val="00241CEE"/>
    <w:rsid w:val="00241F11"/>
    <w:rsid w:val="00242348"/>
    <w:rsid w:val="00242468"/>
    <w:rsid w:val="00242535"/>
    <w:rsid w:val="0024255C"/>
    <w:rsid w:val="002426B4"/>
    <w:rsid w:val="00242725"/>
    <w:rsid w:val="00242AEA"/>
    <w:rsid w:val="00242E90"/>
    <w:rsid w:val="00242ED6"/>
    <w:rsid w:val="002430F7"/>
    <w:rsid w:val="002432E1"/>
    <w:rsid w:val="0024339E"/>
    <w:rsid w:val="002435A0"/>
    <w:rsid w:val="00243618"/>
    <w:rsid w:val="00243884"/>
    <w:rsid w:val="0024392F"/>
    <w:rsid w:val="00243A17"/>
    <w:rsid w:val="00243B17"/>
    <w:rsid w:val="00243D13"/>
    <w:rsid w:val="00243DE4"/>
    <w:rsid w:val="00243DEA"/>
    <w:rsid w:val="00244505"/>
    <w:rsid w:val="00244567"/>
    <w:rsid w:val="002445EF"/>
    <w:rsid w:val="00244883"/>
    <w:rsid w:val="002448FD"/>
    <w:rsid w:val="0024491C"/>
    <w:rsid w:val="00244A6F"/>
    <w:rsid w:val="00244B04"/>
    <w:rsid w:val="00244C04"/>
    <w:rsid w:val="00244CD4"/>
    <w:rsid w:val="0024505F"/>
    <w:rsid w:val="0024508B"/>
    <w:rsid w:val="002450CF"/>
    <w:rsid w:val="00245326"/>
    <w:rsid w:val="002453C9"/>
    <w:rsid w:val="00245655"/>
    <w:rsid w:val="00245839"/>
    <w:rsid w:val="00245CE3"/>
    <w:rsid w:val="00246048"/>
    <w:rsid w:val="00246229"/>
    <w:rsid w:val="002464A8"/>
    <w:rsid w:val="00246854"/>
    <w:rsid w:val="0024686F"/>
    <w:rsid w:val="00246AA0"/>
    <w:rsid w:val="00246B4F"/>
    <w:rsid w:val="00246B72"/>
    <w:rsid w:val="00246B97"/>
    <w:rsid w:val="00246BBC"/>
    <w:rsid w:val="00246D74"/>
    <w:rsid w:val="002471B6"/>
    <w:rsid w:val="002471CF"/>
    <w:rsid w:val="002472D2"/>
    <w:rsid w:val="002473C7"/>
    <w:rsid w:val="002475AF"/>
    <w:rsid w:val="002475EC"/>
    <w:rsid w:val="00247697"/>
    <w:rsid w:val="0024770B"/>
    <w:rsid w:val="00247B24"/>
    <w:rsid w:val="00247FD9"/>
    <w:rsid w:val="002500EA"/>
    <w:rsid w:val="0025013A"/>
    <w:rsid w:val="002503EE"/>
    <w:rsid w:val="002508E4"/>
    <w:rsid w:val="00250A41"/>
    <w:rsid w:val="00250A79"/>
    <w:rsid w:val="00250A89"/>
    <w:rsid w:val="00250E4B"/>
    <w:rsid w:val="00250E52"/>
    <w:rsid w:val="00251068"/>
    <w:rsid w:val="002510D1"/>
    <w:rsid w:val="0025157D"/>
    <w:rsid w:val="002515B4"/>
    <w:rsid w:val="002515BF"/>
    <w:rsid w:val="00251826"/>
    <w:rsid w:val="00251AC4"/>
    <w:rsid w:val="00251B2D"/>
    <w:rsid w:val="00251C04"/>
    <w:rsid w:val="00251D89"/>
    <w:rsid w:val="00252258"/>
    <w:rsid w:val="002522BF"/>
    <w:rsid w:val="00252482"/>
    <w:rsid w:val="002525CD"/>
    <w:rsid w:val="00252796"/>
    <w:rsid w:val="00252846"/>
    <w:rsid w:val="0025296A"/>
    <w:rsid w:val="002529A4"/>
    <w:rsid w:val="00252A00"/>
    <w:rsid w:val="00252C69"/>
    <w:rsid w:val="00252CA6"/>
    <w:rsid w:val="00252DAC"/>
    <w:rsid w:val="002533CE"/>
    <w:rsid w:val="00253471"/>
    <w:rsid w:val="00253890"/>
    <w:rsid w:val="00253937"/>
    <w:rsid w:val="00253B53"/>
    <w:rsid w:val="00253B84"/>
    <w:rsid w:val="00253CB4"/>
    <w:rsid w:val="00253DB3"/>
    <w:rsid w:val="00253E12"/>
    <w:rsid w:val="00254167"/>
    <w:rsid w:val="002541CC"/>
    <w:rsid w:val="0025426A"/>
    <w:rsid w:val="002544C1"/>
    <w:rsid w:val="0025451F"/>
    <w:rsid w:val="00254763"/>
    <w:rsid w:val="00254880"/>
    <w:rsid w:val="002549A5"/>
    <w:rsid w:val="00254B29"/>
    <w:rsid w:val="00254CAA"/>
    <w:rsid w:val="00254CB8"/>
    <w:rsid w:val="00254D0E"/>
    <w:rsid w:val="00254DB1"/>
    <w:rsid w:val="00255528"/>
    <w:rsid w:val="0025554D"/>
    <w:rsid w:val="002556A5"/>
    <w:rsid w:val="00255878"/>
    <w:rsid w:val="002559D9"/>
    <w:rsid w:val="00255A3E"/>
    <w:rsid w:val="00255B70"/>
    <w:rsid w:val="00255C3D"/>
    <w:rsid w:val="00255DE8"/>
    <w:rsid w:val="00255E60"/>
    <w:rsid w:val="002566A1"/>
    <w:rsid w:val="00257251"/>
    <w:rsid w:val="002574BB"/>
    <w:rsid w:val="00257512"/>
    <w:rsid w:val="002575F8"/>
    <w:rsid w:val="00257690"/>
    <w:rsid w:val="0025773B"/>
    <w:rsid w:val="00257AB7"/>
    <w:rsid w:val="00257ABC"/>
    <w:rsid w:val="00257C4F"/>
    <w:rsid w:val="00257C8E"/>
    <w:rsid w:val="00257F36"/>
    <w:rsid w:val="00260334"/>
    <w:rsid w:val="002603B9"/>
    <w:rsid w:val="00260B76"/>
    <w:rsid w:val="00260CBB"/>
    <w:rsid w:val="00260CD4"/>
    <w:rsid w:val="00261340"/>
    <w:rsid w:val="00261720"/>
    <w:rsid w:val="002617C0"/>
    <w:rsid w:val="00261B04"/>
    <w:rsid w:val="00261C1E"/>
    <w:rsid w:val="00261CDA"/>
    <w:rsid w:val="00261D0F"/>
    <w:rsid w:val="00261E46"/>
    <w:rsid w:val="0026206B"/>
    <w:rsid w:val="00262133"/>
    <w:rsid w:val="00262296"/>
    <w:rsid w:val="00262304"/>
    <w:rsid w:val="002623DD"/>
    <w:rsid w:val="00262406"/>
    <w:rsid w:val="0026243E"/>
    <w:rsid w:val="002629A4"/>
    <w:rsid w:val="002629D9"/>
    <w:rsid w:val="00262CC0"/>
    <w:rsid w:val="00262E46"/>
    <w:rsid w:val="0026321B"/>
    <w:rsid w:val="0026330A"/>
    <w:rsid w:val="00263350"/>
    <w:rsid w:val="002635CF"/>
    <w:rsid w:val="002636DE"/>
    <w:rsid w:val="002637F5"/>
    <w:rsid w:val="00263825"/>
    <w:rsid w:val="00263917"/>
    <w:rsid w:val="00263A54"/>
    <w:rsid w:val="00263E33"/>
    <w:rsid w:val="00263F15"/>
    <w:rsid w:val="0026417C"/>
    <w:rsid w:val="00264184"/>
    <w:rsid w:val="00264262"/>
    <w:rsid w:val="002642F2"/>
    <w:rsid w:val="0026457E"/>
    <w:rsid w:val="0026480F"/>
    <w:rsid w:val="00264878"/>
    <w:rsid w:val="00264970"/>
    <w:rsid w:val="00264973"/>
    <w:rsid w:val="002649E1"/>
    <w:rsid w:val="00264CF2"/>
    <w:rsid w:val="00264E26"/>
    <w:rsid w:val="00264EF1"/>
    <w:rsid w:val="00264F32"/>
    <w:rsid w:val="0026504B"/>
    <w:rsid w:val="00265165"/>
    <w:rsid w:val="00265169"/>
    <w:rsid w:val="00265188"/>
    <w:rsid w:val="0026525A"/>
    <w:rsid w:val="0026534C"/>
    <w:rsid w:val="00265432"/>
    <w:rsid w:val="00265535"/>
    <w:rsid w:val="002657FA"/>
    <w:rsid w:val="0026587F"/>
    <w:rsid w:val="002658C1"/>
    <w:rsid w:val="00265CAE"/>
    <w:rsid w:val="002660FE"/>
    <w:rsid w:val="0026613F"/>
    <w:rsid w:val="0026646C"/>
    <w:rsid w:val="00266614"/>
    <w:rsid w:val="0026692E"/>
    <w:rsid w:val="00266B06"/>
    <w:rsid w:val="00266FA1"/>
    <w:rsid w:val="002670B3"/>
    <w:rsid w:val="00267174"/>
    <w:rsid w:val="00267187"/>
    <w:rsid w:val="00267743"/>
    <w:rsid w:val="002678F7"/>
    <w:rsid w:val="00267A3D"/>
    <w:rsid w:val="00267BEE"/>
    <w:rsid w:val="00267D62"/>
    <w:rsid w:val="00267E03"/>
    <w:rsid w:val="00267E26"/>
    <w:rsid w:val="00267EBD"/>
    <w:rsid w:val="00267EFD"/>
    <w:rsid w:val="00270371"/>
    <w:rsid w:val="00270627"/>
    <w:rsid w:val="00270706"/>
    <w:rsid w:val="0027074B"/>
    <w:rsid w:val="00270824"/>
    <w:rsid w:val="00270AB7"/>
    <w:rsid w:val="00270D44"/>
    <w:rsid w:val="00270DC1"/>
    <w:rsid w:val="00270F5F"/>
    <w:rsid w:val="002710DF"/>
    <w:rsid w:val="00271262"/>
    <w:rsid w:val="0027133A"/>
    <w:rsid w:val="00271352"/>
    <w:rsid w:val="002719E3"/>
    <w:rsid w:val="00271A64"/>
    <w:rsid w:val="00271ADC"/>
    <w:rsid w:val="00271E36"/>
    <w:rsid w:val="00271F11"/>
    <w:rsid w:val="00272369"/>
    <w:rsid w:val="00272431"/>
    <w:rsid w:val="002726A0"/>
    <w:rsid w:val="00272822"/>
    <w:rsid w:val="00272A39"/>
    <w:rsid w:val="00272BB1"/>
    <w:rsid w:val="00272E69"/>
    <w:rsid w:val="00272F8E"/>
    <w:rsid w:val="002737A3"/>
    <w:rsid w:val="0027394D"/>
    <w:rsid w:val="00273A07"/>
    <w:rsid w:val="00273A36"/>
    <w:rsid w:val="00273C0B"/>
    <w:rsid w:val="00273ED4"/>
    <w:rsid w:val="0027442E"/>
    <w:rsid w:val="002744D6"/>
    <w:rsid w:val="002746D5"/>
    <w:rsid w:val="0027482E"/>
    <w:rsid w:val="002748AA"/>
    <w:rsid w:val="00274964"/>
    <w:rsid w:val="00274980"/>
    <w:rsid w:val="002749D2"/>
    <w:rsid w:val="00274DB5"/>
    <w:rsid w:val="00274E9F"/>
    <w:rsid w:val="00274F53"/>
    <w:rsid w:val="00275045"/>
    <w:rsid w:val="002751ED"/>
    <w:rsid w:val="002753A0"/>
    <w:rsid w:val="002753EA"/>
    <w:rsid w:val="00275407"/>
    <w:rsid w:val="002759C4"/>
    <w:rsid w:val="00275E35"/>
    <w:rsid w:val="0027607E"/>
    <w:rsid w:val="0027609D"/>
    <w:rsid w:val="0027611E"/>
    <w:rsid w:val="0027634A"/>
    <w:rsid w:val="00276399"/>
    <w:rsid w:val="0027645F"/>
    <w:rsid w:val="00276AE3"/>
    <w:rsid w:val="00276B6A"/>
    <w:rsid w:val="00276D4C"/>
    <w:rsid w:val="00276DBB"/>
    <w:rsid w:val="00276DD0"/>
    <w:rsid w:val="00276F03"/>
    <w:rsid w:val="00276F8E"/>
    <w:rsid w:val="00277024"/>
    <w:rsid w:val="00277277"/>
    <w:rsid w:val="0027739E"/>
    <w:rsid w:val="002777B3"/>
    <w:rsid w:val="002777F3"/>
    <w:rsid w:val="00277925"/>
    <w:rsid w:val="00277989"/>
    <w:rsid w:val="00277B26"/>
    <w:rsid w:val="00277C16"/>
    <w:rsid w:val="00277D0C"/>
    <w:rsid w:val="0028049B"/>
    <w:rsid w:val="0028051E"/>
    <w:rsid w:val="00280561"/>
    <w:rsid w:val="00280707"/>
    <w:rsid w:val="00280B56"/>
    <w:rsid w:val="00280C0C"/>
    <w:rsid w:val="00280D29"/>
    <w:rsid w:val="00280D2D"/>
    <w:rsid w:val="00281009"/>
    <w:rsid w:val="002810D2"/>
    <w:rsid w:val="00281764"/>
    <w:rsid w:val="002817E3"/>
    <w:rsid w:val="00281915"/>
    <w:rsid w:val="00281CA9"/>
    <w:rsid w:val="00281D6A"/>
    <w:rsid w:val="00281DDF"/>
    <w:rsid w:val="00282152"/>
    <w:rsid w:val="00282256"/>
    <w:rsid w:val="0028266F"/>
    <w:rsid w:val="002826D3"/>
    <w:rsid w:val="00282981"/>
    <w:rsid w:val="00282B04"/>
    <w:rsid w:val="00282C36"/>
    <w:rsid w:val="0028333D"/>
    <w:rsid w:val="00283366"/>
    <w:rsid w:val="00283468"/>
    <w:rsid w:val="002834C4"/>
    <w:rsid w:val="00283650"/>
    <w:rsid w:val="002838D1"/>
    <w:rsid w:val="00283A3E"/>
    <w:rsid w:val="00283B9E"/>
    <w:rsid w:val="00283F1E"/>
    <w:rsid w:val="00284084"/>
    <w:rsid w:val="00284491"/>
    <w:rsid w:val="0028463D"/>
    <w:rsid w:val="00284AC2"/>
    <w:rsid w:val="00284C99"/>
    <w:rsid w:val="00284EBF"/>
    <w:rsid w:val="00284F47"/>
    <w:rsid w:val="00285075"/>
    <w:rsid w:val="0028532E"/>
    <w:rsid w:val="00285405"/>
    <w:rsid w:val="002855DB"/>
    <w:rsid w:val="00285632"/>
    <w:rsid w:val="00285847"/>
    <w:rsid w:val="00285954"/>
    <w:rsid w:val="002859F7"/>
    <w:rsid w:val="00285B7B"/>
    <w:rsid w:val="00285D3B"/>
    <w:rsid w:val="00285F98"/>
    <w:rsid w:val="00286040"/>
    <w:rsid w:val="0028612D"/>
    <w:rsid w:val="002861F9"/>
    <w:rsid w:val="00286250"/>
    <w:rsid w:val="002862A2"/>
    <w:rsid w:val="002863D2"/>
    <w:rsid w:val="0028643C"/>
    <w:rsid w:val="002866C0"/>
    <w:rsid w:val="002867FC"/>
    <w:rsid w:val="0028693E"/>
    <w:rsid w:val="0028693F"/>
    <w:rsid w:val="002869FB"/>
    <w:rsid w:val="00286AAE"/>
    <w:rsid w:val="00286E86"/>
    <w:rsid w:val="00286F1E"/>
    <w:rsid w:val="00287469"/>
    <w:rsid w:val="0028765D"/>
    <w:rsid w:val="002876B1"/>
    <w:rsid w:val="00287866"/>
    <w:rsid w:val="00287E3D"/>
    <w:rsid w:val="00287EE1"/>
    <w:rsid w:val="00287F10"/>
    <w:rsid w:val="00287F34"/>
    <w:rsid w:val="0029020B"/>
    <w:rsid w:val="00290224"/>
    <w:rsid w:val="00290378"/>
    <w:rsid w:val="002903FB"/>
    <w:rsid w:val="0029069C"/>
    <w:rsid w:val="002908D2"/>
    <w:rsid w:val="0029091F"/>
    <w:rsid w:val="00290AE9"/>
    <w:rsid w:val="00290BB7"/>
    <w:rsid w:val="00290C4A"/>
    <w:rsid w:val="00290CA9"/>
    <w:rsid w:val="00290DB1"/>
    <w:rsid w:val="00290F48"/>
    <w:rsid w:val="002912A4"/>
    <w:rsid w:val="002912E5"/>
    <w:rsid w:val="00291435"/>
    <w:rsid w:val="002916FE"/>
    <w:rsid w:val="00291764"/>
    <w:rsid w:val="002917D5"/>
    <w:rsid w:val="002918C1"/>
    <w:rsid w:val="002918D0"/>
    <w:rsid w:val="00291AAC"/>
    <w:rsid w:val="00291D5E"/>
    <w:rsid w:val="00292296"/>
    <w:rsid w:val="002925DB"/>
    <w:rsid w:val="00292604"/>
    <w:rsid w:val="00292878"/>
    <w:rsid w:val="002928E7"/>
    <w:rsid w:val="0029299C"/>
    <w:rsid w:val="00292ACC"/>
    <w:rsid w:val="00292BF0"/>
    <w:rsid w:val="00292C1E"/>
    <w:rsid w:val="00292EB1"/>
    <w:rsid w:val="00292EFD"/>
    <w:rsid w:val="00292FB3"/>
    <w:rsid w:val="002931DB"/>
    <w:rsid w:val="00293258"/>
    <w:rsid w:val="002934C7"/>
    <w:rsid w:val="0029376D"/>
    <w:rsid w:val="00293786"/>
    <w:rsid w:val="0029397D"/>
    <w:rsid w:val="002939E9"/>
    <w:rsid w:val="00293A33"/>
    <w:rsid w:val="00293D2F"/>
    <w:rsid w:val="00293F6B"/>
    <w:rsid w:val="002943A9"/>
    <w:rsid w:val="00294418"/>
    <w:rsid w:val="002944E2"/>
    <w:rsid w:val="002945DF"/>
    <w:rsid w:val="00294617"/>
    <w:rsid w:val="00294649"/>
    <w:rsid w:val="00294A46"/>
    <w:rsid w:val="00294B38"/>
    <w:rsid w:val="00294B7C"/>
    <w:rsid w:val="00294E2F"/>
    <w:rsid w:val="00294EF6"/>
    <w:rsid w:val="00294F5E"/>
    <w:rsid w:val="00294FED"/>
    <w:rsid w:val="00295170"/>
    <w:rsid w:val="0029539C"/>
    <w:rsid w:val="002954AC"/>
    <w:rsid w:val="002955EA"/>
    <w:rsid w:val="00295756"/>
    <w:rsid w:val="002959F7"/>
    <w:rsid w:val="00295CE6"/>
    <w:rsid w:val="00295E5F"/>
    <w:rsid w:val="002964E3"/>
    <w:rsid w:val="00296620"/>
    <w:rsid w:val="00296FA4"/>
    <w:rsid w:val="00297193"/>
    <w:rsid w:val="002971FE"/>
    <w:rsid w:val="00297408"/>
    <w:rsid w:val="002976DA"/>
    <w:rsid w:val="0029786C"/>
    <w:rsid w:val="00297C10"/>
    <w:rsid w:val="00297C33"/>
    <w:rsid w:val="00297F38"/>
    <w:rsid w:val="002A0030"/>
    <w:rsid w:val="002A00CB"/>
    <w:rsid w:val="002A020B"/>
    <w:rsid w:val="002A0264"/>
    <w:rsid w:val="002A0452"/>
    <w:rsid w:val="002A0699"/>
    <w:rsid w:val="002A0F78"/>
    <w:rsid w:val="002A127A"/>
    <w:rsid w:val="002A142A"/>
    <w:rsid w:val="002A1499"/>
    <w:rsid w:val="002A16AA"/>
    <w:rsid w:val="002A1833"/>
    <w:rsid w:val="002A19F1"/>
    <w:rsid w:val="002A1CCE"/>
    <w:rsid w:val="002A1D5A"/>
    <w:rsid w:val="002A1F75"/>
    <w:rsid w:val="002A1F8E"/>
    <w:rsid w:val="002A21FA"/>
    <w:rsid w:val="002A24B4"/>
    <w:rsid w:val="002A27DB"/>
    <w:rsid w:val="002A2CEF"/>
    <w:rsid w:val="002A2CF9"/>
    <w:rsid w:val="002A2E05"/>
    <w:rsid w:val="002A2F45"/>
    <w:rsid w:val="002A2FAC"/>
    <w:rsid w:val="002A301A"/>
    <w:rsid w:val="002A30B4"/>
    <w:rsid w:val="002A3196"/>
    <w:rsid w:val="002A3301"/>
    <w:rsid w:val="002A3392"/>
    <w:rsid w:val="002A357A"/>
    <w:rsid w:val="002A35B6"/>
    <w:rsid w:val="002A3683"/>
    <w:rsid w:val="002A37B0"/>
    <w:rsid w:val="002A3DCF"/>
    <w:rsid w:val="002A3DE8"/>
    <w:rsid w:val="002A3DF6"/>
    <w:rsid w:val="002A3E3A"/>
    <w:rsid w:val="002A3F69"/>
    <w:rsid w:val="002A40F9"/>
    <w:rsid w:val="002A4166"/>
    <w:rsid w:val="002A41FD"/>
    <w:rsid w:val="002A4470"/>
    <w:rsid w:val="002A449A"/>
    <w:rsid w:val="002A4574"/>
    <w:rsid w:val="002A468D"/>
    <w:rsid w:val="002A4725"/>
    <w:rsid w:val="002A47FD"/>
    <w:rsid w:val="002A4AAB"/>
    <w:rsid w:val="002A4AEF"/>
    <w:rsid w:val="002A50F9"/>
    <w:rsid w:val="002A5198"/>
    <w:rsid w:val="002A520F"/>
    <w:rsid w:val="002A5249"/>
    <w:rsid w:val="002A5279"/>
    <w:rsid w:val="002A537D"/>
    <w:rsid w:val="002A53B5"/>
    <w:rsid w:val="002A549A"/>
    <w:rsid w:val="002A5883"/>
    <w:rsid w:val="002A58D6"/>
    <w:rsid w:val="002A5ED8"/>
    <w:rsid w:val="002A5F37"/>
    <w:rsid w:val="002A601D"/>
    <w:rsid w:val="002A60E6"/>
    <w:rsid w:val="002A622F"/>
    <w:rsid w:val="002A631F"/>
    <w:rsid w:val="002A638F"/>
    <w:rsid w:val="002A6569"/>
    <w:rsid w:val="002A669C"/>
    <w:rsid w:val="002A6B3E"/>
    <w:rsid w:val="002A6C48"/>
    <w:rsid w:val="002A6C67"/>
    <w:rsid w:val="002A6D39"/>
    <w:rsid w:val="002A6EE9"/>
    <w:rsid w:val="002A7067"/>
    <w:rsid w:val="002A72C3"/>
    <w:rsid w:val="002A73A9"/>
    <w:rsid w:val="002A73D5"/>
    <w:rsid w:val="002A75D5"/>
    <w:rsid w:val="002A7708"/>
    <w:rsid w:val="002A7855"/>
    <w:rsid w:val="002A7B35"/>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4E"/>
    <w:rsid w:val="002B0FCA"/>
    <w:rsid w:val="002B1023"/>
    <w:rsid w:val="002B115F"/>
    <w:rsid w:val="002B11A9"/>
    <w:rsid w:val="002B1285"/>
    <w:rsid w:val="002B13B2"/>
    <w:rsid w:val="002B158F"/>
    <w:rsid w:val="002B15D7"/>
    <w:rsid w:val="002B1884"/>
    <w:rsid w:val="002B198A"/>
    <w:rsid w:val="002B19CF"/>
    <w:rsid w:val="002B1FAE"/>
    <w:rsid w:val="002B232D"/>
    <w:rsid w:val="002B23D9"/>
    <w:rsid w:val="002B2455"/>
    <w:rsid w:val="002B258D"/>
    <w:rsid w:val="002B25B0"/>
    <w:rsid w:val="002B2673"/>
    <w:rsid w:val="002B2834"/>
    <w:rsid w:val="002B2AF2"/>
    <w:rsid w:val="002B2EC7"/>
    <w:rsid w:val="002B2ED8"/>
    <w:rsid w:val="002B3084"/>
    <w:rsid w:val="002B33B4"/>
    <w:rsid w:val="002B35C5"/>
    <w:rsid w:val="002B399A"/>
    <w:rsid w:val="002B3B9E"/>
    <w:rsid w:val="002B3F87"/>
    <w:rsid w:val="002B4009"/>
    <w:rsid w:val="002B435C"/>
    <w:rsid w:val="002B4573"/>
    <w:rsid w:val="002B479B"/>
    <w:rsid w:val="002B4B60"/>
    <w:rsid w:val="002B4CB4"/>
    <w:rsid w:val="002B4E2D"/>
    <w:rsid w:val="002B5070"/>
    <w:rsid w:val="002B516C"/>
    <w:rsid w:val="002B5757"/>
    <w:rsid w:val="002B58A7"/>
    <w:rsid w:val="002B5955"/>
    <w:rsid w:val="002B5D20"/>
    <w:rsid w:val="002B5D50"/>
    <w:rsid w:val="002B60A1"/>
    <w:rsid w:val="002B6115"/>
    <w:rsid w:val="002B6139"/>
    <w:rsid w:val="002B619E"/>
    <w:rsid w:val="002B67EB"/>
    <w:rsid w:val="002B68CF"/>
    <w:rsid w:val="002B6CEF"/>
    <w:rsid w:val="002B6D53"/>
    <w:rsid w:val="002B70EE"/>
    <w:rsid w:val="002B724E"/>
    <w:rsid w:val="002B7339"/>
    <w:rsid w:val="002B73E3"/>
    <w:rsid w:val="002B769B"/>
    <w:rsid w:val="002B7713"/>
    <w:rsid w:val="002B7799"/>
    <w:rsid w:val="002B78B1"/>
    <w:rsid w:val="002B7DC2"/>
    <w:rsid w:val="002B7F13"/>
    <w:rsid w:val="002C0022"/>
    <w:rsid w:val="002C0157"/>
    <w:rsid w:val="002C0343"/>
    <w:rsid w:val="002C0539"/>
    <w:rsid w:val="002C057F"/>
    <w:rsid w:val="002C05AE"/>
    <w:rsid w:val="002C05C6"/>
    <w:rsid w:val="002C05E2"/>
    <w:rsid w:val="002C06B5"/>
    <w:rsid w:val="002C0C2D"/>
    <w:rsid w:val="002C0DA6"/>
    <w:rsid w:val="002C0E08"/>
    <w:rsid w:val="002C103A"/>
    <w:rsid w:val="002C1054"/>
    <w:rsid w:val="002C10E7"/>
    <w:rsid w:val="002C144A"/>
    <w:rsid w:val="002C174A"/>
    <w:rsid w:val="002C1952"/>
    <w:rsid w:val="002C2326"/>
    <w:rsid w:val="002C25E8"/>
    <w:rsid w:val="002C2746"/>
    <w:rsid w:val="002C28EE"/>
    <w:rsid w:val="002C2CC4"/>
    <w:rsid w:val="002C2D14"/>
    <w:rsid w:val="002C3145"/>
    <w:rsid w:val="002C3204"/>
    <w:rsid w:val="002C3295"/>
    <w:rsid w:val="002C344D"/>
    <w:rsid w:val="002C3676"/>
    <w:rsid w:val="002C3C93"/>
    <w:rsid w:val="002C3C9F"/>
    <w:rsid w:val="002C3E10"/>
    <w:rsid w:val="002C3F8F"/>
    <w:rsid w:val="002C4059"/>
    <w:rsid w:val="002C4074"/>
    <w:rsid w:val="002C41A6"/>
    <w:rsid w:val="002C4436"/>
    <w:rsid w:val="002C444F"/>
    <w:rsid w:val="002C4604"/>
    <w:rsid w:val="002C472E"/>
    <w:rsid w:val="002C4891"/>
    <w:rsid w:val="002C4A15"/>
    <w:rsid w:val="002C4A94"/>
    <w:rsid w:val="002C4B4E"/>
    <w:rsid w:val="002C4C0D"/>
    <w:rsid w:val="002C5146"/>
    <w:rsid w:val="002C514B"/>
    <w:rsid w:val="002C54E1"/>
    <w:rsid w:val="002C5701"/>
    <w:rsid w:val="002C5A79"/>
    <w:rsid w:val="002C5B3E"/>
    <w:rsid w:val="002C5B8A"/>
    <w:rsid w:val="002C5CB8"/>
    <w:rsid w:val="002C5E69"/>
    <w:rsid w:val="002C6672"/>
    <w:rsid w:val="002C6692"/>
    <w:rsid w:val="002C6921"/>
    <w:rsid w:val="002C6AF0"/>
    <w:rsid w:val="002C6BB1"/>
    <w:rsid w:val="002C6C8D"/>
    <w:rsid w:val="002C6D3C"/>
    <w:rsid w:val="002C6DA4"/>
    <w:rsid w:val="002C6DF3"/>
    <w:rsid w:val="002C735C"/>
    <w:rsid w:val="002C746A"/>
    <w:rsid w:val="002C74B8"/>
    <w:rsid w:val="002C7B84"/>
    <w:rsid w:val="002C7F7C"/>
    <w:rsid w:val="002C7FD9"/>
    <w:rsid w:val="002D00C5"/>
    <w:rsid w:val="002D011C"/>
    <w:rsid w:val="002D0233"/>
    <w:rsid w:val="002D029E"/>
    <w:rsid w:val="002D05D8"/>
    <w:rsid w:val="002D061B"/>
    <w:rsid w:val="002D0822"/>
    <w:rsid w:val="002D0A83"/>
    <w:rsid w:val="002D0B7D"/>
    <w:rsid w:val="002D0C83"/>
    <w:rsid w:val="002D0CEA"/>
    <w:rsid w:val="002D0F2E"/>
    <w:rsid w:val="002D1023"/>
    <w:rsid w:val="002D114B"/>
    <w:rsid w:val="002D16A2"/>
    <w:rsid w:val="002D1705"/>
    <w:rsid w:val="002D1855"/>
    <w:rsid w:val="002D18FF"/>
    <w:rsid w:val="002D1908"/>
    <w:rsid w:val="002D1936"/>
    <w:rsid w:val="002D1979"/>
    <w:rsid w:val="002D1A3D"/>
    <w:rsid w:val="002D1C5C"/>
    <w:rsid w:val="002D1D81"/>
    <w:rsid w:val="002D1E0F"/>
    <w:rsid w:val="002D1FE5"/>
    <w:rsid w:val="002D20C1"/>
    <w:rsid w:val="002D2511"/>
    <w:rsid w:val="002D262D"/>
    <w:rsid w:val="002D26F4"/>
    <w:rsid w:val="002D2701"/>
    <w:rsid w:val="002D27FE"/>
    <w:rsid w:val="002D29D0"/>
    <w:rsid w:val="002D2CC0"/>
    <w:rsid w:val="002D2D62"/>
    <w:rsid w:val="002D2DAD"/>
    <w:rsid w:val="002D2F3C"/>
    <w:rsid w:val="002D2FC6"/>
    <w:rsid w:val="002D31BB"/>
    <w:rsid w:val="002D323B"/>
    <w:rsid w:val="002D33D8"/>
    <w:rsid w:val="002D345D"/>
    <w:rsid w:val="002D3474"/>
    <w:rsid w:val="002D350C"/>
    <w:rsid w:val="002D3606"/>
    <w:rsid w:val="002D3936"/>
    <w:rsid w:val="002D3A13"/>
    <w:rsid w:val="002D3B3E"/>
    <w:rsid w:val="002D3CAA"/>
    <w:rsid w:val="002D3DDD"/>
    <w:rsid w:val="002D3E73"/>
    <w:rsid w:val="002D3EB7"/>
    <w:rsid w:val="002D3F12"/>
    <w:rsid w:val="002D3FF5"/>
    <w:rsid w:val="002D45F0"/>
    <w:rsid w:val="002D4600"/>
    <w:rsid w:val="002D47D9"/>
    <w:rsid w:val="002D494E"/>
    <w:rsid w:val="002D4A77"/>
    <w:rsid w:val="002D4C75"/>
    <w:rsid w:val="002D4DB5"/>
    <w:rsid w:val="002D4E22"/>
    <w:rsid w:val="002D4F33"/>
    <w:rsid w:val="002D5108"/>
    <w:rsid w:val="002D51D9"/>
    <w:rsid w:val="002D51DE"/>
    <w:rsid w:val="002D51E2"/>
    <w:rsid w:val="002D527B"/>
    <w:rsid w:val="002D5486"/>
    <w:rsid w:val="002D56FF"/>
    <w:rsid w:val="002D59C9"/>
    <w:rsid w:val="002D5D0A"/>
    <w:rsid w:val="002D6364"/>
    <w:rsid w:val="002D6662"/>
    <w:rsid w:val="002D6758"/>
    <w:rsid w:val="002D67F5"/>
    <w:rsid w:val="002D6A68"/>
    <w:rsid w:val="002D6CDB"/>
    <w:rsid w:val="002D70C8"/>
    <w:rsid w:val="002D72DC"/>
    <w:rsid w:val="002D74D0"/>
    <w:rsid w:val="002D76B5"/>
    <w:rsid w:val="002D7B3A"/>
    <w:rsid w:val="002D7B84"/>
    <w:rsid w:val="002D7F32"/>
    <w:rsid w:val="002E00EC"/>
    <w:rsid w:val="002E01E1"/>
    <w:rsid w:val="002E0221"/>
    <w:rsid w:val="002E04E3"/>
    <w:rsid w:val="002E055F"/>
    <w:rsid w:val="002E0639"/>
    <w:rsid w:val="002E06AF"/>
    <w:rsid w:val="002E0702"/>
    <w:rsid w:val="002E08B3"/>
    <w:rsid w:val="002E08B7"/>
    <w:rsid w:val="002E09C3"/>
    <w:rsid w:val="002E0C9A"/>
    <w:rsid w:val="002E0CC4"/>
    <w:rsid w:val="002E1047"/>
    <w:rsid w:val="002E1094"/>
    <w:rsid w:val="002E142B"/>
    <w:rsid w:val="002E1441"/>
    <w:rsid w:val="002E151C"/>
    <w:rsid w:val="002E1805"/>
    <w:rsid w:val="002E189D"/>
    <w:rsid w:val="002E18D3"/>
    <w:rsid w:val="002E1B2A"/>
    <w:rsid w:val="002E1B76"/>
    <w:rsid w:val="002E1C0E"/>
    <w:rsid w:val="002E1C13"/>
    <w:rsid w:val="002E1D6E"/>
    <w:rsid w:val="002E1E3A"/>
    <w:rsid w:val="002E1FCA"/>
    <w:rsid w:val="002E217E"/>
    <w:rsid w:val="002E23F6"/>
    <w:rsid w:val="002E2787"/>
    <w:rsid w:val="002E2815"/>
    <w:rsid w:val="002E283D"/>
    <w:rsid w:val="002E2AE3"/>
    <w:rsid w:val="002E2F62"/>
    <w:rsid w:val="002E2FE8"/>
    <w:rsid w:val="002E312D"/>
    <w:rsid w:val="002E324A"/>
    <w:rsid w:val="002E3269"/>
    <w:rsid w:val="002E35DF"/>
    <w:rsid w:val="002E3606"/>
    <w:rsid w:val="002E36A6"/>
    <w:rsid w:val="002E396F"/>
    <w:rsid w:val="002E3A1E"/>
    <w:rsid w:val="002E412D"/>
    <w:rsid w:val="002E46A1"/>
    <w:rsid w:val="002E4733"/>
    <w:rsid w:val="002E4900"/>
    <w:rsid w:val="002E4A4D"/>
    <w:rsid w:val="002E4D72"/>
    <w:rsid w:val="002E4F35"/>
    <w:rsid w:val="002E4FAF"/>
    <w:rsid w:val="002E51A5"/>
    <w:rsid w:val="002E5262"/>
    <w:rsid w:val="002E5265"/>
    <w:rsid w:val="002E54E4"/>
    <w:rsid w:val="002E563B"/>
    <w:rsid w:val="002E586C"/>
    <w:rsid w:val="002E5E8C"/>
    <w:rsid w:val="002E62F2"/>
    <w:rsid w:val="002E63AF"/>
    <w:rsid w:val="002E63B4"/>
    <w:rsid w:val="002E645C"/>
    <w:rsid w:val="002E6705"/>
    <w:rsid w:val="002E674F"/>
    <w:rsid w:val="002E6B9D"/>
    <w:rsid w:val="002E6C15"/>
    <w:rsid w:val="002E6DE1"/>
    <w:rsid w:val="002E6E73"/>
    <w:rsid w:val="002E7166"/>
    <w:rsid w:val="002E725C"/>
    <w:rsid w:val="002E738F"/>
    <w:rsid w:val="002E74F5"/>
    <w:rsid w:val="002E75AC"/>
    <w:rsid w:val="002E767A"/>
    <w:rsid w:val="002E77D0"/>
    <w:rsid w:val="002E799B"/>
    <w:rsid w:val="002E7CC8"/>
    <w:rsid w:val="002E7D49"/>
    <w:rsid w:val="002E7E8F"/>
    <w:rsid w:val="002F0025"/>
    <w:rsid w:val="002F0227"/>
    <w:rsid w:val="002F02C5"/>
    <w:rsid w:val="002F0462"/>
    <w:rsid w:val="002F05C4"/>
    <w:rsid w:val="002F06BB"/>
    <w:rsid w:val="002F090D"/>
    <w:rsid w:val="002F0971"/>
    <w:rsid w:val="002F0A33"/>
    <w:rsid w:val="002F0B23"/>
    <w:rsid w:val="002F0DAC"/>
    <w:rsid w:val="002F0EDC"/>
    <w:rsid w:val="002F0F2F"/>
    <w:rsid w:val="002F0FE4"/>
    <w:rsid w:val="002F1127"/>
    <w:rsid w:val="002F1361"/>
    <w:rsid w:val="002F146A"/>
    <w:rsid w:val="002F1539"/>
    <w:rsid w:val="002F1637"/>
    <w:rsid w:val="002F193D"/>
    <w:rsid w:val="002F196C"/>
    <w:rsid w:val="002F1B48"/>
    <w:rsid w:val="002F1BFD"/>
    <w:rsid w:val="002F1D51"/>
    <w:rsid w:val="002F1EB9"/>
    <w:rsid w:val="002F1FE3"/>
    <w:rsid w:val="002F2100"/>
    <w:rsid w:val="002F21D1"/>
    <w:rsid w:val="002F22C8"/>
    <w:rsid w:val="002F2652"/>
    <w:rsid w:val="002F2925"/>
    <w:rsid w:val="002F2CA4"/>
    <w:rsid w:val="002F2D55"/>
    <w:rsid w:val="002F33BF"/>
    <w:rsid w:val="002F39A2"/>
    <w:rsid w:val="002F3A14"/>
    <w:rsid w:val="002F3B21"/>
    <w:rsid w:val="002F402A"/>
    <w:rsid w:val="002F415E"/>
    <w:rsid w:val="002F41AB"/>
    <w:rsid w:val="002F41B5"/>
    <w:rsid w:val="002F4245"/>
    <w:rsid w:val="002F4370"/>
    <w:rsid w:val="002F44C4"/>
    <w:rsid w:val="002F4543"/>
    <w:rsid w:val="002F4823"/>
    <w:rsid w:val="002F4CEF"/>
    <w:rsid w:val="002F4CF7"/>
    <w:rsid w:val="002F4EB4"/>
    <w:rsid w:val="002F5006"/>
    <w:rsid w:val="002F5339"/>
    <w:rsid w:val="002F54A7"/>
    <w:rsid w:val="002F55A6"/>
    <w:rsid w:val="002F5CAF"/>
    <w:rsid w:val="002F5D02"/>
    <w:rsid w:val="002F5DFC"/>
    <w:rsid w:val="002F5ED5"/>
    <w:rsid w:val="002F6514"/>
    <w:rsid w:val="002F6769"/>
    <w:rsid w:val="002F6E3B"/>
    <w:rsid w:val="002F6F24"/>
    <w:rsid w:val="002F70D5"/>
    <w:rsid w:val="002F714D"/>
    <w:rsid w:val="002F72AF"/>
    <w:rsid w:val="002F756F"/>
    <w:rsid w:val="002F7695"/>
    <w:rsid w:val="002F7812"/>
    <w:rsid w:val="002F79E2"/>
    <w:rsid w:val="002F7D3A"/>
    <w:rsid w:val="002F7E36"/>
    <w:rsid w:val="002F7F14"/>
    <w:rsid w:val="003000B4"/>
    <w:rsid w:val="003002CA"/>
    <w:rsid w:val="0030062A"/>
    <w:rsid w:val="00300639"/>
    <w:rsid w:val="0030082F"/>
    <w:rsid w:val="003008E2"/>
    <w:rsid w:val="0030094B"/>
    <w:rsid w:val="003009D5"/>
    <w:rsid w:val="00300ACB"/>
    <w:rsid w:val="00300CB4"/>
    <w:rsid w:val="00300DF0"/>
    <w:rsid w:val="00300E13"/>
    <w:rsid w:val="00300ED2"/>
    <w:rsid w:val="003014BE"/>
    <w:rsid w:val="0030165C"/>
    <w:rsid w:val="00301720"/>
    <w:rsid w:val="003017CA"/>
    <w:rsid w:val="00301827"/>
    <w:rsid w:val="00301AAA"/>
    <w:rsid w:val="00301B57"/>
    <w:rsid w:val="00301C69"/>
    <w:rsid w:val="00301D15"/>
    <w:rsid w:val="00301E1B"/>
    <w:rsid w:val="00302229"/>
    <w:rsid w:val="003022E0"/>
    <w:rsid w:val="0030233B"/>
    <w:rsid w:val="0030238F"/>
    <w:rsid w:val="00302399"/>
    <w:rsid w:val="00302739"/>
    <w:rsid w:val="00302CF0"/>
    <w:rsid w:val="00302D8A"/>
    <w:rsid w:val="003031FF"/>
    <w:rsid w:val="00303206"/>
    <w:rsid w:val="003034A9"/>
    <w:rsid w:val="00303545"/>
    <w:rsid w:val="00303571"/>
    <w:rsid w:val="0030368A"/>
    <w:rsid w:val="00303707"/>
    <w:rsid w:val="00303998"/>
    <w:rsid w:val="00303D8E"/>
    <w:rsid w:val="00303E9C"/>
    <w:rsid w:val="00303EB6"/>
    <w:rsid w:val="00303EFE"/>
    <w:rsid w:val="003041C4"/>
    <w:rsid w:val="003042A0"/>
    <w:rsid w:val="00304359"/>
    <w:rsid w:val="00304440"/>
    <w:rsid w:val="00304565"/>
    <w:rsid w:val="003045AD"/>
    <w:rsid w:val="003046F5"/>
    <w:rsid w:val="00304790"/>
    <w:rsid w:val="003049DE"/>
    <w:rsid w:val="00304F3A"/>
    <w:rsid w:val="00304FB5"/>
    <w:rsid w:val="003050E7"/>
    <w:rsid w:val="003050EB"/>
    <w:rsid w:val="00305493"/>
    <w:rsid w:val="003055BF"/>
    <w:rsid w:val="003056CD"/>
    <w:rsid w:val="00305884"/>
    <w:rsid w:val="00305905"/>
    <w:rsid w:val="00305E00"/>
    <w:rsid w:val="00305EF2"/>
    <w:rsid w:val="00305F11"/>
    <w:rsid w:val="00305F93"/>
    <w:rsid w:val="0030615E"/>
    <w:rsid w:val="003064C2"/>
    <w:rsid w:val="00306529"/>
    <w:rsid w:val="003065CD"/>
    <w:rsid w:val="003068DA"/>
    <w:rsid w:val="003068E6"/>
    <w:rsid w:val="003069E2"/>
    <w:rsid w:val="00306AA5"/>
    <w:rsid w:val="00306D14"/>
    <w:rsid w:val="00306D1F"/>
    <w:rsid w:val="00306E72"/>
    <w:rsid w:val="00306E88"/>
    <w:rsid w:val="00307649"/>
    <w:rsid w:val="003078A5"/>
    <w:rsid w:val="003078E7"/>
    <w:rsid w:val="00307904"/>
    <w:rsid w:val="00307998"/>
    <w:rsid w:val="00307D5B"/>
    <w:rsid w:val="00307E38"/>
    <w:rsid w:val="00310298"/>
    <w:rsid w:val="003102B6"/>
    <w:rsid w:val="00310387"/>
    <w:rsid w:val="003104E6"/>
    <w:rsid w:val="0031077E"/>
    <w:rsid w:val="003107AB"/>
    <w:rsid w:val="00310DC0"/>
    <w:rsid w:val="00310DC4"/>
    <w:rsid w:val="00310E5B"/>
    <w:rsid w:val="00311198"/>
    <w:rsid w:val="003111CB"/>
    <w:rsid w:val="00311206"/>
    <w:rsid w:val="003113CD"/>
    <w:rsid w:val="003115BB"/>
    <w:rsid w:val="003117A4"/>
    <w:rsid w:val="00311A9B"/>
    <w:rsid w:val="00311DF5"/>
    <w:rsid w:val="00311FB2"/>
    <w:rsid w:val="003124C9"/>
    <w:rsid w:val="00312597"/>
    <w:rsid w:val="00312658"/>
    <w:rsid w:val="003128F6"/>
    <w:rsid w:val="0031291E"/>
    <w:rsid w:val="00312A7B"/>
    <w:rsid w:val="00312AFE"/>
    <w:rsid w:val="00312BC8"/>
    <w:rsid w:val="00312C29"/>
    <w:rsid w:val="00312D3E"/>
    <w:rsid w:val="00312E88"/>
    <w:rsid w:val="00312F0C"/>
    <w:rsid w:val="00312F73"/>
    <w:rsid w:val="00313099"/>
    <w:rsid w:val="00313232"/>
    <w:rsid w:val="003133B4"/>
    <w:rsid w:val="0031353B"/>
    <w:rsid w:val="00313BF4"/>
    <w:rsid w:val="00313CD5"/>
    <w:rsid w:val="00313E77"/>
    <w:rsid w:val="00313EED"/>
    <w:rsid w:val="00314186"/>
    <w:rsid w:val="003141D8"/>
    <w:rsid w:val="00314258"/>
    <w:rsid w:val="0031449B"/>
    <w:rsid w:val="00314536"/>
    <w:rsid w:val="003146B6"/>
    <w:rsid w:val="0031482D"/>
    <w:rsid w:val="00314A3A"/>
    <w:rsid w:val="00314BFB"/>
    <w:rsid w:val="00314DD6"/>
    <w:rsid w:val="003154CD"/>
    <w:rsid w:val="003155BA"/>
    <w:rsid w:val="003159C5"/>
    <w:rsid w:val="00315AF3"/>
    <w:rsid w:val="00315BB0"/>
    <w:rsid w:val="00315C90"/>
    <w:rsid w:val="00315D3A"/>
    <w:rsid w:val="00315D50"/>
    <w:rsid w:val="00316137"/>
    <w:rsid w:val="0031616A"/>
    <w:rsid w:val="0031631D"/>
    <w:rsid w:val="0031632B"/>
    <w:rsid w:val="00316752"/>
    <w:rsid w:val="0031687E"/>
    <w:rsid w:val="003169A5"/>
    <w:rsid w:val="00316ABE"/>
    <w:rsid w:val="00316B53"/>
    <w:rsid w:val="00316BEB"/>
    <w:rsid w:val="00316C47"/>
    <w:rsid w:val="00316D41"/>
    <w:rsid w:val="00316DFB"/>
    <w:rsid w:val="00317151"/>
    <w:rsid w:val="00317277"/>
    <w:rsid w:val="0031741E"/>
    <w:rsid w:val="0031780D"/>
    <w:rsid w:val="00317A78"/>
    <w:rsid w:val="00317ACF"/>
    <w:rsid w:val="00317BA4"/>
    <w:rsid w:val="00317C07"/>
    <w:rsid w:val="00317C3A"/>
    <w:rsid w:val="00317E87"/>
    <w:rsid w:val="00317F69"/>
    <w:rsid w:val="00320039"/>
    <w:rsid w:val="0032010C"/>
    <w:rsid w:val="0032016A"/>
    <w:rsid w:val="0032034D"/>
    <w:rsid w:val="003203CE"/>
    <w:rsid w:val="00320486"/>
    <w:rsid w:val="003206E6"/>
    <w:rsid w:val="003208D4"/>
    <w:rsid w:val="00320B4C"/>
    <w:rsid w:val="00320D23"/>
    <w:rsid w:val="00320E81"/>
    <w:rsid w:val="0032101D"/>
    <w:rsid w:val="00321190"/>
    <w:rsid w:val="00321200"/>
    <w:rsid w:val="003212D7"/>
    <w:rsid w:val="00321678"/>
    <w:rsid w:val="0032182B"/>
    <w:rsid w:val="00321B64"/>
    <w:rsid w:val="00321BA6"/>
    <w:rsid w:val="00321C69"/>
    <w:rsid w:val="0032222F"/>
    <w:rsid w:val="0032258C"/>
    <w:rsid w:val="003226AC"/>
    <w:rsid w:val="003226B1"/>
    <w:rsid w:val="003227EB"/>
    <w:rsid w:val="003228A7"/>
    <w:rsid w:val="00322B26"/>
    <w:rsid w:val="003232DC"/>
    <w:rsid w:val="003235A7"/>
    <w:rsid w:val="003236C2"/>
    <w:rsid w:val="00323979"/>
    <w:rsid w:val="003239A4"/>
    <w:rsid w:val="00323BD1"/>
    <w:rsid w:val="00323BFB"/>
    <w:rsid w:val="00323D8F"/>
    <w:rsid w:val="00323E66"/>
    <w:rsid w:val="00323F17"/>
    <w:rsid w:val="00324631"/>
    <w:rsid w:val="00324805"/>
    <w:rsid w:val="00324811"/>
    <w:rsid w:val="003249ED"/>
    <w:rsid w:val="00324A12"/>
    <w:rsid w:val="00324B7C"/>
    <w:rsid w:val="00325054"/>
    <w:rsid w:val="00325103"/>
    <w:rsid w:val="003253E0"/>
    <w:rsid w:val="0032573F"/>
    <w:rsid w:val="003257A9"/>
    <w:rsid w:val="00325D17"/>
    <w:rsid w:val="00325E37"/>
    <w:rsid w:val="00325F29"/>
    <w:rsid w:val="00325FC4"/>
    <w:rsid w:val="00325FF4"/>
    <w:rsid w:val="0032603B"/>
    <w:rsid w:val="0032646C"/>
    <w:rsid w:val="00326535"/>
    <w:rsid w:val="0032654B"/>
    <w:rsid w:val="00326783"/>
    <w:rsid w:val="00326915"/>
    <w:rsid w:val="00326B14"/>
    <w:rsid w:val="00326C07"/>
    <w:rsid w:val="00326CF5"/>
    <w:rsid w:val="00326D87"/>
    <w:rsid w:val="00326DBA"/>
    <w:rsid w:val="00326F3C"/>
    <w:rsid w:val="00327359"/>
    <w:rsid w:val="003273F8"/>
    <w:rsid w:val="0032782E"/>
    <w:rsid w:val="00327856"/>
    <w:rsid w:val="00327870"/>
    <w:rsid w:val="0032799F"/>
    <w:rsid w:val="00327AD6"/>
    <w:rsid w:val="00327B47"/>
    <w:rsid w:val="00327B52"/>
    <w:rsid w:val="003303E5"/>
    <w:rsid w:val="00330609"/>
    <w:rsid w:val="00330788"/>
    <w:rsid w:val="003307D3"/>
    <w:rsid w:val="0033099B"/>
    <w:rsid w:val="00330AA0"/>
    <w:rsid w:val="00330D0C"/>
    <w:rsid w:val="0033121D"/>
    <w:rsid w:val="00331804"/>
    <w:rsid w:val="00331A1D"/>
    <w:rsid w:val="00331BCC"/>
    <w:rsid w:val="00331BFE"/>
    <w:rsid w:val="00331D3A"/>
    <w:rsid w:val="003320CA"/>
    <w:rsid w:val="0033211B"/>
    <w:rsid w:val="003323A4"/>
    <w:rsid w:val="0033279B"/>
    <w:rsid w:val="003328E2"/>
    <w:rsid w:val="00332A98"/>
    <w:rsid w:val="00332BAD"/>
    <w:rsid w:val="00332E0E"/>
    <w:rsid w:val="00332EE4"/>
    <w:rsid w:val="00332FE8"/>
    <w:rsid w:val="00333314"/>
    <w:rsid w:val="00333670"/>
    <w:rsid w:val="003337CF"/>
    <w:rsid w:val="00333A99"/>
    <w:rsid w:val="00333B84"/>
    <w:rsid w:val="00333C5B"/>
    <w:rsid w:val="00333EB4"/>
    <w:rsid w:val="003341AC"/>
    <w:rsid w:val="00334306"/>
    <w:rsid w:val="003348BE"/>
    <w:rsid w:val="00335191"/>
    <w:rsid w:val="0033525D"/>
    <w:rsid w:val="003354C3"/>
    <w:rsid w:val="00335564"/>
    <w:rsid w:val="003355C1"/>
    <w:rsid w:val="003355CA"/>
    <w:rsid w:val="003359AB"/>
    <w:rsid w:val="00335C89"/>
    <w:rsid w:val="003361BC"/>
    <w:rsid w:val="0033632F"/>
    <w:rsid w:val="0033647A"/>
    <w:rsid w:val="003365D4"/>
    <w:rsid w:val="003366A8"/>
    <w:rsid w:val="00336783"/>
    <w:rsid w:val="00336813"/>
    <w:rsid w:val="003368BC"/>
    <w:rsid w:val="003369BE"/>
    <w:rsid w:val="00336BBF"/>
    <w:rsid w:val="00336FF1"/>
    <w:rsid w:val="0033727B"/>
    <w:rsid w:val="0033755A"/>
    <w:rsid w:val="003375ED"/>
    <w:rsid w:val="0033775F"/>
    <w:rsid w:val="00337826"/>
    <w:rsid w:val="003378D7"/>
    <w:rsid w:val="00337A80"/>
    <w:rsid w:val="00337EA3"/>
    <w:rsid w:val="00337ECE"/>
    <w:rsid w:val="00337F02"/>
    <w:rsid w:val="00337F71"/>
    <w:rsid w:val="0033CCD6"/>
    <w:rsid w:val="00340261"/>
    <w:rsid w:val="003407FD"/>
    <w:rsid w:val="0034080E"/>
    <w:rsid w:val="003409E5"/>
    <w:rsid w:val="00340E38"/>
    <w:rsid w:val="00340E5E"/>
    <w:rsid w:val="00340F2E"/>
    <w:rsid w:val="00340F8A"/>
    <w:rsid w:val="00341064"/>
    <w:rsid w:val="00341126"/>
    <w:rsid w:val="003412F9"/>
    <w:rsid w:val="0034156D"/>
    <w:rsid w:val="003415A9"/>
    <w:rsid w:val="00341A43"/>
    <w:rsid w:val="00341B55"/>
    <w:rsid w:val="00341C9F"/>
    <w:rsid w:val="00341CBF"/>
    <w:rsid w:val="00341E31"/>
    <w:rsid w:val="00342117"/>
    <w:rsid w:val="00342193"/>
    <w:rsid w:val="0034219A"/>
    <w:rsid w:val="00342258"/>
    <w:rsid w:val="003428D4"/>
    <w:rsid w:val="003429B0"/>
    <w:rsid w:val="003429B1"/>
    <w:rsid w:val="003429D4"/>
    <w:rsid w:val="003429D6"/>
    <w:rsid w:val="00342D6D"/>
    <w:rsid w:val="00342EA6"/>
    <w:rsid w:val="003430AB"/>
    <w:rsid w:val="0034344C"/>
    <w:rsid w:val="003436AD"/>
    <w:rsid w:val="00343E7C"/>
    <w:rsid w:val="00343F23"/>
    <w:rsid w:val="00344270"/>
    <w:rsid w:val="0034431F"/>
    <w:rsid w:val="00344383"/>
    <w:rsid w:val="0034443E"/>
    <w:rsid w:val="00344742"/>
    <w:rsid w:val="003447F1"/>
    <w:rsid w:val="003449E4"/>
    <w:rsid w:val="00344B33"/>
    <w:rsid w:val="00344BED"/>
    <w:rsid w:val="00344C1E"/>
    <w:rsid w:val="00344C48"/>
    <w:rsid w:val="00344F5F"/>
    <w:rsid w:val="003450D5"/>
    <w:rsid w:val="0034522B"/>
    <w:rsid w:val="00345297"/>
    <w:rsid w:val="0034552B"/>
    <w:rsid w:val="003457B4"/>
    <w:rsid w:val="003457BD"/>
    <w:rsid w:val="00345B15"/>
    <w:rsid w:val="00345BDC"/>
    <w:rsid w:val="00345C44"/>
    <w:rsid w:val="00345D97"/>
    <w:rsid w:val="0034611C"/>
    <w:rsid w:val="003461A2"/>
    <w:rsid w:val="00346459"/>
    <w:rsid w:val="0034651A"/>
    <w:rsid w:val="00346725"/>
    <w:rsid w:val="00346855"/>
    <w:rsid w:val="00346A1A"/>
    <w:rsid w:val="00346DFA"/>
    <w:rsid w:val="0034717F"/>
    <w:rsid w:val="0034731D"/>
    <w:rsid w:val="00347387"/>
    <w:rsid w:val="00347746"/>
    <w:rsid w:val="00347945"/>
    <w:rsid w:val="0034799C"/>
    <w:rsid w:val="00347B86"/>
    <w:rsid w:val="00347D17"/>
    <w:rsid w:val="00347F61"/>
    <w:rsid w:val="0035000E"/>
    <w:rsid w:val="0035008D"/>
    <w:rsid w:val="00350382"/>
    <w:rsid w:val="0035076B"/>
    <w:rsid w:val="003507A9"/>
    <w:rsid w:val="0035092C"/>
    <w:rsid w:val="00350A36"/>
    <w:rsid w:val="00350A59"/>
    <w:rsid w:val="00350AF0"/>
    <w:rsid w:val="00350CC1"/>
    <w:rsid w:val="00350CEB"/>
    <w:rsid w:val="00350EE0"/>
    <w:rsid w:val="00351087"/>
    <w:rsid w:val="003512A6"/>
    <w:rsid w:val="00351362"/>
    <w:rsid w:val="003514C7"/>
    <w:rsid w:val="0035169D"/>
    <w:rsid w:val="00351702"/>
    <w:rsid w:val="0035181D"/>
    <w:rsid w:val="00351B46"/>
    <w:rsid w:val="00351F0F"/>
    <w:rsid w:val="0035211A"/>
    <w:rsid w:val="0035223D"/>
    <w:rsid w:val="00352284"/>
    <w:rsid w:val="0035255F"/>
    <w:rsid w:val="00352739"/>
    <w:rsid w:val="003528A1"/>
    <w:rsid w:val="00352B1F"/>
    <w:rsid w:val="00352D00"/>
    <w:rsid w:val="00352F40"/>
    <w:rsid w:val="003530ED"/>
    <w:rsid w:val="00353378"/>
    <w:rsid w:val="00353549"/>
    <w:rsid w:val="003537D9"/>
    <w:rsid w:val="003538F5"/>
    <w:rsid w:val="0035394D"/>
    <w:rsid w:val="00353B05"/>
    <w:rsid w:val="00353C5B"/>
    <w:rsid w:val="00353CAF"/>
    <w:rsid w:val="00353F3C"/>
    <w:rsid w:val="00354017"/>
    <w:rsid w:val="00354645"/>
    <w:rsid w:val="003546EE"/>
    <w:rsid w:val="00354F2B"/>
    <w:rsid w:val="0035501A"/>
    <w:rsid w:val="003555D1"/>
    <w:rsid w:val="00355828"/>
    <w:rsid w:val="00355908"/>
    <w:rsid w:val="0035592A"/>
    <w:rsid w:val="00355C3A"/>
    <w:rsid w:val="00355D15"/>
    <w:rsid w:val="00355D36"/>
    <w:rsid w:val="00355D7F"/>
    <w:rsid w:val="00355E93"/>
    <w:rsid w:val="00355ECA"/>
    <w:rsid w:val="003560E7"/>
    <w:rsid w:val="003561BE"/>
    <w:rsid w:val="003562C1"/>
    <w:rsid w:val="0035633D"/>
    <w:rsid w:val="003564CB"/>
    <w:rsid w:val="003566F3"/>
    <w:rsid w:val="00356765"/>
    <w:rsid w:val="00356825"/>
    <w:rsid w:val="00356827"/>
    <w:rsid w:val="0035691C"/>
    <w:rsid w:val="00356B31"/>
    <w:rsid w:val="00356D13"/>
    <w:rsid w:val="00356D71"/>
    <w:rsid w:val="0035711C"/>
    <w:rsid w:val="0035731F"/>
    <w:rsid w:val="00357391"/>
    <w:rsid w:val="003573D3"/>
    <w:rsid w:val="003573DD"/>
    <w:rsid w:val="00357470"/>
    <w:rsid w:val="00357508"/>
    <w:rsid w:val="003579D1"/>
    <w:rsid w:val="00357A19"/>
    <w:rsid w:val="00357A6E"/>
    <w:rsid w:val="00357AE0"/>
    <w:rsid w:val="00357B14"/>
    <w:rsid w:val="00357D55"/>
    <w:rsid w:val="00357E02"/>
    <w:rsid w:val="00360243"/>
    <w:rsid w:val="00360256"/>
    <w:rsid w:val="0036040B"/>
    <w:rsid w:val="00360661"/>
    <w:rsid w:val="00360750"/>
    <w:rsid w:val="003608FA"/>
    <w:rsid w:val="00360CA4"/>
    <w:rsid w:val="00360CD6"/>
    <w:rsid w:val="00360CE9"/>
    <w:rsid w:val="0036115B"/>
    <w:rsid w:val="003612F2"/>
    <w:rsid w:val="0036159C"/>
    <w:rsid w:val="00361742"/>
    <w:rsid w:val="00361B80"/>
    <w:rsid w:val="00361BB4"/>
    <w:rsid w:val="00361D11"/>
    <w:rsid w:val="00361D1E"/>
    <w:rsid w:val="00361DB4"/>
    <w:rsid w:val="00361E32"/>
    <w:rsid w:val="00361F7C"/>
    <w:rsid w:val="00361FF3"/>
    <w:rsid w:val="00362307"/>
    <w:rsid w:val="00362371"/>
    <w:rsid w:val="00362647"/>
    <w:rsid w:val="0036275C"/>
    <w:rsid w:val="00362B25"/>
    <w:rsid w:val="00362BE5"/>
    <w:rsid w:val="00362E49"/>
    <w:rsid w:val="00362EA0"/>
    <w:rsid w:val="00362FEA"/>
    <w:rsid w:val="00363170"/>
    <w:rsid w:val="0036347A"/>
    <w:rsid w:val="0036356A"/>
    <w:rsid w:val="003636F6"/>
    <w:rsid w:val="00363A31"/>
    <w:rsid w:val="00363AAC"/>
    <w:rsid w:val="00363AC8"/>
    <w:rsid w:val="00363BEC"/>
    <w:rsid w:val="00363C84"/>
    <w:rsid w:val="00363D28"/>
    <w:rsid w:val="00363E37"/>
    <w:rsid w:val="00363F6B"/>
    <w:rsid w:val="003643BD"/>
    <w:rsid w:val="00364439"/>
    <w:rsid w:val="003646D5"/>
    <w:rsid w:val="003646DF"/>
    <w:rsid w:val="00364784"/>
    <w:rsid w:val="003647AD"/>
    <w:rsid w:val="003648FC"/>
    <w:rsid w:val="00364D88"/>
    <w:rsid w:val="00364E07"/>
    <w:rsid w:val="00364EA5"/>
    <w:rsid w:val="00364EC2"/>
    <w:rsid w:val="00364EEC"/>
    <w:rsid w:val="00364F8E"/>
    <w:rsid w:val="00364F8F"/>
    <w:rsid w:val="00365213"/>
    <w:rsid w:val="00365215"/>
    <w:rsid w:val="00365395"/>
    <w:rsid w:val="003655C6"/>
    <w:rsid w:val="003655F6"/>
    <w:rsid w:val="0036570E"/>
    <w:rsid w:val="0036598C"/>
    <w:rsid w:val="00365A4F"/>
    <w:rsid w:val="00365F3A"/>
    <w:rsid w:val="00365FD6"/>
    <w:rsid w:val="003660C3"/>
    <w:rsid w:val="003660DC"/>
    <w:rsid w:val="003664E6"/>
    <w:rsid w:val="00366674"/>
    <w:rsid w:val="00366B60"/>
    <w:rsid w:val="00366C48"/>
    <w:rsid w:val="00366D33"/>
    <w:rsid w:val="0036721C"/>
    <w:rsid w:val="00367238"/>
    <w:rsid w:val="00367468"/>
    <w:rsid w:val="003674D9"/>
    <w:rsid w:val="00367710"/>
    <w:rsid w:val="0036785E"/>
    <w:rsid w:val="00367B08"/>
    <w:rsid w:val="00367CC8"/>
    <w:rsid w:val="0037007F"/>
    <w:rsid w:val="003702F3"/>
    <w:rsid w:val="003704DF"/>
    <w:rsid w:val="003704EC"/>
    <w:rsid w:val="00370877"/>
    <w:rsid w:val="00370A74"/>
    <w:rsid w:val="003712E2"/>
    <w:rsid w:val="00371333"/>
    <w:rsid w:val="00371447"/>
    <w:rsid w:val="0037149B"/>
    <w:rsid w:val="003716A9"/>
    <w:rsid w:val="0037181F"/>
    <w:rsid w:val="00371942"/>
    <w:rsid w:val="003719E1"/>
    <w:rsid w:val="00371B43"/>
    <w:rsid w:val="00371D4F"/>
    <w:rsid w:val="00372197"/>
    <w:rsid w:val="003722CB"/>
    <w:rsid w:val="0037244A"/>
    <w:rsid w:val="00372656"/>
    <w:rsid w:val="00372869"/>
    <w:rsid w:val="00372917"/>
    <w:rsid w:val="00372955"/>
    <w:rsid w:val="00372A3C"/>
    <w:rsid w:val="00372A7E"/>
    <w:rsid w:val="00372C0E"/>
    <w:rsid w:val="00372CB8"/>
    <w:rsid w:val="00373293"/>
    <w:rsid w:val="0037351A"/>
    <w:rsid w:val="003735BC"/>
    <w:rsid w:val="0037392F"/>
    <w:rsid w:val="00373AF4"/>
    <w:rsid w:val="00373D70"/>
    <w:rsid w:val="00373F2E"/>
    <w:rsid w:val="00374339"/>
    <w:rsid w:val="00374887"/>
    <w:rsid w:val="00374994"/>
    <w:rsid w:val="003749F4"/>
    <w:rsid w:val="00374FDB"/>
    <w:rsid w:val="0037519B"/>
    <w:rsid w:val="00375201"/>
    <w:rsid w:val="0037525B"/>
    <w:rsid w:val="0037548B"/>
    <w:rsid w:val="00375498"/>
    <w:rsid w:val="0037567B"/>
    <w:rsid w:val="00375803"/>
    <w:rsid w:val="003759E0"/>
    <w:rsid w:val="00375A59"/>
    <w:rsid w:val="00375D2B"/>
    <w:rsid w:val="003763CD"/>
    <w:rsid w:val="003763ED"/>
    <w:rsid w:val="0037671C"/>
    <w:rsid w:val="0037692C"/>
    <w:rsid w:val="0037693B"/>
    <w:rsid w:val="0037695D"/>
    <w:rsid w:val="00376A48"/>
    <w:rsid w:val="00376AF5"/>
    <w:rsid w:val="00376ED6"/>
    <w:rsid w:val="00377419"/>
    <w:rsid w:val="00377517"/>
    <w:rsid w:val="0037779D"/>
    <w:rsid w:val="00377B23"/>
    <w:rsid w:val="00377BEA"/>
    <w:rsid w:val="00377D29"/>
    <w:rsid w:val="00377D5A"/>
    <w:rsid w:val="00377DB0"/>
    <w:rsid w:val="00377E40"/>
    <w:rsid w:val="00380373"/>
    <w:rsid w:val="003803B4"/>
    <w:rsid w:val="00380529"/>
    <w:rsid w:val="003806C7"/>
    <w:rsid w:val="00380B9C"/>
    <w:rsid w:val="00380EE3"/>
    <w:rsid w:val="0038105F"/>
    <w:rsid w:val="003811E8"/>
    <w:rsid w:val="003813FE"/>
    <w:rsid w:val="00381435"/>
    <w:rsid w:val="00381507"/>
    <w:rsid w:val="003817FC"/>
    <w:rsid w:val="00381E36"/>
    <w:rsid w:val="00381E40"/>
    <w:rsid w:val="00381F12"/>
    <w:rsid w:val="0038210B"/>
    <w:rsid w:val="00382198"/>
    <w:rsid w:val="003821CD"/>
    <w:rsid w:val="003821E0"/>
    <w:rsid w:val="003821EA"/>
    <w:rsid w:val="003822FF"/>
    <w:rsid w:val="003826E1"/>
    <w:rsid w:val="0038277E"/>
    <w:rsid w:val="00382950"/>
    <w:rsid w:val="00382CE6"/>
    <w:rsid w:val="00382CFE"/>
    <w:rsid w:val="00382FBF"/>
    <w:rsid w:val="00382FD4"/>
    <w:rsid w:val="003830B0"/>
    <w:rsid w:val="0038397D"/>
    <w:rsid w:val="00383CB2"/>
    <w:rsid w:val="00383FC9"/>
    <w:rsid w:val="00383FE9"/>
    <w:rsid w:val="00384032"/>
    <w:rsid w:val="00384221"/>
    <w:rsid w:val="0038423F"/>
    <w:rsid w:val="00384478"/>
    <w:rsid w:val="0038472C"/>
    <w:rsid w:val="00384A98"/>
    <w:rsid w:val="00384ABE"/>
    <w:rsid w:val="00384E4F"/>
    <w:rsid w:val="003851BC"/>
    <w:rsid w:val="00385341"/>
    <w:rsid w:val="0038547D"/>
    <w:rsid w:val="003854FE"/>
    <w:rsid w:val="003856A8"/>
    <w:rsid w:val="003856AF"/>
    <w:rsid w:val="003856DB"/>
    <w:rsid w:val="0038579A"/>
    <w:rsid w:val="00385A8A"/>
    <w:rsid w:val="00385E1B"/>
    <w:rsid w:val="0038611A"/>
    <w:rsid w:val="0038617A"/>
    <w:rsid w:val="003862CB"/>
    <w:rsid w:val="00386513"/>
    <w:rsid w:val="00386543"/>
    <w:rsid w:val="003868CC"/>
    <w:rsid w:val="003869C5"/>
    <w:rsid w:val="00386C0B"/>
    <w:rsid w:val="00386E74"/>
    <w:rsid w:val="00387479"/>
    <w:rsid w:val="003874C5"/>
    <w:rsid w:val="00387536"/>
    <w:rsid w:val="0038755A"/>
    <w:rsid w:val="0038762C"/>
    <w:rsid w:val="00387857"/>
    <w:rsid w:val="003879F0"/>
    <w:rsid w:val="00387BAF"/>
    <w:rsid w:val="00387D75"/>
    <w:rsid w:val="00387F36"/>
    <w:rsid w:val="00390042"/>
    <w:rsid w:val="003902BA"/>
    <w:rsid w:val="003906E3"/>
    <w:rsid w:val="00390704"/>
    <w:rsid w:val="00390730"/>
    <w:rsid w:val="003907B5"/>
    <w:rsid w:val="003907ED"/>
    <w:rsid w:val="00390867"/>
    <w:rsid w:val="003909AC"/>
    <w:rsid w:val="00390AAB"/>
    <w:rsid w:val="00390CCF"/>
    <w:rsid w:val="00390DEA"/>
    <w:rsid w:val="0039100B"/>
    <w:rsid w:val="003912F2"/>
    <w:rsid w:val="00391488"/>
    <w:rsid w:val="0039154D"/>
    <w:rsid w:val="00391683"/>
    <w:rsid w:val="003916BD"/>
    <w:rsid w:val="003917C8"/>
    <w:rsid w:val="00391AA6"/>
    <w:rsid w:val="00391BA7"/>
    <w:rsid w:val="00391CFA"/>
    <w:rsid w:val="00391F93"/>
    <w:rsid w:val="003920B0"/>
    <w:rsid w:val="0039233A"/>
    <w:rsid w:val="003925D1"/>
    <w:rsid w:val="00392A93"/>
    <w:rsid w:val="00392B45"/>
    <w:rsid w:val="00392C20"/>
    <w:rsid w:val="003930CC"/>
    <w:rsid w:val="003931F9"/>
    <w:rsid w:val="0039331E"/>
    <w:rsid w:val="00393416"/>
    <w:rsid w:val="00393484"/>
    <w:rsid w:val="00393726"/>
    <w:rsid w:val="003937B7"/>
    <w:rsid w:val="003937BB"/>
    <w:rsid w:val="00393AE2"/>
    <w:rsid w:val="00394231"/>
    <w:rsid w:val="0039426D"/>
    <w:rsid w:val="00394423"/>
    <w:rsid w:val="00394547"/>
    <w:rsid w:val="00394782"/>
    <w:rsid w:val="003949C7"/>
    <w:rsid w:val="00394B6C"/>
    <w:rsid w:val="0039506B"/>
    <w:rsid w:val="003950F9"/>
    <w:rsid w:val="003952BF"/>
    <w:rsid w:val="003954EC"/>
    <w:rsid w:val="00395505"/>
    <w:rsid w:val="0039554B"/>
    <w:rsid w:val="00395E54"/>
    <w:rsid w:val="00395F5C"/>
    <w:rsid w:val="00395FBF"/>
    <w:rsid w:val="00395FEC"/>
    <w:rsid w:val="003960F0"/>
    <w:rsid w:val="00396597"/>
    <w:rsid w:val="0039677E"/>
    <w:rsid w:val="00396A0A"/>
    <w:rsid w:val="00396BB7"/>
    <w:rsid w:val="00396BE2"/>
    <w:rsid w:val="00396C71"/>
    <w:rsid w:val="00396C77"/>
    <w:rsid w:val="00396FCA"/>
    <w:rsid w:val="00397179"/>
    <w:rsid w:val="003972E4"/>
    <w:rsid w:val="003973CD"/>
    <w:rsid w:val="00397587"/>
    <w:rsid w:val="00397762"/>
    <w:rsid w:val="00397859"/>
    <w:rsid w:val="00397918"/>
    <w:rsid w:val="00397B1C"/>
    <w:rsid w:val="00397B58"/>
    <w:rsid w:val="00397C02"/>
    <w:rsid w:val="00397E24"/>
    <w:rsid w:val="00397E51"/>
    <w:rsid w:val="003A0038"/>
    <w:rsid w:val="003A01A3"/>
    <w:rsid w:val="003A0575"/>
    <w:rsid w:val="003A07D1"/>
    <w:rsid w:val="003A08BC"/>
    <w:rsid w:val="003A091D"/>
    <w:rsid w:val="003A0991"/>
    <w:rsid w:val="003A0A92"/>
    <w:rsid w:val="003A0B8C"/>
    <w:rsid w:val="003A0C85"/>
    <w:rsid w:val="003A0FD9"/>
    <w:rsid w:val="003A1091"/>
    <w:rsid w:val="003A10C9"/>
    <w:rsid w:val="003A139A"/>
    <w:rsid w:val="003A13B2"/>
    <w:rsid w:val="003A14E5"/>
    <w:rsid w:val="003A1613"/>
    <w:rsid w:val="003A16FD"/>
    <w:rsid w:val="003A187E"/>
    <w:rsid w:val="003A1BC4"/>
    <w:rsid w:val="003A2414"/>
    <w:rsid w:val="003A2458"/>
    <w:rsid w:val="003A2551"/>
    <w:rsid w:val="003A28A7"/>
    <w:rsid w:val="003A28D9"/>
    <w:rsid w:val="003A2D0C"/>
    <w:rsid w:val="003A30C9"/>
    <w:rsid w:val="003A33BD"/>
    <w:rsid w:val="003A343F"/>
    <w:rsid w:val="003A349C"/>
    <w:rsid w:val="003A34ED"/>
    <w:rsid w:val="003A355D"/>
    <w:rsid w:val="003A3633"/>
    <w:rsid w:val="003A36EF"/>
    <w:rsid w:val="003A3760"/>
    <w:rsid w:val="003A3FE6"/>
    <w:rsid w:val="003A3FFF"/>
    <w:rsid w:val="003A4007"/>
    <w:rsid w:val="003A40EC"/>
    <w:rsid w:val="003A44A1"/>
    <w:rsid w:val="003A4649"/>
    <w:rsid w:val="003A467A"/>
    <w:rsid w:val="003A46BB"/>
    <w:rsid w:val="003A47AE"/>
    <w:rsid w:val="003A4B24"/>
    <w:rsid w:val="003A4BD9"/>
    <w:rsid w:val="003A4DE9"/>
    <w:rsid w:val="003A4EA7"/>
    <w:rsid w:val="003A51AE"/>
    <w:rsid w:val="003A5413"/>
    <w:rsid w:val="003A54DC"/>
    <w:rsid w:val="003A5886"/>
    <w:rsid w:val="003A5937"/>
    <w:rsid w:val="003A5A70"/>
    <w:rsid w:val="003A6264"/>
    <w:rsid w:val="003A638B"/>
    <w:rsid w:val="003A63B7"/>
    <w:rsid w:val="003A648F"/>
    <w:rsid w:val="003A658D"/>
    <w:rsid w:val="003A659B"/>
    <w:rsid w:val="003A67E5"/>
    <w:rsid w:val="003A6A93"/>
    <w:rsid w:val="003A6C1E"/>
    <w:rsid w:val="003A6FE0"/>
    <w:rsid w:val="003A7137"/>
    <w:rsid w:val="003A7145"/>
    <w:rsid w:val="003A71F0"/>
    <w:rsid w:val="003A7444"/>
    <w:rsid w:val="003A7599"/>
    <w:rsid w:val="003A75BD"/>
    <w:rsid w:val="003A7637"/>
    <w:rsid w:val="003A7C36"/>
    <w:rsid w:val="003A7CC4"/>
    <w:rsid w:val="003A7F0D"/>
    <w:rsid w:val="003A7F83"/>
    <w:rsid w:val="003B0003"/>
    <w:rsid w:val="003B045E"/>
    <w:rsid w:val="003B0A20"/>
    <w:rsid w:val="003B0C28"/>
    <w:rsid w:val="003B0D8A"/>
    <w:rsid w:val="003B1071"/>
    <w:rsid w:val="003B107A"/>
    <w:rsid w:val="003B108A"/>
    <w:rsid w:val="003B120A"/>
    <w:rsid w:val="003B1274"/>
    <w:rsid w:val="003B133B"/>
    <w:rsid w:val="003B14C7"/>
    <w:rsid w:val="003B16E7"/>
    <w:rsid w:val="003B1A98"/>
    <w:rsid w:val="003B1AC4"/>
    <w:rsid w:val="003B1C15"/>
    <w:rsid w:val="003B1C8F"/>
    <w:rsid w:val="003B1E21"/>
    <w:rsid w:val="003B1ED7"/>
    <w:rsid w:val="003B2026"/>
    <w:rsid w:val="003B2189"/>
    <w:rsid w:val="003B2735"/>
    <w:rsid w:val="003B2895"/>
    <w:rsid w:val="003B2A40"/>
    <w:rsid w:val="003B2B8B"/>
    <w:rsid w:val="003B2C38"/>
    <w:rsid w:val="003B2DD6"/>
    <w:rsid w:val="003B2EBC"/>
    <w:rsid w:val="003B31F4"/>
    <w:rsid w:val="003B32E2"/>
    <w:rsid w:val="003B3696"/>
    <w:rsid w:val="003B37A7"/>
    <w:rsid w:val="003B3820"/>
    <w:rsid w:val="003B3B64"/>
    <w:rsid w:val="003B3BFC"/>
    <w:rsid w:val="003B3E87"/>
    <w:rsid w:val="003B3F64"/>
    <w:rsid w:val="003B3FC2"/>
    <w:rsid w:val="003B439B"/>
    <w:rsid w:val="003B4925"/>
    <w:rsid w:val="003B4994"/>
    <w:rsid w:val="003B49B6"/>
    <w:rsid w:val="003B4B15"/>
    <w:rsid w:val="003B4C8B"/>
    <w:rsid w:val="003B509E"/>
    <w:rsid w:val="003B5196"/>
    <w:rsid w:val="003B54AC"/>
    <w:rsid w:val="003B563A"/>
    <w:rsid w:val="003B5684"/>
    <w:rsid w:val="003B568B"/>
    <w:rsid w:val="003B571B"/>
    <w:rsid w:val="003B5A3E"/>
    <w:rsid w:val="003B5BEA"/>
    <w:rsid w:val="003B5D5B"/>
    <w:rsid w:val="003B5E0B"/>
    <w:rsid w:val="003B5F11"/>
    <w:rsid w:val="003B61D5"/>
    <w:rsid w:val="003B6251"/>
    <w:rsid w:val="003B643F"/>
    <w:rsid w:val="003B64F3"/>
    <w:rsid w:val="003B6808"/>
    <w:rsid w:val="003B69DA"/>
    <w:rsid w:val="003B69F0"/>
    <w:rsid w:val="003B6E75"/>
    <w:rsid w:val="003B716D"/>
    <w:rsid w:val="003B71EB"/>
    <w:rsid w:val="003B73A4"/>
    <w:rsid w:val="003B751A"/>
    <w:rsid w:val="003B774C"/>
    <w:rsid w:val="003B775F"/>
    <w:rsid w:val="003B7790"/>
    <w:rsid w:val="003B7900"/>
    <w:rsid w:val="003B7967"/>
    <w:rsid w:val="003B7BF8"/>
    <w:rsid w:val="003B7D7F"/>
    <w:rsid w:val="003B7F4A"/>
    <w:rsid w:val="003B7FAF"/>
    <w:rsid w:val="003B7FB1"/>
    <w:rsid w:val="003C00CB"/>
    <w:rsid w:val="003C03E6"/>
    <w:rsid w:val="003C03EE"/>
    <w:rsid w:val="003C05EC"/>
    <w:rsid w:val="003C062D"/>
    <w:rsid w:val="003C0A6E"/>
    <w:rsid w:val="003C0AD7"/>
    <w:rsid w:val="003C0B1C"/>
    <w:rsid w:val="003C0C07"/>
    <w:rsid w:val="003C0D5C"/>
    <w:rsid w:val="003C0D66"/>
    <w:rsid w:val="003C0F74"/>
    <w:rsid w:val="003C1012"/>
    <w:rsid w:val="003C104C"/>
    <w:rsid w:val="003C10CD"/>
    <w:rsid w:val="003C1394"/>
    <w:rsid w:val="003C1671"/>
    <w:rsid w:val="003C16A6"/>
    <w:rsid w:val="003C174D"/>
    <w:rsid w:val="003C1775"/>
    <w:rsid w:val="003C1A8B"/>
    <w:rsid w:val="003C1A99"/>
    <w:rsid w:val="003C1AE6"/>
    <w:rsid w:val="003C1CD0"/>
    <w:rsid w:val="003C1D94"/>
    <w:rsid w:val="003C1F46"/>
    <w:rsid w:val="003C1FF2"/>
    <w:rsid w:val="003C20E0"/>
    <w:rsid w:val="003C232C"/>
    <w:rsid w:val="003C240A"/>
    <w:rsid w:val="003C258E"/>
    <w:rsid w:val="003C27EA"/>
    <w:rsid w:val="003C2803"/>
    <w:rsid w:val="003C292A"/>
    <w:rsid w:val="003C295A"/>
    <w:rsid w:val="003C29CA"/>
    <w:rsid w:val="003C2A35"/>
    <w:rsid w:val="003C2AAF"/>
    <w:rsid w:val="003C2B5D"/>
    <w:rsid w:val="003C2C30"/>
    <w:rsid w:val="003C2E45"/>
    <w:rsid w:val="003C3027"/>
    <w:rsid w:val="003C3512"/>
    <w:rsid w:val="003C376E"/>
    <w:rsid w:val="003C37DA"/>
    <w:rsid w:val="003C37F0"/>
    <w:rsid w:val="003C380B"/>
    <w:rsid w:val="003C3848"/>
    <w:rsid w:val="003C3A4F"/>
    <w:rsid w:val="003C3A67"/>
    <w:rsid w:val="003C3AE1"/>
    <w:rsid w:val="003C3CCF"/>
    <w:rsid w:val="003C3D42"/>
    <w:rsid w:val="003C3EA3"/>
    <w:rsid w:val="003C41A4"/>
    <w:rsid w:val="003C4278"/>
    <w:rsid w:val="003C43CC"/>
    <w:rsid w:val="003C43D1"/>
    <w:rsid w:val="003C43FE"/>
    <w:rsid w:val="003C4544"/>
    <w:rsid w:val="003C4605"/>
    <w:rsid w:val="003C48D6"/>
    <w:rsid w:val="003C4912"/>
    <w:rsid w:val="003C4961"/>
    <w:rsid w:val="003C4A28"/>
    <w:rsid w:val="003C4AC8"/>
    <w:rsid w:val="003C4C15"/>
    <w:rsid w:val="003C4C2E"/>
    <w:rsid w:val="003C4C57"/>
    <w:rsid w:val="003C4D58"/>
    <w:rsid w:val="003C4F07"/>
    <w:rsid w:val="003C5063"/>
    <w:rsid w:val="003C51D8"/>
    <w:rsid w:val="003C546C"/>
    <w:rsid w:val="003C5709"/>
    <w:rsid w:val="003C572B"/>
    <w:rsid w:val="003C5AA5"/>
    <w:rsid w:val="003C5B2D"/>
    <w:rsid w:val="003C5CCF"/>
    <w:rsid w:val="003C5DCA"/>
    <w:rsid w:val="003C5EB6"/>
    <w:rsid w:val="003C6793"/>
    <w:rsid w:val="003C6B81"/>
    <w:rsid w:val="003C6CBF"/>
    <w:rsid w:val="003C6CDD"/>
    <w:rsid w:val="003C6D38"/>
    <w:rsid w:val="003C6E16"/>
    <w:rsid w:val="003C718B"/>
    <w:rsid w:val="003C719F"/>
    <w:rsid w:val="003C723A"/>
    <w:rsid w:val="003C7350"/>
    <w:rsid w:val="003C76A5"/>
    <w:rsid w:val="003C76D4"/>
    <w:rsid w:val="003C77BF"/>
    <w:rsid w:val="003C79BB"/>
    <w:rsid w:val="003C7A48"/>
    <w:rsid w:val="003C7AF5"/>
    <w:rsid w:val="003C7C53"/>
    <w:rsid w:val="003C7F2A"/>
    <w:rsid w:val="003C7F58"/>
    <w:rsid w:val="003C7F78"/>
    <w:rsid w:val="003D0078"/>
    <w:rsid w:val="003D01D6"/>
    <w:rsid w:val="003D033C"/>
    <w:rsid w:val="003D0441"/>
    <w:rsid w:val="003D05B2"/>
    <w:rsid w:val="003D0A18"/>
    <w:rsid w:val="003D0B2E"/>
    <w:rsid w:val="003D0BD2"/>
    <w:rsid w:val="003D0BF2"/>
    <w:rsid w:val="003D0E8A"/>
    <w:rsid w:val="003D0EB7"/>
    <w:rsid w:val="003D10B7"/>
    <w:rsid w:val="003D1220"/>
    <w:rsid w:val="003D1350"/>
    <w:rsid w:val="003D13B1"/>
    <w:rsid w:val="003D1710"/>
    <w:rsid w:val="003D1888"/>
    <w:rsid w:val="003D189B"/>
    <w:rsid w:val="003D197A"/>
    <w:rsid w:val="003D19B4"/>
    <w:rsid w:val="003D1C75"/>
    <w:rsid w:val="003D1D08"/>
    <w:rsid w:val="003D1D2F"/>
    <w:rsid w:val="003D1ED7"/>
    <w:rsid w:val="003D1F66"/>
    <w:rsid w:val="003D1FAD"/>
    <w:rsid w:val="003D2010"/>
    <w:rsid w:val="003D2026"/>
    <w:rsid w:val="003D21A4"/>
    <w:rsid w:val="003D28B3"/>
    <w:rsid w:val="003D2973"/>
    <w:rsid w:val="003D29BA"/>
    <w:rsid w:val="003D2B19"/>
    <w:rsid w:val="003D2BD3"/>
    <w:rsid w:val="003D2E11"/>
    <w:rsid w:val="003D312C"/>
    <w:rsid w:val="003D3231"/>
    <w:rsid w:val="003D330A"/>
    <w:rsid w:val="003D330D"/>
    <w:rsid w:val="003D3417"/>
    <w:rsid w:val="003D341A"/>
    <w:rsid w:val="003D3586"/>
    <w:rsid w:val="003D36EC"/>
    <w:rsid w:val="003D38E5"/>
    <w:rsid w:val="003D3A50"/>
    <w:rsid w:val="003D3C15"/>
    <w:rsid w:val="003D3CC3"/>
    <w:rsid w:val="003D3CC7"/>
    <w:rsid w:val="003D401B"/>
    <w:rsid w:val="003D4433"/>
    <w:rsid w:val="003D44D2"/>
    <w:rsid w:val="003D468F"/>
    <w:rsid w:val="003D47DA"/>
    <w:rsid w:val="003D485B"/>
    <w:rsid w:val="003D4918"/>
    <w:rsid w:val="003D4D10"/>
    <w:rsid w:val="003D4DA0"/>
    <w:rsid w:val="003D4ED3"/>
    <w:rsid w:val="003D5288"/>
    <w:rsid w:val="003D552B"/>
    <w:rsid w:val="003D58FC"/>
    <w:rsid w:val="003D5CA0"/>
    <w:rsid w:val="003D5E8B"/>
    <w:rsid w:val="003D5EFE"/>
    <w:rsid w:val="003D5F26"/>
    <w:rsid w:val="003D5F84"/>
    <w:rsid w:val="003D61F1"/>
    <w:rsid w:val="003D6432"/>
    <w:rsid w:val="003D66B4"/>
    <w:rsid w:val="003D689F"/>
    <w:rsid w:val="003D69F3"/>
    <w:rsid w:val="003D6B56"/>
    <w:rsid w:val="003D6E64"/>
    <w:rsid w:val="003D6E90"/>
    <w:rsid w:val="003D6EA2"/>
    <w:rsid w:val="003D713D"/>
    <w:rsid w:val="003D7144"/>
    <w:rsid w:val="003D73AE"/>
    <w:rsid w:val="003D761F"/>
    <w:rsid w:val="003D78D9"/>
    <w:rsid w:val="003D78E9"/>
    <w:rsid w:val="003D7986"/>
    <w:rsid w:val="003D79C9"/>
    <w:rsid w:val="003D7BB8"/>
    <w:rsid w:val="003D7D78"/>
    <w:rsid w:val="003D7D7F"/>
    <w:rsid w:val="003D7DFE"/>
    <w:rsid w:val="003D7E29"/>
    <w:rsid w:val="003E00A3"/>
    <w:rsid w:val="003E00AC"/>
    <w:rsid w:val="003E01CA"/>
    <w:rsid w:val="003E01D7"/>
    <w:rsid w:val="003E0518"/>
    <w:rsid w:val="003E0553"/>
    <w:rsid w:val="003E09DD"/>
    <w:rsid w:val="003E0C4A"/>
    <w:rsid w:val="003E0C85"/>
    <w:rsid w:val="003E0CDB"/>
    <w:rsid w:val="003E0CF3"/>
    <w:rsid w:val="003E10F4"/>
    <w:rsid w:val="003E1105"/>
    <w:rsid w:val="003E129E"/>
    <w:rsid w:val="003E14F6"/>
    <w:rsid w:val="003E175D"/>
    <w:rsid w:val="003E1B36"/>
    <w:rsid w:val="003E1C12"/>
    <w:rsid w:val="003E1CE0"/>
    <w:rsid w:val="003E1D81"/>
    <w:rsid w:val="003E1FA3"/>
    <w:rsid w:val="003E2276"/>
    <w:rsid w:val="003E2288"/>
    <w:rsid w:val="003E2463"/>
    <w:rsid w:val="003E2B20"/>
    <w:rsid w:val="003E2EC8"/>
    <w:rsid w:val="003E3142"/>
    <w:rsid w:val="003E3186"/>
    <w:rsid w:val="003E31AA"/>
    <w:rsid w:val="003E3493"/>
    <w:rsid w:val="003E3708"/>
    <w:rsid w:val="003E3E34"/>
    <w:rsid w:val="003E40E1"/>
    <w:rsid w:val="003E4160"/>
    <w:rsid w:val="003E43E9"/>
    <w:rsid w:val="003E4510"/>
    <w:rsid w:val="003E470C"/>
    <w:rsid w:val="003E4719"/>
    <w:rsid w:val="003E4895"/>
    <w:rsid w:val="003E4942"/>
    <w:rsid w:val="003E4A59"/>
    <w:rsid w:val="003E4E8D"/>
    <w:rsid w:val="003E4F59"/>
    <w:rsid w:val="003E5322"/>
    <w:rsid w:val="003E54B9"/>
    <w:rsid w:val="003E5501"/>
    <w:rsid w:val="003E5575"/>
    <w:rsid w:val="003E562A"/>
    <w:rsid w:val="003E57D9"/>
    <w:rsid w:val="003E5A27"/>
    <w:rsid w:val="003E5B36"/>
    <w:rsid w:val="003E5CC4"/>
    <w:rsid w:val="003E5F3D"/>
    <w:rsid w:val="003E60A9"/>
    <w:rsid w:val="003E6122"/>
    <w:rsid w:val="003E6153"/>
    <w:rsid w:val="003E652A"/>
    <w:rsid w:val="003E670E"/>
    <w:rsid w:val="003E67AE"/>
    <w:rsid w:val="003E6844"/>
    <w:rsid w:val="003E6989"/>
    <w:rsid w:val="003E6B2D"/>
    <w:rsid w:val="003E6E2C"/>
    <w:rsid w:val="003E708D"/>
    <w:rsid w:val="003E7577"/>
    <w:rsid w:val="003E78A2"/>
    <w:rsid w:val="003E78F7"/>
    <w:rsid w:val="003E7A55"/>
    <w:rsid w:val="003E7C16"/>
    <w:rsid w:val="003E7C69"/>
    <w:rsid w:val="003F0061"/>
    <w:rsid w:val="003F00FE"/>
    <w:rsid w:val="003F038A"/>
    <w:rsid w:val="003F03CE"/>
    <w:rsid w:val="003F03F2"/>
    <w:rsid w:val="003F05CD"/>
    <w:rsid w:val="003F07C9"/>
    <w:rsid w:val="003F10A5"/>
    <w:rsid w:val="003F123C"/>
    <w:rsid w:val="003F13C6"/>
    <w:rsid w:val="003F159D"/>
    <w:rsid w:val="003F1699"/>
    <w:rsid w:val="003F16DD"/>
    <w:rsid w:val="003F1931"/>
    <w:rsid w:val="003F1A66"/>
    <w:rsid w:val="003F1B39"/>
    <w:rsid w:val="003F1DAF"/>
    <w:rsid w:val="003F1E38"/>
    <w:rsid w:val="003F1F36"/>
    <w:rsid w:val="003F22E8"/>
    <w:rsid w:val="003F26EA"/>
    <w:rsid w:val="003F2700"/>
    <w:rsid w:val="003F2A73"/>
    <w:rsid w:val="003F2C5F"/>
    <w:rsid w:val="003F2C8B"/>
    <w:rsid w:val="003F2ED7"/>
    <w:rsid w:val="003F3082"/>
    <w:rsid w:val="003F3125"/>
    <w:rsid w:val="003F312B"/>
    <w:rsid w:val="003F32E6"/>
    <w:rsid w:val="003F3558"/>
    <w:rsid w:val="003F3638"/>
    <w:rsid w:val="003F3817"/>
    <w:rsid w:val="003F388D"/>
    <w:rsid w:val="003F38EB"/>
    <w:rsid w:val="003F3E36"/>
    <w:rsid w:val="003F402B"/>
    <w:rsid w:val="003F4329"/>
    <w:rsid w:val="003F4358"/>
    <w:rsid w:val="003F437B"/>
    <w:rsid w:val="003F4383"/>
    <w:rsid w:val="003F4804"/>
    <w:rsid w:val="003F4C0A"/>
    <w:rsid w:val="003F53F0"/>
    <w:rsid w:val="003F55AC"/>
    <w:rsid w:val="003F5633"/>
    <w:rsid w:val="003F5738"/>
    <w:rsid w:val="003F5D03"/>
    <w:rsid w:val="003F5E98"/>
    <w:rsid w:val="003F6059"/>
    <w:rsid w:val="003F6234"/>
    <w:rsid w:val="003F6346"/>
    <w:rsid w:val="003F63DE"/>
    <w:rsid w:val="003F642A"/>
    <w:rsid w:val="003F64CD"/>
    <w:rsid w:val="003F6632"/>
    <w:rsid w:val="003F673C"/>
    <w:rsid w:val="003F69B9"/>
    <w:rsid w:val="003F6A08"/>
    <w:rsid w:val="003F6F88"/>
    <w:rsid w:val="003F7087"/>
    <w:rsid w:val="003F7178"/>
    <w:rsid w:val="003F7379"/>
    <w:rsid w:val="003F7480"/>
    <w:rsid w:val="003F74C6"/>
    <w:rsid w:val="003F7563"/>
    <w:rsid w:val="003F784F"/>
    <w:rsid w:val="003F7953"/>
    <w:rsid w:val="003F7A24"/>
    <w:rsid w:val="003F7A8A"/>
    <w:rsid w:val="003F7B8B"/>
    <w:rsid w:val="00400206"/>
    <w:rsid w:val="0040029B"/>
    <w:rsid w:val="0040031D"/>
    <w:rsid w:val="00400410"/>
    <w:rsid w:val="004004F7"/>
    <w:rsid w:val="004006ED"/>
    <w:rsid w:val="0040081B"/>
    <w:rsid w:val="004009B0"/>
    <w:rsid w:val="00400BE5"/>
    <w:rsid w:val="00400C21"/>
    <w:rsid w:val="00400C5F"/>
    <w:rsid w:val="00400C72"/>
    <w:rsid w:val="004010A9"/>
    <w:rsid w:val="004013EA"/>
    <w:rsid w:val="00401A45"/>
    <w:rsid w:val="00401EA9"/>
    <w:rsid w:val="004020D9"/>
    <w:rsid w:val="004027B4"/>
    <w:rsid w:val="004028A1"/>
    <w:rsid w:val="00402900"/>
    <w:rsid w:val="0040291E"/>
    <w:rsid w:val="00402924"/>
    <w:rsid w:val="00402A26"/>
    <w:rsid w:val="00402BAF"/>
    <w:rsid w:val="00402C99"/>
    <w:rsid w:val="00402D53"/>
    <w:rsid w:val="00402DF2"/>
    <w:rsid w:val="00402F1E"/>
    <w:rsid w:val="00403104"/>
    <w:rsid w:val="00403196"/>
    <w:rsid w:val="004031A4"/>
    <w:rsid w:val="004032CD"/>
    <w:rsid w:val="004034AB"/>
    <w:rsid w:val="004036A8"/>
    <w:rsid w:val="00403BC9"/>
    <w:rsid w:val="00403CB1"/>
    <w:rsid w:val="00403D53"/>
    <w:rsid w:val="00403F0C"/>
    <w:rsid w:val="00404300"/>
    <w:rsid w:val="0040454E"/>
    <w:rsid w:val="00404623"/>
    <w:rsid w:val="0040479A"/>
    <w:rsid w:val="004047A7"/>
    <w:rsid w:val="004047B8"/>
    <w:rsid w:val="004049F4"/>
    <w:rsid w:val="00404A1D"/>
    <w:rsid w:val="00404AFA"/>
    <w:rsid w:val="00404CB2"/>
    <w:rsid w:val="00404FBC"/>
    <w:rsid w:val="00405032"/>
    <w:rsid w:val="00405364"/>
    <w:rsid w:val="004053EC"/>
    <w:rsid w:val="0040551D"/>
    <w:rsid w:val="004056FC"/>
    <w:rsid w:val="004057BF"/>
    <w:rsid w:val="00405AD4"/>
    <w:rsid w:val="00405E2C"/>
    <w:rsid w:val="00405E92"/>
    <w:rsid w:val="00405EF6"/>
    <w:rsid w:val="00406015"/>
    <w:rsid w:val="00406205"/>
    <w:rsid w:val="004063CA"/>
    <w:rsid w:val="00406637"/>
    <w:rsid w:val="004069F6"/>
    <w:rsid w:val="00406AB5"/>
    <w:rsid w:val="00406B59"/>
    <w:rsid w:val="00406BAB"/>
    <w:rsid w:val="00406D5F"/>
    <w:rsid w:val="00406FC4"/>
    <w:rsid w:val="00407090"/>
    <w:rsid w:val="004070AC"/>
    <w:rsid w:val="0040731D"/>
    <w:rsid w:val="0040737B"/>
    <w:rsid w:val="0040738A"/>
    <w:rsid w:val="004073FB"/>
    <w:rsid w:val="00407698"/>
    <w:rsid w:val="004077DC"/>
    <w:rsid w:val="004077F8"/>
    <w:rsid w:val="00407A03"/>
    <w:rsid w:val="00407B83"/>
    <w:rsid w:val="00410103"/>
    <w:rsid w:val="0041015E"/>
    <w:rsid w:val="0041050D"/>
    <w:rsid w:val="00410780"/>
    <w:rsid w:val="00410843"/>
    <w:rsid w:val="0041097E"/>
    <w:rsid w:val="00410C38"/>
    <w:rsid w:val="00410F38"/>
    <w:rsid w:val="00411084"/>
    <w:rsid w:val="0041114B"/>
    <w:rsid w:val="004115BB"/>
    <w:rsid w:val="004115BC"/>
    <w:rsid w:val="0041161E"/>
    <w:rsid w:val="00411E92"/>
    <w:rsid w:val="00411FAB"/>
    <w:rsid w:val="004122F3"/>
    <w:rsid w:val="00412325"/>
    <w:rsid w:val="00412354"/>
    <w:rsid w:val="00412588"/>
    <w:rsid w:val="00412731"/>
    <w:rsid w:val="0041278E"/>
    <w:rsid w:val="00412798"/>
    <w:rsid w:val="004127DF"/>
    <w:rsid w:val="00412833"/>
    <w:rsid w:val="00412867"/>
    <w:rsid w:val="004129BA"/>
    <w:rsid w:val="00412B36"/>
    <w:rsid w:val="00412D5F"/>
    <w:rsid w:val="00413022"/>
    <w:rsid w:val="0041351E"/>
    <w:rsid w:val="00413879"/>
    <w:rsid w:val="004138EB"/>
    <w:rsid w:val="00413E8B"/>
    <w:rsid w:val="00413EC4"/>
    <w:rsid w:val="00414016"/>
    <w:rsid w:val="00414256"/>
    <w:rsid w:val="004144D9"/>
    <w:rsid w:val="004145E4"/>
    <w:rsid w:val="0041468A"/>
    <w:rsid w:val="00414779"/>
    <w:rsid w:val="00414974"/>
    <w:rsid w:val="00414A57"/>
    <w:rsid w:val="00414D9D"/>
    <w:rsid w:val="00414DE5"/>
    <w:rsid w:val="00414F15"/>
    <w:rsid w:val="0041541C"/>
    <w:rsid w:val="0041551A"/>
    <w:rsid w:val="004157A7"/>
    <w:rsid w:val="00415939"/>
    <w:rsid w:val="00415990"/>
    <w:rsid w:val="00415CF8"/>
    <w:rsid w:val="00415EAA"/>
    <w:rsid w:val="00416041"/>
    <w:rsid w:val="00416287"/>
    <w:rsid w:val="00416499"/>
    <w:rsid w:val="004167B9"/>
    <w:rsid w:val="00416828"/>
    <w:rsid w:val="00416AEF"/>
    <w:rsid w:val="00416B9B"/>
    <w:rsid w:val="00416EBB"/>
    <w:rsid w:val="00416FD7"/>
    <w:rsid w:val="004171FB"/>
    <w:rsid w:val="00417821"/>
    <w:rsid w:val="00417C4E"/>
    <w:rsid w:val="00417C66"/>
    <w:rsid w:val="00417CEB"/>
    <w:rsid w:val="00417DA6"/>
    <w:rsid w:val="00417E7D"/>
    <w:rsid w:val="00417E99"/>
    <w:rsid w:val="00417E9B"/>
    <w:rsid w:val="00417FF5"/>
    <w:rsid w:val="00420011"/>
    <w:rsid w:val="00420358"/>
    <w:rsid w:val="004204A6"/>
    <w:rsid w:val="00420623"/>
    <w:rsid w:val="00420679"/>
    <w:rsid w:val="004207B6"/>
    <w:rsid w:val="004208B2"/>
    <w:rsid w:val="004209C6"/>
    <w:rsid w:val="00420A8C"/>
    <w:rsid w:val="00420B09"/>
    <w:rsid w:val="00420B73"/>
    <w:rsid w:val="00420D0D"/>
    <w:rsid w:val="0042128E"/>
    <w:rsid w:val="004214DB"/>
    <w:rsid w:val="004214DF"/>
    <w:rsid w:val="004215C4"/>
    <w:rsid w:val="00421636"/>
    <w:rsid w:val="00421716"/>
    <w:rsid w:val="0042180C"/>
    <w:rsid w:val="0042186D"/>
    <w:rsid w:val="00421992"/>
    <w:rsid w:val="00421BCA"/>
    <w:rsid w:val="00421CC6"/>
    <w:rsid w:val="00422245"/>
    <w:rsid w:val="004222D2"/>
    <w:rsid w:val="00422324"/>
    <w:rsid w:val="00422429"/>
    <w:rsid w:val="004224F6"/>
    <w:rsid w:val="004227D4"/>
    <w:rsid w:val="00422828"/>
    <w:rsid w:val="00422E3C"/>
    <w:rsid w:val="00422EBC"/>
    <w:rsid w:val="00422F17"/>
    <w:rsid w:val="00422FBC"/>
    <w:rsid w:val="00422FE6"/>
    <w:rsid w:val="00423207"/>
    <w:rsid w:val="00423220"/>
    <w:rsid w:val="0042348E"/>
    <w:rsid w:val="00423796"/>
    <w:rsid w:val="0042389C"/>
    <w:rsid w:val="004239ED"/>
    <w:rsid w:val="00423A87"/>
    <w:rsid w:val="00423A9B"/>
    <w:rsid w:val="00423D13"/>
    <w:rsid w:val="00423D16"/>
    <w:rsid w:val="0042421D"/>
    <w:rsid w:val="0042422E"/>
    <w:rsid w:val="004242A4"/>
    <w:rsid w:val="00424459"/>
    <w:rsid w:val="00424712"/>
    <w:rsid w:val="00424A47"/>
    <w:rsid w:val="00424D3E"/>
    <w:rsid w:val="00424E2D"/>
    <w:rsid w:val="00424E2E"/>
    <w:rsid w:val="0042523E"/>
    <w:rsid w:val="00425532"/>
    <w:rsid w:val="0042558C"/>
    <w:rsid w:val="004255ED"/>
    <w:rsid w:val="004259D3"/>
    <w:rsid w:val="00425AAD"/>
    <w:rsid w:val="00425C89"/>
    <w:rsid w:val="00425E5C"/>
    <w:rsid w:val="00425EAE"/>
    <w:rsid w:val="00425FF9"/>
    <w:rsid w:val="004260BF"/>
    <w:rsid w:val="00426129"/>
    <w:rsid w:val="0042617E"/>
    <w:rsid w:val="00426186"/>
    <w:rsid w:val="00426215"/>
    <w:rsid w:val="00426411"/>
    <w:rsid w:val="004264A4"/>
    <w:rsid w:val="004265B6"/>
    <w:rsid w:val="0042672C"/>
    <w:rsid w:val="0042673E"/>
    <w:rsid w:val="0042682F"/>
    <w:rsid w:val="00426832"/>
    <w:rsid w:val="0042686B"/>
    <w:rsid w:val="00426C0D"/>
    <w:rsid w:val="00427079"/>
    <w:rsid w:val="00427185"/>
    <w:rsid w:val="004272EE"/>
    <w:rsid w:val="0042738F"/>
    <w:rsid w:val="00427641"/>
    <w:rsid w:val="004276AA"/>
    <w:rsid w:val="004276D6"/>
    <w:rsid w:val="00427705"/>
    <w:rsid w:val="0042771C"/>
    <w:rsid w:val="004277EC"/>
    <w:rsid w:val="00427988"/>
    <w:rsid w:val="00427C90"/>
    <w:rsid w:val="00427EBE"/>
    <w:rsid w:val="00427F23"/>
    <w:rsid w:val="00430545"/>
    <w:rsid w:val="0043056C"/>
    <w:rsid w:val="004305BC"/>
    <w:rsid w:val="004305FE"/>
    <w:rsid w:val="004306D9"/>
    <w:rsid w:val="0043080D"/>
    <w:rsid w:val="00430885"/>
    <w:rsid w:val="00430CCF"/>
    <w:rsid w:val="00430F58"/>
    <w:rsid w:val="00430F64"/>
    <w:rsid w:val="00430FF0"/>
    <w:rsid w:val="004310F4"/>
    <w:rsid w:val="00431482"/>
    <w:rsid w:val="004315FB"/>
    <w:rsid w:val="0043193A"/>
    <w:rsid w:val="004319CB"/>
    <w:rsid w:val="00431F23"/>
    <w:rsid w:val="00431F29"/>
    <w:rsid w:val="00431F50"/>
    <w:rsid w:val="00431F71"/>
    <w:rsid w:val="00432016"/>
    <w:rsid w:val="0043240D"/>
    <w:rsid w:val="00432459"/>
    <w:rsid w:val="004325DC"/>
    <w:rsid w:val="004325FF"/>
    <w:rsid w:val="004327D4"/>
    <w:rsid w:val="004327ED"/>
    <w:rsid w:val="00432AEA"/>
    <w:rsid w:val="00432C2D"/>
    <w:rsid w:val="00432D8A"/>
    <w:rsid w:val="00432D95"/>
    <w:rsid w:val="004330C9"/>
    <w:rsid w:val="00433203"/>
    <w:rsid w:val="0043337A"/>
    <w:rsid w:val="00433401"/>
    <w:rsid w:val="0043342F"/>
    <w:rsid w:val="0043348D"/>
    <w:rsid w:val="00433500"/>
    <w:rsid w:val="00433632"/>
    <w:rsid w:val="00433786"/>
    <w:rsid w:val="0043390B"/>
    <w:rsid w:val="00433A1E"/>
    <w:rsid w:val="00433A85"/>
    <w:rsid w:val="00433B20"/>
    <w:rsid w:val="00433B46"/>
    <w:rsid w:val="00433CF0"/>
    <w:rsid w:val="00433E04"/>
    <w:rsid w:val="0043413F"/>
    <w:rsid w:val="00434262"/>
    <w:rsid w:val="004349E5"/>
    <w:rsid w:val="00434A41"/>
    <w:rsid w:val="00434C19"/>
    <w:rsid w:val="00434C53"/>
    <w:rsid w:val="00435006"/>
    <w:rsid w:val="00435083"/>
    <w:rsid w:val="0043521C"/>
    <w:rsid w:val="004353C2"/>
    <w:rsid w:val="004357D4"/>
    <w:rsid w:val="00435A04"/>
    <w:rsid w:val="00435B7A"/>
    <w:rsid w:val="00435C32"/>
    <w:rsid w:val="00435C61"/>
    <w:rsid w:val="00435E5F"/>
    <w:rsid w:val="00435E98"/>
    <w:rsid w:val="00435EAA"/>
    <w:rsid w:val="00435EE9"/>
    <w:rsid w:val="00435FBD"/>
    <w:rsid w:val="004362E6"/>
    <w:rsid w:val="00436329"/>
    <w:rsid w:val="00436667"/>
    <w:rsid w:val="004367EF"/>
    <w:rsid w:val="00436C25"/>
    <w:rsid w:val="00436D30"/>
    <w:rsid w:val="00436D3D"/>
    <w:rsid w:val="004372B9"/>
    <w:rsid w:val="00437695"/>
    <w:rsid w:val="00437912"/>
    <w:rsid w:val="00437919"/>
    <w:rsid w:val="0043791C"/>
    <w:rsid w:val="00437D43"/>
    <w:rsid w:val="0044035F"/>
    <w:rsid w:val="004405B2"/>
    <w:rsid w:val="00440724"/>
    <w:rsid w:val="00440933"/>
    <w:rsid w:val="00440A65"/>
    <w:rsid w:val="00440AA8"/>
    <w:rsid w:val="00440E8D"/>
    <w:rsid w:val="00440EF3"/>
    <w:rsid w:val="00441062"/>
    <w:rsid w:val="0044145B"/>
    <w:rsid w:val="004414A5"/>
    <w:rsid w:val="0044154F"/>
    <w:rsid w:val="00441672"/>
    <w:rsid w:val="004416B6"/>
    <w:rsid w:val="00441857"/>
    <w:rsid w:val="00441A14"/>
    <w:rsid w:val="00441D48"/>
    <w:rsid w:val="00441ED3"/>
    <w:rsid w:val="00441F8E"/>
    <w:rsid w:val="004420C0"/>
    <w:rsid w:val="0044230B"/>
    <w:rsid w:val="00442417"/>
    <w:rsid w:val="00442549"/>
    <w:rsid w:val="00442563"/>
    <w:rsid w:val="004425EF"/>
    <w:rsid w:val="0044286B"/>
    <w:rsid w:val="004428D6"/>
    <w:rsid w:val="004428FA"/>
    <w:rsid w:val="00442BD3"/>
    <w:rsid w:val="00442CD1"/>
    <w:rsid w:val="00442D46"/>
    <w:rsid w:val="00442D6A"/>
    <w:rsid w:val="00443265"/>
    <w:rsid w:val="004436CF"/>
    <w:rsid w:val="00443718"/>
    <w:rsid w:val="0044374E"/>
    <w:rsid w:val="004437AB"/>
    <w:rsid w:val="0044380A"/>
    <w:rsid w:val="004438EA"/>
    <w:rsid w:val="004439B5"/>
    <w:rsid w:val="00443F02"/>
    <w:rsid w:val="0044407E"/>
    <w:rsid w:val="00444146"/>
    <w:rsid w:val="00444193"/>
    <w:rsid w:val="004442AE"/>
    <w:rsid w:val="0044440F"/>
    <w:rsid w:val="00444AA3"/>
    <w:rsid w:val="00444B5C"/>
    <w:rsid w:val="00444D7C"/>
    <w:rsid w:val="00444E27"/>
    <w:rsid w:val="00444FD3"/>
    <w:rsid w:val="00445830"/>
    <w:rsid w:val="004458D8"/>
    <w:rsid w:val="00445915"/>
    <w:rsid w:val="004459B7"/>
    <w:rsid w:val="00445A74"/>
    <w:rsid w:val="00445B52"/>
    <w:rsid w:val="00445B90"/>
    <w:rsid w:val="00445C09"/>
    <w:rsid w:val="00445C13"/>
    <w:rsid w:val="00446024"/>
    <w:rsid w:val="00446138"/>
    <w:rsid w:val="00446257"/>
    <w:rsid w:val="004464B2"/>
    <w:rsid w:val="0044676D"/>
    <w:rsid w:val="004467B1"/>
    <w:rsid w:val="004469A4"/>
    <w:rsid w:val="004469A7"/>
    <w:rsid w:val="00446B28"/>
    <w:rsid w:val="00446BD9"/>
    <w:rsid w:val="00446D34"/>
    <w:rsid w:val="00446D4B"/>
    <w:rsid w:val="00447030"/>
    <w:rsid w:val="0044716B"/>
    <w:rsid w:val="00447258"/>
    <w:rsid w:val="004475EE"/>
    <w:rsid w:val="00447635"/>
    <w:rsid w:val="00447A1C"/>
    <w:rsid w:val="00447A37"/>
    <w:rsid w:val="00447AA3"/>
    <w:rsid w:val="00447AD2"/>
    <w:rsid w:val="00447DAC"/>
    <w:rsid w:val="00447EEE"/>
    <w:rsid w:val="00447F85"/>
    <w:rsid w:val="0045019E"/>
    <w:rsid w:val="00450246"/>
    <w:rsid w:val="0045091E"/>
    <w:rsid w:val="00450CAF"/>
    <w:rsid w:val="00451021"/>
    <w:rsid w:val="00451282"/>
    <w:rsid w:val="00451306"/>
    <w:rsid w:val="0045137A"/>
    <w:rsid w:val="00451801"/>
    <w:rsid w:val="004519F2"/>
    <w:rsid w:val="00451A75"/>
    <w:rsid w:val="00451B01"/>
    <w:rsid w:val="004520E8"/>
    <w:rsid w:val="00452206"/>
    <w:rsid w:val="004522FE"/>
    <w:rsid w:val="0045235B"/>
    <w:rsid w:val="00452368"/>
    <w:rsid w:val="00452414"/>
    <w:rsid w:val="00452434"/>
    <w:rsid w:val="0045266D"/>
    <w:rsid w:val="004528FD"/>
    <w:rsid w:val="00452B46"/>
    <w:rsid w:val="00452B94"/>
    <w:rsid w:val="00452C05"/>
    <w:rsid w:val="00452CB6"/>
    <w:rsid w:val="00452D5C"/>
    <w:rsid w:val="00453031"/>
    <w:rsid w:val="004530E3"/>
    <w:rsid w:val="004531D5"/>
    <w:rsid w:val="004532B9"/>
    <w:rsid w:val="0045349C"/>
    <w:rsid w:val="0045386F"/>
    <w:rsid w:val="004538C4"/>
    <w:rsid w:val="00453E4A"/>
    <w:rsid w:val="00453FA1"/>
    <w:rsid w:val="00453FFF"/>
    <w:rsid w:val="0045400C"/>
    <w:rsid w:val="0045415A"/>
    <w:rsid w:val="00454444"/>
    <w:rsid w:val="004544A4"/>
    <w:rsid w:val="004544FE"/>
    <w:rsid w:val="004545C0"/>
    <w:rsid w:val="00454612"/>
    <w:rsid w:val="0045461A"/>
    <w:rsid w:val="00454626"/>
    <w:rsid w:val="004547F3"/>
    <w:rsid w:val="004548F6"/>
    <w:rsid w:val="00454BDB"/>
    <w:rsid w:val="00454C12"/>
    <w:rsid w:val="00454C4D"/>
    <w:rsid w:val="00454DD2"/>
    <w:rsid w:val="00454EF0"/>
    <w:rsid w:val="00455678"/>
    <w:rsid w:val="00455733"/>
    <w:rsid w:val="004558E9"/>
    <w:rsid w:val="004559FD"/>
    <w:rsid w:val="00455BE9"/>
    <w:rsid w:val="00455D27"/>
    <w:rsid w:val="00455EE0"/>
    <w:rsid w:val="00455FBB"/>
    <w:rsid w:val="00456020"/>
    <w:rsid w:val="004565B1"/>
    <w:rsid w:val="0045663C"/>
    <w:rsid w:val="00456652"/>
    <w:rsid w:val="00456792"/>
    <w:rsid w:val="004567FC"/>
    <w:rsid w:val="00456883"/>
    <w:rsid w:val="00456C4D"/>
    <w:rsid w:val="00456C7F"/>
    <w:rsid w:val="00456E65"/>
    <w:rsid w:val="00456EA0"/>
    <w:rsid w:val="0045754D"/>
    <w:rsid w:val="004575A3"/>
    <w:rsid w:val="0045763F"/>
    <w:rsid w:val="004576E4"/>
    <w:rsid w:val="004576F2"/>
    <w:rsid w:val="00457704"/>
    <w:rsid w:val="004577CC"/>
    <w:rsid w:val="0045788D"/>
    <w:rsid w:val="00457971"/>
    <w:rsid w:val="00457A2F"/>
    <w:rsid w:val="00457A73"/>
    <w:rsid w:val="00457C49"/>
    <w:rsid w:val="00457D05"/>
    <w:rsid w:val="00457D55"/>
    <w:rsid w:val="00460096"/>
    <w:rsid w:val="00460137"/>
    <w:rsid w:val="00460240"/>
    <w:rsid w:val="00460282"/>
    <w:rsid w:val="004602E4"/>
    <w:rsid w:val="004603D0"/>
    <w:rsid w:val="00460437"/>
    <w:rsid w:val="004607DF"/>
    <w:rsid w:val="00460985"/>
    <w:rsid w:val="00460A11"/>
    <w:rsid w:val="00460A3A"/>
    <w:rsid w:val="00460A96"/>
    <w:rsid w:val="00460AD4"/>
    <w:rsid w:val="004610A6"/>
    <w:rsid w:val="00461189"/>
    <w:rsid w:val="004612DC"/>
    <w:rsid w:val="00461C84"/>
    <w:rsid w:val="00461D52"/>
    <w:rsid w:val="004621DB"/>
    <w:rsid w:val="004623A2"/>
    <w:rsid w:val="0046257C"/>
    <w:rsid w:val="0046282F"/>
    <w:rsid w:val="00462A2C"/>
    <w:rsid w:val="00462EFF"/>
    <w:rsid w:val="00462F11"/>
    <w:rsid w:val="00463066"/>
    <w:rsid w:val="004632F2"/>
    <w:rsid w:val="0046341D"/>
    <w:rsid w:val="0046356B"/>
    <w:rsid w:val="0046384C"/>
    <w:rsid w:val="00463DAD"/>
    <w:rsid w:val="0046417E"/>
    <w:rsid w:val="0046426D"/>
    <w:rsid w:val="004642D2"/>
    <w:rsid w:val="00464402"/>
    <w:rsid w:val="004646EA"/>
    <w:rsid w:val="0046484B"/>
    <w:rsid w:val="00464A4C"/>
    <w:rsid w:val="00464AFC"/>
    <w:rsid w:val="00464B33"/>
    <w:rsid w:val="00464BD0"/>
    <w:rsid w:val="00464D0A"/>
    <w:rsid w:val="00464DC7"/>
    <w:rsid w:val="00464E1E"/>
    <w:rsid w:val="00464E67"/>
    <w:rsid w:val="0046515C"/>
    <w:rsid w:val="0046516B"/>
    <w:rsid w:val="004658B1"/>
    <w:rsid w:val="004658C7"/>
    <w:rsid w:val="004659BA"/>
    <w:rsid w:val="00465CCE"/>
    <w:rsid w:val="00465DC9"/>
    <w:rsid w:val="00465FE2"/>
    <w:rsid w:val="00466350"/>
    <w:rsid w:val="004665D1"/>
    <w:rsid w:val="00466862"/>
    <w:rsid w:val="00466A1F"/>
    <w:rsid w:val="00466BA6"/>
    <w:rsid w:val="00466BEB"/>
    <w:rsid w:val="00466BF6"/>
    <w:rsid w:val="00466D3E"/>
    <w:rsid w:val="00466D55"/>
    <w:rsid w:val="00466DCE"/>
    <w:rsid w:val="004670FE"/>
    <w:rsid w:val="0046726E"/>
    <w:rsid w:val="00467327"/>
    <w:rsid w:val="00467554"/>
    <w:rsid w:val="004675E5"/>
    <w:rsid w:val="004676FE"/>
    <w:rsid w:val="00467863"/>
    <w:rsid w:val="00467A00"/>
    <w:rsid w:val="00467C50"/>
    <w:rsid w:val="00467CA3"/>
    <w:rsid w:val="00467CE3"/>
    <w:rsid w:val="00467F08"/>
    <w:rsid w:val="00467F27"/>
    <w:rsid w:val="00467F54"/>
    <w:rsid w:val="00467F7B"/>
    <w:rsid w:val="00467FB3"/>
    <w:rsid w:val="0047028F"/>
    <w:rsid w:val="00470447"/>
    <w:rsid w:val="004707F8"/>
    <w:rsid w:val="0047099D"/>
    <w:rsid w:val="00470C0E"/>
    <w:rsid w:val="004711EE"/>
    <w:rsid w:val="0047129B"/>
    <w:rsid w:val="00471860"/>
    <w:rsid w:val="0047194B"/>
    <w:rsid w:val="00471B0F"/>
    <w:rsid w:val="00471ED7"/>
    <w:rsid w:val="00472096"/>
    <w:rsid w:val="0047236F"/>
    <w:rsid w:val="004725CD"/>
    <w:rsid w:val="0047270D"/>
    <w:rsid w:val="004728F1"/>
    <w:rsid w:val="00472BF6"/>
    <w:rsid w:val="00472DA0"/>
    <w:rsid w:val="00472DAA"/>
    <w:rsid w:val="00473017"/>
    <w:rsid w:val="00473490"/>
    <w:rsid w:val="00473661"/>
    <w:rsid w:val="004736BB"/>
    <w:rsid w:val="0047388C"/>
    <w:rsid w:val="0047391A"/>
    <w:rsid w:val="00473B40"/>
    <w:rsid w:val="00473B41"/>
    <w:rsid w:val="00473B6C"/>
    <w:rsid w:val="004740EF"/>
    <w:rsid w:val="004741F2"/>
    <w:rsid w:val="0047440F"/>
    <w:rsid w:val="00474534"/>
    <w:rsid w:val="00474671"/>
    <w:rsid w:val="0047482B"/>
    <w:rsid w:val="00474BAC"/>
    <w:rsid w:val="00474C3D"/>
    <w:rsid w:val="00474DFD"/>
    <w:rsid w:val="004750B6"/>
    <w:rsid w:val="004751BF"/>
    <w:rsid w:val="004751CD"/>
    <w:rsid w:val="00475264"/>
    <w:rsid w:val="0047564D"/>
    <w:rsid w:val="004759AD"/>
    <w:rsid w:val="00475A74"/>
    <w:rsid w:val="00475AD8"/>
    <w:rsid w:val="00475B3F"/>
    <w:rsid w:val="00475BDA"/>
    <w:rsid w:val="00476012"/>
    <w:rsid w:val="00476095"/>
    <w:rsid w:val="00476404"/>
    <w:rsid w:val="00476486"/>
    <w:rsid w:val="004764F6"/>
    <w:rsid w:val="0047654A"/>
    <w:rsid w:val="0047669D"/>
    <w:rsid w:val="00476743"/>
    <w:rsid w:val="00476CAB"/>
    <w:rsid w:val="00476F3F"/>
    <w:rsid w:val="00477117"/>
    <w:rsid w:val="00477299"/>
    <w:rsid w:val="004772EF"/>
    <w:rsid w:val="004773DE"/>
    <w:rsid w:val="0047750F"/>
    <w:rsid w:val="0047777B"/>
    <w:rsid w:val="00477BA1"/>
    <w:rsid w:val="00477D6F"/>
    <w:rsid w:val="00477DD7"/>
    <w:rsid w:val="00477DFD"/>
    <w:rsid w:val="00477E9C"/>
    <w:rsid w:val="004800C5"/>
    <w:rsid w:val="004801C9"/>
    <w:rsid w:val="004802DC"/>
    <w:rsid w:val="00480358"/>
    <w:rsid w:val="004803D1"/>
    <w:rsid w:val="00480607"/>
    <w:rsid w:val="004806FA"/>
    <w:rsid w:val="0048074C"/>
    <w:rsid w:val="00480954"/>
    <w:rsid w:val="004809A3"/>
    <w:rsid w:val="004809FD"/>
    <w:rsid w:val="00480B34"/>
    <w:rsid w:val="00480C3A"/>
    <w:rsid w:val="00480D9A"/>
    <w:rsid w:val="00480DD5"/>
    <w:rsid w:val="00480E63"/>
    <w:rsid w:val="00480FAF"/>
    <w:rsid w:val="004814DE"/>
    <w:rsid w:val="0048156A"/>
    <w:rsid w:val="004816CB"/>
    <w:rsid w:val="00481710"/>
    <w:rsid w:val="00481A2D"/>
    <w:rsid w:val="00481A31"/>
    <w:rsid w:val="00481D2F"/>
    <w:rsid w:val="00481DC4"/>
    <w:rsid w:val="004821CC"/>
    <w:rsid w:val="0048285E"/>
    <w:rsid w:val="00482BCD"/>
    <w:rsid w:val="00482D43"/>
    <w:rsid w:val="004831E9"/>
    <w:rsid w:val="004838D1"/>
    <w:rsid w:val="00483AFF"/>
    <w:rsid w:val="00483DB8"/>
    <w:rsid w:val="00483E9B"/>
    <w:rsid w:val="0048447D"/>
    <w:rsid w:val="00484833"/>
    <w:rsid w:val="004849B3"/>
    <w:rsid w:val="00484A39"/>
    <w:rsid w:val="00484B38"/>
    <w:rsid w:val="00484BF1"/>
    <w:rsid w:val="004850D3"/>
    <w:rsid w:val="00485231"/>
    <w:rsid w:val="0048532A"/>
    <w:rsid w:val="00485336"/>
    <w:rsid w:val="00485344"/>
    <w:rsid w:val="004853B5"/>
    <w:rsid w:val="0048546B"/>
    <w:rsid w:val="00485488"/>
    <w:rsid w:val="0048558B"/>
    <w:rsid w:val="00485667"/>
    <w:rsid w:val="00485676"/>
    <w:rsid w:val="004857AE"/>
    <w:rsid w:val="00485B6E"/>
    <w:rsid w:val="00485C90"/>
    <w:rsid w:val="00485D7E"/>
    <w:rsid w:val="00485E28"/>
    <w:rsid w:val="00485EFA"/>
    <w:rsid w:val="00486079"/>
    <w:rsid w:val="004861FA"/>
    <w:rsid w:val="0048626E"/>
    <w:rsid w:val="004865D0"/>
    <w:rsid w:val="0048673A"/>
    <w:rsid w:val="004867D0"/>
    <w:rsid w:val="00486894"/>
    <w:rsid w:val="004868A0"/>
    <w:rsid w:val="004869C2"/>
    <w:rsid w:val="004869D1"/>
    <w:rsid w:val="00486A9C"/>
    <w:rsid w:val="00486C33"/>
    <w:rsid w:val="00486D91"/>
    <w:rsid w:val="004878A2"/>
    <w:rsid w:val="00487949"/>
    <w:rsid w:val="00487BE3"/>
    <w:rsid w:val="00487C78"/>
    <w:rsid w:val="00487CB4"/>
    <w:rsid w:val="00490272"/>
    <w:rsid w:val="00490381"/>
    <w:rsid w:val="004905BE"/>
    <w:rsid w:val="0049095E"/>
    <w:rsid w:val="00490DEE"/>
    <w:rsid w:val="0049129B"/>
    <w:rsid w:val="0049144D"/>
    <w:rsid w:val="00491452"/>
    <w:rsid w:val="00491487"/>
    <w:rsid w:val="004914E1"/>
    <w:rsid w:val="00491630"/>
    <w:rsid w:val="004916E0"/>
    <w:rsid w:val="004919BA"/>
    <w:rsid w:val="00491CE8"/>
    <w:rsid w:val="00492082"/>
    <w:rsid w:val="0049208B"/>
    <w:rsid w:val="0049219B"/>
    <w:rsid w:val="0049227E"/>
    <w:rsid w:val="004925CA"/>
    <w:rsid w:val="004926B5"/>
    <w:rsid w:val="00492ACC"/>
    <w:rsid w:val="00492CC7"/>
    <w:rsid w:val="00492EAE"/>
    <w:rsid w:val="00492F28"/>
    <w:rsid w:val="004932CB"/>
    <w:rsid w:val="004938DD"/>
    <w:rsid w:val="00493D42"/>
    <w:rsid w:val="00493F4D"/>
    <w:rsid w:val="00494187"/>
    <w:rsid w:val="0049439F"/>
    <w:rsid w:val="00494451"/>
    <w:rsid w:val="00494779"/>
    <w:rsid w:val="004947BC"/>
    <w:rsid w:val="004947D2"/>
    <w:rsid w:val="0049483B"/>
    <w:rsid w:val="00494C5F"/>
    <w:rsid w:val="00494F4D"/>
    <w:rsid w:val="00495090"/>
    <w:rsid w:val="004950D3"/>
    <w:rsid w:val="004950E9"/>
    <w:rsid w:val="004952A9"/>
    <w:rsid w:val="00495480"/>
    <w:rsid w:val="00495834"/>
    <w:rsid w:val="00495BFD"/>
    <w:rsid w:val="00495D06"/>
    <w:rsid w:val="0049601F"/>
    <w:rsid w:val="004961F7"/>
    <w:rsid w:val="004964ED"/>
    <w:rsid w:val="00496661"/>
    <w:rsid w:val="0049691B"/>
    <w:rsid w:val="00496976"/>
    <w:rsid w:val="00496B0D"/>
    <w:rsid w:val="00496D93"/>
    <w:rsid w:val="004970E9"/>
    <w:rsid w:val="004971EA"/>
    <w:rsid w:val="00497244"/>
    <w:rsid w:val="004972F0"/>
    <w:rsid w:val="0049745C"/>
    <w:rsid w:val="00497536"/>
    <w:rsid w:val="004976D1"/>
    <w:rsid w:val="00497AD4"/>
    <w:rsid w:val="00497BD2"/>
    <w:rsid w:val="00497DFF"/>
    <w:rsid w:val="00497EB4"/>
    <w:rsid w:val="00497F95"/>
    <w:rsid w:val="004A003B"/>
    <w:rsid w:val="004A054F"/>
    <w:rsid w:val="004A058A"/>
    <w:rsid w:val="004A09C5"/>
    <w:rsid w:val="004A0A2F"/>
    <w:rsid w:val="004A0B0E"/>
    <w:rsid w:val="004A0B45"/>
    <w:rsid w:val="004A0C0C"/>
    <w:rsid w:val="004A0D03"/>
    <w:rsid w:val="004A0D09"/>
    <w:rsid w:val="004A0D55"/>
    <w:rsid w:val="004A0F67"/>
    <w:rsid w:val="004A10CB"/>
    <w:rsid w:val="004A1144"/>
    <w:rsid w:val="004A116A"/>
    <w:rsid w:val="004A1521"/>
    <w:rsid w:val="004A1560"/>
    <w:rsid w:val="004A170B"/>
    <w:rsid w:val="004A1880"/>
    <w:rsid w:val="004A19EF"/>
    <w:rsid w:val="004A1A9B"/>
    <w:rsid w:val="004A1AE7"/>
    <w:rsid w:val="004A1B8E"/>
    <w:rsid w:val="004A1FE5"/>
    <w:rsid w:val="004A23DF"/>
    <w:rsid w:val="004A24C1"/>
    <w:rsid w:val="004A2775"/>
    <w:rsid w:val="004A2F48"/>
    <w:rsid w:val="004A32E2"/>
    <w:rsid w:val="004A34A1"/>
    <w:rsid w:val="004A35C8"/>
    <w:rsid w:val="004A37A5"/>
    <w:rsid w:val="004A38C4"/>
    <w:rsid w:val="004A3908"/>
    <w:rsid w:val="004A39E3"/>
    <w:rsid w:val="004A3A0F"/>
    <w:rsid w:val="004A3ACE"/>
    <w:rsid w:val="004A3B10"/>
    <w:rsid w:val="004A3B76"/>
    <w:rsid w:val="004A3C99"/>
    <w:rsid w:val="004A3CA1"/>
    <w:rsid w:val="004A3CB4"/>
    <w:rsid w:val="004A3EFB"/>
    <w:rsid w:val="004A434B"/>
    <w:rsid w:val="004A441D"/>
    <w:rsid w:val="004A44A0"/>
    <w:rsid w:val="004A453B"/>
    <w:rsid w:val="004A487D"/>
    <w:rsid w:val="004A4A1B"/>
    <w:rsid w:val="004A4ADA"/>
    <w:rsid w:val="004A4CAF"/>
    <w:rsid w:val="004A4CBE"/>
    <w:rsid w:val="004A5122"/>
    <w:rsid w:val="004A5153"/>
    <w:rsid w:val="004A52F9"/>
    <w:rsid w:val="004A5444"/>
    <w:rsid w:val="004A582D"/>
    <w:rsid w:val="004A5883"/>
    <w:rsid w:val="004A5B27"/>
    <w:rsid w:val="004A5C12"/>
    <w:rsid w:val="004A5DC2"/>
    <w:rsid w:val="004A5DFF"/>
    <w:rsid w:val="004A5E34"/>
    <w:rsid w:val="004A6049"/>
    <w:rsid w:val="004A6235"/>
    <w:rsid w:val="004A6379"/>
    <w:rsid w:val="004A6484"/>
    <w:rsid w:val="004A6487"/>
    <w:rsid w:val="004A65FD"/>
    <w:rsid w:val="004A6841"/>
    <w:rsid w:val="004A68B2"/>
    <w:rsid w:val="004A69A7"/>
    <w:rsid w:val="004A6AAC"/>
    <w:rsid w:val="004A6B2E"/>
    <w:rsid w:val="004A6BE4"/>
    <w:rsid w:val="004A6CAB"/>
    <w:rsid w:val="004A6CE2"/>
    <w:rsid w:val="004A6DE5"/>
    <w:rsid w:val="004A6E57"/>
    <w:rsid w:val="004A7093"/>
    <w:rsid w:val="004A7355"/>
    <w:rsid w:val="004A7374"/>
    <w:rsid w:val="004A7664"/>
    <w:rsid w:val="004A7687"/>
    <w:rsid w:val="004A768F"/>
    <w:rsid w:val="004A78E6"/>
    <w:rsid w:val="004A7A33"/>
    <w:rsid w:val="004A7B79"/>
    <w:rsid w:val="004A7BD9"/>
    <w:rsid w:val="004A7C16"/>
    <w:rsid w:val="004A7D23"/>
    <w:rsid w:val="004A7D59"/>
    <w:rsid w:val="004A7EA6"/>
    <w:rsid w:val="004B00FE"/>
    <w:rsid w:val="004B0169"/>
    <w:rsid w:val="004B0374"/>
    <w:rsid w:val="004B038A"/>
    <w:rsid w:val="004B06FF"/>
    <w:rsid w:val="004B07AB"/>
    <w:rsid w:val="004B0B52"/>
    <w:rsid w:val="004B0C68"/>
    <w:rsid w:val="004B102F"/>
    <w:rsid w:val="004B103F"/>
    <w:rsid w:val="004B1110"/>
    <w:rsid w:val="004B1121"/>
    <w:rsid w:val="004B14A6"/>
    <w:rsid w:val="004B16E3"/>
    <w:rsid w:val="004B18B1"/>
    <w:rsid w:val="004B19BA"/>
    <w:rsid w:val="004B19E9"/>
    <w:rsid w:val="004B1AC5"/>
    <w:rsid w:val="004B1B37"/>
    <w:rsid w:val="004B1C31"/>
    <w:rsid w:val="004B1C6F"/>
    <w:rsid w:val="004B1E43"/>
    <w:rsid w:val="004B1EC7"/>
    <w:rsid w:val="004B1FD5"/>
    <w:rsid w:val="004B2229"/>
    <w:rsid w:val="004B2596"/>
    <w:rsid w:val="004B26BE"/>
    <w:rsid w:val="004B2787"/>
    <w:rsid w:val="004B278F"/>
    <w:rsid w:val="004B2C5D"/>
    <w:rsid w:val="004B2DF9"/>
    <w:rsid w:val="004B2E72"/>
    <w:rsid w:val="004B301F"/>
    <w:rsid w:val="004B3028"/>
    <w:rsid w:val="004B302C"/>
    <w:rsid w:val="004B318A"/>
    <w:rsid w:val="004B3213"/>
    <w:rsid w:val="004B353A"/>
    <w:rsid w:val="004B368A"/>
    <w:rsid w:val="004B376E"/>
    <w:rsid w:val="004B37AE"/>
    <w:rsid w:val="004B3813"/>
    <w:rsid w:val="004B3881"/>
    <w:rsid w:val="004B39DF"/>
    <w:rsid w:val="004B3AFB"/>
    <w:rsid w:val="004B3CFE"/>
    <w:rsid w:val="004B3D33"/>
    <w:rsid w:val="004B3FB8"/>
    <w:rsid w:val="004B4333"/>
    <w:rsid w:val="004B444B"/>
    <w:rsid w:val="004B445A"/>
    <w:rsid w:val="004B4475"/>
    <w:rsid w:val="004B4614"/>
    <w:rsid w:val="004B4648"/>
    <w:rsid w:val="004B4A8B"/>
    <w:rsid w:val="004B4C3F"/>
    <w:rsid w:val="004B4C85"/>
    <w:rsid w:val="004B4CA1"/>
    <w:rsid w:val="004B4CB5"/>
    <w:rsid w:val="004B4CC7"/>
    <w:rsid w:val="004B4CE7"/>
    <w:rsid w:val="004B4DFF"/>
    <w:rsid w:val="004B4EC5"/>
    <w:rsid w:val="004B50B7"/>
    <w:rsid w:val="004B53B9"/>
    <w:rsid w:val="004B56D9"/>
    <w:rsid w:val="004B56E4"/>
    <w:rsid w:val="004B588A"/>
    <w:rsid w:val="004B5899"/>
    <w:rsid w:val="004B58E7"/>
    <w:rsid w:val="004B59B4"/>
    <w:rsid w:val="004B59D3"/>
    <w:rsid w:val="004B5A18"/>
    <w:rsid w:val="004B5C34"/>
    <w:rsid w:val="004B5ECB"/>
    <w:rsid w:val="004B605E"/>
    <w:rsid w:val="004B631D"/>
    <w:rsid w:val="004B6363"/>
    <w:rsid w:val="004B64D2"/>
    <w:rsid w:val="004B66B8"/>
    <w:rsid w:val="004B688C"/>
    <w:rsid w:val="004B6A4B"/>
    <w:rsid w:val="004B6AA7"/>
    <w:rsid w:val="004B6AD4"/>
    <w:rsid w:val="004B6D98"/>
    <w:rsid w:val="004B6DDE"/>
    <w:rsid w:val="004B6E6D"/>
    <w:rsid w:val="004B70CA"/>
    <w:rsid w:val="004B722B"/>
    <w:rsid w:val="004B7260"/>
    <w:rsid w:val="004B7324"/>
    <w:rsid w:val="004B75A5"/>
    <w:rsid w:val="004B76CD"/>
    <w:rsid w:val="004B7BED"/>
    <w:rsid w:val="004B7C0E"/>
    <w:rsid w:val="004B7D49"/>
    <w:rsid w:val="004B7F77"/>
    <w:rsid w:val="004BEE6A"/>
    <w:rsid w:val="004C0014"/>
    <w:rsid w:val="004C00AF"/>
    <w:rsid w:val="004C02E4"/>
    <w:rsid w:val="004C037B"/>
    <w:rsid w:val="004C0596"/>
    <w:rsid w:val="004C05F6"/>
    <w:rsid w:val="004C07C7"/>
    <w:rsid w:val="004C07DD"/>
    <w:rsid w:val="004C08AF"/>
    <w:rsid w:val="004C0D29"/>
    <w:rsid w:val="004C0DA3"/>
    <w:rsid w:val="004C0DD3"/>
    <w:rsid w:val="004C0DDF"/>
    <w:rsid w:val="004C0F06"/>
    <w:rsid w:val="004C1131"/>
    <w:rsid w:val="004C1249"/>
    <w:rsid w:val="004C12FD"/>
    <w:rsid w:val="004C150A"/>
    <w:rsid w:val="004C195B"/>
    <w:rsid w:val="004C1ABF"/>
    <w:rsid w:val="004C1CBC"/>
    <w:rsid w:val="004C1E26"/>
    <w:rsid w:val="004C2070"/>
    <w:rsid w:val="004C219E"/>
    <w:rsid w:val="004C2376"/>
    <w:rsid w:val="004C23DB"/>
    <w:rsid w:val="004C250C"/>
    <w:rsid w:val="004C2782"/>
    <w:rsid w:val="004C29CB"/>
    <w:rsid w:val="004C2BB3"/>
    <w:rsid w:val="004C2D53"/>
    <w:rsid w:val="004C2E49"/>
    <w:rsid w:val="004C3206"/>
    <w:rsid w:val="004C326B"/>
    <w:rsid w:val="004C3395"/>
    <w:rsid w:val="004C34BC"/>
    <w:rsid w:val="004C3507"/>
    <w:rsid w:val="004C35B9"/>
    <w:rsid w:val="004C35FE"/>
    <w:rsid w:val="004C37F9"/>
    <w:rsid w:val="004C39AC"/>
    <w:rsid w:val="004C3AFE"/>
    <w:rsid w:val="004C3F07"/>
    <w:rsid w:val="004C4026"/>
    <w:rsid w:val="004C4087"/>
    <w:rsid w:val="004C4556"/>
    <w:rsid w:val="004C45D2"/>
    <w:rsid w:val="004C46E6"/>
    <w:rsid w:val="004C473D"/>
    <w:rsid w:val="004C475A"/>
    <w:rsid w:val="004C4B07"/>
    <w:rsid w:val="004C4CBD"/>
    <w:rsid w:val="004C4E56"/>
    <w:rsid w:val="004C50FE"/>
    <w:rsid w:val="004C515E"/>
    <w:rsid w:val="004C577E"/>
    <w:rsid w:val="004C5857"/>
    <w:rsid w:val="004C5A07"/>
    <w:rsid w:val="004C5A2C"/>
    <w:rsid w:val="004C5A3B"/>
    <w:rsid w:val="004C5C9B"/>
    <w:rsid w:val="004C5CFE"/>
    <w:rsid w:val="004C5D81"/>
    <w:rsid w:val="004C5EEC"/>
    <w:rsid w:val="004C60D2"/>
    <w:rsid w:val="004C6253"/>
    <w:rsid w:val="004C631A"/>
    <w:rsid w:val="004C6554"/>
    <w:rsid w:val="004C655C"/>
    <w:rsid w:val="004C6621"/>
    <w:rsid w:val="004C6713"/>
    <w:rsid w:val="004C6753"/>
    <w:rsid w:val="004C678D"/>
    <w:rsid w:val="004C6B48"/>
    <w:rsid w:val="004C6BFC"/>
    <w:rsid w:val="004C728C"/>
    <w:rsid w:val="004C7425"/>
    <w:rsid w:val="004C74B3"/>
    <w:rsid w:val="004C75CC"/>
    <w:rsid w:val="004C7708"/>
    <w:rsid w:val="004C7893"/>
    <w:rsid w:val="004C7C6C"/>
    <w:rsid w:val="004C7DD7"/>
    <w:rsid w:val="004C7DEF"/>
    <w:rsid w:val="004D0003"/>
    <w:rsid w:val="004D011D"/>
    <w:rsid w:val="004D023E"/>
    <w:rsid w:val="004D0475"/>
    <w:rsid w:val="004D08B1"/>
    <w:rsid w:val="004D0ADF"/>
    <w:rsid w:val="004D0B3A"/>
    <w:rsid w:val="004D0D03"/>
    <w:rsid w:val="004D0F0A"/>
    <w:rsid w:val="004D0F99"/>
    <w:rsid w:val="004D11A3"/>
    <w:rsid w:val="004D13FE"/>
    <w:rsid w:val="004D159E"/>
    <w:rsid w:val="004D175C"/>
    <w:rsid w:val="004D179D"/>
    <w:rsid w:val="004D17B1"/>
    <w:rsid w:val="004D17C9"/>
    <w:rsid w:val="004D19F5"/>
    <w:rsid w:val="004D1A88"/>
    <w:rsid w:val="004D1CAE"/>
    <w:rsid w:val="004D2110"/>
    <w:rsid w:val="004D212B"/>
    <w:rsid w:val="004D22F3"/>
    <w:rsid w:val="004D23E8"/>
    <w:rsid w:val="004D2590"/>
    <w:rsid w:val="004D26D8"/>
    <w:rsid w:val="004D26F4"/>
    <w:rsid w:val="004D2735"/>
    <w:rsid w:val="004D285A"/>
    <w:rsid w:val="004D289E"/>
    <w:rsid w:val="004D2B1E"/>
    <w:rsid w:val="004D302F"/>
    <w:rsid w:val="004D3040"/>
    <w:rsid w:val="004D343E"/>
    <w:rsid w:val="004D35F4"/>
    <w:rsid w:val="004D3692"/>
    <w:rsid w:val="004D3AA8"/>
    <w:rsid w:val="004D3AF0"/>
    <w:rsid w:val="004D3E97"/>
    <w:rsid w:val="004D3F80"/>
    <w:rsid w:val="004D3FB4"/>
    <w:rsid w:val="004D4352"/>
    <w:rsid w:val="004D44F9"/>
    <w:rsid w:val="004D452E"/>
    <w:rsid w:val="004D45DE"/>
    <w:rsid w:val="004D4924"/>
    <w:rsid w:val="004D496A"/>
    <w:rsid w:val="004D4A2A"/>
    <w:rsid w:val="004D4EFA"/>
    <w:rsid w:val="004D51D5"/>
    <w:rsid w:val="004D562E"/>
    <w:rsid w:val="004D56CE"/>
    <w:rsid w:val="004D58B8"/>
    <w:rsid w:val="004D5A1C"/>
    <w:rsid w:val="004D5C38"/>
    <w:rsid w:val="004D5E64"/>
    <w:rsid w:val="004D6029"/>
    <w:rsid w:val="004D60FA"/>
    <w:rsid w:val="004D61BA"/>
    <w:rsid w:val="004D64D2"/>
    <w:rsid w:val="004D6789"/>
    <w:rsid w:val="004D68AE"/>
    <w:rsid w:val="004D68C4"/>
    <w:rsid w:val="004D6A8D"/>
    <w:rsid w:val="004D6B0C"/>
    <w:rsid w:val="004D6C0A"/>
    <w:rsid w:val="004D6C57"/>
    <w:rsid w:val="004D6CB1"/>
    <w:rsid w:val="004D6D15"/>
    <w:rsid w:val="004D7202"/>
    <w:rsid w:val="004D73ED"/>
    <w:rsid w:val="004D7509"/>
    <w:rsid w:val="004D7608"/>
    <w:rsid w:val="004D7918"/>
    <w:rsid w:val="004D7A64"/>
    <w:rsid w:val="004D7B08"/>
    <w:rsid w:val="004D7CE6"/>
    <w:rsid w:val="004D7D5D"/>
    <w:rsid w:val="004D7DA0"/>
    <w:rsid w:val="004D7E58"/>
    <w:rsid w:val="004D7F37"/>
    <w:rsid w:val="004E01A9"/>
    <w:rsid w:val="004E02BD"/>
    <w:rsid w:val="004E0307"/>
    <w:rsid w:val="004E04B7"/>
    <w:rsid w:val="004E061E"/>
    <w:rsid w:val="004E07BF"/>
    <w:rsid w:val="004E09C5"/>
    <w:rsid w:val="004E0B00"/>
    <w:rsid w:val="004E0D30"/>
    <w:rsid w:val="004E1231"/>
    <w:rsid w:val="004E13F7"/>
    <w:rsid w:val="004E15E4"/>
    <w:rsid w:val="004E17FF"/>
    <w:rsid w:val="004E1925"/>
    <w:rsid w:val="004E19BF"/>
    <w:rsid w:val="004E1AAC"/>
    <w:rsid w:val="004E1B23"/>
    <w:rsid w:val="004E1C55"/>
    <w:rsid w:val="004E1CCF"/>
    <w:rsid w:val="004E2923"/>
    <w:rsid w:val="004E2B39"/>
    <w:rsid w:val="004E2DB1"/>
    <w:rsid w:val="004E305C"/>
    <w:rsid w:val="004E314F"/>
    <w:rsid w:val="004E3176"/>
    <w:rsid w:val="004E31EE"/>
    <w:rsid w:val="004E36E9"/>
    <w:rsid w:val="004E3909"/>
    <w:rsid w:val="004E390D"/>
    <w:rsid w:val="004E3A4D"/>
    <w:rsid w:val="004E3AE2"/>
    <w:rsid w:val="004E3BD6"/>
    <w:rsid w:val="004E3FEA"/>
    <w:rsid w:val="004E4008"/>
    <w:rsid w:val="004E40EF"/>
    <w:rsid w:val="004E42F1"/>
    <w:rsid w:val="004E4507"/>
    <w:rsid w:val="004E4530"/>
    <w:rsid w:val="004E4733"/>
    <w:rsid w:val="004E4C23"/>
    <w:rsid w:val="004E4DB6"/>
    <w:rsid w:val="004E5063"/>
    <w:rsid w:val="004E5173"/>
    <w:rsid w:val="004E52BA"/>
    <w:rsid w:val="004E5384"/>
    <w:rsid w:val="004E54F5"/>
    <w:rsid w:val="004E5611"/>
    <w:rsid w:val="004E5717"/>
    <w:rsid w:val="004E5796"/>
    <w:rsid w:val="004E57A8"/>
    <w:rsid w:val="004E5A3C"/>
    <w:rsid w:val="004E5CC7"/>
    <w:rsid w:val="004E6092"/>
    <w:rsid w:val="004E64E1"/>
    <w:rsid w:val="004E678A"/>
    <w:rsid w:val="004E6928"/>
    <w:rsid w:val="004E6A00"/>
    <w:rsid w:val="004E6ACA"/>
    <w:rsid w:val="004E6BF1"/>
    <w:rsid w:val="004E6C12"/>
    <w:rsid w:val="004E6C98"/>
    <w:rsid w:val="004E6D65"/>
    <w:rsid w:val="004E6E6D"/>
    <w:rsid w:val="004E6FB1"/>
    <w:rsid w:val="004E7025"/>
    <w:rsid w:val="004E72D4"/>
    <w:rsid w:val="004E72DE"/>
    <w:rsid w:val="004E730C"/>
    <w:rsid w:val="004E735B"/>
    <w:rsid w:val="004E7434"/>
    <w:rsid w:val="004E7626"/>
    <w:rsid w:val="004E778B"/>
    <w:rsid w:val="004E77A0"/>
    <w:rsid w:val="004E7A04"/>
    <w:rsid w:val="004E7B49"/>
    <w:rsid w:val="004E7B70"/>
    <w:rsid w:val="004E7B8B"/>
    <w:rsid w:val="004E7FAD"/>
    <w:rsid w:val="004F0342"/>
    <w:rsid w:val="004F045C"/>
    <w:rsid w:val="004F069B"/>
    <w:rsid w:val="004F0D4C"/>
    <w:rsid w:val="004F0D5D"/>
    <w:rsid w:val="004F0E48"/>
    <w:rsid w:val="004F1175"/>
    <w:rsid w:val="004F129E"/>
    <w:rsid w:val="004F147F"/>
    <w:rsid w:val="004F1549"/>
    <w:rsid w:val="004F1748"/>
    <w:rsid w:val="004F18BD"/>
    <w:rsid w:val="004F199C"/>
    <w:rsid w:val="004F1A68"/>
    <w:rsid w:val="004F1BA0"/>
    <w:rsid w:val="004F1CEE"/>
    <w:rsid w:val="004F1DA6"/>
    <w:rsid w:val="004F1E7A"/>
    <w:rsid w:val="004F1FA0"/>
    <w:rsid w:val="004F1FA1"/>
    <w:rsid w:val="004F2393"/>
    <w:rsid w:val="004F23F8"/>
    <w:rsid w:val="004F25BB"/>
    <w:rsid w:val="004F278E"/>
    <w:rsid w:val="004F285F"/>
    <w:rsid w:val="004F28B6"/>
    <w:rsid w:val="004F2928"/>
    <w:rsid w:val="004F2CA9"/>
    <w:rsid w:val="004F2FC8"/>
    <w:rsid w:val="004F32C6"/>
    <w:rsid w:val="004F34C6"/>
    <w:rsid w:val="004F3C8C"/>
    <w:rsid w:val="004F3CF2"/>
    <w:rsid w:val="004F3D14"/>
    <w:rsid w:val="004F40B6"/>
    <w:rsid w:val="004F4204"/>
    <w:rsid w:val="004F42D6"/>
    <w:rsid w:val="004F4604"/>
    <w:rsid w:val="004F4711"/>
    <w:rsid w:val="004F4753"/>
    <w:rsid w:val="004F4A5E"/>
    <w:rsid w:val="004F4CE0"/>
    <w:rsid w:val="004F4DBC"/>
    <w:rsid w:val="004F4E57"/>
    <w:rsid w:val="004F4F67"/>
    <w:rsid w:val="004F502E"/>
    <w:rsid w:val="004F50C9"/>
    <w:rsid w:val="004F5125"/>
    <w:rsid w:val="004F512C"/>
    <w:rsid w:val="004F51B9"/>
    <w:rsid w:val="004F5370"/>
    <w:rsid w:val="004F54FB"/>
    <w:rsid w:val="004F5699"/>
    <w:rsid w:val="004F5966"/>
    <w:rsid w:val="004F5B10"/>
    <w:rsid w:val="004F5E54"/>
    <w:rsid w:val="004F66BE"/>
    <w:rsid w:val="004F684E"/>
    <w:rsid w:val="004F6B99"/>
    <w:rsid w:val="004F6DB7"/>
    <w:rsid w:val="004F7068"/>
    <w:rsid w:val="004F7237"/>
    <w:rsid w:val="004F7294"/>
    <w:rsid w:val="004F73D3"/>
    <w:rsid w:val="004F741B"/>
    <w:rsid w:val="004F74AA"/>
    <w:rsid w:val="004F79AD"/>
    <w:rsid w:val="004F7D43"/>
    <w:rsid w:val="004F7D86"/>
    <w:rsid w:val="004F7EB8"/>
    <w:rsid w:val="00500039"/>
    <w:rsid w:val="005002B4"/>
    <w:rsid w:val="00500408"/>
    <w:rsid w:val="005006B5"/>
    <w:rsid w:val="00500753"/>
    <w:rsid w:val="00500800"/>
    <w:rsid w:val="00500977"/>
    <w:rsid w:val="00500992"/>
    <w:rsid w:val="00500CC0"/>
    <w:rsid w:val="00500E9A"/>
    <w:rsid w:val="00500F04"/>
    <w:rsid w:val="005010EC"/>
    <w:rsid w:val="005011E1"/>
    <w:rsid w:val="005011E5"/>
    <w:rsid w:val="005014D8"/>
    <w:rsid w:val="0050191C"/>
    <w:rsid w:val="00501933"/>
    <w:rsid w:val="0050195E"/>
    <w:rsid w:val="00501AF7"/>
    <w:rsid w:val="00501E0A"/>
    <w:rsid w:val="00502002"/>
    <w:rsid w:val="005021A7"/>
    <w:rsid w:val="0050231B"/>
    <w:rsid w:val="00502350"/>
    <w:rsid w:val="005029FF"/>
    <w:rsid w:val="00502BD4"/>
    <w:rsid w:val="00502CC7"/>
    <w:rsid w:val="00503097"/>
    <w:rsid w:val="005030AA"/>
    <w:rsid w:val="005030FD"/>
    <w:rsid w:val="00503451"/>
    <w:rsid w:val="005038D2"/>
    <w:rsid w:val="005038E4"/>
    <w:rsid w:val="0050390D"/>
    <w:rsid w:val="0050399F"/>
    <w:rsid w:val="005039A7"/>
    <w:rsid w:val="005039E4"/>
    <w:rsid w:val="00503A62"/>
    <w:rsid w:val="00503A74"/>
    <w:rsid w:val="00503B5A"/>
    <w:rsid w:val="00503DE3"/>
    <w:rsid w:val="00503DF7"/>
    <w:rsid w:val="00504141"/>
    <w:rsid w:val="00504362"/>
    <w:rsid w:val="0050445F"/>
    <w:rsid w:val="0050448B"/>
    <w:rsid w:val="0050454A"/>
    <w:rsid w:val="00504555"/>
    <w:rsid w:val="0050460F"/>
    <w:rsid w:val="00504769"/>
    <w:rsid w:val="00504925"/>
    <w:rsid w:val="00504C80"/>
    <w:rsid w:val="0050508C"/>
    <w:rsid w:val="00505271"/>
    <w:rsid w:val="005057A6"/>
    <w:rsid w:val="005057FC"/>
    <w:rsid w:val="005058E1"/>
    <w:rsid w:val="00505B8D"/>
    <w:rsid w:val="00505C83"/>
    <w:rsid w:val="00505D52"/>
    <w:rsid w:val="0050640B"/>
    <w:rsid w:val="0050644D"/>
    <w:rsid w:val="00506500"/>
    <w:rsid w:val="00506551"/>
    <w:rsid w:val="00506896"/>
    <w:rsid w:val="00506B01"/>
    <w:rsid w:val="00506CF8"/>
    <w:rsid w:val="00506F9C"/>
    <w:rsid w:val="005070BE"/>
    <w:rsid w:val="00507190"/>
    <w:rsid w:val="00507681"/>
    <w:rsid w:val="005079FB"/>
    <w:rsid w:val="00507C60"/>
    <w:rsid w:val="00507C7E"/>
    <w:rsid w:val="00507D1D"/>
    <w:rsid w:val="00507D3E"/>
    <w:rsid w:val="00507ED1"/>
    <w:rsid w:val="00507F8D"/>
    <w:rsid w:val="0051025E"/>
    <w:rsid w:val="0051035A"/>
    <w:rsid w:val="005104AD"/>
    <w:rsid w:val="005104FF"/>
    <w:rsid w:val="00510528"/>
    <w:rsid w:val="00510579"/>
    <w:rsid w:val="005105A8"/>
    <w:rsid w:val="005105C0"/>
    <w:rsid w:val="005108FF"/>
    <w:rsid w:val="00510B2A"/>
    <w:rsid w:val="00510B93"/>
    <w:rsid w:val="00510F3C"/>
    <w:rsid w:val="0051107D"/>
    <w:rsid w:val="005110C6"/>
    <w:rsid w:val="00511720"/>
    <w:rsid w:val="00511864"/>
    <w:rsid w:val="005118AB"/>
    <w:rsid w:val="00511B12"/>
    <w:rsid w:val="00511C1F"/>
    <w:rsid w:val="0051203A"/>
    <w:rsid w:val="005120A1"/>
    <w:rsid w:val="005122F3"/>
    <w:rsid w:val="00512427"/>
    <w:rsid w:val="00512559"/>
    <w:rsid w:val="005125A4"/>
    <w:rsid w:val="00512778"/>
    <w:rsid w:val="005128E9"/>
    <w:rsid w:val="005129A3"/>
    <w:rsid w:val="00512A4C"/>
    <w:rsid w:val="00512ABB"/>
    <w:rsid w:val="00512AED"/>
    <w:rsid w:val="00512DEE"/>
    <w:rsid w:val="005130EF"/>
    <w:rsid w:val="00513381"/>
    <w:rsid w:val="00513558"/>
    <w:rsid w:val="00513686"/>
    <w:rsid w:val="00513EB7"/>
    <w:rsid w:val="005144CA"/>
    <w:rsid w:val="00514636"/>
    <w:rsid w:val="00514761"/>
    <w:rsid w:val="005147A4"/>
    <w:rsid w:val="00514837"/>
    <w:rsid w:val="0051487D"/>
    <w:rsid w:val="00514920"/>
    <w:rsid w:val="00514BE6"/>
    <w:rsid w:val="00514C50"/>
    <w:rsid w:val="00514C53"/>
    <w:rsid w:val="00514E6C"/>
    <w:rsid w:val="00514EBE"/>
    <w:rsid w:val="005150D3"/>
    <w:rsid w:val="005150E1"/>
    <w:rsid w:val="0051559E"/>
    <w:rsid w:val="005156BC"/>
    <w:rsid w:val="005158C9"/>
    <w:rsid w:val="0051591D"/>
    <w:rsid w:val="00515A29"/>
    <w:rsid w:val="00515A53"/>
    <w:rsid w:val="0051638A"/>
    <w:rsid w:val="00516593"/>
    <w:rsid w:val="005166EE"/>
    <w:rsid w:val="005167E6"/>
    <w:rsid w:val="00516A27"/>
    <w:rsid w:val="00516B1C"/>
    <w:rsid w:val="00517266"/>
    <w:rsid w:val="005173E8"/>
    <w:rsid w:val="0051751F"/>
    <w:rsid w:val="00517563"/>
    <w:rsid w:val="005175BA"/>
    <w:rsid w:val="00517781"/>
    <w:rsid w:val="00517BAD"/>
    <w:rsid w:val="00517CB3"/>
    <w:rsid w:val="00517E9E"/>
    <w:rsid w:val="00517F05"/>
    <w:rsid w:val="00517F6B"/>
    <w:rsid w:val="00517F94"/>
    <w:rsid w:val="00520404"/>
    <w:rsid w:val="0052048F"/>
    <w:rsid w:val="00520549"/>
    <w:rsid w:val="005205F6"/>
    <w:rsid w:val="00520658"/>
    <w:rsid w:val="00520CC6"/>
    <w:rsid w:val="00520EAA"/>
    <w:rsid w:val="00521013"/>
    <w:rsid w:val="005210CA"/>
    <w:rsid w:val="00521297"/>
    <w:rsid w:val="005213D0"/>
    <w:rsid w:val="00521493"/>
    <w:rsid w:val="00521501"/>
    <w:rsid w:val="0052159B"/>
    <w:rsid w:val="005215F4"/>
    <w:rsid w:val="0052169E"/>
    <w:rsid w:val="005216E7"/>
    <w:rsid w:val="0052171D"/>
    <w:rsid w:val="005217B6"/>
    <w:rsid w:val="005217EF"/>
    <w:rsid w:val="00521814"/>
    <w:rsid w:val="0052181A"/>
    <w:rsid w:val="005218B5"/>
    <w:rsid w:val="00521A99"/>
    <w:rsid w:val="00521CA5"/>
    <w:rsid w:val="00521E87"/>
    <w:rsid w:val="00521EF1"/>
    <w:rsid w:val="00522229"/>
    <w:rsid w:val="00522233"/>
    <w:rsid w:val="0052256A"/>
    <w:rsid w:val="005225DB"/>
    <w:rsid w:val="005225FD"/>
    <w:rsid w:val="00522717"/>
    <w:rsid w:val="005227F8"/>
    <w:rsid w:val="0052287D"/>
    <w:rsid w:val="005229E4"/>
    <w:rsid w:val="00522F62"/>
    <w:rsid w:val="005230D4"/>
    <w:rsid w:val="0052315D"/>
    <w:rsid w:val="00523306"/>
    <w:rsid w:val="0052341E"/>
    <w:rsid w:val="00523961"/>
    <w:rsid w:val="00523BE6"/>
    <w:rsid w:val="00523DCE"/>
    <w:rsid w:val="005240E0"/>
    <w:rsid w:val="005240FF"/>
    <w:rsid w:val="00524238"/>
    <w:rsid w:val="00524306"/>
    <w:rsid w:val="005244B1"/>
    <w:rsid w:val="005244C8"/>
    <w:rsid w:val="00524638"/>
    <w:rsid w:val="00524642"/>
    <w:rsid w:val="005249FD"/>
    <w:rsid w:val="00524AD0"/>
    <w:rsid w:val="00524B65"/>
    <w:rsid w:val="00524CDA"/>
    <w:rsid w:val="00524D57"/>
    <w:rsid w:val="00524F4D"/>
    <w:rsid w:val="00524FD2"/>
    <w:rsid w:val="005255DD"/>
    <w:rsid w:val="005257A1"/>
    <w:rsid w:val="0052598F"/>
    <w:rsid w:val="005259BE"/>
    <w:rsid w:val="00525B5E"/>
    <w:rsid w:val="00525F58"/>
    <w:rsid w:val="005260FF"/>
    <w:rsid w:val="0052624A"/>
    <w:rsid w:val="005264A5"/>
    <w:rsid w:val="005266D0"/>
    <w:rsid w:val="00526912"/>
    <w:rsid w:val="00526AC6"/>
    <w:rsid w:val="00526B6F"/>
    <w:rsid w:val="00526E62"/>
    <w:rsid w:val="00527010"/>
    <w:rsid w:val="005271B6"/>
    <w:rsid w:val="0052721A"/>
    <w:rsid w:val="0052727A"/>
    <w:rsid w:val="00527358"/>
    <w:rsid w:val="00527387"/>
    <w:rsid w:val="005276F1"/>
    <w:rsid w:val="00527A7A"/>
    <w:rsid w:val="00527B7C"/>
    <w:rsid w:val="00527C8D"/>
    <w:rsid w:val="00527DC0"/>
    <w:rsid w:val="00527DD0"/>
    <w:rsid w:val="00530100"/>
    <w:rsid w:val="00530723"/>
    <w:rsid w:val="0053082B"/>
    <w:rsid w:val="0053082F"/>
    <w:rsid w:val="00530835"/>
    <w:rsid w:val="0053088B"/>
    <w:rsid w:val="0053089D"/>
    <w:rsid w:val="00530A03"/>
    <w:rsid w:val="00530A16"/>
    <w:rsid w:val="00530ABA"/>
    <w:rsid w:val="00530BBB"/>
    <w:rsid w:val="00530C21"/>
    <w:rsid w:val="00530D01"/>
    <w:rsid w:val="00530D40"/>
    <w:rsid w:val="00530F7F"/>
    <w:rsid w:val="00530FDB"/>
    <w:rsid w:val="005311C4"/>
    <w:rsid w:val="00531259"/>
    <w:rsid w:val="00531444"/>
    <w:rsid w:val="00531580"/>
    <w:rsid w:val="00531837"/>
    <w:rsid w:val="00531A8D"/>
    <w:rsid w:val="00531B89"/>
    <w:rsid w:val="00531C1A"/>
    <w:rsid w:val="00531EA4"/>
    <w:rsid w:val="0053222B"/>
    <w:rsid w:val="00532316"/>
    <w:rsid w:val="0053248F"/>
    <w:rsid w:val="00532569"/>
    <w:rsid w:val="0053262C"/>
    <w:rsid w:val="005327D4"/>
    <w:rsid w:val="0053285B"/>
    <w:rsid w:val="005328EA"/>
    <w:rsid w:val="00532B06"/>
    <w:rsid w:val="00532B0E"/>
    <w:rsid w:val="00532F21"/>
    <w:rsid w:val="00533003"/>
    <w:rsid w:val="00533172"/>
    <w:rsid w:val="00533334"/>
    <w:rsid w:val="0053346F"/>
    <w:rsid w:val="00533509"/>
    <w:rsid w:val="00533543"/>
    <w:rsid w:val="00533683"/>
    <w:rsid w:val="00533688"/>
    <w:rsid w:val="00533AF6"/>
    <w:rsid w:val="00533C51"/>
    <w:rsid w:val="00533D81"/>
    <w:rsid w:val="00533EC1"/>
    <w:rsid w:val="00533FDC"/>
    <w:rsid w:val="00534005"/>
    <w:rsid w:val="005341D6"/>
    <w:rsid w:val="00534251"/>
    <w:rsid w:val="0053459C"/>
    <w:rsid w:val="005347F9"/>
    <w:rsid w:val="005348CC"/>
    <w:rsid w:val="0053493F"/>
    <w:rsid w:val="00534A23"/>
    <w:rsid w:val="00534D06"/>
    <w:rsid w:val="00534D5B"/>
    <w:rsid w:val="00534DE0"/>
    <w:rsid w:val="00534EA9"/>
    <w:rsid w:val="00535475"/>
    <w:rsid w:val="0053586F"/>
    <w:rsid w:val="00535D27"/>
    <w:rsid w:val="00535D43"/>
    <w:rsid w:val="00536031"/>
    <w:rsid w:val="00536110"/>
    <w:rsid w:val="00536405"/>
    <w:rsid w:val="0053664A"/>
    <w:rsid w:val="005366B1"/>
    <w:rsid w:val="00536839"/>
    <w:rsid w:val="00536979"/>
    <w:rsid w:val="00536B25"/>
    <w:rsid w:val="00536C39"/>
    <w:rsid w:val="00536C8A"/>
    <w:rsid w:val="00536C94"/>
    <w:rsid w:val="00536DD8"/>
    <w:rsid w:val="00537019"/>
    <w:rsid w:val="005370F4"/>
    <w:rsid w:val="0053716C"/>
    <w:rsid w:val="005375AA"/>
    <w:rsid w:val="00537671"/>
    <w:rsid w:val="00537897"/>
    <w:rsid w:val="00537CEB"/>
    <w:rsid w:val="00537DFD"/>
    <w:rsid w:val="0054000A"/>
    <w:rsid w:val="005400D0"/>
    <w:rsid w:val="0054055B"/>
    <w:rsid w:val="00540642"/>
    <w:rsid w:val="0054068C"/>
    <w:rsid w:val="005406D7"/>
    <w:rsid w:val="005406EC"/>
    <w:rsid w:val="00540946"/>
    <w:rsid w:val="005409A5"/>
    <w:rsid w:val="00540C11"/>
    <w:rsid w:val="00540C94"/>
    <w:rsid w:val="005412B0"/>
    <w:rsid w:val="005413C8"/>
    <w:rsid w:val="00541438"/>
    <w:rsid w:val="00541468"/>
    <w:rsid w:val="00541474"/>
    <w:rsid w:val="0054148D"/>
    <w:rsid w:val="005414FF"/>
    <w:rsid w:val="00541545"/>
    <w:rsid w:val="00541866"/>
    <w:rsid w:val="00541B3E"/>
    <w:rsid w:val="00541B79"/>
    <w:rsid w:val="00541B89"/>
    <w:rsid w:val="00541DC1"/>
    <w:rsid w:val="0054203D"/>
    <w:rsid w:val="0054235D"/>
    <w:rsid w:val="0054258F"/>
    <w:rsid w:val="005427A7"/>
    <w:rsid w:val="005427AE"/>
    <w:rsid w:val="00542E46"/>
    <w:rsid w:val="00542E6C"/>
    <w:rsid w:val="00542E6F"/>
    <w:rsid w:val="00542E9F"/>
    <w:rsid w:val="00543614"/>
    <w:rsid w:val="005437CB"/>
    <w:rsid w:val="005439CE"/>
    <w:rsid w:val="00543A8D"/>
    <w:rsid w:val="00543AEE"/>
    <w:rsid w:val="00543BCE"/>
    <w:rsid w:val="00543E10"/>
    <w:rsid w:val="00543EED"/>
    <w:rsid w:val="00543EFD"/>
    <w:rsid w:val="00543F0F"/>
    <w:rsid w:val="005440B1"/>
    <w:rsid w:val="005441DE"/>
    <w:rsid w:val="005442B6"/>
    <w:rsid w:val="00544313"/>
    <w:rsid w:val="00544382"/>
    <w:rsid w:val="00544535"/>
    <w:rsid w:val="005446AE"/>
    <w:rsid w:val="005449DE"/>
    <w:rsid w:val="00544E6D"/>
    <w:rsid w:val="00545338"/>
    <w:rsid w:val="00545354"/>
    <w:rsid w:val="0054539E"/>
    <w:rsid w:val="0054576E"/>
    <w:rsid w:val="00545897"/>
    <w:rsid w:val="00545910"/>
    <w:rsid w:val="00545976"/>
    <w:rsid w:val="00545B8F"/>
    <w:rsid w:val="00545E5C"/>
    <w:rsid w:val="00545FD4"/>
    <w:rsid w:val="00546224"/>
    <w:rsid w:val="00546358"/>
    <w:rsid w:val="0054642B"/>
    <w:rsid w:val="00546450"/>
    <w:rsid w:val="0054650D"/>
    <w:rsid w:val="0054684C"/>
    <w:rsid w:val="00546DC5"/>
    <w:rsid w:val="0054714D"/>
    <w:rsid w:val="0054719D"/>
    <w:rsid w:val="0054723E"/>
    <w:rsid w:val="005474AA"/>
    <w:rsid w:val="00547694"/>
    <w:rsid w:val="005477CC"/>
    <w:rsid w:val="005477E6"/>
    <w:rsid w:val="0054788B"/>
    <w:rsid w:val="005478D4"/>
    <w:rsid w:val="00547BF0"/>
    <w:rsid w:val="005505C2"/>
    <w:rsid w:val="005505E4"/>
    <w:rsid w:val="00550635"/>
    <w:rsid w:val="005506D1"/>
    <w:rsid w:val="00550830"/>
    <w:rsid w:val="0055090C"/>
    <w:rsid w:val="005509C0"/>
    <w:rsid w:val="00550B32"/>
    <w:rsid w:val="00550F2B"/>
    <w:rsid w:val="0055104D"/>
    <w:rsid w:val="00551142"/>
    <w:rsid w:val="00551151"/>
    <w:rsid w:val="0055135D"/>
    <w:rsid w:val="00551404"/>
    <w:rsid w:val="0055143D"/>
    <w:rsid w:val="0055173A"/>
    <w:rsid w:val="005518B5"/>
    <w:rsid w:val="00551EBF"/>
    <w:rsid w:val="00551FC4"/>
    <w:rsid w:val="005520C5"/>
    <w:rsid w:val="0055214E"/>
    <w:rsid w:val="0055231C"/>
    <w:rsid w:val="005523E8"/>
    <w:rsid w:val="0055254D"/>
    <w:rsid w:val="00552603"/>
    <w:rsid w:val="005529F5"/>
    <w:rsid w:val="0055309F"/>
    <w:rsid w:val="0055314C"/>
    <w:rsid w:val="005532E6"/>
    <w:rsid w:val="0055338B"/>
    <w:rsid w:val="00553770"/>
    <w:rsid w:val="005537AF"/>
    <w:rsid w:val="00553809"/>
    <w:rsid w:val="005539D1"/>
    <w:rsid w:val="00553A88"/>
    <w:rsid w:val="00553EC1"/>
    <w:rsid w:val="00554147"/>
    <w:rsid w:val="00554150"/>
    <w:rsid w:val="00554710"/>
    <w:rsid w:val="00554885"/>
    <w:rsid w:val="00554A3D"/>
    <w:rsid w:val="00554C2F"/>
    <w:rsid w:val="00554C8C"/>
    <w:rsid w:val="00554E7A"/>
    <w:rsid w:val="00555018"/>
    <w:rsid w:val="0055512F"/>
    <w:rsid w:val="00555217"/>
    <w:rsid w:val="005552C1"/>
    <w:rsid w:val="00555372"/>
    <w:rsid w:val="0055554F"/>
    <w:rsid w:val="0055556C"/>
    <w:rsid w:val="005555C1"/>
    <w:rsid w:val="00555DEF"/>
    <w:rsid w:val="0055602E"/>
    <w:rsid w:val="0055639E"/>
    <w:rsid w:val="005563AE"/>
    <w:rsid w:val="00556466"/>
    <w:rsid w:val="005566E7"/>
    <w:rsid w:val="00556828"/>
    <w:rsid w:val="0055685A"/>
    <w:rsid w:val="00556A53"/>
    <w:rsid w:val="00556C4E"/>
    <w:rsid w:val="00556CC0"/>
    <w:rsid w:val="00556EA6"/>
    <w:rsid w:val="00556FA3"/>
    <w:rsid w:val="00556FDC"/>
    <w:rsid w:val="0055738B"/>
    <w:rsid w:val="00557485"/>
    <w:rsid w:val="0055762F"/>
    <w:rsid w:val="00557690"/>
    <w:rsid w:val="0055773E"/>
    <w:rsid w:val="00557787"/>
    <w:rsid w:val="0055778C"/>
    <w:rsid w:val="00557860"/>
    <w:rsid w:val="00557B17"/>
    <w:rsid w:val="00557E91"/>
    <w:rsid w:val="00557EF4"/>
    <w:rsid w:val="005600B5"/>
    <w:rsid w:val="005602A3"/>
    <w:rsid w:val="00560405"/>
    <w:rsid w:val="00560760"/>
    <w:rsid w:val="00560970"/>
    <w:rsid w:val="00560B1C"/>
    <w:rsid w:val="00560B58"/>
    <w:rsid w:val="00560DC1"/>
    <w:rsid w:val="00560EB8"/>
    <w:rsid w:val="00560F0A"/>
    <w:rsid w:val="00560FDE"/>
    <w:rsid w:val="00560FE4"/>
    <w:rsid w:val="005610D8"/>
    <w:rsid w:val="0056144D"/>
    <w:rsid w:val="005614DA"/>
    <w:rsid w:val="00561869"/>
    <w:rsid w:val="005618C1"/>
    <w:rsid w:val="0056197B"/>
    <w:rsid w:val="00561A55"/>
    <w:rsid w:val="00561B40"/>
    <w:rsid w:val="00561D9D"/>
    <w:rsid w:val="00561E27"/>
    <w:rsid w:val="00561EAD"/>
    <w:rsid w:val="00562191"/>
    <w:rsid w:val="0056224C"/>
    <w:rsid w:val="005623D5"/>
    <w:rsid w:val="005625D7"/>
    <w:rsid w:val="005625FB"/>
    <w:rsid w:val="0056260E"/>
    <w:rsid w:val="005629D5"/>
    <w:rsid w:val="00562A62"/>
    <w:rsid w:val="00562D50"/>
    <w:rsid w:val="005634DD"/>
    <w:rsid w:val="00563840"/>
    <w:rsid w:val="00563A17"/>
    <w:rsid w:val="00563C74"/>
    <w:rsid w:val="0056401B"/>
    <w:rsid w:val="00564179"/>
    <w:rsid w:val="005641AF"/>
    <w:rsid w:val="00564265"/>
    <w:rsid w:val="0056429F"/>
    <w:rsid w:val="00564308"/>
    <w:rsid w:val="0056439B"/>
    <w:rsid w:val="005647E1"/>
    <w:rsid w:val="00564A8B"/>
    <w:rsid w:val="00564B61"/>
    <w:rsid w:val="00564EA8"/>
    <w:rsid w:val="00565160"/>
    <w:rsid w:val="005652D4"/>
    <w:rsid w:val="00565372"/>
    <w:rsid w:val="00565881"/>
    <w:rsid w:val="005658B2"/>
    <w:rsid w:val="005658CA"/>
    <w:rsid w:val="00565920"/>
    <w:rsid w:val="0056592D"/>
    <w:rsid w:val="0056594E"/>
    <w:rsid w:val="00565D74"/>
    <w:rsid w:val="00565E28"/>
    <w:rsid w:val="00565ED5"/>
    <w:rsid w:val="005660A4"/>
    <w:rsid w:val="005661A8"/>
    <w:rsid w:val="005663C2"/>
    <w:rsid w:val="00566494"/>
    <w:rsid w:val="005664AD"/>
    <w:rsid w:val="005667D8"/>
    <w:rsid w:val="00566A32"/>
    <w:rsid w:val="00566A6E"/>
    <w:rsid w:val="00566B1A"/>
    <w:rsid w:val="00566B3C"/>
    <w:rsid w:val="00566EA1"/>
    <w:rsid w:val="005671C8"/>
    <w:rsid w:val="00567278"/>
    <w:rsid w:val="0056727B"/>
    <w:rsid w:val="00567407"/>
    <w:rsid w:val="005675A6"/>
    <w:rsid w:val="00567823"/>
    <w:rsid w:val="00567B08"/>
    <w:rsid w:val="00567BF2"/>
    <w:rsid w:val="00567E1B"/>
    <w:rsid w:val="005702C7"/>
    <w:rsid w:val="00570637"/>
    <w:rsid w:val="0057068B"/>
    <w:rsid w:val="00570845"/>
    <w:rsid w:val="005709D0"/>
    <w:rsid w:val="005709E3"/>
    <w:rsid w:val="00570A19"/>
    <w:rsid w:val="00570A22"/>
    <w:rsid w:val="00570A53"/>
    <w:rsid w:val="00570BCE"/>
    <w:rsid w:val="00570C6F"/>
    <w:rsid w:val="00570CD5"/>
    <w:rsid w:val="00570D1A"/>
    <w:rsid w:val="005711A5"/>
    <w:rsid w:val="00571451"/>
    <w:rsid w:val="0057156D"/>
    <w:rsid w:val="0057175E"/>
    <w:rsid w:val="00571CC0"/>
    <w:rsid w:val="00571D24"/>
    <w:rsid w:val="00571D87"/>
    <w:rsid w:val="0057210C"/>
    <w:rsid w:val="0057238E"/>
    <w:rsid w:val="0057248E"/>
    <w:rsid w:val="00572674"/>
    <w:rsid w:val="00572BDE"/>
    <w:rsid w:val="00572C30"/>
    <w:rsid w:val="00572D74"/>
    <w:rsid w:val="00572FFB"/>
    <w:rsid w:val="00573035"/>
    <w:rsid w:val="0057303C"/>
    <w:rsid w:val="005731EA"/>
    <w:rsid w:val="005732AC"/>
    <w:rsid w:val="0057376F"/>
    <w:rsid w:val="0057378E"/>
    <w:rsid w:val="00573845"/>
    <w:rsid w:val="00573CBC"/>
    <w:rsid w:val="00573D33"/>
    <w:rsid w:val="00573EB4"/>
    <w:rsid w:val="00573EF8"/>
    <w:rsid w:val="00574285"/>
    <w:rsid w:val="005742A4"/>
    <w:rsid w:val="00574327"/>
    <w:rsid w:val="0057453C"/>
    <w:rsid w:val="005746CC"/>
    <w:rsid w:val="0057492A"/>
    <w:rsid w:val="00575004"/>
    <w:rsid w:val="00575258"/>
    <w:rsid w:val="005752C1"/>
    <w:rsid w:val="0057542C"/>
    <w:rsid w:val="00575549"/>
    <w:rsid w:val="0057592D"/>
    <w:rsid w:val="00575B12"/>
    <w:rsid w:val="00575B38"/>
    <w:rsid w:val="00575DF7"/>
    <w:rsid w:val="00575E5D"/>
    <w:rsid w:val="00575FA7"/>
    <w:rsid w:val="0057683B"/>
    <w:rsid w:val="005768FB"/>
    <w:rsid w:val="005769A3"/>
    <w:rsid w:val="00576BE7"/>
    <w:rsid w:val="005772E1"/>
    <w:rsid w:val="00577657"/>
    <w:rsid w:val="005777F1"/>
    <w:rsid w:val="00577882"/>
    <w:rsid w:val="00577D0B"/>
    <w:rsid w:val="00577D86"/>
    <w:rsid w:val="00577F12"/>
    <w:rsid w:val="00577F37"/>
    <w:rsid w:val="0058018E"/>
    <w:rsid w:val="00580544"/>
    <w:rsid w:val="00580609"/>
    <w:rsid w:val="005808DF"/>
    <w:rsid w:val="00580986"/>
    <w:rsid w:val="005809DA"/>
    <w:rsid w:val="00580A66"/>
    <w:rsid w:val="00580BC9"/>
    <w:rsid w:val="0058167F"/>
    <w:rsid w:val="00581847"/>
    <w:rsid w:val="00581A9E"/>
    <w:rsid w:val="00581AE0"/>
    <w:rsid w:val="00581D25"/>
    <w:rsid w:val="0058206A"/>
    <w:rsid w:val="00582293"/>
    <w:rsid w:val="00582501"/>
    <w:rsid w:val="00582569"/>
    <w:rsid w:val="00582663"/>
    <w:rsid w:val="00582A9C"/>
    <w:rsid w:val="00582B8E"/>
    <w:rsid w:val="00582D01"/>
    <w:rsid w:val="00582F55"/>
    <w:rsid w:val="0058347D"/>
    <w:rsid w:val="00583599"/>
    <w:rsid w:val="005835AF"/>
    <w:rsid w:val="005836FC"/>
    <w:rsid w:val="00583747"/>
    <w:rsid w:val="00583786"/>
    <w:rsid w:val="00583814"/>
    <w:rsid w:val="00583881"/>
    <w:rsid w:val="00583EC8"/>
    <w:rsid w:val="0058413E"/>
    <w:rsid w:val="005841C5"/>
    <w:rsid w:val="005841D7"/>
    <w:rsid w:val="005841F5"/>
    <w:rsid w:val="00584388"/>
    <w:rsid w:val="0058467B"/>
    <w:rsid w:val="00584814"/>
    <w:rsid w:val="00584B07"/>
    <w:rsid w:val="00584C50"/>
    <w:rsid w:val="00584F07"/>
    <w:rsid w:val="00585045"/>
    <w:rsid w:val="00585452"/>
    <w:rsid w:val="00585903"/>
    <w:rsid w:val="0058596E"/>
    <w:rsid w:val="00585973"/>
    <w:rsid w:val="005859B6"/>
    <w:rsid w:val="00585D3D"/>
    <w:rsid w:val="00586085"/>
    <w:rsid w:val="005860CF"/>
    <w:rsid w:val="00586244"/>
    <w:rsid w:val="0058632D"/>
    <w:rsid w:val="00586642"/>
    <w:rsid w:val="00586972"/>
    <w:rsid w:val="0058699B"/>
    <w:rsid w:val="00586A54"/>
    <w:rsid w:val="00586B9C"/>
    <w:rsid w:val="00586EF2"/>
    <w:rsid w:val="005872CD"/>
    <w:rsid w:val="0058753E"/>
    <w:rsid w:val="005875C4"/>
    <w:rsid w:val="00587644"/>
    <w:rsid w:val="005876F8"/>
    <w:rsid w:val="0058775B"/>
    <w:rsid w:val="00587971"/>
    <w:rsid w:val="00587BE3"/>
    <w:rsid w:val="00587CAB"/>
    <w:rsid w:val="00587CE2"/>
    <w:rsid w:val="00587F6B"/>
    <w:rsid w:val="00590183"/>
    <w:rsid w:val="00590356"/>
    <w:rsid w:val="0059049C"/>
    <w:rsid w:val="005905F0"/>
    <w:rsid w:val="005909E3"/>
    <w:rsid w:val="00590A33"/>
    <w:rsid w:val="00590CA1"/>
    <w:rsid w:val="00590FF7"/>
    <w:rsid w:val="0059117F"/>
    <w:rsid w:val="00591366"/>
    <w:rsid w:val="00591587"/>
    <w:rsid w:val="005917AB"/>
    <w:rsid w:val="00591967"/>
    <w:rsid w:val="00591BCE"/>
    <w:rsid w:val="00591C16"/>
    <w:rsid w:val="00591E48"/>
    <w:rsid w:val="00591E78"/>
    <w:rsid w:val="00591FED"/>
    <w:rsid w:val="0059200B"/>
    <w:rsid w:val="005920D0"/>
    <w:rsid w:val="0059217B"/>
    <w:rsid w:val="00592309"/>
    <w:rsid w:val="00592400"/>
    <w:rsid w:val="00592525"/>
    <w:rsid w:val="005927D7"/>
    <w:rsid w:val="00592922"/>
    <w:rsid w:val="00592C3F"/>
    <w:rsid w:val="00592D6D"/>
    <w:rsid w:val="005930F2"/>
    <w:rsid w:val="00593589"/>
    <w:rsid w:val="00593629"/>
    <w:rsid w:val="0059379F"/>
    <w:rsid w:val="00593871"/>
    <w:rsid w:val="00593A03"/>
    <w:rsid w:val="00593A86"/>
    <w:rsid w:val="00593C39"/>
    <w:rsid w:val="00593DB5"/>
    <w:rsid w:val="00593E11"/>
    <w:rsid w:val="00593EEE"/>
    <w:rsid w:val="0059407C"/>
    <w:rsid w:val="005942E7"/>
    <w:rsid w:val="005945A5"/>
    <w:rsid w:val="0059477A"/>
    <w:rsid w:val="0059477B"/>
    <w:rsid w:val="00594793"/>
    <w:rsid w:val="00594C86"/>
    <w:rsid w:val="00594D7D"/>
    <w:rsid w:val="00594ED0"/>
    <w:rsid w:val="00595054"/>
    <w:rsid w:val="005955AE"/>
    <w:rsid w:val="00595759"/>
    <w:rsid w:val="00595826"/>
    <w:rsid w:val="00595A5B"/>
    <w:rsid w:val="00595CFC"/>
    <w:rsid w:val="00595F34"/>
    <w:rsid w:val="005960F5"/>
    <w:rsid w:val="0059611E"/>
    <w:rsid w:val="005963F6"/>
    <w:rsid w:val="005964F9"/>
    <w:rsid w:val="005968AF"/>
    <w:rsid w:val="0059698B"/>
    <w:rsid w:val="00596C48"/>
    <w:rsid w:val="00596D03"/>
    <w:rsid w:val="00596E37"/>
    <w:rsid w:val="00596ED8"/>
    <w:rsid w:val="00596EF4"/>
    <w:rsid w:val="00597021"/>
    <w:rsid w:val="0059705F"/>
    <w:rsid w:val="00597240"/>
    <w:rsid w:val="005972D8"/>
    <w:rsid w:val="00597674"/>
    <w:rsid w:val="00597766"/>
    <w:rsid w:val="00597820"/>
    <w:rsid w:val="00597B28"/>
    <w:rsid w:val="00597B7E"/>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40B"/>
    <w:rsid w:val="005A1559"/>
    <w:rsid w:val="005A1597"/>
    <w:rsid w:val="005A1AFD"/>
    <w:rsid w:val="005A1C7E"/>
    <w:rsid w:val="005A20AA"/>
    <w:rsid w:val="005A21E0"/>
    <w:rsid w:val="005A21E9"/>
    <w:rsid w:val="005A2203"/>
    <w:rsid w:val="005A225E"/>
    <w:rsid w:val="005A23FC"/>
    <w:rsid w:val="005A2414"/>
    <w:rsid w:val="005A27CB"/>
    <w:rsid w:val="005A2873"/>
    <w:rsid w:val="005A2C58"/>
    <w:rsid w:val="005A2ECB"/>
    <w:rsid w:val="005A2ECC"/>
    <w:rsid w:val="005A3220"/>
    <w:rsid w:val="005A32AD"/>
    <w:rsid w:val="005A33BD"/>
    <w:rsid w:val="005A33E0"/>
    <w:rsid w:val="005A3502"/>
    <w:rsid w:val="005A36F6"/>
    <w:rsid w:val="005A3876"/>
    <w:rsid w:val="005A3912"/>
    <w:rsid w:val="005A3D5C"/>
    <w:rsid w:val="005A409C"/>
    <w:rsid w:val="005A4148"/>
    <w:rsid w:val="005A42AA"/>
    <w:rsid w:val="005A45F4"/>
    <w:rsid w:val="005A46B4"/>
    <w:rsid w:val="005A46E0"/>
    <w:rsid w:val="005A4717"/>
    <w:rsid w:val="005A4740"/>
    <w:rsid w:val="005A4B57"/>
    <w:rsid w:val="005A4F62"/>
    <w:rsid w:val="005A5256"/>
    <w:rsid w:val="005A52F3"/>
    <w:rsid w:val="005A54C3"/>
    <w:rsid w:val="005A5A12"/>
    <w:rsid w:val="005A5AD1"/>
    <w:rsid w:val="005A5C75"/>
    <w:rsid w:val="005A5FBC"/>
    <w:rsid w:val="005A5FC5"/>
    <w:rsid w:val="005A634A"/>
    <w:rsid w:val="005A6569"/>
    <w:rsid w:val="005A6761"/>
    <w:rsid w:val="005A67BF"/>
    <w:rsid w:val="005A69F2"/>
    <w:rsid w:val="005A6B37"/>
    <w:rsid w:val="005A6B59"/>
    <w:rsid w:val="005A6B5B"/>
    <w:rsid w:val="005A6BA0"/>
    <w:rsid w:val="005A6D24"/>
    <w:rsid w:val="005A6DFF"/>
    <w:rsid w:val="005A6F49"/>
    <w:rsid w:val="005A6FC0"/>
    <w:rsid w:val="005A70F8"/>
    <w:rsid w:val="005A7165"/>
    <w:rsid w:val="005A7323"/>
    <w:rsid w:val="005A7392"/>
    <w:rsid w:val="005A74B4"/>
    <w:rsid w:val="005A768D"/>
    <w:rsid w:val="005A7782"/>
    <w:rsid w:val="005A787C"/>
    <w:rsid w:val="005A78E3"/>
    <w:rsid w:val="005A7952"/>
    <w:rsid w:val="005A7A32"/>
    <w:rsid w:val="005A7EC2"/>
    <w:rsid w:val="005B00D9"/>
    <w:rsid w:val="005B0330"/>
    <w:rsid w:val="005B03E8"/>
    <w:rsid w:val="005B08C1"/>
    <w:rsid w:val="005B0E35"/>
    <w:rsid w:val="005B0E56"/>
    <w:rsid w:val="005B0FF7"/>
    <w:rsid w:val="005B1131"/>
    <w:rsid w:val="005B12FD"/>
    <w:rsid w:val="005B1411"/>
    <w:rsid w:val="005B1713"/>
    <w:rsid w:val="005B18C4"/>
    <w:rsid w:val="005B18F7"/>
    <w:rsid w:val="005B195E"/>
    <w:rsid w:val="005B1ADF"/>
    <w:rsid w:val="005B1BEF"/>
    <w:rsid w:val="005B1C31"/>
    <w:rsid w:val="005B1EA4"/>
    <w:rsid w:val="005B2010"/>
    <w:rsid w:val="005B20B4"/>
    <w:rsid w:val="005B20D7"/>
    <w:rsid w:val="005B2178"/>
    <w:rsid w:val="005B22F1"/>
    <w:rsid w:val="005B2398"/>
    <w:rsid w:val="005B2427"/>
    <w:rsid w:val="005B27F4"/>
    <w:rsid w:val="005B2EAC"/>
    <w:rsid w:val="005B3087"/>
    <w:rsid w:val="005B322F"/>
    <w:rsid w:val="005B3397"/>
    <w:rsid w:val="005B34F4"/>
    <w:rsid w:val="005B35D7"/>
    <w:rsid w:val="005B36AA"/>
    <w:rsid w:val="005B3727"/>
    <w:rsid w:val="005B383E"/>
    <w:rsid w:val="005B3A1C"/>
    <w:rsid w:val="005B3BAF"/>
    <w:rsid w:val="005B3C8B"/>
    <w:rsid w:val="005B3DFD"/>
    <w:rsid w:val="005B3E32"/>
    <w:rsid w:val="005B4144"/>
    <w:rsid w:val="005B4623"/>
    <w:rsid w:val="005B48A1"/>
    <w:rsid w:val="005B48D7"/>
    <w:rsid w:val="005B4AF9"/>
    <w:rsid w:val="005B4D7C"/>
    <w:rsid w:val="005B4F15"/>
    <w:rsid w:val="005B50CE"/>
    <w:rsid w:val="005B51D2"/>
    <w:rsid w:val="005B5316"/>
    <w:rsid w:val="005B54F8"/>
    <w:rsid w:val="005B55B8"/>
    <w:rsid w:val="005B55F0"/>
    <w:rsid w:val="005B5D40"/>
    <w:rsid w:val="005B5D61"/>
    <w:rsid w:val="005B62E0"/>
    <w:rsid w:val="005B6434"/>
    <w:rsid w:val="005B68BE"/>
    <w:rsid w:val="005B6A75"/>
    <w:rsid w:val="005B6E55"/>
    <w:rsid w:val="005B6E86"/>
    <w:rsid w:val="005B7383"/>
    <w:rsid w:val="005B768B"/>
    <w:rsid w:val="005B76CD"/>
    <w:rsid w:val="005B7872"/>
    <w:rsid w:val="005B790C"/>
    <w:rsid w:val="005B79E5"/>
    <w:rsid w:val="005B79FC"/>
    <w:rsid w:val="005B7AE8"/>
    <w:rsid w:val="005B7BB5"/>
    <w:rsid w:val="005B7BB7"/>
    <w:rsid w:val="005B7DB3"/>
    <w:rsid w:val="005B7E32"/>
    <w:rsid w:val="005B7E74"/>
    <w:rsid w:val="005B7FEB"/>
    <w:rsid w:val="005C013F"/>
    <w:rsid w:val="005C0374"/>
    <w:rsid w:val="005C03E0"/>
    <w:rsid w:val="005C06C6"/>
    <w:rsid w:val="005C0AA8"/>
    <w:rsid w:val="005C0B0C"/>
    <w:rsid w:val="005C1092"/>
    <w:rsid w:val="005C10DC"/>
    <w:rsid w:val="005C1106"/>
    <w:rsid w:val="005C17BD"/>
    <w:rsid w:val="005C1813"/>
    <w:rsid w:val="005C19C4"/>
    <w:rsid w:val="005C2180"/>
    <w:rsid w:val="005C232F"/>
    <w:rsid w:val="005C2493"/>
    <w:rsid w:val="005C25AE"/>
    <w:rsid w:val="005C27BA"/>
    <w:rsid w:val="005C29E0"/>
    <w:rsid w:val="005C2B0C"/>
    <w:rsid w:val="005C2EB0"/>
    <w:rsid w:val="005C2F87"/>
    <w:rsid w:val="005C3080"/>
    <w:rsid w:val="005C33BD"/>
    <w:rsid w:val="005C3817"/>
    <w:rsid w:val="005C386F"/>
    <w:rsid w:val="005C3D03"/>
    <w:rsid w:val="005C3F87"/>
    <w:rsid w:val="005C4432"/>
    <w:rsid w:val="005C443A"/>
    <w:rsid w:val="005C46AE"/>
    <w:rsid w:val="005C4813"/>
    <w:rsid w:val="005C48BA"/>
    <w:rsid w:val="005C4929"/>
    <w:rsid w:val="005C4986"/>
    <w:rsid w:val="005C4AEA"/>
    <w:rsid w:val="005C4BD1"/>
    <w:rsid w:val="005C4EC3"/>
    <w:rsid w:val="005C4F96"/>
    <w:rsid w:val="005C516C"/>
    <w:rsid w:val="005C5315"/>
    <w:rsid w:val="005C5584"/>
    <w:rsid w:val="005C55A7"/>
    <w:rsid w:val="005C569F"/>
    <w:rsid w:val="005C56BB"/>
    <w:rsid w:val="005C576A"/>
    <w:rsid w:val="005C5795"/>
    <w:rsid w:val="005C57AD"/>
    <w:rsid w:val="005C57FE"/>
    <w:rsid w:val="005C5B4F"/>
    <w:rsid w:val="005C5CAD"/>
    <w:rsid w:val="005C60BD"/>
    <w:rsid w:val="005C64DC"/>
    <w:rsid w:val="005C65B6"/>
    <w:rsid w:val="005C666A"/>
    <w:rsid w:val="005C68C5"/>
    <w:rsid w:val="005C68DE"/>
    <w:rsid w:val="005C692E"/>
    <w:rsid w:val="005C6A18"/>
    <w:rsid w:val="005C6A2C"/>
    <w:rsid w:val="005C6A56"/>
    <w:rsid w:val="005C6C98"/>
    <w:rsid w:val="005C6D2A"/>
    <w:rsid w:val="005C6DD8"/>
    <w:rsid w:val="005C6F48"/>
    <w:rsid w:val="005C703E"/>
    <w:rsid w:val="005C7270"/>
    <w:rsid w:val="005C763A"/>
    <w:rsid w:val="005C76A2"/>
    <w:rsid w:val="005C78B3"/>
    <w:rsid w:val="005C7917"/>
    <w:rsid w:val="005C7CFE"/>
    <w:rsid w:val="005C7FC2"/>
    <w:rsid w:val="005D04C5"/>
    <w:rsid w:val="005D08E2"/>
    <w:rsid w:val="005D099D"/>
    <w:rsid w:val="005D09F0"/>
    <w:rsid w:val="005D0B0B"/>
    <w:rsid w:val="005D0B88"/>
    <w:rsid w:val="005D0CD7"/>
    <w:rsid w:val="005D0DEF"/>
    <w:rsid w:val="005D1185"/>
    <w:rsid w:val="005D11FB"/>
    <w:rsid w:val="005D120E"/>
    <w:rsid w:val="005D1470"/>
    <w:rsid w:val="005D14D3"/>
    <w:rsid w:val="005D1713"/>
    <w:rsid w:val="005D183C"/>
    <w:rsid w:val="005D198E"/>
    <w:rsid w:val="005D19F5"/>
    <w:rsid w:val="005D1A79"/>
    <w:rsid w:val="005D1AC6"/>
    <w:rsid w:val="005D1BD8"/>
    <w:rsid w:val="005D1BFD"/>
    <w:rsid w:val="005D20B7"/>
    <w:rsid w:val="005D2534"/>
    <w:rsid w:val="005D27B7"/>
    <w:rsid w:val="005D280F"/>
    <w:rsid w:val="005D2998"/>
    <w:rsid w:val="005D29E7"/>
    <w:rsid w:val="005D2C97"/>
    <w:rsid w:val="005D2DD7"/>
    <w:rsid w:val="005D2E8E"/>
    <w:rsid w:val="005D309F"/>
    <w:rsid w:val="005D31A0"/>
    <w:rsid w:val="005D31F8"/>
    <w:rsid w:val="005D324D"/>
    <w:rsid w:val="005D3723"/>
    <w:rsid w:val="005D37FE"/>
    <w:rsid w:val="005D38B1"/>
    <w:rsid w:val="005D3B72"/>
    <w:rsid w:val="005D3E02"/>
    <w:rsid w:val="005D3ED8"/>
    <w:rsid w:val="005D3FDB"/>
    <w:rsid w:val="005D414B"/>
    <w:rsid w:val="005D4188"/>
    <w:rsid w:val="005D41B6"/>
    <w:rsid w:val="005D4215"/>
    <w:rsid w:val="005D4468"/>
    <w:rsid w:val="005D4927"/>
    <w:rsid w:val="005D49CB"/>
    <w:rsid w:val="005D4B4A"/>
    <w:rsid w:val="005D4B8A"/>
    <w:rsid w:val="005D4C2C"/>
    <w:rsid w:val="005D4D02"/>
    <w:rsid w:val="005D4D35"/>
    <w:rsid w:val="005D4D46"/>
    <w:rsid w:val="005D53C8"/>
    <w:rsid w:val="005D57DC"/>
    <w:rsid w:val="005D584C"/>
    <w:rsid w:val="005D58C7"/>
    <w:rsid w:val="005D5EC0"/>
    <w:rsid w:val="005D6016"/>
    <w:rsid w:val="005D6106"/>
    <w:rsid w:val="005D6256"/>
    <w:rsid w:val="005D62E1"/>
    <w:rsid w:val="005D65C3"/>
    <w:rsid w:val="005D666E"/>
    <w:rsid w:val="005D68B2"/>
    <w:rsid w:val="005D6E2F"/>
    <w:rsid w:val="005D6E42"/>
    <w:rsid w:val="005D703D"/>
    <w:rsid w:val="005D7051"/>
    <w:rsid w:val="005D7081"/>
    <w:rsid w:val="005D7416"/>
    <w:rsid w:val="005D7422"/>
    <w:rsid w:val="005D7489"/>
    <w:rsid w:val="005D755A"/>
    <w:rsid w:val="005D7588"/>
    <w:rsid w:val="005D7914"/>
    <w:rsid w:val="005D7B7D"/>
    <w:rsid w:val="005D7DFA"/>
    <w:rsid w:val="005D7FBC"/>
    <w:rsid w:val="005E00A1"/>
    <w:rsid w:val="005E0176"/>
    <w:rsid w:val="005E0392"/>
    <w:rsid w:val="005E054C"/>
    <w:rsid w:val="005E0561"/>
    <w:rsid w:val="005E0591"/>
    <w:rsid w:val="005E07F2"/>
    <w:rsid w:val="005E07FF"/>
    <w:rsid w:val="005E09BB"/>
    <w:rsid w:val="005E0DE2"/>
    <w:rsid w:val="005E0EA5"/>
    <w:rsid w:val="005E1020"/>
    <w:rsid w:val="005E11E6"/>
    <w:rsid w:val="005E134C"/>
    <w:rsid w:val="005E142B"/>
    <w:rsid w:val="005E16EF"/>
    <w:rsid w:val="005E1991"/>
    <w:rsid w:val="005E21BD"/>
    <w:rsid w:val="005E2211"/>
    <w:rsid w:val="005E2455"/>
    <w:rsid w:val="005E24E9"/>
    <w:rsid w:val="005E273F"/>
    <w:rsid w:val="005E280C"/>
    <w:rsid w:val="005E2995"/>
    <w:rsid w:val="005E2C7E"/>
    <w:rsid w:val="005E3142"/>
    <w:rsid w:val="005E32A5"/>
    <w:rsid w:val="005E3519"/>
    <w:rsid w:val="005E35CA"/>
    <w:rsid w:val="005E3664"/>
    <w:rsid w:val="005E390A"/>
    <w:rsid w:val="005E3CCD"/>
    <w:rsid w:val="005E3E65"/>
    <w:rsid w:val="005E3ED5"/>
    <w:rsid w:val="005E400B"/>
    <w:rsid w:val="005E40E4"/>
    <w:rsid w:val="005E4277"/>
    <w:rsid w:val="005E4513"/>
    <w:rsid w:val="005E459C"/>
    <w:rsid w:val="005E467C"/>
    <w:rsid w:val="005E46D7"/>
    <w:rsid w:val="005E474F"/>
    <w:rsid w:val="005E4C03"/>
    <w:rsid w:val="005E4C87"/>
    <w:rsid w:val="005E4F4E"/>
    <w:rsid w:val="005E4F8C"/>
    <w:rsid w:val="005E501D"/>
    <w:rsid w:val="005E5096"/>
    <w:rsid w:val="005E5221"/>
    <w:rsid w:val="005E5277"/>
    <w:rsid w:val="005E5733"/>
    <w:rsid w:val="005E5E11"/>
    <w:rsid w:val="005E5EE7"/>
    <w:rsid w:val="005E6377"/>
    <w:rsid w:val="005E65AE"/>
    <w:rsid w:val="005E6666"/>
    <w:rsid w:val="005E66E2"/>
    <w:rsid w:val="005E6830"/>
    <w:rsid w:val="005E685B"/>
    <w:rsid w:val="005E68A5"/>
    <w:rsid w:val="005E6A2A"/>
    <w:rsid w:val="005E6AA1"/>
    <w:rsid w:val="005E6AFC"/>
    <w:rsid w:val="005E6CC6"/>
    <w:rsid w:val="005E6DDE"/>
    <w:rsid w:val="005E6E62"/>
    <w:rsid w:val="005E7187"/>
    <w:rsid w:val="005E7247"/>
    <w:rsid w:val="005E76FF"/>
    <w:rsid w:val="005E7A43"/>
    <w:rsid w:val="005E7AA2"/>
    <w:rsid w:val="005E7CEE"/>
    <w:rsid w:val="005E7E23"/>
    <w:rsid w:val="005E7EE5"/>
    <w:rsid w:val="005F0063"/>
    <w:rsid w:val="005F0342"/>
    <w:rsid w:val="005F04AB"/>
    <w:rsid w:val="005F04B0"/>
    <w:rsid w:val="005F04B8"/>
    <w:rsid w:val="005F0565"/>
    <w:rsid w:val="005F07C2"/>
    <w:rsid w:val="005F09DB"/>
    <w:rsid w:val="005F0BF2"/>
    <w:rsid w:val="005F0BF6"/>
    <w:rsid w:val="005F0C27"/>
    <w:rsid w:val="005F0CBC"/>
    <w:rsid w:val="005F0D52"/>
    <w:rsid w:val="005F104F"/>
    <w:rsid w:val="005F10CC"/>
    <w:rsid w:val="005F111A"/>
    <w:rsid w:val="005F1167"/>
    <w:rsid w:val="005F122D"/>
    <w:rsid w:val="005F130F"/>
    <w:rsid w:val="005F1380"/>
    <w:rsid w:val="005F13B2"/>
    <w:rsid w:val="005F142E"/>
    <w:rsid w:val="005F1635"/>
    <w:rsid w:val="005F168D"/>
    <w:rsid w:val="005F1727"/>
    <w:rsid w:val="005F1A38"/>
    <w:rsid w:val="005F1A92"/>
    <w:rsid w:val="005F1C42"/>
    <w:rsid w:val="005F1F24"/>
    <w:rsid w:val="005F1F7D"/>
    <w:rsid w:val="005F2010"/>
    <w:rsid w:val="005F207E"/>
    <w:rsid w:val="005F2230"/>
    <w:rsid w:val="005F22DE"/>
    <w:rsid w:val="005F233B"/>
    <w:rsid w:val="005F25F0"/>
    <w:rsid w:val="005F2609"/>
    <w:rsid w:val="005F264D"/>
    <w:rsid w:val="005F2685"/>
    <w:rsid w:val="005F2862"/>
    <w:rsid w:val="005F2AD7"/>
    <w:rsid w:val="005F2E2C"/>
    <w:rsid w:val="005F2E9B"/>
    <w:rsid w:val="005F2FAB"/>
    <w:rsid w:val="005F31CF"/>
    <w:rsid w:val="005F320D"/>
    <w:rsid w:val="005F3274"/>
    <w:rsid w:val="005F3321"/>
    <w:rsid w:val="005F34C1"/>
    <w:rsid w:val="005F34C3"/>
    <w:rsid w:val="005F3792"/>
    <w:rsid w:val="005F3C77"/>
    <w:rsid w:val="005F3D97"/>
    <w:rsid w:val="005F4018"/>
    <w:rsid w:val="005F4066"/>
    <w:rsid w:val="005F4145"/>
    <w:rsid w:val="005F42D9"/>
    <w:rsid w:val="005F42EF"/>
    <w:rsid w:val="005F4406"/>
    <w:rsid w:val="005F44F3"/>
    <w:rsid w:val="005F4856"/>
    <w:rsid w:val="005F48D2"/>
    <w:rsid w:val="005F4B49"/>
    <w:rsid w:val="005F4D3D"/>
    <w:rsid w:val="005F4FD5"/>
    <w:rsid w:val="005F5003"/>
    <w:rsid w:val="005F504B"/>
    <w:rsid w:val="005F523F"/>
    <w:rsid w:val="005F565C"/>
    <w:rsid w:val="005F5C62"/>
    <w:rsid w:val="005F5ED6"/>
    <w:rsid w:val="005F63EA"/>
    <w:rsid w:val="005F669E"/>
    <w:rsid w:val="005F68C5"/>
    <w:rsid w:val="005F6CC2"/>
    <w:rsid w:val="005F6DAA"/>
    <w:rsid w:val="005F6DAC"/>
    <w:rsid w:val="005F6E33"/>
    <w:rsid w:val="005F6F12"/>
    <w:rsid w:val="005F722A"/>
    <w:rsid w:val="005F72AC"/>
    <w:rsid w:val="005F738C"/>
    <w:rsid w:val="005F74EC"/>
    <w:rsid w:val="005F764B"/>
    <w:rsid w:val="005F7B12"/>
    <w:rsid w:val="005F7B1F"/>
    <w:rsid w:val="0060007C"/>
    <w:rsid w:val="00600332"/>
    <w:rsid w:val="0060036A"/>
    <w:rsid w:val="00600647"/>
    <w:rsid w:val="00600706"/>
    <w:rsid w:val="006009EE"/>
    <w:rsid w:val="00600A38"/>
    <w:rsid w:val="00600B1B"/>
    <w:rsid w:val="00600BF5"/>
    <w:rsid w:val="00600ED5"/>
    <w:rsid w:val="00600F29"/>
    <w:rsid w:val="00601541"/>
    <w:rsid w:val="0060187E"/>
    <w:rsid w:val="00601BF0"/>
    <w:rsid w:val="00602043"/>
    <w:rsid w:val="0060221F"/>
    <w:rsid w:val="0060225C"/>
    <w:rsid w:val="00602297"/>
    <w:rsid w:val="00602344"/>
    <w:rsid w:val="006025D7"/>
    <w:rsid w:val="006026A9"/>
    <w:rsid w:val="006028EB"/>
    <w:rsid w:val="00602D09"/>
    <w:rsid w:val="00602DA3"/>
    <w:rsid w:val="00602F24"/>
    <w:rsid w:val="00602F42"/>
    <w:rsid w:val="006033FF"/>
    <w:rsid w:val="006037DC"/>
    <w:rsid w:val="00603903"/>
    <w:rsid w:val="006039A4"/>
    <w:rsid w:val="00603DA0"/>
    <w:rsid w:val="00603ECE"/>
    <w:rsid w:val="00604262"/>
    <w:rsid w:val="006042C9"/>
    <w:rsid w:val="00604371"/>
    <w:rsid w:val="0060446C"/>
    <w:rsid w:val="006045A2"/>
    <w:rsid w:val="00604966"/>
    <w:rsid w:val="00604A19"/>
    <w:rsid w:val="00604AF2"/>
    <w:rsid w:val="00604B48"/>
    <w:rsid w:val="00604C94"/>
    <w:rsid w:val="00604F77"/>
    <w:rsid w:val="00604F87"/>
    <w:rsid w:val="006050B2"/>
    <w:rsid w:val="006052B7"/>
    <w:rsid w:val="006054DA"/>
    <w:rsid w:val="00605589"/>
    <w:rsid w:val="006057A4"/>
    <w:rsid w:val="0060584E"/>
    <w:rsid w:val="006059B3"/>
    <w:rsid w:val="00605AB1"/>
    <w:rsid w:val="00605C90"/>
    <w:rsid w:val="00605D6A"/>
    <w:rsid w:val="006060BB"/>
    <w:rsid w:val="0060619D"/>
    <w:rsid w:val="00606226"/>
    <w:rsid w:val="00606332"/>
    <w:rsid w:val="00606649"/>
    <w:rsid w:val="006069E3"/>
    <w:rsid w:val="00606C6E"/>
    <w:rsid w:val="00606CFB"/>
    <w:rsid w:val="00606DBF"/>
    <w:rsid w:val="00606EE6"/>
    <w:rsid w:val="00606F97"/>
    <w:rsid w:val="006074DD"/>
    <w:rsid w:val="0060784E"/>
    <w:rsid w:val="00607882"/>
    <w:rsid w:val="00607B1F"/>
    <w:rsid w:val="00607D16"/>
    <w:rsid w:val="00607D9E"/>
    <w:rsid w:val="00607EBA"/>
    <w:rsid w:val="00607F55"/>
    <w:rsid w:val="00610362"/>
    <w:rsid w:val="006104BA"/>
    <w:rsid w:val="00610563"/>
    <w:rsid w:val="006108D9"/>
    <w:rsid w:val="0061099E"/>
    <w:rsid w:val="00610CB4"/>
    <w:rsid w:val="00610D45"/>
    <w:rsid w:val="00610F16"/>
    <w:rsid w:val="006110D7"/>
    <w:rsid w:val="006114BA"/>
    <w:rsid w:val="0061162F"/>
    <w:rsid w:val="00611F6F"/>
    <w:rsid w:val="006120AD"/>
    <w:rsid w:val="00612535"/>
    <w:rsid w:val="0061263F"/>
    <w:rsid w:val="006127BC"/>
    <w:rsid w:val="00612993"/>
    <w:rsid w:val="00612B4C"/>
    <w:rsid w:val="00612B67"/>
    <w:rsid w:val="00612CB2"/>
    <w:rsid w:val="00612D28"/>
    <w:rsid w:val="0061309E"/>
    <w:rsid w:val="006130CA"/>
    <w:rsid w:val="006131B2"/>
    <w:rsid w:val="0061330F"/>
    <w:rsid w:val="00613988"/>
    <w:rsid w:val="006139A9"/>
    <w:rsid w:val="00613BBC"/>
    <w:rsid w:val="00613C3E"/>
    <w:rsid w:val="00613C8F"/>
    <w:rsid w:val="00613CE4"/>
    <w:rsid w:val="00613E2E"/>
    <w:rsid w:val="00613EF2"/>
    <w:rsid w:val="006140C8"/>
    <w:rsid w:val="006141F9"/>
    <w:rsid w:val="0061423A"/>
    <w:rsid w:val="006142C5"/>
    <w:rsid w:val="006145A1"/>
    <w:rsid w:val="0061468D"/>
    <w:rsid w:val="00614748"/>
    <w:rsid w:val="0061486F"/>
    <w:rsid w:val="006148F2"/>
    <w:rsid w:val="00614B9D"/>
    <w:rsid w:val="0061521C"/>
    <w:rsid w:val="006152C6"/>
    <w:rsid w:val="00615426"/>
    <w:rsid w:val="006156C2"/>
    <w:rsid w:val="006156C6"/>
    <w:rsid w:val="0061576C"/>
    <w:rsid w:val="0061593D"/>
    <w:rsid w:val="0061594A"/>
    <w:rsid w:val="0061594E"/>
    <w:rsid w:val="00615A28"/>
    <w:rsid w:val="00615C1E"/>
    <w:rsid w:val="00615C22"/>
    <w:rsid w:val="00615DEC"/>
    <w:rsid w:val="00615DF2"/>
    <w:rsid w:val="00615EA4"/>
    <w:rsid w:val="00615FF5"/>
    <w:rsid w:val="006160C8"/>
    <w:rsid w:val="00616148"/>
    <w:rsid w:val="00616228"/>
    <w:rsid w:val="00616690"/>
    <w:rsid w:val="006166F8"/>
    <w:rsid w:val="006169B7"/>
    <w:rsid w:val="00616B0C"/>
    <w:rsid w:val="00617023"/>
    <w:rsid w:val="00617024"/>
    <w:rsid w:val="0061705E"/>
    <w:rsid w:val="006173E1"/>
    <w:rsid w:val="00617405"/>
    <w:rsid w:val="00617569"/>
    <w:rsid w:val="00617585"/>
    <w:rsid w:val="00617884"/>
    <w:rsid w:val="0061797E"/>
    <w:rsid w:val="00617B79"/>
    <w:rsid w:val="00620249"/>
    <w:rsid w:val="006203E0"/>
    <w:rsid w:val="00620552"/>
    <w:rsid w:val="006205D8"/>
    <w:rsid w:val="00620832"/>
    <w:rsid w:val="006209CA"/>
    <w:rsid w:val="00620B1B"/>
    <w:rsid w:val="00620BDA"/>
    <w:rsid w:val="00620DA9"/>
    <w:rsid w:val="0062113D"/>
    <w:rsid w:val="00621548"/>
    <w:rsid w:val="006217D9"/>
    <w:rsid w:val="006217FF"/>
    <w:rsid w:val="0062193A"/>
    <w:rsid w:val="006219F7"/>
    <w:rsid w:val="00621A7A"/>
    <w:rsid w:val="00621AC9"/>
    <w:rsid w:val="00621AEB"/>
    <w:rsid w:val="00621B9E"/>
    <w:rsid w:val="00621F59"/>
    <w:rsid w:val="00622020"/>
    <w:rsid w:val="006220AE"/>
    <w:rsid w:val="00622528"/>
    <w:rsid w:val="006225AC"/>
    <w:rsid w:val="006228E4"/>
    <w:rsid w:val="006229F6"/>
    <w:rsid w:val="00622A6E"/>
    <w:rsid w:val="00622C26"/>
    <w:rsid w:val="00622D2F"/>
    <w:rsid w:val="00623040"/>
    <w:rsid w:val="00623062"/>
    <w:rsid w:val="006232CD"/>
    <w:rsid w:val="00623338"/>
    <w:rsid w:val="006237ED"/>
    <w:rsid w:val="00623C5B"/>
    <w:rsid w:val="00623DCA"/>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38E"/>
    <w:rsid w:val="00625749"/>
    <w:rsid w:val="00625AB7"/>
    <w:rsid w:val="00625AD5"/>
    <w:rsid w:val="00625B17"/>
    <w:rsid w:val="00625F41"/>
    <w:rsid w:val="00626243"/>
    <w:rsid w:val="00626393"/>
    <w:rsid w:val="006263BB"/>
    <w:rsid w:val="006264BD"/>
    <w:rsid w:val="0062686C"/>
    <w:rsid w:val="00626871"/>
    <w:rsid w:val="006268A1"/>
    <w:rsid w:val="00626B2E"/>
    <w:rsid w:val="00626D88"/>
    <w:rsid w:val="00627232"/>
    <w:rsid w:val="00627259"/>
    <w:rsid w:val="00627317"/>
    <w:rsid w:val="00627324"/>
    <w:rsid w:val="0062745F"/>
    <w:rsid w:val="00627AE2"/>
    <w:rsid w:val="00627CA5"/>
    <w:rsid w:val="00627DDE"/>
    <w:rsid w:val="00627E2B"/>
    <w:rsid w:val="00627E5A"/>
    <w:rsid w:val="00627EDA"/>
    <w:rsid w:val="0063000D"/>
    <w:rsid w:val="00630042"/>
    <w:rsid w:val="00630078"/>
    <w:rsid w:val="00630108"/>
    <w:rsid w:val="00630199"/>
    <w:rsid w:val="006302AA"/>
    <w:rsid w:val="006302F1"/>
    <w:rsid w:val="0063049C"/>
    <w:rsid w:val="0063068F"/>
    <w:rsid w:val="006307B3"/>
    <w:rsid w:val="00630873"/>
    <w:rsid w:val="006308DB"/>
    <w:rsid w:val="006309D5"/>
    <w:rsid w:val="00630ABA"/>
    <w:rsid w:val="00630BE4"/>
    <w:rsid w:val="0063104A"/>
    <w:rsid w:val="006310AE"/>
    <w:rsid w:val="0063111B"/>
    <w:rsid w:val="00631144"/>
    <w:rsid w:val="00631199"/>
    <w:rsid w:val="006311C1"/>
    <w:rsid w:val="00631746"/>
    <w:rsid w:val="00631A5F"/>
    <w:rsid w:val="00631A80"/>
    <w:rsid w:val="00631BA5"/>
    <w:rsid w:val="00631C23"/>
    <w:rsid w:val="00631C67"/>
    <w:rsid w:val="00631D66"/>
    <w:rsid w:val="00631E0A"/>
    <w:rsid w:val="00631F5A"/>
    <w:rsid w:val="0063203C"/>
    <w:rsid w:val="00632145"/>
    <w:rsid w:val="0063218C"/>
    <w:rsid w:val="00632382"/>
    <w:rsid w:val="0063240C"/>
    <w:rsid w:val="006325A1"/>
    <w:rsid w:val="00632625"/>
    <w:rsid w:val="006326F9"/>
    <w:rsid w:val="006327BF"/>
    <w:rsid w:val="006328ED"/>
    <w:rsid w:val="00632A23"/>
    <w:rsid w:val="00632A42"/>
    <w:rsid w:val="00632BCD"/>
    <w:rsid w:val="00632BE3"/>
    <w:rsid w:val="00632F4B"/>
    <w:rsid w:val="00633012"/>
    <w:rsid w:val="006330BC"/>
    <w:rsid w:val="00633553"/>
    <w:rsid w:val="0063363C"/>
    <w:rsid w:val="006336EB"/>
    <w:rsid w:val="006337AA"/>
    <w:rsid w:val="00633978"/>
    <w:rsid w:val="00633BD5"/>
    <w:rsid w:val="00633D13"/>
    <w:rsid w:val="00633F47"/>
    <w:rsid w:val="00633FA4"/>
    <w:rsid w:val="006342A8"/>
    <w:rsid w:val="006345B4"/>
    <w:rsid w:val="006345BE"/>
    <w:rsid w:val="0063487A"/>
    <w:rsid w:val="00634A1E"/>
    <w:rsid w:val="00634CCD"/>
    <w:rsid w:val="00634E16"/>
    <w:rsid w:val="00634E37"/>
    <w:rsid w:val="0063525A"/>
    <w:rsid w:val="0063535C"/>
    <w:rsid w:val="00635562"/>
    <w:rsid w:val="00635610"/>
    <w:rsid w:val="006357B9"/>
    <w:rsid w:val="0063585D"/>
    <w:rsid w:val="00635B85"/>
    <w:rsid w:val="00635C17"/>
    <w:rsid w:val="00635D82"/>
    <w:rsid w:val="00635F31"/>
    <w:rsid w:val="006361B8"/>
    <w:rsid w:val="00636443"/>
    <w:rsid w:val="0063662E"/>
    <w:rsid w:val="006366C5"/>
    <w:rsid w:val="006366CE"/>
    <w:rsid w:val="006366E2"/>
    <w:rsid w:val="00636A76"/>
    <w:rsid w:val="00636B19"/>
    <w:rsid w:val="00636B30"/>
    <w:rsid w:val="00636C4F"/>
    <w:rsid w:val="00636CCC"/>
    <w:rsid w:val="00636F64"/>
    <w:rsid w:val="00637289"/>
    <w:rsid w:val="00637464"/>
    <w:rsid w:val="0063763E"/>
    <w:rsid w:val="006376A9"/>
    <w:rsid w:val="006378C2"/>
    <w:rsid w:val="00637AEC"/>
    <w:rsid w:val="00637C50"/>
    <w:rsid w:val="00637F56"/>
    <w:rsid w:val="0064013B"/>
    <w:rsid w:val="00640473"/>
    <w:rsid w:val="00640508"/>
    <w:rsid w:val="0064050D"/>
    <w:rsid w:val="006406D8"/>
    <w:rsid w:val="006407E7"/>
    <w:rsid w:val="00640806"/>
    <w:rsid w:val="00640856"/>
    <w:rsid w:val="006408C0"/>
    <w:rsid w:val="00640932"/>
    <w:rsid w:val="00640D25"/>
    <w:rsid w:val="00640E79"/>
    <w:rsid w:val="00640F30"/>
    <w:rsid w:val="00640FC4"/>
    <w:rsid w:val="0064104C"/>
    <w:rsid w:val="006410F4"/>
    <w:rsid w:val="006412B2"/>
    <w:rsid w:val="00641426"/>
    <w:rsid w:val="006414FB"/>
    <w:rsid w:val="00641670"/>
    <w:rsid w:val="00641896"/>
    <w:rsid w:val="00641B70"/>
    <w:rsid w:val="00641C07"/>
    <w:rsid w:val="00641D6E"/>
    <w:rsid w:val="00641FD9"/>
    <w:rsid w:val="0064216B"/>
    <w:rsid w:val="00642437"/>
    <w:rsid w:val="0064245F"/>
    <w:rsid w:val="006426E0"/>
    <w:rsid w:val="00642854"/>
    <w:rsid w:val="00642B0A"/>
    <w:rsid w:val="00642BBE"/>
    <w:rsid w:val="00642D40"/>
    <w:rsid w:val="00642EC9"/>
    <w:rsid w:val="00642F2C"/>
    <w:rsid w:val="0064322C"/>
    <w:rsid w:val="0064330D"/>
    <w:rsid w:val="00643618"/>
    <w:rsid w:val="00643BC3"/>
    <w:rsid w:val="00643C07"/>
    <w:rsid w:val="00643C13"/>
    <w:rsid w:val="00643C5B"/>
    <w:rsid w:val="00643C79"/>
    <w:rsid w:val="00643D24"/>
    <w:rsid w:val="00643DE8"/>
    <w:rsid w:val="00643FB8"/>
    <w:rsid w:val="00643FD4"/>
    <w:rsid w:val="00644026"/>
    <w:rsid w:val="006441F8"/>
    <w:rsid w:val="006442E4"/>
    <w:rsid w:val="00644348"/>
    <w:rsid w:val="006444B2"/>
    <w:rsid w:val="006444CE"/>
    <w:rsid w:val="006444E2"/>
    <w:rsid w:val="00644B61"/>
    <w:rsid w:val="00644BC3"/>
    <w:rsid w:val="00644CC7"/>
    <w:rsid w:val="00644F42"/>
    <w:rsid w:val="0064531E"/>
    <w:rsid w:val="00645436"/>
    <w:rsid w:val="00645569"/>
    <w:rsid w:val="006456E5"/>
    <w:rsid w:val="006457D1"/>
    <w:rsid w:val="0064595F"/>
    <w:rsid w:val="00645C61"/>
    <w:rsid w:val="00645D95"/>
    <w:rsid w:val="0064698B"/>
    <w:rsid w:val="006469B9"/>
    <w:rsid w:val="006469F0"/>
    <w:rsid w:val="0064727D"/>
    <w:rsid w:val="00647542"/>
    <w:rsid w:val="0064754D"/>
    <w:rsid w:val="0064759D"/>
    <w:rsid w:val="006475D3"/>
    <w:rsid w:val="006475DF"/>
    <w:rsid w:val="006477EC"/>
    <w:rsid w:val="0064785A"/>
    <w:rsid w:val="00647957"/>
    <w:rsid w:val="006479AA"/>
    <w:rsid w:val="006479BD"/>
    <w:rsid w:val="00647B0D"/>
    <w:rsid w:val="00647D6A"/>
    <w:rsid w:val="00647D94"/>
    <w:rsid w:val="0065035B"/>
    <w:rsid w:val="00650738"/>
    <w:rsid w:val="00650763"/>
    <w:rsid w:val="006509F9"/>
    <w:rsid w:val="00650B6F"/>
    <w:rsid w:val="00650B9D"/>
    <w:rsid w:val="00650F34"/>
    <w:rsid w:val="00651057"/>
    <w:rsid w:val="00651243"/>
    <w:rsid w:val="006514A4"/>
    <w:rsid w:val="006514B0"/>
    <w:rsid w:val="006514EE"/>
    <w:rsid w:val="00651790"/>
    <w:rsid w:val="006517B1"/>
    <w:rsid w:val="006518B9"/>
    <w:rsid w:val="006519CE"/>
    <w:rsid w:val="00651B05"/>
    <w:rsid w:val="00651DBA"/>
    <w:rsid w:val="00651E17"/>
    <w:rsid w:val="006520F6"/>
    <w:rsid w:val="006522EE"/>
    <w:rsid w:val="0065230A"/>
    <w:rsid w:val="00652447"/>
    <w:rsid w:val="006525DB"/>
    <w:rsid w:val="00652613"/>
    <w:rsid w:val="00652D98"/>
    <w:rsid w:val="00653141"/>
    <w:rsid w:val="0065323D"/>
    <w:rsid w:val="00653385"/>
    <w:rsid w:val="0065341C"/>
    <w:rsid w:val="0065343D"/>
    <w:rsid w:val="0065348B"/>
    <w:rsid w:val="0065357B"/>
    <w:rsid w:val="00653648"/>
    <w:rsid w:val="00653988"/>
    <w:rsid w:val="00653C95"/>
    <w:rsid w:val="00653CBE"/>
    <w:rsid w:val="00653DB8"/>
    <w:rsid w:val="00653DD5"/>
    <w:rsid w:val="00653E12"/>
    <w:rsid w:val="00653E56"/>
    <w:rsid w:val="006540ED"/>
    <w:rsid w:val="0065410F"/>
    <w:rsid w:val="00654205"/>
    <w:rsid w:val="00654212"/>
    <w:rsid w:val="0065427D"/>
    <w:rsid w:val="0065439E"/>
    <w:rsid w:val="006545BA"/>
    <w:rsid w:val="0065494A"/>
    <w:rsid w:val="006549F5"/>
    <w:rsid w:val="00654AE8"/>
    <w:rsid w:val="00654CE2"/>
    <w:rsid w:val="00654E3C"/>
    <w:rsid w:val="00654EB2"/>
    <w:rsid w:val="00654F6D"/>
    <w:rsid w:val="006550C5"/>
    <w:rsid w:val="0065528E"/>
    <w:rsid w:val="0065534B"/>
    <w:rsid w:val="006553D7"/>
    <w:rsid w:val="0065543B"/>
    <w:rsid w:val="00655545"/>
    <w:rsid w:val="00655747"/>
    <w:rsid w:val="00655C39"/>
    <w:rsid w:val="00655FEF"/>
    <w:rsid w:val="00656133"/>
    <w:rsid w:val="006561B8"/>
    <w:rsid w:val="00656237"/>
    <w:rsid w:val="006562B6"/>
    <w:rsid w:val="00656403"/>
    <w:rsid w:val="00656731"/>
    <w:rsid w:val="00656864"/>
    <w:rsid w:val="006569FF"/>
    <w:rsid w:val="00656B53"/>
    <w:rsid w:val="00657205"/>
    <w:rsid w:val="00657247"/>
    <w:rsid w:val="006575A4"/>
    <w:rsid w:val="0065765D"/>
    <w:rsid w:val="00657683"/>
    <w:rsid w:val="006579BD"/>
    <w:rsid w:val="00657A30"/>
    <w:rsid w:val="00657C51"/>
    <w:rsid w:val="00657C55"/>
    <w:rsid w:val="00657D10"/>
    <w:rsid w:val="00657D88"/>
    <w:rsid w:val="00657E0A"/>
    <w:rsid w:val="00657EB8"/>
    <w:rsid w:val="00660171"/>
    <w:rsid w:val="00660510"/>
    <w:rsid w:val="00660CEE"/>
    <w:rsid w:val="00660CF0"/>
    <w:rsid w:val="00660DB1"/>
    <w:rsid w:val="00660ED2"/>
    <w:rsid w:val="00661092"/>
    <w:rsid w:val="00661098"/>
    <w:rsid w:val="0066122F"/>
    <w:rsid w:val="006615A0"/>
    <w:rsid w:val="006615B5"/>
    <w:rsid w:val="00661790"/>
    <w:rsid w:val="006619B5"/>
    <w:rsid w:val="00661A3A"/>
    <w:rsid w:val="00661E24"/>
    <w:rsid w:val="00661E59"/>
    <w:rsid w:val="00661ED3"/>
    <w:rsid w:val="00661EEF"/>
    <w:rsid w:val="00662161"/>
    <w:rsid w:val="00662412"/>
    <w:rsid w:val="00662513"/>
    <w:rsid w:val="00662637"/>
    <w:rsid w:val="00662731"/>
    <w:rsid w:val="00662957"/>
    <w:rsid w:val="00662AFE"/>
    <w:rsid w:val="00662B45"/>
    <w:rsid w:val="00662BE7"/>
    <w:rsid w:val="00662DAE"/>
    <w:rsid w:val="00662FA7"/>
    <w:rsid w:val="0066301E"/>
    <w:rsid w:val="00663387"/>
    <w:rsid w:val="0066338D"/>
    <w:rsid w:val="006633BE"/>
    <w:rsid w:val="0066340A"/>
    <w:rsid w:val="006636FB"/>
    <w:rsid w:val="00663727"/>
    <w:rsid w:val="0066385A"/>
    <w:rsid w:val="00663B38"/>
    <w:rsid w:val="00663B92"/>
    <w:rsid w:val="00663F88"/>
    <w:rsid w:val="00663FA7"/>
    <w:rsid w:val="006640CF"/>
    <w:rsid w:val="00664144"/>
    <w:rsid w:val="00664180"/>
    <w:rsid w:val="00664302"/>
    <w:rsid w:val="00664386"/>
    <w:rsid w:val="00664419"/>
    <w:rsid w:val="00664592"/>
    <w:rsid w:val="006645EF"/>
    <w:rsid w:val="00664877"/>
    <w:rsid w:val="006648B7"/>
    <w:rsid w:val="00664903"/>
    <w:rsid w:val="006649BC"/>
    <w:rsid w:val="00664B42"/>
    <w:rsid w:val="00664C9B"/>
    <w:rsid w:val="00664DAA"/>
    <w:rsid w:val="006650D3"/>
    <w:rsid w:val="006651BC"/>
    <w:rsid w:val="00665257"/>
    <w:rsid w:val="0066529B"/>
    <w:rsid w:val="006652D0"/>
    <w:rsid w:val="00665319"/>
    <w:rsid w:val="0066536B"/>
    <w:rsid w:val="00665396"/>
    <w:rsid w:val="006653AC"/>
    <w:rsid w:val="00665635"/>
    <w:rsid w:val="00665872"/>
    <w:rsid w:val="00665AAD"/>
    <w:rsid w:val="00665BBA"/>
    <w:rsid w:val="00665BC8"/>
    <w:rsid w:val="00665CED"/>
    <w:rsid w:val="00665DAD"/>
    <w:rsid w:val="00665DC7"/>
    <w:rsid w:val="0066617C"/>
    <w:rsid w:val="00666274"/>
    <w:rsid w:val="0066660B"/>
    <w:rsid w:val="0066678E"/>
    <w:rsid w:val="00666854"/>
    <w:rsid w:val="00666ADE"/>
    <w:rsid w:val="00666B85"/>
    <w:rsid w:val="00666BE7"/>
    <w:rsid w:val="00666F05"/>
    <w:rsid w:val="00666FF1"/>
    <w:rsid w:val="00667070"/>
    <w:rsid w:val="006670D4"/>
    <w:rsid w:val="00667433"/>
    <w:rsid w:val="006674CC"/>
    <w:rsid w:val="00667651"/>
    <w:rsid w:val="006676D7"/>
    <w:rsid w:val="00667773"/>
    <w:rsid w:val="006677CD"/>
    <w:rsid w:val="00667814"/>
    <w:rsid w:val="00667A32"/>
    <w:rsid w:val="00667B1B"/>
    <w:rsid w:val="00667D00"/>
    <w:rsid w:val="00667F7F"/>
    <w:rsid w:val="00667F99"/>
    <w:rsid w:val="0067016B"/>
    <w:rsid w:val="0067030C"/>
    <w:rsid w:val="0067037B"/>
    <w:rsid w:val="006704E3"/>
    <w:rsid w:val="0067062C"/>
    <w:rsid w:val="00670AC5"/>
    <w:rsid w:val="00670CB1"/>
    <w:rsid w:val="006710EA"/>
    <w:rsid w:val="0067114A"/>
    <w:rsid w:val="006711B7"/>
    <w:rsid w:val="00671372"/>
    <w:rsid w:val="00671476"/>
    <w:rsid w:val="006715BD"/>
    <w:rsid w:val="006715CC"/>
    <w:rsid w:val="00671789"/>
    <w:rsid w:val="006718A8"/>
    <w:rsid w:val="00671900"/>
    <w:rsid w:val="00671BD1"/>
    <w:rsid w:val="00671C9C"/>
    <w:rsid w:val="00671F9E"/>
    <w:rsid w:val="006723C1"/>
    <w:rsid w:val="006723E8"/>
    <w:rsid w:val="0067244D"/>
    <w:rsid w:val="00672499"/>
    <w:rsid w:val="006726BC"/>
    <w:rsid w:val="00672715"/>
    <w:rsid w:val="00672942"/>
    <w:rsid w:val="006729C8"/>
    <w:rsid w:val="00672F58"/>
    <w:rsid w:val="006730F2"/>
    <w:rsid w:val="006730F5"/>
    <w:rsid w:val="006732D2"/>
    <w:rsid w:val="00673365"/>
    <w:rsid w:val="0067355E"/>
    <w:rsid w:val="00673837"/>
    <w:rsid w:val="006739B4"/>
    <w:rsid w:val="006739FD"/>
    <w:rsid w:val="00673B34"/>
    <w:rsid w:val="0067412B"/>
    <w:rsid w:val="006741AF"/>
    <w:rsid w:val="00674217"/>
    <w:rsid w:val="006746E4"/>
    <w:rsid w:val="0067485B"/>
    <w:rsid w:val="006748E7"/>
    <w:rsid w:val="00674E49"/>
    <w:rsid w:val="00674F25"/>
    <w:rsid w:val="006750AE"/>
    <w:rsid w:val="00675252"/>
    <w:rsid w:val="006756C1"/>
    <w:rsid w:val="00675AAB"/>
    <w:rsid w:val="00675AF1"/>
    <w:rsid w:val="00675C5F"/>
    <w:rsid w:val="00675C9F"/>
    <w:rsid w:val="00675CBB"/>
    <w:rsid w:val="006761C3"/>
    <w:rsid w:val="0067685A"/>
    <w:rsid w:val="00676C48"/>
    <w:rsid w:val="00676D84"/>
    <w:rsid w:val="00677399"/>
    <w:rsid w:val="006775CA"/>
    <w:rsid w:val="006777A9"/>
    <w:rsid w:val="0067780B"/>
    <w:rsid w:val="00677C06"/>
    <w:rsid w:val="00677D75"/>
    <w:rsid w:val="00677E06"/>
    <w:rsid w:val="00677F4A"/>
    <w:rsid w:val="00677F6E"/>
    <w:rsid w:val="0068039D"/>
    <w:rsid w:val="006803A2"/>
    <w:rsid w:val="00680523"/>
    <w:rsid w:val="006808B9"/>
    <w:rsid w:val="0068090C"/>
    <w:rsid w:val="00680986"/>
    <w:rsid w:val="00680A4B"/>
    <w:rsid w:val="00680B4B"/>
    <w:rsid w:val="00680D31"/>
    <w:rsid w:val="00680D65"/>
    <w:rsid w:val="00680FC9"/>
    <w:rsid w:val="006811A4"/>
    <w:rsid w:val="006811E4"/>
    <w:rsid w:val="0068120C"/>
    <w:rsid w:val="00681503"/>
    <w:rsid w:val="006815B5"/>
    <w:rsid w:val="0068175E"/>
    <w:rsid w:val="00681865"/>
    <w:rsid w:val="00681B24"/>
    <w:rsid w:val="00681FC9"/>
    <w:rsid w:val="006820FB"/>
    <w:rsid w:val="006827A7"/>
    <w:rsid w:val="006828B4"/>
    <w:rsid w:val="0068290A"/>
    <w:rsid w:val="00682F31"/>
    <w:rsid w:val="00683327"/>
    <w:rsid w:val="006833A5"/>
    <w:rsid w:val="00683451"/>
    <w:rsid w:val="006834AB"/>
    <w:rsid w:val="00683523"/>
    <w:rsid w:val="00683603"/>
    <w:rsid w:val="006836BC"/>
    <w:rsid w:val="006836D1"/>
    <w:rsid w:val="0068370B"/>
    <w:rsid w:val="0068384A"/>
    <w:rsid w:val="00683926"/>
    <w:rsid w:val="00683A98"/>
    <w:rsid w:val="00683B78"/>
    <w:rsid w:val="00683D5D"/>
    <w:rsid w:val="00683E10"/>
    <w:rsid w:val="00683F2C"/>
    <w:rsid w:val="0068419D"/>
    <w:rsid w:val="006843A5"/>
    <w:rsid w:val="00684473"/>
    <w:rsid w:val="0068495A"/>
    <w:rsid w:val="00684A48"/>
    <w:rsid w:val="00684A8C"/>
    <w:rsid w:val="00684C27"/>
    <w:rsid w:val="00684C60"/>
    <w:rsid w:val="00685036"/>
    <w:rsid w:val="006853B7"/>
    <w:rsid w:val="006853EA"/>
    <w:rsid w:val="006855F8"/>
    <w:rsid w:val="00685787"/>
    <w:rsid w:val="006858EF"/>
    <w:rsid w:val="00685AE4"/>
    <w:rsid w:val="00685B14"/>
    <w:rsid w:val="00685B36"/>
    <w:rsid w:val="00685D55"/>
    <w:rsid w:val="006860E6"/>
    <w:rsid w:val="00686104"/>
    <w:rsid w:val="00686195"/>
    <w:rsid w:val="00686524"/>
    <w:rsid w:val="0068663C"/>
    <w:rsid w:val="00686855"/>
    <w:rsid w:val="00686983"/>
    <w:rsid w:val="00686A6D"/>
    <w:rsid w:val="0068706C"/>
    <w:rsid w:val="006870A6"/>
    <w:rsid w:val="0068747D"/>
    <w:rsid w:val="006874CC"/>
    <w:rsid w:val="00687543"/>
    <w:rsid w:val="00687FB9"/>
    <w:rsid w:val="00690109"/>
    <w:rsid w:val="00690116"/>
    <w:rsid w:val="00690132"/>
    <w:rsid w:val="00690292"/>
    <w:rsid w:val="006903DC"/>
    <w:rsid w:val="0069073F"/>
    <w:rsid w:val="00690990"/>
    <w:rsid w:val="00690EEE"/>
    <w:rsid w:val="0069103B"/>
    <w:rsid w:val="00691178"/>
    <w:rsid w:val="006911EB"/>
    <w:rsid w:val="00691412"/>
    <w:rsid w:val="0069150F"/>
    <w:rsid w:val="006915CB"/>
    <w:rsid w:val="00691660"/>
    <w:rsid w:val="00691861"/>
    <w:rsid w:val="00691BB9"/>
    <w:rsid w:val="00691E9E"/>
    <w:rsid w:val="0069200C"/>
    <w:rsid w:val="0069207B"/>
    <w:rsid w:val="00692367"/>
    <w:rsid w:val="0069256A"/>
    <w:rsid w:val="0069258C"/>
    <w:rsid w:val="006925C3"/>
    <w:rsid w:val="00692879"/>
    <w:rsid w:val="0069295D"/>
    <w:rsid w:val="006929C7"/>
    <w:rsid w:val="00692F5D"/>
    <w:rsid w:val="00692FB9"/>
    <w:rsid w:val="0069322F"/>
    <w:rsid w:val="00693234"/>
    <w:rsid w:val="00693302"/>
    <w:rsid w:val="006933ED"/>
    <w:rsid w:val="006935F9"/>
    <w:rsid w:val="006936BD"/>
    <w:rsid w:val="0069375E"/>
    <w:rsid w:val="0069393F"/>
    <w:rsid w:val="00693C3B"/>
    <w:rsid w:val="00693C77"/>
    <w:rsid w:val="00693CD1"/>
    <w:rsid w:val="00693D3A"/>
    <w:rsid w:val="00693DE6"/>
    <w:rsid w:val="00693EA0"/>
    <w:rsid w:val="00694107"/>
    <w:rsid w:val="006941D2"/>
    <w:rsid w:val="006942EA"/>
    <w:rsid w:val="006942F1"/>
    <w:rsid w:val="0069464A"/>
    <w:rsid w:val="00694844"/>
    <w:rsid w:val="006949DB"/>
    <w:rsid w:val="00694E33"/>
    <w:rsid w:val="00694EB0"/>
    <w:rsid w:val="00694F13"/>
    <w:rsid w:val="00695316"/>
    <w:rsid w:val="006953CE"/>
    <w:rsid w:val="006953E5"/>
    <w:rsid w:val="006956E7"/>
    <w:rsid w:val="00695892"/>
    <w:rsid w:val="006958A5"/>
    <w:rsid w:val="006958E0"/>
    <w:rsid w:val="00695A17"/>
    <w:rsid w:val="00695AC3"/>
    <w:rsid w:val="00695C86"/>
    <w:rsid w:val="006961D0"/>
    <w:rsid w:val="006961F0"/>
    <w:rsid w:val="0069660C"/>
    <w:rsid w:val="0069691F"/>
    <w:rsid w:val="00696A7F"/>
    <w:rsid w:val="00696BC3"/>
    <w:rsid w:val="00696C26"/>
    <w:rsid w:val="00696C50"/>
    <w:rsid w:val="00696DB3"/>
    <w:rsid w:val="00696DD6"/>
    <w:rsid w:val="006970B3"/>
    <w:rsid w:val="00697337"/>
    <w:rsid w:val="006974F7"/>
    <w:rsid w:val="00697567"/>
    <w:rsid w:val="00697866"/>
    <w:rsid w:val="00697911"/>
    <w:rsid w:val="00697C97"/>
    <w:rsid w:val="00697CE7"/>
    <w:rsid w:val="00697EBD"/>
    <w:rsid w:val="00697F4F"/>
    <w:rsid w:val="00697F57"/>
    <w:rsid w:val="00697FC9"/>
    <w:rsid w:val="006A0038"/>
    <w:rsid w:val="006A018D"/>
    <w:rsid w:val="006A0366"/>
    <w:rsid w:val="006A076B"/>
    <w:rsid w:val="006A084E"/>
    <w:rsid w:val="006A08A8"/>
    <w:rsid w:val="006A08CF"/>
    <w:rsid w:val="006A0A28"/>
    <w:rsid w:val="006A0B48"/>
    <w:rsid w:val="006A0BDA"/>
    <w:rsid w:val="006A104B"/>
    <w:rsid w:val="006A108B"/>
    <w:rsid w:val="006A10B1"/>
    <w:rsid w:val="006A10DA"/>
    <w:rsid w:val="006A1199"/>
    <w:rsid w:val="006A1530"/>
    <w:rsid w:val="006A165A"/>
    <w:rsid w:val="006A1724"/>
    <w:rsid w:val="006A17ED"/>
    <w:rsid w:val="006A1945"/>
    <w:rsid w:val="006A1A9C"/>
    <w:rsid w:val="006A1C44"/>
    <w:rsid w:val="006A1C45"/>
    <w:rsid w:val="006A1E0E"/>
    <w:rsid w:val="006A2092"/>
    <w:rsid w:val="006A276C"/>
    <w:rsid w:val="006A27CE"/>
    <w:rsid w:val="006A2942"/>
    <w:rsid w:val="006A299F"/>
    <w:rsid w:val="006A2C63"/>
    <w:rsid w:val="006A301A"/>
    <w:rsid w:val="006A3270"/>
    <w:rsid w:val="006A331C"/>
    <w:rsid w:val="006A371A"/>
    <w:rsid w:val="006A3963"/>
    <w:rsid w:val="006A3A11"/>
    <w:rsid w:val="006A3C80"/>
    <w:rsid w:val="006A3CE8"/>
    <w:rsid w:val="006A40C3"/>
    <w:rsid w:val="006A4656"/>
    <w:rsid w:val="006A470C"/>
    <w:rsid w:val="006A4908"/>
    <w:rsid w:val="006A4B39"/>
    <w:rsid w:val="006A4BCE"/>
    <w:rsid w:val="006A4C7C"/>
    <w:rsid w:val="006A4F4B"/>
    <w:rsid w:val="006A5096"/>
    <w:rsid w:val="006A54B3"/>
    <w:rsid w:val="006A57A6"/>
    <w:rsid w:val="006A57F8"/>
    <w:rsid w:val="006A5A8C"/>
    <w:rsid w:val="006A5AB2"/>
    <w:rsid w:val="006A5D59"/>
    <w:rsid w:val="006A5EE1"/>
    <w:rsid w:val="006A600D"/>
    <w:rsid w:val="006A6349"/>
    <w:rsid w:val="006A6824"/>
    <w:rsid w:val="006A6882"/>
    <w:rsid w:val="006A69C3"/>
    <w:rsid w:val="006A6B9B"/>
    <w:rsid w:val="006A6C12"/>
    <w:rsid w:val="006A7258"/>
    <w:rsid w:val="006A7303"/>
    <w:rsid w:val="006A7779"/>
    <w:rsid w:val="006A7A92"/>
    <w:rsid w:val="006A7A97"/>
    <w:rsid w:val="006A7B69"/>
    <w:rsid w:val="006A7BF8"/>
    <w:rsid w:val="006A7E5B"/>
    <w:rsid w:val="006A7ED9"/>
    <w:rsid w:val="006A7EEB"/>
    <w:rsid w:val="006A7F41"/>
    <w:rsid w:val="006A7F83"/>
    <w:rsid w:val="006B0022"/>
    <w:rsid w:val="006B0084"/>
    <w:rsid w:val="006B024F"/>
    <w:rsid w:val="006B0293"/>
    <w:rsid w:val="006B0628"/>
    <w:rsid w:val="006B0644"/>
    <w:rsid w:val="006B0836"/>
    <w:rsid w:val="006B0F6D"/>
    <w:rsid w:val="006B1061"/>
    <w:rsid w:val="006B10E9"/>
    <w:rsid w:val="006B1171"/>
    <w:rsid w:val="006B131F"/>
    <w:rsid w:val="006B13F6"/>
    <w:rsid w:val="006B168D"/>
    <w:rsid w:val="006B1893"/>
    <w:rsid w:val="006B1A61"/>
    <w:rsid w:val="006B1EF6"/>
    <w:rsid w:val="006B20D5"/>
    <w:rsid w:val="006B20F0"/>
    <w:rsid w:val="006B22A9"/>
    <w:rsid w:val="006B26EC"/>
    <w:rsid w:val="006B29AA"/>
    <w:rsid w:val="006B2C02"/>
    <w:rsid w:val="006B3294"/>
    <w:rsid w:val="006B3A65"/>
    <w:rsid w:val="006B3D9E"/>
    <w:rsid w:val="006B409F"/>
    <w:rsid w:val="006B40AC"/>
    <w:rsid w:val="006B434D"/>
    <w:rsid w:val="006B4399"/>
    <w:rsid w:val="006B4436"/>
    <w:rsid w:val="006B44F0"/>
    <w:rsid w:val="006B4537"/>
    <w:rsid w:val="006B4556"/>
    <w:rsid w:val="006B4561"/>
    <w:rsid w:val="006B46C9"/>
    <w:rsid w:val="006B4818"/>
    <w:rsid w:val="006B4867"/>
    <w:rsid w:val="006B4A38"/>
    <w:rsid w:val="006B4EF6"/>
    <w:rsid w:val="006B50BC"/>
    <w:rsid w:val="006B5126"/>
    <w:rsid w:val="006B542D"/>
    <w:rsid w:val="006B5648"/>
    <w:rsid w:val="006B58BA"/>
    <w:rsid w:val="006B5B10"/>
    <w:rsid w:val="006B6078"/>
    <w:rsid w:val="006B6257"/>
    <w:rsid w:val="006B63F0"/>
    <w:rsid w:val="006B69FC"/>
    <w:rsid w:val="006B6ABB"/>
    <w:rsid w:val="006B6B0E"/>
    <w:rsid w:val="006B6B16"/>
    <w:rsid w:val="006B6C4E"/>
    <w:rsid w:val="006B70F6"/>
    <w:rsid w:val="006B7309"/>
    <w:rsid w:val="006B73F5"/>
    <w:rsid w:val="006B74A9"/>
    <w:rsid w:val="006B74B2"/>
    <w:rsid w:val="006B784A"/>
    <w:rsid w:val="006B7949"/>
    <w:rsid w:val="006B7AAA"/>
    <w:rsid w:val="006B7BA4"/>
    <w:rsid w:val="006B7BE6"/>
    <w:rsid w:val="006B7CCF"/>
    <w:rsid w:val="006B7DD5"/>
    <w:rsid w:val="006B7E5A"/>
    <w:rsid w:val="006C01A1"/>
    <w:rsid w:val="006C0296"/>
    <w:rsid w:val="006C03C5"/>
    <w:rsid w:val="006C04D6"/>
    <w:rsid w:val="006C04E8"/>
    <w:rsid w:val="006C0533"/>
    <w:rsid w:val="006C05E8"/>
    <w:rsid w:val="006C085E"/>
    <w:rsid w:val="006C08F9"/>
    <w:rsid w:val="006C0AEA"/>
    <w:rsid w:val="006C0D1B"/>
    <w:rsid w:val="006C0F6F"/>
    <w:rsid w:val="006C1169"/>
    <w:rsid w:val="006C1492"/>
    <w:rsid w:val="006C193D"/>
    <w:rsid w:val="006C19FF"/>
    <w:rsid w:val="006C1A4D"/>
    <w:rsid w:val="006C1E7B"/>
    <w:rsid w:val="006C224D"/>
    <w:rsid w:val="006C2447"/>
    <w:rsid w:val="006C2631"/>
    <w:rsid w:val="006C2725"/>
    <w:rsid w:val="006C27BB"/>
    <w:rsid w:val="006C27F8"/>
    <w:rsid w:val="006C28CA"/>
    <w:rsid w:val="006C28D8"/>
    <w:rsid w:val="006C2934"/>
    <w:rsid w:val="006C29AB"/>
    <w:rsid w:val="006C2A68"/>
    <w:rsid w:val="006C2A96"/>
    <w:rsid w:val="006C2BCF"/>
    <w:rsid w:val="006C2C2F"/>
    <w:rsid w:val="006C2CAA"/>
    <w:rsid w:val="006C30D8"/>
    <w:rsid w:val="006C31CB"/>
    <w:rsid w:val="006C3373"/>
    <w:rsid w:val="006C33C2"/>
    <w:rsid w:val="006C3B6C"/>
    <w:rsid w:val="006C3C22"/>
    <w:rsid w:val="006C449C"/>
    <w:rsid w:val="006C44BE"/>
    <w:rsid w:val="006C46F6"/>
    <w:rsid w:val="006C4BA2"/>
    <w:rsid w:val="006C4CD3"/>
    <w:rsid w:val="006C4DAA"/>
    <w:rsid w:val="006C4DBF"/>
    <w:rsid w:val="006C4E39"/>
    <w:rsid w:val="006C4F1A"/>
    <w:rsid w:val="006C4FF1"/>
    <w:rsid w:val="006C5050"/>
    <w:rsid w:val="006C5227"/>
    <w:rsid w:val="006C53C4"/>
    <w:rsid w:val="006C5569"/>
    <w:rsid w:val="006C5961"/>
    <w:rsid w:val="006C5A86"/>
    <w:rsid w:val="006C5D0F"/>
    <w:rsid w:val="006C5D74"/>
    <w:rsid w:val="006C5EAA"/>
    <w:rsid w:val="006C6030"/>
    <w:rsid w:val="006C603A"/>
    <w:rsid w:val="006C6311"/>
    <w:rsid w:val="006C6501"/>
    <w:rsid w:val="006C67B6"/>
    <w:rsid w:val="006C6916"/>
    <w:rsid w:val="006C6A67"/>
    <w:rsid w:val="006C6C42"/>
    <w:rsid w:val="006C6DDF"/>
    <w:rsid w:val="006C6E0E"/>
    <w:rsid w:val="006C777F"/>
    <w:rsid w:val="006C7859"/>
    <w:rsid w:val="006C7928"/>
    <w:rsid w:val="006C7B6D"/>
    <w:rsid w:val="006C7C97"/>
    <w:rsid w:val="006C7D95"/>
    <w:rsid w:val="006D012C"/>
    <w:rsid w:val="006D01D8"/>
    <w:rsid w:val="006D027B"/>
    <w:rsid w:val="006D042D"/>
    <w:rsid w:val="006D05F5"/>
    <w:rsid w:val="006D07F0"/>
    <w:rsid w:val="006D0AC1"/>
    <w:rsid w:val="006D0DBB"/>
    <w:rsid w:val="006D0DE1"/>
    <w:rsid w:val="006D0FE3"/>
    <w:rsid w:val="006D11CC"/>
    <w:rsid w:val="006D13CA"/>
    <w:rsid w:val="006D1416"/>
    <w:rsid w:val="006D1509"/>
    <w:rsid w:val="006D179F"/>
    <w:rsid w:val="006D18D5"/>
    <w:rsid w:val="006D1B7D"/>
    <w:rsid w:val="006D1EDE"/>
    <w:rsid w:val="006D20BA"/>
    <w:rsid w:val="006D23CA"/>
    <w:rsid w:val="006D2541"/>
    <w:rsid w:val="006D25D4"/>
    <w:rsid w:val="006D2718"/>
    <w:rsid w:val="006D282E"/>
    <w:rsid w:val="006D2AA6"/>
    <w:rsid w:val="006D2AF0"/>
    <w:rsid w:val="006D2FD8"/>
    <w:rsid w:val="006D311A"/>
    <w:rsid w:val="006D3252"/>
    <w:rsid w:val="006D3449"/>
    <w:rsid w:val="006D35C5"/>
    <w:rsid w:val="006D3707"/>
    <w:rsid w:val="006D39CE"/>
    <w:rsid w:val="006D3AB8"/>
    <w:rsid w:val="006D3AC6"/>
    <w:rsid w:val="006D4078"/>
    <w:rsid w:val="006D40A4"/>
    <w:rsid w:val="006D4562"/>
    <w:rsid w:val="006D48AF"/>
    <w:rsid w:val="006D49B9"/>
    <w:rsid w:val="006D5182"/>
    <w:rsid w:val="006D548C"/>
    <w:rsid w:val="006D54F4"/>
    <w:rsid w:val="006D5804"/>
    <w:rsid w:val="006D58AB"/>
    <w:rsid w:val="006D58C5"/>
    <w:rsid w:val="006D5B07"/>
    <w:rsid w:val="006D5DA1"/>
    <w:rsid w:val="006D606C"/>
    <w:rsid w:val="006D61EB"/>
    <w:rsid w:val="006D62CE"/>
    <w:rsid w:val="006D672D"/>
    <w:rsid w:val="006D6845"/>
    <w:rsid w:val="006D6884"/>
    <w:rsid w:val="006D694B"/>
    <w:rsid w:val="006D69B9"/>
    <w:rsid w:val="006D7222"/>
    <w:rsid w:val="006D7282"/>
    <w:rsid w:val="006D7390"/>
    <w:rsid w:val="006D74CA"/>
    <w:rsid w:val="006D76A0"/>
    <w:rsid w:val="006D76CB"/>
    <w:rsid w:val="006D7942"/>
    <w:rsid w:val="006D7CF9"/>
    <w:rsid w:val="006D7EA5"/>
    <w:rsid w:val="006E00F7"/>
    <w:rsid w:val="006E028F"/>
    <w:rsid w:val="006E0347"/>
    <w:rsid w:val="006E03E1"/>
    <w:rsid w:val="006E04A5"/>
    <w:rsid w:val="006E05EA"/>
    <w:rsid w:val="006E0904"/>
    <w:rsid w:val="006E091A"/>
    <w:rsid w:val="006E0C52"/>
    <w:rsid w:val="006E0E3B"/>
    <w:rsid w:val="006E0E53"/>
    <w:rsid w:val="006E1092"/>
    <w:rsid w:val="006E117B"/>
    <w:rsid w:val="006E118F"/>
    <w:rsid w:val="006E11DF"/>
    <w:rsid w:val="006E12E4"/>
    <w:rsid w:val="006E141B"/>
    <w:rsid w:val="006E1569"/>
    <w:rsid w:val="006E1625"/>
    <w:rsid w:val="006E16CA"/>
    <w:rsid w:val="006E1C14"/>
    <w:rsid w:val="006E1D61"/>
    <w:rsid w:val="006E1F35"/>
    <w:rsid w:val="006E1F68"/>
    <w:rsid w:val="006E20B8"/>
    <w:rsid w:val="006E213C"/>
    <w:rsid w:val="006E21A9"/>
    <w:rsid w:val="006E2493"/>
    <w:rsid w:val="006E252E"/>
    <w:rsid w:val="006E2608"/>
    <w:rsid w:val="006E2653"/>
    <w:rsid w:val="006E274A"/>
    <w:rsid w:val="006E2C5E"/>
    <w:rsid w:val="006E2E5A"/>
    <w:rsid w:val="006E3151"/>
    <w:rsid w:val="006E3244"/>
    <w:rsid w:val="006E3358"/>
    <w:rsid w:val="006E3680"/>
    <w:rsid w:val="006E3C71"/>
    <w:rsid w:val="006E3DD0"/>
    <w:rsid w:val="006E3DF5"/>
    <w:rsid w:val="006E3E3A"/>
    <w:rsid w:val="006E3E52"/>
    <w:rsid w:val="006E404F"/>
    <w:rsid w:val="006E4132"/>
    <w:rsid w:val="006E4459"/>
    <w:rsid w:val="006E45CA"/>
    <w:rsid w:val="006E47B9"/>
    <w:rsid w:val="006E480B"/>
    <w:rsid w:val="006E4886"/>
    <w:rsid w:val="006E4A20"/>
    <w:rsid w:val="006E4B97"/>
    <w:rsid w:val="006E4DFC"/>
    <w:rsid w:val="006E529C"/>
    <w:rsid w:val="006E55ED"/>
    <w:rsid w:val="006E5801"/>
    <w:rsid w:val="006E582D"/>
    <w:rsid w:val="006E5951"/>
    <w:rsid w:val="006E5B3F"/>
    <w:rsid w:val="006E5D35"/>
    <w:rsid w:val="006E5D94"/>
    <w:rsid w:val="006E5E80"/>
    <w:rsid w:val="006E5F55"/>
    <w:rsid w:val="006E60BE"/>
    <w:rsid w:val="006E6217"/>
    <w:rsid w:val="006E62A3"/>
    <w:rsid w:val="006E6314"/>
    <w:rsid w:val="006E6409"/>
    <w:rsid w:val="006E6687"/>
    <w:rsid w:val="006E6729"/>
    <w:rsid w:val="006E6819"/>
    <w:rsid w:val="006E6884"/>
    <w:rsid w:val="006E6C88"/>
    <w:rsid w:val="006E6DEB"/>
    <w:rsid w:val="006E6E3E"/>
    <w:rsid w:val="006E6F08"/>
    <w:rsid w:val="006E6F59"/>
    <w:rsid w:val="006E74F2"/>
    <w:rsid w:val="006E7800"/>
    <w:rsid w:val="006E7872"/>
    <w:rsid w:val="006E7B57"/>
    <w:rsid w:val="006E7CE4"/>
    <w:rsid w:val="006E7E92"/>
    <w:rsid w:val="006E7EEB"/>
    <w:rsid w:val="006F0022"/>
    <w:rsid w:val="006F0390"/>
    <w:rsid w:val="006F0548"/>
    <w:rsid w:val="006F056B"/>
    <w:rsid w:val="006F05F5"/>
    <w:rsid w:val="006F0838"/>
    <w:rsid w:val="006F08FB"/>
    <w:rsid w:val="006F0903"/>
    <w:rsid w:val="006F0986"/>
    <w:rsid w:val="006F1214"/>
    <w:rsid w:val="006F1553"/>
    <w:rsid w:val="006F155C"/>
    <w:rsid w:val="006F1602"/>
    <w:rsid w:val="006F1A6F"/>
    <w:rsid w:val="006F1AE7"/>
    <w:rsid w:val="006F1BA2"/>
    <w:rsid w:val="006F1BA4"/>
    <w:rsid w:val="006F1C3D"/>
    <w:rsid w:val="006F1CEE"/>
    <w:rsid w:val="006F1FEA"/>
    <w:rsid w:val="006F215C"/>
    <w:rsid w:val="006F217E"/>
    <w:rsid w:val="006F21FD"/>
    <w:rsid w:val="006F228A"/>
    <w:rsid w:val="006F2370"/>
    <w:rsid w:val="006F2CBD"/>
    <w:rsid w:val="006F2D47"/>
    <w:rsid w:val="006F2DCF"/>
    <w:rsid w:val="006F3045"/>
    <w:rsid w:val="006F348C"/>
    <w:rsid w:val="006F374F"/>
    <w:rsid w:val="006F385A"/>
    <w:rsid w:val="006F3B44"/>
    <w:rsid w:val="006F3E8B"/>
    <w:rsid w:val="006F4098"/>
    <w:rsid w:val="006F40AE"/>
    <w:rsid w:val="006F4474"/>
    <w:rsid w:val="006F468A"/>
    <w:rsid w:val="006F49B4"/>
    <w:rsid w:val="006F4A9B"/>
    <w:rsid w:val="006F4DF3"/>
    <w:rsid w:val="006F504C"/>
    <w:rsid w:val="006F5091"/>
    <w:rsid w:val="006F53C8"/>
    <w:rsid w:val="006F53E7"/>
    <w:rsid w:val="006F5429"/>
    <w:rsid w:val="006F54BC"/>
    <w:rsid w:val="006F5666"/>
    <w:rsid w:val="006F56B0"/>
    <w:rsid w:val="006F581F"/>
    <w:rsid w:val="006F58A5"/>
    <w:rsid w:val="006F5947"/>
    <w:rsid w:val="006F5D2B"/>
    <w:rsid w:val="006F5D5E"/>
    <w:rsid w:val="006F5DC1"/>
    <w:rsid w:val="006F5F02"/>
    <w:rsid w:val="006F5F36"/>
    <w:rsid w:val="006F66A2"/>
    <w:rsid w:val="006F6794"/>
    <w:rsid w:val="006F6C12"/>
    <w:rsid w:val="006F6F8D"/>
    <w:rsid w:val="006F7020"/>
    <w:rsid w:val="006F7171"/>
    <w:rsid w:val="006F7174"/>
    <w:rsid w:val="006F72AD"/>
    <w:rsid w:val="006F7310"/>
    <w:rsid w:val="006F7430"/>
    <w:rsid w:val="006F7758"/>
    <w:rsid w:val="006F77B5"/>
    <w:rsid w:val="006F7827"/>
    <w:rsid w:val="006F789B"/>
    <w:rsid w:val="006F78D1"/>
    <w:rsid w:val="006F7989"/>
    <w:rsid w:val="006F79AB"/>
    <w:rsid w:val="006F7B18"/>
    <w:rsid w:val="006F7B27"/>
    <w:rsid w:val="006F7E5E"/>
    <w:rsid w:val="006F7E82"/>
    <w:rsid w:val="007000E2"/>
    <w:rsid w:val="00700234"/>
    <w:rsid w:val="00700361"/>
    <w:rsid w:val="007003EC"/>
    <w:rsid w:val="0070059D"/>
    <w:rsid w:val="007005AA"/>
    <w:rsid w:val="007005D0"/>
    <w:rsid w:val="00700730"/>
    <w:rsid w:val="00700742"/>
    <w:rsid w:val="00700780"/>
    <w:rsid w:val="00700921"/>
    <w:rsid w:val="00700A50"/>
    <w:rsid w:val="00700C77"/>
    <w:rsid w:val="00700D27"/>
    <w:rsid w:val="00700D30"/>
    <w:rsid w:val="00700DFD"/>
    <w:rsid w:val="00700EA3"/>
    <w:rsid w:val="007010F2"/>
    <w:rsid w:val="0070116A"/>
    <w:rsid w:val="0070128C"/>
    <w:rsid w:val="00701411"/>
    <w:rsid w:val="00701460"/>
    <w:rsid w:val="0070162A"/>
    <w:rsid w:val="00701673"/>
    <w:rsid w:val="0070170E"/>
    <w:rsid w:val="00701AEF"/>
    <w:rsid w:val="00701D26"/>
    <w:rsid w:val="00701D54"/>
    <w:rsid w:val="00701D5A"/>
    <w:rsid w:val="00701EBC"/>
    <w:rsid w:val="00701F66"/>
    <w:rsid w:val="00702012"/>
    <w:rsid w:val="0070202B"/>
    <w:rsid w:val="0070232A"/>
    <w:rsid w:val="0070240E"/>
    <w:rsid w:val="0070275D"/>
    <w:rsid w:val="00702792"/>
    <w:rsid w:val="00702BBB"/>
    <w:rsid w:val="00702F40"/>
    <w:rsid w:val="00702F4A"/>
    <w:rsid w:val="00703040"/>
    <w:rsid w:val="007033B6"/>
    <w:rsid w:val="00703493"/>
    <w:rsid w:val="007038C4"/>
    <w:rsid w:val="007038CF"/>
    <w:rsid w:val="00703925"/>
    <w:rsid w:val="0070392F"/>
    <w:rsid w:val="00703BC2"/>
    <w:rsid w:val="00703DAA"/>
    <w:rsid w:val="00704113"/>
    <w:rsid w:val="00704117"/>
    <w:rsid w:val="0070432E"/>
    <w:rsid w:val="0070434D"/>
    <w:rsid w:val="007044F3"/>
    <w:rsid w:val="00704503"/>
    <w:rsid w:val="0070456B"/>
    <w:rsid w:val="0070489A"/>
    <w:rsid w:val="00704979"/>
    <w:rsid w:val="00704DA2"/>
    <w:rsid w:val="00704F66"/>
    <w:rsid w:val="00705122"/>
    <w:rsid w:val="00705314"/>
    <w:rsid w:val="0070547B"/>
    <w:rsid w:val="00705920"/>
    <w:rsid w:val="00705A32"/>
    <w:rsid w:val="00705AEB"/>
    <w:rsid w:val="00705CA6"/>
    <w:rsid w:val="00705CF1"/>
    <w:rsid w:val="00705E79"/>
    <w:rsid w:val="00705E9C"/>
    <w:rsid w:val="00705EDD"/>
    <w:rsid w:val="00706088"/>
    <w:rsid w:val="0070637E"/>
    <w:rsid w:val="00706515"/>
    <w:rsid w:val="00706CBD"/>
    <w:rsid w:val="00706D89"/>
    <w:rsid w:val="00706DDF"/>
    <w:rsid w:val="00706DE1"/>
    <w:rsid w:val="00706FCB"/>
    <w:rsid w:val="00707096"/>
    <w:rsid w:val="00707209"/>
    <w:rsid w:val="00707913"/>
    <w:rsid w:val="0071031C"/>
    <w:rsid w:val="0071034C"/>
    <w:rsid w:val="007103CE"/>
    <w:rsid w:val="0071054B"/>
    <w:rsid w:val="007107B1"/>
    <w:rsid w:val="00710966"/>
    <w:rsid w:val="00710A0F"/>
    <w:rsid w:val="00710AC6"/>
    <w:rsid w:val="00710B28"/>
    <w:rsid w:val="00710BED"/>
    <w:rsid w:val="00710D24"/>
    <w:rsid w:val="00710DBB"/>
    <w:rsid w:val="007112C5"/>
    <w:rsid w:val="00711421"/>
    <w:rsid w:val="007114D9"/>
    <w:rsid w:val="00711620"/>
    <w:rsid w:val="007116FC"/>
    <w:rsid w:val="0071170E"/>
    <w:rsid w:val="007117B6"/>
    <w:rsid w:val="00711917"/>
    <w:rsid w:val="00711D8E"/>
    <w:rsid w:val="0071213F"/>
    <w:rsid w:val="007121A3"/>
    <w:rsid w:val="00712384"/>
    <w:rsid w:val="007126F1"/>
    <w:rsid w:val="0071289D"/>
    <w:rsid w:val="007129FA"/>
    <w:rsid w:val="00712AAD"/>
    <w:rsid w:val="00712B10"/>
    <w:rsid w:val="00712F92"/>
    <w:rsid w:val="007130CF"/>
    <w:rsid w:val="00713448"/>
    <w:rsid w:val="007134A5"/>
    <w:rsid w:val="00713626"/>
    <w:rsid w:val="00713B17"/>
    <w:rsid w:val="00713DC0"/>
    <w:rsid w:val="00713EC6"/>
    <w:rsid w:val="007140CC"/>
    <w:rsid w:val="0071445D"/>
    <w:rsid w:val="00714739"/>
    <w:rsid w:val="0071481A"/>
    <w:rsid w:val="00714B80"/>
    <w:rsid w:val="00714D4F"/>
    <w:rsid w:val="00714EF5"/>
    <w:rsid w:val="00714FEC"/>
    <w:rsid w:val="007150A7"/>
    <w:rsid w:val="0071510C"/>
    <w:rsid w:val="0071532F"/>
    <w:rsid w:val="007153A8"/>
    <w:rsid w:val="0071560E"/>
    <w:rsid w:val="00715612"/>
    <w:rsid w:val="00715628"/>
    <w:rsid w:val="00715642"/>
    <w:rsid w:val="00715663"/>
    <w:rsid w:val="007159EA"/>
    <w:rsid w:val="00715C78"/>
    <w:rsid w:val="00715CDA"/>
    <w:rsid w:val="007162AB"/>
    <w:rsid w:val="00716461"/>
    <w:rsid w:val="00716472"/>
    <w:rsid w:val="007164A8"/>
    <w:rsid w:val="00716999"/>
    <w:rsid w:val="00716B0A"/>
    <w:rsid w:val="00716E06"/>
    <w:rsid w:val="00716F2C"/>
    <w:rsid w:val="0071709C"/>
    <w:rsid w:val="007171E7"/>
    <w:rsid w:val="00717270"/>
    <w:rsid w:val="0071768B"/>
    <w:rsid w:val="00717C80"/>
    <w:rsid w:val="00720063"/>
    <w:rsid w:val="007203BD"/>
    <w:rsid w:val="007204BF"/>
    <w:rsid w:val="00720655"/>
    <w:rsid w:val="0072073D"/>
    <w:rsid w:val="00720984"/>
    <w:rsid w:val="007209CA"/>
    <w:rsid w:val="00720B8F"/>
    <w:rsid w:val="00720C1A"/>
    <w:rsid w:val="00720D42"/>
    <w:rsid w:val="00720F82"/>
    <w:rsid w:val="007211DD"/>
    <w:rsid w:val="00721305"/>
    <w:rsid w:val="00721336"/>
    <w:rsid w:val="007213F4"/>
    <w:rsid w:val="00721444"/>
    <w:rsid w:val="0072147F"/>
    <w:rsid w:val="007215D6"/>
    <w:rsid w:val="00721C49"/>
    <w:rsid w:val="00721D53"/>
    <w:rsid w:val="00721DCA"/>
    <w:rsid w:val="00721EBD"/>
    <w:rsid w:val="007220DC"/>
    <w:rsid w:val="007222CB"/>
    <w:rsid w:val="0072241A"/>
    <w:rsid w:val="00722448"/>
    <w:rsid w:val="0072260F"/>
    <w:rsid w:val="00722708"/>
    <w:rsid w:val="007227E2"/>
    <w:rsid w:val="00722855"/>
    <w:rsid w:val="00722909"/>
    <w:rsid w:val="00722A2C"/>
    <w:rsid w:val="00722AEF"/>
    <w:rsid w:val="00722D05"/>
    <w:rsid w:val="00722F51"/>
    <w:rsid w:val="00723649"/>
    <w:rsid w:val="0072386B"/>
    <w:rsid w:val="00723AB8"/>
    <w:rsid w:val="00723CE1"/>
    <w:rsid w:val="007242BA"/>
    <w:rsid w:val="007243C6"/>
    <w:rsid w:val="00724402"/>
    <w:rsid w:val="00724629"/>
    <w:rsid w:val="007248ED"/>
    <w:rsid w:val="00724B0C"/>
    <w:rsid w:val="00724C2E"/>
    <w:rsid w:val="00725407"/>
    <w:rsid w:val="007255D9"/>
    <w:rsid w:val="00725723"/>
    <w:rsid w:val="00725AAC"/>
    <w:rsid w:val="00725AC3"/>
    <w:rsid w:val="00725BB4"/>
    <w:rsid w:val="00725BE9"/>
    <w:rsid w:val="00725CB4"/>
    <w:rsid w:val="00725D71"/>
    <w:rsid w:val="00725F77"/>
    <w:rsid w:val="00725FB4"/>
    <w:rsid w:val="0072618A"/>
    <w:rsid w:val="007265C8"/>
    <w:rsid w:val="0072692E"/>
    <w:rsid w:val="00726CF0"/>
    <w:rsid w:val="00727118"/>
    <w:rsid w:val="00727228"/>
    <w:rsid w:val="007272DB"/>
    <w:rsid w:val="00727337"/>
    <w:rsid w:val="0072739A"/>
    <w:rsid w:val="00727460"/>
    <w:rsid w:val="007275BA"/>
    <w:rsid w:val="00727775"/>
    <w:rsid w:val="007279A0"/>
    <w:rsid w:val="00727ACC"/>
    <w:rsid w:val="00727CFD"/>
    <w:rsid w:val="00727DC2"/>
    <w:rsid w:val="00727E42"/>
    <w:rsid w:val="00727E54"/>
    <w:rsid w:val="00727FDD"/>
    <w:rsid w:val="0073008D"/>
    <w:rsid w:val="0073014C"/>
    <w:rsid w:val="0073020B"/>
    <w:rsid w:val="00730629"/>
    <w:rsid w:val="007307A4"/>
    <w:rsid w:val="00730AD0"/>
    <w:rsid w:val="00730BEF"/>
    <w:rsid w:val="00730E3E"/>
    <w:rsid w:val="0073104A"/>
    <w:rsid w:val="007310B2"/>
    <w:rsid w:val="007311E9"/>
    <w:rsid w:val="0073147C"/>
    <w:rsid w:val="00731499"/>
    <w:rsid w:val="00731662"/>
    <w:rsid w:val="00731751"/>
    <w:rsid w:val="007319A9"/>
    <w:rsid w:val="00731B27"/>
    <w:rsid w:val="00731BB6"/>
    <w:rsid w:val="00731EB2"/>
    <w:rsid w:val="00732012"/>
    <w:rsid w:val="0073239F"/>
    <w:rsid w:val="007323D1"/>
    <w:rsid w:val="007324E3"/>
    <w:rsid w:val="007324E6"/>
    <w:rsid w:val="0073268A"/>
    <w:rsid w:val="00732755"/>
    <w:rsid w:val="007328C4"/>
    <w:rsid w:val="00732DAA"/>
    <w:rsid w:val="00732FBE"/>
    <w:rsid w:val="00733041"/>
    <w:rsid w:val="0073326A"/>
    <w:rsid w:val="0073342D"/>
    <w:rsid w:val="0073362A"/>
    <w:rsid w:val="0073386B"/>
    <w:rsid w:val="00733908"/>
    <w:rsid w:val="0073397D"/>
    <w:rsid w:val="00733BF9"/>
    <w:rsid w:val="00733D0A"/>
    <w:rsid w:val="00733DDC"/>
    <w:rsid w:val="00733DFE"/>
    <w:rsid w:val="00733E03"/>
    <w:rsid w:val="00734117"/>
    <w:rsid w:val="00734241"/>
    <w:rsid w:val="00734583"/>
    <w:rsid w:val="0073483C"/>
    <w:rsid w:val="00734C8A"/>
    <w:rsid w:val="00734F15"/>
    <w:rsid w:val="007355CD"/>
    <w:rsid w:val="00735A48"/>
    <w:rsid w:val="00735ABB"/>
    <w:rsid w:val="00735EF9"/>
    <w:rsid w:val="00736090"/>
    <w:rsid w:val="0073641E"/>
    <w:rsid w:val="00736486"/>
    <w:rsid w:val="0073649F"/>
    <w:rsid w:val="007365B0"/>
    <w:rsid w:val="007366B3"/>
    <w:rsid w:val="00736801"/>
    <w:rsid w:val="0073687E"/>
    <w:rsid w:val="00736C2A"/>
    <w:rsid w:val="00736CFD"/>
    <w:rsid w:val="00736E22"/>
    <w:rsid w:val="00736EB3"/>
    <w:rsid w:val="00737122"/>
    <w:rsid w:val="0073722A"/>
    <w:rsid w:val="007372EA"/>
    <w:rsid w:val="00737360"/>
    <w:rsid w:val="0073736D"/>
    <w:rsid w:val="00737790"/>
    <w:rsid w:val="00737B79"/>
    <w:rsid w:val="00737B92"/>
    <w:rsid w:val="00737BBD"/>
    <w:rsid w:val="00737BD0"/>
    <w:rsid w:val="00737F7B"/>
    <w:rsid w:val="00740010"/>
    <w:rsid w:val="0074016B"/>
    <w:rsid w:val="00740260"/>
    <w:rsid w:val="007402DD"/>
    <w:rsid w:val="0074048C"/>
    <w:rsid w:val="00740573"/>
    <w:rsid w:val="007406B0"/>
    <w:rsid w:val="007408C8"/>
    <w:rsid w:val="00740907"/>
    <w:rsid w:val="0074106D"/>
    <w:rsid w:val="0074116F"/>
    <w:rsid w:val="007411B4"/>
    <w:rsid w:val="00741643"/>
    <w:rsid w:val="0074172B"/>
    <w:rsid w:val="00741913"/>
    <w:rsid w:val="00741C8D"/>
    <w:rsid w:val="00741EC3"/>
    <w:rsid w:val="00742480"/>
    <w:rsid w:val="00742485"/>
    <w:rsid w:val="00742685"/>
    <w:rsid w:val="007426C6"/>
    <w:rsid w:val="00742CB7"/>
    <w:rsid w:val="00742DF1"/>
    <w:rsid w:val="00743258"/>
    <w:rsid w:val="0074351C"/>
    <w:rsid w:val="00743626"/>
    <w:rsid w:val="0074392B"/>
    <w:rsid w:val="00743A7B"/>
    <w:rsid w:val="00743AF8"/>
    <w:rsid w:val="007441C6"/>
    <w:rsid w:val="0074423B"/>
    <w:rsid w:val="007442CE"/>
    <w:rsid w:val="0074441B"/>
    <w:rsid w:val="00744459"/>
    <w:rsid w:val="00744594"/>
    <w:rsid w:val="007447FE"/>
    <w:rsid w:val="00744A9F"/>
    <w:rsid w:val="00744B85"/>
    <w:rsid w:val="00744BDE"/>
    <w:rsid w:val="00744D6C"/>
    <w:rsid w:val="00744E89"/>
    <w:rsid w:val="00744EA1"/>
    <w:rsid w:val="00745010"/>
    <w:rsid w:val="00745449"/>
    <w:rsid w:val="00745552"/>
    <w:rsid w:val="0074573A"/>
    <w:rsid w:val="0074573F"/>
    <w:rsid w:val="007457CA"/>
    <w:rsid w:val="00745833"/>
    <w:rsid w:val="007458C1"/>
    <w:rsid w:val="00745ABD"/>
    <w:rsid w:val="00745ABF"/>
    <w:rsid w:val="00745C27"/>
    <w:rsid w:val="00745D6A"/>
    <w:rsid w:val="00745E01"/>
    <w:rsid w:val="00746375"/>
    <w:rsid w:val="007464D6"/>
    <w:rsid w:val="00746572"/>
    <w:rsid w:val="00746945"/>
    <w:rsid w:val="00746B17"/>
    <w:rsid w:val="00746B1C"/>
    <w:rsid w:val="00746B8F"/>
    <w:rsid w:val="00746CE7"/>
    <w:rsid w:val="0074733F"/>
    <w:rsid w:val="007473DD"/>
    <w:rsid w:val="0074741F"/>
    <w:rsid w:val="00747502"/>
    <w:rsid w:val="007475AA"/>
    <w:rsid w:val="00747617"/>
    <w:rsid w:val="0074774D"/>
    <w:rsid w:val="0074777B"/>
    <w:rsid w:val="00747BDE"/>
    <w:rsid w:val="00747F98"/>
    <w:rsid w:val="00750038"/>
    <w:rsid w:val="00750811"/>
    <w:rsid w:val="0075089F"/>
    <w:rsid w:val="00750BC9"/>
    <w:rsid w:val="00750F71"/>
    <w:rsid w:val="0075105B"/>
    <w:rsid w:val="00751145"/>
    <w:rsid w:val="007511BA"/>
    <w:rsid w:val="007511F3"/>
    <w:rsid w:val="00751221"/>
    <w:rsid w:val="00751305"/>
    <w:rsid w:val="007513E7"/>
    <w:rsid w:val="00751561"/>
    <w:rsid w:val="007516A0"/>
    <w:rsid w:val="00751760"/>
    <w:rsid w:val="007517FF"/>
    <w:rsid w:val="00751D85"/>
    <w:rsid w:val="00751DAF"/>
    <w:rsid w:val="00751F48"/>
    <w:rsid w:val="00752155"/>
    <w:rsid w:val="00752460"/>
    <w:rsid w:val="0075282A"/>
    <w:rsid w:val="00752C47"/>
    <w:rsid w:val="00752D1B"/>
    <w:rsid w:val="00752D68"/>
    <w:rsid w:val="00752D6B"/>
    <w:rsid w:val="00752E70"/>
    <w:rsid w:val="0075349C"/>
    <w:rsid w:val="007535F6"/>
    <w:rsid w:val="00753638"/>
    <w:rsid w:val="007539E2"/>
    <w:rsid w:val="00753A75"/>
    <w:rsid w:val="00753B5B"/>
    <w:rsid w:val="00753C6D"/>
    <w:rsid w:val="00753CB8"/>
    <w:rsid w:val="00753D06"/>
    <w:rsid w:val="00753E2D"/>
    <w:rsid w:val="00754188"/>
    <w:rsid w:val="007541DB"/>
    <w:rsid w:val="007542E9"/>
    <w:rsid w:val="00754333"/>
    <w:rsid w:val="0075447E"/>
    <w:rsid w:val="007546B3"/>
    <w:rsid w:val="007548D2"/>
    <w:rsid w:val="00754B4E"/>
    <w:rsid w:val="00754F34"/>
    <w:rsid w:val="00755322"/>
    <w:rsid w:val="0075572F"/>
    <w:rsid w:val="007557E8"/>
    <w:rsid w:val="00755F44"/>
    <w:rsid w:val="00755F99"/>
    <w:rsid w:val="007560FE"/>
    <w:rsid w:val="00756646"/>
    <w:rsid w:val="007566A6"/>
    <w:rsid w:val="0075677D"/>
    <w:rsid w:val="00756861"/>
    <w:rsid w:val="00756F07"/>
    <w:rsid w:val="0075748B"/>
    <w:rsid w:val="007575F4"/>
    <w:rsid w:val="0075778D"/>
    <w:rsid w:val="007577B8"/>
    <w:rsid w:val="0075783D"/>
    <w:rsid w:val="0075788F"/>
    <w:rsid w:val="007578BF"/>
    <w:rsid w:val="00757B04"/>
    <w:rsid w:val="007601E7"/>
    <w:rsid w:val="0076071B"/>
    <w:rsid w:val="007608A5"/>
    <w:rsid w:val="00760AF5"/>
    <w:rsid w:val="00760AFE"/>
    <w:rsid w:val="00760CD7"/>
    <w:rsid w:val="007610A3"/>
    <w:rsid w:val="0076129D"/>
    <w:rsid w:val="007613D0"/>
    <w:rsid w:val="00761411"/>
    <w:rsid w:val="0076150D"/>
    <w:rsid w:val="00761572"/>
    <w:rsid w:val="00761605"/>
    <w:rsid w:val="00761668"/>
    <w:rsid w:val="00761727"/>
    <w:rsid w:val="007619D2"/>
    <w:rsid w:val="00761BF4"/>
    <w:rsid w:val="00761C45"/>
    <w:rsid w:val="00761CB1"/>
    <w:rsid w:val="00761E85"/>
    <w:rsid w:val="00761EC6"/>
    <w:rsid w:val="007621E9"/>
    <w:rsid w:val="00762663"/>
    <w:rsid w:val="007627AC"/>
    <w:rsid w:val="007629FC"/>
    <w:rsid w:val="00762ACE"/>
    <w:rsid w:val="00762CB8"/>
    <w:rsid w:val="00763028"/>
    <w:rsid w:val="007630CB"/>
    <w:rsid w:val="007633AA"/>
    <w:rsid w:val="00763512"/>
    <w:rsid w:val="00763617"/>
    <w:rsid w:val="00763E80"/>
    <w:rsid w:val="007642D4"/>
    <w:rsid w:val="00764423"/>
    <w:rsid w:val="007645DF"/>
    <w:rsid w:val="00764627"/>
    <w:rsid w:val="0076472E"/>
    <w:rsid w:val="0076475C"/>
    <w:rsid w:val="00764917"/>
    <w:rsid w:val="00764933"/>
    <w:rsid w:val="00764941"/>
    <w:rsid w:val="00764B22"/>
    <w:rsid w:val="00764BFB"/>
    <w:rsid w:val="00764EA4"/>
    <w:rsid w:val="00764EF8"/>
    <w:rsid w:val="00765026"/>
    <w:rsid w:val="0076509B"/>
    <w:rsid w:val="0076514A"/>
    <w:rsid w:val="00765158"/>
    <w:rsid w:val="00765322"/>
    <w:rsid w:val="0076539F"/>
    <w:rsid w:val="00765442"/>
    <w:rsid w:val="007654A2"/>
    <w:rsid w:val="00765555"/>
    <w:rsid w:val="0076579E"/>
    <w:rsid w:val="00765BA5"/>
    <w:rsid w:val="00766319"/>
    <w:rsid w:val="0076636D"/>
    <w:rsid w:val="00766429"/>
    <w:rsid w:val="0076649C"/>
    <w:rsid w:val="00766540"/>
    <w:rsid w:val="007665AC"/>
    <w:rsid w:val="00766748"/>
    <w:rsid w:val="007668DF"/>
    <w:rsid w:val="00766A77"/>
    <w:rsid w:val="00766B94"/>
    <w:rsid w:val="00766CBB"/>
    <w:rsid w:val="00766CD0"/>
    <w:rsid w:val="00766E8E"/>
    <w:rsid w:val="007672E0"/>
    <w:rsid w:val="0076796E"/>
    <w:rsid w:val="00767FCC"/>
    <w:rsid w:val="00770358"/>
    <w:rsid w:val="007704BE"/>
    <w:rsid w:val="0077054B"/>
    <w:rsid w:val="00770985"/>
    <w:rsid w:val="007709C5"/>
    <w:rsid w:val="00770A37"/>
    <w:rsid w:val="00770E02"/>
    <w:rsid w:val="0077109C"/>
    <w:rsid w:val="0077117A"/>
    <w:rsid w:val="007712FA"/>
    <w:rsid w:val="007712FB"/>
    <w:rsid w:val="007713B6"/>
    <w:rsid w:val="0077158A"/>
    <w:rsid w:val="0077158F"/>
    <w:rsid w:val="00771657"/>
    <w:rsid w:val="00771747"/>
    <w:rsid w:val="0077175E"/>
    <w:rsid w:val="00771899"/>
    <w:rsid w:val="00771999"/>
    <w:rsid w:val="00771AA6"/>
    <w:rsid w:val="00771D89"/>
    <w:rsid w:val="00771EBC"/>
    <w:rsid w:val="00771FF3"/>
    <w:rsid w:val="00772026"/>
    <w:rsid w:val="0077223A"/>
    <w:rsid w:val="00772297"/>
    <w:rsid w:val="007722F7"/>
    <w:rsid w:val="00772309"/>
    <w:rsid w:val="00772311"/>
    <w:rsid w:val="00772800"/>
    <w:rsid w:val="007728ED"/>
    <w:rsid w:val="00772B68"/>
    <w:rsid w:val="00772BA5"/>
    <w:rsid w:val="00772BDE"/>
    <w:rsid w:val="00772D65"/>
    <w:rsid w:val="00772EBC"/>
    <w:rsid w:val="00772F38"/>
    <w:rsid w:val="00772F80"/>
    <w:rsid w:val="00773184"/>
    <w:rsid w:val="007731B5"/>
    <w:rsid w:val="007731FF"/>
    <w:rsid w:val="007733BB"/>
    <w:rsid w:val="0077352A"/>
    <w:rsid w:val="00773596"/>
    <w:rsid w:val="007736CD"/>
    <w:rsid w:val="00773AC6"/>
    <w:rsid w:val="00773BA8"/>
    <w:rsid w:val="00773CD1"/>
    <w:rsid w:val="00773D83"/>
    <w:rsid w:val="00773DB8"/>
    <w:rsid w:val="00773DD1"/>
    <w:rsid w:val="00773E08"/>
    <w:rsid w:val="00774230"/>
    <w:rsid w:val="007743FC"/>
    <w:rsid w:val="0077466C"/>
    <w:rsid w:val="0077495C"/>
    <w:rsid w:val="007749CA"/>
    <w:rsid w:val="007749D9"/>
    <w:rsid w:val="00774A9B"/>
    <w:rsid w:val="00774C1E"/>
    <w:rsid w:val="0077525E"/>
    <w:rsid w:val="00775366"/>
    <w:rsid w:val="0077536B"/>
    <w:rsid w:val="00775480"/>
    <w:rsid w:val="007757C2"/>
    <w:rsid w:val="007757CB"/>
    <w:rsid w:val="00775B37"/>
    <w:rsid w:val="00775C9B"/>
    <w:rsid w:val="00775E2E"/>
    <w:rsid w:val="00775E63"/>
    <w:rsid w:val="007760AA"/>
    <w:rsid w:val="0077610D"/>
    <w:rsid w:val="0077663E"/>
    <w:rsid w:val="00776D5D"/>
    <w:rsid w:val="00777052"/>
    <w:rsid w:val="0077714A"/>
    <w:rsid w:val="007775A7"/>
    <w:rsid w:val="007777A5"/>
    <w:rsid w:val="00777882"/>
    <w:rsid w:val="007779D4"/>
    <w:rsid w:val="00777A4C"/>
    <w:rsid w:val="00777C24"/>
    <w:rsid w:val="00777C57"/>
    <w:rsid w:val="00777CCF"/>
    <w:rsid w:val="00777D2C"/>
    <w:rsid w:val="00777D4F"/>
    <w:rsid w:val="00777D5D"/>
    <w:rsid w:val="00777DFB"/>
    <w:rsid w:val="00777F48"/>
    <w:rsid w:val="00777F7A"/>
    <w:rsid w:val="007804FE"/>
    <w:rsid w:val="0078055A"/>
    <w:rsid w:val="007805C4"/>
    <w:rsid w:val="007807F1"/>
    <w:rsid w:val="00780B27"/>
    <w:rsid w:val="00780B64"/>
    <w:rsid w:val="00780C0D"/>
    <w:rsid w:val="00780CDD"/>
    <w:rsid w:val="00780E8E"/>
    <w:rsid w:val="00780F9D"/>
    <w:rsid w:val="007810EC"/>
    <w:rsid w:val="0078111D"/>
    <w:rsid w:val="00781125"/>
    <w:rsid w:val="00781280"/>
    <w:rsid w:val="007812B8"/>
    <w:rsid w:val="007812FC"/>
    <w:rsid w:val="007813B0"/>
    <w:rsid w:val="00781673"/>
    <w:rsid w:val="007816F7"/>
    <w:rsid w:val="00781791"/>
    <w:rsid w:val="00781828"/>
    <w:rsid w:val="00781B5B"/>
    <w:rsid w:val="00782019"/>
    <w:rsid w:val="007820CC"/>
    <w:rsid w:val="007822D5"/>
    <w:rsid w:val="007824E7"/>
    <w:rsid w:val="00782563"/>
    <w:rsid w:val="00782A36"/>
    <w:rsid w:val="00782E79"/>
    <w:rsid w:val="00782F35"/>
    <w:rsid w:val="00782F9A"/>
    <w:rsid w:val="007833C6"/>
    <w:rsid w:val="00783489"/>
    <w:rsid w:val="007838D1"/>
    <w:rsid w:val="00783B1A"/>
    <w:rsid w:val="00783C2E"/>
    <w:rsid w:val="00783DED"/>
    <w:rsid w:val="00784320"/>
    <w:rsid w:val="007847CA"/>
    <w:rsid w:val="0078481B"/>
    <w:rsid w:val="00784909"/>
    <w:rsid w:val="00784BEF"/>
    <w:rsid w:val="00784D0F"/>
    <w:rsid w:val="0078522E"/>
    <w:rsid w:val="0078526C"/>
    <w:rsid w:val="007853E0"/>
    <w:rsid w:val="007853E7"/>
    <w:rsid w:val="0078551D"/>
    <w:rsid w:val="007856AD"/>
    <w:rsid w:val="007856BE"/>
    <w:rsid w:val="00785ADB"/>
    <w:rsid w:val="00785B1E"/>
    <w:rsid w:val="00785F3A"/>
    <w:rsid w:val="0078615A"/>
    <w:rsid w:val="00786235"/>
    <w:rsid w:val="00786491"/>
    <w:rsid w:val="007864CC"/>
    <w:rsid w:val="0078658A"/>
    <w:rsid w:val="00786664"/>
    <w:rsid w:val="00786AAF"/>
    <w:rsid w:val="00786CAC"/>
    <w:rsid w:val="00786CBB"/>
    <w:rsid w:val="00787537"/>
    <w:rsid w:val="007875CA"/>
    <w:rsid w:val="00787617"/>
    <w:rsid w:val="00787660"/>
    <w:rsid w:val="007876FB"/>
    <w:rsid w:val="0078789C"/>
    <w:rsid w:val="00787C07"/>
    <w:rsid w:val="00787CCE"/>
    <w:rsid w:val="0079026D"/>
    <w:rsid w:val="007903BC"/>
    <w:rsid w:val="00790442"/>
    <w:rsid w:val="007904B2"/>
    <w:rsid w:val="0079053D"/>
    <w:rsid w:val="007908CA"/>
    <w:rsid w:val="00790A69"/>
    <w:rsid w:val="00790B42"/>
    <w:rsid w:val="00790D19"/>
    <w:rsid w:val="00790F00"/>
    <w:rsid w:val="0079107F"/>
    <w:rsid w:val="007911FF"/>
    <w:rsid w:val="00791657"/>
    <w:rsid w:val="007916C7"/>
    <w:rsid w:val="007918C9"/>
    <w:rsid w:val="00791919"/>
    <w:rsid w:val="00791B8E"/>
    <w:rsid w:val="00791CB6"/>
    <w:rsid w:val="00791F15"/>
    <w:rsid w:val="0079215C"/>
    <w:rsid w:val="007922A5"/>
    <w:rsid w:val="007922C3"/>
    <w:rsid w:val="00792397"/>
    <w:rsid w:val="00792876"/>
    <w:rsid w:val="00792A6E"/>
    <w:rsid w:val="00792D5B"/>
    <w:rsid w:val="00793390"/>
    <w:rsid w:val="00793536"/>
    <w:rsid w:val="0079377C"/>
    <w:rsid w:val="00793820"/>
    <w:rsid w:val="007939D1"/>
    <w:rsid w:val="00793AD1"/>
    <w:rsid w:val="00793C75"/>
    <w:rsid w:val="00793DE0"/>
    <w:rsid w:val="00793E92"/>
    <w:rsid w:val="0079411D"/>
    <w:rsid w:val="0079416B"/>
    <w:rsid w:val="007941C7"/>
    <w:rsid w:val="0079431F"/>
    <w:rsid w:val="007943B9"/>
    <w:rsid w:val="0079448C"/>
    <w:rsid w:val="0079452F"/>
    <w:rsid w:val="00794687"/>
    <w:rsid w:val="00794918"/>
    <w:rsid w:val="00794B93"/>
    <w:rsid w:val="00794B98"/>
    <w:rsid w:val="00794F52"/>
    <w:rsid w:val="00794FB7"/>
    <w:rsid w:val="0079547D"/>
    <w:rsid w:val="00795618"/>
    <w:rsid w:val="0079563E"/>
    <w:rsid w:val="007956C5"/>
    <w:rsid w:val="007956E8"/>
    <w:rsid w:val="0079590D"/>
    <w:rsid w:val="00795AA4"/>
    <w:rsid w:val="00795CA4"/>
    <w:rsid w:val="00795EC4"/>
    <w:rsid w:val="00796492"/>
    <w:rsid w:val="0079664C"/>
    <w:rsid w:val="00796753"/>
    <w:rsid w:val="0079695D"/>
    <w:rsid w:val="00796C88"/>
    <w:rsid w:val="00797551"/>
    <w:rsid w:val="00797709"/>
    <w:rsid w:val="00797740"/>
    <w:rsid w:val="00797AF3"/>
    <w:rsid w:val="00797C0B"/>
    <w:rsid w:val="00797F14"/>
    <w:rsid w:val="007A006B"/>
    <w:rsid w:val="007A0297"/>
    <w:rsid w:val="007A05E0"/>
    <w:rsid w:val="007A0773"/>
    <w:rsid w:val="007A09C8"/>
    <w:rsid w:val="007A0AB7"/>
    <w:rsid w:val="007A0AE7"/>
    <w:rsid w:val="007A0C1A"/>
    <w:rsid w:val="007A1272"/>
    <w:rsid w:val="007A136F"/>
    <w:rsid w:val="007A1495"/>
    <w:rsid w:val="007A1732"/>
    <w:rsid w:val="007A1A31"/>
    <w:rsid w:val="007A1B50"/>
    <w:rsid w:val="007A1BDC"/>
    <w:rsid w:val="007A200B"/>
    <w:rsid w:val="007A2514"/>
    <w:rsid w:val="007A2518"/>
    <w:rsid w:val="007A255E"/>
    <w:rsid w:val="007A2613"/>
    <w:rsid w:val="007A27B6"/>
    <w:rsid w:val="007A284B"/>
    <w:rsid w:val="007A294A"/>
    <w:rsid w:val="007A29A3"/>
    <w:rsid w:val="007A2AC5"/>
    <w:rsid w:val="007A2AD2"/>
    <w:rsid w:val="007A2AE8"/>
    <w:rsid w:val="007A2ECF"/>
    <w:rsid w:val="007A31A4"/>
    <w:rsid w:val="007A3689"/>
    <w:rsid w:val="007A369B"/>
    <w:rsid w:val="007A36B4"/>
    <w:rsid w:val="007A3751"/>
    <w:rsid w:val="007A3879"/>
    <w:rsid w:val="007A3B30"/>
    <w:rsid w:val="007A3C4D"/>
    <w:rsid w:val="007A3C57"/>
    <w:rsid w:val="007A3C86"/>
    <w:rsid w:val="007A3EA0"/>
    <w:rsid w:val="007A3F16"/>
    <w:rsid w:val="007A4280"/>
    <w:rsid w:val="007A42D3"/>
    <w:rsid w:val="007A434A"/>
    <w:rsid w:val="007A4628"/>
    <w:rsid w:val="007A46EE"/>
    <w:rsid w:val="007A4A50"/>
    <w:rsid w:val="007A4E7C"/>
    <w:rsid w:val="007A4FA5"/>
    <w:rsid w:val="007A511D"/>
    <w:rsid w:val="007A5184"/>
    <w:rsid w:val="007A520C"/>
    <w:rsid w:val="007A534A"/>
    <w:rsid w:val="007A541F"/>
    <w:rsid w:val="007A56FE"/>
    <w:rsid w:val="007A590A"/>
    <w:rsid w:val="007A5987"/>
    <w:rsid w:val="007A5A6D"/>
    <w:rsid w:val="007A5A82"/>
    <w:rsid w:val="007A5B22"/>
    <w:rsid w:val="007A6152"/>
    <w:rsid w:val="007A6456"/>
    <w:rsid w:val="007A6D51"/>
    <w:rsid w:val="007A6DF9"/>
    <w:rsid w:val="007A709E"/>
    <w:rsid w:val="007A7388"/>
    <w:rsid w:val="007A77E2"/>
    <w:rsid w:val="007A787A"/>
    <w:rsid w:val="007A7AA6"/>
    <w:rsid w:val="007A7CE9"/>
    <w:rsid w:val="007A7D98"/>
    <w:rsid w:val="007B07D4"/>
    <w:rsid w:val="007B07DA"/>
    <w:rsid w:val="007B08B1"/>
    <w:rsid w:val="007B0A12"/>
    <w:rsid w:val="007B0A78"/>
    <w:rsid w:val="007B0BF2"/>
    <w:rsid w:val="007B0E61"/>
    <w:rsid w:val="007B1096"/>
    <w:rsid w:val="007B1397"/>
    <w:rsid w:val="007B148C"/>
    <w:rsid w:val="007B1D2C"/>
    <w:rsid w:val="007B1E7C"/>
    <w:rsid w:val="007B1F1F"/>
    <w:rsid w:val="007B1F87"/>
    <w:rsid w:val="007B1FDA"/>
    <w:rsid w:val="007B1FF1"/>
    <w:rsid w:val="007B2000"/>
    <w:rsid w:val="007B2205"/>
    <w:rsid w:val="007B226A"/>
    <w:rsid w:val="007B22AD"/>
    <w:rsid w:val="007B22B3"/>
    <w:rsid w:val="007B28D6"/>
    <w:rsid w:val="007B2A70"/>
    <w:rsid w:val="007B2BED"/>
    <w:rsid w:val="007B2BFC"/>
    <w:rsid w:val="007B2C1A"/>
    <w:rsid w:val="007B2CD7"/>
    <w:rsid w:val="007B2CE8"/>
    <w:rsid w:val="007B305A"/>
    <w:rsid w:val="007B3607"/>
    <w:rsid w:val="007B37C1"/>
    <w:rsid w:val="007B3AE0"/>
    <w:rsid w:val="007B3DBE"/>
    <w:rsid w:val="007B406D"/>
    <w:rsid w:val="007B413E"/>
    <w:rsid w:val="007B43F2"/>
    <w:rsid w:val="007B453B"/>
    <w:rsid w:val="007B45EE"/>
    <w:rsid w:val="007B46C0"/>
    <w:rsid w:val="007B475F"/>
    <w:rsid w:val="007B4A64"/>
    <w:rsid w:val="007B4B55"/>
    <w:rsid w:val="007B4DD7"/>
    <w:rsid w:val="007B5086"/>
    <w:rsid w:val="007B51C3"/>
    <w:rsid w:val="007B51F2"/>
    <w:rsid w:val="007B534C"/>
    <w:rsid w:val="007B563B"/>
    <w:rsid w:val="007B56D3"/>
    <w:rsid w:val="007B5970"/>
    <w:rsid w:val="007B5AD7"/>
    <w:rsid w:val="007B5C8A"/>
    <w:rsid w:val="007B5CF3"/>
    <w:rsid w:val="007B6105"/>
    <w:rsid w:val="007B6268"/>
    <w:rsid w:val="007B64FD"/>
    <w:rsid w:val="007B6591"/>
    <w:rsid w:val="007B664F"/>
    <w:rsid w:val="007B690C"/>
    <w:rsid w:val="007B6DFF"/>
    <w:rsid w:val="007B6E3E"/>
    <w:rsid w:val="007B6F08"/>
    <w:rsid w:val="007B70B9"/>
    <w:rsid w:val="007B732A"/>
    <w:rsid w:val="007B751D"/>
    <w:rsid w:val="007B757D"/>
    <w:rsid w:val="007B767D"/>
    <w:rsid w:val="007B7821"/>
    <w:rsid w:val="007B791C"/>
    <w:rsid w:val="007B7A7B"/>
    <w:rsid w:val="007B7D22"/>
    <w:rsid w:val="007B7DDD"/>
    <w:rsid w:val="007B7E1C"/>
    <w:rsid w:val="007C009F"/>
    <w:rsid w:val="007C03BE"/>
    <w:rsid w:val="007C0775"/>
    <w:rsid w:val="007C0785"/>
    <w:rsid w:val="007C08AE"/>
    <w:rsid w:val="007C08F9"/>
    <w:rsid w:val="007C0B7E"/>
    <w:rsid w:val="007C0BBF"/>
    <w:rsid w:val="007C0C11"/>
    <w:rsid w:val="007C0E3E"/>
    <w:rsid w:val="007C108E"/>
    <w:rsid w:val="007C10F8"/>
    <w:rsid w:val="007C1175"/>
    <w:rsid w:val="007C1278"/>
    <w:rsid w:val="007C12CB"/>
    <w:rsid w:val="007C12F1"/>
    <w:rsid w:val="007C1605"/>
    <w:rsid w:val="007C1673"/>
    <w:rsid w:val="007C16E4"/>
    <w:rsid w:val="007C1765"/>
    <w:rsid w:val="007C1786"/>
    <w:rsid w:val="007C1953"/>
    <w:rsid w:val="007C1C05"/>
    <w:rsid w:val="007C1F60"/>
    <w:rsid w:val="007C267F"/>
    <w:rsid w:val="007C2848"/>
    <w:rsid w:val="007C29B0"/>
    <w:rsid w:val="007C2ACA"/>
    <w:rsid w:val="007C2AD6"/>
    <w:rsid w:val="007C2CF3"/>
    <w:rsid w:val="007C2F39"/>
    <w:rsid w:val="007C30DA"/>
    <w:rsid w:val="007C3184"/>
    <w:rsid w:val="007C3219"/>
    <w:rsid w:val="007C3433"/>
    <w:rsid w:val="007C352E"/>
    <w:rsid w:val="007C3676"/>
    <w:rsid w:val="007C3783"/>
    <w:rsid w:val="007C3A9F"/>
    <w:rsid w:val="007C3C20"/>
    <w:rsid w:val="007C3F67"/>
    <w:rsid w:val="007C4296"/>
    <w:rsid w:val="007C42C4"/>
    <w:rsid w:val="007C4330"/>
    <w:rsid w:val="007C446A"/>
    <w:rsid w:val="007C44F0"/>
    <w:rsid w:val="007C4523"/>
    <w:rsid w:val="007C4566"/>
    <w:rsid w:val="007C46D0"/>
    <w:rsid w:val="007C4735"/>
    <w:rsid w:val="007C47AB"/>
    <w:rsid w:val="007C4809"/>
    <w:rsid w:val="007C486B"/>
    <w:rsid w:val="007C4ACA"/>
    <w:rsid w:val="007C4B96"/>
    <w:rsid w:val="007C4CD6"/>
    <w:rsid w:val="007C4E10"/>
    <w:rsid w:val="007C4F8F"/>
    <w:rsid w:val="007C5122"/>
    <w:rsid w:val="007C52B7"/>
    <w:rsid w:val="007C52BE"/>
    <w:rsid w:val="007C52D3"/>
    <w:rsid w:val="007C5482"/>
    <w:rsid w:val="007C553B"/>
    <w:rsid w:val="007C557F"/>
    <w:rsid w:val="007C5725"/>
    <w:rsid w:val="007C57D1"/>
    <w:rsid w:val="007C59EC"/>
    <w:rsid w:val="007C5C8C"/>
    <w:rsid w:val="007C5E43"/>
    <w:rsid w:val="007C5E6C"/>
    <w:rsid w:val="007C5FA4"/>
    <w:rsid w:val="007C60E3"/>
    <w:rsid w:val="007C611C"/>
    <w:rsid w:val="007C6167"/>
    <w:rsid w:val="007C6292"/>
    <w:rsid w:val="007C631B"/>
    <w:rsid w:val="007C65BD"/>
    <w:rsid w:val="007C672A"/>
    <w:rsid w:val="007C67F5"/>
    <w:rsid w:val="007C68F0"/>
    <w:rsid w:val="007C6DDF"/>
    <w:rsid w:val="007C6EEC"/>
    <w:rsid w:val="007C6F6F"/>
    <w:rsid w:val="007C6FAA"/>
    <w:rsid w:val="007C6FC0"/>
    <w:rsid w:val="007C7044"/>
    <w:rsid w:val="007C70F6"/>
    <w:rsid w:val="007C73E1"/>
    <w:rsid w:val="007C7405"/>
    <w:rsid w:val="007C74A6"/>
    <w:rsid w:val="007C76CF"/>
    <w:rsid w:val="007C77E5"/>
    <w:rsid w:val="007C78A0"/>
    <w:rsid w:val="007C78DC"/>
    <w:rsid w:val="007C7AB7"/>
    <w:rsid w:val="007C7D28"/>
    <w:rsid w:val="007C7D2B"/>
    <w:rsid w:val="007C7D65"/>
    <w:rsid w:val="007C7DDC"/>
    <w:rsid w:val="007D009B"/>
    <w:rsid w:val="007D0182"/>
    <w:rsid w:val="007D0191"/>
    <w:rsid w:val="007D0259"/>
    <w:rsid w:val="007D0612"/>
    <w:rsid w:val="007D084E"/>
    <w:rsid w:val="007D0866"/>
    <w:rsid w:val="007D08A1"/>
    <w:rsid w:val="007D0929"/>
    <w:rsid w:val="007D0AA9"/>
    <w:rsid w:val="007D0E70"/>
    <w:rsid w:val="007D0F08"/>
    <w:rsid w:val="007D12ED"/>
    <w:rsid w:val="007D13A3"/>
    <w:rsid w:val="007D1436"/>
    <w:rsid w:val="007D18FB"/>
    <w:rsid w:val="007D1944"/>
    <w:rsid w:val="007D1CB0"/>
    <w:rsid w:val="007D21AD"/>
    <w:rsid w:val="007D220F"/>
    <w:rsid w:val="007D22FC"/>
    <w:rsid w:val="007D23DF"/>
    <w:rsid w:val="007D254C"/>
    <w:rsid w:val="007D275C"/>
    <w:rsid w:val="007D28B5"/>
    <w:rsid w:val="007D2AE7"/>
    <w:rsid w:val="007D2B7C"/>
    <w:rsid w:val="007D2C98"/>
    <w:rsid w:val="007D2E75"/>
    <w:rsid w:val="007D2F3B"/>
    <w:rsid w:val="007D2FD1"/>
    <w:rsid w:val="007D306A"/>
    <w:rsid w:val="007D328C"/>
    <w:rsid w:val="007D3803"/>
    <w:rsid w:val="007D3CE5"/>
    <w:rsid w:val="007D3D4F"/>
    <w:rsid w:val="007D3ED1"/>
    <w:rsid w:val="007D3FCE"/>
    <w:rsid w:val="007D40EC"/>
    <w:rsid w:val="007D41AE"/>
    <w:rsid w:val="007D4251"/>
    <w:rsid w:val="007D42F2"/>
    <w:rsid w:val="007D43A5"/>
    <w:rsid w:val="007D4857"/>
    <w:rsid w:val="007D48C7"/>
    <w:rsid w:val="007D4AF3"/>
    <w:rsid w:val="007D5247"/>
    <w:rsid w:val="007D530F"/>
    <w:rsid w:val="007D5882"/>
    <w:rsid w:val="007D5AA7"/>
    <w:rsid w:val="007D5C70"/>
    <w:rsid w:val="007D5C7E"/>
    <w:rsid w:val="007D5F78"/>
    <w:rsid w:val="007D6077"/>
    <w:rsid w:val="007D6349"/>
    <w:rsid w:val="007D63C4"/>
    <w:rsid w:val="007D6B2B"/>
    <w:rsid w:val="007D6B81"/>
    <w:rsid w:val="007D742D"/>
    <w:rsid w:val="007D7472"/>
    <w:rsid w:val="007D756A"/>
    <w:rsid w:val="007D7574"/>
    <w:rsid w:val="007D77F5"/>
    <w:rsid w:val="007D7920"/>
    <w:rsid w:val="007D7BBD"/>
    <w:rsid w:val="007D7F82"/>
    <w:rsid w:val="007E0215"/>
    <w:rsid w:val="007E0301"/>
    <w:rsid w:val="007E054C"/>
    <w:rsid w:val="007E05B9"/>
    <w:rsid w:val="007E0866"/>
    <w:rsid w:val="007E0AC3"/>
    <w:rsid w:val="007E13D1"/>
    <w:rsid w:val="007E1454"/>
    <w:rsid w:val="007E1591"/>
    <w:rsid w:val="007E17C5"/>
    <w:rsid w:val="007E18DD"/>
    <w:rsid w:val="007E1A2F"/>
    <w:rsid w:val="007E1A78"/>
    <w:rsid w:val="007E1B59"/>
    <w:rsid w:val="007E1C7C"/>
    <w:rsid w:val="007E1D5E"/>
    <w:rsid w:val="007E1DE6"/>
    <w:rsid w:val="007E1EE2"/>
    <w:rsid w:val="007E1F9F"/>
    <w:rsid w:val="007E218F"/>
    <w:rsid w:val="007E22BA"/>
    <w:rsid w:val="007E2605"/>
    <w:rsid w:val="007E281A"/>
    <w:rsid w:val="007E28F5"/>
    <w:rsid w:val="007E28FB"/>
    <w:rsid w:val="007E2942"/>
    <w:rsid w:val="007E2BC4"/>
    <w:rsid w:val="007E2D03"/>
    <w:rsid w:val="007E3867"/>
    <w:rsid w:val="007E38B5"/>
    <w:rsid w:val="007E3EB3"/>
    <w:rsid w:val="007E4028"/>
    <w:rsid w:val="007E419A"/>
    <w:rsid w:val="007E4253"/>
    <w:rsid w:val="007E4272"/>
    <w:rsid w:val="007E45A3"/>
    <w:rsid w:val="007E478C"/>
    <w:rsid w:val="007E48D5"/>
    <w:rsid w:val="007E4933"/>
    <w:rsid w:val="007E4A66"/>
    <w:rsid w:val="007E4B37"/>
    <w:rsid w:val="007E4C0B"/>
    <w:rsid w:val="007E4E83"/>
    <w:rsid w:val="007E4F2C"/>
    <w:rsid w:val="007E4F8F"/>
    <w:rsid w:val="007E5083"/>
    <w:rsid w:val="007E5094"/>
    <w:rsid w:val="007E51DD"/>
    <w:rsid w:val="007E54E6"/>
    <w:rsid w:val="007E56EA"/>
    <w:rsid w:val="007E5AD5"/>
    <w:rsid w:val="007E5EAC"/>
    <w:rsid w:val="007E610C"/>
    <w:rsid w:val="007E61E5"/>
    <w:rsid w:val="007E62CD"/>
    <w:rsid w:val="007E6325"/>
    <w:rsid w:val="007E63CF"/>
    <w:rsid w:val="007E6712"/>
    <w:rsid w:val="007E6786"/>
    <w:rsid w:val="007E683C"/>
    <w:rsid w:val="007E687C"/>
    <w:rsid w:val="007E6881"/>
    <w:rsid w:val="007E6C5A"/>
    <w:rsid w:val="007E6E4C"/>
    <w:rsid w:val="007E6EDE"/>
    <w:rsid w:val="007E7186"/>
    <w:rsid w:val="007E726C"/>
    <w:rsid w:val="007E7AB8"/>
    <w:rsid w:val="007E7B2B"/>
    <w:rsid w:val="007E7BE6"/>
    <w:rsid w:val="007E7DF9"/>
    <w:rsid w:val="007E7E8D"/>
    <w:rsid w:val="007F0163"/>
    <w:rsid w:val="007F0344"/>
    <w:rsid w:val="007F04FA"/>
    <w:rsid w:val="007F05A4"/>
    <w:rsid w:val="007F06B2"/>
    <w:rsid w:val="007F06F8"/>
    <w:rsid w:val="007F08FA"/>
    <w:rsid w:val="007F09F0"/>
    <w:rsid w:val="007F0AA4"/>
    <w:rsid w:val="007F0BF1"/>
    <w:rsid w:val="007F0CAF"/>
    <w:rsid w:val="007F0E56"/>
    <w:rsid w:val="007F0F38"/>
    <w:rsid w:val="007F137B"/>
    <w:rsid w:val="007F1546"/>
    <w:rsid w:val="007F1B48"/>
    <w:rsid w:val="007F1C18"/>
    <w:rsid w:val="007F1C9D"/>
    <w:rsid w:val="007F1E47"/>
    <w:rsid w:val="007F2067"/>
    <w:rsid w:val="007F2557"/>
    <w:rsid w:val="007F25A7"/>
    <w:rsid w:val="007F2962"/>
    <w:rsid w:val="007F2A4B"/>
    <w:rsid w:val="007F2BB4"/>
    <w:rsid w:val="007F2C6B"/>
    <w:rsid w:val="007F2F93"/>
    <w:rsid w:val="007F35A5"/>
    <w:rsid w:val="007F3ED1"/>
    <w:rsid w:val="007F3F62"/>
    <w:rsid w:val="007F4044"/>
    <w:rsid w:val="007F421C"/>
    <w:rsid w:val="007F42EF"/>
    <w:rsid w:val="007F4396"/>
    <w:rsid w:val="007F43C2"/>
    <w:rsid w:val="007F4569"/>
    <w:rsid w:val="007F4712"/>
    <w:rsid w:val="007F4876"/>
    <w:rsid w:val="007F4A74"/>
    <w:rsid w:val="007F4B2B"/>
    <w:rsid w:val="007F4C49"/>
    <w:rsid w:val="007F4F9F"/>
    <w:rsid w:val="007F50B3"/>
    <w:rsid w:val="007F54F7"/>
    <w:rsid w:val="007F5613"/>
    <w:rsid w:val="007F58E1"/>
    <w:rsid w:val="007F5945"/>
    <w:rsid w:val="007F59F9"/>
    <w:rsid w:val="007F5A15"/>
    <w:rsid w:val="007F5A8C"/>
    <w:rsid w:val="007F5CFF"/>
    <w:rsid w:val="007F5DB9"/>
    <w:rsid w:val="007F5E91"/>
    <w:rsid w:val="007F5FD9"/>
    <w:rsid w:val="007F6423"/>
    <w:rsid w:val="007F6477"/>
    <w:rsid w:val="007F64F4"/>
    <w:rsid w:val="007F679F"/>
    <w:rsid w:val="007F70D4"/>
    <w:rsid w:val="007F70DA"/>
    <w:rsid w:val="007F725D"/>
    <w:rsid w:val="007F753B"/>
    <w:rsid w:val="007F7664"/>
    <w:rsid w:val="007F7A80"/>
    <w:rsid w:val="007F7C08"/>
    <w:rsid w:val="008001E8"/>
    <w:rsid w:val="008002BB"/>
    <w:rsid w:val="008003CA"/>
    <w:rsid w:val="008005FC"/>
    <w:rsid w:val="00800683"/>
    <w:rsid w:val="00800DCB"/>
    <w:rsid w:val="00800EEA"/>
    <w:rsid w:val="00800F67"/>
    <w:rsid w:val="00801268"/>
    <w:rsid w:val="008013D8"/>
    <w:rsid w:val="008014CE"/>
    <w:rsid w:val="0080152C"/>
    <w:rsid w:val="00801695"/>
    <w:rsid w:val="00801A28"/>
    <w:rsid w:val="00801B43"/>
    <w:rsid w:val="00801DC2"/>
    <w:rsid w:val="00801EAB"/>
    <w:rsid w:val="00801ED5"/>
    <w:rsid w:val="0080204F"/>
    <w:rsid w:val="00802091"/>
    <w:rsid w:val="008020A9"/>
    <w:rsid w:val="008020AD"/>
    <w:rsid w:val="00802119"/>
    <w:rsid w:val="008022FA"/>
    <w:rsid w:val="00802388"/>
    <w:rsid w:val="00802833"/>
    <w:rsid w:val="00802FD1"/>
    <w:rsid w:val="008030A1"/>
    <w:rsid w:val="008030B1"/>
    <w:rsid w:val="0080314E"/>
    <w:rsid w:val="0080316C"/>
    <w:rsid w:val="008034F5"/>
    <w:rsid w:val="008035F9"/>
    <w:rsid w:val="008038AA"/>
    <w:rsid w:val="00803A95"/>
    <w:rsid w:val="00804662"/>
    <w:rsid w:val="00804C23"/>
    <w:rsid w:val="00804D97"/>
    <w:rsid w:val="00805122"/>
    <w:rsid w:val="0080517D"/>
    <w:rsid w:val="00805240"/>
    <w:rsid w:val="00805428"/>
    <w:rsid w:val="00805B20"/>
    <w:rsid w:val="00805CF0"/>
    <w:rsid w:val="00805F4B"/>
    <w:rsid w:val="00805F9F"/>
    <w:rsid w:val="00806117"/>
    <w:rsid w:val="008061F4"/>
    <w:rsid w:val="0080622A"/>
    <w:rsid w:val="008063F7"/>
    <w:rsid w:val="0080679E"/>
    <w:rsid w:val="008067E2"/>
    <w:rsid w:val="0080680C"/>
    <w:rsid w:val="00806841"/>
    <w:rsid w:val="00806903"/>
    <w:rsid w:val="00806A0C"/>
    <w:rsid w:val="00806A88"/>
    <w:rsid w:val="00806B63"/>
    <w:rsid w:val="00806F68"/>
    <w:rsid w:val="00806F6A"/>
    <w:rsid w:val="00807009"/>
    <w:rsid w:val="008070B3"/>
    <w:rsid w:val="00807122"/>
    <w:rsid w:val="00807130"/>
    <w:rsid w:val="008073A2"/>
    <w:rsid w:val="008075C4"/>
    <w:rsid w:val="0080775E"/>
    <w:rsid w:val="00807805"/>
    <w:rsid w:val="008078B8"/>
    <w:rsid w:val="00807A19"/>
    <w:rsid w:val="00807C7F"/>
    <w:rsid w:val="00807CCB"/>
    <w:rsid w:val="00807CF1"/>
    <w:rsid w:val="00807E73"/>
    <w:rsid w:val="00807F1F"/>
    <w:rsid w:val="00807FBE"/>
    <w:rsid w:val="00807FC3"/>
    <w:rsid w:val="008101FB"/>
    <w:rsid w:val="008104D8"/>
    <w:rsid w:val="008107BC"/>
    <w:rsid w:val="0081082E"/>
    <w:rsid w:val="008109E5"/>
    <w:rsid w:val="00810A5D"/>
    <w:rsid w:val="00810B18"/>
    <w:rsid w:val="00810D9C"/>
    <w:rsid w:val="00810E26"/>
    <w:rsid w:val="00810E32"/>
    <w:rsid w:val="0081131C"/>
    <w:rsid w:val="008113E2"/>
    <w:rsid w:val="0081163E"/>
    <w:rsid w:val="00811B15"/>
    <w:rsid w:val="00811B88"/>
    <w:rsid w:val="00811C2A"/>
    <w:rsid w:val="00811DA5"/>
    <w:rsid w:val="00811F9E"/>
    <w:rsid w:val="0081266F"/>
    <w:rsid w:val="00812A79"/>
    <w:rsid w:val="00812D3D"/>
    <w:rsid w:val="00812F87"/>
    <w:rsid w:val="0081304E"/>
    <w:rsid w:val="008130C7"/>
    <w:rsid w:val="008133A1"/>
    <w:rsid w:val="0081369E"/>
    <w:rsid w:val="008137FB"/>
    <w:rsid w:val="00813A26"/>
    <w:rsid w:val="00813BF7"/>
    <w:rsid w:val="00813D79"/>
    <w:rsid w:val="0081411C"/>
    <w:rsid w:val="008141F3"/>
    <w:rsid w:val="00814212"/>
    <w:rsid w:val="00814453"/>
    <w:rsid w:val="008145A5"/>
    <w:rsid w:val="0081480E"/>
    <w:rsid w:val="00814967"/>
    <w:rsid w:val="00814B2D"/>
    <w:rsid w:val="00814BAD"/>
    <w:rsid w:val="00814CA0"/>
    <w:rsid w:val="00814D22"/>
    <w:rsid w:val="008152A5"/>
    <w:rsid w:val="0081533D"/>
    <w:rsid w:val="00815465"/>
    <w:rsid w:val="008155D3"/>
    <w:rsid w:val="0081567C"/>
    <w:rsid w:val="0081588E"/>
    <w:rsid w:val="00815A54"/>
    <w:rsid w:val="00815CC7"/>
    <w:rsid w:val="00815D60"/>
    <w:rsid w:val="00815ED3"/>
    <w:rsid w:val="008160AA"/>
    <w:rsid w:val="008161A4"/>
    <w:rsid w:val="0081649F"/>
    <w:rsid w:val="00816851"/>
    <w:rsid w:val="0081696E"/>
    <w:rsid w:val="00816ADC"/>
    <w:rsid w:val="00816B42"/>
    <w:rsid w:val="00816BBC"/>
    <w:rsid w:val="00816D37"/>
    <w:rsid w:val="00816D3A"/>
    <w:rsid w:val="00816D75"/>
    <w:rsid w:val="00816DDF"/>
    <w:rsid w:val="008170D7"/>
    <w:rsid w:val="008175F5"/>
    <w:rsid w:val="00817C96"/>
    <w:rsid w:val="00817DE9"/>
    <w:rsid w:val="00817EE7"/>
    <w:rsid w:val="00820175"/>
    <w:rsid w:val="0082034A"/>
    <w:rsid w:val="0082046D"/>
    <w:rsid w:val="008206EB"/>
    <w:rsid w:val="00820869"/>
    <w:rsid w:val="008208E6"/>
    <w:rsid w:val="00820C12"/>
    <w:rsid w:val="00820C90"/>
    <w:rsid w:val="00820CC0"/>
    <w:rsid w:val="00820D58"/>
    <w:rsid w:val="00821021"/>
    <w:rsid w:val="008210CE"/>
    <w:rsid w:val="00821570"/>
    <w:rsid w:val="0082177E"/>
    <w:rsid w:val="00821785"/>
    <w:rsid w:val="00821795"/>
    <w:rsid w:val="00821B63"/>
    <w:rsid w:val="00821C8F"/>
    <w:rsid w:val="00821D81"/>
    <w:rsid w:val="0082209C"/>
    <w:rsid w:val="00822182"/>
    <w:rsid w:val="00822443"/>
    <w:rsid w:val="008224C4"/>
    <w:rsid w:val="0082289E"/>
    <w:rsid w:val="00822936"/>
    <w:rsid w:val="00822941"/>
    <w:rsid w:val="00822C4C"/>
    <w:rsid w:val="008230BF"/>
    <w:rsid w:val="0082319A"/>
    <w:rsid w:val="0082333B"/>
    <w:rsid w:val="00823417"/>
    <w:rsid w:val="00823580"/>
    <w:rsid w:val="0082361B"/>
    <w:rsid w:val="0082378D"/>
    <w:rsid w:val="00823A54"/>
    <w:rsid w:val="00823C1C"/>
    <w:rsid w:val="0082414F"/>
    <w:rsid w:val="00824208"/>
    <w:rsid w:val="008243B5"/>
    <w:rsid w:val="00824480"/>
    <w:rsid w:val="008244AA"/>
    <w:rsid w:val="008244F6"/>
    <w:rsid w:val="008245CF"/>
    <w:rsid w:val="008247E3"/>
    <w:rsid w:val="008248D5"/>
    <w:rsid w:val="00824D2B"/>
    <w:rsid w:val="00824DEF"/>
    <w:rsid w:val="008250D9"/>
    <w:rsid w:val="00825186"/>
    <w:rsid w:val="00825296"/>
    <w:rsid w:val="008252F3"/>
    <w:rsid w:val="00825449"/>
    <w:rsid w:val="00825761"/>
    <w:rsid w:val="008258A6"/>
    <w:rsid w:val="00825A3C"/>
    <w:rsid w:val="00825A61"/>
    <w:rsid w:val="00825E37"/>
    <w:rsid w:val="008260A4"/>
    <w:rsid w:val="0082616B"/>
    <w:rsid w:val="008261F4"/>
    <w:rsid w:val="008262AC"/>
    <w:rsid w:val="008264A9"/>
    <w:rsid w:val="008265D8"/>
    <w:rsid w:val="008265EA"/>
    <w:rsid w:val="0082679B"/>
    <w:rsid w:val="008267CE"/>
    <w:rsid w:val="00826B4C"/>
    <w:rsid w:val="00826DE0"/>
    <w:rsid w:val="00827195"/>
    <w:rsid w:val="00827284"/>
    <w:rsid w:val="008272E9"/>
    <w:rsid w:val="00827359"/>
    <w:rsid w:val="00827BB8"/>
    <w:rsid w:val="00827C49"/>
    <w:rsid w:val="00827F68"/>
    <w:rsid w:val="00830572"/>
    <w:rsid w:val="008306EB"/>
    <w:rsid w:val="00830803"/>
    <w:rsid w:val="008308B3"/>
    <w:rsid w:val="00830A11"/>
    <w:rsid w:val="00830B72"/>
    <w:rsid w:val="00830BA7"/>
    <w:rsid w:val="00830CFC"/>
    <w:rsid w:val="00830DDB"/>
    <w:rsid w:val="0083101E"/>
    <w:rsid w:val="00831374"/>
    <w:rsid w:val="00831941"/>
    <w:rsid w:val="00831979"/>
    <w:rsid w:val="00831B32"/>
    <w:rsid w:val="00831BA9"/>
    <w:rsid w:val="00831C6D"/>
    <w:rsid w:val="00831D5C"/>
    <w:rsid w:val="00831F4F"/>
    <w:rsid w:val="00832189"/>
    <w:rsid w:val="00832199"/>
    <w:rsid w:val="0083276A"/>
    <w:rsid w:val="0083282A"/>
    <w:rsid w:val="00832A72"/>
    <w:rsid w:val="00832A98"/>
    <w:rsid w:val="00832F3F"/>
    <w:rsid w:val="00832F96"/>
    <w:rsid w:val="00833000"/>
    <w:rsid w:val="00833043"/>
    <w:rsid w:val="0083307F"/>
    <w:rsid w:val="0083364B"/>
    <w:rsid w:val="00833733"/>
    <w:rsid w:val="008339A8"/>
    <w:rsid w:val="00833AD9"/>
    <w:rsid w:val="00833AFB"/>
    <w:rsid w:val="00833BB4"/>
    <w:rsid w:val="00833BF9"/>
    <w:rsid w:val="00833C18"/>
    <w:rsid w:val="00833C35"/>
    <w:rsid w:val="00833D03"/>
    <w:rsid w:val="00833E3F"/>
    <w:rsid w:val="00833EFE"/>
    <w:rsid w:val="0083407E"/>
    <w:rsid w:val="008341E2"/>
    <w:rsid w:val="008342FB"/>
    <w:rsid w:val="0083436C"/>
    <w:rsid w:val="008343B8"/>
    <w:rsid w:val="00834947"/>
    <w:rsid w:val="00834CB1"/>
    <w:rsid w:val="00835587"/>
    <w:rsid w:val="008355F6"/>
    <w:rsid w:val="008356B6"/>
    <w:rsid w:val="0083571D"/>
    <w:rsid w:val="008357A1"/>
    <w:rsid w:val="008359AC"/>
    <w:rsid w:val="008359D0"/>
    <w:rsid w:val="00835B3A"/>
    <w:rsid w:val="00835F7F"/>
    <w:rsid w:val="008362DC"/>
    <w:rsid w:val="00836567"/>
    <w:rsid w:val="00836574"/>
    <w:rsid w:val="008367F3"/>
    <w:rsid w:val="0083690A"/>
    <w:rsid w:val="00836BFA"/>
    <w:rsid w:val="00836DE2"/>
    <w:rsid w:val="00837024"/>
    <w:rsid w:val="008372AF"/>
    <w:rsid w:val="0083734D"/>
    <w:rsid w:val="00837520"/>
    <w:rsid w:val="00837622"/>
    <w:rsid w:val="008378B0"/>
    <w:rsid w:val="00837AEE"/>
    <w:rsid w:val="00837F53"/>
    <w:rsid w:val="00837F97"/>
    <w:rsid w:val="0084017D"/>
    <w:rsid w:val="008402C2"/>
    <w:rsid w:val="00840320"/>
    <w:rsid w:val="00840642"/>
    <w:rsid w:val="008407BE"/>
    <w:rsid w:val="008408C6"/>
    <w:rsid w:val="00840996"/>
    <w:rsid w:val="008409C8"/>
    <w:rsid w:val="00840C2D"/>
    <w:rsid w:val="00840C79"/>
    <w:rsid w:val="00840E66"/>
    <w:rsid w:val="00841153"/>
    <w:rsid w:val="0084138A"/>
    <w:rsid w:val="00841429"/>
    <w:rsid w:val="008414B2"/>
    <w:rsid w:val="008414D4"/>
    <w:rsid w:val="0084153A"/>
    <w:rsid w:val="00841590"/>
    <w:rsid w:val="00841679"/>
    <w:rsid w:val="00841869"/>
    <w:rsid w:val="00841873"/>
    <w:rsid w:val="008418FA"/>
    <w:rsid w:val="00841BA2"/>
    <w:rsid w:val="00841BD8"/>
    <w:rsid w:val="00841BD9"/>
    <w:rsid w:val="00841C82"/>
    <w:rsid w:val="00841E37"/>
    <w:rsid w:val="00841F15"/>
    <w:rsid w:val="00841F41"/>
    <w:rsid w:val="00841F60"/>
    <w:rsid w:val="00841FC2"/>
    <w:rsid w:val="00842416"/>
    <w:rsid w:val="0084241C"/>
    <w:rsid w:val="00842598"/>
    <w:rsid w:val="00842B3F"/>
    <w:rsid w:val="00842B64"/>
    <w:rsid w:val="00842C7C"/>
    <w:rsid w:val="00842CA3"/>
    <w:rsid w:val="00842DB5"/>
    <w:rsid w:val="00842E0F"/>
    <w:rsid w:val="0084317B"/>
    <w:rsid w:val="008432A0"/>
    <w:rsid w:val="008432F6"/>
    <w:rsid w:val="00843776"/>
    <w:rsid w:val="00843C9C"/>
    <w:rsid w:val="00843EA6"/>
    <w:rsid w:val="00843FCD"/>
    <w:rsid w:val="00844039"/>
    <w:rsid w:val="008445A2"/>
    <w:rsid w:val="008448FB"/>
    <w:rsid w:val="008449BD"/>
    <w:rsid w:val="008449EB"/>
    <w:rsid w:val="00844BC8"/>
    <w:rsid w:val="00844BE6"/>
    <w:rsid w:val="00844EB5"/>
    <w:rsid w:val="008455F1"/>
    <w:rsid w:val="00845691"/>
    <w:rsid w:val="008456CC"/>
    <w:rsid w:val="008456EC"/>
    <w:rsid w:val="008458A1"/>
    <w:rsid w:val="008459F7"/>
    <w:rsid w:val="00845A1C"/>
    <w:rsid w:val="00845AAE"/>
    <w:rsid w:val="00845AB0"/>
    <w:rsid w:val="00845D17"/>
    <w:rsid w:val="00845E2B"/>
    <w:rsid w:val="00845E9B"/>
    <w:rsid w:val="00845EA3"/>
    <w:rsid w:val="008463EE"/>
    <w:rsid w:val="008465F9"/>
    <w:rsid w:val="008467BA"/>
    <w:rsid w:val="0084685B"/>
    <w:rsid w:val="00846C1B"/>
    <w:rsid w:val="008470C3"/>
    <w:rsid w:val="008474E4"/>
    <w:rsid w:val="0084766F"/>
    <w:rsid w:val="008477DF"/>
    <w:rsid w:val="0084782C"/>
    <w:rsid w:val="00847964"/>
    <w:rsid w:val="008479BC"/>
    <w:rsid w:val="00847D7B"/>
    <w:rsid w:val="008505A9"/>
    <w:rsid w:val="008507E4"/>
    <w:rsid w:val="00850982"/>
    <w:rsid w:val="00850EA5"/>
    <w:rsid w:val="008510EE"/>
    <w:rsid w:val="00851172"/>
    <w:rsid w:val="00851371"/>
    <w:rsid w:val="0085141A"/>
    <w:rsid w:val="008515B3"/>
    <w:rsid w:val="00851E45"/>
    <w:rsid w:val="00852045"/>
    <w:rsid w:val="008521EA"/>
    <w:rsid w:val="00852379"/>
    <w:rsid w:val="00852533"/>
    <w:rsid w:val="00852535"/>
    <w:rsid w:val="0085255D"/>
    <w:rsid w:val="008525EE"/>
    <w:rsid w:val="00852674"/>
    <w:rsid w:val="008528DC"/>
    <w:rsid w:val="00852916"/>
    <w:rsid w:val="0085293C"/>
    <w:rsid w:val="00852981"/>
    <w:rsid w:val="00852A6B"/>
    <w:rsid w:val="00852D10"/>
    <w:rsid w:val="0085362F"/>
    <w:rsid w:val="008536DA"/>
    <w:rsid w:val="0085373C"/>
    <w:rsid w:val="0085379F"/>
    <w:rsid w:val="00853831"/>
    <w:rsid w:val="008538DF"/>
    <w:rsid w:val="00853A47"/>
    <w:rsid w:val="00853B06"/>
    <w:rsid w:val="00853E44"/>
    <w:rsid w:val="008544FD"/>
    <w:rsid w:val="008545EC"/>
    <w:rsid w:val="008548AE"/>
    <w:rsid w:val="008548D7"/>
    <w:rsid w:val="008549F8"/>
    <w:rsid w:val="00854B08"/>
    <w:rsid w:val="00854C0B"/>
    <w:rsid w:val="00854D50"/>
    <w:rsid w:val="00854DAA"/>
    <w:rsid w:val="00854E17"/>
    <w:rsid w:val="008550F1"/>
    <w:rsid w:val="0085511E"/>
    <w:rsid w:val="0085515F"/>
    <w:rsid w:val="00855173"/>
    <w:rsid w:val="008551E2"/>
    <w:rsid w:val="008554C6"/>
    <w:rsid w:val="00855503"/>
    <w:rsid w:val="0085557E"/>
    <w:rsid w:val="00855649"/>
    <w:rsid w:val="00855847"/>
    <w:rsid w:val="00855AAB"/>
    <w:rsid w:val="00855C8F"/>
    <w:rsid w:val="00855DB3"/>
    <w:rsid w:val="00855DED"/>
    <w:rsid w:val="00855E41"/>
    <w:rsid w:val="00855F10"/>
    <w:rsid w:val="008560F0"/>
    <w:rsid w:val="00856308"/>
    <w:rsid w:val="00856589"/>
    <w:rsid w:val="008566E5"/>
    <w:rsid w:val="00856BDD"/>
    <w:rsid w:val="00856E1A"/>
    <w:rsid w:val="00856E4E"/>
    <w:rsid w:val="00856FBA"/>
    <w:rsid w:val="008571F2"/>
    <w:rsid w:val="00857224"/>
    <w:rsid w:val="00857337"/>
    <w:rsid w:val="008573D5"/>
    <w:rsid w:val="008577C2"/>
    <w:rsid w:val="00857A55"/>
    <w:rsid w:val="00857AE3"/>
    <w:rsid w:val="00857D6F"/>
    <w:rsid w:val="00857FF8"/>
    <w:rsid w:val="0085DE86"/>
    <w:rsid w:val="0086011B"/>
    <w:rsid w:val="00860598"/>
    <w:rsid w:val="00860E3A"/>
    <w:rsid w:val="00860FED"/>
    <w:rsid w:val="0086107E"/>
    <w:rsid w:val="00861121"/>
    <w:rsid w:val="00861395"/>
    <w:rsid w:val="00861516"/>
    <w:rsid w:val="0086157B"/>
    <w:rsid w:val="00861B04"/>
    <w:rsid w:val="00861D2A"/>
    <w:rsid w:val="00861FEC"/>
    <w:rsid w:val="008621F0"/>
    <w:rsid w:val="00862237"/>
    <w:rsid w:val="008622C6"/>
    <w:rsid w:val="0086236B"/>
    <w:rsid w:val="00862515"/>
    <w:rsid w:val="0086253F"/>
    <w:rsid w:val="008625AC"/>
    <w:rsid w:val="0086260A"/>
    <w:rsid w:val="008626F9"/>
    <w:rsid w:val="0086277E"/>
    <w:rsid w:val="00862837"/>
    <w:rsid w:val="008628B6"/>
    <w:rsid w:val="00862ABC"/>
    <w:rsid w:val="00862C11"/>
    <w:rsid w:val="00862CF1"/>
    <w:rsid w:val="00862EF3"/>
    <w:rsid w:val="00862F02"/>
    <w:rsid w:val="00862FB3"/>
    <w:rsid w:val="00863254"/>
    <w:rsid w:val="0086332D"/>
    <w:rsid w:val="00863467"/>
    <w:rsid w:val="0086347A"/>
    <w:rsid w:val="008634A0"/>
    <w:rsid w:val="00863536"/>
    <w:rsid w:val="00863614"/>
    <w:rsid w:val="008636DC"/>
    <w:rsid w:val="008636F0"/>
    <w:rsid w:val="008637A7"/>
    <w:rsid w:val="00863BE8"/>
    <w:rsid w:val="00863C00"/>
    <w:rsid w:val="00863D28"/>
    <w:rsid w:val="008640FF"/>
    <w:rsid w:val="00864390"/>
    <w:rsid w:val="00864424"/>
    <w:rsid w:val="00864646"/>
    <w:rsid w:val="00864852"/>
    <w:rsid w:val="008648B3"/>
    <w:rsid w:val="008649FB"/>
    <w:rsid w:val="00864A9B"/>
    <w:rsid w:val="00864BB1"/>
    <w:rsid w:val="00864D84"/>
    <w:rsid w:val="00864F6F"/>
    <w:rsid w:val="00865252"/>
    <w:rsid w:val="00865535"/>
    <w:rsid w:val="00865584"/>
    <w:rsid w:val="00865625"/>
    <w:rsid w:val="00865950"/>
    <w:rsid w:val="0086598B"/>
    <w:rsid w:val="00865B91"/>
    <w:rsid w:val="00865C5D"/>
    <w:rsid w:val="00865CD8"/>
    <w:rsid w:val="00865D1F"/>
    <w:rsid w:val="00865D40"/>
    <w:rsid w:val="00865ED9"/>
    <w:rsid w:val="00866386"/>
    <w:rsid w:val="00866492"/>
    <w:rsid w:val="008667F9"/>
    <w:rsid w:val="00866C7F"/>
    <w:rsid w:val="008672A7"/>
    <w:rsid w:val="008672F0"/>
    <w:rsid w:val="00867618"/>
    <w:rsid w:val="0086779B"/>
    <w:rsid w:val="008678A3"/>
    <w:rsid w:val="008679E7"/>
    <w:rsid w:val="00867B01"/>
    <w:rsid w:val="00867B7A"/>
    <w:rsid w:val="00867BEA"/>
    <w:rsid w:val="00867D08"/>
    <w:rsid w:val="00870108"/>
    <w:rsid w:val="00870178"/>
    <w:rsid w:val="0087018B"/>
    <w:rsid w:val="0087020E"/>
    <w:rsid w:val="00870306"/>
    <w:rsid w:val="00870459"/>
    <w:rsid w:val="00870468"/>
    <w:rsid w:val="0087062B"/>
    <w:rsid w:val="008709B4"/>
    <w:rsid w:val="00870B20"/>
    <w:rsid w:val="00870D90"/>
    <w:rsid w:val="00870DD7"/>
    <w:rsid w:val="00870F08"/>
    <w:rsid w:val="00870F6A"/>
    <w:rsid w:val="00870F83"/>
    <w:rsid w:val="0087101C"/>
    <w:rsid w:val="008711E4"/>
    <w:rsid w:val="008712A8"/>
    <w:rsid w:val="00871401"/>
    <w:rsid w:val="0087149E"/>
    <w:rsid w:val="008714F0"/>
    <w:rsid w:val="008714FC"/>
    <w:rsid w:val="0087172E"/>
    <w:rsid w:val="00871755"/>
    <w:rsid w:val="00871C68"/>
    <w:rsid w:val="00871D99"/>
    <w:rsid w:val="00871E51"/>
    <w:rsid w:val="0087280C"/>
    <w:rsid w:val="008729FD"/>
    <w:rsid w:val="00872B52"/>
    <w:rsid w:val="00872BC4"/>
    <w:rsid w:val="00873075"/>
    <w:rsid w:val="0087321B"/>
    <w:rsid w:val="00873289"/>
    <w:rsid w:val="008732C8"/>
    <w:rsid w:val="008733C4"/>
    <w:rsid w:val="0087344F"/>
    <w:rsid w:val="00873755"/>
    <w:rsid w:val="0087377F"/>
    <w:rsid w:val="0087387B"/>
    <w:rsid w:val="008739AC"/>
    <w:rsid w:val="008739CB"/>
    <w:rsid w:val="00873A0E"/>
    <w:rsid w:val="00873BDF"/>
    <w:rsid w:val="00873D5A"/>
    <w:rsid w:val="008740DC"/>
    <w:rsid w:val="0087453B"/>
    <w:rsid w:val="0087457F"/>
    <w:rsid w:val="00874715"/>
    <w:rsid w:val="00874789"/>
    <w:rsid w:val="00874A04"/>
    <w:rsid w:val="00874A19"/>
    <w:rsid w:val="00874B49"/>
    <w:rsid w:val="00874D9E"/>
    <w:rsid w:val="00874DFC"/>
    <w:rsid w:val="00874E3F"/>
    <w:rsid w:val="00874E7F"/>
    <w:rsid w:val="008751B2"/>
    <w:rsid w:val="00875204"/>
    <w:rsid w:val="00875349"/>
    <w:rsid w:val="0087535F"/>
    <w:rsid w:val="00875360"/>
    <w:rsid w:val="00875423"/>
    <w:rsid w:val="008754F0"/>
    <w:rsid w:val="00875569"/>
    <w:rsid w:val="00875746"/>
    <w:rsid w:val="00875C4D"/>
    <w:rsid w:val="00875C94"/>
    <w:rsid w:val="00875D52"/>
    <w:rsid w:val="00875F4C"/>
    <w:rsid w:val="0087609B"/>
    <w:rsid w:val="008760B2"/>
    <w:rsid w:val="00876263"/>
    <w:rsid w:val="008762BE"/>
    <w:rsid w:val="0087637D"/>
    <w:rsid w:val="00876C12"/>
    <w:rsid w:val="00876C1D"/>
    <w:rsid w:val="00876CAE"/>
    <w:rsid w:val="00876DBF"/>
    <w:rsid w:val="00876E2B"/>
    <w:rsid w:val="00876EF2"/>
    <w:rsid w:val="00876F11"/>
    <w:rsid w:val="00876F9C"/>
    <w:rsid w:val="00877040"/>
    <w:rsid w:val="00877083"/>
    <w:rsid w:val="008771D2"/>
    <w:rsid w:val="00877C55"/>
    <w:rsid w:val="00877DBB"/>
    <w:rsid w:val="008800CD"/>
    <w:rsid w:val="008801F1"/>
    <w:rsid w:val="00880762"/>
    <w:rsid w:val="008807BD"/>
    <w:rsid w:val="008807CA"/>
    <w:rsid w:val="008807F4"/>
    <w:rsid w:val="00880894"/>
    <w:rsid w:val="00880913"/>
    <w:rsid w:val="0088093F"/>
    <w:rsid w:val="00880958"/>
    <w:rsid w:val="00881324"/>
    <w:rsid w:val="00881899"/>
    <w:rsid w:val="00881903"/>
    <w:rsid w:val="00881928"/>
    <w:rsid w:val="00881DC4"/>
    <w:rsid w:val="0088204F"/>
    <w:rsid w:val="0088248E"/>
    <w:rsid w:val="008824B0"/>
    <w:rsid w:val="0088273C"/>
    <w:rsid w:val="00882912"/>
    <w:rsid w:val="00882B50"/>
    <w:rsid w:val="00882F35"/>
    <w:rsid w:val="0088301F"/>
    <w:rsid w:val="008832EF"/>
    <w:rsid w:val="008833D6"/>
    <w:rsid w:val="0088351C"/>
    <w:rsid w:val="00883D7F"/>
    <w:rsid w:val="008840E8"/>
    <w:rsid w:val="008841EB"/>
    <w:rsid w:val="00884226"/>
    <w:rsid w:val="00884536"/>
    <w:rsid w:val="0088464A"/>
    <w:rsid w:val="00884F10"/>
    <w:rsid w:val="00885183"/>
    <w:rsid w:val="008851C7"/>
    <w:rsid w:val="008851CC"/>
    <w:rsid w:val="0088577F"/>
    <w:rsid w:val="00885A59"/>
    <w:rsid w:val="00885BC7"/>
    <w:rsid w:val="00885C70"/>
    <w:rsid w:val="00885DCA"/>
    <w:rsid w:val="00885E46"/>
    <w:rsid w:val="00885F50"/>
    <w:rsid w:val="00885F9F"/>
    <w:rsid w:val="0088609A"/>
    <w:rsid w:val="00886350"/>
    <w:rsid w:val="00886484"/>
    <w:rsid w:val="008866E7"/>
    <w:rsid w:val="00886746"/>
    <w:rsid w:val="0088689B"/>
    <w:rsid w:val="00886941"/>
    <w:rsid w:val="00886BD4"/>
    <w:rsid w:val="00886E2A"/>
    <w:rsid w:val="00886FF3"/>
    <w:rsid w:val="00887088"/>
    <w:rsid w:val="0088766A"/>
    <w:rsid w:val="0088776B"/>
    <w:rsid w:val="00887870"/>
    <w:rsid w:val="00887CA8"/>
    <w:rsid w:val="00887DB9"/>
    <w:rsid w:val="00887DC9"/>
    <w:rsid w:val="008900DE"/>
    <w:rsid w:val="00890390"/>
    <w:rsid w:val="0089043D"/>
    <w:rsid w:val="00890471"/>
    <w:rsid w:val="008904D0"/>
    <w:rsid w:val="0089051E"/>
    <w:rsid w:val="00890579"/>
    <w:rsid w:val="008905CF"/>
    <w:rsid w:val="008905FB"/>
    <w:rsid w:val="00890616"/>
    <w:rsid w:val="0089094A"/>
    <w:rsid w:val="00890B3D"/>
    <w:rsid w:val="00890C39"/>
    <w:rsid w:val="00890CB4"/>
    <w:rsid w:val="00890D26"/>
    <w:rsid w:val="00890F29"/>
    <w:rsid w:val="008914A9"/>
    <w:rsid w:val="00891793"/>
    <w:rsid w:val="0089196E"/>
    <w:rsid w:val="00891A14"/>
    <w:rsid w:val="00891A27"/>
    <w:rsid w:val="00891A62"/>
    <w:rsid w:val="00891B6C"/>
    <w:rsid w:val="00891C3B"/>
    <w:rsid w:val="00891FD8"/>
    <w:rsid w:val="00892A82"/>
    <w:rsid w:val="00892EC1"/>
    <w:rsid w:val="00892FB6"/>
    <w:rsid w:val="00893089"/>
    <w:rsid w:val="0089320A"/>
    <w:rsid w:val="00893420"/>
    <w:rsid w:val="00893551"/>
    <w:rsid w:val="00893725"/>
    <w:rsid w:val="0089391A"/>
    <w:rsid w:val="00893A35"/>
    <w:rsid w:val="00893BBE"/>
    <w:rsid w:val="00893E16"/>
    <w:rsid w:val="00894126"/>
    <w:rsid w:val="0089426C"/>
    <w:rsid w:val="0089427F"/>
    <w:rsid w:val="008946C8"/>
    <w:rsid w:val="0089476F"/>
    <w:rsid w:val="008947C2"/>
    <w:rsid w:val="00894861"/>
    <w:rsid w:val="00894B19"/>
    <w:rsid w:val="00894B9A"/>
    <w:rsid w:val="00894D55"/>
    <w:rsid w:val="00894DFB"/>
    <w:rsid w:val="00894E05"/>
    <w:rsid w:val="00894EA3"/>
    <w:rsid w:val="00894EF5"/>
    <w:rsid w:val="00894F96"/>
    <w:rsid w:val="0089512B"/>
    <w:rsid w:val="008951FB"/>
    <w:rsid w:val="00895741"/>
    <w:rsid w:val="0089579F"/>
    <w:rsid w:val="008958F0"/>
    <w:rsid w:val="00895B1A"/>
    <w:rsid w:val="00895D42"/>
    <w:rsid w:val="00895D7A"/>
    <w:rsid w:val="00895EE2"/>
    <w:rsid w:val="00895F08"/>
    <w:rsid w:val="008960B3"/>
    <w:rsid w:val="0089619A"/>
    <w:rsid w:val="008963AE"/>
    <w:rsid w:val="0089649A"/>
    <w:rsid w:val="0089656F"/>
    <w:rsid w:val="0089688A"/>
    <w:rsid w:val="00896AD3"/>
    <w:rsid w:val="00896FCB"/>
    <w:rsid w:val="008972B3"/>
    <w:rsid w:val="00897358"/>
    <w:rsid w:val="00897386"/>
    <w:rsid w:val="008973CF"/>
    <w:rsid w:val="0089749C"/>
    <w:rsid w:val="00897685"/>
    <w:rsid w:val="00897915"/>
    <w:rsid w:val="00897A04"/>
    <w:rsid w:val="00897B4C"/>
    <w:rsid w:val="00897CF3"/>
    <w:rsid w:val="008A007D"/>
    <w:rsid w:val="008A0121"/>
    <w:rsid w:val="008A0431"/>
    <w:rsid w:val="008A04DA"/>
    <w:rsid w:val="008A0701"/>
    <w:rsid w:val="008A0A95"/>
    <w:rsid w:val="008A0AC5"/>
    <w:rsid w:val="008A0B72"/>
    <w:rsid w:val="008A0CEB"/>
    <w:rsid w:val="008A145D"/>
    <w:rsid w:val="008A1AAE"/>
    <w:rsid w:val="008A1C7C"/>
    <w:rsid w:val="008A1E6D"/>
    <w:rsid w:val="008A1F6F"/>
    <w:rsid w:val="008A2248"/>
    <w:rsid w:val="008A27C4"/>
    <w:rsid w:val="008A2A08"/>
    <w:rsid w:val="008A3122"/>
    <w:rsid w:val="008A33A4"/>
    <w:rsid w:val="008A33B8"/>
    <w:rsid w:val="008A3663"/>
    <w:rsid w:val="008A37B0"/>
    <w:rsid w:val="008A38D5"/>
    <w:rsid w:val="008A39F9"/>
    <w:rsid w:val="008A3F10"/>
    <w:rsid w:val="008A3FE1"/>
    <w:rsid w:val="008A4134"/>
    <w:rsid w:val="008A4420"/>
    <w:rsid w:val="008A45A4"/>
    <w:rsid w:val="008A4870"/>
    <w:rsid w:val="008A48CA"/>
    <w:rsid w:val="008A49EF"/>
    <w:rsid w:val="008A4A5C"/>
    <w:rsid w:val="008A4BBE"/>
    <w:rsid w:val="008A4F9C"/>
    <w:rsid w:val="008A502A"/>
    <w:rsid w:val="008A510C"/>
    <w:rsid w:val="008A5159"/>
    <w:rsid w:val="008A517D"/>
    <w:rsid w:val="008A5529"/>
    <w:rsid w:val="008A5B1E"/>
    <w:rsid w:val="008A5E5E"/>
    <w:rsid w:val="008A60E4"/>
    <w:rsid w:val="008A622A"/>
    <w:rsid w:val="008A6415"/>
    <w:rsid w:val="008A672D"/>
    <w:rsid w:val="008A69A0"/>
    <w:rsid w:val="008A6AA9"/>
    <w:rsid w:val="008A6AC4"/>
    <w:rsid w:val="008A6DC7"/>
    <w:rsid w:val="008A6F15"/>
    <w:rsid w:val="008A71A5"/>
    <w:rsid w:val="008A72CF"/>
    <w:rsid w:val="008A735C"/>
    <w:rsid w:val="008A73B8"/>
    <w:rsid w:val="008A7526"/>
    <w:rsid w:val="008A765D"/>
    <w:rsid w:val="008A7777"/>
    <w:rsid w:val="008A789F"/>
    <w:rsid w:val="008A79A4"/>
    <w:rsid w:val="008A79CA"/>
    <w:rsid w:val="008A7AEB"/>
    <w:rsid w:val="008A7EA6"/>
    <w:rsid w:val="008A7F15"/>
    <w:rsid w:val="008B002A"/>
    <w:rsid w:val="008B0057"/>
    <w:rsid w:val="008B0195"/>
    <w:rsid w:val="008B019E"/>
    <w:rsid w:val="008B02A9"/>
    <w:rsid w:val="008B02FE"/>
    <w:rsid w:val="008B03E6"/>
    <w:rsid w:val="008B054B"/>
    <w:rsid w:val="008B073A"/>
    <w:rsid w:val="008B0873"/>
    <w:rsid w:val="008B096C"/>
    <w:rsid w:val="008B0B70"/>
    <w:rsid w:val="008B0EBE"/>
    <w:rsid w:val="008B0EF1"/>
    <w:rsid w:val="008B0F8A"/>
    <w:rsid w:val="008B0FAB"/>
    <w:rsid w:val="008B1573"/>
    <w:rsid w:val="008B160D"/>
    <w:rsid w:val="008B191A"/>
    <w:rsid w:val="008B1B96"/>
    <w:rsid w:val="008B1DEE"/>
    <w:rsid w:val="008B1E0F"/>
    <w:rsid w:val="008B1E82"/>
    <w:rsid w:val="008B1F83"/>
    <w:rsid w:val="008B20DC"/>
    <w:rsid w:val="008B2106"/>
    <w:rsid w:val="008B2A26"/>
    <w:rsid w:val="008B2A31"/>
    <w:rsid w:val="008B2C2C"/>
    <w:rsid w:val="008B2CA4"/>
    <w:rsid w:val="008B2D42"/>
    <w:rsid w:val="008B2DA0"/>
    <w:rsid w:val="008B2FE9"/>
    <w:rsid w:val="008B31C3"/>
    <w:rsid w:val="008B322C"/>
    <w:rsid w:val="008B3238"/>
    <w:rsid w:val="008B32AD"/>
    <w:rsid w:val="008B335B"/>
    <w:rsid w:val="008B355F"/>
    <w:rsid w:val="008B3F08"/>
    <w:rsid w:val="008B3F3C"/>
    <w:rsid w:val="008B3FC4"/>
    <w:rsid w:val="008B413E"/>
    <w:rsid w:val="008B437E"/>
    <w:rsid w:val="008B4923"/>
    <w:rsid w:val="008B4AFD"/>
    <w:rsid w:val="008B4B42"/>
    <w:rsid w:val="008B4D21"/>
    <w:rsid w:val="008B4D54"/>
    <w:rsid w:val="008B4F65"/>
    <w:rsid w:val="008B4FEA"/>
    <w:rsid w:val="008B50D9"/>
    <w:rsid w:val="008B5220"/>
    <w:rsid w:val="008B5398"/>
    <w:rsid w:val="008B54AA"/>
    <w:rsid w:val="008B54C1"/>
    <w:rsid w:val="008B5552"/>
    <w:rsid w:val="008B568F"/>
    <w:rsid w:val="008B56C9"/>
    <w:rsid w:val="008B587C"/>
    <w:rsid w:val="008B59C8"/>
    <w:rsid w:val="008B5F32"/>
    <w:rsid w:val="008B6075"/>
    <w:rsid w:val="008B6093"/>
    <w:rsid w:val="008B625E"/>
    <w:rsid w:val="008B656F"/>
    <w:rsid w:val="008B6723"/>
    <w:rsid w:val="008B6753"/>
    <w:rsid w:val="008B697A"/>
    <w:rsid w:val="008B6B4E"/>
    <w:rsid w:val="008B6BFB"/>
    <w:rsid w:val="008B6C20"/>
    <w:rsid w:val="008B6DAF"/>
    <w:rsid w:val="008B6F8C"/>
    <w:rsid w:val="008B74C4"/>
    <w:rsid w:val="008B7643"/>
    <w:rsid w:val="008B7889"/>
    <w:rsid w:val="008B788C"/>
    <w:rsid w:val="008B798B"/>
    <w:rsid w:val="008B7A88"/>
    <w:rsid w:val="008B7B5B"/>
    <w:rsid w:val="008B7DD2"/>
    <w:rsid w:val="008B7F1E"/>
    <w:rsid w:val="008B7F27"/>
    <w:rsid w:val="008C024F"/>
    <w:rsid w:val="008C03C6"/>
    <w:rsid w:val="008C045C"/>
    <w:rsid w:val="008C0699"/>
    <w:rsid w:val="008C0927"/>
    <w:rsid w:val="008C098E"/>
    <w:rsid w:val="008C09D4"/>
    <w:rsid w:val="008C0B2C"/>
    <w:rsid w:val="008C0B7F"/>
    <w:rsid w:val="008C0B98"/>
    <w:rsid w:val="008C0E42"/>
    <w:rsid w:val="008C0E56"/>
    <w:rsid w:val="008C1190"/>
    <w:rsid w:val="008C11AF"/>
    <w:rsid w:val="008C1583"/>
    <w:rsid w:val="008C168F"/>
    <w:rsid w:val="008C1699"/>
    <w:rsid w:val="008C17B3"/>
    <w:rsid w:val="008C17CC"/>
    <w:rsid w:val="008C18DC"/>
    <w:rsid w:val="008C1CAE"/>
    <w:rsid w:val="008C22F6"/>
    <w:rsid w:val="008C237D"/>
    <w:rsid w:val="008C2479"/>
    <w:rsid w:val="008C25E3"/>
    <w:rsid w:val="008C2678"/>
    <w:rsid w:val="008C272D"/>
    <w:rsid w:val="008C28FA"/>
    <w:rsid w:val="008C2BAB"/>
    <w:rsid w:val="008C2D9B"/>
    <w:rsid w:val="008C2FC3"/>
    <w:rsid w:val="008C309A"/>
    <w:rsid w:val="008C31D5"/>
    <w:rsid w:val="008C3341"/>
    <w:rsid w:val="008C3347"/>
    <w:rsid w:val="008C35A4"/>
    <w:rsid w:val="008C38A4"/>
    <w:rsid w:val="008C3BD1"/>
    <w:rsid w:val="008C3DDB"/>
    <w:rsid w:val="008C40DD"/>
    <w:rsid w:val="008C42F8"/>
    <w:rsid w:val="008C4385"/>
    <w:rsid w:val="008C454E"/>
    <w:rsid w:val="008C472C"/>
    <w:rsid w:val="008C478E"/>
    <w:rsid w:val="008C4902"/>
    <w:rsid w:val="008C4A3A"/>
    <w:rsid w:val="008C4B48"/>
    <w:rsid w:val="008C4BBB"/>
    <w:rsid w:val="008C4D8C"/>
    <w:rsid w:val="008C4F96"/>
    <w:rsid w:val="008C4FFE"/>
    <w:rsid w:val="008C546F"/>
    <w:rsid w:val="008C5557"/>
    <w:rsid w:val="008C5865"/>
    <w:rsid w:val="008C5DD7"/>
    <w:rsid w:val="008C5E93"/>
    <w:rsid w:val="008C61FD"/>
    <w:rsid w:val="008C6566"/>
    <w:rsid w:val="008C6860"/>
    <w:rsid w:val="008C6B11"/>
    <w:rsid w:val="008C6C84"/>
    <w:rsid w:val="008C6D24"/>
    <w:rsid w:val="008C6ED6"/>
    <w:rsid w:val="008C716F"/>
    <w:rsid w:val="008C71A8"/>
    <w:rsid w:val="008C71C2"/>
    <w:rsid w:val="008C77CE"/>
    <w:rsid w:val="008C78A6"/>
    <w:rsid w:val="008C7B9A"/>
    <w:rsid w:val="008C7BE9"/>
    <w:rsid w:val="008D015D"/>
    <w:rsid w:val="008D0434"/>
    <w:rsid w:val="008D04C1"/>
    <w:rsid w:val="008D0596"/>
    <w:rsid w:val="008D0643"/>
    <w:rsid w:val="008D0794"/>
    <w:rsid w:val="008D08AF"/>
    <w:rsid w:val="008D094A"/>
    <w:rsid w:val="008D0BF6"/>
    <w:rsid w:val="008D0DC6"/>
    <w:rsid w:val="008D1154"/>
    <w:rsid w:val="008D11C3"/>
    <w:rsid w:val="008D1234"/>
    <w:rsid w:val="008D12AD"/>
    <w:rsid w:val="008D1460"/>
    <w:rsid w:val="008D156A"/>
    <w:rsid w:val="008D157C"/>
    <w:rsid w:val="008D18B6"/>
    <w:rsid w:val="008D1975"/>
    <w:rsid w:val="008D1E84"/>
    <w:rsid w:val="008D1F89"/>
    <w:rsid w:val="008D209E"/>
    <w:rsid w:val="008D225D"/>
    <w:rsid w:val="008D23A5"/>
    <w:rsid w:val="008D2441"/>
    <w:rsid w:val="008D24BB"/>
    <w:rsid w:val="008D2609"/>
    <w:rsid w:val="008D2622"/>
    <w:rsid w:val="008D27EC"/>
    <w:rsid w:val="008D2858"/>
    <w:rsid w:val="008D28C1"/>
    <w:rsid w:val="008D301E"/>
    <w:rsid w:val="008D3212"/>
    <w:rsid w:val="008D3460"/>
    <w:rsid w:val="008D34E8"/>
    <w:rsid w:val="008D3666"/>
    <w:rsid w:val="008D3B84"/>
    <w:rsid w:val="008D3E85"/>
    <w:rsid w:val="008D4052"/>
    <w:rsid w:val="008D41AA"/>
    <w:rsid w:val="008D421C"/>
    <w:rsid w:val="008D43B4"/>
    <w:rsid w:val="008D44E8"/>
    <w:rsid w:val="008D454D"/>
    <w:rsid w:val="008D47A3"/>
    <w:rsid w:val="008D4836"/>
    <w:rsid w:val="008D4AEF"/>
    <w:rsid w:val="008D5226"/>
    <w:rsid w:val="008D5477"/>
    <w:rsid w:val="008D552C"/>
    <w:rsid w:val="008D56A9"/>
    <w:rsid w:val="008D5A49"/>
    <w:rsid w:val="008D5E54"/>
    <w:rsid w:val="008D5F2A"/>
    <w:rsid w:val="008D5FDD"/>
    <w:rsid w:val="008D6090"/>
    <w:rsid w:val="008D65A5"/>
    <w:rsid w:val="008D67D8"/>
    <w:rsid w:val="008D6810"/>
    <w:rsid w:val="008D685C"/>
    <w:rsid w:val="008D6B81"/>
    <w:rsid w:val="008D6BEE"/>
    <w:rsid w:val="008D6C20"/>
    <w:rsid w:val="008D70BD"/>
    <w:rsid w:val="008D7566"/>
    <w:rsid w:val="008D76E8"/>
    <w:rsid w:val="008D7900"/>
    <w:rsid w:val="008D7B31"/>
    <w:rsid w:val="008D7B98"/>
    <w:rsid w:val="008D7BCC"/>
    <w:rsid w:val="008D7C3C"/>
    <w:rsid w:val="008D7CD0"/>
    <w:rsid w:val="008D7CF4"/>
    <w:rsid w:val="008D7D61"/>
    <w:rsid w:val="008D7DB5"/>
    <w:rsid w:val="008D7E2A"/>
    <w:rsid w:val="008D7EA5"/>
    <w:rsid w:val="008E06E1"/>
    <w:rsid w:val="008E0739"/>
    <w:rsid w:val="008E07C3"/>
    <w:rsid w:val="008E09C3"/>
    <w:rsid w:val="008E0BBE"/>
    <w:rsid w:val="008E0BD9"/>
    <w:rsid w:val="008E0CB0"/>
    <w:rsid w:val="008E1015"/>
    <w:rsid w:val="008E15F7"/>
    <w:rsid w:val="008E1B1D"/>
    <w:rsid w:val="008E1DAB"/>
    <w:rsid w:val="008E1F12"/>
    <w:rsid w:val="008E1F57"/>
    <w:rsid w:val="008E2150"/>
    <w:rsid w:val="008E21DC"/>
    <w:rsid w:val="008E24D9"/>
    <w:rsid w:val="008E26D3"/>
    <w:rsid w:val="008E2985"/>
    <w:rsid w:val="008E2BA0"/>
    <w:rsid w:val="008E2BA7"/>
    <w:rsid w:val="008E2BD4"/>
    <w:rsid w:val="008E2D6C"/>
    <w:rsid w:val="008E35BC"/>
    <w:rsid w:val="008E3878"/>
    <w:rsid w:val="008E38FD"/>
    <w:rsid w:val="008E3A53"/>
    <w:rsid w:val="008E3B44"/>
    <w:rsid w:val="008E3C8F"/>
    <w:rsid w:val="008E3CB5"/>
    <w:rsid w:val="008E3F55"/>
    <w:rsid w:val="008E417C"/>
    <w:rsid w:val="008E41AB"/>
    <w:rsid w:val="008E4915"/>
    <w:rsid w:val="008E496D"/>
    <w:rsid w:val="008E4A29"/>
    <w:rsid w:val="008E4D69"/>
    <w:rsid w:val="008E4F20"/>
    <w:rsid w:val="008E4FB3"/>
    <w:rsid w:val="008E4FB5"/>
    <w:rsid w:val="008E505D"/>
    <w:rsid w:val="008E50FD"/>
    <w:rsid w:val="008E5235"/>
    <w:rsid w:val="008E534C"/>
    <w:rsid w:val="008E53C0"/>
    <w:rsid w:val="008E547D"/>
    <w:rsid w:val="008E5570"/>
    <w:rsid w:val="008E5745"/>
    <w:rsid w:val="008E5771"/>
    <w:rsid w:val="008E5A2A"/>
    <w:rsid w:val="008E5A2D"/>
    <w:rsid w:val="008E5C19"/>
    <w:rsid w:val="008E5C40"/>
    <w:rsid w:val="008E5C53"/>
    <w:rsid w:val="008E5D94"/>
    <w:rsid w:val="008E5FC0"/>
    <w:rsid w:val="008E6268"/>
    <w:rsid w:val="008E65DC"/>
    <w:rsid w:val="008E6712"/>
    <w:rsid w:val="008E692F"/>
    <w:rsid w:val="008E6A21"/>
    <w:rsid w:val="008E6B13"/>
    <w:rsid w:val="008E6E9A"/>
    <w:rsid w:val="008E6F3E"/>
    <w:rsid w:val="008E701F"/>
    <w:rsid w:val="008E7190"/>
    <w:rsid w:val="008E72A2"/>
    <w:rsid w:val="008E72BB"/>
    <w:rsid w:val="008E7338"/>
    <w:rsid w:val="008E76E0"/>
    <w:rsid w:val="008E7706"/>
    <w:rsid w:val="008E78CB"/>
    <w:rsid w:val="008E7A19"/>
    <w:rsid w:val="008E7B12"/>
    <w:rsid w:val="008E7B4A"/>
    <w:rsid w:val="008E7E69"/>
    <w:rsid w:val="008E7F78"/>
    <w:rsid w:val="008EC16E"/>
    <w:rsid w:val="008F00CD"/>
    <w:rsid w:val="008F036D"/>
    <w:rsid w:val="008F037A"/>
    <w:rsid w:val="008F0731"/>
    <w:rsid w:val="008F08EC"/>
    <w:rsid w:val="008F0962"/>
    <w:rsid w:val="008F0969"/>
    <w:rsid w:val="008F0A8A"/>
    <w:rsid w:val="008F0E85"/>
    <w:rsid w:val="008F0E96"/>
    <w:rsid w:val="008F0E9A"/>
    <w:rsid w:val="008F1255"/>
    <w:rsid w:val="008F12DD"/>
    <w:rsid w:val="008F133E"/>
    <w:rsid w:val="008F15C3"/>
    <w:rsid w:val="008F170D"/>
    <w:rsid w:val="008F1930"/>
    <w:rsid w:val="008F19F7"/>
    <w:rsid w:val="008F1A12"/>
    <w:rsid w:val="008F1AE0"/>
    <w:rsid w:val="008F1B3C"/>
    <w:rsid w:val="008F205F"/>
    <w:rsid w:val="008F20F7"/>
    <w:rsid w:val="008F2119"/>
    <w:rsid w:val="008F211E"/>
    <w:rsid w:val="008F21B7"/>
    <w:rsid w:val="008F269F"/>
    <w:rsid w:val="008F273C"/>
    <w:rsid w:val="008F2746"/>
    <w:rsid w:val="008F2867"/>
    <w:rsid w:val="008F28EB"/>
    <w:rsid w:val="008F2FF8"/>
    <w:rsid w:val="008F3234"/>
    <w:rsid w:val="008F326A"/>
    <w:rsid w:val="008F35B2"/>
    <w:rsid w:val="008F3B3B"/>
    <w:rsid w:val="008F3B7E"/>
    <w:rsid w:val="008F3BB5"/>
    <w:rsid w:val="008F3D81"/>
    <w:rsid w:val="008F3E7F"/>
    <w:rsid w:val="008F3FB6"/>
    <w:rsid w:val="008F4140"/>
    <w:rsid w:val="008F41E8"/>
    <w:rsid w:val="008F434F"/>
    <w:rsid w:val="008F437B"/>
    <w:rsid w:val="008F445F"/>
    <w:rsid w:val="008F47E5"/>
    <w:rsid w:val="008F4957"/>
    <w:rsid w:val="008F4AE9"/>
    <w:rsid w:val="008F4B62"/>
    <w:rsid w:val="008F4DC2"/>
    <w:rsid w:val="008F4DD4"/>
    <w:rsid w:val="008F4DE9"/>
    <w:rsid w:val="008F4EAC"/>
    <w:rsid w:val="008F524E"/>
    <w:rsid w:val="008F5334"/>
    <w:rsid w:val="008F5D25"/>
    <w:rsid w:val="008F6021"/>
    <w:rsid w:val="008F6061"/>
    <w:rsid w:val="008F6744"/>
    <w:rsid w:val="008F6758"/>
    <w:rsid w:val="008F678E"/>
    <w:rsid w:val="008F689A"/>
    <w:rsid w:val="008F6988"/>
    <w:rsid w:val="008F6B7D"/>
    <w:rsid w:val="008F6F02"/>
    <w:rsid w:val="008F6FF9"/>
    <w:rsid w:val="008F727D"/>
    <w:rsid w:val="008F732F"/>
    <w:rsid w:val="008F734A"/>
    <w:rsid w:val="008F7428"/>
    <w:rsid w:val="008F76B1"/>
    <w:rsid w:val="008F7705"/>
    <w:rsid w:val="008F7881"/>
    <w:rsid w:val="008F795C"/>
    <w:rsid w:val="008F7D4A"/>
    <w:rsid w:val="008F7DF6"/>
    <w:rsid w:val="009001F2"/>
    <w:rsid w:val="00900314"/>
    <w:rsid w:val="00900456"/>
    <w:rsid w:val="009004AF"/>
    <w:rsid w:val="00900AA9"/>
    <w:rsid w:val="00900DB2"/>
    <w:rsid w:val="00900DD0"/>
    <w:rsid w:val="00900F43"/>
    <w:rsid w:val="00901034"/>
    <w:rsid w:val="0090121B"/>
    <w:rsid w:val="009012EF"/>
    <w:rsid w:val="0090165B"/>
    <w:rsid w:val="00901668"/>
    <w:rsid w:val="009017C1"/>
    <w:rsid w:val="00901C18"/>
    <w:rsid w:val="00901E3B"/>
    <w:rsid w:val="00901E5A"/>
    <w:rsid w:val="00901F3F"/>
    <w:rsid w:val="00901F46"/>
    <w:rsid w:val="00902391"/>
    <w:rsid w:val="0090246D"/>
    <w:rsid w:val="00902538"/>
    <w:rsid w:val="00902610"/>
    <w:rsid w:val="00902893"/>
    <w:rsid w:val="00902B75"/>
    <w:rsid w:val="00902C70"/>
    <w:rsid w:val="00902D9A"/>
    <w:rsid w:val="00902FD6"/>
    <w:rsid w:val="0090340C"/>
    <w:rsid w:val="00903443"/>
    <w:rsid w:val="00903520"/>
    <w:rsid w:val="009035D1"/>
    <w:rsid w:val="00903707"/>
    <w:rsid w:val="0090379D"/>
    <w:rsid w:val="0090386B"/>
    <w:rsid w:val="00903924"/>
    <w:rsid w:val="0090394C"/>
    <w:rsid w:val="00903AE8"/>
    <w:rsid w:val="00903BC8"/>
    <w:rsid w:val="00903D5B"/>
    <w:rsid w:val="00903FBC"/>
    <w:rsid w:val="00904008"/>
    <w:rsid w:val="0090421A"/>
    <w:rsid w:val="009044A4"/>
    <w:rsid w:val="009047EC"/>
    <w:rsid w:val="009049C0"/>
    <w:rsid w:val="00904AB7"/>
    <w:rsid w:val="00904AD8"/>
    <w:rsid w:val="00904B18"/>
    <w:rsid w:val="00904B80"/>
    <w:rsid w:val="00904DED"/>
    <w:rsid w:val="00904ED5"/>
    <w:rsid w:val="0090508B"/>
    <w:rsid w:val="00905219"/>
    <w:rsid w:val="0090528F"/>
    <w:rsid w:val="0090545A"/>
    <w:rsid w:val="009055C4"/>
    <w:rsid w:val="009059A6"/>
    <w:rsid w:val="00905E09"/>
    <w:rsid w:val="00905EF7"/>
    <w:rsid w:val="00905FA6"/>
    <w:rsid w:val="00906350"/>
    <w:rsid w:val="00906435"/>
    <w:rsid w:val="0090645D"/>
    <w:rsid w:val="009064EF"/>
    <w:rsid w:val="00906682"/>
    <w:rsid w:val="00906770"/>
    <w:rsid w:val="00906CDC"/>
    <w:rsid w:val="00906EA5"/>
    <w:rsid w:val="00906ED3"/>
    <w:rsid w:val="00907019"/>
    <w:rsid w:val="009072E9"/>
    <w:rsid w:val="0090731E"/>
    <w:rsid w:val="0090735B"/>
    <w:rsid w:val="009074FE"/>
    <w:rsid w:val="009075C0"/>
    <w:rsid w:val="009077E6"/>
    <w:rsid w:val="00907CB1"/>
    <w:rsid w:val="00907EFE"/>
    <w:rsid w:val="00910003"/>
    <w:rsid w:val="00910037"/>
    <w:rsid w:val="009100AC"/>
    <w:rsid w:val="0091015F"/>
    <w:rsid w:val="009101EB"/>
    <w:rsid w:val="00910409"/>
    <w:rsid w:val="00910472"/>
    <w:rsid w:val="0091096F"/>
    <w:rsid w:val="009109C4"/>
    <w:rsid w:val="00910C9F"/>
    <w:rsid w:val="00910E2D"/>
    <w:rsid w:val="00910EA1"/>
    <w:rsid w:val="00911587"/>
    <w:rsid w:val="00911682"/>
    <w:rsid w:val="00911801"/>
    <w:rsid w:val="0091196B"/>
    <w:rsid w:val="00911D7A"/>
    <w:rsid w:val="00912049"/>
    <w:rsid w:val="0091223D"/>
    <w:rsid w:val="00912377"/>
    <w:rsid w:val="009124EB"/>
    <w:rsid w:val="00912526"/>
    <w:rsid w:val="0091252A"/>
    <w:rsid w:val="00912635"/>
    <w:rsid w:val="00912725"/>
    <w:rsid w:val="009127E9"/>
    <w:rsid w:val="00912B24"/>
    <w:rsid w:val="00912CC1"/>
    <w:rsid w:val="00912CD1"/>
    <w:rsid w:val="00912DEE"/>
    <w:rsid w:val="00913189"/>
    <w:rsid w:val="009131D6"/>
    <w:rsid w:val="00913232"/>
    <w:rsid w:val="009134EF"/>
    <w:rsid w:val="009137A9"/>
    <w:rsid w:val="0091394F"/>
    <w:rsid w:val="00913A9B"/>
    <w:rsid w:val="00913B07"/>
    <w:rsid w:val="00913B61"/>
    <w:rsid w:val="00913D29"/>
    <w:rsid w:val="00913E0E"/>
    <w:rsid w:val="00913E1D"/>
    <w:rsid w:val="00913FDA"/>
    <w:rsid w:val="00914406"/>
    <w:rsid w:val="0091455F"/>
    <w:rsid w:val="00914692"/>
    <w:rsid w:val="00914695"/>
    <w:rsid w:val="00914887"/>
    <w:rsid w:val="009149BB"/>
    <w:rsid w:val="009149C0"/>
    <w:rsid w:val="009149C9"/>
    <w:rsid w:val="00914BFA"/>
    <w:rsid w:val="00914D56"/>
    <w:rsid w:val="00914E86"/>
    <w:rsid w:val="009153A0"/>
    <w:rsid w:val="00915484"/>
    <w:rsid w:val="00915567"/>
    <w:rsid w:val="009155DE"/>
    <w:rsid w:val="00915641"/>
    <w:rsid w:val="00915739"/>
    <w:rsid w:val="009159A6"/>
    <w:rsid w:val="00915BAA"/>
    <w:rsid w:val="00915E6D"/>
    <w:rsid w:val="00915FEC"/>
    <w:rsid w:val="0091620D"/>
    <w:rsid w:val="0091627F"/>
    <w:rsid w:val="00916283"/>
    <w:rsid w:val="0091635A"/>
    <w:rsid w:val="009163AA"/>
    <w:rsid w:val="00916518"/>
    <w:rsid w:val="00916BC5"/>
    <w:rsid w:val="00916C92"/>
    <w:rsid w:val="00916E4E"/>
    <w:rsid w:val="00916F35"/>
    <w:rsid w:val="0091728B"/>
    <w:rsid w:val="009176E2"/>
    <w:rsid w:val="00917728"/>
    <w:rsid w:val="0091798F"/>
    <w:rsid w:val="00917ACC"/>
    <w:rsid w:val="00917B10"/>
    <w:rsid w:val="00917D2E"/>
    <w:rsid w:val="00917D40"/>
    <w:rsid w:val="00917E36"/>
    <w:rsid w:val="00917FC7"/>
    <w:rsid w:val="00920019"/>
    <w:rsid w:val="009200CF"/>
    <w:rsid w:val="0092022E"/>
    <w:rsid w:val="009203C6"/>
    <w:rsid w:val="009203DD"/>
    <w:rsid w:val="00920619"/>
    <w:rsid w:val="009207A5"/>
    <w:rsid w:val="00920A23"/>
    <w:rsid w:val="00920B25"/>
    <w:rsid w:val="00920CFB"/>
    <w:rsid w:val="00920EDB"/>
    <w:rsid w:val="00921068"/>
    <w:rsid w:val="009211F1"/>
    <w:rsid w:val="00921244"/>
    <w:rsid w:val="009212F6"/>
    <w:rsid w:val="00921365"/>
    <w:rsid w:val="009213B3"/>
    <w:rsid w:val="009217A5"/>
    <w:rsid w:val="00921B4F"/>
    <w:rsid w:val="0092202F"/>
    <w:rsid w:val="009222E4"/>
    <w:rsid w:val="00922509"/>
    <w:rsid w:val="0092270A"/>
    <w:rsid w:val="009227F9"/>
    <w:rsid w:val="009228A1"/>
    <w:rsid w:val="00922961"/>
    <w:rsid w:val="00922CF6"/>
    <w:rsid w:val="00922E41"/>
    <w:rsid w:val="0092320F"/>
    <w:rsid w:val="00923453"/>
    <w:rsid w:val="00923550"/>
    <w:rsid w:val="00923623"/>
    <w:rsid w:val="0092391F"/>
    <w:rsid w:val="00923A6B"/>
    <w:rsid w:val="00923ACC"/>
    <w:rsid w:val="00923B60"/>
    <w:rsid w:val="00923EE5"/>
    <w:rsid w:val="00923FF1"/>
    <w:rsid w:val="0092405B"/>
    <w:rsid w:val="00924195"/>
    <w:rsid w:val="00924321"/>
    <w:rsid w:val="00924378"/>
    <w:rsid w:val="0092438B"/>
    <w:rsid w:val="00924421"/>
    <w:rsid w:val="009246CE"/>
    <w:rsid w:val="00924764"/>
    <w:rsid w:val="00924769"/>
    <w:rsid w:val="009247B4"/>
    <w:rsid w:val="0092494D"/>
    <w:rsid w:val="009249E7"/>
    <w:rsid w:val="009249F5"/>
    <w:rsid w:val="00924D61"/>
    <w:rsid w:val="00924F19"/>
    <w:rsid w:val="00925052"/>
    <w:rsid w:val="00925227"/>
    <w:rsid w:val="00925267"/>
    <w:rsid w:val="00925407"/>
    <w:rsid w:val="00925658"/>
    <w:rsid w:val="009256A3"/>
    <w:rsid w:val="00925739"/>
    <w:rsid w:val="0092575D"/>
    <w:rsid w:val="009257B2"/>
    <w:rsid w:val="00925830"/>
    <w:rsid w:val="00925EE7"/>
    <w:rsid w:val="009261F0"/>
    <w:rsid w:val="00926372"/>
    <w:rsid w:val="009264D9"/>
    <w:rsid w:val="009264E0"/>
    <w:rsid w:val="00926603"/>
    <w:rsid w:val="00926AEC"/>
    <w:rsid w:val="00927146"/>
    <w:rsid w:val="00927163"/>
    <w:rsid w:val="009271B9"/>
    <w:rsid w:val="009271EC"/>
    <w:rsid w:val="0092744E"/>
    <w:rsid w:val="009276A0"/>
    <w:rsid w:val="0092777A"/>
    <w:rsid w:val="00927AA3"/>
    <w:rsid w:val="00927AFA"/>
    <w:rsid w:val="00927DE5"/>
    <w:rsid w:val="00927EF9"/>
    <w:rsid w:val="00930233"/>
    <w:rsid w:val="00930268"/>
    <w:rsid w:val="009302AE"/>
    <w:rsid w:val="009302C5"/>
    <w:rsid w:val="0093047B"/>
    <w:rsid w:val="00930492"/>
    <w:rsid w:val="00930508"/>
    <w:rsid w:val="00930867"/>
    <w:rsid w:val="00930C74"/>
    <w:rsid w:val="00930D31"/>
    <w:rsid w:val="00930D8E"/>
    <w:rsid w:val="0093179E"/>
    <w:rsid w:val="00931F49"/>
    <w:rsid w:val="00932035"/>
    <w:rsid w:val="0093230C"/>
    <w:rsid w:val="0093279B"/>
    <w:rsid w:val="009327D9"/>
    <w:rsid w:val="00932A5A"/>
    <w:rsid w:val="00932DDF"/>
    <w:rsid w:val="00932E94"/>
    <w:rsid w:val="00932FAA"/>
    <w:rsid w:val="0093326E"/>
    <w:rsid w:val="00933332"/>
    <w:rsid w:val="0093343E"/>
    <w:rsid w:val="009334B1"/>
    <w:rsid w:val="009335A4"/>
    <w:rsid w:val="00933603"/>
    <w:rsid w:val="00933679"/>
    <w:rsid w:val="009338E9"/>
    <w:rsid w:val="009339CE"/>
    <w:rsid w:val="00933A9A"/>
    <w:rsid w:val="00933E67"/>
    <w:rsid w:val="00933F69"/>
    <w:rsid w:val="00933FBD"/>
    <w:rsid w:val="00934697"/>
    <w:rsid w:val="00934987"/>
    <w:rsid w:val="00934CE1"/>
    <w:rsid w:val="00935130"/>
    <w:rsid w:val="00935368"/>
    <w:rsid w:val="0093586E"/>
    <w:rsid w:val="009359F8"/>
    <w:rsid w:val="00935A62"/>
    <w:rsid w:val="00935BD7"/>
    <w:rsid w:val="00935CC2"/>
    <w:rsid w:val="00935FBF"/>
    <w:rsid w:val="00936084"/>
    <w:rsid w:val="009365FB"/>
    <w:rsid w:val="009369CB"/>
    <w:rsid w:val="00936D41"/>
    <w:rsid w:val="00936D46"/>
    <w:rsid w:val="00936DB8"/>
    <w:rsid w:val="00936E3E"/>
    <w:rsid w:val="009373EA"/>
    <w:rsid w:val="009375A8"/>
    <w:rsid w:val="0093769E"/>
    <w:rsid w:val="00937919"/>
    <w:rsid w:val="00937AB8"/>
    <w:rsid w:val="00937C37"/>
    <w:rsid w:val="00937E30"/>
    <w:rsid w:val="00937F79"/>
    <w:rsid w:val="00937FB5"/>
    <w:rsid w:val="009400BA"/>
    <w:rsid w:val="009401A9"/>
    <w:rsid w:val="00940232"/>
    <w:rsid w:val="00940290"/>
    <w:rsid w:val="00940334"/>
    <w:rsid w:val="00940342"/>
    <w:rsid w:val="0094050F"/>
    <w:rsid w:val="00940571"/>
    <w:rsid w:val="0094072A"/>
    <w:rsid w:val="00940890"/>
    <w:rsid w:val="009408DC"/>
    <w:rsid w:val="00940FA4"/>
    <w:rsid w:val="00941043"/>
    <w:rsid w:val="009413AE"/>
    <w:rsid w:val="00941451"/>
    <w:rsid w:val="0094149A"/>
    <w:rsid w:val="009414F6"/>
    <w:rsid w:val="00941BF4"/>
    <w:rsid w:val="00941D17"/>
    <w:rsid w:val="00941D87"/>
    <w:rsid w:val="00941E18"/>
    <w:rsid w:val="00941FA5"/>
    <w:rsid w:val="009420AE"/>
    <w:rsid w:val="0094211A"/>
    <w:rsid w:val="00942127"/>
    <w:rsid w:val="00942318"/>
    <w:rsid w:val="0094232B"/>
    <w:rsid w:val="00942414"/>
    <w:rsid w:val="0094254B"/>
    <w:rsid w:val="009425C9"/>
    <w:rsid w:val="00942617"/>
    <w:rsid w:val="009428C0"/>
    <w:rsid w:val="009428C6"/>
    <w:rsid w:val="00942AAC"/>
    <w:rsid w:val="00942DC6"/>
    <w:rsid w:val="00942E08"/>
    <w:rsid w:val="00942F92"/>
    <w:rsid w:val="00942FC4"/>
    <w:rsid w:val="00942FEF"/>
    <w:rsid w:val="0094328C"/>
    <w:rsid w:val="0094350C"/>
    <w:rsid w:val="00943517"/>
    <w:rsid w:val="00943730"/>
    <w:rsid w:val="0094380A"/>
    <w:rsid w:val="00943842"/>
    <w:rsid w:val="00943C5A"/>
    <w:rsid w:val="00943DE0"/>
    <w:rsid w:val="00943E69"/>
    <w:rsid w:val="00943FD2"/>
    <w:rsid w:val="0094410C"/>
    <w:rsid w:val="0094422C"/>
    <w:rsid w:val="009443E4"/>
    <w:rsid w:val="0094446F"/>
    <w:rsid w:val="0094452F"/>
    <w:rsid w:val="009446B7"/>
    <w:rsid w:val="00944705"/>
    <w:rsid w:val="00944757"/>
    <w:rsid w:val="009448F5"/>
    <w:rsid w:val="00944C37"/>
    <w:rsid w:val="00944C64"/>
    <w:rsid w:val="00944DC7"/>
    <w:rsid w:val="0094508F"/>
    <w:rsid w:val="0094522F"/>
    <w:rsid w:val="00945329"/>
    <w:rsid w:val="009453D0"/>
    <w:rsid w:val="0094551D"/>
    <w:rsid w:val="00945522"/>
    <w:rsid w:val="00945527"/>
    <w:rsid w:val="00945580"/>
    <w:rsid w:val="0094569C"/>
    <w:rsid w:val="009456BA"/>
    <w:rsid w:val="009458A7"/>
    <w:rsid w:val="00945AD8"/>
    <w:rsid w:val="00945D8F"/>
    <w:rsid w:val="00945E46"/>
    <w:rsid w:val="00945ECB"/>
    <w:rsid w:val="009468A5"/>
    <w:rsid w:val="009469E6"/>
    <w:rsid w:val="00946A74"/>
    <w:rsid w:val="00946DD5"/>
    <w:rsid w:val="00946F3E"/>
    <w:rsid w:val="00947579"/>
    <w:rsid w:val="00947686"/>
    <w:rsid w:val="0094797F"/>
    <w:rsid w:val="0094798F"/>
    <w:rsid w:val="00947A55"/>
    <w:rsid w:val="00947A59"/>
    <w:rsid w:val="00947AAE"/>
    <w:rsid w:val="00947BC4"/>
    <w:rsid w:val="00947C0F"/>
    <w:rsid w:val="00950000"/>
    <w:rsid w:val="00950129"/>
    <w:rsid w:val="009501D5"/>
    <w:rsid w:val="009503EE"/>
    <w:rsid w:val="009504BB"/>
    <w:rsid w:val="009507B4"/>
    <w:rsid w:val="00950908"/>
    <w:rsid w:val="00950A7A"/>
    <w:rsid w:val="0095117D"/>
    <w:rsid w:val="0095136C"/>
    <w:rsid w:val="0095146C"/>
    <w:rsid w:val="009515E0"/>
    <w:rsid w:val="00951787"/>
    <w:rsid w:val="009518F1"/>
    <w:rsid w:val="00951B25"/>
    <w:rsid w:val="00951B53"/>
    <w:rsid w:val="00951C86"/>
    <w:rsid w:val="00951D42"/>
    <w:rsid w:val="00951F07"/>
    <w:rsid w:val="00951F90"/>
    <w:rsid w:val="009520D5"/>
    <w:rsid w:val="0095211A"/>
    <w:rsid w:val="0095219E"/>
    <w:rsid w:val="00952533"/>
    <w:rsid w:val="009526B0"/>
    <w:rsid w:val="00952789"/>
    <w:rsid w:val="009527B4"/>
    <w:rsid w:val="00952910"/>
    <w:rsid w:val="0095291B"/>
    <w:rsid w:val="00952E10"/>
    <w:rsid w:val="009531BB"/>
    <w:rsid w:val="00953373"/>
    <w:rsid w:val="0095356F"/>
    <w:rsid w:val="009535C7"/>
    <w:rsid w:val="00953757"/>
    <w:rsid w:val="0095384B"/>
    <w:rsid w:val="009538C2"/>
    <w:rsid w:val="00953AFC"/>
    <w:rsid w:val="00953BCB"/>
    <w:rsid w:val="00953C0C"/>
    <w:rsid w:val="00953C80"/>
    <w:rsid w:val="00953D18"/>
    <w:rsid w:val="00953FE8"/>
    <w:rsid w:val="009540DA"/>
    <w:rsid w:val="0095424E"/>
    <w:rsid w:val="009545E0"/>
    <w:rsid w:val="009548AF"/>
    <w:rsid w:val="00955023"/>
    <w:rsid w:val="00955385"/>
    <w:rsid w:val="00955438"/>
    <w:rsid w:val="009556F0"/>
    <w:rsid w:val="0095573F"/>
    <w:rsid w:val="00955772"/>
    <w:rsid w:val="009558E9"/>
    <w:rsid w:val="00955A9F"/>
    <w:rsid w:val="00955C8E"/>
    <w:rsid w:val="00955FD6"/>
    <w:rsid w:val="00956017"/>
    <w:rsid w:val="009560E3"/>
    <w:rsid w:val="009563D5"/>
    <w:rsid w:val="009565FC"/>
    <w:rsid w:val="0095671D"/>
    <w:rsid w:val="009567FC"/>
    <w:rsid w:val="00956902"/>
    <w:rsid w:val="00956916"/>
    <w:rsid w:val="00956A43"/>
    <w:rsid w:val="00956AC6"/>
    <w:rsid w:val="00956C1A"/>
    <w:rsid w:val="00956D56"/>
    <w:rsid w:val="00956F55"/>
    <w:rsid w:val="00957039"/>
    <w:rsid w:val="00957143"/>
    <w:rsid w:val="00957184"/>
    <w:rsid w:val="009573A9"/>
    <w:rsid w:val="00957489"/>
    <w:rsid w:val="009575BC"/>
    <w:rsid w:val="00957686"/>
    <w:rsid w:val="009577EF"/>
    <w:rsid w:val="009578D1"/>
    <w:rsid w:val="00957947"/>
    <w:rsid w:val="00960053"/>
    <w:rsid w:val="009601AE"/>
    <w:rsid w:val="00960227"/>
    <w:rsid w:val="009604C9"/>
    <w:rsid w:val="009604F3"/>
    <w:rsid w:val="00960571"/>
    <w:rsid w:val="009605D1"/>
    <w:rsid w:val="0096069A"/>
    <w:rsid w:val="0096079F"/>
    <w:rsid w:val="00960869"/>
    <w:rsid w:val="00960B56"/>
    <w:rsid w:val="00960BDE"/>
    <w:rsid w:val="00960EC5"/>
    <w:rsid w:val="00961135"/>
    <w:rsid w:val="00961166"/>
    <w:rsid w:val="009617B9"/>
    <w:rsid w:val="009618F9"/>
    <w:rsid w:val="00961985"/>
    <w:rsid w:val="009619C2"/>
    <w:rsid w:val="00961A61"/>
    <w:rsid w:val="00961CED"/>
    <w:rsid w:val="00961D15"/>
    <w:rsid w:val="00961E99"/>
    <w:rsid w:val="00961ED2"/>
    <w:rsid w:val="009620CD"/>
    <w:rsid w:val="0096215F"/>
    <w:rsid w:val="0096217D"/>
    <w:rsid w:val="00962204"/>
    <w:rsid w:val="00962521"/>
    <w:rsid w:val="009629C9"/>
    <w:rsid w:val="00962D41"/>
    <w:rsid w:val="00962F81"/>
    <w:rsid w:val="0096333A"/>
    <w:rsid w:val="0096343C"/>
    <w:rsid w:val="00963603"/>
    <w:rsid w:val="009637EC"/>
    <w:rsid w:val="0096394F"/>
    <w:rsid w:val="009639A9"/>
    <w:rsid w:val="00963B2A"/>
    <w:rsid w:val="00963C7F"/>
    <w:rsid w:val="00963D8D"/>
    <w:rsid w:val="00963D97"/>
    <w:rsid w:val="009641FA"/>
    <w:rsid w:val="00964282"/>
    <w:rsid w:val="00964321"/>
    <w:rsid w:val="0096442D"/>
    <w:rsid w:val="00964578"/>
    <w:rsid w:val="009645C8"/>
    <w:rsid w:val="009645D7"/>
    <w:rsid w:val="00964891"/>
    <w:rsid w:val="00964907"/>
    <w:rsid w:val="00964A33"/>
    <w:rsid w:val="00964ADF"/>
    <w:rsid w:val="00964C04"/>
    <w:rsid w:val="00964C4E"/>
    <w:rsid w:val="00964DC0"/>
    <w:rsid w:val="00964F47"/>
    <w:rsid w:val="00965121"/>
    <w:rsid w:val="00965172"/>
    <w:rsid w:val="009651EF"/>
    <w:rsid w:val="009652D8"/>
    <w:rsid w:val="00965426"/>
    <w:rsid w:val="00965451"/>
    <w:rsid w:val="009654C8"/>
    <w:rsid w:val="00965680"/>
    <w:rsid w:val="0096572B"/>
    <w:rsid w:val="00965807"/>
    <w:rsid w:val="0096580B"/>
    <w:rsid w:val="0096593D"/>
    <w:rsid w:val="00965A9D"/>
    <w:rsid w:val="00965BB7"/>
    <w:rsid w:val="00965C0F"/>
    <w:rsid w:val="00965D2A"/>
    <w:rsid w:val="00965E4A"/>
    <w:rsid w:val="00965F0C"/>
    <w:rsid w:val="00965FBC"/>
    <w:rsid w:val="00965FE5"/>
    <w:rsid w:val="00966025"/>
    <w:rsid w:val="00966103"/>
    <w:rsid w:val="0096657E"/>
    <w:rsid w:val="009665AA"/>
    <w:rsid w:val="009666DD"/>
    <w:rsid w:val="009668CC"/>
    <w:rsid w:val="00966992"/>
    <w:rsid w:val="00966A48"/>
    <w:rsid w:val="00966D89"/>
    <w:rsid w:val="00967255"/>
    <w:rsid w:val="009672C1"/>
    <w:rsid w:val="0096732C"/>
    <w:rsid w:val="009674BB"/>
    <w:rsid w:val="00967573"/>
    <w:rsid w:val="0096760F"/>
    <w:rsid w:val="0096762F"/>
    <w:rsid w:val="0096770D"/>
    <w:rsid w:val="00967949"/>
    <w:rsid w:val="00967D52"/>
    <w:rsid w:val="00967D63"/>
    <w:rsid w:val="0097002E"/>
    <w:rsid w:val="009701C7"/>
    <w:rsid w:val="0097023D"/>
    <w:rsid w:val="00970252"/>
    <w:rsid w:val="009703FD"/>
    <w:rsid w:val="00970572"/>
    <w:rsid w:val="00970772"/>
    <w:rsid w:val="00970A32"/>
    <w:rsid w:val="00970B02"/>
    <w:rsid w:val="00970D3C"/>
    <w:rsid w:val="00970F32"/>
    <w:rsid w:val="00970F3F"/>
    <w:rsid w:val="00970F53"/>
    <w:rsid w:val="00970F64"/>
    <w:rsid w:val="00970FDA"/>
    <w:rsid w:val="0097110C"/>
    <w:rsid w:val="00971191"/>
    <w:rsid w:val="009713AC"/>
    <w:rsid w:val="00971697"/>
    <w:rsid w:val="00971805"/>
    <w:rsid w:val="00971921"/>
    <w:rsid w:val="00971CC4"/>
    <w:rsid w:val="00971DD3"/>
    <w:rsid w:val="00971EE8"/>
    <w:rsid w:val="00972049"/>
    <w:rsid w:val="009721EA"/>
    <w:rsid w:val="00972302"/>
    <w:rsid w:val="00972546"/>
    <w:rsid w:val="00972800"/>
    <w:rsid w:val="00972B5F"/>
    <w:rsid w:val="00972B92"/>
    <w:rsid w:val="00972C15"/>
    <w:rsid w:val="0097311E"/>
    <w:rsid w:val="009737F4"/>
    <w:rsid w:val="00973962"/>
    <w:rsid w:val="009739EA"/>
    <w:rsid w:val="00973A21"/>
    <w:rsid w:val="00973AF6"/>
    <w:rsid w:val="00973C43"/>
    <w:rsid w:val="00973D64"/>
    <w:rsid w:val="00973D67"/>
    <w:rsid w:val="00973E17"/>
    <w:rsid w:val="00973E31"/>
    <w:rsid w:val="00973E64"/>
    <w:rsid w:val="00973E8A"/>
    <w:rsid w:val="00973EBB"/>
    <w:rsid w:val="00974152"/>
    <w:rsid w:val="00974206"/>
    <w:rsid w:val="009742DD"/>
    <w:rsid w:val="009743A2"/>
    <w:rsid w:val="0097441C"/>
    <w:rsid w:val="009749A2"/>
    <w:rsid w:val="00974C79"/>
    <w:rsid w:val="00974CB2"/>
    <w:rsid w:val="00974CEB"/>
    <w:rsid w:val="00974FF2"/>
    <w:rsid w:val="00974FFF"/>
    <w:rsid w:val="00975125"/>
    <w:rsid w:val="00975413"/>
    <w:rsid w:val="00975499"/>
    <w:rsid w:val="009755EB"/>
    <w:rsid w:val="00975847"/>
    <w:rsid w:val="00975902"/>
    <w:rsid w:val="0097595C"/>
    <w:rsid w:val="00975A3E"/>
    <w:rsid w:val="00975B12"/>
    <w:rsid w:val="00975B23"/>
    <w:rsid w:val="00975F02"/>
    <w:rsid w:val="0097607D"/>
    <w:rsid w:val="009762C5"/>
    <w:rsid w:val="00976503"/>
    <w:rsid w:val="009768EE"/>
    <w:rsid w:val="00976ADA"/>
    <w:rsid w:val="00976C17"/>
    <w:rsid w:val="00976E76"/>
    <w:rsid w:val="00977060"/>
    <w:rsid w:val="009770E2"/>
    <w:rsid w:val="00977470"/>
    <w:rsid w:val="009774A6"/>
    <w:rsid w:val="009774B4"/>
    <w:rsid w:val="00977592"/>
    <w:rsid w:val="00977610"/>
    <w:rsid w:val="009778E8"/>
    <w:rsid w:val="00977A38"/>
    <w:rsid w:val="00977C96"/>
    <w:rsid w:val="00977D6C"/>
    <w:rsid w:val="00977E74"/>
    <w:rsid w:val="0098004B"/>
    <w:rsid w:val="0098047E"/>
    <w:rsid w:val="0098087B"/>
    <w:rsid w:val="00980D0A"/>
    <w:rsid w:val="00980ED5"/>
    <w:rsid w:val="00981028"/>
    <w:rsid w:val="009811E9"/>
    <w:rsid w:val="009812E0"/>
    <w:rsid w:val="00981445"/>
    <w:rsid w:val="0098145C"/>
    <w:rsid w:val="00981508"/>
    <w:rsid w:val="0098150B"/>
    <w:rsid w:val="0098157B"/>
    <w:rsid w:val="009816C6"/>
    <w:rsid w:val="00981764"/>
    <w:rsid w:val="0098178B"/>
    <w:rsid w:val="009819CC"/>
    <w:rsid w:val="00981A0D"/>
    <w:rsid w:val="00981A6A"/>
    <w:rsid w:val="00981D27"/>
    <w:rsid w:val="00981FB8"/>
    <w:rsid w:val="009820B2"/>
    <w:rsid w:val="009822C7"/>
    <w:rsid w:val="009822E6"/>
    <w:rsid w:val="00982558"/>
    <w:rsid w:val="00982818"/>
    <w:rsid w:val="00982820"/>
    <w:rsid w:val="0098284E"/>
    <w:rsid w:val="00982917"/>
    <w:rsid w:val="00982A90"/>
    <w:rsid w:val="00982ABB"/>
    <w:rsid w:val="00982B18"/>
    <w:rsid w:val="00982BB1"/>
    <w:rsid w:val="00982BEA"/>
    <w:rsid w:val="00982EFA"/>
    <w:rsid w:val="0098322F"/>
    <w:rsid w:val="00983262"/>
    <w:rsid w:val="009833E0"/>
    <w:rsid w:val="00983557"/>
    <w:rsid w:val="00983669"/>
    <w:rsid w:val="00983D14"/>
    <w:rsid w:val="00983D4F"/>
    <w:rsid w:val="00983DBE"/>
    <w:rsid w:val="00983DE7"/>
    <w:rsid w:val="00983E06"/>
    <w:rsid w:val="00983F67"/>
    <w:rsid w:val="00983F75"/>
    <w:rsid w:val="009840B8"/>
    <w:rsid w:val="0098433E"/>
    <w:rsid w:val="009854A0"/>
    <w:rsid w:val="00985500"/>
    <w:rsid w:val="00985703"/>
    <w:rsid w:val="00985883"/>
    <w:rsid w:val="009858D0"/>
    <w:rsid w:val="00985A64"/>
    <w:rsid w:val="00985BCC"/>
    <w:rsid w:val="00985C21"/>
    <w:rsid w:val="00985CFA"/>
    <w:rsid w:val="00985EA3"/>
    <w:rsid w:val="00986074"/>
    <w:rsid w:val="00986225"/>
    <w:rsid w:val="009862EB"/>
    <w:rsid w:val="009862F5"/>
    <w:rsid w:val="00986414"/>
    <w:rsid w:val="0098690F"/>
    <w:rsid w:val="00986CFE"/>
    <w:rsid w:val="00986EFE"/>
    <w:rsid w:val="009871F7"/>
    <w:rsid w:val="009872DE"/>
    <w:rsid w:val="0098741B"/>
    <w:rsid w:val="0098757B"/>
    <w:rsid w:val="00987704"/>
    <w:rsid w:val="00987791"/>
    <w:rsid w:val="0098798E"/>
    <w:rsid w:val="00987A56"/>
    <w:rsid w:val="00987AC6"/>
    <w:rsid w:val="00987BAD"/>
    <w:rsid w:val="00987D1F"/>
    <w:rsid w:val="00987DA5"/>
    <w:rsid w:val="00987E2D"/>
    <w:rsid w:val="00987EDD"/>
    <w:rsid w:val="00987F12"/>
    <w:rsid w:val="00987FFB"/>
    <w:rsid w:val="0099019B"/>
    <w:rsid w:val="009901CE"/>
    <w:rsid w:val="0099024D"/>
    <w:rsid w:val="009904B6"/>
    <w:rsid w:val="009909C6"/>
    <w:rsid w:val="00990BEF"/>
    <w:rsid w:val="00990BFE"/>
    <w:rsid w:val="00990C21"/>
    <w:rsid w:val="00990E4D"/>
    <w:rsid w:val="00990EFA"/>
    <w:rsid w:val="00990F07"/>
    <w:rsid w:val="009914C3"/>
    <w:rsid w:val="009914E8"/>
    <w:rsid w:val="0099162B"/>
    <w:rsid w:val="009917FA"/>
    <w:rsid w:val="009918D9"/>
    <w:rsid w:val="00991B64"/>
    <w:rsid w:val="009920DB"/>
    <w:rsid w:val="00992209"/>
    <w:rsid w:val="009923BB"/>
    <w:rsid w:val="00992711"/>
    <w:rsid w:val="00992C66"/>
    <w:rsid w:val="00993163"/>
    <w:rsid w:val="009932A5"/>
    <w:rsid w:val="009932F8"/>
    <w:rsid w:val="00993A16"/>
    <w:rsid w:val="00993D81"/>
    <w:rsid w:val="00994328"/>
    <w:rsid w:val="00994356"/>
    <w:rsid w:val="0099451B"/>
    <w:rsid w:val="009945DA"/>
    <w:rsid w:val="0099471F"/>
    <w:rsid w:val="009947B7"/>
    <w:rsid w:val="00994AAD"/>
    <w:rsid w:val="00994B1F"/>
    <w:rsid w:val="00994EE0"/>
    <w:rsid w:val="00995149"/>
    <w:rsid w:val="0099514F"/>
    <w:rsid w:val="009954CE"/>
    <w:rsid w:val="00995849"/>
    <w:rsid w:val="009958D7"/>
    <w:rsid w:val="009959E6"/>
    <w:rsid w:val="00995A73"/>
    <w:rsid w:val="00995B12"/>
    <w:rsid w:val="00995C4C"/>
    <w:rsid w:val="00995D5C"/>
    <w:rsid w:val="00995DB9"/>
    <w:rsid w:val="009961C0"/>
    <w:rsid w:val="0099622A"/>
    <w:rsid w:val="009962AD"/>
    <w:rsid w:val="009965C4"/>
    <w:rsid w:val="009966BC"/>
    <w:rsid w:val="009967CE"/>
    <w:rsid w:val="009968EF"/>
    <w:rsid w:val="0099691E"/>
    <w:rsid w:val="00996931"/>
    <w:rsid w:val="00996CE3"/>
    <w:rsid w:val="00997114"/>
    <w:rsid w:val="00997181"/>
    <w:rsid w:val="009971BA"/>
    <w:rsid w:val="009971ED"/>
    <w:rsid w:val="009972FE"/>
    <w:rsid w:val="009973FC"/>
    <w:rsid w:val="00997978"/>
    <w:rsid w:val="00997AF7"/>
    <w:rsid w:val="00997AFB"/>
    <w:rsid w:val="00997F7B"/>
    <w:rsid w:val="009A005C"/>
    <w:rsid w:val="009A011A"/>
    <w:rsid w:val="009A0151"/>
    <w:rsid w:val="009A02A5"/>
    <w:rsid w:val="009A02E0"/>
    <w:rsid w:val="009A0338"/>
    <w:rsid w:val="009A07E0"/>
    <w:rsid w:val="009A0AC1"/>
    <w:rsid w:val="009A0AE4"/>
    <w:rsid w:val="009A0D71"/>
    <w:rsid w:val="009A0FB7"/>
    <w:rsid w:val="009A116C"/>
    <w:rsid w:val="009A134B"/>
    <w:rsid w:val="009A1574"/>
    <w:rsid w:val="009A1616"/>
    <w:rsid w:val="009A16D2"/>
    <w:rsid w:val="009A172E"/>
    <w:rsid w:val="009A18E4"/>
    <w:rsid w:val="009A18F9"/>
    <w:rsid w:val="009A196D"/>
    <w:rsid w:val="009A1A8C"/>
    <w:rsid w:val="009A1AB4"/>
    <w:rsid w:val="009A1CDA"/>
    <w:rsid w:val="009A243D"/>
    <w:rsid w:val="009A2566"/>
    <w:rsid w:val="009A28A9"/>
    <w:rsid w:val="009A2A2E"/>
    <w:rsid w:val="009A2B0B"/>
    <w:rsid w:val="009A2F5B"/>
    <w:rsid w:val="009A3050"/>
    <w:rsid w:val="009A3261"/>
    <w:rsid w:val="009A32F5"/>
    <w:rsid w:val="009A338B"/>
    <w:rsid w:val="009A3475"/>
    <w:rsid w:val="009A35D0"/>
    <w:rsid w:val="009A360C"/>
    <w:rsid w:val="009A3A00"/>
    <w:rsid w:val="009A3D63"/>
    <w:rsid w:val="009A3E28"/>
    <w:rsid w:val="009A3E2F"/>
    <w:rsid w:val="009A3E54"/>
    <w:rsid w:val="009A442D"/>
    <w:rsid w:val="009A458C"/>
    <w:rsid w:val="009A45C6"/>
    <w:rsid w:val="009A45C9"/>
    <w:rsid w:val="009A49CF"/>
    <w:rsid w:val="009A4B30"/>
    <w:rsid w:val="009A4D1A"/>
    <w:rsid w:val="009A4D1D"/>
    <w:rsid w:val="009A4D9E"/>
    <w:rsid w:val="009A4F34"/>
    <w:rsid w:val="009A4F7B"/>
    <w:rsid w:val="009A5036"/>
    <w:rsid w:val="009A52AA"/>
    <w:rsid w:val="009A52AB"/>
    <w:rsid w:val="009A55A8"/>
    <w:rsid w:val="009A58AC"/>
    <w:rsid w:val="009A59B1"/>
    <w:rsid w:val="009A59C6"/>
    <w:rsid w:val="009A59E9"/>
    <w:rsid w:val="009A5A87"/>
    <w:rsid w:val="009A5AFF"/>
    <w:rsid w:val="009A5C6B"/>
    <w:rsid w:val="009A5CD7"/>
    <w:rsid w:val="009A5CDC"/>
    <w:rsid w:val="009A5D05"/>
    <w:rsid w:val="009A5FF7"/>
    <w:rsid w:val="009A60FF"/>
    <w:rsid w:val="009A621D"/>
    <w:rsid w:val="009A632C"/>
    <w:rsid w:val="009A6433"/>
    <w:rsid w:val="009A64F0"/>
    <w:rsid w:val="009A66E2"/>
    <w:rsid w:val="009A67D9"/>
    <w:rsid w:val="009A67DC"/>
    <w:rsid w:val="009A67F1"/>
    <w:rsid w:val="009A6AA5"/>
    <w:rsid w:val="009A6D0C"/>
    <w:rsid w:val="009A6D93"/>
    <w:rsid w:val="009A6E0E"/>
    <w:rsid w:val="009A7029"/>
    <w:rsid w:val="009A7252"/>
    <w:rsid w:val="009A739D"/>
    <w:rsid w:val="009A7812"/>
    <w:rsid w:val="009A789E"/>
    <w:rsid w:val="009A7959"/>
    <w:rsid w:val="009A798C"/>
    <w:rsid w:val="009A79CE"/>
    <w:rsid w:val="009A7CA0"/>
    <w:rsid w:val="009B0288"/>
    <w:rsid w:val="009B05FE"/>
    <w:rsid w:val="009B074F"/>
    <w:rsid w:val="009B0934"/>
    <w:rsid w:val="009B0954"/>
    <w:rsid w:val="009B0A0A"/>
    <w:rsid w:val="009B0B10"/>
    <w:rsid w:val="009B0BDA"/>
    <w:rsid w:val="009B0C73"/>
    <w:rsid w:val="009B0EAD"/>
    <w:rsid w:val="009B0F72"/>
    <w:rsid w:val="009B105A"/>
    <w:rsid w:val="009B1293"/>
    <w:rsid w:val="009B13EA"/>
    <w:rsid w:val="009B14B0"/>
    <w:rsid w:val="009B165E"/>
    <w:rsid w:val="009B17C8"/>
    <w:rsid w:val="009B17F9"/>
    <w:rsid w:val="009B19DB"/>
    <w:rsid w:val="009B1AA1"/>
    <w:rsid w:val="009B1BBF"/>
    <w:rsid w:val="009B1CCB"/>
    <w:rsid w:val="009B1D81"/>
    <w:rsid w:val="009B1EC9"/>
    <w:rsid w:val="009B2388"/>
    <w:rsid w:val="009B2398"/>
    <w:rsid w:val="009B267D"/>
    <w:rsid w:val="009B27B4"/>
    <w:rsid w:val="009B27C5"/>
    <w:rsid w:val="009B2C5F"/>
    <w:rsid w:val="009B2DFD"/>
    <w:rsid w:val="009B2FD8"/>
    <w:rsid w:val="009B3359"/>
    <w:rsid w:val="009B3526"/>
    <w:rsid w:val="009B35F4"/>
    <w:rsid w:val="009B36AF"/>
    <w:rsid w:val="009B388B"/>
    <w:rsid w:val="009B39F0"/>
    <w:rsid w:val="009B3C1A"/>
    <w:rsid w:val="009B3F0A"/>
    <w:rsid w:val="009B3FA6"/>
    <w:rsid w:val="009B4060"/>
    <w:rsid w:val="009B40CB"/>
    <w:rsid w:val="009B4538"/>
    <w:rsid w:val="009B464A"/>
    <w:rsid w:val="009B4679"/>
    <w:rsid w:val="009B49AD"/>
    <w:rsid w:val="009B49E1"/>
    <w:rsid w:val="009B4A2E"/>
    <w:rsid w:val="009B4B42"/>
    <w:rsid w:val="009B4C8E"/>
    <w:rsid w:val="009B4D3E"/>
    <w:rsid w:val="009B4DB7"/>
    <w:rsid w:val="009B4F28"/>
    <w:rsid w:val="009B503E"/>
    <w:rsid w:val="009B52DC"/>
    <w:rsid w:val="009B59B7"/>
    <w:rsid w:val="009B5A5C"/>
    <w:rsid w:val="009B5D62"/>
    <w:rsid w:val="009B5FD8"/>
    <w:rsid w:val="009B64E1"/>
    <w:rsid w:val="009B6540"/>
    <w:rsid w:val="009B65CA"/>
    <w:rsid w:val="009B6C44"/>
    <w:rsid w:val="009B6CBF"/>
    <w:rsid w:val="009B6E30"/>
    <w:rsid w:val="009B6E91"/>
    <w:rsid w:val="009B6EC8"/>
    <w:rsid w:val="009B718A"/>
    <w:rsid w:val="009B7193"/>
    <w:rsid w:val="009B7237"/>
    <w:rsid w:val="009B72EF"/>
    <w:rsid w:val="009B7334"/>
    <w:rsid w:val="009B73F8"/>
    <w:rsid w:val="009B786F"/>
    <w:rsid w:val="009B7916"/>
    <w:rsid w:val="009B7B0C"/>
    <w:rsid w:val="009B7B10"/>
    <w:rsid w:val="009B7BAA"/>
    <w:rsid w:val="009B7BCB"/>
    <w:rsid w:val="009B7E1D"/>
    <w:rsid w:val="009C0029"/>
    <w:rsid w:val="009C00A7"/>
    <w:rsid w:val="009C01C0"/>
    <w:rsid w:val="009C0229"/>
    <w:rsid w:val="009C033D"/>
    <w:rsid w:val="009C045E"/>
    <w:rsid w:val="009C0470"/>
    <w:rsid w:val="009C04D3"/>
    <w:rsid w:val="009C052A"/>
    <w:rsid w:val="009C061F"/>
    <w:rsid w:val="009C07B0"/>
    <w:rsid w:val="009C0A8F"/>
    <w:rsid w:val="009C0BBF"/>
    <w:rsid w:val="009C102D"/>
    <w:rsid w:val="009C124B"/>
    <w:rsid w:val="009C12FC"/>
    <w:rsid w:val="009C131D"/>
    <w:rsid w:val="009C1475"/>
    <w:rsid w:val="009C1568"/>
    <w:rsid w:val="009C1692"/>
    <w:rsid w:val="009C16F1"/>
    <w:rsid w:val="009C1A1E"/>
    <w:rsid w:val="009C1B75"/>
    <w:rsid w:val="009C1BDA"/>
    <w:rsid w:val="009C1C64"/>
    <w:rsid w:val="009C2337"/>
    <w:rsid w:val="009C2E29"/>
    <w:rsid w:val="009C302A"/>
    <w:rsid w:val="009C303A"/>
    <w:rsid w:val="009C308B"/>
    <w:rsid w:val="009C33BD"/>
    <w:rsid w:val="009C344C"/>
    <w:rsid w:val="009C3505"/>
    <w:rsid w:val="009C38F6"/>
    <w:rsid w:val="009C396E"/>
    <w:rsid w:val="009C3D05"/>
    <w:rsid w:val="009C3D5F"/>
    <w:rsid w:val="009C3D8D"/>
    <w:rsid w:val="009C3F55"/>
    <w:rsid w:val="009C40E5"/>
    <w:rsid w:val="009C414F"/>
    <w:rsid w:val="009C421E"/>
    <w:rsid w:val="009C428E"/>
    <w:rsid w:val="009C4AC0"/>
    <w:rsid w:val="009C501C"/>
    <w:rsid w:val="009C513F"/>
    <w:rsid w:val="009C5223"/>
    <w:rsid w:val="009C535A"/>
    <w:rsid w:val="009C5450"/>
    <w:rsid w:val="009C5BF5"/>
    <w:rsid w:val="009C5C58"/>
    <w:rsid w:val="009C5E3E"/>
    <w:rsid w:val="009C62AC"/>
    <w:rsid w:val="009C66A5"/>
    <w:rsid w:val="009C69C0"/>
    <w:rsid w:val="009C6B43"/>
    <w:rsid w:val="009C6CAB"/>
    <w:rsid w:val="009C6D60"/>
    <w:rsid w:val="009C6EDD"/>
    <w:rsid w:val="009C7252"/>
    <w:rsid w:val="009C7311"/>
    <w:rsid w:val="009C7536"/>
    <w:rsid w:val="009C7620"/>
    <w:rsid w:val="009C7CB7"/>
    <w:rsid w:val="009C7F79"/>
    <w:rsid w:val="009C7FFB"/>
    <w:rsid w:val="009D0033"/>
    <w:rsid w:val="009D021A"/>
    <w:rsid w:val="009D0268"/>
    <w:rsid w:val="009D055A"/>
    <w:rsid w:val="009D068D"/>
    <w:rsid w:val="009D06E8"/>
    <w:rsid w:val="009D09B2"/>
    <w:rsid w:val="009D0A1D"/>
    <w:rsid w:val="009D0CFB"/>
    <w:rsid w:val="009D0EFD"/>
    <w:rsid w:val="009D1202"/>
    <w:rsid w:val="009D120C"/>
    <w:rsid w:val="009D14F7"/>
    <w:rsid w:val="009D1705"/>
    <w:rsid w:val="009D1C80"/>
    <w:rsid w:val="009D1C8C"/>
    <w:rsid w:val="009D2153"/>
    <w:rsid w:val="009D21EE"/>
    <w:rsid w:val="009D24C3"/>
    <w:rsid w:val="009D25C4"/>
    <w:rsid w:val="009D25D0"/>
    <w:rsid w:val="009D265E"/>
    <w:rsid w:val="009D28C6"/>
    <w:rsid w:val="009D2921"/>
    <w:rsid w:val="009D2930"/>
    <w:rsid w:val="009D2B23"/>
    <w:rsid w:val="009D2E0C"/>
    <w:rsid w:val="009D2F62"/>
    <w:rsid w:val="009D3105"/>
    <w:rsid w:val="009D32CE"/>
    <w:rsid w:val="009D34FB"/>
    <w:rsid w:val="009D3520"/>
    <w:rsid w:val="009D3549"/>
    <w:rsid w:val="009D3649"/>
    <w:rsid w:val="009D3994"/>
    <w:rsid w:val="009D3B28"/>
    <w:rsid w:val="009D3BF0"/>
    <w:rsid w:val="009D3CB3"/>
    <w:rsid w:val="009D4250"/>
    <w:rsid w:val="009D4295"/>
    <w:rsid w:val="009D42E3"/>
    <w:rsid w:val="009D443C"/>
    <w:rsid w:val="009D4691"/>
    <w:rsid w:val="009D4ACA"/>
    <w:rsid w:val="009D4E08"/>
    <w:rsid w:val="009D4E51"/>
    <w:rsid w:val="009D51F4"/>
    <w:rsid w:val="009D524C"/>
    <w:rsid w:val="009D53FA"/>
    <w:rsid w:val="009D5623"/>
    <w:rsid w:val="009D582F"/>
    <w:rsid w:val="009D5997"/>
    <w:rsid w:val="009D5A7D"/>
    <w:rsid w:val="009D5ABA"/>
    <w:rsid w:val="009D5CCC"/>
    <w:rsid w:val="009D5F3D"/>
    <w:rsid w:val="009D5F5E"/>
    <w:rsid w:val="009D6058"/>
    <w:rsid w:val="009D64DF"/>
    <w:rsid w:val="009D6531"/>
    <w:rsid w:val="009D6566"/>
    <w:rsid w:val="009D65FD"/>
    <w:rsid w:val="009D67F3"/>
    <w:rsid w:val="009D6CDE"/>
    <w:rsid w:val="009D6DA6"/>
    <w:rsid w:val="009D6E1E"/>
    <w:rsid w:val="009D71BA"/>
    <w:rsid w:val="009D72A2"/>
    <w:rsid w:val="009D7329"/>
    <w:rsid w:val="009D74ED"/>
    <w:rsid w:val="009D7574"/>
    <w:rsid w:val="009D75E8"/>
    <w:rsid w:val="009D7624"/>
    <w:rsid w:val="009D7788"/>
    <w:rsid w:val="009D7941"/>
    <w:rsid w:val="009D7C7C"/>
    <w:rsid w:val="009D7D12"/>
    <w:rsid w:val="009D7FFE"/>
    <w:rsid w:val="009E0626"/>
    <w:rsid w:val="009E06A6"/>
    <w:rsid w:val="009E0826"/>
    <w:rsid w:val="009E082D"/>
    <w:rsid w:val="009E0934"/>
    <w:rsid w:val="009E09AF"/>
    <w:rsid w:val="009E0AF0"/>
    <w:rsid w:val="009E0D23"/>
    <w:rsid w:val="009E0DBE"/>
    <w:rsid w:val="009E0E54"/>
    <w:rsid w:val="009E0EAD"/>
    <w:rsid w:val="009E124C"/>
    <w:rsid w:val="009E154B"/>
    <w:rsid w:val="009E155C"/>
    <w:rsid w:val="009E1678"/>
    <w:rsid w:val="009E168D"/>
    <w:rsid w:val="009E177E"/>
    <w:rsid w:val="009E1A51"/>
    <w:rsid w:val="009E1A8E"/>
    <w:rsid w:val="009E1B0A"/>
    <w:rsid w:val="009E1C61"/>
    <w:rsid w:val="009E1E24"/>
    <w:rsid w:val="009E1F25"/>
    <w:rsid w:val="009E1F53"/>
    <w:rsid w:val="009E20D7"/>
    <w:rsid w:val="009E2239"/>
    <w:rsid w:val="009E225D"/>
    <w:rsid w:val="009E22CB"/>
    <w:rsid w:val="009E22E9"/>
    <w:rsid w:val="009E24C5"/>
    <w:rsid w:val="009E2A65"/>
    <w:rsid w:val="009E2A92"/>
    <w:rsid w:val="009E2AC9"/>
    <w:rsid w:val="009E2B40"/>
    <w:rsid w:val="009E2B6D"/>
    <w:rsid w:val="009E2D29"/>
    <w:rsid w:val="009E2F5E"/>
    <w:rsid w:val="009E30DF"/>
    <w:rsid w:val="009E3108"/>
    <w:rsid w:val="009E316C"/>
    <w:rsid w:val="009E316F"/>
    <w:rsid w:val="009E3186"/>
    <w:rsid w:val="009E35B3"/>
    <w:rsid w:val="009E37D7"/>
    <w:rsid w:val="009E37E1"/>
    <w:rsid w:val="009E3A72"/>
    <w:rsid w:val="009E3BD7"/>
    <w:rsid w:val="009E3CC3"/>
    <w:rsid w:val="009E40D8"/>
    <w:rsid w:val="009E46B9"/>
    <w:rsid w:val="009E4ACD"/>
    <w:rsid w:val="009E4CA1"/>
    <w:rsid w:val="009E4CA2"/>
    <w:rsid w:val="009E4CD4"/>
    <w:rsid w:val="009E4F46"/>
    <w:rsid w:val="009E502B"/>
    <w:rsid w:val="009E511A"/>
    <w:rsid w:val="009E521E"/>
    <w:rsid w:val="009E52B2"/>
    <w:rsid w:val="009E5347"/>
    <w:rsid w:val="009E53B1"/>
    <w:rsid w:val="009E558D"/>
    <w:rsid w:val="009E56B9"/>
    <w:rsid w:val="009E5A0C"/>
    <w:rsid w:val="009E5A6C"/>
    <w:rsid w:val="009E5ABA"/>
    <w:rsid w:val="009E5ABF"/>
    <w:rsid w:val="009E5DAF"/>
    <w:rsid w:val="009E5E79"/>
    <w:rsid w:val="009E5F9A"/>
    <w:rsid w:val="009E5FD5"/>
    <w:rsid w:val="009E6343"/>
    <w:rsid w:val="009E6470"/>
    <w:rsid w:val="009E64D9"/>
    <w:rsid w:val="009E670A"/>
    <w:rsid w:val="009E6890"/>
    <w:rsid w:val="009E6891"/>
    <w:rsid w:val="009E69E3"/>
    <w:rsid w:val="009E6B82"/>
    <w:rsid w:val="009E6DDF"/>
    <w:rsid w:val="009E6F1C"/>
    <w:rsid w:val="009E6F5E"/>
    <w:rsid w:val="009E721E"/>
    <w:rsid w:val="009E73F4"/>
    <w:rsid w:val="009E73F5"/>
    <w:rsid w:val="009E7591"/>
    <w:rsid w:val="009E768B"/>
    <w:rsid w:val="009E782C"/>
    <w:rsid w:val="009E7C20"/>
    <w:rsid w:val="009E7CBA"/>
    <w:rsid w:val="009E7F67"/>
    <w:rsid w:val="009F0017"/>
    <w:rsid w:val="009F034E"/>
    <w:rsid w:val="009F03AB"/>
    <w:rsid w:val="009F03F9"/>
    <w:rsid w:val="009F04A5"/>
    <w:rsid w:val="009F054C"/>
    <w:rsid w:val="009F06F8"/>
    <w:rsid w:val="009F0CC0"/>
    <w:rsid w:val="009F0CE2"/>
    <w:rsid w:val="009F0DF9"/>
    <w:rsid w:val="009F0F33"/>
    <w:rsid w:val="009F0FDF"/>
    <w:rsid w:val="009F1244"/>
    <w:rsid w:val="009F135B"/>
    <w:rsid w:val="009F1639"/>
    <w:rsid w:val="009F1A67"/>
    <w:rsid w:val="009F1C42"/>
    <w:rsid w:val="009F1F3A"/>
    <w:rsid w:val="009F2069"/>
    <w:rsid w:val="009F21A3"/>
    <w:rsid w:val="009F2460"/>
    <w:rsid w:val="009F24EE"/>
    <w:rsid w:val="009F2584"/>
    <w:rsid w:val="009F2738"/>
    <w:rsid w:val="009F28C6"/>
    <w:rsid w:val="009F29A5"/>
    <w:rsid w:val="009F2C41"/>
    <w:rsid w:val="009F2C75"/>
    <w:rsid w:val="009F2D27"/>
    <w:rsid w:val="009F31B9"/>
    <w:rsid w:val="009F3478"/>
    <w:rsid w:val="009F3524"/>
    <w:rsid w:val="009F36D2"/>
    <w:rsid w:val="009F3717"/>
    <w:rsid w:val="009F38E2"/>
    <w:rsid w:val="009F3A58"/>
    <w:rsid w:val="009F3A77"/>
    <w:rsid w:val="009F3C1F"/>
    <w:rsid w:val="009F3D0E"/>
    <w:rsid w:val="009F3D1B"/>
    <w:rsid w:val="009F3DFA"/>
    <w:rsid w:val="009F425E"/>
    <w:rsid w:val="009F42A9"/>
    <w:rsid w:val="009F42D1"/>
    <w:rsid w:val="009F4417"/>
    <w:rsid w:val="009F448E"/>
    <w:rsid w:val="009F44AE"/>
    <w:rsid w:val="009F45D5"/>
    <w:rsid w:val="009F462A"/>
    <w:rsid w:val="009F488E"/>
    <w:rsid w:val="009F4924"/>
    <w:rsid w:val="009F4A93"/>
    <w:rsid w:val="009F4E1C"/>
    <w:rsid w:val="009F4E4A"/>
    <w:rsid w:val="009F54D7"/>
    <w:rsid w:val="009F5815"/>
    <w:rsid w:val="009F5B71"/>
    <w:rsid w:val="009F5E41"/>
    <w:rsid w:val="009F60F3"/>
    <w:rsid w:val="009F6194"/>
    <w:rsid w:val="009F61EA"/>
    <w:rsid w:val="009F628E"/>
    <w:rsid w:val="009F6327"/>
    <w:rsid w:val="009F6527"/>
    <w:rsid w:val="009F665B"/>
    <w:rsid w:val="009F66D2"/>
    <w:rsid w:val="009F672D"/>
    <w:rsid w:val="009F6A3E"/>
    <w:rsid w:val="009F6BC9"/>
    <w:rsid w:val="009F6D23"/>
    <w:rsid w:val="009F6DD4"/>
    <w:rsid w:val="009F6E61"/>
    <w:rsid w:val="009F7159"/>
    <w:rsid w:val="009F7519"/>
    <w:rsid w:val="009F778B"/>
    <w:rsid w:val="009F784E"/>
    <w:rsid w:val="009F7881"/>
    <w:rsid w:val="009F7AFB"/>
    <w:rsid w:val="009F7B08"/>
    <w:rsid w:val="009F7DCD"/>
    <w:rsid w:val="009F7ECD"/>
    <w:rsid w:val="009F7F6F"/>
    <w:rsid w:val="00A00228"/>
    <w:rsid w:val="00A00233"/>
    <w:rsid w:val="00A0037F"/>
    <w:rsid w:val="00A00416"/>
    <w:rsid w:val="00A00468"/>
    <w:rsid w:val="00A004B0"/>
    <w:rsid w:val="00A00536"/>
    <w:rsid w:val="00A005E7"/>
    <w:rsid w:val="00A006F3"/>
    <w:rsid w:val="00A0089F"/>
    <w:rsid w:val="00A008C5"/>
    <w:rsid w:val="00A00A93"/>
    <w:rsid w:val="00A00BEF"/>
    <w:rsid w:val="00A00C09"/>
    <w:rsid w:val="00A01128"/>
    <w:rsid w:val="00A0129A"/>
    <w:rsid w:val="00A01432"/>
    <w:rsid w:val="00A015F3"/>
    <w:rsid w:val="00A01750"/>
    <w:rsid w:val="00A0194E"/>
    <w:rsid w:val="00A01A93"/>
    <w:rsid w:val="00A01D34"/>
    <w:rsid w:val="00A01DEB"/>
    <w:rsid w:val="00A01E81"/>
    <w:rsid w:val="00A02097"/>
    <w:rsid w:val="00A02156"/>
    <w:rsid w:val="00A0225A"/>
    <w:rsid w:val="00A026FD"/>
    <w:rsid w:val="00A02764"/>
    <w:rsid w:val="00A0285D"/>
    <w:rsid w:val="00A0296B"/>
    <w:rsid w:val="00A029BC"/>
    <w:rsid w:val="00A02B5F"/>
    <w:rsid w:val="00A02C02"/>
    <w:rsid w:val="00A02D4D"/>
    <w:rsid w:val="00A02E43"/>
    <w:rsid w:val="00A02E59"/>
    <w:rsid w:val="00A02E81"/>
    <w:rsid w:val="00A02EFB"/>
    <w:rsid w:val="00A02FA8"/>
    <w:rsid w:val="00A02FE7"/>
    <w:rsid w:val="00A03142"/>
    <w:rsid w:val="00A03212"/>
    <w:rsid w:val="00A032A3"/>
    <w:rsid w:val="00A036CF"/>
    <w:rsid w:val="00A036E4"/>
    <w:rsid w:val="00A03E61"/>
    <w:rsid w:val="00A03F68"/>
    <w:rsid w:val="00A04115"/>
    <w:rsid w:val="00A0433D"/>
    <w:rsid w:val="00A04384"/>
    <w:rsid w:val="00A04684"/>
    <w:rsid w:val="00A04864"/>
    <w:rsid w:val="00A04868"/>
    <w:rsid w:val="00A04913"/>
    <w:rsid w:val="00A0491C"/>
    <w:rsid w:val="00A04B03"/>
    <w:rsid w:val="00A050C3"/>
    <w:rsid w:val="00A05478"/>
    <w:rsid w:val="00A0549B"/>
    <w:rsid w:val="00A05632"/>
    <w:rsid w:val="00A058A3"/>
    <w:rsid w:val="00A059CA"/>
    <w:rsid w:val="00A05A9E"/>
    <w:rsid w:val="00A05B77"/>
    <w:rsid w:val="00A05C1B"/>
    <w:rsid w:val="00A05D0D"/>
    <w:rsid w:val="00A05D7C"/>
    <w:rsid w:val="00A05EDE"/>
    <w:rsid w:val="00A05F55"/>
    <w:rsid w:val="00A0609B"/>
    <w:rsid w:val="00A06125"/>
    <w:rsid w:val="00A06127"/>
    <w:rsid w:val="00A06501"/>
    <w:rsid w:val="00A06671"/>
    <w:rsid w:val="00A06748"/>
    <w:rsid w:val="00A068EF"/>
    <w:rsid w:val="00A06B03"/>
    <w:rsid w:val="00A06B6F"/>
    <w:rsid w:val="00A06C49"/>
    <w:rsid w:val="00A06D61"/>
    <w:rsid w:val="00A06E35"/>
    <w:rsid w:val="00A0749B"/>
    <w:rsid w:val="00A07547"/>
    <w:rsid w:val="00A0766A"/>
    <w:rsid w:val="00A07787"/>
    <w:rsid w:val="00A07C5C"/>
    <w:rsid w:val="00A07E5F"/>
    <w:rsid w:val="00A07F0F"/>
    <w:rsid w:val="00A1023E"/>
    <w:rsid w:val="00A1027E"/>
    <w:rsid w:val="00A109A3"/>
    <w:rsid w:val="00A109B4"/>
    <w:rsid w:val="00A10A06"/>
    <w:rsid w:val="00A10AEF"/>
    <w:rsid w:val="00A10D2D"/>
    <w:rsid w:val="00A10F68"/>
    <w:rsid w:val="00A1129E"/>
    <w:rsid w:val="00A11568"/>
    <w:rsid w:val="00A1167F"/>
    <w:rsid w:val="00A11785"/>
    <w:rsid w:val="00A11A10"/>
    <w:rsid w:val="00A11A96"/>
    <w:rsid w:val="00A11BA7"/>
    <w:rsid w:val="00A11BC5"/>
    <w:rsid w:val="00A11D2F"/>
    <w:rsid w:val="00A11E26"/>
    <w:rsid w:val="00A11FE8"/>
    <w:rsid w:val="00A11FEA"/>
    <w:rsid w:val="00A126D9"/>
    <w:rsid w:val="00A128F7"/>
    <w:rsid w:val="00A12935"/>
    <w:rsid w:val="00A12A7E"/>
    <w:rsid w:val="00A12A9F"/>
    <w:rsid w:val="00A12B39"/>
    <w:rsid w:val="00A12E56"/>
    <w:rsid w:val="00A12E9E"/>
    <w:rsid w:val="00A12EB0"/>
    <w:rsid w:val="00A13006"/>
    <w:rsid w:val="00A13109"/>
    <w:rsid w:val="00A1317D"/>
    <w:rsid w:val="00A132AC"/>
    <w:rsid w:val="00A138E8"/>
    <w:rsid w:val="00A13A2A"/>
    <w:rsid w:val="00A13C65"/>
    <w:rsid w:val="00A13D4B"/>
    <w:rsid w:val="00A13F62"/>
    <w:rsid w:val="00A13F83"/>
    <w:rsid w:val="00A13FCE"/>
    <w:rsid w:val="00A141A3"/>
    <w:rsid w:val="00A142CF"/>
    <w:rsid w:val="00A142D8"/>
    <w:rsid w:val="00A14511"/>
    <w:rsid w:val="00A1455E"/>
    <w:rsid w:val="00A146C9"/>
    <w:rsid w:val="00A148A2"/>
    <w:rsid w:val="00A14944"/>
    <w:rsid w:val="00A1497D"/>
    <w:rsid w:val="00A149A5"/>
    <w:rsid w:val="00A149A7"/>
    <w:rsid w:val="00A14A04"/>
    <w:rsid w:val="00A14D2B"/>
    <w:rsid w:val="00A14D72"/>
    <w:rsid w:val="00A14EDF"/>
    <w:rsid w:val="00A14EF0"/>
    <w:rsid w:val="00A152D7"/>
    <w:rsid w:val="00A154BB"/>
    <w:rsid w:val="00A156D5"/>
    <w:rsid w:val="00A15784"/>
    <w:rsid w:val="00A15A05"/>
    <w:rsid w:val="00A15A91"/>
    <w:rsid w:val="00A15AC7"/>
    <w:rsid w:val="00A15C5B"/>
    <w:rsid w:val="00A15F53"/>
    <w:rsid w:val="00A1619C"/>
    <w:rsid w:val="00A161ED"/>
    <w:rsid w:val="00A16204"/>
    <w:rsid w:val="00A16BCD"/>
    <w:rsid w:val="00A16DC7"/>
    <w:rsid w:val="00A16E43"/>
    <w:rsid w:val="00A16F69"/>
    <w:rsid w:val="00A16F78"/>
    <w:rsid w:val="00A17082"/>
    <w:rsid w:val="00A1720A"/>
    <w:rsid w:val="00A17590"/>
    <w:rsid w:val="00A175DC"/>
    <w:rsid w:val="00A17992"/>
    <w:rsid w:val="00A17D4A"/>
    <w:rsid w:val="00A17F70"/>
    <w:rsid w:val="00A20346"/>
    <w:rsid w:val="00A2039F"/>
    <w:rsid w:val="00A203B1"/>
    <w:rsid w:val="00A203CE"/>
    <w:rsid w:val="00A204F4"/>
    <w:rsid w:val="00A20673"/>
    <w:rsid w:val="00A206AA"/>
    <w:rsid w:val="00A2079E"/>
    <w:rsid w:val="00A2087A"/>
    <w:rsid w:val="00A208FF"/>
    <w:rsid w:val="00A20991"/>
    <w:rsid w:val="00A20ADD"/>
    <w:rsid w:val="00A20E26"/>
    <w:rsid w:val="00A210FC"/>
    <w:rsid w:val="00A21A8C"/>
    <w:rsid w:val="00A21B21"/>
    <w:rsid w:val="00A21C76"/>
    <w:rsid w:val="00A21D76"/>
    <w:rsid w:val="00A21D7A"/>
    <w:rsid w:val="00A21DE1"/>
    <w:rsid w:val="00A21F58"/>
    <w:rsid w:val="00A2276E"/>
    <w:rsid w:val="00A228BD"/>
    <w:rsid w:val="00A22A8B"/>
    <w:rsid w:val="00A22ADD"/>
    <w:rsid w:val="00A22C34"/>
    <w:rsid w:val="00A22C7B"/>
    <w:rsid w:val="00A22CDD"/>
    <w:rsid w:val="00A23024"/>
    <w:rsid w:val="00A23114"/>
    <w:rsid w:val="00A2311A"/>
    <w:rsid w:val="00A232B7"/>
    <w:rsid w:val="00A23314"/>
    <w:rsid w:val="00A23356"/>
    <w:rsid w:val="00A2352A"/>
    <w:rsid w:val="00A23563"/>
    <w:rsid w:val="00A2363C"/>
    <w:rsid w:val="00A23A2C"/>
    <w:rsid w:val="00A23A66"/>
    <w:rsid w:val="00A23D91"/>
    <w:rsid w:val="00A23DF4"/>
    <w:rsid w:val="00A242FB"/>
    <w:rsid w:val="00A244DC"/>
    <w:rsid w:val="00A2451E"/>
    <w:rsid w:val="00A24657"/>
    <w:rsid w:val="00A24725"/>
    <w:rsid w:val="00A24A20"/>
    <w:rsid w:val="00A24C1D"/>
    <w:rsid w:val="00A24C46"/>
    <w:rsid w:val="00A24D55"/>
    <w:rsid w:val="00A24D98"/>
    <w:rsid w:val="00A24DF9"/>
    <w:rsid w:val="00A24F3F"/>
    <w:rsid w:val="00A25158"/>
    <w:rsid w:val="00A252BC"/>
    <w:rsid w:val="00A2568B"/>
    <w:rsid w:val="00A25811"/>
    <w:rsid w:val="00A258B0"/>
    <w:rsid w:val="00A25BCE"/>
    <w:rsid w:val="00A25C32"/>
    <w:rsid w:val="00A25C76"/>
    <w:rsid w:val="00A25F69"/>
    <w:rsid w:val="00A25F90"/>
    <w:rsid w:val="00A260E5"/>
    <w:rsid w:val="00A26303"/>
    <w:rsid w:val="00A264A7"/>
    <w:rsid w:val="00A26B74"/>
    <w:rsid w:val="00A26C78"/>
    <w:rsid w:val="00A26E3F"/>
    <w:rsid w:val="00A26EDC"/>
    <w:rsid w:val="00A27210"/>
    <w:rsid w:val="00A2730C"/>
    <w:rsid w:val="00A27335"/>
    <w:rsid w:val="00A274C3"/>
    <w:rsid w:val="00A2759E"/>
    <w:rsid w:val="00A27746"/>
    <w:rsid w:val="00A27ADD"/>
    <w:rsid w:val="00A27B99"/>
    <w:rsid w:val="00A27B9E"/>
    <w:rsid w:val="00A27C98"/>
    <w:rsid w:val="00A30010"/>
    <w:rsid w:val="00A3026B"/>
    <w:rsid w:val="00A3040D"/>
    <w:rsid w:val="00A3055D"/>
    <w:rsid w:val="00A3064A"/>
    <w:rsid w:val="00A30A10"/>
    <w:rsid w:val="00A30A4D"/>
    <w:rsid w:val="00A30B53"/>
    <w:rsid w:val="00A30CAC"/>
    <w:rsid w:val="00A30DD4"/>
    <w:rsid w:val="00A30F4E"/>
    <w:rsid w:val="00A30FAD"/>
    <w:rsid w:val="00A311B4"/>
    <w:rsid w:val="00A3122C"/>
    <w:rsid w:val="00A31340"/>
    <w:rsid w:val="00A313F7"/>
    <w:rsid w:val="00A31583"/>
    <w:rsid w:val="00A315C8"/>
    <w:rsid w:val="00A316E3"/>
    <w:rsid w:val="00A31740"/>
    <w:rsid w:val="00A3183B"/>
    <w:rsid w:val="00A3194B"/>
    <w:rsid w:val="00A31C52"/>
    <w:rsid w:val="00A31CC3"/>
    <w:rsid w:val="00A31F2F"/>
    <w:rsid w:val="00A31FFB"/>
    <w:rsid w:val="00A32199"/>
    <w:rsid w:val="00A32209"/>
    <w:rsid w:val="00A323B1"/>
    <w:rsid w:val="00A3243E"/>
    <w:rsid w:val="00A3275A"/>
    <w:rsid w:val="00A327B8"/>
    <w:rsid w:val="00A3280E"/>
    <w:rsid w:val="00A328E6"/>
    <w:rsid w:val="00A32FAB"/>
    <w:rsid w:val="00A33061"/>
    <w:rsid w:val="00A33248"/>
    <w:rsid w:val="00A336E6"/>
    <w:rsid w:val="00A336EC"/>
    <w:rsid w:val="00A3377A"/>
    <w:rsid w:val="00A337BA"/>
    <w:rsid w:val="00A33926"/>
    <w:rsid w:val="00A3398F"/>
    <w:rsid w:val="00A33AC8"/>
    <w:rsid w:val="00A33B73"/>
    <w:rsid w:val="00A3454A"/>
    <w:rsid w:val="00A346C4"/>
    <w:rsid w:val="00A34A0A"/>
    <w:rsid w:val="00A34AA0"/>
    <w:rsid w:val="00A34AF1"/>
    <w:rsid w:val="00A34C36"/>
    <w:rsid w:val="00A34E70"/>
    <w:rsid w:val="00A34FC5"/>
    <w:rsid w:val="00A350F1"/>
    <w:rsid w:val="00A35217"/>
    <w:rsid w:val="00A3528D"/>
    <w:rsid w:val="00A360B8"/>
    <w:rsid w:val="00A36113"/>
    <w:rsid w:val="00A3612E"/>
    <w:rsid w:val="00A361BD"/>
    <w:rsid w:val="00A364A1"/>
    <w:rsid w:val="00A364E0"/>
    <w:rsid w:val="00A365C2"/>
    <w:rsid w:val="00A36BE7"/>
    <w:rsid w:val="00A36C7D"/>
    <w:rsid w:val="00A36CDE"/>
    <w:rsid w:val="00A36DC4"/>
    <w:rsid w:val="00A36E66"/>
    <w:rsid w:val="00A371DF"/>
    <w:rsid w:val="00A37370"/>
    <w:rsid w:val="00A37431"/>
    <w:rsid w:val="00A3749B"/>
    <w:rsid w:val="00A37511"/>
    <w:rsid w:val="00A3756B"/>
    <w:rsid w:val="00A3759A"/>
    <w:rsid w:val="00A3775C"/>
    <w:rsid w:val="00A37AB4"/>
    <w:rsid w:val="00A37B27"/>
    <w:rsid w:val="00A37B6B"/>
    <w:rsid w:val="00A37CEB"/>
    <w:rsid w:val="00A37D56"/>
    <w:rsid w:val="00A37D7F"/>
    <w:rsid w:val="00A37DA3"/>
    <w:rsid w:val="00A37FA3"/>
    <w:rsid w:val="00A37FF4"/>
    <w:rsid w:val="00A40007"/>
    <w:rsid w:val="00A4046A"/>
    <w:rsid w:val="00A404C0"/>
    <w:rsid w:val="00A40607"/>
    <w:rsid w:val="00A40667"/>
    <w:rsid w:val="00A408EB"/>
    <w:rsid w:val="00A4093D"/>
    <w:rsid w:val="00A40C56"/>
    <w:rsid w:val="00A40E1C"/>
    <w:rsid w:val="00A40E72"/>
    <w:rsid w:val="00A40E9E"/>
    <w:rsid w:val="00A40EB4"/>
    <w:rsid w:val="00A40EDC"/>
    <w:rsid w:val="00A41189"/>
    <w:rsid w:val="00A411F5"/>
    <w:rsid w:val="00A41227"/>
    <w:rsid w:val="00A41551"/>
    <w:rsid w:val="00A417F4"/>
    <w:rsid w:val="00A419C4"/>
    <w:rsid w:val="00A419E5"/>
    <w:rsid w:val="00A41BE4"/>
    <w:rsid w:val="00A41D92"/>
    <w:rsid w:val="00A41E20"/>
    <w:rsid w:val="00A420F5"/>
    <w:rsid w:val="00A42165"/>
    <w:rsid w:val="00A421BB"/>
    <w:rsid w:val="00A421CC"/>
    <w:rsid w:val="00A42518"/>
    <w:rsid w:val="00A425E1"/>
    <w:rsid w:val="00A42709"/>
    <w:rsid w:val="00A4279A"/>
    <w:rsid w:val="00A42839"/>
    <w:rsid w:val="00A42BDC"/>
    <w:rsid w:val="00A42C9F"/>
    <w:rsid w:val="00A42E89"/>
    <w:rsid w:val="00A4355A"/>
    <w:rsid w:val="00A43641"/>
    <w:rsid w:val="00A4365E"/>
    <w:rsid w:val="00A4399E"/>
    <w:rsid w:val="00A43A03"/>
    <w:rsid w:val="00A43A93"/>
    <w:rsid w:val="00A43AF5"/>
    <w:rsid w:val="00A43C72"/>
    <w:rsid w:val="00A4439B"/>
    <w:rsid w:val="00A445C9"/>
    <w:rsid w:val="00A44846"/>
    <w:rsid w:val="00A448BF"/>
    <w:rsid w:val="00A44B66"/>
    <w:rsid w:val="00A44E8D"/>
    <w:rsid w:val="00A4500E"/>
    <w:rsid w:val="00A4528F"/>
    <w:rsid w:val="00A452F4"/>
    <w:rsid w:val="00A45373"/>
    <w:rsid w:val="00A454AF"/>
    <w:rsid w:val="00A460DA"/>
    <w:rsid w:val="00A46125"/>
    <w:rsid w:val="00A46175"/>
    <w:rsid w:val="00A461DC"/>
    <w:rsid w:val="00A4626A"/>
    <w:rsid w:val="00A462F5"/>
    <w:rsid w:val="00A465F0"/>
    <w:rsid w:val="00A46723"/>
    <w:rsid w:val="00A4677A"/>
    <w:rsid w:val="00A4689B"/>
    <w:rsid w:val="00A46B05"/>
    <w:rsid w:val="00A470BC"/>
    <w:rsid w:val="00A47181"/>
    <w:rsid w:val="00A477A6"/>
    <w:rsid w:val="00A47C90"/>
    <w:rsid w:val="00A47E12"/>
    <w:rsid w:val="00A47F5E"/>
    <w:rsid w:val="00A501AC"/>
    <w:rsid w:val="00A5044E"/>
    <w:rsid w:val="00A50511"/>
    <w:rsid w:val="00A50677"/>
    <w:rsid w:val="00A509EF"/>
    <w:rsid w:val="00A50AD7"/>
    <w:rsid w:val="00A50B1C"/>
    <w:rsid w:val="00A5121C"/>
    <w:rsid w:val="00A5146E"/>
    <w:rsid w:val="00A516B3"/>
    <w:rsid w:val="00A51758"/>
    <w:rsid w:val="00A51812"/>
    <w:rsid w:val="00A51ADA"/>
    <w:rsid w:val="00A51BDB"/>
    <w:rsid w:val="00A52098"/>
    <w:rsid w:val="00A52315"/>
    <w:rsid w:val="00A5246C"/>
    <w:rsid w:val="00A526BE"/>
    <w:rsid w:val="00A527B9"/>
    <w:rsid w:val="00A52905"/>
    <w:rsid w:val="00A52A45"/>
    <w:rsid w:val="00A52DE5"/>
    <w:rsid w:val="00A52F39"/>
    <w:rsid w:val="00A52F78"/>
    <w:rsid w:val="00A530AA"/>
    <w:rsid w:val="00A530F9"/>
    <w:rsid w:val="00A53199"/>
    <w:rsid w:val="00A53456"/>
    <w:rsid w:val="00A53464"/>
    <w:rsid w:val="00A53680"/>
    <w:rsid w:val="00A537E3"/>
    <w:rsid w:val="00A538E6"/>
    <w:rsid w:val="00A5396A"/>
    <w:rsid w:val="00A53A0D"/>
    <w:rsid w:val="00A53AA4"/>
    <w:rsid w:val="00A53B8D"/>
    <w:rsid w:val="00A53FFD"/>
    <w:rsid w:val="00A54388"/>
    <w:rsid w:val="00A54462"/>
    <w:rsid w:val="00A548FB"/>
    <w:rsid w:val="00A549F7"/>
    <w:rsid w:val="00A54B59"/>
    <w:rsid w:val="00A54D0F"/>
    <w:rsid w:val="00A54E07"/>
    <w:rsid w:val="00A54E44"/>
    <w:rsid w:val="00A54EE0"/>
    <w:rsid w:val="00A54F42"/>
    <w:rsid w:val="00A55148"/>
    <w:rsid w:val="00A551DB"/>
    <w:rsid w:val="00A5545B"/>
    <w:rsid w:val="00A55531"/>
    <w:rsid w:val="00A559D6"/>
    <w:rsid w:val="00A55B39"/>
    <w:rsid w:val="00A55FB3"/>
    <w:rsid w:val="00A560D0"/>
    <w:rsid w:val="00A560F2"/>
    <w:rsid w:val="00A561CB"/>
    <w:rsid w:val="00A56297"/>
    <w:rsid w:val="00A56476"/>
    <w:rsid w:val="00A564AE"/>
    <w:rsid w:val="00A567CB"/>
    <w:rsid w:val="00A56932"/>
    <w:rsid w:val="00A56B30"/>
    <w:rsid w:val="00A5702B"/>
    <w:rsid w:val="00A57082"/>
    <w:rsid w:val="00A57196"/>
    <w:rsid w:val="00A57A21"/>
    <w:rsid w:val="00A57BE6"/>
    <w:rsid w:val="00A57D89"/>
    <w:rsid w:val="00A57D9C"/>
    <w:rsid w:val="00A57DB5"/>
    <w:rsid w:val="00A6002C"/>
    <w:rsid w:val="00A600E9"/>
    <w:rsid w:val="00A602D1"/>
    <w:rsid w:val="00A60764"/>
    <w:rsid w:val="00A608FA"/>
    <w:rsid w:val="00A6096D"/>
    <w:rsid w:val="00A60D14"/>
    <w:rsid w:val="00A60EC7"/>
    <w:rsid w:val="00A61130"/>
    <w:rsid w:val="00A615BC"/>
    <w:rsid w:val="00A615C5"/>
    <w:rsid w:val="00A61BAF"/>
    <w:rsid w:val="00A61BE8"/>
    <w:rsid w:val="00A61FB3"/>
    <w:rsid w:val="00A62487"/>
    <w:rsid w:val="00A627EF"/>
    <w:rsid w:val="00A628DB"/>
    <w:rsid w:val="00A62E01"/>
    <w:rsid w:val="00A634E8"/>
    <w:rsid w:val="00A63678"/>
    <w:rsid w:val="00A63696"/>
    <w:rsid w:val="00A636F9"/>
    <w:rsid w:val="00A63831"/>
    <w:rsid w:val="00A638AE"/>
    <w:rsid w:val="00A63923"/>
    <w:rsid w:val="00A639D4"/>
    <w:rsid w:val="00A63AA3"/>
    <w:rsid w:val="00A63B45"/>
    <w:rsid w:val="00A63BF5"/>
    <w:rsid w:val="00A63C3A"/>
    <w:rsid w:val="00A6417A"/>
    <w:rsid w:val="00A64437"/>
    <w:rsid w:val="00A646A6"/>
    <w:rsid w:val="00A646F5"/>
    <w:rsid w:val="00A64747"/>
    <w:rsid w:val="00A649F6"/>
    <w:rsid w:val="00A64C2E"/>
    <w:rsid w:val="00A64ED4"/>
    <w:rsid w:val="00A65200"/>
    <w:rsid w:val="00A6528D"/>
    <w:rsid w:val="00A652BE"/>
    <w:rsid w:val="00A65596"/>
    <w:rsid w:val="00A6559A"/>
    <w:rsid w:val="00A6591F"/>
    <w:rsid w:val="00A65945"/>
    <w:rsid w:val="00A65A41"/>
    <w:rsid w:val="00A65AA4"/>
    <w:rsid w:val="00A65ACB"/>
    <w:rsid w:val="00A65C8B"/>
    <w:rsid w:val="00A6605C"/>
    <w:rsid w:val="00A661C9"/>
    <w:rsid w:val="00A6628D"/>
    <w:rsid w:val="00A662C1"/>
    <w:rsid w:val="00A6667F"/>
    <w:rsid w:val="00A667E4"/>
    <w:rsid w:val="00A669F1"/>
    <w:rsid w:val="00A66A32"/>
    <w:rsid w:val="00A66B0C"/>
    <w:rsid w:val="00A66B33"/>
    <w:rsid w:val="00A66D31"/>
    <w:rsid w:val="00A66DD3"/>
    <w:rsid w:val="00A66DD7"/>
    <w:rsid w:val="00A66E6B"/>
    <w:rsid w:val="00A66FFA"/>
    <w:rsid w:val="00A67298"/>
    <w:rsid w:val="00A6759B"/>
    <w:rsid w:val="00A67649"/>
    <w:rsid w:val="00A6777F"/>
    <w:rsid w:val="00A679E7"/>
    <w:rsid w:val="00A67C21"/>
    <w:rsid w:val="00A67FD9"/>
    <w:rsid w:val="00A705BC"/>
    <w:rsid w:val="00A70805"/>
    <w:rsid w:val="00A70D04"/>
    <w:rsid w:val="00A70DBC"/>
    <w:rsid w:val="00A70DF9"/>
    <w:rsid w:val="00A71008"/>
    <w:rsid w:val="00A71526"/>
    <w:rsid w:val="00A71879"/>
    <w:rsid w:val="00A71A0B"/>
    <w:rsid w:val="00A71AAA"/>
    <w:rsid w:val="00A71B58"/>
    <w:rsid w:val="00A71C6F"/>
    <w:rsid w:val="00A71FA0"/>
    <w:rsid w:val="00A71FF7"/>
    <w:rsid w:val="00A723E4"/>
    <w:rsid w:val="00A723EB"/>
    <w:rsid w:val="00A7259F"/>
    <w:rsid w:val="00A7274F"/>
    <w:rsid w:val="00A72777"/>
    <w:rsid w:val="00A72876"/>
    <w:rsid w:val="00A7297F"/>
    <w:rsid w:val="00A72A71"/>
    <w:rsid w:val="00A72C83"/>
    <w:rsid w:val="00A72E92"/>
    <w:rsid w:val="00A72FE9"/>
    <w:rsid w:val="00A732D3"/>
    <w:rsid w:val="00A7337E"/>
    <w:rsid w:val="00A733CB"/>
    <w:rsid w:val="00A7375A"/>
    <w:rsid w:val="00A73AB2"/>
    <w:rsid w:val="00A73D71"/>
    <w:rsid w:val="00A73E50"/>
    <w:rsid w:val="00A74134"/>
    <w:rsid w:val="00A741BF"/>
    <w:rsid w:val="00A7436F"/>
    <w:rsid w:val="00A744BB"/>
    <w:rsid w:val="00A7470E"/>
    <w:rsid w:val="00A7478F"/>
    <w:rsid w:val="00A7479F"/>
    <w:rsid w:val="00A747B9"/>
    <w:rsid w:val="00A74849"/>
    <w:rsid w:val="00A74983"/>
    <w:rsid w:val="00A74BB4"/>
    <w:rsid w:val="00A74CE8"/>
    <w:rsid w:val="00A74D93"/>
    <w:rsid w:val="00A74DFB"/>
    <w:rsid w:val="00A753EA"/>
    <w:rsid w:val="00A75540"/>
    <w:rsid w:val="00A755B1"/>
    <w:rsid w:val="00A756AF"/>
    <w:rsid w:val="00A75986"/>
    <w:rsid w:val="00A75A23"/>
    <w:rsid w:val="00A75A2B"/>
    <w:rsid w:val="00A760D4"/>
    <w:rsid w:val="00A762DF"/>
    <w:rsid w:val="00A76452"/>
    <w:rsid w:val="00A765C0"/>
    <w:rsid w:val="00A7669E"/>
    <w:rsid w:val="00A7677D"/>
    <w:rsid w:val="00A7688A"/>
    <w:rsid w:val="00A76AE1"/>
    <w:rsid w:val="00A76BFF"/>
    <w:rsid w:val="00A76C4D"/>
    <w:rsid w:val="00A76DD2"/>
    <w:rsid w:val="00A76F48"/>
    <w:rsid w:val="00A76FBA"/>
    <w:rsid w:val="00A77124"/>
    <w:rsid w:val="00A77315"/>
    <w:rsid w:val="00A773B4"/>
    <w:rsid w:val="00A7768A"/>
    <w:rsid w:val="00A776D8"/>
    <w:rsid w:val="00A7775D"/>
    <w:rsid w:val="00A777D6"/>
    <w:rsid w:val="00A77978"/>
    <w:rsid w:val="00A77A2A"/>
    <w:rsid w:val="00A77FDA"/>
    <w:rsid w:val="00A8000F"/>
    <w:rsid w:val="00A80244"/>
    <w:rsid w:val="00A802CE"/>
    <w:rsid w:val="00A802D9"/>
    <w:rsid w:val="00A803B2"/>
    <w:rsid w:val="00A8060D"/>
    <w:rsid w:val="00A80748"/>
    <w:rsid w:val="00A807E5"/>
    <w:rsid w:val="00A809B0"/>
    <w:rsid w:val="00A80A58"/>
    <w:rsid w:val="00A80B60"/>
    <w:rsid w:val="00A80E14"/>
    <w:rsid w:val="00A81271"/>
    <w:rsid w:val="00A812D7"/>
    <w:rsid w:val="00A814E5"/>
    <w:rsid w:val="00A81648"/>
    <w:rsid w:val="00A81671"/>
    <w:rsid w:val="00A81714"/>
    <w:rsid w:val="00A81B35"/>
    <w:rsid w:val="00A81B56"/>
    <w:rsid w:val="00A81BBD"/>
    <w:rsid w:val="00A81E38"/>
    <w:rsid w:val="00A81FA8"/>
    <w:rsid w:val="00A82008"/>
    <w:rsid w:val="00A8208F"/>
    <w:rsid w:val="00A82314"/>
    <w:rsid w:val="00A82320"/>
    <w:rsid w:val="00A824B7"/>
    <w:rsid w:val="00A8283A"/>
    <w:rsid w:val="00A829E5"/>
    <w:rsid w:val="00A82DF1"/>
    <w:rsid w:val="00A82FA9"/>
    <w:rsid w:val="00A82FFD"/>
    <w:rsid w:val="00A8325F"/>
    <w:rsid w:val="00A83284"/>
    <w:rsid w:val="00A833F4"/>
    <w:rsid w:val="00A8344B"/>
    <w:rsid w:val="00A83530"/>
    <w:rsid w:val="00A835D5"/>
    <w:rsid w:val="00A835FC"/>
    <w:rsid w:val="00A83843"/>
    <w:rsid w:val="00A83908"/>
    <w:rsid w:val="00A8399D"/>
    <w:rsid w:val="00A839E7"/>
    <w:rsid w:val="00A83A76"/>
    <w:rsid w:val="00A83A87"/>
    <w:rsid w:val="00A83AD5"/>
    <w:rsid w:val="00A83C80"/>
    <w:rsid w:val="00A83F71"/>
    <w:rsid w:val="00A840EF"/>
    <w:rsid w:val="00A843E1"/>
    <w:rsid w:val="00A844FF"/>
    <w:rsid w:val="00A845F0"/>
    <w:rsid w:val="00A84608"/>
    <w:rsid w:val="00A8463A"/>
    <w:rsid w:val="00A847CD"/>
    <w:rsid w:val="00A848C0"/>
    <w:rsid w:val="00A84948"/>
    <w:rsid w:val="00A849A5"/>
    <w:rsid w:val="00A84A72"/>
    <w:rsid w:val="00A852A6"/>
    <w:rsid w:val="00A852B4"/>
    <w:rsid w:val="00A85301"/>
    <w:rsid w:val="00A85334"/>
    <w:rsid w:val="00A853F3"/>
    <w:rsid w:val="00A854EB"/>
    <w:rsid w:val="00A855A7"/>
    <w:rsid w:val="00A856D9"/>
    <w:rsid w:val="00A856F8"/>
    <w:rsid w:val="00A85721"/>
    <w:rsid w:val="00A857AD"/>
    <w:rsid w:val="00A85D38"/>
    <w:rsid w:val="00A85D93"/>
    <w:rsid w:val="00A85EE2"/>
    <w:rsid w:val="00A8604F"/>
    <w:rsid w:val="00A861C5"/>
    <w:rsid w:val="00A862B3"/>
    <w:rsid w:val="00A8636F"/>
    <w:rsid w:val="00A86732"/>
    <w:rsid w:val="00A86849"/>
    <w:rsid w:val="00A868BF"/>
    <w:rsid w:val="00A86B49"/>
    <w:rsid w:val="00A86B52"/>
    <w:rsid w:val="00A86D67"/>
    <w:rsid w:val="00A87224"/>
    <w:rsid w:val="00A8723B"/>
    <w:rsid w:val="00A8732D"/>
    <w:rsid w:val="00A87331"/>
    <w:rsid w:val="00A8739D"/>
    <w:rsid w:val="00A875E0"/>
    <w:rsid w:val="00A87849"/>
    <w:rsid w:val="00A879E9"/>
    <w:rsid w:val="00A87B12"/>
    <w:rsid w:val="00A87C05"/>
    <w:rsid w:val="00A87C44"/>
    <w:rsid w:val="00A9013B"/>
    <w:rsid w:val="00A90252"/>
    <w:rsid w:val="00A902A4"/>
    <w:rsid w:val="00A90723"/>
    <w:rsid w:val="00A9085B"/>
    <w:rsid w:val="00A90937"/>
    <w:rsid w:val="00A9097D"/>
    <w:rsid w:val="00A90B2D"/>
    <w:rsid w:val="00A90C99"/>
    <w:rsid w:val="00A90F45"/>
    <w:rsid w:val="00A9120E"/>
    <w:rsid w:val="00A91213"/>
    <w:rsid w:val="00A91220"/>
    <w:rsid w:val="00A91262"/>
    <w:rsid w:val="00A91625"/>
    <w:rsid w:val="00A91660"/>
    <w:rsid w:val="00A9184D"/>
    <w:rsid w:val="00A91931"/>
    <w:rsid w:val="00A9199C"/>
    <w:rsid w:val="00A91A83"/>
    <w:rsid w:val="00A91C67"/>
    <w:rsid w:val="00A91FBA"/>
    <w:rsid w:val="00A92017"/>
    <w:rsid w:val="00A9206B"/>
    <w:rsid w:val="00A921D9"/>
    <w:rsid w:val="00A924BD"/>
    <w:rsid w:val="00A92592"/>
    <w:rsid w:val="00A9268D"/>
    <w:rsid w:val="00A927AA"/>
    <w:rsid w:val="00A9283B"/>
    <w:rsid w:val="00A92CB3"/>
    <w:rsid w:val="00A92CF8"/>
    <w:rsid w:val="00A92E75"/>
    <w:rsid w:val="00A92FDD"/>
    <w:rsid w:val="00A934D8"/>
    <w:rsid w:val="00A93548"/>
    <w:rsid w:val="00A93801"/>
    <w:rsid w:val="00A9386B"/>
    <w:rsid w:val="00A939C5"/>
    <w:rsid w:val="00A939D4"/>
    <w:rsid w:val="00A93B97"/>
    <w:rsid w:val="00A93D6C"/>
    <w:rsid w:val="00A93DD0"/>
    <w:rsid w:val="00A940D9"/>
    <w:rsid w:val="00A940EB"/>
    <w:rsid w:val="00A94288"/>
    <w:rsid w:val="00A9429B"/>
    <w:rsid w:val="00A943D7"/>
    <w:rsid w:val="00A94411"/>
    <w:rsid w:val="00A94457"/>
    <w:rsid w:val="00A94483"/>
    <w:rsid w:val="00A94A01"/>
    <w:rsid w:val="00A94A04"/>
    <w:rsid w:val="00A94A34"/>
    <w:rsid w:val="00A94B6E"/>
    <w:rsid w:val="00A94D3C"/>
    <w:rsid w:val="00A94D4C"/>
    <w:rsid w:val="00A94DC6"/>
    <w:rsid w:val="00A94F57"/>
    <w:rsid w:val="00A95246"/>
    <w:rsid w:val="00A953B8"/>
    <w:rsid w:val="00A954A5"/>
    <w:rsid w:val="00A95585"/>
    <w:rsid w:val="00A95848"/>
    <w:rsid w:val="00A95A89"/>
    <w:rsid w:val="00A95AC2"/>
    <w:rsid w:val="00A95AEE"/>
    <w:rsid w:val="00A95CFB"/>
    <w:rsid w:val="00A95E02"/>
    <w:rsid w:val="00A96374"/>
    <w:rsid w:val="00A963B4"/>
    <w:rsid w:val="00A963C9"/>
    <w:rsid w:val="00A964CF"/>
    <w:rsid w:val="00A96648"/>
    <w:rsid w:val="00A966FE"/>
    <w:rsid w:val="00A96897"/>
    <w:rsid w:val="00A968FA"/>
    <w:rsid w:val="00A96E06"/>
    <w:rsid w:val="00A96F12"/>
    <w:rsid w:val="00A9702C"/>
    <w:rsid w:val="00A971B5"/>
    <w:rsid w:val="00A972E1"/>
    <w:rsid w:val="00A9752A"/>
    <w:rsid w:val="00A97685"/>
    <w:rsid w:val="00A976B2"/>
    <w:rsid w:val="00A976B4"/>
    <w:rsid w:val="00A97C64"/>
    <w:rsid w:val="00A97CF5"/>
    <w:rsid w:val="00A97E89"/>
    <w:rsid w:val="00AA01CA"/>
    <w:rsid w:val="00AA024C"/>
    <w:rsid w:val="00AA03D8"/>
    <w:rsid w:val="00AA0607"/>
    <w:rsid w:val="00AA0817"/>
    <w:rsid w:val="00AA0ABE"/>
    <w:rsid w:val="00AA0AFD"/>
    <w:rsid w:val="00AA1080"/>
    <w:rsid w:val="00AA14D1"/>
    <w:rsid w:val="00AA163C"/>
    <w:rsid w:val="00AA1786"/>
    <w:rsid w:val="00AA17B7"/>
    <w:rsid w:val="00AA1AB8"/>
    <w:rsid w:val="00AA1B62"/>
    <w:rsid w:val="00AA1E6B"/>
    <w:rsid w:val="00AA1E85"/>
    <w:rsid w:val="00AA1F39"/>
    <w:rsid w:val="00AA20DE"/>
    <w:rsid w:val="00AA2235"/>
    <w:rsid w:val="00AA237B"/>
    <w:rsid w:val="00AA242F"/>
    <w:rsid w:val="00AA25A3"/>
    <w:rsid w:val="00AA2B5B"/>
    <w:rsid w:val="00AA2C2D"/>
    <w:rsid w:val="00AA2D60"/>
    <w:rsid w:val="00AA2F1F"/>
    <w:rsid w:val="00AA2F74"/>
    <w:rsid w:val="00AA30C6"/>
    <w:rsid w:val="00AA3126"/>
    <w:rsid w:val="00AA3868"/>
    <w:rsid w:val="00AA3E1F"/>
    <w:rsid w:val="00AA4053"/>
    <w:rsid w:val="00AA4086"/>
    <w:rsid w:val="00AA40AA"/>
    <w:rsid w:val="00AA41C3"/>
    <w:rsid w:val="00AA4250"/>
    <w:rsid w:val="00AA444B"/>
    <w:rsid w:val="00AA4492"/>
    <w:rsid w:val="00AA469F"/>
    <w:rsid w:val="00AA4839"/>
    <w:rsid w:val="00AA48D7"/>
    <w:rsid w:val="00AA499A"/>
    <w:rsid w:val="00AA4D04"/>
    <w:rsid w:val="00AA4D3F"/>
    <w:rsid w:val="00AA4EAE"/>
    <w:rsid w:val="00AA4F99"/>
    <w:rsid w:val="00AA5130"/>
    <w:rsid w:val="00AA52D7"/>
    <w:rsid w:val="00AA5555"/>
    <w:rsid w:val="00AA5B8E"/>
    <w:rsid w:val="00AA5E55"/>
    <w:rsid w:val="00AA5EE8"/>
    <w:rsid w:val="00AA5FCD"/>
    <w:rsid w:val="00AA6093"/>
    <w:rsid w:val="00AA6513"/>
    <w:rsid w:val="00AA6600"/>
    <w:rsid w:val="00AA6AC8"/>
    <w:rsid w:val="00AA6EAB"/>
    <w:rsid w:val="00AA702D"/>
    <w:rsid w:val="00AA7030"/>
    <w:rsid w:val="00AA719D"/>
    <w:rsid w:val="00AA7227"/>
    <w:rsid w:val="00AA7290"/>
    <w:rsid w:val="00AA742D"/>
    <w:rsid w:val="00AA7803"/>
    <w:rsid w:val="00AA7CF2"/>
    <w:rsid w:val="00AA7FA0"/>
    <w:rsid w:val="00AB0027"/>
    <w:rsid w:val="00AB01E7"/>
    <w:rsid w:val="00AB03E7"/>
    <w:rsid w:val="00AB04AF"/>
    <w:rsid w:val="00AB04F5"/>
    <w:rsid w:val="00AB0791"/>
    <w:rsid w:val="00AB0868"/>
    <w:rsid w:val="00AB09CA"/>
    <w:rsid w:val="00AB0A91"/>
    <w:rsid w:val="00AB0B74"/>
    <w:rsid w:val="00AB0DCE"/>
    <w:rsid w:val="00AB0E19"/>
    <w:rsid w:val="00AB0F05"/>
    <w:rsid w:val="00AB0F14"/>
    <w:rsid w:val="00AB0F45"/>
    <w:rsid w:val="00AB0F96"/>
    <w:rsid w:val="00AB1001"/>
    <w:rsid w:val="00AB10A2"/>
    <w:rsid w:val="00AB1181"/>
    <w:rsid w:val="00AB1372"/>
    <w:rsid w:val="00AB1814"/>
    <w:rsid w:val="00AB1AE3"/>
    <w:rsid w:val="00AB1AF7"/>
    <w:rsid w:val="00AB1D4C"/>
    <w:rsid w:val="00AB2145"/>
    <w:rsid w:val="00AB22F2"/>
    <w:rsid w:val="00AB2313"/>
    <w:rsid w:val="00AB2326"/>
    <w:rsid w:val="00AB2B44"/>
    <w:rsid w:val="00AB2B87"/>
    <w:rsid w:val="00AB326C"/>
    <w:rsid w:val="00AB349F"/>
    <w:rsid w:val="00AB3709"/>
    <w:rsid w:val="00AB371D"/>
    <w:rsid w:val="00AB3764"/>
    <w:rsid w:val="00AB37A3"/>
    <w:rsid w:val="00AB397A"/>
    <w:rsid w:val="00AB39CF"/>
    <w:rsid w:val="00AB3AA4"/>
    <w:rsid w:val="00AB3AC5"/>
    <w:rsid w:val="00AB3B4A"/>
    <w:rsid w:val="00AB3F07"/>
    <w:rsid w:val="00AB3F20"/>
    <w:rsid w:val="00AB4196"/>
    <w:rsid w:val="00AB4334"/>
    <w:rsid w:val="00AB4581"/>
    <w:rsid w:val="00AB4734"/>
    <w:rsid w:val="00AB47FB"/>
    <w:rsid w:val="00AB4956"/>
    <w:rsid w:val="00AB4B3D"/>
    <w:rsid w:val="00AB4C1D"/>
    <w:rsid w:val="00AB4E5B"/>
    <w:rsid w:val="00AB4F05"/>
    <w:rsid w:val="00AB55B3"/>
    <w:rsid w:val="00AB58A1"/>
    <w:rsid w:val="00AB5A74"/>
    <w:rsid w:val="00AB5AC8"/>
    <w:rsid w:val="00AB5B8C"/>
    <w:rsid w:val="00AB5BFA"/>
    <w:rsid w:val="00AB5E5E"/>
    <w:rsid w:val="00AB6182"/>
    <w:rsid w:val="00AB6246"/>
    <w:rsid w:val="00AB62D1"/>
    <w:rsid w:val="00AB62F6"/>
    <w:rsid w:val="00AB66E6"/>
    <w:rsid w:val="00AB6B44"/>
    <w:rsid w:val="00AB6CA2"/>
    <w:rsid w:val="00AB6F88"/>
    <w:rsid w:val="00AB700D"/>
    <w:rsid w:val="00AB712A"/>
    <w:rsid w:val="00AB71C9"/>
    <w:rsid w:val="00AB73C1"/>
    <w:rsid w:val="00AB7401"/>
    <w:rsid w:val="00AB7418"/>
    <w:rsid w:val="00AB749C"/>
    <w:rsid w:val="00AB7858"/>
    <w:rsid w:val="00AB7C0A"/>
    <w:rsid w:val="00AB7DAC"/>
    <w:rsid w:val="00AC01AD"/>
    <w:rsid w:val="00AC02EA"/>
    <w:rsid w:val="00AC06CF"/>
    <w:rsid w:val="00AC0A01"/>
    <w:rsid w:val="00AC0E6A"/>
    <w:rsid w:val="00AC0F7D"/>
    <w:rsid w:val="00AC1040"/>
    <w:rsid w:val="00AC12E1"/>
    <w:rsid w:val="00AC12FD"/>
    <w:rsid w:val="00AC145E"/>
    <w:rsid w:val="00AC17CE"/>
    <w:rsid w:val="00AC1A65"/>
    <w:rsid w:val="00AC1AF7"/>
    <w:rsid w:val="00AC1B72"/>
    <w:rsid w:val="00AC1C75"/>
    <w:rsid w:val="00AC1DE5"/>
    <w:rsid w:val="00AC1E73"/>
    <w:rsid w:val="00AC2039"/>
    <w:rsid w:val="00AC214A"/>
    <w:rsid w:val="00AC2567"/>
    <w:rsid w:val="00AC2611"/>
    <w:rsid w:val="00AC26B2"/>
    <w:rsid w:val="00AC2EAA"/>
    <w:rsid w:val="00AC2F0F"/>
    <w:rsid w:val="00AC302A"/>
    <w:rsid w:val="00AC304D"/>
    <w:rsid w:val="00AC3334"/>
    <w:rsid w:val="00AC34A8"/>
    <w:rsid w:val="00AC3625"/>
    <w:rsid w:val="00AC3698"/>
    <w:rsid w:val="00AC36CF"/>
    <w:rsid w:val="00AC36E1"/>
    <w:rsid w:val="00AC3805"/>
    <w:rsid w:val="00AC3845"/>
    <w:rsid w:val="00AC3942"/>
    <w:rsid w:val="00AC3A58"/>
    <w:rsid w:val="00AC3DBE"/>
    <w:rsid w:val="00AC3F48"/>
    <w:rsid w:val="00AC4516"/>
    <w:rsid w:val="00AC4656"/>
    <w:rsid w:val="00AC476B"/>
    <w:rsid w:val="00AC47BC"/>
    <w:rsid w:val="00AC4910"/>
    <w:rsid w:val="00AC491E"/>
    <w:rsid w:val="00AC495C"/>
    <w:rsid w:val="00AC4A1E"/>
    <w:rsid w:val="00AC5092"/>
    <w:rsid w:val="00AC50BA"/>
    <w:rsid w:val="00AC50BC"/>
    <w:rsid w:val="00AC50ED"/>
    <w:rsid w:val="00AC5143"/>
    <w:rsid w:val="00AC539E"/>
    <w:rsid w:val="00AC53AE"/>
    <w:rsid w:val="00AC544D"/>
    <w:rsid w:val="00AC5515"/>
    <w:rsid w:val="00AC585D"/>
    <w:rsid w:val="00AC5A13"/>
    <w:rsid w:val="00AC5F42"/>
    <w:rsid w:val="00AC5FEC"/>
    <w:rsid w:val="00AC61D5"/>
    <w:rsid w:val="00AC6236"/>
    <w:rsid w:val="00AC6283"/>
    <w:rsid w:val="00AC628C"/>
    <w:rsid w:val="00AC62A4"/>
    <w:rsid w:val="00AC6464"/>
    <w:rsid w:val="00AC6672"/>
    <w:rsid w:val="00AC672C"/>
    <w:rsid w:val="00AC68EC"/>
    <w:rsid w:val="00AC69EB"/>
    <w:rsid w:val="00AC6E49"/>
    <w:rsid w:val="00AC7009"/>
    <w:rsid w:val="00AC740C"/>
    <w:rsid w:val="00AC7558"/>
    <w:rsid w:val="00AC75D8"/>
    <w:rsid w:val="00AC788A"/>
    <w:rsid w:val="00AC7913"/>
    <w:rsid w:val="00AC7BA6"/>
    <w:rsid w:val="00AC7BB8"/>
    <w:rsid w:val="00AC7C0E"/>
    <w:rsid w:val="00AC7CC9"/>
    <w:rsid w:val="00AC7E2A"/>
    <w:rsid w:val="00AC7E5F"/>
    <w:rsid w:val="00AC7EA0"/>
    <w:rsid w:val="00AD01BE"/>
    <w:rsid w:val="00AD09B2"/>
    <w:rsid w:val="00AD09FF"/>
    <w:rsid w:val="00AD0A6F"/>
    <w:rsid w:val="00AD0B21"/>
    <w:rsid w:val="00AD0F99"/>
    <w:rsid w:val="00AD0FA9"/>
    <w:rsid w:val="00AD0FCA"/>
    <w:rsid w:val="00AD1106"/>
    <w:rsid w:val="00AD124B"/>
    <w:rsid w:val="00AD1264"/>
    <w:rsid w:val="00AD1357"/>
    <w:rsid w:val="00AD14D4"/>
    <w:rsid w:val="00AD1772"/>
    <w:rsid w:val="00AD179C"/>
    <w:rsid w:val="00AD17A8"/>
    <w:rsid w:val="00AD1800"/>
    <w:rsid w:val="00AD19F0"/>
    <w:rsid w:val="00AD1A79"/>
    <w:rsid w:val="00AD1CC9"/>
    <w:rsid w:val="00AD2094"/>
    <w:rsid w:val="00AD20D8"/>
    <w:rsid w:val="00AD2304"/>
    <w:rsid w:val="00AD2367"/>
    <w:rsid w:val="00AD2530"/>
    <w:rsid w:val="00AD2619"/>
    <w:rsid w:val="00AD274C"/>
    <w:rsid w:val="00AD275F"/>
    <w:rsid w:val="00AD2901"/>
    <w:rsid w:val="00AD2E87"/>
    <w:rsid w:val="00AD2FA6"/>
    <w:rsid w:val="00AD300D"/>
    <w:rsid w:val="00AD3116"/>
    <w:rsid w:val="00AD3426"/>
    <w:rsid w:val="00AD34D4"/>
    <w:rsid w:val="00AD364F"/>
    <w:rsid w:val="00AD36DE"/>
    <w:rsid w:val="00AD36E3"/>
    <w:rsid w:val="00AD37CD"/>
    <w:rsid w:val="00AD3C3B"/>
    <w:rsid w:val="00AD3C74"/>
    <w:rsid w:val="00AD3CAE"/>
    <w:rsid w:val="00AD3E37"/>
    <w:rsid w:val="00AD3EE3"/>
    <w:rsid w:val="00AD40DC"/>
    <w:rsid w:val="00AD43FA"/>
    <w:rsid w:val="00AD4457"/>
    <w:rsid w:val="00AD49A7"/>
    <w:rsid w:val="00AD4B93"/>
    <w:rsid w:val="00AD4FF2"/>
    <w:rsid w:val="00AD503B"/>
    <w:rsid w:val="00AD5085"/>
    <w:rsid w:val="00AD50D3"/>
    <w:rsid w:val="00AD510A"/>
    <w:rsid w:val="00AD540D"/>
    <w:rsid w:val="00AD545F"/>
    <w:rsid w:val="00AD5464"/>
    <w:rsid w:val="00AD5519"/>
    <w:rsid w:val="00AD5777"/>
    <w:rsid w:val="00AD58E6"/>
    <w:rsid w:val="00AD59C4"/>
    <w:rsid w:val="00AD59D8"/>
    <w:rsid w:val="00AD5AE7"/>
    <w:rsid w:val="00AD5C63"/>
    <w:rsid w:val="00AD5DB0"/>
    <w:rsid w:val="00AD61E2"/>
    <w:rsid w:val="00AD641B"/>
    <w:rsid w:val="00AD65AD"/>
    <w:rsid w:val="00AD67CB"/>
    <w:rsid w:val="00AD6977"/>
    <w:rsid w:val="00AD69B4"/>
    <w:rsid w:val="00AD6B5A"/>
    <w:rsid w:val="00AD6C03"/>
    <w:rsid w:val="00AD6E60"/>
    <w:rsid w:val="00AD7059"/>
    <w:rsid w:val="00AD70DD"/>
    <w:rsid w:val="00AD7698"/>
    <w:rsid w:val="00AD7830"/>
    <w:rsid w:val="00AD7D73"/>
    <w:rsid w:val="00AD7DB4"/>
    <w:rsid w:val="00AE03D3"/>
    <w:rsid w:val="00AE04DC"/>
    <w:rsid w:val="00AE09CC"/>
    <w:rsid w:val="00AE0A50"/>
    <w:rsid w:val="00AE0D4D"/>
    <w:rsid w:val="00AE0DAE"/>
    <w:rsid w:val="00AE0DC5"/>
    <w:rsid w:val="00AE0E04"/>
    <w:rsid w:val="00AE11B8"/>
    <w:rsid w:val="00AE1514"/>
    <w:rsid w:val="00AE15FB"/>
    <w:rsid w:val="00AE18C1"/>
    <w:rsid w:val="00AE19F8"/>
    <w:rsid w:val="00AE1AB3"/>
    <w:rsid w:val="00AE220D"/>
    <w:rsid w:val="00AE23AE"/>
    <w:rsid w:val="00AE23B7"/>
    <w:rsid w:val="00AE243C"/>
    <w:rsid w:val="00AE2586"/>
    <w:rsid w:val="00AE2B22"/>
    <w:rsid w:val="00AE2C67"/>
    <w:rsid w:val="00AE2C6E"/>
    <w:rsid w:val="00AE2D2E"/>
    <w:rsid w:val="00AE2EA5"/>
    <w:rsid w:val="00AE2F1F"/>
    <w:rsid w:val="00AE31CD"/>
    <w:rsid w:val="00AE31E7"/>
    <w:rsid w:val="00AE3396"/>
    <w:rsid w:val="00AE34E9"/>
    <w:rsid w:val="00AE34EA"/>
    <w:rsid w:val="00AE34EF"/>
    <w:rsid w:val="00AE3508"/>
    <w:rsid w:val="00AE3707"/>
    <w:rsid w:val="00AE379C"/>
    <w:rsid w:val="00AE3D59"/>
    <w:rsid w:val="00AE3E0B"/>
    <w:rsid w:val="00AE42F0"/>
    <w:rsid w:val="00AE4AF4"/>
    <w:rsid w:val="00AE4C5A"/>
    <w:rsid w:val="00AE4D03"/>
    <w:rsid w:val="00AE4EBE"/>
    <w:rsid w:val="00AE4FC3"/>
    <w:rsid w:val="00AE501F"/>
    <w:rsid w:val="00AE50A1"/>
    <w:rsid w:val="00AE5143"/>
    <w:rsid w:val="00AE51A4"/>
    <w:rsid w:val="00AE51FF"/>
    <w:rsid w:val="00AE551F"/>
    <w:rsid w:val="00AE5635"/>
    <w:rsid w:val="00AE5823"/>
    <w:rsid w:val="00AE5844"/>
    <w:rsid w:val="00AE59C2"/>
    <w:rsid w:val="00AE59D3"/>
    <w:rsid w:val="00AE5A50"/>
    <w:rsid w:val="00AE5B1D"/>
    <w:rsid w:val="00AE5B8A"/>
    <w:rsid w:val="00AE6044"/>
    <w:rsid w:val="00AE6545"/>
    <w:rsid w:val="00AE66FC"/>
    <w:rsid w:val="00AE6773"/>
    <w:rsid w:val="00AE68AA"/>
    <w:rsid w:val="00AE6B08"/>
    <w:rsid w:val="00AE6EDE"/>
    <w:rsid w:val="00AE7031"/>
    <w:rsid w:val="00AE71EE"/>
    <w:rsid w:val="00AE7279"/>
    <w:rsid w:val="00AE731D"/>
    <w:rsid w:val="00AE7767"/>
    <w:rsid w:val="00AE77F3"/>
    <w:rsid w:val="00AE7C43"/>
    <w:rsid w:val="00AE7DD8"/>
    <w:rsid w:val="00AF0035"/>
    <w:rsid w:val="00AF01EB"/>
    <w:rsid w:val="00AF0528"/>
    <w:rsid w:val="00AF054E"/>
    <w:rsid w:val="00AF0555"/>
    <w:rsid w:val="00AF0647"/>
    <w:rsid w:val="00AF0696"/>
    <w:rsid w:val="00AF0952"/>
    <w:rsid w:val="00AF0D65"/>
    <w:rsid w:val="00AF0D67"/>
    <w:rsid w:val="00AF10FF"/>
    <w:rsid w:val="00AF1D66"/>
    <w:rsid w:val="00AF1F4A"/>
    <w:rsid w:val="00AF1F78"/>
    <w:rsid w:val="00AF1FAD"/>
    <w:rsid w:val="00AF22B6"/>
    <w:rsid w:val="00AF22E4"/>
    <w:rsid w:val="00AF2665"/>
    <w:rsid w:val="00AF2B3B"/>
    <w:rsid w:val="00AF2CDF"/>
    <w:rsid w:val="00AF2F81"/>
    <w:rsid w:val="00AF304F"/>
    <w:rsid w:val="00AF3087"/>
    <w:rsid w:val="00AF31C6"/>
    <w:rsid w:val="00AF31E6"/>
    <w:rsid w:val="00AF3200"/>
    <w:rsid w:val="00AF322A"/>
    <w:rsid w:val="00AF3254"/>
    <w:rsid w:val="00AF364B"/>
    <w:rsid w:val="00AF37A8"/>
    <w:rsid w:val="00AF39A4"/>
    <w:rsid w:val="00AF39D8"/>
    <w:rsid w:val="00AF3A30"/>
    <w:rsid w:val="00AF3A76"/>
    <w:rsid w:val="00AF3C1B"/>
    <w:rsid w:val="00AF3C2B"/>
    <w:rsid w:val="00AF3D9F"/>
    <w:rsid w:val="00AF3F09"/>
    <w:rsid w:val="00AF3F68"/>
    <w:rsid w:val="00AF4220"/>
    <w:rsid w:val="00AF4412"/>
    <w:rsid w:val="00AF4584"/>
    <w:rsid w:val="00AF4733"/>
    <w:rsid w:val="00AF4780"/>
    <w:rsid w:val="00AF486F"/>
    <w:rsid w:val="00AF4A6E"/>
    <w:rsid w:val="00AF4C8F"/>
    <w:rsid w:val="00AF4D16"/>
    <w:rsid w:val="00AF4F8B"/>
    <w:rsid w:val="00AF5367"/>
    <w:rsid w:val="00AF55A5"/>
    <w:rsid w:val="00AF5856"/>
    <w:rsid w:val="00AF59C0"/>
    <w:rsid w:val="00AF5B08"/>
    <w:rsid w:val="00AF5B4B"/>
    <w:rsid w:val="00AF5E5C"/>
    <w:rsid w:val="00AF5F09"/>
    <w:rsid w:val="00AF5F5D"/>
    <w:rsid w:val="00AF6022"/>
    <w:rsid w:val="00AF60FD"/>
    <w:rsid w:val="00AF6380"/>
    <w:rsid w:val="00AF6662"/>
    <w:rsid w:val="00AF687E"/>
    <w:rsid w:val="00AF692D"/>
    <w:rsid w:val="00AF69C3"/>
    <w:rsid w:val="00AF6BF6"/>
    <w:rsid w:val="00AF6D5B"/>
    <w:rsid w:val="00AF6F0A"/>
    <w:rsid w:val="00AF73B5"/>
    <w:rsid w:val="00AF773A"/>
    <w:rsid w:val="00AF7797"/>
    <w:rsid w:val="00AF77BE"/>
    <w:rsid w:val="00AF7910"/>
    <w:rsid w:val="00AF7A1A"/>
    <w:rsid w:val="00AF7CA0"/>
    <w:rsid w:val="00AF7D71"/>
    <w:rsid w:val="00AF7DD4"/>
    <w:rsid w:val="00B000DF"/>
    <w:rsid w:val="00B00231"/>
    <w:rsid w:val="00B00319"/>
    <w:rsid w:val="00B00541"/>
    <w:rsid w:val="00B005DB"/>
    <w:rsid w:val="00B009B7"/>
    <w:rsid w:val="00B00A39"/>
    <w:rsid w:val="00B01022"/>
    <w:rsid w:val="00B01280"/>
    <w:rsid w:val="00B01445"/>
    <w:rsid w:val="00B01479"/>
    <w:rsid w:val="00B014F4"/>
    <w:rsid w:val="00B01535"/>
    <w:rsid w:val="00B01564"/>
    <w:rsid w:val="00B015D3"/>
    <w:rsid w:val="00B01626"/>
    <w:rsid w:val="00B019AF"/>
    <w:rsid w:val="00B01AFD"/>
    <w:rsid w:val="00B01B23"/>
    <w:rsid w:val="00B01CF6"/>
    <w:rsid w:val="00B01E66"/>
    <w:rsid w:val="00B01E91"/>
    <w:rsid w:val="00B01FE5"/>
    <w:rsid w:val="00B02264"/>
    <w:rsid w:val="00B0260F"/>
    <w:rsid w:val="00B0276E"/>
    <w:rsid w:val="00B02880"/>
    <w:rsid w:val="00B032CF"/>
    <w:rsid w:val="00B03487"/>
    <w:rsid w:val="00B03519"/>
    <w:rsid w:val="00B03526"/>
    <w:rsid w:val="00B039F1"/>
    <w:rsid w:val="00B03A42"/>
    <w:rsid w:val="00B03B52"/>
    <w:rsid w:val="00B03DA6"/>
    <w:rsid w:val="00B03DF7"/>
    <w:rsid w:val="00B03E19"/>
    <w:rsid w:val="00B03EB9"/>
    <w:rsid w:val="00B040E5"/>
    <w:rsid w:val="00B044F2"/>
    <w:rsid w:val="00B04521"/>
    <w:rsid w:val="00B04680"/>
    <w:rsid w:val="00B04707"/>
    <w:rsid w:val="00B04843"/>
    <w:rsid w:val="00B04963"/>
    <w:rsid w:val="00B04AB2"/>
    <w:rsid w:val="00B04C76"/>
    <w:rsid w:val="00B04D3F"/>
    <w:rsid w:val="00B052D8"/>
    <w:rsid w:val="00B053FD"/>
    <w:rsid w:val="00B05796"/>
    <w:rsid w:val="00B05A23"/>
    <w:rsid w:val="00B05B18"/>
    <w:rsid w:val="00B05DA4"/>
    <w:rsid w:val="00B05DC1"/>
    <w:rsid w:val="00B0643E"/>
    <w:rsid w:val="00B0650B"/>
    <w:rsid w:val="00B0655F"/>
    <w:rsid w:val="00B065C9"/>
    <w:rsid w:val="00B068C6"/>
    <w:rsid w:val="00B068DC"/>
    <w:rsid w:val="00B06A10"/>
    <w:rsid w:val="00B06A38"/>
    <w:rsid w:val="00B06D1F"/>
    <w:rsid w:val="00B06D89"/>
    <w:rsid w:val="00B06F44"/>
    <w:rsid w:val="00B06F65"/>
    <w:rsid w:val="00B07152"/>
    <w:rsid w:val="00B0717E"/>
    <w:rsid w:val="00B07287"/>
    <w:rsid w:val="00B0730F"/>
    <w:rsid w:val="00B07340"/>
    <w:rsid w:val="00B0742E"/>
    <w:rsid w:val="00B0768D"/>
    <w:rsid w:val="00B07708"/>
    <w:rsid w:val="00B078E7"/>
    <w:rsid w:val="00B07950"/>
    <w:rsid w:val="00B07A8E"/>
    <w:rsid w:val="00B07CA9"/>
    <w:rsid w:val="00B100C3"/>
    <w:rsid w:val="00B10262"/>
    <w:rsid w:val="00B102CE"/>
    <w:rsid w:val="00B102DF"/>
    <w:rsid w:val="00B10438"/>
    <w:rsid w:val="00B10518"/>
    <w:rsid w:val="00B105AC"/>
    <w:rsid w:val="00B106C0"/>
    <w:rsid w:val="00B10713"/>
    <w:rsid w:val="00B10717"/>
    <w:rsid w:val="00B10C19"/>
    <w:rsid w:val="00B1117C"/>
    <w:rsid w:val="00B11366"/>
    <w:rsid w:val="00B11372"/>
    <w:rsid w:val="00B11392"/>
    <w:rsid w:val="00B11641"/>
    <w:rsid w:val="00B1174D"/>
    <w:rsid w:val="00B119D4"/>
    <w:rsid w:val="00B11C96"/>
    <w:rsid w:val="00B1211A"/>
    <w:rsid w:val="00B12157"/>
    <w:rsid w:val="00B12160"/>
    <w:rsid w:val="00B1228C"/>
    <w:rsid w:val="00B122FA"/>
    <w:rsid w:val="00B12384"/>
    <w:rsid w:val="00B12416"/>
    <w:rsid w:val="00B124C0"/>
    <w:rsid w:val="00B1251B"/>
    <w:rsid w:val="00B125C6"/>
    <w:rsid w:val="00B12762"/>
    <w:rsid w:val="00B12905"/>
    <w:rsid w:val="00B12A0A"/>
    <w:rsid w:val="00B12A1B"/>
    <w:rsid w:val="00B12BC5"/>
    <w:rsid w:val="00B12C22"/>
    <w:rsid w:val="00B12E7A"/>
    <w:rsid w:val="00B12F3A"/>
    <w:rsid w:val="00B13017"/>
    <w:rsid w:val="00B1322E"/>
    <w:rsid w:val="00B13450"/>
    <w:rsid w:val="00B13635"/>
    <w:rsid w:val="00B139E5"/>
    <w:rsid w:val="00B13B21"/>
    <w:rsid w:val="00B13E75"/>
    <w:rsid w:val="00B14176"/>
    <w:rsid w:val="00B145D6"/>
    <w:rsid w:val="00B146F5"/>
    <w:rsid w:val="00B14852"/>
    <w:rsid w:val="00B1491A"/>
    <w:rsid w:val="00B14FA5"/>
    <w:rsid w:val="00B150A7"/>
    <w:rsid w:val="00B150FC"/>
    <w:rsid w:val="00B15348"/>
    <w:rsid w:val="00B15503"/>
    <w:rsid w:val="00B15A19"/>
    <w:rsid w:val="00B15B94"/>
    <w:rsid w:val="00B15F25"/>
    <w:rsid w:val="00B1606C"/>
    <w:rsid w:val="00B160D3"/>
    <w:rsid w:val="00B16979"/>
    <w:rsid w:val="00B16A4B"/>
    <w:rsid w:val="00B16EDA"/>
    <w:rsid w:val="00B16F66"/>
    <w:rsid w:val="00B16F83"/>
    <w:rsid w:val="00B171D0"/>
    <w:rsid w:val="00B17296"/>
    <w:rsid w:val="00B172AB"/>
    <w:rsid w:val="00B17629"/>
    <w:rsid w:val="00B17713"/>
    <w:rsid w:val="00B178F4"/>
    <w:rsid w:val="00B17994"/>
    <w:rsid w:val="00B17A53"/>
    <w:rsid w:val="00B17C40"/>
    <w:rsid w:val="00B17C66"/>
    <w:rsid w:val="00B17D98"/>
    <w:rsid w:val="00B17F5E"/>
    <w:rsid w:val="00B20742"/>
    <w:rsid w:val="00B207C7"/>
    <w:rsid w:val="00B20C02"/>
    <w:rsid w:val="00B20CD9"/>
    <w:rsid w:val="00B20D46"/>
    <w:rsid w:val="00B2110A"/>
    <w:rsid w:val="00B2110C"/>
    <w:rsid w:val="00B21180"/>
    <w:rsid w:val="00B211A2"/>
    <w:rsid w:val="00B21668"/>
    <w:rsid w:val="00B216E4"/>
    <w:rsid w:val="00B216EC"/>
    <w:rsid w:val="00B2175F"/>
    <w:rsid w:val="00B218A0"/>
    <w:rsid w:val="00B21985"/>
    <w:rsid w:val="00B21CEE"/>
    <w:rsid w:val="00B21E5B"/>
    <w:rsid w:val="00B21E7E"/>
    <w:rsid w:val="00B21F69"/>
    <w:rsid w:val="00B223F6"/>
    <w:rsid w:val="00B22466"/>
    <w:rsid w:val="00B2247D"/>
    <w:rsid w:val="00B22614"/>
    <w:rsid w:val="00B22D81"/>
    <w:rsid w:val="00B22F59"/>
    <w:rsid w:val="00B23205"/>
    <w:rsid w:val="00B234C5"/>
    <w:rsid w:val="00B234D4"/>
    <w:rsid w:val="00B23552"/>
    <w:rsid w:val="00B2358C"/>
    <w:rsid w:val="00B237E8"/>
    <w:rsid w:val="00B238AD"/>
    <w:rsid w:val="00B239E9"/>
    <w:rsid w:val="00B23DE5"/>
    <w:rsid w:val="00B23EEC"/>
    <w:rsid w:val="00B23EF5"/>
    <w:rsid w:val="00B240F4"/>
    <w:rsid w:val="00B2444C"/>
    <w:rsid w:val="00B24458"/>
    <w:rsid w:val="00B2468D"/>
    <w:rsid w:val="00B2497C"/>
    <w:rsid w:val="00B24B82"/>
    <w:rsid w:val="00B2501B"/>
    <w:rsid w:val="00B25194"/>
    <w:rsid w:val="00B256A4"/>
    <w:rsid w:val="00B256F4"/>
    <w:rsid w:val="00B257BF"/>
    <w:rsid w:val="00B25A22"/>
    <w:rsid w:val="00B25DC7"/>
    <w:rsid w:val="00B26112"/>
    <w:rsid w:val="00B2614F"/>
    <w:rsid w:val="00B26261"/>
    <w:rsid w:val="00B265C1"/>
    <w:rsid w:val="00B26904"/>
    <w:rsid w:val="00B269DD"/>
    <w:rsid w:val="00B26E80"/>
    <w:rsid w:val="00B27145"/>
    <w:rsid w:val="00B271D5"/>
    <w:rsid w:val="00B27259"/>
    <w:rsid w:val="00B27272"/>
    <w:rsid w:val="00B27405"/>
    <w:rsid w:val="00B275E9"/>
    <w:rsid w:val="00B27799"/>
    <w:rsid w:val="00B2788D"/>
    <w:rsid w:val="00B27A26"/>
    <w:rsid w:val="00B27BBA"/>
    <w:rsid w:val="00B27D87"/>
    <w:rsid w:val="00B27E52"/>
    <w:rsid w:val="00B27E76"/>
    <w:rsid w:val="00B27F2B"/>
    <w:rsid w:val="00B30111"/>
    <w:rsid w:val="00B30137"/>
    <w:rsid w:val="00B30140"/>
    <w:rsid w:val="00B30223"/>
    <w:rsid w:val="00B30351"/>
    <w:rsid w:val="00B303F8"/>
    <w:rsid w:val="00B304A0"/>
    <w:rsid w:val="00B304E1"/>
    <w:rsid w:val="00B30574"/>
    <w:rsid w:val="00B30713"/>
    <w:rsid w:val="00B30BBC"/>
    <w:rsid w:val="00B30BDD"/>
    <w:rsid w:val="00B30DAC"/>
    <w:rsid w:val="00B30F86"/>
    <w:rsid w:val="00B312B7"/>
    <w:rsid w:val="00B31932"/>
    <w:rsid w:val="00B32143"/>
    <w:rsid w:val="00B32499"/>
    <w:rsid w:val="00B32524"/>
    <w:rsid w:val="00B326A7"/>
    <w:rsid w:val="00B327A3"/>
    <w:rsid w:val="00B329CD"/>
    <w:rsid w:val="00B329D7"/>
    <w:rsid w:val="00B32AC3"/>
    <w:rsid w:val="00B32B6B"/>
    <w:rsid w:val="00B32CB8"/>
    <w:rsid w:val="00B331BA"/>
    <w:rsid w:val="00B331F4"/>
    <w:rsid w:val="00B3371F"/>
    <w:rsid w:val="00B33819"/>
    <w:rsid w:val="00B338B7"/>
    <w:rsid w:val="00B3390A"/>
    <w:rsid w:val="00B33B7E"/>
    <w:rsid w:val="00B33EB3"/>
    <w:rsid w:val="00B340A7"/>
    <w:rsid w:val="00B342C0"/>
    <w:rsid w:val="00B34455"/>
    <w:rsid w:val="00B34498"/>
    <w:rsid w:val="00B345D9"/>
    <w:rsid w:val="00B34C5D"/>
    <w:rsid w:val="00B34CE6"/>
    <w:rsid w:val="00B34D15"/>
    <w:rsid w:val="00B34E60"/>
    <w:rsid w:val="00B34E7D"/>
    <w:rsid w:val="00B34E9D"/>
    <w:rsid w:val="00B3501B"/>
    <w:rsid w:val="00B3519E"/>
    <w:rsid w:val="00B353A0"/>
    <w:rsid w:val="00B35505"/>
    <w:rsid w:val="00B35553"/>
    <w:rsid w:val="00B3560B"/>
    <w:rsid w:val="00B35701"/>
    <w:rsid w:val="00B35738"/>
    <w:rsid w:val="00B35752"/>
    <w:rsid w:val="00B35A5D"/>
    <w:rsid w:val="00B35D3F"/>
    <w:rsid w:val="00B35DE8"/>
    <w:rsid w:val="00B35F12"/>
    <w:rsid w:val="00B360C0"/>
    <w:rsid w:val="00B365D7"/>
    <w:rsid w:val="00B36B3D"/>
    <w:rsid w:val="00B36B88"/>
    <w:rsid w:val="00B36C17"/>
    <w:rsid w:val="00B36E80"/>
    <w:rsid w:val="00B36EB8"/>
    <w:rsid w:val="00B37085"/>
    <w:rsid w:val="00B37179"/>
    <w:rsid w:val="00B373BA"/>
    <w:rsid w:val="00B37447"/>
    <w:rsid w:val="00B37464"/>
    <w:rsid w:val="00B375A5"/>
    <w:rsid w:val="00B375CF"/>
    <w:rsid w:val="00B37820"/>
    <w:rsid w:val="00B37993"/>
    <w:rsid w:val="00B379E7"/>
    <w:rsid w:val="00B37A22"/>
    <w:rsid w:val="00B37A64"/>
    <w:rsid w:val="00B37DE3"/>
    <w:rsid w:val="00B40004"/>
    <w:rsid w:val="00B4003D"/>
    <w:rsid w:val="00B400EA"/>
    <w:rsid w:val="00B404E4"/>
    <w:rsid w:val="00B404FD"/>
    <w:rsid w:val="00B40534"/>
    <w:rsid w:val="00B40581"/>
    <w:rsid w:val="00B40755"/>
    <w:rsid w:val="00B40762"/>
    <w:rsid w:val="00B4079B"/>
    <w:rsid w:val="00B40C10"/>
    <w:rsid w:val="00B4147A"/>
    <w:rsid w:val="00B414AD"/>
    <w:rsid w:val="00B4168B"/>
    <w:rsid w:val="00B4188D"/>
    <w:rsid w:val="00B41A57"/>
    <w:rsid w:val="00B41B08"/>
    <w:rsid w:val="00B41BE0"/>
    <w:rsid w:val="00B41D6E"/>
    <w:rsid w:val="00B41DE5"/>
    <w:rsid w:val="00B4229C"/>
    <w:rsid w:val="00B42335"/>
    <w:rsid w:val="00B423BF"/>
    <w:rsid w:val="00B428A4"/>
    <w:rsid w:val="00B42908"/>
    <w:rsid w:val="00B42AA1"/>
    <w:rsid w:val="00B42B4E"/>
    <w:rsid w:val="00B42D33"/>
    <w:rsid w:val="00B42D7E"/>
    <w:rsid w:val="00B42E14"/>
    <w:rsid w:val="00B4313F"/>
    <w:rsid w:val="00B431AD"/>
    <w:rsid w:val="00B432A2"/>
    <w:rsid w:val="00B433F0"/>
    <w:rsid w:val="00B43534"/>
    <w:rsid w:val="00B4368C"/>
    <w:rsid w:val="00B43A1A"/>
    <w:rsid w:val="00B43AA2"/>
    <w:rsid w:val="00B43AC2"/>
    <w:rsid w:val="00B43F94"/>
    <w:rsid w:val="00B44098"/>
    <w:rsid w:val="00B442E6"/>
    <w:rsid w:val="00B44382"/>
    <w:rsid w:val="00B4441F"/>
    <w:rsid w:val="00B447FC"/>
    <w:rsid w:val="00B44900"/>
    <w:rsid w:val="00B44998"/>
    <w:rsid w:val="00B44AC7"/>
    <w:rsid w:val="00B44C21"/>
    <w:rsid w:val="00B44CDD"/>
    <w:rsid w:val="00B44D00"/>
    <w:rsid w:val="00B44D62"/>
    <w:rsid w:val="00B44D88"/>
    <w:rsid w:val="00B44DAA"/>
    <w:rsid w:val="00B44E82"/>
    <w:rsid w:val="00B44E9D"/>
    <w:rsid w:val="00B450C3"/>
    <w:rsid w:val="00B4550E"/>
    <w:rsid w:val="00B45711"/>
    <w:rsid w:val="00B4577A"/>
    <w:rsid w:val="00B45B76"/>
    <w:rsid w:val="00B45DE7"/>
    <w:rsid w:val="00B45F2C"/>
    <w:rsid w:val="00B45F44"/>
    <w:rsid w:val="00B466C9"/>
    <w:rsid w:val="00B46747"/>
    <w:rsid w:val="00B468F6"/>
    <w:rsid w:val="00B46A0D"/>
    <w:rsid w:val="00B46B45"/>
    <w:rsid w:val="00B46BAC"/>
    <w:rsid w:val="00B46C7D"/>
    <w:rsid w:val="00B47379"/>
    <w:rsid w:val="00B476AE"/>
    <w:rsid w:val="00B47B3F"/>
    <w:rsid w:val="00B47C44"/>
    <w:rsid w:val="00B5001B"/>
    <w:rsid w:val="00B50072"/>
    <w:rsid w:val="00B5031A"/>
    <w:rsid w:val="00B50702"/>
    <w:rsid w:val="00B5075D"/>
    <w:rsid w:val="00B50798"/>
    <w:rsid w:val="00B509FC"/>
    <w:rsid w:val="00B50A19"/>
    <w:rsid w:val="00B50B70"/>
    <w:rsid w:val="00B50C9B"/>
    <w:rsid w:val="00B5108C"/>
    <w:rsid w:val="00B5112E"/>
    <w:rsid w:val="00B512BB"/>
    <w:rsid w:val="00B51363"/>
    <w:rsid w:val="00B5139B"/>
    <w:rsid w:val="00B514E1"/>
    <w:rsid w:val="00B5160D"/>
    <w:rsid w:val="00B517E5"/>
    <w:rsid w:val="00B51A1D"/>
    <w:rsid w:val="00B51B01"/>
    <w:rsid w:val="00B51D28"/>
    <w:rsid w:val="00B51ED6"/>
    <w:rsid w:val="00B51FFB"/>
    <w:rsid w:val="00B5230A"/>
    <w:rsid w:val="00B52438"/>
    <w:rsid w:val="00B525CB"/>
    <w:rsid w:val="00B5261B"/>
    <w:rsid w:val="00B52646"/>
    <w:rsid w:val="00B5266B"/>
    <w:rsid w:val="00B526AE"/>
    <w:rsid w:val="00B5271B"/>
    <w:rsid w:val="00B527AC"/>
    <w:rsid w:val="00B529B1"/>
    <w:rsid w:val="00B52B57"/>
    <w:rsid w:val="00B52DDC"/>
    <w:rsid w:val="00B52F7C"/>
    <w:rsid w:val="00B530EC"/>
    <w:rsid w:val="00B530FA"/>
    <w:rsid w:val="00B5331B"/>
    <w:rsid w:val="00B534A0"/>
    <w:rsid w:val="00B537FC"/>
    <w:rsid w:val="00B5392B"/>
    <w:rsid w:val="00B539FF"/>
    <w:rsid w:val="00B53B2D"/>
    <w:rsid w:val="00B53BF5"/>
    <w:rsid w:val="00B53C65"/>
    <w:rsid w:val="00B53D3A"/>
    <w:rsid w:val="00B53EF1"/>
    <w:rsid w:val="00B540DA"/>
    <w:rsid w:val="00B54131"/>
    <w:rsid w:val="00B541C3"/>
    <w:rsid w:val="00B5476A"/>
    <w:rsid w:val="00B54B0E"/>
    <w:rsid w:val="00B54B8F"/>
    <w:rsid w:val="00B54BB1"/>
    <w:rsid w:val="00B54E49"/>
    <w:rsid w:val="00B5527E"/>
    <w:rsid w:val="00B555FC"/>
    <w:rsid w:val="00B5566A"/>
    <w:rsid w:val="00B559B2"/>
    <w:rsid w:val="00B55E12"/>
    <w:rsid w:val="00B5626F"/>
    <w:rsid w:val="00B563B9"/>
    <w:rsid w:val="00B56440"/>
    <w:rsid w:val="00B5655D"/>
    <w:rsid w:val="00B5662B"/>
    <w:rsid w:val="00B5672D"/>
    <w:rsid w:val="00B56900"/>
    <w:rsid w:val="00B56979"/>
    <w:rsid w:val="00B56B94"/>
    <w:rsid w:val="00B56C1B"/>
    <w:rsid w:val="00B56F2B"/>
    <w:rsid w:val="00B56FAB"/>
    <w:rsid w:val="00B5711F"/>
    <w:rsid w:val="00B5729F"/>
    <w:rsid w:val="00B57306"/>
    <w:rsid w:val="00B57ADB"/>
    <w:rsid w:val="00B57DBE"/>
    <w:rsid w:val="00B57ED8"/>
    <w:rsid w:val="00B57EEC"/>
    <w:rsid w:val="00B6053F"/>
    <w:rsid w:val="00B605C6"/>
    <w:rsid w:val="00B6098C"/>
    <w:rsid w:val="00B60B60"/>
    <w:rsid w:val="00B60D64"/>
    <w:rsid w:val="00B60EC8"/>
    <w:rsid w:val="00B61044"/>
    <w:rsid w:val="00B6108E"/>
    <w:rsid w:val="00B6137C"/>
    <w:rsid w:val="00B61579"/>
    <w:rsid w:val="00B616F1"/>
    <w:rsid w:val="00B61847"/>
    <w:rsid w:val="00B618AD"/>
    <w:rsid w:val="00B61AA7"/>
    <w:rsid w:val="00B61BC4"/>
    <w:rsid w:val="00B61BE5"/>
    <w:rsid w:val="00B61CD8"/>
    <w:rsid w:val="00B622EC"/>
    <w:rsid w:val="00B62421"/>
    <w:rsid w:val="00B62454"/>
    <w:rsid w:val="00B625E8"/>
    <w:rsid w:val="00B62828"/>
    <w:rsid w:val="00B62A22"/>
    <w:rsid w:val="00B62AAE"/>
    <w:rsid w:val="00B62AEA"/>
    <w:rsid w:val="00B62D15"/>
    <w:rsid w:val="00B62F78"/>
    <w:rsid w:val="00B6320D"/>
    <w:rsid w:val="00B6348A"/>
    <w:rsid w:val="00B634B1"/>
    <w:rsid w:val="00B6367D"/>
    <w:rsid w:val="00B636D9"/>
    <w:rsid w:val="00B63773"/>
    <w:rsid w:val="00B637F7"/>
    <w:rsid w:val="00B63CA0"/>
    <w:rsid w:val="00B63D6C"/>
    <w:rsid w:val="00B63EB8"/>
    <w:rsid w:val="00B63F28"/>
    <w:rsid w:val="00B6417C"/>
    <w:rsid w:val="00B6465E"/>
    <w:rsid w:val="00B6470B"/>
    <w:rsid w:val="00B6497C"/>
    <w:rsid w:val="00B64B4D"/>
    <w:rsid w:val="00B64F6F"/>
    <w:rsid w:val="00B653B2"/>
    <w:rsid w:val="00B65473"/>
    <w:rsid w:val="00B656B2"/>
    <w:rsid w:val="00B65738"/>
    <w:rsid w:val="00B65A20"/>
    <w:rsid w:val="00B65D5E"/>
    <w:rsid w:val="00B65DF0"/>
    <w:rsid w:val="00B65E3E"/>
    <w:rsid w:val="00B66052"/>
    <w:rsid w:val="00B661C9"/>
    <w:rsid w:val="00B6631A"/>
    <w:rsid w:val="00B6633A"/>
    <w:rsid w:val="00B66D07"/>
    <w:rsid w:val="00B66DFF"/>
    <w:rsid w:val="00B66E7D"/>
    <w:rsid w:val="00B67185"/>
    <w:rsid w:val="00B6718B"/>
    <w:rsid w:val="00B671BE"/>
    <w:rsid w:val="00B673FC"/>
    <w:rsid w:val="00B67563"/>
    <w:rsid w:val="00B6779D"/>
    <w:rsid w:val="00B677CF"/>
    <w:rsid w:val="00B67908"/>
    <w:rsid w:val="00B67A5C"/>
    <w:rsid w:val="00B67C20"/>
    <w:rsid w:val="00B67E93"/>
    <w:rsid w:val="00B700AE"/>
    <w:rsid w:val="00B70195"/>
    <w:rsid w:val="00B701A0"/>
    <w:rsid w:val="00B703C6"/>
    <w:rsid w:val="00B705CF"/>
    <w:rsid w:val="00B708CE"/>
    <w:rsid w:val="00B7095A"/>
    <w:rsid w:val="00B709CE"/>
    <w:rsid w:val="00B70D37"/>
    <w:rsid w:val="00B70D46"/>
    <w:rsid w:val="00B71184"/>
    <w:rsid w:val="00B714FF"/>
    <w:rsid w:val="00B71669"/>
    <w:rsid w:val="00B71739"/>
    <w:rsid w:val="00B71747"/>
    <w:rsid w:val="00B71768"/>
    <w:rsid w:val="00B71B03"/>
    <w:rsid w:val="00B71C7F"/>
    <w:rsid w:val="00B72025"/>
    <w:rsid w:val="00B72262"/>
    <w:rsid w:val="00B72469"/>
    <w:rsid w:val="00B72682"/>
    <w:rsid w:val="00B7289D"/>
    <w:rsid w:val="00B72C0C"/>
    <w:rsid w:val="00B72D45"/>
    <w:rsid w:val="00B73004"/>
    <w:rsid w:val="00B731E0"/>
    <w:rsid w:val="00B7342D"/>
    <w:rsid w:val="00B7366A"/>
    <w:rsid w:val="00B737C8"/>
    <w:rsid w:val="00B73803"/>
    <w:rsid w:val="00B73B24"/>
    <w:rsid w:val="00B73D7F"/>
    <w:rsid w:val="00B73D83"/>
    <w:rsid w:val="00B73F79"/>
    <w:rsid w:val="00B740ED"/>
    <w:rsid w:val="00B74140"/>
    <w:rsid w:val="00B7420A"/>
    <w:rsid w:val="00B7420B"/>
    <w:rsid w:val="00B74239"/>
    <w:rsid w:val="00B74690"/>
    <w:rsid w:val="00B746A6"/>
    <w:rsid w:val="00B747F7"/>
    <w:rsid w:val="00B74966"/>
    <w:rsid w:val="00B74EBD"/>
    <w:rsid w:val="00B74F81"/>
    <w:rsid w:val="00B75325"/>
    <w:rsid w:val="00B754F0"/>
    <w:rsid w:val="00B75523"/>
    <w:rsid w:val="00B75605"/>
    <w:rsid w:val="00B75937"/>
    <w:rsid w:val="00B75D3C"/>
    <w:rsid w:val="00B75EC4"/>
    <w:rsid w:val="00B75EFF"/>
    <w:rsid w:val="00B75FBE"/>
    <w:rsid w:val="00B765EF"/>
    <w:rsid w:val="00B766BA"/>
    <w:rsid w:val="00B76893"/>
    <w:rsid w:val="00B768E3"/>
    <w:rsid w:val="00B7697D"/>
    <w:rsid w:val="00B7699D"/>
    <w:rsid w:val="00B76E1D"/>
    <w:rsid w:val="00B76EA3"/>
    <w:rsid w:val="00B76FCA"/>
    <w:rsid w:val="00B77222"/>
    <w:rsid w:val="00B7729E"/>
    <w:rsid w:val="00B77A2E"/>
    <w:rsid w:val="00B77A72"/>
    <w:rsid w:val="00B77D6E"/>
    <w:rsid w:val="00B77FD4"/>
    <w:rsid w:val="00B80013"/>
    <w:rsid w:val="00B8009C"/>
    <w:rsid w:val="00B800E1"/>
    <w:rsid w:val="00B80227"/>
    <w:rsid w:val="00B802C3"/>
    <w:rsid w:val="00B803B6"/>
    <w:rsid w:val="00B80429"/>
    <w:rsid w:val="00B80733"/>
    <w:rsid w:val="00B80AD5"/>
    <w:rsid w:val="00B80E34"/>
    <w:rsid w:val="00B80EB9"/>
    <w:rsid w:val="00B80F1E"/>
    <w:rsid w:val="00B810E2"/>
    <w:rsid w:val="00B810E9"/>
    <w:rsid w:val="00B81105"/>
    <w:rsid w:val="00B811F4"/>
    <w:rsid w:val="00B81462"/>
    <w:rsid w:val="00B8172C"/>
    <w:rsid w:val="00B81889"/>
    <w:rsid w:val="00B818BB"/>
    <w:rsid w:val="00B81935"/>
    <w:rsid w:val="00B8196B"/>
    <w:rsid w:val="00B81A34"/>
    <w:rsid w:val="00B81B71"/>
    <w:rsid w:val="00B81BB8"/>
    <w:rsid w:val="00B81CCD"/>
    <w:rsid w:val="00B81D0D"/>
    <w:rsid w:val="00B81E8E"/>
    <w:rsid w:val="00B8209E"/>
    <w:rsid w:val="00B8220B"/>
    <w:rsid w:val="00B8241C"/>
    <w:rsid w:val="00B8248D"/>
    <w:rsid w:val="00B8266C"/>
    <w:rsid w:val="00B82D53"/>
    <w:rsid w:val="00B82E03"/>
    <w:rsid w:val="00B82E10"/>
    <w:rsid w:val="00B82EC5"/>
    <w:rsid w:val="00B82F08"/>
    <w:rsid w:val="00B83198"/>
    <w:rsid w:val="00B83894"/>
    <w:rsid w:val="00B83CD8"/>
    <w:rsid w:val="00B83E40"/>
    <w:rsid w:val="00B83F08"/>
    <w:rsid w:val="00B83FE7"/>
    <w:rsid w:val="00B8401B"/>
    <w:rsid w:val="00B84045"/>
    <w:rsid w:val="00B84083"/>
    <w:rsid w:val="00B84190"/>
    <w:rsid w:val="00B8430E"/>
    <w:rsid w:val="00B84329"/>
    <w:rsid w:val="00B844CD"/>
    <w:rsid w:val="00B8468E"/>
    <w:rsid w:val="00B84840"/>
    <w:rsid w:val="00B84B96"/>
    <w:rsid w:val="00B84EAE"/>
    <w:rsid w:val="00B84F21"/>
    <w:rsid w:val="00B85017"/>
    <w:rsid w:val="00B85239"/>
    <w:rsid w:val="00B853BA"/>
    <w:rsid w:val="00B8556D"/>
    <w:rsid w:val="00B85904"/>
    <w:rsid w:val="00B859DC"/>
    <w:rsid w:val="00B85B08"/>
    <w:rsid w:val="00B85E09"/>
    <w:rsid w:val="00B85EF2"/>
    <w:rsid w:val="00B86140"/>
    <w:rsid w:val="00B8618E"/>
    <w:rsid w:val="00B865BF"/>
    <w:rsid w:val="00B8665B"/>
    <w:rsid w:val="00B86762"/>
    <w:rsid w:val="00B86809"/>
    <w:rsid w:val="00B869A0"/>
    <w:rsid w:val="00B869A5"/>
    <w:rsid w:val="00B86B17"/>
    <w:rsid w:val="00B86BF7"/>
    <w:rsid w:val="00B86EF3"/>
    <w:rsid w:val="00B86F93"/>
    <w:rsid w:val="00B873E6"/>
    <w:rsid w:val="00B87764"/>
    <w:rsid w:val="00B87888"/>
    <w:rsid w:val="00B87929"/>
    <w:rsid w:val="00B8792B"/>
    <w:rsid w:val="00B87970"/>
    <w:rsid w:val="00B87A5C"/>
    <w:rsid w:val="00B87CA6"/>
    <w:rsid w:val="00B87D50"/>
    <w:rsid w:val="00B87EC3"/>
    <w:rsid w:val="00B87F71"/>
    <w:rsid w:val="00B87FB4"/>
    <w:rsid w:val="00B90121"/>
    <w:rsid w:val="00B90263"/>
    <w:rsid w:val="00B90471"/>
    <w:rsid w:val="00B9052F"/>
    <w:rsid w:val="00B907DB"/>
    <w:rsid w:val="00B90A76"/>
    <w:rsid w:val="00B90B73"/>
    <w:rsid w:val="00B90D84"/>
    <w:rsid w:val="00B90F5F"/>
    <w:rsid w:val="00B911C2"/>
    <w:rsid w:val="00B9134C"/>
    <w:rsid w:val="00B91642"/>
    <w:rsid w:val="00B91986"/>
    <w:rsid w:val="00B919C0"/>
    <w:rsid w:val="00B91CAC"/>
    <w:rsid w:val="00B91CDA"/>
    <w:rsid w:val="00B91CEB"/>
    <w:rsid w:val="00B91DA7"/>
    <w:rsid w:val="00B92067"/>
    <w:rsid w:val="00B92207"/>
    <w:rsid w:val="00B9260B"/>
    <w:rsid w:val="00B92A08"/>
    <w:rsid w:val="00B92C99"/>
    <w:rsid w:val="00B92E7B"/>
    <w:rsid w:val="00B92F09"/>
    <w:rsid w:val="00B92F4A"/>
    <w:rsid w:val="00B92FE9"/>
    <w:rsid w:val="00B930E5"/>
    <w:rsid w:val="00B93257"/>
    <w:rsid w:val="00B935FF"/>
    <w:rsid w:val="00B93687"/>
    <w:rsid w:val="00B936AA"/>
    <w:rsid w:val="00B936D3"/>
    <w:rsid w:val="00B9371E"/>
    <w:rsid w:val="00B93763"/>
    <w:rsid w:val="00B93E7A"/>
    <w:rsid w:val="00B9400E"/>
    <w:rsid w:val="00B940F2"/>
    <w:rsid w:val="00B941ED"/>
    <w:rsid w:val="00B94217"/>
    <w:rsid w:val="00B94265"/>
    <w:rsid w:val="00B944B9"/>
    <w:rsid w:val="00B94584"/>
    <w:rsid w:val="00B9469C"/>
    <w:rsid w:val="00B94899"/>
    <w:rsid w:val="00B9494B"/>
    <w:rsid w:val="00B94A36"/>
    <w:rsid w:val="00B94C82"/>
    <w:rsid w:val="00B94CCB"/>
    <w:rsid w:val="00B94CFE"/>
    <w:rsid w:val="00B94D8C"/>
    <w:rsid w:val="00B94DA1"/>
    <w:rsid w:val="00B94E83"/>
    <w:rsid w:val="00B94F53"/>
    <w:rsid w:val="00B95132"/>
    <w:rsid w:val="00B954F2"/>
    <w:rsid w:val="00B95842"/>
    <w:rsid w:val="00B95979"/>
    <w:rsid w:val="00B95D0B"/>
    <w:rsid w:val="00B95E3E"/>
    <w:rsid w:val="00B961BF"/>
    <w:rsid w:val="00B96593"/>
    <w:rsid w:val="00B965DF"/>
    <w:rsid w:val="00B9683B"/>
    <w:rsid w:val="00B96862"/>
    <w:rsid w:val="00B9686B"/>
    <w:rsid w:val="00B96A20"/>
    <w:rsid w:val="00B96BCF"/>
    <w:rsid w:val="00B96E61"/>
    <w:rsid w:val="00B971DA"/>
    <w:rsid w:val="00B976A3"/>
    <w:rsid w:val="00B97757"/>
    <w:rsid w:val="00B978E5"/>
    <w:rsid w:val="00B979C0"/>
    <w:rsid w:val="00B97AB1"/>
    <w:rsid w:val="00B97C04"/>
    <w:rsid w:val="00BA01DC"/>
    <w:rsid w:val="00BA08B6"/>
    <w:rsid w:val="00BA0A2A"/>
    <w:rsid w:val="00BA101A"/>
    <w:rsid w:val="00BA10D5"/>
    <w:rsid w:val="00BA141C"/>
    <w:rsid w:val="00BA16D6"/>
    <w:rsid w:val="00BA16EA"/>
    <w:rsid w:val="00BA1A64"/>
    <w:rsid w:val="00BA1BDA"/>
    <w:rsid w:val="00BA1C49"/>
    <w:rsid w:val="00BA1D1C"/>
    <w:rsid w:val="00BA1EF8"/>
    <w:rsid w:val="00BA1F45"/>
    <w:rsid w:val="00BA208A"/>
    <w:rsid w:val="00BA2234"/>
    <w:rsid w:val="00BA22AB"/>
    <w:rsid w:val="00BA2367"/>
    <w:rsid w:val="00BA251E"/>
    <w:rsid w:val="00BA25C7"/>
    <w:rsid w:val="00BA2739"/>
    <w:rsid w:val="00BA27D7"/>
    <w:rsid w:val="00BA2BDA"/>
    <w:rsid w:val="00BA2D60"/>
    <w:rsid w:val="00BA2ECB"/>
    <w:rsid w:val="00BA2FFA"/>
    <w:rsid w:val="00BA31D3"/>
    <w:rsid w:val="00BA3220"/>
    <w:rsid w:val="00BA3259"/>
    <w:rsid w:val="00BA3307"/>
    <w:rsid w:val="00BA3347"/>
    <w:rsid w:val="00BA338E"/>
    <w:rsid w:val="00BA35CC"/>
    <w:rsid w:val="00BA3831"/>
    <w:rsid w:val="00BA395C"/>
    <w:rsid w:val="00BA3DF4"/>
    <w:rsid w:val="00BA42DD"/>
    <w:rsid w:val="00BA4451"/>
    <w:rsid w:val="00BA446D"/>
    <w:rsid w:val="00BA46DD"/>
    <w:rsid w:val="00BA4CCB"/>
    <w:rsid w:val="00BA5039"/>
    <w:rsid w:val="00BA50AE"/>
    <w:rsid w:val="00BA52DA"/>
    <w:rsid w:val="00BA5348"/>
    <w:rsid w:val="00BA53BF"/>
    <w:rsid w:val="00BA542B"/>
    <w:rsid w:val="00BA547B"/>
    <w:rsid w:val="00BA576E"/>
    <w:rsid w:val="00BA59FA"/>
    <w:rsid w:val="00BA5A17"/>
    <w:rsid w:val="00BA5B4E"/>
    <w:rsid w:val="00BA5B68"/>
    <w:rsid w:val="00BA5CA1"/>
    <w:rsid w:val="00BA5CCB"/>
    <w:rsid w:val="00BA5E1B"/>
    <w:rsid w:val="00BA609A"/>
    <w:rsid w:val="00BA60AD"/>
    <w:rsid w:val="00BA60F1"/>
    <w:rsid w:val="00BA6170"/>
    <w:rsid w:val="00BA6504"/>
    <w:rsid w:val="00BA6576"/>
    <w:rsid w:val="00BA660A"/>
    <w:rsid w:val="00BA6700"/>
    <w:rsid w:val="00BA6940"/>
    <w:rsid w:val="00BA6A13"/>
    <w:rsid w:val="00BA6A94"/>
    <w:rsid w:val="00BA6CD0"/>
    <w:rsid w:val="00BA77A3"/>
    <w:rsid w:val="00BA77F4"/>
    <w:rsid w:val="00BA7840"/>
    <w:rsid w:val="00BA7BD3"/>
    <w:rsid w:val="00BA7C9D"/>
    <w:rsid w:val="00BA7CA6"/>
    <w:rsid w:val="00BA7D2C"/>
    <w:rsid w:val="00BA7DAD"/>
    <w:rsid w:val="00BB0073"/>
    <w:rsid w:val="00BB0116"/>
    <w:rsid w:val="00BB01AB"/>
    <w:rsid w:val="00BB04F9"/>
    <w:rsid w:val="00BB0598"/>
    <w:rsid w:val="00BB064D"/>
    <w:rsid w:val="00BB06AD"/>
    <w:rsid w:val="00BB0792"/>
    <w:rsid w:val="00BB0826"/>
    <w:rsid w:val="00BB0A0B"/>
    <w:rsid w:val="00BB0B30"/>
    <w:rsid w:val="00BB0BB7"/>
    <w:rsid w:val="00BB0CD8"/>
    <w:rsid w:val="00BB101F"/>
    <w:rsid w:val="00BB10AB"/>
    <w:rsid w:val="00BB1313"/>
    <w:rsid w:val="00BB1347"/>
    <w:rsid w:val="00BB14E9"/>
    <w:rsid w:val="00BB1638"/>
    <w:rsid w:val="00BB17C2"/>
    <w:rsid w:val="00BB187D"/>
    <w:rsid w:val="00BB18CA"/>
    <w:rsid w:val="00BB1953"/>
    <w:rsid w:val="00BB19AC"/>
    <w:rsid w:val="00BB1AC4"/>
    <w:rsid w:val="00BB1B78"/>
    <w:rsid w:val="00BB1C6E"/>
    <w:rsid w:val="00BB1CAC"/>
    <w:rsid w:val="00BB1E80"/>
    <w:rsid w:val="00BB1FDC"/>
    <w:rsid w:val="00BB21CE"/>
    <w:rsid w:val="00BB24A3"/>
    <w:rsid w:val="00BB25B0"/>
    <w:rsid w:val="00BB2630"/>
    <w:rsid w:val="00BB27CC"/>
    <w:rsid w:val="00BB29B8"/>
    <w:rsid w:val="00BB2A70"/>
    <w:rsid w:val="00BB2AE3"/>
    <w:rsid w:val="00BB2D2C"/>
    <w:rsid w:val="00BB2E3E"/>
    <w:rsid w:val="00BB304D"/>
    <w:rsid w:val="00BB3357"/>
    <w:rsid w:val="00BB35EE"/>
    <w:rsid w:val="00BB3AF9"/>
    <w:rsid w:val="00BB3B90"/>
    <w:rsid w:val="00BB3C53"/>
    <w:rsid w:val="00BB3D56"/>
    <w:rsid w:val="00BB3F8C"/>
    <w:rsid w:val="00BB439B"/>
    <w:rsid w:val="00BB466B"/>
    <w:rsid w:val="00BB47AF"/>
    <w:rsid w:val="00BB4987"/>
    <w:rsid w:val="00BB4D7F"/>
    <w:rsid w:val="00BB4E7D"/>
    <w:rsid w:val="00BB4FC5"/>
    <w:rsid w:val="00BB4FCF"/>
    <w:rsid w:val="00BB4FD6"/>
    <w:rsid w:val="00BB54CB"/>
    <w:rsid w:val="00BB55D2"/>
    <w:rsid w:val="00BB563E"/>
    <w:rsid w:val="00BB5694"/>
    <w:rsid w:val="00BB59F1"/>
    <w:rsid w:val="00BB5A74"/>
    <w:rsid w:val="00BB606A"/>
    <w:rsid w:val="00BB6270"/>
    <w:rsid w:val="00BB6353"/>
    <w:rsid w:val="00BB63DD"/>
    <w:rsid w:val="00BB657E"/>
    <w:rsid w:val="00BB6CC0"/>
    <w:rsid w:val="00BB6EFF"/>
    <w:rsid w:val="00BB6F22"/>
    <w:rsid w:val="00BB7053"/>
    <w:rsid w:val="00BB7141"/>
    <w:rsid w:val="00BB717C"/>
    <w:rsid w:val="00BB73B5"/>
    <w:rsid w:val="00BB74CB"/>
    <w:rsid w:val="00BB771C"/>
    <w:rsid w:val="00BB77C6"/>
    <w:rsid w:val="00BB79F7"/>
    <w:rsid w:val="00BB7A82"/>
    <w:rsid w:val="00BB7D39"/>
    <w:rsid w:val="00BB7E63"/>
    <w:rsid w:val="00BB7F4D"/>
    <w:rsid w:val="00BB7F72"/>
    <w:rsid w:val="00BBD594"/>
    <w:rsid w:val="00BC0442"/>
    <w:rsid w:val="00BC0505"/>
    <w:rsid w:val="00BC08D8"/>
    <w:rsid w:val="00BC0B9A"/>
    <w:rsid w:val="00BC0BD7"/>
    <w:rsid w:val="00BC0C70"/>
    <w:rsid w:val="00BC0CF0"/>
    <w:rsid w:val="00BC0DED"/>
    <w:rsid w:val="00BC0E54"/>
    <w:rsid w:val="00BC0E7A"/>
    <w:rsid w:val="00BC0F53"/>
    <w:rsid w:val="00BC111B"/>
    <w:rsid w:val="00BC13B1"/>
    <w:rsid w:val="00BC1613"/>
    <w:rsid w:val="00BC182D"/>
    <w:rsid w:val="00BC1995"/>
    <w:rsid w:val="00BC19AB"/>
    <w:rsid w:val="00BC1CE8"/>
    <w:rsid w:val="00BC1FE1"/>
    <w:rsid w:val="00BC20CD"/>
    <w:rsid w:val="00BC2154"/>
    <w:rsid w:val="00BC21D3"/>
    <w:rsid w:val="00BC2326"/>
    <w:rsid w:val="00BC2347"/>
    <w:rsid w:val="00BC23C0"/>
    <w:rsid w:val="00BC25AD"/>
    <w:rsid w:val="00BC2634"/>
    <w:rsid w:val="00BC2753"/>
    <w:rsid w:val="00BC2893"/>
    <w:rsid w:val="00BC28F9"/>
    <w:rsid w:val="00BC2A17"/>
    <w:rsid w:val="00BC2B96"/>
    <w:rsid w:val="00BC2C47"/>
    <w:rsid w:val="00BC2E34"/>
    <w:rsid w:val="00BC2ED4"/>
    <w:rsid w:val="00BC30C6"/>
    <w:rsid w:val="00BC3133"/>
    <w:rsid w:val="00BC322D"/>
    <w:rsid w:val="00BC36D7"/>
    <w:rsid w:val="00BC3840"/>
    <w:rsid w:val="00BC3890"/>
    <w:rsid w:val="00BC390F"/>
    <w:rsid w:val="00BC3929"/>
    <w:rsid w:val="00BC3A03"/>
    <w:rsid w:val="00BC3B0C"/>
    <w:rsid w:val="00BC3C0D"/>
    <w:rsid w:val="00BC3C2D"/>
    <w:rsid w:val="00BC3D4D"/>
    <w:rsid w:val="00BC3E62"/>
    <w:rsid w:val="00BC41A3"/>
    <w:rsid w:val="00BC42EE"/>
    <w:rsid w:val="00BC452C"/>
    <w:rsid w:val="00BC50CD"/>
    <w:rsid w:val="00BC5130"/>
    <w:rsid w:val="00BC5445"/>
    <w:rsid w:val="00BC561F"/>
    <w:rsid w:val="00BC583B"/>
    <w:rsid w:val="00BC5A61"/>
    <w:rsid w:val="00BC5BDD"/>
    <w:rsid w:val="00BC61F5"/>
    <w:rsid w:val="00BC6589"/>
    <w:rsid w:val="00BC66F0"/>
    <w:rsid w:val="00BC694C"/>
    <w:rsid w:val="00BC6954"/>
    <w:rsid w:val="00BC6A0F"/>
    <w:rsid w:val="00BC6BB5"/>
    <w:rsid w:val="00BC6D7A"/>
    <w:rsid w:val="00BC6DF4"/>
    <w:rsid w:val="00BC6F72"/>
    <w:rsid w:val="00BC71F2"/>
    <w:rsid w:val="00BC7236"/>
    <w:rsid w:val="00BC751B"/>
    <w:rsid w:val="00BC751D"/>
    <w:rsid w:val="00BC761C"/>
    <w:rsid w:val="00BC76D3"/>
    <w:rsid w:val="00BC7BB2"/>
    <w:rsid w:val="00BC7F0C"/>
    <w:rsid w:val="00BD0177"/>
    <w:rsid w:val="00BD03BA"/>
    <w:rsid w:val="00BD0457"/>
    <w:rsid w:val="00BD088E"/>
    <w:rsid w:val="00BD098D"/>
    <w:rsid w:val="00BD0B79"/>
    <w:rsid w:val="00BD0CE9"/>
    <w:rsid w:val="00BD0D67"/>
    <w:rsid w:val="00BD0DCD"/>
    <w:rsid w:val="00BD0EDC"/>
    <w:rsid w:val="00BD0FB4"/>
    <w:rsid w:val="00BD0FD6"/>
    <w:rsid w:val="00BD106F"/>
    <w:rsid w:val="00BD138D"/>
    <w:rsid w:val="00BD1418"/>
    <w:rsid w:val="00BD18BB"/>
    <w:rsid w:val="00BD1C00"/>
    <w:rsid w:val="00BD1E79"/>
    <w:rsid w:val="00BD1EE3"/>
    <w:rsid w:val="00BD2015"/>
    <w:rsid w:val="00BD204A"/>
    <w:rsid w:val="00BD2055"/>
    <w:rsid w:val="00BD21E2"/>
    <w:rsid w:val="00BD2264"/>
    <w:rsid w:val="00BD23C7"/>
    <w:rsid w:val="00BD2850"/>
    <w:rsid w:val="00BD2878"/>
    <w:rsid w:val="00BD290E"/>
    <w:rsid w:val="00BD29C3"/>
    <w:rsid w:val="00BD2A49"/>
    <w:rsid w:val="00BD2C33"/>
    <w:rsid w:val="00BD2F55"/>
    <w:rsid w:val="00BD3282"/>
    <w:rsid w:val="00BD33C3"/>
    <w:rsid w:val="00BD34DC"/>
    <w:rsid w:val="00BD38E2"/>
    <w:rsid w:val="00BD3C17"/>
    <w:rsid w:val="00BD3CDF"/>
    <w:rsid w:val="00BD40D8"/>
    <w:rsid w:val="00BD41A9"/>
    <w:rsid w:val="00BD41BA"/>
    <w:rsid w:val="00BD43B6"/>
    <w:rsid w:val="00BD44BA"/>
    <w:rsid w:val="00BD4663"/>
    <w:rsid w:val="00BD4822"/>
    <w:rsid w:val="00BD4855"/>
    <w:rsid w:val="00BD4BBF"/>
    <w:rsid w:val="00BD4BE8"/>
    <w:rsid w:val="00BD510A"/>
    <w:rsid w:val="00BD5127"/>
    <w:rsid w:val="00BD5393"/>
    <w:rsid w:val="00BD541A"/>
    <w:rsid w:val="00BD56A6"/>
    <w:rsid w:val="00BD56D5"/>
    <w:rsid w:val="00BD5996"/>
    <w:rsid w:val="00BD5B18"/>
    <w:rsid w:val="00BD5D52"/>
    <w:rsid w:val="00BD5E37"/>
    <w:rsid w:val="00BD6122"/>
    <w:rsid w:val="00BD620E"/>
    <w:rsid w:val="00BD6456"/>
    <w:rsid w:val="00BD6520"/>
    <w:rsid w:val="00BD65B2"/>
    <w:rsid w:val="00BD67D9"/>
    <w:rsid w:val="00BD6CBE"/>
    <w:rsid w:val="00BD6CCD"/>
    <w:rsid w:val="00BD6D1A"/>
    <w:rsid w:val="00BD6E40"/>
    <w:rsid w:val="00BD6EE0"/>
    <w:rsid w:val="00BD6F03"/>
    <w:rsid w:val="00BD71E9"/>
    <w:rsid w:val="00BD72B8"/>
    <w:rsid w:val="00BD77DD"/>
    <w:rsid w:val="00BD7964"/>
    <w:rsid w:val="00BD7A89"/>
    <w:rsid w:val="00BD7D5D"/>
    <w:rsid w:val="00BD7DAB"/>
    <w:rsid w:val="00BD7E62"/>
    <w:rsid w:val="00BD7F76"/>
    <w:rsid w:val="00BD7FF4"/>
    <w:rsid w:val="00BE0168"/>
    <w:rsid w:val="00BE02E1"/>
    <w:rsid w:val="00BE02E4"/>
    <w:rsid w:val="00BE0336"/>
    <w:rsid w:val="00BE0363"/>
    <w:rsid w:val="00BE0582"/>
    <w:rsid w:val="00BE064F"/>
    <w:rsid w:val="00BE0651"/>
    <w:rsid w:val="00BE067F"/>
    <w:rsid w:val="00BE0784"/>
    <w:rsid w:val="00BE0929"/>
    <w:rsid w:val="00BE0A47"/>
    <w:rsid w:val="00BE0B09"/>
    <w:rsid w:val="00BE0BB3"/>
    <w:rsid w:val="00BE0EA6"/>
    <w:rsid w:val="00BE0FA5"/>
    <w:rsid w:val="00BE149B"/>
    <w:rsid w:val="00BE1570"/>
    <w:rsid w:val="00BE16B4"/>
    <w:rsid w:val="00BE19C3"/>
    <w:rsid w:val="00BE19DD"/>
    <w:rsid w:val="00BE1BCD"/>
    <w:rsid w:val="00BE1D91"/>
    <w:rsid w:val="00BE1E81"/>
    <w:rsid w:val="00BE1FF7"/>
    <w:rsid w:val="00BE227C"/>
    <w:rsid w:val="00BE23DE"/>
    <w:rsid w:val="00BE2410"/>
    <w:rsid w:val="00BE25F7"/>
    <w:rsid w:val="00BE2661"/>
    <w:rsid w:val="00BE2903"/>
    <w:rsid w:val="00BE2A5F"/>
    <w:rsid w:val="00BE2AFD"/>
    <w:rsid w:val="00BE2B9B"/>
    <w:rsid w:val="00BE2BE9"/>
    <w:rsid w:val="00BE2E18"/>
    <w:rsid w:val="00BE2E23"/>
    <w:rsid w:val="00BE2E49"/>
    <w:rsid w:val="00BE2F70"/>
    <w:rsid w:val="00BE300B"/>
    <w:rsid w:val="00BE3134"/>
    <w:rsid w:val="00BE3396"/>
    <w:rsid w:val="00BE370C"/>
    <w:rsid w:val="00BE3A0E"/>
    <w:rsid w:val="00BE3A64"/>
    <w:rsid w:val="00BE3A8A"/>
    <w:rsid w:val="00BE3AB2"/>
    <w:rsid w:val="00BE3AF2"/>
    <w:rsid w:val="00BE3C6B"/>
    <w:rsid w:val="00BE3D9A"/>
    <w:rsid w:val="00BE3DFC"/>
    <w:rsid w:val="00BE40D2"/>
    <w:rsid w:val="00BE42C8"/>
    <w:rsid w:val="00BE4703"/>
    <w:rsid w:val="00BE4779"/>
    <w:rsid w:val="00BE4A4E"/>
    <w:rsid w:val="00BE4AB5"/>
    <w:rsid w:val="00BE4CB2"/>
    <w:rsid w:val="00BE50EA"/>
    <w:rsid w:val="00BE53C3"/>
    <w:rsid w:val="00BE543F"/>
    <w:rsid w:val="00BE549B"/>
    <w:rsid w:val="00BE54C7"/>
    <w:rsid w:val="00BE56B8"/>
    <w:rsid w:val="00BE571B"/>
    <w:rsid w:val="00BE57BB"/>
    <w:rsid w:val="00BE5857"/>
    <w:rsid w:val="00BE5B87"/>
    <w:rsid w:val="00BE6105"/>
    <w:rsid w:val="00BE63DA"/>
    <w:rsid w:val="00BE655F"/>
    <w:rsid w:val="00BE68B9"/>
    <w:rsid w:val="00BE69E4"/>
    <w:rsid w:val="00BE6DD2"/>
    <w:rsid w:val="00BE725A"/>
    <w:rsid w:val="00BE74E4"/>
    <w:rsid w:val="00BE7507"/>
    <w:rsid w:val="00BE77D8"/>
    <w:rsid w:val="00BE792C"/>
    <w:rsid w:val="00BE799C"/>
    <w:rsid w:val="00BE7F3D"/>
    <w:rsid w:val="00BF00C4"/>
    <w:rsid w:val="00BF01B7"/>
    <w:rsid w:val="00BF0218"/>
    <w:rsid w:val="00BF0282"/>
    <w:rsid w:val="00BF045E"/>
    <w:rsid w:val="00BF0597"/>
    <w:rsid w:val="00BF0D0A"/>
    <w:rsid w:val="00BF0D7B"/>
    <w:rsid w:val="00BF0F99"/>
    <w:rsid w:val="00BF1386"/>
    <w:rsid w:val="00BF15CE"/>
    <w:rsid w:val="00BF1609"/>
    <w:rsid w:val="00BF1701"/>
    <w:rsid w:val="00BF17D3"/>
    <w:rsid w:val="00BF1991"/>
    <w:rsid w:val="00BF1B23"/>
    <w:rsid w:val="00BF1C35"/>
    <w:rsid w:val="00BF1DE6"/>
    <w:rsid w:val="00BF2056"/>
    <w:rsid w:val="00BF2177"/>
    <w:rsid w:val="00BF21D4"/>
    <w:rsid w:val="00BF235A"/>
    <w:rsid w:val="00BF2406"/>
    <w:rsid w:val="00BF2A15"/>
    <w:rsid w:val="00BF2CF9"/>
    <w:rsid w:val="00BF2CFC"/>
    <w:rsid w:val="00BF2E78"/>
    <w:rsid w:val="00BF2F1B"/>
    <w:rsid w:val="00BF2FA8"/>
    <w:rsid w:val="00BF2FDA"/>
    <w:rsid w:val="00BF33B5"/>
    <w:rsid w:val="00BF33C5"/>
    <w:rsid w:val="00BF367C"/>
    <w:rsid w:val="00BF3711"/>
    <w:rsid w:val="00BF3ABD"/>
    <w:rsid w:val="00BF3BE8"/>
    <w:rsid w:val="00BF3BFB"/>
    <w:rsid w:val="00BF3FC4"/>
    <w:rsid w:val="00BF4258"/>
    <w:rsid w:val="00BF426B"/>
    <w:rsid w:val="00BF4523"/>
    <w:rsid w:val="00BF4578"/>
    <w:rsid w:val="00BF489C"/>
    <w:rsid w:val="00BF4A90"/>
    <w:rsid w:val="00BF4AAA"/>
    <w:rsid w:val="00BF4AC8"/>
    <w:rsid w:val="00BF4C82"/>
    <w:rsid w:val="00BF51E2"/>
    <w:rsid w:val="00BF53A5"/>
    <w:rsid w:val="00BF53D6"/>
    <w:rsid w:val="00BF53EE"/>
    <w:rsid w:val="00BF5821"/>
    <w:rsid w:val="00BF5935"/>
    <w:rsid w:val="00BF5D00"/>
    <w:rsid w:val="00BF5E1C"/>
    <w:rsid w:val="00BF5FEC"/>
    <w:rsid w:val="00BF6037"/>
    <w:rsid w:val="00BF60EB"/>
    <w:rsid w:val="00BF61E8"/>
    <w:rsid w:val="00BF61F8"/>
    <w:rsid w:val="00BF6299"/>
    <w:rsid w:val="00BF640D"/>
    <w:rsid w:val="00BF6577"/>
    <w:rsid w:val="00BF66CE"/>
    <w:rsid w:val="00BF69A7"/>
    <w:rsid w:val="00BF6A1B"/>
    <w:rsid w:val="00BF6AD5"/>
    <w:rsid w:val="00BF6D5F"/>
    <w:rsid w:val="00BF6DA0"/>
    <w:rsid w:val="00BF6DBD"/>
    <w:rsid w:val="00BF7299"/>
    <w:rsid w:val="00BF732E"/>
    <w:rsid w:val="00BF735C"/>
    <w:rsid w:val="00BF738E"/>
    <w:rsid w:val="00BF7413"/>
    <w:rsid w:val="00BF7518"/>
    <w:rsid w:val="00BF7853"/>
    <w:rsid w:val="00BF7A88"/>
    <w:rsid w:val="00BF7D6B"/>
    <w:rsid w:val="00C0008E"/>
    <w:rsid w:val="00C00117"/>
    <w:rsid w:val="00C005C8"/>
    <w:rsid w:val="00C00872"/>
    <w:rsid w:val="00C00B2F"/>
    <w:rsid w:val="00C00D78"/>
    <w:rsid w:val="00C00E1F"/>
    <w:rsid w:val="00C00E57"/>
    <w:rsid w:val="00C00F6E"/>
    <w:rsid w:val="00C00FA6"/>
    <w:rsid w:val="00C0106E"/>
    <w:rsid w:val="00C015A7"/>
    <w:rsid w:val="00C017BC"/>
    <w:rsid w:val="00C017CD"/>
    <w:rsid w:val="00C018DA"/>
    <w:rsid w:val="00C0190D"/>
    <w:rsid w:val="00C01997"/>
    <w:rsid w:val="00C01C1C"/>
    <w:rsid w:val="00C01C80"/>
    <w:rsid w:val="00C02095"/>
    <w:rsid w:val="00C02258"/>
    <w:rsid w:val="00C023EE"/>
    <w:rsid w:val="00C02594"/>
    <w:rsid w:val="00C027EF"/>
    <w:rsid w:val="00C02891"/>
    <w:rsid w:val="00C028BF"/>
    <w:rsid w:val="00C02990"/>
    <w:rsid w:val="00C02BBD"/>
    <w:rsid w:val="00C02D5C"/>
    <w:rsid w:val="00C02EB3"/>
    <w:rsid w:val="00C02F29"/>
    <w:rsid w:val="00C03473"/>
    <w:rsid w:val="00C034B9"/>
    <w:rsid w:val="00C034E9"/>
    <w:rsid w:val="00C035B3"/>
    <w:rsid w:val="00C03630"/>
    <w:rsid w:val="00C03725"/>
    <w:rsid w:val="00C038B5"/>
    <w:rsid w:val="00C038CB"/>
    <w:rsid w:val="00C0399D"/>
    <w:rsid w:val="00C03A4D"/>
    <w:rsid w:val="00C03AC3"/>
    <w:rsid w:val="00C03B1E"/>
    <w:rsid w:val="00C03B2C"/>
    <w:rsid w:val="00C03B82"/>
    <w:rsid w:val="00C03CC9"/>
    <w:rsid w:val="00C03FCB"/>
    <w:rsid w:val="00C0400C"/>
    <w:rsid w:val="00C043BD"/>
    <w:rsid w:val="00C045CA"/>
    <w:rsid w:val="00C046D4"/>
    <w:rsid w:val="00C04868"/>
    <w:rsid w:val="00C048E4"/>
    <w:rsid w:val="00C04A7E"/>
    <w:rsid w:val="00C04B5A"/>
    <w:rsid w:val="00C05023"/>
    <w:rsid w:val="00C05660"/>
    <w:rsid w:val="00C05770"/>
    <w:rsid w:val="00C05801"/>
    <w:rsid w:val="00C0593B"/>
    <w:rsid w:val="00C0596F"/>
    <w:rsid w:val="00C05B5B"/>
    <w:rsid w:val="00C05E11"/>
    <w:rsid w:val="00C05E71"/>
    <w:rsid w:val="00C05F06"/>
    <w:rsid w:val="00C06067"/>
    <w:rsid w:val="00C06466"/>
    <w:rsid w:val="00C06AE8"/>
    <w:rsid w:val="00C06C41"/>
    <w:rsid w:val="00C06CD4"/>
    <w:rsid w:val="00C072CA"/>
    <w:rsid w:val="00C0743E"/>
    <w:rsid w:val="00C07474"/>
    <w:rsid w:val="00C074AB"/>
    <w:rsid w:val="00C07589"/>
    <w:rsid w:val="00C07668"/>
    <w:rsid w:val="00C076C2"/>
    <w:rsid w:val="00C0778A"/>
    <w:rsid w:val="00C07905"/>
    <w:rsid w:val="00C07AC0"/>
    <w:rsid w:val="00C07AF4"/>
    <w:rsid w:val="00C07B38"/>
    <w:rsid w:val="00C07BA0"/>
    <w:rsid w:val="00C07BFB"/>
    <w:rsid w:val="00C07C50"/>
    <w:rsid w:val="00C07C95"/>
    <w:rsid w:val="00C07EE5"/>
    <w:rsid w:val="00C1021C"/>
    <w:rsid w:val="00C1024F"/>
    <w:rsid w:val="00C10681"/>
    <w:rsid w:val="00C106F3"/>
    <w:rsid w:val="00C10BDC"/>
    <w:rsid w:val="00C10C27"/>
    <w:rsid w:val="00C10E84"/>
    <w:rsid w:val="00C1119A"/>
    <w:rsid w:val="00C1132E"/>
    <w:rsid w:val="00C113BD"/>
    <w:rsid w:val="00C1141B"/>
    <w:rsid w:val="00C115BF"/>
    <w:rsid w:val="00C11F5D"/>
    <w:rsid w:val="00C120BA"/>
    <w:rsid w:val="00C12212"/>
    <w:rsid w:val="00C12223"/>
    <w:rsid w:val="00C123DE"/>
    <w:rsid w:val="00C1240F"/>
    <w:rsid w:val="00C12466"/>
    <w:rsid w:val="00C1293B"/>
    <w:rsid w:val="00C12A49"/>
    <w:rsid w:val="00C12B12"/>
    <w:rsid w:val="00C12BD8"/>
    <w:rsid w:val="00C13026"/>
    <w:rsid w:val="00C130C1"/>
    <w:rsid w:val="00C13342"/>
    <w:rsid w:val="00C13357"/>
    <w:rsid w:val="00C1361E"/>
    <w:rsid w:val="00C13A29"/>
    <w:rsid w:val="00C13E03"/>
    <w:rsid w:val="00C13E73"/>
    <w:rsid w:val="00C140B0"/>
    <w:rsid w:val="00C1422D"/>
    <w:rsid w:val="00C1436E"/>
    <w:rsid w:val="00C143E5"/>
    <w:rsid w:val="00C143EE"/>
    <w:rsid w:val="00C144D8"/>
    <w:rsid w:val="00C146AF"/>
    <w:rsid w:val="00C14713"/>
    <w:rsid w:val="00C14B73"/>
    <w:rsid w:val="00C14BC5"/>
    <w:rsid w:val="00C14E10"/>
    <w:rsid w:val="00C14E99"/>
    <w:rsid w:val="00C14FC5"/>
    <w:rsid w:val="00C1504A"/>
    <w:rsid w:val="00C15062"/>
    <w:rsid w:val="00C152A0"/>
    <w:rsid w:val="00C153E0"/>
    <w:rsid w:val="00C1541A"/>
    <w:rsid w:val="00C1551E"/>
    <w:rsid w:val="00C15A53"/>
    <w:rsid w:val="00C15ACA"/>
    <w:rsid w:val="00C15B45"/>
    <w:rsid w:val="00C15CB0"/>
    <w:rsid w:val="00C15DC7"/>
    <w:rsid w:val="00C15DD5"/>
    <w:rsid w:val="00C15DF2"/>
    <w:rsid w:val="00C15E6E"/>
    <w:rsid w:val="00C16492"/>
    <w:rsid w:val="00C166D7"/>
    <w:rsid w:val="00C169DC"/>
    <w:rsid w:val="00C16A96"/>
    <w:rsid w:val="00C16B13"/>
    <w:rsid w:val="00C16C84"/>
    <w:rsid w:val="00C16D6F"/>
    <w:rsid w:val="00C16EC0"/>
    <w:rsid w:val="00C16EEE"/>
    <w:rsid w:val="00C16EFA"/>
    <w:rsid w:val="00C170F2"/>
    <w:rsid w:val="00C17208"/>
    <w:rsid w:val="00C1749B"/>
    <w:rsid w:val="00C17559"/>
    <w:rsid w:val="00C178DB"/>
    <w:rsid w:val="00C1795C"/>
    <w:rsid w:val="00C17B1C"/>
    <w:rsid w:val="00C17B87"/>
    <w:rsid w:val="00C17CB9"/>
    <w:rsid w:val="00C17DCF"/>
    <w:rsid w:val="00C17F0B"/>
    <w:rsid w:val="00C200C0"/>
    <w:rsid w:val="00C20704"/>
    <w:rsid w:val="00C20979"/>
    <w:rsid w:val="00C20B54"/>
    <w:rsid w:val="00C20C53"/>
    <w:rsid w:val="00C20CEA"/>
    <w:rsid w:val="00C20EE0"/>
    <w:rsid w:val="00C2120E"/>
    <w:rsid w:val="00C21224"/>
    <w:rsid w:val="00C21485"/>
    <w:rsid w:val="00C21606"/>
    <w:rsid w:val="00C216DA"/>
    <w:rsid w:val="00C217DE"/>
    <w:rsid w:val="00C21851"/>
    <w:rsid w:val="00C21AF3"/>
    <w:rsid w:val="00C21D92"/>
    <w:rsid w:val="00C21E0A"/>
    <w:rsid w:val="00C21F50"/>
    <w:rsid w:val="00C21F79"/>
    <w:rsid w:val="00C22136"/>
    <w:rsid w:val="00C223D8"/>
    <w:rsid w:val="00C228BF"/>
    <w:rsid w:val="00C22B62"/>
    <w:rsid w:val="00C22EA4"/>
    <w:rsid w:val="00C23129"/>
    <w:rsid w:val="00C231F5"/>
    <w:rsid w:val="00C2381F"/>
    <w:rsid w:val="00C23DA8"/>
    <w:rsid w:val="00C23F1B"/>
    <w:rsid w:val="00C241AB"/>
    <w:rsid w:val="00C2433D"/>
    <w:rsid w:val="00C24478"/>
    <w:rsid w:val="00C244E7"/>
    <w:rsid w:val="00C24935"/>
    <w:rsid w:val="00C24BCC"/>
    <w:rsid w:val="00C24DDB"/>
    <w:rsid w:val="00C254B0"/>
    <w:rsid w:val="00C254D3"/>
    <w:rsid w:val="00C25590"/>
    <w:rsid w:val="00C25945"/>
    <w:rsid w:val="00C25DD4"/>
    <w:rsid w:val="00C25E67"/>
    <w:rsid w:val="00C26038"/>
    <w:rsid w:val="00C26129"/>
    <w:rsid w:val="00C262BD"/>
    <w:rsid w:val="00C265CF"/>
    <w:rsid w:val="00C2665C"/>
    <w:rsid w:val="00C268DB"/>
    <w:rsid w:val="00C26A11"/>
    <w:rsid w:val="00C26A3A"/>
    <w:rsid w:val="00C26AF1"/>
    <w:rsid w:val="00C26B62"/>
    <w:rsid w:val="00C26C60"/>
    <w:rsid w:val="00C26EA7"/>
    <w:rsid w:val="00C26F76"/>
    <w:rsid w:val="00C2705F"/>
    <w:rsid w:val="00C27186"/>
    <w:rsid w:val="00C272C0"/>
    <w:rsid w:val="00C276DE"/>
    <w:rsid w:val="00C27730"/>
    <w:rsid w:val="00C27802"/>
    <w:rsid w:val="00C27936"/>
    <w:rsid w:val="00C2797D"/>
    <w:rsid w:val="00C27CA5"/>
    <w:rsid w:val="00C27D0A"/>
    <w:rsid w:val="00C3019B"/>
    <w:rsid w:val="00C301F5"/>
    <w:rsid w:val="00C303C9"/>
    <w:rsid w:val="00C309B5"/>
    <w:rsid w:val="00C30E10"/>
    <w:rsid w:val="00C3100D"/>
    <w:rsid w:val="00C31514"/>
    <w:rsid w:val="00C31575"/>
    <w:rsid w:val="00C315EA"/>
    <w:rsid w:val="00C3160A"/>
    <w:rsid w:val="00C316BE"/>
    <w:rsid w:val="00C31A3F"/>
    <w:rsid w:val="00C31A85"/>
    <w:rsid w:val="00C31AB5"/>
    <w:rsid w:val="00C31C93"/>
    <w:rsid w:val="00C31EAA"/>
    <w:rsid w:val="00C320FB"/>
    <w:rsid w:val="00C322A1"/>
    <w:rsid w:val="00C3231E"/>
    <w:rsid w:val="00C32539"/>
    <w:rsid w:val="00C32550"/>
    <w:rsid w:val="00C32703"/>
    <w:rsid w:val="00C32A37"/>
    <w:rsid w:val="00C32AF3"/>
    <w:rsid w:val="00C32BE7"/>
    <w:rsid w:val="00C32C70"/>
    <w:rsid w:val="00C32C76"/>
    <w:rsid w:val="00C32D8B"/>
    <w:rsid w:val="00C33105"/>
    <w:rsid w:val="00C33550"/>
    <w:rsid w:val="00C33760"/>
    <w:rsid w:val="00C3387D"/>
    <w:rsid w:val="00C338EE"/>
    <w:rsid w:val="00C339AC"/>
    <w:rsid w:val="00C339AD"/>
    <w:rsid w:val="00C33C31"/>
    <w:rsid w:val="00C33D14"/>
    <w:rsid w:val="00C33DAA"/>
    <w:rsid w:val="00C33E04"/>
    <w:rsid w:val="00C33E19"/>
    <w:rsid w:val="00C33F71"/>
    <w:rsid w:val="00C34018"/>
    <w:rsid w:val="00C3444F"/>
    <w:rsid w:val="00C344AB"/>
    <w:rsid w:val="00C3455C"/>
    <w:rsid w:val="00C34978"/>
    <w:rsid w:val="00C34A01"/>
    <w:rsid w:val="00C34B4C"/>
    <w:rsid w:val="00C34C5C"/>
    <w:rsid w:val="00C34FF3"/>
    <w:rsid w:val="00C35099"/>
    <w:rsid w:val="00C351ED"/>
    <w:rsid w:val="00C3528C"/>
    <w:rsid w:val="00C3542F"/>
    <w:rsid w:val="00C356BF"/>
    <w:rsid w:val="00C3586C"/>
    <w:rsid w:val="00C35ACC"/>
    <w:rsid w:val="00C35DC3"/>
    <w:rsid w:val="00C35DFA"/>
    <w:rsid w:val="00C3619E"/>
    <w:rsid w:val="00C3620A"/>
    <w:rsid w:val="00C362AC"/>
    <w:rsid w:val="00C362F5"/>
    <w:rsid w:val="00C36310"/>
    <w:rsid w:val="00C36323"/>
    <w:rsid w:val="00C366E9"/>
    <w:rsid w:val="00C36875"/>
    <w:rsid w:val="00C36A7C"/>
    <w:rsid w:val="00C36DEB"/>
    <w:rsid w:val="00C36E4C"/>
    <w:rsid w:val="00C36E5B"/>
    <w:rsid w:val="00C36F76"/>
    <w:rsid w:val="00C37169"/>
    <w:rsid w:val="00C3749E"/>
    <w:rsid w:val="00C3779F"/>
    <w:rsid w:val="00C37828"/>
    <w:rsid w:val="00C37885"/>
    <w:rsid w:val="00C37E54"/>
    <w:rsid w:val="00C37EB7"/>
    <w:rsid w:val="00C40280"/>
    <w:rsid w:val="00C40430"/>
    <w:rsid w:val="00C404A8"/>
    <w:rsid w:val="00C405DF"/>
    <w:rsid w:val="00C407E3"/>
    <w:rsid w:val="00C409E4"/>
    <w:rsid w:val="00C40B0B"/>
    <w:rsid w:val="00C40E42"/>
    <w:rsid w:val="00C414B0"/>
    <w:rsid w:val="00C414F4"/>
    <w:rsid w:val="00C41614"/>
    <w:rsid w:val="00C4165D"/>
    <w:rsid w:val="00C4174F"/>
    <w:rsid w:val="00C4178E"/>
    <w:rsid w:val="00C41912"/>
    <w:rsid w:val="00C41969"/>
    <w:rsid w:val="00C41B4E"/>
    <w:rsid w:val="00C41CA1"/>
    <w:rsid w:val="00C41EDD"/>
    <w:rsid w:val="00C42759"/>
    <w:rsid w:val="00C42889"/>
    <w:rsid w:val="00C42A8A"/>
    <w:rsid w:val="00C42A95"/>
    <w:rsid w:val="00C42ACD"/>
    <w:rsid w:val="00C42E1F"/>
    <w:rsid w:val="00C433D2"/>
    <w:rsid w:val="00C4352F"/>
    <w:rsid w:val="00C4354B"/>
    <w:rsid w:val="00C43785"/>
    <w:rsid w:val="00C437F0"/>
    <w:rsid w:val="00C4386B"/>
    <w:rsid w:val="00C43923"/>
    <w:rsid w:val="00C43A11"/>
    <w:rsid w:val="00C43A72"/>
    <w:rsid w:val="00C43B2D"/>
    <w:rsid w:val="00C43F15"/>
    <w:rsid w:val="00C4422E"/>
    <w:rsid w:val="00C443B2"/>
    <w:rsid w:val="00C44535"/>
    <w:rsid w:val="00C4454F"/>
    <w:rsid w:val="00C446E1"/>
    <w:rsid w:val="00C448C4"/>
    <w:rsid w:val="00C44944"/>
    <w:rsid w:val="00C44C9F"/>
    <w:rsid w:val="00C44D4F"/>
    <w:rsid w:val="00C4518A"/>
    <w:rsid w:val="00C45198"/>
    <w:rsid w:val="00C4524F"/>
    <w:rsid w:val="00C4528F"/>
    <w:rsid w:val="00C453DB"/>
    <w:rsid w:val="00C4597D"/>
    <w:rsid w:val="00C45A3A"/>
    <w:rsid w:val="00C45A8C"/>
    <w:rsid w:val="00C45CF5"/>
    <w:rsid w:val="00C45D11"/>
    <w:rsid w:val="00C45F26"/>
    <w:rsid w:val="00C45FC4"/>
    <w:rsid w:val="00C4613F"/>
    <w:rsid w:val="00C4618D"/>
    <w:rsid w:val="00C462F6"/>
    <w:rsid w:val="00C463B3"/>
    <w:rsid w:val="00C463E6"/>
    <w:rsid w:val="00C465D9"/>
    <w:rsid w:val="00C4674D"/>
    <w:rsid w:val="00C467F5"/>
    <w:rsid w:val="00C46941"/>
    <w:rsid w:val="00C46A67"/>
    <w:rsid w:val="00C46E32"/>
    <w:rsid w:val="00C46E46"/>
    <w:rsid w:val="00C47150"/>
    <w:rsid w:val="00C4725D"/>
    <w:rsid w:val="00C47670"/>
    <w:rsid w:val="00C4775C"/>
    <w:rsid w:val="00C47A79"/>
    <w:rsid w:val="00C47D4A"/>
    <w:rsid w:val="00C47EC5"/>
    <w:rsid w:val="00C502FE"/>
    <w:rsid w:val="00C5064A"/>
    <w:rsid w:val="00C508FA"/>
    <w:rsid w:val="00C50A98"/>
    <w:rsid w:val="00C50C3E"/>
    <w:rsid w:val="00C50D47"/>
    <w:rsid w:val="00C51078"/>
    <w:rsid w:val="00C510F1"/>
    <w:rsid w:val="00C519A5"/>
    <w:rsid w:val="00C51C47"/>
    <w:rsid w:val="00C51CDB"/>
    <w:rsid w:val="00C52260"/>
    <w:rsid w:val="00C52330"/>
    <w:rsid w:val="00C523CB"/>
    <w:rsid w:val="00C525F6"/>
    <w:rsid w:val="00C52782"/>
    <w:rsid w:val="00C52828"/>
    <w:rsid w:val="00C52869"/>
    <w:rsid w:val="00C528C8"/>
    <w:rsid w:val="00C52962"/>
    <w:rsid w:val="00C52971"/>
    <w:rsid w:val="00C5298B"/>
    <w:rsid w:val="00C52CC6"/>
    <w:rsid w:val="00C52E34"/>
    <w:rsid w:val="00C53207"/>
    <w:rsid w:val="00C53291"/>
    <w:rsid w:val="00C5333D"/>
    <w:rsid w:val="00C5343C"/>
    <w:rsid w:val="00C536A4"/>
    <w:rsid w:val="00C5392C"/>
    <w:rsid w:val="00C53AD3"/>
    <w:rsid w:val="00C540B4"/>
    <w:rsid w:val="00C5425F"/>
    <w:rsid w:val="00C5438F"/>
    <w:rsid w:val="00C548D6"/>
    <w:rsid w:val="00C54BB9"/>
    <w:rsid w:val="00C54BED"/>
    <w:rsid w:val="00C54D26"/>
    <w:rsid w:val="00C54DEE"/>
    <w:rsid w:val="00C55211"/>
    <w:rsid w:val="00C554EF"/>
    <w:rsid w:val="00C555AD"/>
    <w:rsid w:val="00C5584E"/>
    <w:rsid w:val="00C5592E"/>
    <w:rsid w:val="00C55945"/>
    <w:rsid w:val="00C55E0E"/>
    <w:rsid w:val="00C55EA3"/>
    <w:rsid w:val="00C55EE1"/>
    <w:rsid w:val="00C56123"/>
    <w:rsid w:val="00C5617C"/>
    <w:rsid w:val="00C56205"/>
    <w:rsid w:val="00C5671E"/>
    <w:rsid w:val="00C56901"/>
    <w:rsid w:val="00C56B51"/>
    <w:rsid w:val="00C56BC2"/>
    <w:rsid w:val="00C56BD2"/>
    <w:rsid w:val="00C56C33"/>
    <w:rsid w:val="00C56CCA"/>
    <w:rsid w:val="00C56DBE"/>
    <w:rsid w:val="00C56DEF"/>
    <w:rsid w:val="00C56FD2"/>
    <w:rsid w:val="00C57343"/>
    <w:rsid w:val="00C57419"/>
    <w:rsid w:val="00C57466"/>
    <w:rsid w:val="00C5749B"/>
    <w:rsid w:val="00C574D4"/>
    <w:rsid w:val="00C575F5"/>
    <w:rsid w:val="00C57AB3"/>
    <w:rsid w:val="00C57C48"/>
    <w:rsid w:val="00C57E26"/>
    <w:rsid w:val="00C60209"/>
    <w:rsid w:val="00C603AD"/>
    <w:rsid w:val="00C603D1"/>
    <w:rsid w:val="00C60626"/>
    <w:rsid w:val="00C6078B"/>
    <w:rsid w:val="00C607E0"/>
    <w:rsid w:val="00C60848"/>
    <w:rsid w:val="00C60937"/>
    <w:rsid w:val="00C609BA"/>
    <w:rsid w:val="00C609FF"/>
    <w:rsid w:val="00C60B14"/>
    <w:rsid w:val="00C60E48"/>
    <w:rsid w:val="00C60F89"/>
    <w:rsid w:val="00C61015"/>
    <w:rsid w:val="00C61394"/>
    <w:rsid w:val="00C61486"/>
    <w:rsid w:val="00C619C0"/>
    <w:rsid w:val="00C61AED"/>
    <w:rsid w:val="00C624E6"/>
    <w:rsid w:val="00C625BD"/>
    <w:rsid w:val="00C626AA"/>
    <w:rsid w:val="00C626F1"/>
    <w:rsid w:val="00C62705"/>
    <w:rsid w:val="00C62803"/>
    <w:rsid w:val="00C6289E"/>
    <w:rsid w:val="00C628C4"/>
    <w:rsid w:val="00C62C90"/>
    <w:rsid w:val="00C62CC3"/>
    <w:rsid w:val="00C62D74"/>
    <w:rsid w:val="00C6308C"/>
    <w:rsid w:val="00C63285"/>
    <w:rsid w:val="00C632D5"/>
    <w:rsid w:val="00C63433"/>
    <w:rsid w:val="00C638DC"/>
    <w:rsid w:val="00C63D8F"/>
    <w:rsid w:val="00C63E2B"/>
    <w:rsid w:val="00C640A8"/>
    <w:rsid w:val="00C64137"/>
    <w:rsid w:val="00C641C5"/>
    <w:rsid w:val="00C645D5"/>
    <w:rsid w:val="00C6464A"/>
    <w:rsid w:val="00C646E8"/>
    <w:rsid w:val="00C6478A"/>
    <w:rsid w:val="00C6489D"/>
    <w:rsid w:val="00C6497D"/>
    <w:rsid w:val="00C64A97"/>
    <w:rsid w:val="00C64C9E"/>
    <w:rsid w:val="00C64CE5"/>
    <w:rsid w:val="00C64D28"/>
    <w:rsid w:val="00C64DB6"/>
    <w:rsid w:val="00C65260"/>
    <w:rsid w:val="00C65343"/>
    <w:rsid w:val="00C653B5"/>
    <w:rsid w:val="00C65546"/>
    <w:rsid w:val="00C6584F"/>
    <w:rsid w:val="00C65850"/>
    <w:rsid w:val="00C65AEC"/>
    <w:rsid w:val="00C65B73"/>
    <w:rsid w:val="00C65D1E"/>
    <w:rsid w:val="00C65E71"/>
    <w:rsid w:val="00C66100"/>
    <w:rsid w:val="00C661DC"/>
    <w:rsid w:val="00C66295"/>
    <w:rsid w:val="00C6629C"/>
    <w:rsid w:val="00C666BF"/>
    <w:rsid w:val="00C6698C"/>
    <w:rsid w:val="00C66B55"/>
    <w:rsid w:val="00C66BA0"/>
    <w:rsid w:val="00C66BB0"/>
    <w:rsid w:val="00C66CCA"/>
    <w:rsid w:val="00C66DDC"/>
    <w:rsid w:val="00C66F0D"/>
    <w:rsid w:val="00C66FFF"/>
    <w:rsid w:val="00C674F8"/>
    <w:rsid w:val="00C675A0"/>
    <w:rsid w:val="00C67A07"/>
    <w:rsid w:val="00C67AAA"/>
    <w:rsid w:val="00C67EE3"/>
    <w:rsid w:val="00C67FE0"/>
    <w:rsid w:val="00C6843A"/>
    <w:rsid w:val="00C7001D"/>
    <w:rsid w:val="00C70032"/>
    <w:rsid w:val="00C70135"/>
    <w:rsid w:val="00C702E2"/>
    <w:rsid w:val="00C7044D"/>
    <w:rsid w:val="00C705A9"/>
    <w:rsid w:val="00C70A18"/>
    <w:rsid w:val="00C70BA5"/>
    <w:rsid w:val="00C70C03"/>
    <w:rsid w:val="00C71023"/>
    <w:rsid w:val="00C71049"/>
    <w:rsid w:val="00C71106"/>
    <w:rsid w:val="00C7115B"/>
    <w:rsid w:val="00C7156A"/>
    <w:rsid w:val="00C717E5"/>
    <w:rsid w:val="00C71ACC"/>
    <w:rsid w:val="00C71C56"/>
    <w:rsid w:val="00C725BA"/>
    <w:rsid w:val="00C72756"/>
    <w:rsid w:val="00C7276C"/>
    <w:rsid w:val="00C728A1"/>
    <w:rsid w:val="00C729CE"/>
    <w:rsid w:val="00C72B1F"/>
    <w:rsid w:val="00C72B7F"/>
    <w:rsid w:val="00C72D69"/>
    <w:rsid w:val="00C72DB1"/>
    <w:rsid w:val="00C72DE0"/>
    <w:rsid w:val="00C7310B"/>
    <w:rsid w:val="00C73182"/>
    <w:rsid w:val="00C73238"/>
    <w:rsid w:val="00C734DC"/>
    <w:rsid w:val="00C73C08"/>
    <w:rsid w:val="00C73C46"/>
    <w:rsid w:val="00C73F9E"/>
    <w:rsid w:val="00C73FFE"/>
    <w:rsid w:val="00C74037"/>
    <w:rsid w:val="00C740D9"/>
    <w:rsid w:val="00C741C0"/>
    <w:rsid w:val="00C742E7"/>
    <w:rsid w:val="00C743ED"/>
    <w:rsid w:val="00C7454B"/>
    <w:rsid w:val="00C748DF"/>
    <w:rsid w:val="00C74966"/>
    <w:rsid w:val="00C74C46"/>
    <w:rsid w:val="00C74CBF"/>
    <w:rsid w:val="00C74F0F"/>
    <w:rsid w:val="00C750AB"/>
    <w:rsid w:val="00C751CF"/>
    <w:rsid w:val="00C75665"/>
    <w:rsid w:val="00C75881"/>
    <w:rsid w:val="00C759B5"/>
    <w:rsid w:val="00C75B39"/>
    <w:rsid w:val="00C75C29"/>
    <w:rsid w:val="00C75F08"/>
    <w:rsid w:val="00C76275"/>
    <w:rsid w:val="00C7630F"/>
    <w:rsid w:val="00C765EB"/>
    <w:rsid w:val="00C7662D"/>
    <w:rsid w:val="00C769D9"/>
    <w:rsid w:val="00C76B70"/>
    <w:rsid w:val="00C76C1E"/>
    <w:rsid w:val="00C76D3B"/>
    <w:rsid w:val="00C76DCD"/>
    <w:rsid w:val="00C76E8F"/>
    <w:rsid w:val="00C7757C"/>
    <w:rsid w:val="00C77669"/>
    <w:rsid w:val="00C779EF"/>
    <w:rsid w:val="00C77D14"/>
    <w:rsid w:val="00C77DB9"/>
    <w:rsid w:val="00C77E75"/>
    <w:rsid w:val="00C77ECA"/>
    <w:rsid w:val="00C80095"/>
    <w:rsid w:val="00C800A1"/>
    <w:rsid w:val="00C800A2"/>
    <w:rsid w:val="00C8061A"/>
    <w:rsid w:val="00C80930"/>
    <w:rsid w:val="00C810C4"/>
    <w:rsid w:val="00C810E9"/>
    <w:rsid w:val="00C81153"/>
    <w:rsid w:val="00C812B7"/>
    <w:rsid w:val="00C813CF"/>
    <w:rsid w:val="00C81702"/>
    <w:rsid w:val="00C81794"/>
    <w:rsid w:val="00C81CE8"/>
    <w:rsid w:val="00C81CEC"/>
    <w:rsid w:val="00C81D92"/>
    <w:rsid w:val="00C81F3A"/>
    <w:rsid w:val="00C82497"/>
    <w:rsid w:val="00C824D4"/>
    <w:rsid w:val="00C8302E"/>
    <w:rsid w:val="00C830E6"/>
    <w:rsid w:val="00C83293"/>
    <w:rsid w:val="00C83651"/>
    <w:rsid w:val="00C837F9"/>
    <w:rsid w:val="00C8385F"/>
    <w:rsid w:val="00C840E1"/>
    <w:rsid w:val="00C8411E"/>
    <w:rsid w:val="00C841B5"/>
    <w:rsid w:val="00C84333"/>
    <w:rsid w:val="00C84429"/>
    <w:rsid w:val="00C84473"/>
    <w:rsid w:val="00C8479A"/>
    <w:rsid w:val="00C84805"/>
    <w:rsid w:val="00C84B3B"/>
    <w:rsid w:val="00C84BA7"/>
    <w:rsid w:val="00C84BB8"/>
    <w:rsid w:val="00C84E67"/>
    <w:rsid w:val="00C84E71"/>
    <w:rsid w:val="00C84EC6"/>
    <w:rsid w:val="00C84F51"/>
    <w:rsid w:val="00C84FC1"/>
    <w:rsid w:val="00C8514A"/>
    <w:rsid w:val="00C85434"/>
    <w:rsid w:val="00C8584A"/>
    <w:rsid w:val="00C8590D"/>
    <w:rsid w:val="00C859BA"/>
    <w:rsid w:val="00C85D80"/>
    <w:rsid w:val="00C85ED4"/>
    <w:rsid w:val="00C86151"/>
    <w:rsid w:val="00C862A1"/>
    <w:rsid w:val="00C8637D"/>
    <w:rsid w:val="00C8643D"/>
    <w:rsid w:val="00C864AA"/>
    <w:rsid w:val="00C864D7"/>
    <w:rsid w:val="00C86599"/>
    <w:rsid w:val="00C866A5"/>
    <w:rsid w:val="00C86785"/>
    <w:rsid w:val="00C86877"/>
    <w:rsid w:val="00C87364"/>
    <w:rsid w:val="00C873B6"/>
    <w:rsid w:val="00C876D6"/>
    <w:rsid w:val="00C87843"/>
    <w:rsid w:val="00C87F57"/>
    <w:rsid w:val="00C90045"/>
    <w:rsid w:val="00C90047"/>
    <w:rsid w:val="00C901ED"/>
    <w:rsid w:val="00C90360"/>
    <w:rsid w:val="00C90594"/>
    <w:rsid w:val="00C905CE"/>
    <w:rsid w:val="00C90922"/>
    <w:rsid w:val="00C90BF6"/>
    <w:rsid w:val="00C90C02"/>
    <w:rsid w:val="00C90C34"/>
    <w:rsid w:val="00C90C7F"/>
    <w:rsid w:val="00C910CB"/>
    <w:rsid w:val="00C912BA"/>
    <w:rsid w:val="00C91565"/>
    <w:rsid w:val="00C91769"/>
    <w:rsid w:val="00C9192B"/>
    <w:rsid w:val="00C9198F"/>
    <w:rsid w:val="00C919C4"/>
    <w:rsid w:val="00C91C03"/>
    <w:rsid w:val="00C91C09"/>
    <w:rsid w:val="00C91F74"/>
    <w:rsid w:val="00C91FA1"/>
    <w:rsid w:val="00C92A1C"/>
    <w:rsid w:val="00C92A7A"/>
    <w:rsid w:val="00C92AD8"/>
    <w:rsid w:val="00C92CB5"/>
    <w:rsid w:val="00C92E4B"/>
    <w:rsid w:val="00C93102"/>
    <w:rsid w:val="00C932D9"/>
    <w:rsid w:val="00C933DD"/>
    <w:rsid w:val="00C934C3"/>
    <w:rsid w:val="00C936CD"/>
    <w:rsid w:val="00C937CA"/>
    <w:rsid w:val="00C9385C"/>
    <w:rsid w:val="00C9393A"/>
    <w:rsid w:val="00C93C14"/>
    <w:rsid w:val="00C93F75"/>
    <w:rsid w:val="00C940BE"/>
    <w:rsid w:val="00C941AB"/>
    <w:rsid w:val="00C941D5"/>
    <w:rsid w:val="00C9435B"/>
    <w:rsid w:val="00C946C6"/>
    <w:rsid w:val="00C94AD5"/>
    <w:rsid w:val="00C94C2A"/>
    <w:rsid w:val="00C94D4E"/>
    <w:rsid w:val="00C94F8F"/>
    <w:rsid w:val="00C953B0"/>
    <w:rsid w:val="00C9566D"/>
    <w:rsid w:val="00C95787"/>
    <w:rsid w:val="00C95AD9"/>
    <w:rsid w:val="00C95BA2"/>
    <w:rsid w:val="00C95BEA"/>
    <w:rsid w:val="00C95D3A"/>
    <w:rsid w:val="00C95DD1"/>
    <w:rsid w:val="00C95F97"/>
    <w:rsid w:val="00C960C5"/>
    <w:rsid w:val="00C960C7"/>
    <w:rsid w:val="00C96344"/>
    <w:rsid w:val="00C964AD"/>
    <w:rsid w:val="00C96690"/>
    <w:rsid w:val="00C96E0A"/>
    <w:rsid w:val="00C971FF"/>
    <w:rsid w:val="00C973BD"/>
    <w:rsid w:val="00C97B26"/>
    <w:rsid w:val="00CA01DF"/>
    <w:rsid w:val="00CA0374"/>
    <w:rsid w:val="00CA039A"/>
    <w:rsid w:val="00CA04A8"/>
    <w:rsid w:val="00CA0529"/>
    <w:rsid w:val="00CA07F9"/>
    <w:rsid w:val="00CA081D"/>
    <w:rsid w:val="00CA0940"/>
    <w:rsid w:val="00CA0B8A"/>
    <w:rsid w:val="00CA0CCE"/>
    <w:rsid w:val="00CA0D82"/>
    <w:rsid w:val="00CA0DD1"/>
    <w:rsid w:val="00CA0E72"/>
    <w:rsid w:val="00CA0F35"/>
    <w:rsid w:val="00CA0F44"/>
    <w:rsid w:val="00CA1239"/>
    <w:rsid w:val="00CA1796"/>
    <w:rsid w:val="00CA1816"/>
    <w:rsid w:val="00CA1A0B"/>
    <w:rsid w:val="00CA1B28"/>
    <w:rsid w:val="00CA1C83"/>
    <w:rsid w:val="00CA1DCF"/>
    <w:rsid w:val="00CA1DE2"/>
    <w:rsid w:val="00CA1F02"/>
    <w:rsid w:val="00CA214E"/>
    <w:rsid w:val="00CA24F4"/>
    <w:rsid w:val="00CA2507"/>
    <w:rsid w:val="00CA272B"/>
    <w:rsid w:val="00CA290A"/>
    <w:rsid w:val="00CA2A25"/>
    <w:rsid w:val="00CA2A3F"/>
    <w:rsid w:val="00CA2B5A"/>
    <w:rsid w:val="00CA2BB5"/>
    <w:rsid w:val="00CA315D"/>
    <w:rsid w:val="00CA3299"/>
    <w:rsid w:val="00CA3323"/>
    <w:rsid w:val="00CA33B8"/>
    <w:rsid w:val="00CA33FE"/>
    <w:rsid w:val="00CA34C4"/>
    <w:rsid w:val="00CA3726"/>
    <w:rsid w:val="00CA3BCF"/>
    <w:rsid w:val="00CA3C3A"/>
    <w:rsid w:val="00CA3F49"/>
    <w:rsid w:val="00CA3F7C"/>
    <w:rsid w:val="00CA40B5"/>
    <w:rsid w:val="00CA43A6"/>
    <w:rsid w:val="00CA44AC"/>
    <w:rsid w:val="00CA4509"/>
    <w:rsid w:val="00CA45CA"/>
    <w:rsid w:val="00CA46A4"/>
    <w:rsid w:val="00CA46B1"/>
    <w:rsid w:val="00CA47AD"/>
    <w:rsid w:val="00CA4A50"/>
    <w:rsid w:val="00CA4D6E"/>
    <w:rsid w:val="00CA4F5C"/>
    <w:rsid w:val="00CA5043"/>
    <w:rsid w:val="00CA506A"/>
    <w:rsid w:val="00CA52FE"/>
    <w:rsid w:val="00CA5389"/>
    <w:rsid w:val="00CA555D"/>
    <w:rsid w:val="00CA57B7"/>
    <w:rsid w:val="00CA5A14"/>
    <w:rsid w:val="00CA5A87"/>
    <w:rsid w:val="00CA5AB1"/>
    <w:rsid w:val="00CA5C02"/>
    <w:rsid w:val="00CA5C81"/>
    <w:rsid w:val="00CA5EA4"/>
    <w:rsid w:val="00CA5F97"/>
    <w:rsid w:val="00CA61DF"/>
    <w:rsid w:val="00CA6276"/>
    <w:rsid w:val="00CA6337"/>
    <w:rsid w:val="00CA63A7"/>
    <w:rsid w:val="00CA63C0"/>
    <w:rsid w:val="00CA6408"/>
    <w:rsid w:val="00CA6473"/>
    <w:rsid w:val="00CA67DC"/>
    <w:rsid w:val="00CA6DD0"/>
    <w:rsid w:val="00CA6F49"/>
    <w:rsid w:val="00CA7009"/>
    <w:rsid w:val="00CA703D"/>
    <w:rsid w:val="00CA75A0"/>
    <w:rsid w:val="00CA767B"/>
    <w:rsid w:val="00CA776C"/>
    <w:rsid w:val="00CA78B7"/>
    <w:rsid w:val="00CA78C2"/>
    <w:rsid w:val="00CA7C30"/>
    <w:rsid w:val="00CB0272"/>
    <w:rsid w:val="00CB03DF"/>
    <w:rsid w:val="00CB06A1"/>
    <w:rsid w:val="00CB0743"/>
    <w:rsid w:val="00CB0747"/>
    <w:rsid w:val="00CB08CC"/>
    <w:rsid w:val="00CB0AFB"/>
    <w:rsid w:val="00CB0B29"/>
    <w:rsid w:val="00CB0E2C"/>
    <w:rsid w:val="00CB0F8D"/>
    <w:rsid w:val="00CB10E4"/>
    <w:rsid w:val="00CB110E"/>
    <w:rsid w:val="00CB1165"/>
    <w:rsid w:val="00CB1197"/>
    <w:rsid w:val="00CB12BD"/>
    <w:rsid w:val="00CB13F2"/>
    <w:rsid w:val="00CB1502"/>
    <w:rsid w:val="00CB15CD"/>
    <w:rsid w:val="00CB17DB"/>
    <w:rsid w:val="00CB18C7"/>
    <w:rsid w:val="00CB18E7"/>
    <w:rsid w:val="00CB1969"/>
    <w:rsid w:val="00CB1A1B"/>
    <w:rsid w:val="00CB1AA0"/>
    <w:rsid w:val="00CB1AD6"/>
    <w:rsid w:val="00CB1BF3"/>
    <w:rsid w:val="00CB1C88"/>
    <w:rsid w:val="00CB1CD7"/>
    <w:rsid w:val="00CB2251"/>
    <w:rsid w:val="00CB2302"/>
    <w:rsid w:val="00CB247B"/>
    <w:rsid w:val="00CB26D7"/>
    <w:rsid w:val="00CB2AB1"/>
    <w:rsid w:val="00CB2D5C"/>
    <w:rsid w:val="00CB2DFD"/>
    <w:rsid w:val="00CB2FB5"/>
    <w:rsid w:val="00CB30F2"/>
    <w:rsid w:val="00CB323A"/>
    <w:rsid w:val="00CB32B0"/>
    <w:rsid w:val="00CB3600"/>
    <w:rsid w:val="00CB385C"/>
    <w:rsid w:val="00CB38E3"/>
    <w:rsid w:val="00CB3907"/>
    <w:rsid w:val="00CB3D6F"/>
    <w:rsid w:val="00CB3D90"/>
    <w:rsid w:val="00CB3EB4"/>
    <w:rsid w:val="00CB3F75"/>
    <w:rsid w:val="00CB4022"/>
    <w:rsid w:val="00CB4041"/>
    <w:rsid w:val="00CB407D"/>
    <w:rsid w:val="00CB40D0"/>
    <w:rsid w:val="00CB40FE"/>
    <w:rsid w:val="00CB4178"/>
    <w:rsid w:val="00CB4326"/>
    <w:rsid w:val="00CB4457"/>
    <w:rsid w:val="00CB447F"/>
    <w:rsid w:val="00CB4CAD"/>
    <w:rsid w:val="00CB4F33"/>
    <w:rsid w:val="00CB500B"/>
    <w:rsid w:val="00CB51E0"/>
    <w:rsid w:val="00CB52E9"/>
    <w:rsid w:val="00CB533D"/>
    <w:rsid w:val="00CB56D1"/>
    <w:rsid w:val="00CB579F"/>
    <w:rsid w:val="00CB594C"/>
    <w:rsid w:val="00CB5AF3"/>
    <w:rsid w:val="00CB5D82"/>
    <w:rsid w:val="00CB6498"/>
    <w:rsid w:val="00CB6EC4"/>
    <w:rsid w:val="00CB6F11"/>
    <w:rsid w:val="00CB70D9"/>
    <w:rsid w:val="00CB7185"/>
    <w:rsid w:val="00CB72A7"/>
    <w:rsid w:val="00CB72D3"/>
    <w:rsid w:val="00CB7526"/>
    <w:rsid w:val="00CB755D"/>
    <w:rsid w:val="00CB76D1"/>
    <w:rsid w:val="00CB7855"/>
    <w:rsid w:val="00CB7A0F"/>
    <w:rsid w:val="00CB7F9A"/>
    <w:rsid w:val="00CC009A"/>
    <w:rsid w:val="00CC02E0"/>
    <w:rsid w:val="00CC05BA"/>
    <w:rsid w:val="00CC06C4"/>
    <w:rsid w:val="00CC083B"/>
    <w:rsid w:val="00CC088F"/>
    <w:rsid w:val="00CC08C2"/>
    <w:rsid w:val="00CC08E1"/>
    <w:rsid w:val="00CC0AF3"/>
    <w:rsid w:val="00CC0BAF"/>
    <w:rsid w:val="00CC0CBD"/>
    <w:rsid w:val="00CC1259"/>
    <w:rsid w:val="00CC168F"/>
    <w:rsid w:val="00CC1852"/>
    <w:rsid w:val="00CC1894"/>
    <w:rsid w:val="00CC1A06"/>
    <w:rsid w:val="00CC1B5A"/>
    <w:rsid w:val="00CC1BE8"/>
    <w:rsid w:val="00CC1EB6"/>
    <w:rsid w:val="00CC21A9"/>
    <w:rsid w:val="00CC2398"/>
    <w:rsid w:val="00CC28F7"/>
    <w:rsid w:val="00CC2BEB"/>
    <w:rsid w:val="00CC2BFB"/>
    <w:rsid w:val="00CC2CD4"/>
    <w:rsid w:val="00CC2E8C"/>
    <w:rsid w:val="00CC2EB1"/>
    <w:rsid w:val="00CC2ED3"/>
    <w:rsid w:val="00CC2F1D"/>
    <w:rsid w:val="00CC3031"/>
    <w:rsid w:val="00CC3118"/>
    <w:rsid w:val="00CC3296"/>
    <w:rsid w:val="00CC34F8"/>
    <w:rsid w:val="00CC3608"/>
    <w:rsid w:val="00CC3697"/>
    <w:rsid w:val="00CC3A01"/>
    <w:rsid w:val="00CC3D39"/>
    <w:rsid w:val="00CC3E5F"/>
    <w:rsid w:val="00CC4022"/>
    <w:rsid w:val="00CC43D1"/>
    <w:rsid w:val="00CC46D6"/>
    <w:rsid w:val="00CC4700"/>
    <w:rsid w:val="00CC4811"/>
    <w:rsid w:val="00CC49AA"/>
    <w:rsid w:val="00CC4A1A"/>
    <w:rsid w:val="00CC4BEB"/>
    <w:rsid w:val="00CC4CA1"/>
    <w:rsid w:val="00CC4CA8"/>
    <w:rsid w:val="00CC5089"/>
    <w:rsid w:val="00CC5233"/>
    <w:rsid w:val="00CC5332"/>
    <w:rsid w:val="00CC5389"/>
    <w:rsid w:val="00CC57C2"/>
    <w:rsid w:val="00CC5836"/>
    <w:rsid w:val="00CC5A62"/>
    <w:rsid w:val="00CC5E5E"/>
    <w:rsid w:val="00CC5EB0"/>
    <w:rsid w:val="00CC5F05"/>
    <w:rsid w:val="00CC5F44"/>
    <w:rsid w:val="00CC5FC2"/>
    <w:rsid w:val="00CC6005"/>
    <w:rsid w:val="00CC625D"/>
    <w:rsid w:val="00CC6268"/>
    <w:rsid w:val="00CC636B"/>
    <w:rsid w:val="00CC6882"/>
    <w:rsid w:val="00CC689C"/>
    <w:rsid w:val="00CC6A1D"/>
    <w:rsid w:val="00CC7152"/>
    <w:rsid w:val="00CC7278"/>
    <w:rsid w:val="00CC72AB"/>
    <w:rsid w:val="00CC72F7"/>
    <w:rsid w:val="00CC7842"/>
    <w:rsid w:val="00CC7E4B"/>
    <w:rsid w:val="00CC7F00"/>
    <w:rsid w:val="00CD0079"/>
    <w:rsid w:val="00CD009F"/>
    <w:rsid w:val="00CD0112"/>
    <w:rsid w:val="00CD0149"/>
    <w:rsid w:val="00CD023F"/>
    <w:rsid w:val="00CD035D"/>
    <w:rsid w:val="00CD0451"/>
    <w:rsid w:val="00CD0463"/>
    <w:rsid w:val="00CD0465"/>
    <w:rsid w:val="00CD0584"/>
    <w:rsid w:val="00CD067C"/>
    <w:rsid w:val="00CD08C7"/>
    <w:rsid w:val="00CD0CA8"/>
    <w:rsid w:val="00CD0E6E"/>
    <w:rsid w:val="00CD0FC0"/>
    <w:rsid w:val="00CD10BF"/>
    <w:rsid w:val="00CD11E3"/>
    <w:rsid w:val="00CD151F"/>
    <w:rsid w:val="00CD174A"/>
    <w:rsid w:val="00CD19EA"/>
    <w:rsid w:val="00CD1A30"/>
    <w:rsid w:val="00CD1A75"/>
    <w:rsid w:val="00CD1D35"/>
    <w:rsid w:val="00CD1DBB"/>
    <w:rsid w:val="00CD1ECB"/>
    <w:rsid w:val="00CD1EEE"/>
    <w:rsid w:val="00CD1F12"/>
    <w:rsid w:val="00CD1F85"/>
    <w:rsid w:val="00CD21B5"/>
    <w:rsid w:val="00CD2378"/>
    <w:rsid w:val="00CD2606"/>
    <w:rsid w:val="00CD2711"/>
    <w:rsid w:val="00CD2B23"/>
    <w:rsid w:val="00CD2C82"/>
    <w:rsid w:val="00CD3181"/>
    <w:rsid w:val="00CD3196"/>
    <w:rsid w:val="00CD31AD"/>
    <w:rsid w:val="00CD3205"/>
    <w:rsid w:val="00CD38DD"/>
    <w:rsid w:val="00CD39BE"/>
    <w:rsid w:val="00CD39D9"/>
    <w:rsid w:val="00CD3A3C"/>
    <w:rsid w:val="00CD3AC7"/>
    <w:rsid w:val="00CD3BE3"/>
    <w:rsid w:val="00CD3CB6"/>
    <w:rsid w:val="00CD3FCC"/>
    <w:rsid w:val="00CD4219"/>
    <w:rsid w:val="00CD4457"/>
    <w:rsid w:val="00CD45BE"/>
    <w:rsid w:val="00CD484A"/>
    <w:rsid w:val="00CD4DC1"/>
    <w:rsid w:val="00CD4FC4"/>
    <w:rsid w:val="00CD50DA"/>
    <w:rsid w:val="00CD530F"/>
    <w:rsid w:val="00CD5337"/>
    <w:rsid w:val="00CD5799"/>
    <w:rsid w:val="00CD5A70"/>
    <w:rsid w:val="00CD5AFA"/>
    <w:rsid w:val="00CD5BC2"/>
    <w:rsid w:val="00CD5CC5"/>
    <w:rsid w:val="00CD5DE1"/>
    <w:rsid w:val="00CD5EAD"/>
    <w:rsid w:val="00CD6369"/>
    <w:rsid w:val="00CD64CC"/>
    <w:rsid w:val="00CD6643"/>
    <w:rsid w:val="00CD664B"/>
    <w:rsid w:val="00CD6746"/>
    <w:rsid w:val="00CD6971"/>
    <w:rsid w:val="00CD6B3A"/>
    <w:rsid w:val="00CD6BA2"/>
    <w:rsid w:val="00CD6D2D"/>
    <w:rsid w:val="00CD6D57"/>
    <w:rsid w:val="00CD6E2E"/>
    <w:rsid w:val="00CD6E53"/>
    <w:rsid w:val="00CD6E93"/>
    <w:rsid w:val="00CD6F10"/>
    <w:rsid w:val="00CD7506"/>
    <w:rsid w:val="00CD7570"/>
    <w:rsid w:val="00CD7766"/>
    <w:rsid w:val="00CD7A6B"/>
    <w:rsid w:val="00CD7AF9"/>
    <w:rsid w:val="00CD7C2D"/>
    <w:rsid w:val="00CE040E"/>
    <w:rsid w:val="00CE069D"/>
    <w:rsid w:val="00CE07B5"/>
    <w:rsid w:val="00CE0C84"/>
    <w:rsid w:val="00CE0D12"/>
    <w:rsid w:val="00CE0D21"/>
    <w:rsid w:val="00CE0EFB"/>
    <w:rsid w:val="00CE0FD5"/>
    <w:rsid w:val="00CE121C"/>
    <w:rsid w:val="00CE13BB"/>
    <w:rsid w:val="00CE13DB"/>
    <w:rsid w:val="00CE1593"/>
    <w:rsid w:val="00CE166F"/>
    <w:rsid w:val="00CE167C"/>
    <w:rsid w:val="00CE168D"/>
    <w:rsid w:val="00CE18FC"/>
    <w:rsid w:val="00CE1971"/>
    <w:rsid w:val="00CE1C02"/>
    <w:rsid w:val="00CE1E9C"/>
    <w:rsid w:val="00CE1F63"/>
    <w:rsid w:val="00CE2086"/>
    <w:rsid w:val="00CE24EF"/>
    <w:rsid w:val="00CE2522"/>
    <w:rsid w:val="00CE2637"/>
    <w:rsid w:val="00CE28BD"/>
    <w:rsid w:val="00CE28CD"/>
    <w:rsid w:val="00CE2904"/>
    <w:rsid w:val="00CE2B55"/>
    <w:rsid w:val="00CE2F87"/>
    <w:rsid w:val="00CE350D"/>
    <w:rsid w:val="00CE3582"/>
    <w:rsid w:val="00CE3655"/>
    <w:rsid w:val="00CE3729"/>
    <w:rsid w:val="00CE382D"/>
    <w:rsid w:val="00CE385D"/>
    <w:rsid w:val="00CE39C1"/>
    <w:rsid w:val="00CE3A0A"/>
    <w:rsid w:val="00CE3C2C"/>
    <w:rsid w:val="00CE3D07"/>
    <w:rsid w:val="00CE40B0"/>
    <w:rsid w:val="00CE4108"/>
    <w:rsid w:val="00CE4244"/>
    <w:rsid w:val="00CE43EB"/>
    <w:rsid w:val="00CE4730"/>
    <w:rsid w:val="00CE4904"/>
    <w:rsid w:val="00CE49DA"/>
    <w:rsid w:val="00CE4A05"/>
    <w:rsid w:val="00CE4B1B"/>
    <w:rsid w:val="00CE4BE9"/>
    <w:rsid w:val="00CE51A7"/>
    <w:rsid w:val="00CE52D7"/>
    <w:rsid w:val="00CE54E0"/>
    <w:rsid w:val="00CE5811"/>
    <w:rsid w:val="00CE5847"/>
    <w:rsid w:val="00CE5C29"/>
    <w:rsid w:val="00CE608C"/>
    <w:rsid w:val="00CE60C1"/>
    <w:rsid w:val="00CE620C"/>
    <w:rsid w:val="00CE62FD"/>
    <w:rsid w:val="00CE6689"/>
    <w:rsid w:val="00CE6881"/>
    <w:rsid w:val="00CE696E"/>
    <w:rsid w:val="00CE6ABB"/>
    <w:rsid w:val="00CE6D08"/>
    <w:rsid w:val="00CE6DCE"/>
    <w:rsid w:val="00CE6E09"/>
    <w:rsid w:val="00CE7213"/>
    <w:rsid w:val="00CE72CA"/>
    <w:rsid w:val="00CE72EE"/>
    <w:rsid w:val="00CE74D6"/>
    <w:rsid w:val="00CE754A"/>
    <w:rsid w:val="00CE75C6"/>
    <w:rsid w:val="00CE76BC"/>
    <w:rsid w:val="00CE783C"/>
    <w:rsid w:val="00CE7995"/>
    <w:rsid w:val="00CE7B5E"/>
    <w:rsid w:val="00CE7DF6"/>
    <w:rsid w:val="00CE7E57"/>
    <w:rsid w:val="00CE7EEF"/>
    <w:rsid w:val="00CF01B8"/>
    <w:rsid w:val="00CF05AF"/>
    <w:rsid w:val="00CF07C9"/>
    <w:rsid w:val="00CF0E7F"/>
    <w:rsid w:val="00CF0FC6"/>
    <w:rsid w:val="00CF13AD"/>
    <w:rsid w:val="00CF1424"/>
    <w:rsid w:val="00CF1810"/>
    <w:rsid w:val="00CF1883"/>
    <w:rsid w:val="00CF1FBE"/>
    <w:rsid w:val="00CF201E"/>
    <w:rsid w:val="00CF2335"/>
    <w:rsid w:val="00CF24C4"/>
    <w:rsid w:val="00CF2515"/>
    <w:rsid w:val="00CF256D"/>
    <w:rsid w:val="00CF261C"/>
    <w:rsid w:val="00CF2851"/>
    <w:rsid w:val="00CF28C0"/>
    <w:rsid w:val="00CF28FA"/>
    <w:rsid w:val="00CF2B72"/>
    <w:rsid w:val="00CF2C26"/>
    <w:rsid w:val="00CF2CE3"/>
    <w:rsid w:val="00CF2CE4"/>
    <w:rsid w:val="00CF2ED7"/>
    <w:rsid w:val="00CF3169"/>
    <w:rsid w:val="00CF320F"/>
    <w:rsid w:val="00CF34B0"/>
    <w:rsid w:val="00CF38C9"/>
    <w:rsid w:val="00CF3A4F"/>
    <w:rsid w:val="00CF3ADF"/>
    <w:rsid w:val="00CF3F3F"/>
    <w:rsid w:val="00CF402A"/>
    <w:rsid w:val="00CF44E9"/>
    <w:rsid w:val="00CF4534"/>
    <w:rsid w:val="00CF4675"/>
    <w:rsid w:val="00CF4734"/>
    <w:rsid w:val="00CF4BB7"/>
    <w:rsid w:val="00CF4C05"/>
    <w:rsid w:val="00CF4D7A"/>
    <w:rsid w:val="00CF4DB5"/>
    <w:rsid w:val="00CF534E"/>
    <w:rsid w:val="00CF538E"/>
    <w:rsid w:val="00CF5843"/>
    <w:rsid w:val="00CF59B8"/>
    <w:rsid w:val="00CF5B22"/>
    <w:rsid w:val="00CF5BDD"/>
    <w:rsid w:val="00CF5C90"/>
    <w:rsid w:val="00CF5CB4"/>
    <w:rsid w:val="00CF5D4A"/>
    <w:rsid w:val="00CF5D55"/>
    <w:rsid w:val="00CF5EFE"/>
    <w:rsid w:val="00CF5F08"/>
    <w:rsid w:val="00CF60EA"/>
    <w:rsid w:val="00CF6249"/>
    <w:rsid w:val="00CF632B"/>
    <w:rsid w:val="00CF6541"/>
    <w:rsid w:val="00CF6656"/>
    <w:rsid w:val="00CF665B"/>
    <w:rsid w:val="00CF69B8"/>
    <w:rsid w:val="00CF6C78"/>
    <w:rsid w:val="00CF6E39"/>
    <w:rsid w:val="00CF6F8A"/>
    <w:rsid w:val="00CF711C"/>
    <w:rsid w:val="00CF7229"/>
    <w:rsid w:val="00CF74E5"/>
    <w:rsid w:val="00CF76A7"/>
    <w:rsid w:val="00CF7A16"/>
    <w:rsid w:val="00CF7A6D"/>
    <w:rsid w:val="00CF7B3E"/>
    <w:rsid w:val="00CF7C74"/>
    <w:rsid w:val="00CF7F24"/>
    <w:rsid w:val="00D000F2"/>
    <w:rsid w:val="00D0084B"/>
    <w:rsid w:val="00D00CF1"/>
    <w:rsid w:val="00D00D1C"/>
    <w:rsid w:val="00D00DDB"/>
    <w:rsid w:val="00D00E6A"/>
    <w:rsid w:val="00D01032"/>
    <w:rsid w:val="00D015A5"/>
    <w:rsid w:val="00D0176C"/>
    <w:rsid w:val="00D017B5"/>
    <w:rsid w:val="00D01AF1"/>
    <w:rsid w:val="00D02095"/>
    <w:rsid w:val="00D0216B"/>
    <w:rsid w:val="00D025CF"/>
    <w:rsid w:val="00D0263E"/>
    <w:rsid w:val="00D02650"/>
    <w:rsid w:val="00D026F4"/>
    <w:rsid w:val="00D028C8"/>
    <w:rsid w:val="00D02A76"/>
    <w:rsid w:val="00D02A81"/>
    <w:rsid w:val="00D02BA8"/>
    <w:rsid w:val="00D02C51"/>
    <w:rsid w:val="00D030A3"/>
    <w:rsid w:val="00D032BF"/>
    <w:rsid w:val="00D0335C"/>
    <w:rsid w:val="00D03724"/>
    <w:rsid w:val="00D03AA1"/>
    <w:rsid w:val="00D03B2A"/>
    <w:rsid w:val="00D03BE5"/>
    <w:rsid w:val="00D03C91"/>
    <w:rsid w:val="00D040FF"/>
    <w:rsid w:val="00D044CE"/>
    <w:rsid w:val="00D04787"/>
    <w:rsid w:val="00D04CD4"/>
    <w:rsid w:val="00D04CE7"/>
    <w:rsid w:val="00D04E6C"/>
    <w:rsid w:val="00D04EF7"/>
    <w:rsid w:val="00D05037"/>
    <w:rsid w:val="00D05294"/>
    <w:rsid w:val="00D052B8"/>
    <w:rsid w:val="00D0579F"/>
    <w:rsid w:val="00D0585C"/>
    <w:rsid w:val="00D05B8A"/>
    <w:rsid w:val="00D05BC9"/>
    <w:rsid w:val="00D05D63"/>
    <w:rsid w:val="00D05DFB"/>
    <w:rsid w:val="00D05F9E"/>
    <w:rsid w:val="00D061B9"/>
    <w:rsid w:val="00D06243"/>
    <w:rsid w:val="00D0629A"/>
    <w:rsid w:val="00D06425"/>
    <w:rsid w:val="00D064F0"/>
    <w:rsid w:val="00D06B79"/>
    <w:rsid w:val="00D06CD4"/>
    <w:rsid w:val="00D06DBF"/>
    <w:rsid w:val="00D06EBA"/>
    <w:rsid w:val="00D07173"/>
    <w:rsid w:val="00D07375"/>
    <w:rsid w:val="00D073F6"/>
    <w:rsid w:val="00D07798"/>
    <w:rsid w:val="00D077E3"/>
    <w:rsid w:val="00D079D7"/>
    <w:rsid w:val="00D07B82"/>
    <w:rsid w:val="00D07D31"/>
    <w:rsid w:val="00D07D9A"/>
    <w:rsid w:val="00D07E58"/>
    <w:rsid w:val="00D07FB7"/>
    <w:rsid w:val="00D10574"/>
    <w:rsid w:val="00D10C17"/>
    <w:rsid w:val="00D10FCA"/>
    <w:rsid w:val="00D1110E"/>
    <w:rsid w:val="00D11392"/>
    <w:rsid w:val="00D114B5"/>
    <w:rsid w:val="00D115E5"/>
    <w:rsid w:val="00D11736"/>
    <w:rsid w:val="00D118A9"/>
    <w:rsid w:val="00D11B1D"/>
    <w:rsid w:val="00D11E15"/>
    <w:rsid w:val="00D11F3C"/>
    <w:rsid w:val="00D11F48"/>
    <w:rsid w:val="00D1202C"/>
    <w:rsid w:val="00D12044"/>
    <w:rsid w:val="00D12079"/>
    <w:rsid w:val="00D12095"/>
    <w:rsid w:val="00D12268"/>
    <w:rsid w:val="00D1233D"/>
    <w:rsid w:val="00D12826"/>
    <w:rsid w:val="00D12A35"/>
    <w:rsid w:val="00D12A8A"/>
    <w:rsid w:val="00D12B60"/>
    <w:rsid w:val="00D12BFD"/>
    <w:rsid w:val="00D12D9E"/>
    <w:rsid w:val="00D132B0"/>
    <w:rsid w:val="00D1352A"/>
    <w:rsid w:val="00D139A6"/>
    <w:rsid w:val="00D139DF"/>
    <w:rsid w:val="00D13C16"/>
    <w:rsid w:val="00D13C2C"/>
    <w:rsid w:val="00D13C79"/>
    <w:rsid w:val="00D13DA4"/>
    <w:rsid w:val="00D141D6"/>
    <w:rsid w:val="00D14444"/>
    <w:rsid w:val="00D1488F"/>
    <w:rsid w:val="00D148F7"/>
    <w:rsid w:val="00D14A7F"/>
    <w:rsid w:val="00D14B4F"/>
    <w:rsid w:val="00D14D1D"/>
    <w:rsid w:val="00D15124"/>
    <w:rsid w:val="00D15166"/>
    <w:rsid w:val="00D151D6"/>
    <w:rsid w:val="00D152FC"/>
    <w:rsid w:val="00D15369"/>
    <w:rsid w:val="00D1558F"/>
    <w:rsid w:val="00D15988"/>
    <w:rsid w:val="00D15C46"/>
    <w:rsid w:val="00D16125"/>
    <w:rsid w:val="00D16382"/>
    <w:rsid w:val="00D1659C"/>
    <w:rsid w:val="00D16601"/>
    <w:rsid w:val="00D1660C"/>
    <w:rsid w:val="00D16630"/>
    <w:rsid w:val="00D16752"/>
    <w:rsid w:val="00D16A71"/>
    <w:rsid w:val="00D16A74"/>
    <w:rsid w:val="00D16A85"/>
    <w:rsid w:val="00D16B38"/>
    <w:rsid w:val="00D173FB"/>
    <w:rsid w:val="00D1794A"/>
    <w:rsid w:val="00D17A05"/>
    <w:rsid w:val="00D17BF2"/>
    <w:rsid w:val="00D17C46"/>
    <w:rsid w:val="00D17C92"/>
    <w:rsid w:val="00D17CE3"/>
    <w:rsid w:val="00D17D3C"/>
    <w:rsid w:val="00D201BB"/>
    <w:rsid w:val="00D20299"/>
    <w:rsid w:val="00D20A47"/>
    <w:rsid w:val="00D20B9D"/>
    <w:rsid w:val="00D20C5C"/>
    <w:rsid w:val="00D20C7A"/>
    <w:rsid w:val="00D20D60"/>
    <w:rsid w:val="00D20E86"/>
    <w:rsid w:val="00D20EE0"/>
    <w:rsid w:val="00D21053"/>
    <w:rsid w:val="00D21700"/>
    <w:rsid w:val="00D21926"/>
    <w:rsid w:val="00D219B7"/>
    <w:rsid w:val="00D21AA7"/>
    <w:rsid w:val="00D21D30"/>
    <w:rsid w:val="00D21D79"/>
    <w:rsid w:val="00D21D8E"/>
    <w:rsid w:val="00D22007"/>
    <w:rsid w:val="00D22570"/>
    <w:rsid w:val="00D228C1"/>
    <w:rsid w:val="00D228CB"/>
    <w:rsid w:val="00D229B3"/>
    <w:rsid w:val="00D22B19"/>
    <w:rsid w:val="00D22F1F"/>
    <w:rsid w:val="00D22F41"/>
    <w:rsid w:val="00D22F82"/>
    <w:rsid w:val="00D23175"/>
    <w:rsid w:val="00D23A63"/>
    <w:rsid w:val="00D23B30"/>
    <w:rsid w:val="00D23DFA"/>
    <w:rsid w:val="00D2424C"/>
    <w:rsid w:val="00D242B5"/>
    <w:rsid w:val="00D24508"/>
    <w:rsid w:val="00D247CB"/>
    <w:rsid w:val="00D248F7"/>
    <w:rsid w:val="00D24BC3"/>
    <w:rsid w:val="00D24D8E"/>
    <w:rsid w:val="00D24DBB"/>
    <w:rsid w:val="00D2522C"/>
    <w:rsid w:val="00D25692"/>
    <w:rsid w:val="00D2579D"/>
    <w:rsid w:val="00D257A9"/>
    <w:rsid w:val="00D257CC"/>
    <w:rsid w:val="00D257D9"/>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76A"/>
    <w:rsid w:val="00D27773"/>
    <w:rsid w:val="00D27CC7"/>
    <w:rsid w:val="00D27E3F"/>
    <w:rsid w:val="00D301DA"/>
    <w:rsid w:val="00D30549"/>
    <w:rsid w:val="00D307BF"/>
    <w:rsid w:val="00D308E7"/>
    <w:rsid w:val="00D30FA8"/>
    <w:rsid w:val="00D3120F"/>
    <w:rsid w:val="00D31516"/>
    <w:rsid w:val="00D31568"/>
    <w:rsid w:val="00D3163A"/>
    <w:rsid w:val="00D3176C"/>
    <w:rsid w:val="00D31874"/>
    <w:rsid w:val="00D31AAD"/>
    <w:rsid w:val="00D31B28"/>
    <w:rsid w:val="00D31B72"/>
    <w:rsid w:val="00D31D79"/>
    <w:rsid w:val="00D31DC5"/>
    <w:rsid w:val="00D31E55"/>
    <w:rsid w:val="00D32148"/>
    <w:rsid w:val="00D322A7"/>
    <w:rsid w:val="00D323D0"/>
    <w:rsid w:val="00D3260A"/>
    <w:rsid w:val="00D32836"/>
    <w:rsid w:val="00D32B1A"/>
    <w:rsid w:val="00D32C3B"/>
    <w:rsid w:val="00D32D1A"/>
    <w:rsid w:val="00D32E51"/>
    <w:rsid w:val="00D32F1F"/>
    <w:rsid w:val="00D331E0"/>
    <w:rsid w:val="00D333DC"/>
    <w:rsid w:val="00D3347C"/>
    <w:rsid w:val="00D3350D"/>
    <w:rsid w:val="00D33854"/>
    <w:rsid w:val="00D33A75"/>
    <w:rsid w:val="00D33A86"/>
    <w:rsid w:val="00D33D9A"/>
    <w:rsid w:val="00D34266"/>
    <w:rsid w:val="00D3429D"/>
    <w:rsid w:val="00D342B4"/>
    <w:rsid w:val="00D343FF"/>
    <w:rsid w:val="00D3456E"/>
    <w:rsid w:val="00D34719"/>
    <w:rsid w:val="00D347E0"/>
    <w:rsid w:val="00D34A41"/>
    <w:rsid w:val="00D34C3E"/>
    <w:rsid w:val="00D34DFA"/>
    <w:rsid w:val="00D34ED7"/>
    <w:rsid w:val="00D350AC"/>
    <w:rsid w:val="00D35101"/>
    <w:rsid w:val="00D3518C"/>
    <w:rsid w:val="00D3576E"/>
    <w:rsid w:val="00D35AF4"/>
    <w:rsid w:val="00D35B40"/>
    <w:rsid w:val="00D35C5D"/>
    <w:rsid w:val="00D35CE4"/>
    <w:rsid w:val="00D35F78"/>
    <w:rsid w:val="00D363DC"/>
    <w:rsid w:val="00D36930"/>
    <w:rsid w:val="00D36A48"/>
    <w:rsid w:val="00D36C61"/>
    <w:rsid w:val="00D36DCF"/>
    <w:rsid w:val="00D37128"/>
    <w:rsid w:val="00D37157"/>
    <w:rsid w:val="00D373F9"/>
    <w:rsid w:val="00D37506"/>
    <w:rsid w:val="00D37593"/>
    <w:rsid w:val="00D375A8"/>
    <w:rsid w:val="00D375D8"/>
    <w:rsid w:val="00D37A92"/>
    <w:rsid w:val="00D37CBA"/>
    <w:rsid w:val="00D4006F"/>
    <w:rsid w:val="00D4020B"/>
    <w:rsid w:val="00D40670"/>
    <w:rsid w:val="00D40821"/>
    <w:rsid w:val="00D40851"/>
    <w:rsid w:val="00D40A97"/>
    <w:rsid w:val="00D40C91"/>
    <w:rsid w:val="00D40CA9"/>
    <w:rsid w:val="00D40D8E"/>
    <w:rsid w:val="00D40F41"/>
    <w:rsid w:val="00D40FD9"/>
    <w:rsid w:val="00D40FF7"/>
    <w:rsid w:val="00D4110E"/>
    <w:rsid w:val="00D41131"/>
    <w:rsid w:val="00D41202"/>
    <w:rsid w:val="00D41363"/>
    <w:rsid w:val="00D41431"/>
    <w:rsid w:val="00D41477"/>
    <w:rsid w:val="00D4156C"/>
    <w:rsid w:val="00D41644"/>
    <w:rsid w:val="00D416B9"/>
    <w:rsid w:val="00D41719"/>
    <w:rsid w:val="00D417C4"/>
    <w:rsid w:val="00D418F7"/>
    <w:rsid w:val="00D41B4F"/>
    <w:rsid w:val="00D41E6A"/>
    <w:rsid w:val="00D42093"/>
    <w:rsid w:val="00D422F8"/>
    <w:rsid w:val="00D42304"/>
    <w:rsid w:val="00D423E5"/>
    <w:rsid w:val="00D425E7"/>
    <w:rsid w:val="00D428F6"/>
    <w:rsid w:val="00D4299B"/>
    <w:rsid w:val="00D42C6D"/>
    <w:rsid w:val="00D42D4B"/>
    <w:rsid w:val="00D42DF6"/>
    <w:rsid w:val="00D42E24"/>
    <w:rsid w:val="00D42E74"/>
    <w:rsid w:val="00D42F7D"/>
    <w:rsid w:val="00D42FD2"/>
    <w:rsid w:val="00D4340E"/>
    <w:rsid w:val="00D4359A"/>
    <w:rsid w:val="00D435E1"/>
    <w:rsid w:val="00D4360D"/>
    <w:rsid w:val="00D4380F"/>
    <w:rsid w:val="00D43F7F"/>
    <w:rsid w:val="00D440F0"/>
    <w:rsid w:val="00D4426B"/>
    <w:rsid w:val="00D4436D"/>
    <w:rsid w:val="00D4497A"/>
    <w:rsid w:val="00D449DB"/>
    <w:rsid w:val="00D44B08"/>
    <w:rsid w:val="00D44D6C"/>
    <w:rsid w:val="00D44E18"/>
    <w:rsid w:val="00D44EA2"/>
    <w:rsid w:val="00D44F13"/>
    <w:rsid w:val="00D45089"/>
    <w:rsid w:val="00D45152"/>
    <w:rsid w:val="00D4518C"/>
    <w:rsid w:val="00D4534F"/>
    <w:rsid w:val="00D45579"/>
    <w:rsid w:val="00D45673"/>
    <w:rsid w:val="00D456E4"/>
    <w:rsid w:val="00D45700"/>
    <w:rsid w:val="00D458DE"/>
    <w:rsid w:val="00D46344"/>
    <w:rsid w:val="00D463BC"/>
    <w:rsid w:val="00D46519"/>
    <w:rsid w:val="00D46672"/>
    <w:rsid w:val="00D467D1"/>
    <w:rsid w:val="00D46945"/>
    <w:rsid w:val="00D469B3"/>
    <w:rsid w:val="00D46AF0"/>
    <w:rsid w:val="00D46D11"/>
    <w:rsid w:val="00D46E9E"/>
    <w:rsid w:val="00D46F60"/>
    <w:rsid w:val="00D4723A"/>
    <w:rsid w:val="00D476A4"/>
    <w:rsid w:val="00D47778"/>
    <w:rsid w:val="00D47FC7"/>
    <w:rsid w:val="00D5008C"/>
    <w:rsid w:val="00D50132"/>
    <w:rsid w:val="00D505DD"/>
    <w:rsid w:val="00D50613"/>
    <w:rsid w:val="00D5061A"/>
    <w:rsid w:val="00D506E2"/>
    <w:rsid w:val="00D50B11"/>
    <w:rsid w:val="00D50BBB"/>
    <w:rsid w:val="00D50E42"/>
    <w:rsid w:val="00D51011"/>
    <w:rsid w:val="00D51279"/>
    <w:rsid w:val="00D5127B"/>
    <w:rsid w:val="00D51513"/>
    <w:rsid w:val="00D51658"/>
    <w:rsid w:val="00D51664"/>
    <w:rsid w:val="00D51B17"/>
    <w:rsid w:val="00D51D4F"/>
    <w:rsid w:val="00D51DD0"/>
    <w:rsid w:val="00D51E23"/>
    <w:rsid w:val="00D51F8F"/>
    <w:rsid w:val="00D52262"/>
    <w:rsid w:val="00D5231F"/>
    <w:rsid w:val="00D5249B"/>
    <w:rsid w:val="00D52655"/>
    <w:rsid w:val="00D52793"/>
    <w:rsid w:val="00D52AA0"/>
    <w:rsid w:val="00D52AC9"/>
    <w:rsid w:val="00D52D09"/>
    <w:rsid w:val="00D52E58"/>
    <w:rsid w:val="00D52F35"/>
    <w:rsid w:val="00D532AB"/>
    <w:rsid w:val="00D532BA"/>
    <w:rsid w:val="00D53608"/>
    <w:rsid w:val="00D5385C"/>
    <w:rsid w:val="00D53AF4"/>
    <w:rsid w:val="00D53B72"/>
    <w:rsid w:val="00D53C6A"/>
    <w:rsid w:val="00D5402F"/>
    <w:rsid w:val="00D54354"/>
    <w:rsid w:val="00D54449"/>
    <w:rsid w:val="00D54507"/>
    <w:rsid w:val="00D54596"/>
    <w:rsid w:val="00D548AC"/>
    <w:rsid w:val="00D54DB9"/>
    <w:rsid w:val="00D54F75"/>
    <w:rsid w:val="00D54FB5"/>
    <w:rsid w:val="00D5516D"/>
    <w:rsid w:val="00D553AB"/>
    <w:rsid w:val="00D55589"/>
    <w:rsid w:val="00D55708"/>
    <w:rsid w:val="00D5582E"/>
    <w:rsid w:val="00D55965"/>
    <w:rsid w:val="00D559D3"/>
    <w:rsid w:val="00D55C48"/>
    <w:rsid w:val="00D55FD9"/>
    <w:rsid w:val="00D5616E"/>
    <w:rsid w:val="00D5662E"/>
    <w:rsid w:val="00D56689"/>
    <w:rsid w:val="00D5680D"/>
    <w:rsid w:val="00D56979"/>
    <w:rsid w:val="00D56BAE"/>
    <w:rsid w:val="00D56C3E"/>
    <w:rsid w:val="00D5711D"/>
    <w:rsid w:val="00D57451"/>
    <w:rsid w:val="00D574BB"/>
    <w:rsid w:val="00D574FE"/>
    <w:rsid w:val="00D5783B"/>
    <w:rsid w:val="00D578B6"/>
    <w:rsid w:val="00D579BF"/>
    <w:rsid w:val="00D57D7E"/>
    <w:rsid w:val="00D602BE"/>
    <w:rsid w:val="00D602C0"/>
    <w:rsid w:val="00D60457"/>
    <w:rsid w:val="00D604F2"/>
    <w:rsid w:val="00D6053E"/>
    <w:rsid w:val="00D6056E"/>
    <w:rsid w:val="00D606DB"/>
    <w:rsid w:val="00D606F3"/>
    <w:rsid w:val="00D60767"/>
    <w:rsid w:val="00D607F2"/>
    <w:rsid w:val="00D60832"/>
    <w:rsid w:val="00D60899"/>
    <w:rsid w:val="00D60930"/>
    <w:rsid w:val="00D609CE"/>
    <w:rsid w:val="00D60A66"/>
    <w:rsid w:val="00D60A75"/>
    <w:rsid w:val="00D60EC9"/>
    <w:rsid w:val="00D61127"/>
    <w:rsid w:val="00D611E7"/>
    <w:rsid w:val="00D6139D"/>
    <w:rsid w:val="00D614E0"/>
    <w:rsid w:val="00D617C4"/>
    <w:rsid w:val="00D619E4"/>
    <w:rsid w:val="00D61A24"/>
    <w:rsid w:val="00D61D3B"/>
    <w:rsid w:val="00D61E5D"/>
    <w:rsid w:val="00D62022"/>
    <w:rsid w:val="00D62086"/>
    <w:rsid w:val="00D6222F"/>
    <w:rsid w:val="00D62396"/>
    <w:rsid w:val="00D624D6"/>
    <w:rsid w:val="00D62630"/>
    <w:rsid w:val="00D626A8"/>
    <w:rsid w:val="00D627E7"/>
    <w:rsid w:val="00D62AD7"/>
    <w:rsid w:val="00D62B29"/>
    <w:rsid w:val="00D62BAB"/>
    <w:rsid w:val="00D62E17"/>
    <w:rsid w:val="00D62EC0"/>
    <w:rsid w:val="00D630BB"/>
    <w:rsid w:val="00D63133"/>
    <w:rsid w:val="00D63257"/>
    <w:rsid w:val="00D63332"/>
    <w:rsid w:val="00D63401"/>
    <w:rsid w:val="00D6340F"/>
    <w:rsid w:val="00D63426"/>
    <w:rsid w:val="00D63539"/>
    <w:rsid w:val="00D63757"/>
    <w:rsid w:val="00D63A82"/>
    <w:rsid w:val="00D63BD1"/>
    <w:rsid w:val="00D63E01"/>
    <w:rsid w:val="00D63E9F"/>
    <w:rsid w:val="00D64237"/>
    <w:rsid w:val="00D6431F"/>
    <w:rsid w:val="00D64B9C"/>
    <w:rsid w:val="00D64D00"/>
    <w:rsid w:val="00D64D61"/>
    <w:rsid w:val="00D64DAB"/>
    <w:rsid w:val="00D64E75"/>
    <w:rsid w:val="00D64EC5"/>
    <w:rsid w:val="00D64EF8"/>
    <w:rsid w:val="00D64F05"/>
    <w:rsid w:val="00D64F72"/>
    <w:rsid w:val="00D6506C"/>
    <w:rsid w:val="00D652C4"/>
    <w:rsid w:val="00D653F8"/>
    <w:rsid w:val="00D6540C"/>
    <w:rsid w:val="00D655AC"/>
    <w:rsid w:val="00D655F7"/>
    <w:rsid w:val="00D656FB"/>
    <w:rsid w:val="00D65719"/>
    <w:rsid w:val="00D65A4E"/>
    <w:rsid w:val="00D65BD7"/>
    <w:rsid w:val="00D65EE4"/>
    <w:rsid w:val="00D65EE7"/>
    <w:rsid w:val="00D66088"/>
    <w:rsid w:val="00D66128"/>
    <w:rsid w:val="00D66416"/>
    <w:rsid w:val="00D667A6"/>
    <w:rsid w:val="00D668A5"/>
    <w:rsid w:val="00D66BF5"/>
    <w:rsid w:val="00D66D79"/>
    <w:rsid w:val="00D66DCE"/>
    <w:rsid w:val="00D66F08"/>
    <w:rsid w:val="00D6715C"/>
    <w:rsid w:val="00D67178"/>
    <w:rsid w:val="00D671B8"/>
    <w:rsid w:val="00D6750F"/>
    <w:rsid w:val="00D67558"/>
    <w:rsid w:val="00D67931"/>
    <w:rsid w:val="00D6795F"/>
    <w:rsid w:val="00D67973"/>
    <w:rsid w:val="00D679AB"/>
    <w:rsid w:val="00D67B19"/>
    <w:rsid w:val="00D67DFC"/>
    <w:rsid w:val="00D67EAB"/>
    <w:rsid w:val="00D67EF4"/>
    <w:rsid w:val="00D702E7"/>
    <w:rsid w:val="00D705B6"/>
    <w:rsid w:val="00D705B8"/>
    <w:rsid w:val="00D706A8"/>
    <w:rsid w:val="00D7081B"/>
    <w:rsid w:val="00D7094D"/>
    <w:rsid w:val="00D70A6B"/>
    <w:rsid w:val="00D70AE9"/>
    <w:rsid w:val="00D70BB0"/>
    <w:rsid w:val="00D70C6B"/>
    <w:rsid w:val="00D70E5C"/>
    <w:rsid w:val="00D70E84"/>
    <w:rsid w:val="00D70EEF"/>
    <w:rsid w:val="00D7126F"/>
    <w:rsid w:val="00D713FB"/>
    <w:rsid w:val="00D715BE"/>
    <w:rsid w:val="00D717EE"/>
    <w:rsid w:val="00D7186D"/>
    <w:rsid w:val="00D7190E"/>
    <w:rsid w:val="00D71937"/>
    <w:rsid w:val="00D719F1"/>
    <w:rsid w:val="00D71A74"/>
    <w:rsid w:val="00D71B3C"/>
    <w:rsid w:val="00D71B6C"/>
    <w:rsid w:val="00D71B79"/>
    <w:rsid w:val="00D71CBB"/>
    <w:rsid w:val="00D720B5"/>
    <w:rsid w:val="00D7219E"/>
    <w:rsid w:val="00D72630"/>
    <w:rsid w:val="00D72816"/>
    <w:rsid w:val="00D7295D"/>
    <w:rsid w:val="00D72B0D"/>
    <w:rsid w:val="00D72BC3"/>
    <w:rsid w:val="00D72BEE"/>
    <w:rsid w:val="00D72FF1"/>
    <w:rsid w:val="00D73220"/>
    <w:rsid w:val="00D73297"/>
    <w:rsid w:val="00D734C8"/>
    <w:rsid w:val="00D736A2"/>
    <w:rsid w:val="00D73A1A"/>
    <w:rsid w:val="00D73B85"/>
    <w:rsid w:val="00D73FE1"/>
    <w:rsid w:val="00D73FE8"/>
    <w:rsid w:val="00D74073"/>
    <w:rsid w:val="00D74097"/>
    <w:rsid w:val="00D7421B"/>
    <w:rsid w:val="00D742CF"/>
    <w:rsid w:val="00D74393"/>
    <w:rsid w:val="00D7459B"/>
    <w:rsid w:val="00D74A09"/>
    <w:rsid w:val="00D74A54"/>
    <w:rsid w:val="00D74D26"/>
    <w:rsid w:val="00D74D9C"/>
    <w:rsid w:val="00D74F5F"/>
    <w:rsid w:val="00D75002"/>
    <w:rsid w:val="00D75056"/>
    <w:rsid w:val="00D750DD"/>
    <w:rsid w:val="00D751CB"/>
    <w:rsid w:val="00D752B9"/>
    <w:rsid w:val="00D757BB"/>
    <w:rsid w:val="00D7580E"/>
    <w:rsid w:val="00D75864"/>
    <w:rsid w:val="00D758A1"/>
    <w:rsid w:val="00D75947"/>
    <w:rsid w:val="00D75B7B"/>
    <w:rsid w:val="00D75D82"/>
    <w:rsid w:val="00D75EC0"/>
    <w:rsid w:val="00D75EC4"/>
    <w:rsid w:val="00D76178"/>
    <w:rsid w:val="00D764CC"/>
    <w:rsid w:val="00D7660E"/>
    <w:rsid w:val="00D7678B"/>
    <w:rsid w:val="00D7685F"/>
    <w:rsid w:val="00D76ACF"/>
    <w:rsid w:val="00D76C83"/>
    <w:rsid w:val="00D76E61"/>
    <w:rsid w:val="00D77020"/>
    <w:rsid w:val="00D77395"/>
    <w:rsid w:val="00D775A0"/>
    <w:rsid w:val="00D77619"/>
    <w:rsid w:val="00D77644"/>
    <w:rsid w:val="00D7788C"/>
    <w:rsid w:val="00D778C9"/>
    <w:rsid w:val="00D77CF8"/>
    <w:rsid w:val="00D800D7"/>
    <w:rsid w:val="00D803F1"/>
    <w:rsid w:val="00D8070E"/>
    <w:rsid w:val="00D80863"/>
    <w:rsid w:val="00D80898"/>
    <w:rsid w:val="00D808B1"/>
    <w:rsid w:val="00D80FEC"/>
    <w:rsid w:val="00D81083"/>
    <w:rsid w:val="00D813F0"/>
    <w:rsid w:val="00D81573"/>
    <w:rsid w:val="00D815BF"/>
    <w:rsid w:val="00D817EF"/>
    <w:rsid w:val="00D81A82"/>
    <w:rsid w:val="00D81DC4"/>
    <w:rsid w:val="00D82135"/>
    <w:rsid w:val="00D821FB"/>
    <w:rsid w:val="00D8222C"/>
    <w:rsid w:val="00D8242C"/>
    <w:rsid w:val="00D82514"/>
    <w:rsid w:val="00D8260A"/>
    <w:rsid w:val="00D8279B"/>
    <w:rsid w:val="00D828C6"/>
    <w:rsid w:val="00D82990"/>
    <w:rsid w:val="00D82992"/>
    <w:rsid w:val="00D829D3"/>
    <w:rsid w:val="00D82A7A"/>
    <w:rsid w:val="00D82B07"/>
    <w:rsid w:val="00D82B64"/>
    <w:rsid w:val="00D831EF"/>
    <w:rsid w:val="00D8379C"/>
    <w:rsid w:val="00D840E6"/>
    <w:rsid w:val="00D840F7"/>
    <w:rsid w:val="00D84269"/>
    <w:rsid w:val="00D843AE"/>
    <w:rsid w:val="00D843B6"/>
    <w:rsid w:val="00D84419"/>
    <w:rsid w:val="00D8473E"/>
    <w:rsid w:val="00D8477B"/>
    <w:rsid w:val="00D84874"/>
    <w:rsid w:val="00D84BA4"/>
    <w:rsid w:val="00D84DA9"/>
    <w:rsid w:val="00D84DD8"/>
    <w:rsid w:val="00D8503A"/>
    <w:rsid w:val="00D85138"/>
    <w:rsid w:val="00D85139"/>
    <w:rsid w:val="00D85625"/>
    <w:rsid w:val="00D8563F"/>
    <w:rsid w:val="00D85918"/>
    <w:rsid w:val="00D8597D"/>
    <w:rsid w:val="00D85DF2"/>
    <w:rsid w:val="00D86131"/>
    <w:rsid w:val="00D861B3"/>
    <w:rsid w:val="00D86440"/>
    <w:rsid w:val="00D86511"/>
    <w:rsid w:val="00D86659"/>
    <w:rsid w:val="00D86765"/>
    <w:rsid w:val="00D868C6"/>
    <w:rsid w:val="00D86B80"/>
    <w:rsid w:val="00D86C8D"/>
    <w:rsid w:val="00D86D6A"/>
    <w:rsid w:val="00D872CB"/>
    <w:rsid w:val="00D877C4"/>
    <w:rsid w:val="00D8786A"/>
    <w:rsid w:val="00D87DC8"/>
    <w:rsid w:val="00D90176"/>
    <w:rsid w:val="00D901FE"/>
    <w:rsid w:val="00D90238"/>
    <w:rsid w:val="00D90304"/>
    <w:rsid w:val="00D9069E"/>
    <w:rsid w:val="00D90A3F"/>
    <w:rsid w:val="00D90B24"/>
    <w:rsid w:val="00D90EFE"/>
    <w:rsid w:val="00D90F8B"/>
    <w:rsid w:val="00D91280"/>
    <w:rsid w:val="00D91420"/>
    <w:rsid w:val="00D9151B"/>
    <w:rsid w:val="00D915F6"/>
    <w:rsid w:val="00D9177E"/>
    <w:rsid w:val="00D91907"/>
    <w:rsid w:val="00D91917"/>
    <w:rsid w:val="00D919A4"/>
    <w:rsid w:val="00D91A84"/>
    <w:rsid w:val="00D91D36"/>
    <w:rsid w:val="00D91D43"/>
    <w:rsid w:val="00D91FD0"/>
    <w:rsid w:val="00D9212A"/>
    <w:rsid w:val="00D92164"/>
    <w:rsid w:val="00D92B6C"/>
    <w:rsid w:val="00D92DF6"/>
    <w:rsid w:val="00D92E74"/>
    <w:rsid w:val="00D92EE7"/>
    <w:rsid w:val="00D93053"/>
    <w:rsid w:val="00D9310B"/>
    <w:rsid w:val="00D93376"/>
    <w:rsid w:val="00D933FB"/>
    <w:rsid w:val="00D93AFD"/>
    <w:rsid w:val="00D93B40"/>
    <w:rsid w:val="00D93B76"/>
    <w:rsid w:val="00D93D90"/>
    <w:rsid w:val="00D93E1D"/>
    <w:rsid w:val="00D93FE3"/>
    <w:rsid w:val="00D94000"/>
    <w:rsid w:val="00D942A0"/>
    <w:rsid w:val="00D942EB"/>
    <w:rsid w:val="00D9432D"/>
    <w:rsid w:val="00D944CF"/>
    <w:rsid w:val="00D94714"/>
    <w:rsid w:val="00D94C55"/>
    <w:rsid w:val="00D94CD2"/>
    <w:rsid w:val="00D94ECE"/>
    <w:rsid w:val="00D950B2"/>
    <w:rsid w:val="00D95640"/>
    <w:rsid w:val="00D957F0"/>
    <w:rsid w:val="00D958F3"/>
    <w:rsid w:val="00D95A50"/>
    <w:rsid w:val="00D95D55"/>
    <w:rsid w:val="00D95DBF"/>
    <w:rsid w:val="00D95EEB"/>
    <w:rsid w:val="00D95EF7"/>
    <w:rsid w:val="00D95F15"/>
    <w:rsid w:val="00D95FD5"/>
    <w:rsid w:val="00D9608D"/>
    <w:rsid w:val="00D960F2"/>
    <w:rsid w:val="00D9629C"/>
    <w:rsid w:val="00D96352"/>
    <w:rsid w:val="00D96441"/>
    <w:rsid w:val="00D9645E"/>
    <w:rsid w:val="00D96727"/>
    <w:rsid w:val="00D969C3"/>
    <w:rsid w:val="00D96A26"/>
    <w:rsid w:val="00D96B76"/>
    <w:rsid w:val="00D96BB3"/>
    <w:rsid w:val="00D96DEE"/>
    <w:rsid w:val="00D97140"/>
    <w:rsid w:val="00D97224"/>
    <w:rsid w:val="00D97308"/>
    <w:rsid w:val="00D9776A"/>
    <w:rsid w:val="00D97872"/>
    <w:rsid w:val="00D979BD"/>
    <w:rsid w:val="00D97BDD"/>
    <w:rsid w:val="00D97D34"/>
    <w:rsid w:val="00D97D3A"/>
    <w:rsid w:val="00DA020A"/>
    <w:rsid w:val="00DA04F9"/>
    <w:rsid w:val="00DA0518"/>
    <w:rsid w:val="00DA0561"/>
    <w:rsid w:val="00DA0C21"/>
    <w:rsid w:val="00DA0F08"/>
    <w:rsid w:val="00DA0FD0"/>
    <w:rsid w:val="00DA1049"/>
    <w:rsid w:val="00DA10E3"/>
    <w:rsid w:val="00DA1252"/>
    <w:rsid w:val="00DA16E4"/>
    <w:rsid w:val="00DA1780"/>
    <w:rsid w:val="00DA1782"/>
    <w:rsid w:val="00DA1931"/>
    <w:rsid w:val="00DA1FE6"/>
    <w:rsid w:val="00DA20F6"/>
    <w:rsid w:val="00DA2227"/>
    <w:rsid w:val="00DA226D"/>
    <w:rsid w:val="00DA236F"/>
    <w:rsid w:val="00DA23CE"/>
    <w:rsid w:val="00DA2564"/>
    <w:rsid w:val="00DA25B5"/>
    <w:rsid w:val="00DA25CB"/>
    <w:rsid w:val="00DA25DF"/>
    <w:rsid w:val="00DA27B9"/>
    <w:rsid w:val="00DA282E"/>
    <w:rsid w:val="00DA2893"/>
    <w:rsid w:val="00DA28BC"/>
    <w:rsid w:val="00DA28FC"/>
    <w:rsid w:val="00DA298E"/>
    <w:rsid w:val="00DA299C"/>
    <w:rsid w:val="00DA299D"/>
    <w:rsid w:val="00DA29D3"/>
    <w:rsid w:val="00DA2A15"/>
    <w:rsid w:val="00DA2A7D"/>
    <w:rsid w:val="00DA2B83"/>
    <w:rsid w:val="00DA2CFA"/>
    <w:rsid w:val="00DA2E0C"/>
    <w:rsid w:val="00DA2F9B"/>
    <w:rsid w:val="00DA34DC"/>
    <w:rsid w:val="00DA3572"/>
    <w:rsid w:val="00DA3B26"/>
    <w:rsid w:val="00DA3B93"/>
    <w:rsid w:val="00DA3BC3"/>
    <w:rsid w:val="00DA3C6A"/>
    <w:rsid w:val="00DA3D39"/>
    <w:rsid w:val="00DA3D79"/>
    <w:rsid w:val="00DA3D8C"/>
    <w:rsid w:val="00DA3D8D"/>
    <w:rsid w:val="00DA3DB5"/>
    <w:rsid w:val="00DA3E00"/>
    <w:rsid w:val="00DA3EC0"/>
    <w:rsid w:val="00DA4070"/>
    <w:rsid w:val="00DA40CA"/>
    <w:rsid w:val="00DA419A"/>
    <w:rsid w:val="00DA41B3"/>
    <w:rsid w:val="00DA42ED"/>
    <w:rsid w:val="00DA45B3"/>
    <w:rsid w:val="00DA476D"/>
    <w:rsid w:val="00DA47A3"/>
    <w:rsid w:val="00DA47F2"/>
    <w:rsid w:val="00DA4FD4"/>
    <w:rsid w:val="00DA52F4"/>
    <w:rsid w:val="00DA531E"/>
    <w:rsid w:val="00DA563A"/>
    <w:rsid w:val="00DA57CC"/>
    <w:rsid w:val="00DA580D"/>
    <w:rsid w:val="00DA593D"/>
    <w:rsid w:val="00DA5982"/>
    <w:rsid w:val="00DA59D1"/>
    <w:rsid w:val="00DA5AF0"/>
    <w:rsid w:val="00DA5BC3"/>
    <w:rsid w:val="00DA5C5D"/>
    <w:rsid w:val="00DA5D79"/>
    <w:rsid w:val="00DA5F60"/>
    <w:rsid w:val="00DA62D6"/>
    <w:rsid w:val="00DA6963"/>
    <w:rsid w:val="00DA6A5F"/>
    <w:rsid w:val="00DA6F18"/>
    <w:rsid w:val="00DA71E1"/>
    <w:rsid w:val="00DA7228"/>
    <w:rsid w:val="00DA781E"/>
    <w:rsid w:val="00DA78D5"/>
    <w:rsid w:val="00DA7A48"/>
    <w:rsid w:val="00DA7A88"/>
    <w:rsid w:val="00DA7ABE"/>
    <w:rsid w:val="00DA7D22"/>
    <w:rsid w:val="00DA7E46"/>
    <w:rsid w:val="00DB00E7"/>
    <w:rsid w:val="00DB0107"/>
    <w:rsid w:val="00DB0131"/>
    <w:rsid w:val="00DB0253"/>
    <w:rsid w:val="00DB03A7"/>
    <w:rsid w:val="00DB040A"/>
    <w:rsid w:val="00DB0596"/>
    <w:rsid w:val="00DB071F"/>
    <w:rsid w:val="00DB082D"/>
    <w:rsid w:val="00DB0DD5"/>
    <w:rsid w:val="00DB10D6"/>
    <w:rsid w:val="00DB12A7"/>
    <w:rsid w:val="00DB14A4"/>
    <w:rsid w:val="00DB170E"/>
    <w:rsid w:val="00DB18EE"/>
    <w:rsid w:val="00DB1B14"/>
    <w:rsid w:val="00DB2258"/>
    <w:rsid w:val="00DB23AF"/>
    <w:rsid w:val="00DB2690"/>
    <w:rsid w:val="00DB2849"/>
    <w:rsid w:val="00DB285C"/>
    <w:rsid w:val="00DB2A21"/>
    <w:rsid w:val="00DB3148"/>
    <w:rsid w:val="00DB332B"/>
    <w:rsid w:val="00DB3461"/>
    <w:rsid w:val="00DB3487"/>
    <w:rsid w:val="00DB3745"/>
    <w:rsid w:val="00DB380B"/>
    <w:rsid w:val="00DB39C0"/>
    <w:rsid w:val="00DB3DFB"/>
    <w:rsid w:val="00DB4038"/>
    <w:rsid w:val="00DB40E0"/>
    <w:rsid w:val="00DB4629"/>
    <w:rsid w:val="00DB492F"/>
    <w:rsid w:val="00DB4982"/>
    <w:rsid w:val="00DB49E5"/>
    <w:rsid w:val="00DB519A"/>
    <w:rsid w:val="00DB52E3"/>
    <w:rsid w:val="00DB534B"/>
    <w:rsid w:val="00DB53F8"/>
    <w:rsid w:val="00DB58D9"/>
    <w:rsid w:val="00DB5A0C"/>
    <w:rsid w:val="00DB5AB8"/>
    <w:rsid w:val="00DB5AD8"/>
    <w:rsid w:val="00DB5B24"/>
    <w:rsid w:val="00DB5B68"/>
    <w:rsid w:val="00DB5BDD"/>
    <w:rsid w:val="00DB5DCF"/>
    <w:rsid w:val="00DB5EB4"/>
    <w:rsid w:val="00DB5FE1"/>
    <w:rsid w:val="00DB602A"/>
    <w:rsid w:val="00DB6077"/>
    <w:rsid w:val="00DB6112"/>
    <w:rsid w:val="00DB6184"/>
    <w:rsid w:val="00DB6283"/>
    <w:rsid w:val="00DB63A5"/>
    <w:rsid w:val="00DB63D5"/>
    <w:rsid w:val="00DB6595"/>
    <w:rsid w:val="00DB661B"/>
    <w:rsid w:val="00DB6786"/>
    <w:rsid w:val="00DB67C1"/>
    <w:rsid w:val="00DB6A0F"/>
    <w:rsid w:val="00DB6AB2"/>
    <w:rsid w:val="00DB6AB6"/>
    <w:rsid w:val="00DB6BAF"/>
    <w:rsid w:val="00DB6F34"/>
    <w:rsid w:val="00DB7034"/>
    <w:rsid w:val="00DB7244"/>
    <w:rsid w:val="00DB7300"/>
    <w:rsid w:val="00DB7732"/>
    <w:rsid w:val="00DB7785"/>
    <w:rsid w:val="00DB7894"/>
    <w:rsid w:val="00DB7A10"/>
    <w:rsid w:val="00DB7A17"/>
    <w:rsid w:val="00DB7A8F"/>
    <w:rsid w:val="00DB7B0B"/>
    <w:rsid w:val="00DB7B73"/>
    <w:rsid w:val="00DB7BBF"/>
    <w:rsid w:val="00DB7C53"/>
    <w:rsid w:val="00DB7C78"/>
    <w:rsid w:val="00DB7F7D"/>
    <w:rsid w:val="00DBDF43"/>
    <w:rsid w:val="00DC0141"/>
    <w:rsid w:val="00DC01BA"/>
    <w:rsid w:val="00DC062E"/>
    <w:rsid w:val="00DC093B"/>
    <w:rsid w:val="00DC0E24"/>
    <w:rsid w:val="00DC0EC3"/>
    <w:rsid w:val="00DC0EC8"/>
    <w:rsid w:val="00DC11F0"/>
    <w:rsid w:val="00DC1210"/>
    <w:rsid w:val="00DC1433"/>
    <w:rsid w:val="00DC14F4"/>
    <w:rsid w:val="00DC15B6"/>
    <w:rsid w:val="00DC1611"/>
    <w:rsid w:val="00DC1783"/>
    <w:rsid w:val="00DC1B0C"/>
    <w:rsid w:val="00DC1E3B"/>
    <w:rsid w:val="00DC1FD0"/>
    <w:rsid w:val="00DC23C4"/>
    <w:rsid w:val="00DC24DC"/>
    <w:rsid w:val="00DC2551"/>
    <w:rsid w:val="00DC2761"/>
    <w:rsid w:val="00DC2818"/>
    <w:rsid w:val="00DC2870"/>
    <w:rsid w:val="00DC28F7"/>
    <w:rsid w:val="00DC2A71"/>
    <w:rsid w:val="00DC2B2E"/>
    <w:rsid w:val="00DC2BFA"/>
    <w:rsid w:val="00DC2D91"/>
    <w:rsid w:val="00DC2EF7"/>
    <w:rsid w:val="00DC30E2"/>
    <w:rsid w:val="00DC322F"/>
    <w:rsid w:val="00DC33E6"/>
    <w:rsid w:val="00DC34CE"/>
    <w:rsid w:val="00DC3540"/>
    <w:rsid w:val="00DC3BD9"/>
    <w:rsid w:val="00DC3E35"/>
    <w:rsid w:val="00DC3E44"/>
    <w:rsid w:val="00DC3E9F"/>
    <w:rsid w:val="00DC3EE4"/>
    <w:rsid w:val="00DC4028"/>
    <w:rsid w:val="00DC40EA"/>
    <w:rsid w:val="00DC4537"/>
    <w:rsid w:val="00DC4586"/>
    <w:rsid w:val="00DC468F"/>
    <w:rsid w:val="00DC48AD"/>
    <w:rsid w:val="00DC49BD"/>
    <w:rsid w:val="00DC4D7A"/>
    <w:rsid w:val="00DC4DCE"/>
    <w:rsid w:val="00DC4F92"/>
    <w:rsid w:val="00DC4FE3"/>
    <w:rsid w:val="00DC54C0"/>
    <w:rsid w:val="00DC566C"/>
    <w:rsid w:val="00DC5934"/>
    <w:rsid w:val="00DC59BA"/>
    <w:rsid w:val="00DC5B25"/>
    <w:rsid w:val="00DC5CE4"/>
    <w:rsid w:val="00DC5D50"/>
    <w:rsid w:val="00DC5E43"/>
    <w:rsid w:val="00DC5F0D"/>
    <w:rsid w:val="00DC5F65"/>
    <w:rsid w:val="00DC6765"/>
    <w:rsid w:val="00DC6AB7"/>
    <w:rsid w:val="00DC6DB5"/>
    <w:rsid w:val="00DC6EBE"/>
    <w:rsid w:val="00DC7119"/>
    <w:rsid w:val="00DC71CF"/>
    <w:rsid w:val="00DC768B"/>
    <w:rsid w:val="00DC7A30"/>
    <w:rsid w:val="00DD0278"/>
    <w:rsid w:val="00DD0686"/>
    <w:rsid w:val="00DD0704"/>
    <w:rsid w:val="00DD0912"/>
    <w:rsid w:val="00DD0AAD"/>
    <w:rsid w:val="00DD0D59"/>
    <w:rsid w:val="00DD0D93"/>
    <w:rsid w:val="00DD0F49"/>
    <w:rsid w:val="00DD114D"/>
    <w:rsid w:val="00DD1355"/>
    <w:rsid w:val="00DD147F"/>
    <w:rsid w:val="00DD1598"/>
    <w:rsid w:val="00DD17A7"/>
    <w:rsid w:val="00DD17D4"/>
    <w:rsid w:val="00DD1B9B"/>
    <w:rsid w:val="00DD20BF"/>
    <w:rsid w:val="00DD211A"/>
    <w:rsid w:val="00DD21EB"/>
    <w:rsid w:val="00DD223D"/>
    <w:rsid w:val="00DD2286"/>
    <w:rsid w:val="00DD22CD"/>
    <w:rsid w:val="00DD2358"/>
    <w:rsid w:val="00DD2361"/>
    <w:rsid w:val="00DD2399"/>
    <w:rsid w:val="00DD259E"/>
    <w:rsid w:val="00DD275F"/>
    <w:rsid w:val="00DD286B"/>
    <w:rsid w:val="00DD2DD9"/>
    <w:rsid w:val="00DD2EDC"/>
    <w:rsid w:val="00DD30A2"/>
    <w:rsid w:val="00DD3212"/>
    <w:rsid w:val="00DD3268"/>
    <w:rsid w:val="00DD3435"/>
    <w:rsid w:val="00DD34A1"/>
    <w:rsid w:val="00DD3F8D"/>
    <w:rsid w:val="00DD4342"/>
    <w:rsid w:val="00DD4549"/>
    <w:rsid w:val="00DD463A"/>
    <w:rsid w:val="00DD4857"/>
    <w:rsid w:val="00DD4964"/>
    <w:rsid w:val="00DD49D3"/>
    <w:rsid w:val="00DD4BC1"/>
    <w:rsid w:val="00DD4D26"/>
    <w:rsid w:val="00DD4E4B"/>
    <w:rsid w:val="00DD4F77"/>
    <w:rsid w:val="00DD5126"/>
    <w:rsid w:val="00DD53F2"/>
    <w:rsid w:val="00DD54E3"/>
    <w:rsid w:val="00DD5558"/>
    <w:rsid w:val="00DD57A4"/>
    <w:rsid w:val="00DD5AC8"/>
    <w:rsid w:val="00DD61AF"/>
    <w:rsid w:val="00DD657A"/>
    <w:rsid w:val="00DD69D9"/>
    <w:rsid w:val="00DD69E8"/>
    <w:rsid w:val="00DD6AD2"/>
    <w:rsid w:val="00DD6CC8"/>
    <w:rsid w:val="00DD6D18"/>
    <w:rsid w:val="00DD6F5C"/>
    <w:rsid w:val="00DD6F79"/>
    <w:rsid w:val="00DD71B4"/>
    <w:rsid w:val="00DD7228"/>
    <w:rsid w:val="00DD722E"/>
    <w:rsid w:val="00DD7277"/>
    <w:rsid w:val="00DD73A9"/>
    <w:rsid w:val="00DD7432"/>
    <w:rsid w:val="00DD7755"/>
    <w:rsid w:val="00DD7ADC"/>
    <w:rsid w:val="00DD7BE6"/>
    <w:rsid w:val="00DD7E6F"/>
    <w:rsid w:val="00DD7E9C"/>
    <w:rsid w:val="00DE001B"/>
    <w:rsid w:val="00DE021B"/>
    <w:rsid w:val="00DE0321"/>
    <w:rsid w:val="00DE06DC"/>
    <w:rsid w:val="00DE09EA"/>
    <w:rsid w:val="00DE0AB6"/>
    <w:rsid w:val="00DE0B0C"/>
    <w:rsid w:val="00DE0BC7"/>
    <w:rsid w:val="00DE0C68"/>
    <w:rsid w:val="00DE0D2A"/>
    <w:rsid w:val="00DE0E95"/>
    <w:rsid w:val="00DE12EA"/>
    <w:rsid w:val="00DE140F"/>
    <w:rsid w:val="00DE1474"/>
    <w:rsid w:val="00DE14C1"/>
    <w:rsid w:val="00DE16AE"/>
    <w:rsid w:val="00DE1C40"/>
    <w:rsid w:val="00DE1CE3"/>
    <w:rsid w:val="00DE1D7D"/>
    <w:rsid w:val="00DE2009"/>
    <w:rsid w:val="00DE2226"/>
    <w:rsid w:val="00DE234A"/>
    <w:rsid w:val="00DE2578"/>
    <w:rsid w:val="00DE25B6"/>
    <w:rsid w:val="00DE2B70"/>
    <w:rsid w:val="00DE2D4A"/>
    <w:rsid w:val="00DE2FE5"/>
    <w:rsid w:val="00DE302C"/>
    <w:rsid w:val="00DE3113"/>
    <w:rsid w:val="00DE31E1"/>
    <w:rsid w:val="00DE32C0"/>
    <w:rsid w:val="00DE3351"/>
    <w:rsid w:val="00DE367B"/>
    <w:rsid w:val="00DE381D"/>
    <w:rsid w:val="00DE38DD"/>
    <w:rsid w:val="00DE39EF"/>
    <w:rsid w:val="00DE3A63"/>
    <w:rsid w:val="00DE3E6C"/>
    <w:rsid w:val="00DE41F9"/>
    <w:rsid w:val="00DE42C8"/>
    <w:rsid w:val="00DE4427"/>
    <w:rsid w:val="00DE45D7"/>
    <w:rsid w:val="00DE4719"/>
    <w:rsid w:val="00DE4729"/>
    <w:rsid w:val="00DE4752"/>
    <w:rsid w:val="00DE477E"/>
    <w:rsid w:val="00DE4892"/>
    <w:rsid w:val="00DE48C5"/>
    <w:rsid w:val="00DE4973"/>
    <w:rsid w:val="00DE4B4D"/>
    <w:rsid w:val="00DE4B4F"/>
    <w:rsid w:val="00DE4C38"/>
    <w:rsid w:val="00DE4CAE"/>
    <w:rsid w:val="00DE4FB6"/>
    <w:rsid w:val="00DE5420"/>
    <w:rsid w:val="00DE5638"/>
    <w:rsid w:val="00DE59A2"/>
    <w:rsid w:val="00DE59FC"/>
    <w:rsid w:val="00DE5ABA"/>
    <w:rsid w:val="00DE5B2B"/>
    <w:rsid w:val="00DE5BA7"/>
    <w:rsid w:val="00DE5C30"/>
    <w:rsid w:val="00DE5C49"/>
    <w:rsid w:val="00DE5E26"/>
    <w:rsid w:val="00DE5FEA"/>
    <w:rsid w:val="00DE618E"/>
    <w:rsid w:val="00DE6310"/>
    <w:rsid w:val="00DE6769"/>
    <w:rsid w:val="00DE6805"/>
    <w:rsid w:val="00DE68B4"/>
    <w:rsid w:val="00DE68F1"/>
    <w:rsid w:val="00DE6979"/>
    <w:rsid w:val="00DE6BD8"/>
    <w:rsid w:val="00DE6C79"/>
    <w:rsid w:val="00DE7015"/>
    <w:rsid w:val="00DE71CD"/>
    <w:rsid w:val="00DE737B"/>
    <w:rsid w:val="00DE765F"/>
    <w:rsid w:val="00DE7692"/>
    <w:rsid w:val="00DE783E"/>
    <w:rsid w:val="00DE7934"/>
    <w:rsid w:val="00DE7A5A"/>
    <w:rsid w:val="00DE7A8E"/>
    <w:rsid w:val="00DE7C35"/>
    <w:rsid w:val="00DE7D16"/>
    <w:rsid w:val="00DE7D17"/>
    <w:rsid w:val="00DE7E85"/>
    <w:rsid w:val="00DF0043"/>
    <w:rsid w:val="00DF023D"/>
    <w:rsid w:val="00DF059C"/>
    <w:rsid w:val="00DF06D6"/>
    <w:rsid w:val="00DF06F0"/>
    <w:rsid w:val="00DF0750"/>
    <w:rsid w:val="00DF07C7"/>
    <w:rsid w:val="00DF0844"/>
    <w:rsid w:val="00DF085E"/>
    <w:rsid w:val="00DF0946"/>
    <w:rsid w:val="00DF0E74"/>
    <w:rsid w:val="00DF0FC3"/>
    <w:rsid w:val="00DF12C6"/>
    <w:rsid w:val="00DF131A"/>
    <w:rsid w:val="00DF1428"/>
    <w:rsid w:val="00DF1533"/>
    <w:rsid w:val="00DF16A6"/>
    <w:rsid w:val="00DF1824"/>
    <w:rsid w:val="00DF1988"/>
    <w:rsid w:val="00DF1CA2"/>
    <w:rsid w:val="00DF1F5E"/>
    <w:rsid w:val="00DF22C3"/>
    <w:rsid w:val="00DF22D4"/>
    <w:rsid w:val="00DF2470"/>
    <w:rsid w:val="00DF26B3"/>
    <w:rsid w:val="00DF2861"/>
    <w:rsid w:val="00DF29E2"/>
    <w:rsid w:val="00DF2E15"/>
    <w:rsid w:val="00DF2F92"/>
    <w:rsid w:val="00DF2FA9"/>
    <w:rsid w:val="00DF3037"/>
    <w:rsid w:val="00DF3070"/>
    <w:rsid w:val="00DF30ED"/>
    <w:rsid w:val="00DF3437"/>
    <w:rsid w:val="00DF3539"/>
    <w:rsid w:val="00DF359E"/>
    <w:rsid w:val="00DF3AC7"/>
    <w:rsid w:val="00DF3DF0"/>
    <w:rsid w:val="00DF4016"/>
    <w:rsid w:val="00DF4195"/>
    <w:rsid w:val="00DF41DB"/>
    <w:rsid w:val="00DF4367"/>
    <w:rsid w:val="00DF451D"/>
    <w:rsid w:val="00DF4612"/>
    <w:rsid w:val="00DF4A91"/>
    <w:rsid w:val="00DF4FC9"/>
    <w:rsid w:val="00DF5601"/>
    <w:rsid w:val="00DF585F"/>
    <w:rsid w:val="00DF58E0"/>
    <w:rsid w:val="00DF59CB"/>
    <w:rsid w:val="00DF5AC2"/>
    <w:rsid w:val="00DF608E"/>
    <w:rsid w:val="00DF60A5"/>
    <w:rsid w:val="00DF6125"/>
    <w:rsid w:val="00DF6BD6"/>
    <w:rsid w:val="00DF6C91"/>
    <w:rsid w:val="00DF6F8A"/>
    <w:rsid w:val="00DF6FB2"/>
    <w:rsid w:val="00DF7078"/>
    <w:rsid w:val="00DF72EC"/>
    <w:rsid w:val="00DF760D"/>
    <w:rsid w:val="00DF7717"/>
    <w:rsid w:val="00DF7A46"/>
    <w:rsid w:val="00E000C8"/>
    <w:rsid w:val="00E00385"/>
    <w:rsid w:val="00E005BA"/>
    <w:rsid w:val="00E00679"/>
    <w:rsid w:val="00E00FB3"/>
    <w:rsid w:val="00E0106E"/>
    <w:rsid w:val="00E01221"/>
    <w:rsid w:val="00E01531"/>
    <w:rsid w:val="00E015C2"/>
    <w:rsid w:val="00E01772"/>
    <w:rsid w:val="00E0177E"/>
    <w:rsid w:val="00E019D6"/>
    <w:rsid w:val="00E019F5"/>
    <w:rsid w:val="00E01A69"/>
    <w:rsid w:val="00E01BE9"/>
    <w:rsid w:val="00E01CF1"/>
    <w:rsid w:val="00E01DCF"/>
    <w:rsid w:val="00E0206E"/>
    <w:rsid w:val="00E02076"/>
    <w:rsid w:val="00E021A4"/>
    <w:rsid w:val="00E0224C"/>
    <w:rsid w:val="00E023B0"/>
    <w:rsid w:val="00E0248E"/>
    <w:rsid w:val="00E02A0C"/>
    <w:rsid w:val="00E02F0D"/>
    <w:rsid w:val="00E03029"/>
    <w:rsid w:val="00E0303C"/>
    <w:rsid w:val="00E030FD"/>
    <w:rsid w:val="00E0345A"/>
    <w:rsid w:val="00E03559"/>
    <w:rsid w:val="00E03635"/>
    <w:rsid w:val="00E03843"/>
    <w:rsid w:val="00E038C1"/>
    <w:rsid w:val="00E03924"/>
    <w:rsid w:val="00E0399E"/>
    <w:rsid w:val="00E03ABD"/>
    <w:rsid w:val="00E03BAE"/>
    <w:rsid w:val="00E03BB4"/>
    <w:rsid w:val="00E03C4D"/>
    <w:rsid w:val="00E03F0A"/>
    <w:rsid w:val="00E03F1F"/>
    <w:rsid w:val="00E040BE"/>
    <w:rsid w:val="00E04392"/>
    <w:rsid w:val="00E0487C"/>
    <w:rsid w:val="00E04942"/>
    <w:rsid w:val="00E04A76"/>
    <w:rsid w:val="00E04B93"/>
    <w:rsid w:val="00E04BD0"/>
    <w:rsid w:val="00E04E2D"/>
    <w:rsid w:val="00E04E45"/>
    <w:rsid w:val="00E05223"/>
    <w:rsid w:val="00E054CE"/>
    <w:rsid w:val="00E058CB"/>
    <w:rsid w:val="00E059B9"/>
    <w:rsid w:val="00E05F42"/>
    <w:rsid w:val="00E06214"/>
    <w:rsid w:val="00E0621D"/>
    <w:rsid w:val="00E06270"/>
    <w:rsid w:val="00E06600"/>
    <w:rsid w:val="00E066E6"/>
    <w:rsid w:val="00E066ED"/>
    <w:rsid w:val="00E069C5"/>
    <w:rsid w:val="00E06A6A"/>
    <w:rsid w:val="00E06A9A"/>
    <w:rsid w:val="00E06C5B"/>
    <w:rsid w:val="00E06D04"/>
    <w:rsid w:val="00E06DC5"/>
    <w:rsid w:val="00E070A6"/>
    <w:rsid w:val="00E073CC"/>
    <w:rsid w:val="00E076A2"/>
    <w:rsid w:val="00E076E8"/>
    <w:rsid w:val="00E078A7"/>
    <w:rsid w:val="00E10035"/>
    <w:rsid w:val="00E1010E"/>
    <w:rsid w:val="00E10146"/>
    <w:rsid w:val="00E10281"/>
    <w:rsid w:val="00E105DA"/>
    <w:rsid w:val="00E1071F"/>
    <w:rsid w:val="00E108BD"/>
    <w:rsid w:val="00E10AC2"/>
    <w:rsid w:val="00E10D5B"/>
    <w:rsid w:val="00E10E3A"/>
    <w:rsid w:val="00E10E63"/>
    <w:rsid w:val="00E1116E"/>
    <w:rsid w:val="00E11393"/>
    <w:rsid w:val="00E117F8"/>
    <w:rsid w:val="00E11927"/>
    <w:rsid w:val="00E11CC2"/>
    <w:rsid w:val="00E11D0D"/>
    <w:rsid w:val="00E11D98"/>
    <w:rsid w:val="00E11E66"/>
    <w:rsid w:val="00E11F98"/>
    <w:rsid w:val="00E12180"/>
    <w:rsid w:val="00E1229A"/>
    <w:rsid w:val="00E122E1"/>
    <w:rsid w:val="00E12445"/>
    <w:rsid w:val="00E126F4"/>
    <w:rsid w:val="00E12841"/>
    <w:rsid w:val="00E12A03"/>
    <w:rsid w:val="00E12AC6"/>
    <w:rsid w:val="00E12AE6"/>
    <w:rsid w:val="00E12B0D"/>
    <w:rsid w:val="00E12B53"/>
    <w:rsid w:val="00E12CF1"/>
    <w:rsid w:val="00E12D9D"/>
    <w:rsid w:val="00E12E96"/>
    <w:rsid w:val="00E12FB6"/>
    <w:rsid w:val="00E13305"/>
    <w:rsid w:val="00E13392"/>
    <w:rsid w:val="00E134F2"/>
    <w:rsid w:val="00E1377E"/>
    <w:rsid w:val="00E138DD"/>
    <w:rsid w:val="00E1396B"/>
    <w:rsid w:val="00E13C85"/>
    <w:rsid w:val="00E13F4C"/>
    <w:rsid w:val="00E13F98"/>
    <w:rsid w:val="00E141F5"/>
    <w:rsid w:val="00E14418"/>
    <w:rsid w:val="00E14493"/>
    <w:rsid w:val="00E14550"/>
    <w:rsid w:val="00E14659"/>
    <w:rsid w:val="00E147E8"/>
    <w:rsid w:val="00E14844"/>
    <w:rsid w:val="00E14979"/>
    <w:rsid w:val="00E14A7F"/>
    <w:rsid w:val="00E14B28"/>
    <w:rsid w:val="00E14BFD"/>
    <w:rsid w:val="00E14CB8"/>
    <w:rsid w:val="00E14F01"/>
    <w:rsid w:val="00E14F68"/>
    <w:rsid w:val="00E15417"/>
    <w:rsid w:val="00E15471"/>
    <w:rsid w:val="00E15687"/>
    <w:rsid w:val="00E15A0E"/>
    <w:rsid w:val="00E15A3B"/>
    <w:rsid w:val="00E16023"/>
    <w:rsid w:val="00E16066"/>
    <w:rsid w:val="00E16176"/>
    <w:rsid w:val="00E163C5"/>
    <w:rsid w:val="00E166DC"/>
    <w:rsid w:val="00E167F8"/>
    <w:rsid w:val="00E16878"/>
    <w:rsid w:val="00E16B39"/>
    <w:rsid w:val="00E16F0E"/>
    <w:rsid w:val="00E17514"/>
    <w:rsid w:val="00E17709"/>
    <w:rsid w:val="00E1776E"/>
    <w:rsid w:val="00E17A28"/>
    <w:rsid w:val="00E17B6A"/>
    <w:rsid w:val="00E17B7D"/>
    <w:rsid w:val="00E17C8B"/>
    <w:rsid w:val="00E20363"/>
    <w:rsid w:val="00E2068C"/>
    <w:rsid w:val="00E20862"/>
    <w:rsid w:val="00E2092F"/>
    <w:rsid w:val="00E2094C"/>
    <w:rsid w:val="00E20A00"/>
    <w:rsid w:val="00E20FEB"/>
    <w:rsid w:val="00E21026"/>
    <w:rsid w:val="00E21065"/>
    <w:rsid w:val="00E2106E"/>
    <w:rsid w:val="00E21082"/>
    <w:rsid w:val="00E2122F"/>
    <w:rsid w:val="00E21347"/>
    <w:rsid w:val="00E214F6"/>
    <w:rsid w:val="00E21611"/>
    <w:rsid w:val="00E21800"/>
    <w:rsid w:val="00E21860"/>
    <w:rsid w:val="00E218AE"/>
    <w:rsid w:val="00E21D5D"/>
    <w:rsid w:val="00E2201C"/>
    <w:rsid w:val="00E221B8"/>
    <w:rsid w:val="00E22513"/>
    <w:rsid w:val="00E225B5"/>
    <w:rsid w:val="00E22707"/>
    <w:rsid w:val="00E227C4"/>
    <w:rsid w:val="00E227ED"/>
    <w:rsid w:val="00E22A8F"/>
    <w:rsid w:val="00E22B72"/>
    <w:rsid w:val="00E22C91"/>
    <w:rsid w:val="00E22E95"/>
    <w:rsid w:val="00E22F59"/>
    <w:rsid w:val="00E23025"/>
    <w:rsid w:val="00E23079"/>
    <w:rsid w:val="00E2322C"/>
    <w:rsid w:val="00E2325F"/>
    <w:rsid w:val="00E233C0"/>
    <w:rsid w:val="00E23430"/>
    <w:rsid w:val="00E23783"/>
    <w:rsid w:val="00E237B0"/>
    <w:rsid w:val="00E23B74"/>
    <w:rsid w:val="00E23EC1"/>
    <w:rsid w:val="00E240DC"/>
    <w:rsid w:val="00E241EE"/>
    <w:rsid w:val="00E2434E"/>
    <w:rsid w:val="00E2448F"/>
    <w:rsid w:val="00E2452D"/>
    <w:rsid w:val="00E24779"/>
    <w:rsid w:val="00E24909"/>
    <w:rsid w:val="00E249A9"/>
    <w:rsid w:val="00E24A2C"/>
    <w:rsid w:val="00E24A56"/>
    <w:rsid w:val="00E24CFC"/>
    <w:rsid w:val="00E24D05"/>
    <w:rsid w:val="00E24F2F"/>
    <w:rsid w:val="00E24FBA"/>
    <w:rsid w:val="00E25080"/>
    <w:rsid w:val="00E25125"/>
    <w:rsid w:val="00E253C0"/>
    <w:rsid w:val="00E25532"/>
    <w:rsid w:val="00E2554C"/>
    <w:rsid w:val="00E2572A"/>
    <w:rsid w:val="00E25834"/>
    <w:rsid w:val="00E25942"/>
    <w:rsid w:val="00E25B23"/>
    <w:rsid w:val="00E25B9F"/>
    <w:rsid w:val="00E25DF3"/>
    <w:rsid w:val="00E25DFA"/>
    <w:rsid w:val="00E2608B"/>
    <w:rsid w:val="00E26145"/>
    <w:rsid w:val="00E261C4"/>
    <w:rsid w:val="00E2637F"/>
    <w:rsid w:val="00E2645C"/>
    <w:rsid w:val="00E2657E"/>
    <w:rsid w:val="00E265F3"/>
    <w:rsid w:val="00E26714"/>
    <w:rsid w:val="00E2692F"/>
    <w:rsid w:val="00E26C2F"/>
    <w:rsid w:val="00E26CBD"/>
    <w:rsid w:val="00E26F63"/>
    <w:rsid w:val="00E27236"/>
    <w:rsid w:val="00E2728A"/>
    <w:rsid w:val="00E27747"/>
    <w:rsid w:val="00E27BBC"/>
    <w:rsid w:val="00E27C0D"/>
    <w:rsid w:val="00E27CD6"/>
    <w:rsid w:val="00E27D42"/>
    <w:rsid w:val="00E27F80"/>
    <w:rsid w:val="00E27FE4"/>
    <w:rsid w:val="00E3024B"/>
    <w:rsid w:val="00E3032B"/>
    <w:rsid w:val="00E3061C"/>
    <w:rsid w:val="00E306A1"/>
    <w:rsid w:val="00E3079C"/>
    <w:rsid w:val="00E307EB"/>
    <w:rsid w:val="00E307F8"/>
    <w:rsid w:val="00E30927"/>
    <w:rsid w:val="00E30CF4"/>
    <w:rsid w:val="00E30E22"/>
    <w:rsid w:val="00E30EF8"/>
    <w:rsid w:val="00E30F29"/>
    <w:rsid w:val="00E30FDC"/>
    <w:rsid w:val="00E31657"/>
    <w:rsid w:val="00E31780"/>
    <w:rsid w:val="00E31919"/>
    <w:rsid w:val="00E31943"/>
    <w:rsid w:val="00E31A59"/>
    <w:rsid w:val="00E31ACA"/>
    <w:rsid w:val="00E31BA4"/>
    <w:rsid w:val="00E31C59"/>
    <w:rsid w:val="00E31E27"/>
    <w:rsid w:val="00E31E4B"/>
    <w:rsid w:val="00E321D8"/>
    <w:rsid w:val="00E32485"/>
    <w:rsid w:val="00E326A7"/>
    <w:rsid w:val="00E32759"/>
    <w:rsid w:val="00E32840"/>
    <w:rsid w:val="00E3288A"/>
    <w:rsid w:val="00E3294F"/>
    <w:rsid w:val="00E32A93"/>
    <w:rsid w:val="00E32AF2"/>
    <w:rsid w:val="00E32B88"/>
    <w:rsid w:val="00E32C0D"/>
    <w:rsid w:val="00E32C69"/>
    <w:rsid w:val="00E32D63"/>
    <w:rsid w:val="00E330EE"/>
    <w:rsid w:val="00E33229"/>
    <w:rsid w:val="00E33329"/>
    <w:rsid w:val="00E335C5"/>
    <w:rsid w:val="00E337D8"/>
    <w:rsid w:val="00E33828"/>
    <w:rsid w:val="00E3382B"/>
    <w:rsid w:val="00E3399E"/>
    <w:rsid w:val="00E33A26"/>
    <w:rsid w:val="00E33BC0"/>
    <w:rsid w:val="00E33C6E"/>
    <w:rsid w:val="00E33CC4"/>
    <w:rsid w:val="00E33DC6"/>
    <w:rsid w:val="00E34254"/>
    <w:rsid w:val="00E34424"/>
    <w:rsid w:val="00E34578"/>
    <w:rsid w:val="00E346C0"/>
    <w:rsid w:val="00E34766"/>
    <w:rsid w:val="00E347B3"/>
    <w:rsid w:val="00E347C2"/>
    <w:rsid w:val="00E34927"/>
    <w:rsid w:val="00E3492F"/>
    <w:rsid w:val="00E34A8D"/>
    <w:rsid w:val="00E34DAD"/>
    <w:rsid w:val="00E34ECF"/>
    <w:rsid w:val="00E34F0E"/>
    <w:rsid w:val="00E3508F"/>
    <w:rsid w:val="00E350C9"/>
    <w:rsid w:val="00E351A1"/>
    <w:rsid w:val="00E35318"/>
    <w:rsid w:val="00E35354"/>
    <w:rsid w:val="00E35448"/>
    <w:rsid w:val="00E35561"/>
    <w:rsid w:val="00E3562A"/>
    <w:rsid w:val="00E35684"/>
    <w:rsid w:val="00E35851"/>
    <w:rsid w:val="00E35BC7"/>
    <w:rsid w:val="00E35E99"/>
    <w:rsid w:val="00E3602A"/>
    <w:rsid w:val="00E36132"/>
    <w:rsid w:val="00E361CB"/>
    <w:rsid w:val="00E36301"/>
    <w:rsid w:val="00E365D3"/>
    <w:rsid w:val="00E365F9"/>
    <w:rsid w:val="00E36AF9"/>
    <w:rsid w:val="00E36DD7"/>
    <w:rsid w:val="00E36E4E"/>
    <w:rsid w:val="00E36E50"/>
    <w:rsid w:val="00E36F4F"/>
    <w:rsid w:val="00E37248"/>
    <w:rsid w:val="00E37317"/>
    <w:rsid w:val="00E373B7"/>
    <w:rsid w:val="00E375A6"/>
    <w:rsid w:val="00E37697"/>
    <w:rsid w:val="00E37729"/>
    <w:rsid w:val="00E378C3"/>
    <w:rsid w:val="00E378E4"/>
    <w:rsid w:val="00E37BE8"/>
    <w:rsid w:val="00E37D23"/>
    <w:rsid w:val="00E37EAB"/>
    <w:rsid w:val="00E37F75"/>
    <w:rsid w:val="00E3E7BF"/>
    <w:rsid w:val="00E401E3"/>
    <w:rsid w:val="00E40259"/>
    <w:rsid w:val="00E403A9"/>
    <w:rsid w:val="00E40694"/>
    <w:rsid w:val="00E40751"/>
    <w:rsid w:val="00E40AE5"/>
    <w:rsid w:val="00E40B09"/>
    <w:rsid w:val="00E40B7D"/>
    <w:rsid w:val="00E40CA4"/>
    <w:rsid w:val="00E40CC1"/>
    <w:rsid w:val="00E40D13"/>
    <w:rsid w:val="00E41211"/>
    <w:rsid w:val="00E413A2"/>
    <w:rsid w:val="00E41464"/>
    <w:rsid w:val="00E414C5"/>
    <w:rsid w:val="00E4155D"/>
    <w:rsid w:val="00E4158D"/>
    <w:rsid w:val="00E416DC"/>
    <w:rsid w:val="00E416F5"/>
    <w:rsid w:val="00E4172E"/>
    <w:rsid w:val="00E417E8"/>
    <w:rsid w:val="00E418E0"/>
    <w:rsid w:val="00E41956"/>
    <w:rsid w:val="00E419C6"/>
    <w:rsid w:val="00E41ABE"/>
    <w:rsid w:val="00E41D09"/>
    <w:rsid w:val="00E41E30"/>
    <w:rsid w:val="00E42192"/>
    <w:rsid w:val="00E42227"/>
    <w:rsid w:val="00E42264"/>
    <w:rsid w:val="00E42277"/>
    <w:rsid w:val="00E4238B"/>
    <w:rsid w:val="00E425E6"/>
    <w:rsid w:val="00E4275C"/>
    <w:rsid w:val="00E42B02"/>
    <w:rsid w:val="00E42DEF"/>
    <w:rsid w:val="00E42E28"/>
    <w:rsid w:val="00E42E85"/>
    <w:rsid w:val="00E430A2"/>
    <w:rsid w:val="00E43122"/>
    <w:rsid w:val="00E431F8"/>
    <w:rsid w:val="00E438A0"/>
    <w:rsid w:val="00E4397B"/>
    <w:rsid w:val="00E43D34"/>
    <w:rsid w:val="00E43E67"/>
    <w:rsid w:val="00E43E72"/>
    <w:rsid w:val="00E43EF0"/>
    <w:rsid w:val="00E43FBF"/>
    <w:rsid w:val="00E4419A"/>
    <w:rsid w:val="00E442B4"/>
    <w:rsid w:val="00E443A8"/>
    <w:rsid w:val="00E44519"/>
    <w:rsid w:val="00E44581"/>
    <w:rsid w:val="00E44880"/>
    <w:rsid w:val="00E4492C"/>
    <w:rsid w:val="00E44ACC"/>
    <w:rsid w:val="00E44DA8"/>
    <w:rsid w:val="00E44DD8"/>
    <w:rsid w:val="00E45035"/>
    <w:rsid w:val="00E45146"/>
    <w:rsid w:val="00E452C3"/>
    <w:rsid w:val="00E454DC"/>
    <w:rsid w:val="00E45701"/>
    <w:rsid w:val="00E45769"/>
    <w:rsid w:val="00E45AD2"/>
    <w:rsid w:val="00E45B9A"/>
    <w:rsid w:val="00E45C7E"/>
    <w:rsid w:val="00E45DBE"/>
    <w:rsid w:val="00E45E60"/>
    <w:rsid w:val="00E45F4E"/>
    <w:rsid w:val="00E460A3"/>
    <w:rsid w:val="00E462DF"/>
    <w:rsid w:val="00E4630B"/>
    <w:rsid w:val="00E4635E"/>
    <w:rsid w:val="00E46511"/>
    <w:rsid w:val="00E4654E"/>
    <w:rsid w:val="00E466B5"/>
    <w:rsid w:val="00E46794"/>
    <w:rsid w:val="00E46869"/>
    <w:rsid w:val="00E46B29"/>
    <w:rsid w:val="00E46F1D"/>
    <w:rsid w:val="00E471BB"/>
    <w:rsid w:val="00E47318"/>
    <w:rsid w:val="00E47550"/>
    <w:rsid w:val="00E47555"/>
    <w:rsid w:val="00E4782F"/>
    <w:rsid w:val="00E47967"/>
    <w:rsid w:val="00E47EE4"/>
    <w:rsid w:val="00E50328"/>
    <w:rsid w:val="00E50332"/>
    <w:rsid w:val="00E5038E"/>
    <w:rsid w:val="00E5087C"/>
    <w:rsid w:val="00E508AB"/>
    <w:rsid w:val="00E50A4D"/>
    <w:rsid w:val="00E50B82"/>
    <w:rsid w:val="00E50BC4"/>
    <w:rsid w:val="00E50CC5"/>
    <w:rsid w:val="00E513E1"/>
    <w:rsid w:val="00E51443"/>
    <w:rsid w:val="00E514F3"/>
    <w:rsid w:val="00E5154D"/>
    <w:rsid w:val="00E515CC"/>
    <w:rsid w:val="00E51723"/>
    <w:rsid w:val="00E517F8"/>
    <w:rsid w:val="00E51822"/>
    <w:rsid w:val="00E5184D"/>
    <w:rsid w:val="00E51A09"/>
    <w:rsid w:val="00E51ABC"/>
    <w:rsid w:val="00E520D3"/>
    <w:rsid w:val="00E52258"/>
    <w:rsid w:val="00E52363"/>
    <w:rsid w:val="00E52416"/>
    <w:rsid w:val="00E527F5"/>
    <w:rsid w:val="00E52B3E"/>
    <w:rsid w:val="00E52BBE"/>
    <w:rsid w:val="00E52CF6"/>
    <w:rsid w:val="00E52DB4"/>
    <w:rsid w:val="00E52E35"/>
    <w:rsid w:val="00E53126"/>
    <w:rsid w:val="00E533F3"/>
    <w:rsid w:val="00E5343C"/>
    <w:rsid w:val="00E534E1"/>
    <w:rsid w:val="00E53522"/>
    <w:rsid w:val="00E53530"/>
    <w:rsid w:val="00E535B6"/>
    <w:rsid w:val="00E53612"/>
    <w:rsid w:val="00E538DA"/>
    <w:rsid w:val="00E53A5D"/>
    <w:rsid w:val="00E53D2A"/>
    <w:rsid w:val="00E53DCB"/>
    <w:rsid w:val="00E53E05"/>
    <w:rsid w:val="00E53FF0"/>
    <w:rsid w:val="00E54163"/>
    <w:rsid w:val="00E54346"/>
    <w:rsid w:val="00E543D9"/>
    <w:rsid w:val="00E546D3"/>
    <w:rsid w:val="00E548F2"/>
    <w:rsid w:val="00E54B93"/>
    <w:rsid w:val="00E54C17"/>
    <w:rsid w:val="00E54DDA"/>
    <w:rsid w:val="00E54F22"/>
    <w:rsid w:val="00E5509F"/>
    <w:rsid w:val="00E55187"/>
    <w:rsid w:val="00E55189"/>
    <w:rsid w:val="00E5527C"/>
    <w:rsid w:val="00E5546D"/>
    <w:rsid w:val="00E55517"/>
    <w:rsid w:val="00E557F9"/>
    <w:rsid w:val="00E5599C"/>
    <w:rsid w:val="00E55BC9"/>
    <w:rsid w:val="00E55EAF"/>
    <w:rsid w:val="00E55ED5"/>
    <w:rsid w:val="00E560D6"/>
    <w:rsid w:val="00E56140"/>
    <w:rsid w:val="00E561A2"/>
    <w:rsid w:val="00E564A0"/>
    <w:rsid w:val="00E56620"/>
    <w:rsid w:val="00E567BE"/>
    <w:rsid w:val="00E56BFC"/>
    <w:rsid w:val="00E56D51"/>
    <w:rsid w:val="00E56F5D"/>
    <w:rsid w:val="00E570BE"/>
    <w:rsid w:val="00E572AB"/>
    <w:rsid w:val="00E572FC"/>
    <w:rsid w:val="00E574BB"/>
    <w:rsid w:val="00E57630"/>
    <w:rsid w:val="00E57785"/>
    <w:rsid w:val="00E579AD"/>
    <w:rsid w:val="00E57C00"/>
    <w:rsid w:val="00E57C6A"/>
    <w:rsid w:val="00E60148"/>
    <w:rsid w:val="00E60412"/>
    <w:rsid w:val="00E604F0"/>
    <w:rsid w:val="00E60513"/>
    <w:rsid w:val="00E60695"/>
    <w:rsid w:val="00E60728"/>
    <w:rsid w:val="00E60A36"/>
    <w:rsid w:val="00E60ABA"/>
    <w:rsid w:val="00E60BAC"/>
    <w:rsid w:val="00E60C5F"/>
    <w:rsid w:val="00E60F73"/>
    <w:rsid w:val="00E610CD"/>
    <w:rsid w:val="00E6150B"/>
    <w:rsid w:val="00E61825"/>
    <w:rsid w:val="00E6194A"/>
    <w:rsid w:val="00E619C9"/>
    <w:rsid w:val="00E619F3"/>
    <w:rsid w:val="00E61AAB"/>
    <w:rsid w:val="00E61B5A"/>
    <w:rsid w:val="00E61CDA"/>
    <w:rsid w:val="00E61D45"/>
    <w:rsid w:val="00E61E11"/>
    <w:rsid w:val="00E61E99"/>
    <w:rsid w:val="00E61EC3"/>
    <w:rsid w:val="00E620FD"/>
    <w:rsid w:val="00E6218B"/>
    <w:rsid w:val="00E6224B"/>
    <w:rsid w:val="00E623A1"/>
    <w:rsid w:val="00E6240D"/>
    <w:rsid w:val="00E62562"/>
    <w:rsid w:val="00E626CF"/>
    <w:rsid w:val="00E6280E"/>
    <w:rsid w:val="00E62A35"/>
    <w:rsid w:val="00E62E62"/>
    <w:rsid w:val="00E62E6E"/>
    <w:rsid w:val="00E62FBC"/>
    <w:rsid w:val="00E62FF6"/>
    <w:rsid w:val="00E633BA"/>
    <w:rsid w:val="00E635CB"/>
    <w:rsid w:val="00E636BB"/>
    <w:rsid w:val="00E637F1"/>
    <w:rsid w:val="00E638E1"/>
    <w:rsid w:val="00E638FC"/>
    <w:rsid w:val="00E63940"/>
    <w:rsid w:val="00E639EE"/>
    <w:rsid w:val="00E63E38"/>
    <w:rsid w:val="00E63E92"/>
    <w:rsid w:val="00E63E94"/>
    <w:rsid w:val="00E6416A"/>
    <w:rsid w:val="00E642AE"/>
    <w:rsid w:val="00E643C1"/>
    <w:rsid w:val="00E64555"/>
    <w:rsid w:val="00E6461D"/>
    <w:rsid w:val="00E64646"/>
    <w:rsid w:val="00E64691"/>
    <w:rsid w:val="00E646E8"/>
    <w:rsid w:val="00E6472E"/>
    <w:rsid w:val="00E6476C"/>
    <w:rsid w:val="00E64783"/>
    <w:rsid w:val="00E647FE"/>
    <w:rsid w:val="00E6489A"/>
    <w:rsid w:val="00E64FB1"/>
    <w:rsid w:val="00E65015"/>
    <w:rsid w:val="00E6511A"/>
    <w:rsid w:val="00E651CF"/>
    <w:rsid w:val="00E65225"/>
    <w:rsid w:val="00E655A8"/>
    <w:rsid w:val="00E6580D"/>
    <w:rsid w:val="00E65A75"/>
    <w:rsid w:val="00E65B47"/>
    <w:rsid w:val="00E65C63"/>
    <w:rsid w:val="00E66084"/>
    <w:rsid w:val="00E6630B"/>
    <w:rsid w:val="00E663B1"/>
    <w:rsid w:val="00E66A0E"/>
    <w:rsid w:val="00E66A47"/>
    <w:rsid w:val="00E66FA3"/>
    <w:rsid w:val="00E67090"/>
    <w:rsid w:val="00E671FF"/>
    <w:rsid w:val="00E677CC"/>
    <w:rsid w:val="00E6780C"/>
    <w:rsid w:val="00E6782E"/>
    <w:rsid w:val="00E67CC7"/>
    <w:rsid w:val="00E67DD1"/>
    <w:rsid w:val="00E67EC8"/>
    <w:rsid w:val="00E67FB7"/>
    <w:rsid w:val="00E67FEF"/>
    <w:rsid w:val="00E70108"/>
    <w:rsid w:val="00E7047B"/>
    <w:rsid w:val="00E70676"/>
    <w:rsid w:val="00E706E1"/>
    <w:rsid w:val="00E70901"/>
    <w:rsid w:val="00E7097C"/>
    <w:rsid w:val="00E70988"/>
    <w:rsid w:val="00E71286"/>
    <w:rsid w:val="00E71312"/>
    <w:rsid w:val="00E7131D"/>
    <w:rsid w:val="00E714DC"/>
    <w:rsid w:val="00E71783"/>
    <w:rsid w:val="00E7192B"/>
    <w:rsid w:val="00E71CBD"/>
    <w:rsid w:val="00E71D36"/>
    <w:rsid w:val="00E71E1C"/>
    <w:rsid w:val="00E71E68"/>
    <w:rsid w:val="00E71F60"/>
    <w:rsid w:val="00E7203E"/>
    <w:rsid w:val="00E72141"/>
    <w:rsid w:val="00E727CB"/>
    <w:rsid w:val="00E72866"/>
    <w:rsid w:val="00E72B62"/>
    <w:rsid w:val="00E72DBE"/>
    <w:rsid w:val="00E73014"/>
    <w:rsid w:val="00E73437"/>
    <w:rsid w:val="00E73682"/>
    <w:rsid w:val="00E736E3"/>
    <w:rsid w:val="00E73765"/>
    <w:rsid w:val="00E738D0"/>
    <w:rsid w:val="00E738E7"/>
    <w:rsid w:val="00E7394C"/>
    <w:rsid w:val="00E73A3B"/>
    <w:rsid w:val="00E73B7B"/>
    <w:rsid w:val="00E73BA2"/>
    <w:rsid w:val="00E73BF4"/>
    <w:rsid w:val="00E73C2F"/>
    <w:rsid w:val="00E73CD3"/>
    <w:rsid w:val="00E73D1B"/>
    <w:rsid w:val="00E73D46"/>
    <w:rsid w:val="00E73F79"/>
    <w:rsid w:val="00E74047"/>
    <w:rsid w:val="00E740EF"/>
    <w:rsid w:val="00E74114"/>
    <w:rsid w:val="00E74247"/>
    <w:rsid w:val="00E74373"/>
    <w:rsid w:val="00E7452D"/>
    <w:rsid w:val="00E745FA"/>
    <w:rsid w:val="00E74637"/>
    <w:rsid w:val="00E74857"/>
    <w:rsid w:val="00E748C0"/>
    <w:rsid w:val="00E7498A"/>
    <w:rsid w:val="00E74B0E"/>
    <w:rsid w:val="00E74BFC"/>
    <w:rsid w:val="00E74E29"/>
    <w:rsid w:val="00E74EF3"/>
    <w:rsid w:val="00E75005"/>
    <w:rsid w:val="00E753E8"/>
    <w:rsid w:val="00E75461"/>
    <w:rsid w:val="00E7552F"/>
    <w:rsid w:val="00E7581E"/>
    <w:rsid w:val="00E75A02"/>
    <w:rsid w:val="00E75B93"/>
    <w:rsid w:val="00E7601F"/>
    <w:rsid w:val="00E765D0"/>
    <w:rsid w:val="00E769FB"/>
    <w:rsid w:val="00E76B34"/>
    <w:rsid w:val="00E76D3F"/>
    <w:rsid w:val="00E76DA3"/>
    <w:rsid w:val="00E76E2A"/>
    <w:rsid w:val="00E76E38"/>
    <w:rsid w:val="00E76E9F"/>
    <w:rsid w:val="00E76FA3"/>
    <w:rsid w:val="00E770BF"/>
    <w:rsid w:val="00E770C9"/>
    <w:rsid w:val="00E77735"/>
    <w:rsid w:val="00E77B79"/>
    <w:rsid w:val="00E77CB4"/>
    <w:rsid w:val="00E77D34"/>
    <w:rsid w:val="00E77F96"/>
    <w:rsid w:val="00E80118"/>
    <w:rsid w:val="00E80510"/>
    <w:rsid w:val="00E80525"/>
    <w:rsid w:val="00E80660"/>
    <w:rsid w:val="00E8071B"/>
    <w:rsid w:val="00E80886"/>
    <w:rsid w:val="00E809A0"/>
    <w:rsid w:val="00E80C56"/>
    <w:rsid w:val="00E80F25"/>
    <w:rsid w:val="00E81428"/>
    <w:rsid w:val="00E8164C"/>
    <w:rsid w:val="00E817F7"/>
    <w:rsid w:val="00E8187C"/>
    <w:rsid w:val="00E81B0D"/>
    <w:rsid w:val="00E81BC3"/>
    <w:rsid w:val="00E81D2A"/>
    <w:rsid w:val="00E81E2C"/>
    <w:rsid w:val="00E81E41"/>
    <w:rsid w:val="00E825DB"/>
    <w:rsid w:val="00E8268B"/>
    <w:rsid w:val="00E827AC"/>
    <w:rsid w:val="00E82AB8"/>
    <w:rsid w:val="00E82ADB"/>
    <w:rsid w:val="00E82B9F"/>
    <w:rsid w:val="00E82E2A"/>
    <w:rsid w:val="00E82ECA"/>
    <w:rsid w:val="00E82FA2"/>
    <w:rsid w:val="00E8316E"/>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43C"/>
    <w:rsid w:val="00E8448A"/>
    <w:rsid w:val="00E84663"/>
    <w:rsid w:val="00E84706"/>
    <w:rsid w:val="00E84740"/>
    <w:rsid w:val="00E84792"/>
    <w:rsid w:val="00E852D4"/>
    <w:rsid w:val="00E853F1"/>
    <w:rsid w:val="00E85689"/>
    <w:rsid w:val="00E856F6"/>
    <w:rsid w:val="00E858EE"/>
    <w:rsid w:val="00E85B39"/>
    <w:rsid w:val="00E85E7D"/>
    <w:rsid w:val="00E85EBF"/>
    <w:rsid w:val="00E85FD2"/>
    <w:rsid w:val="00E860A8"/>
    <w:rsid w:val="00E860B3"/>
    <w:rsid w:val="00E8613D"/>
    <w:rsid w:val="00E8619D"/>
    <w:rsid w:val="00E863E9"/>
    <w:rsid w:val="00E86459"/>
    <w:rsid w:val="00E86703"/>
    <w:rsid w:val="00E868D4"/>
    <w:rsid w:val="00E86976"/>
    <w:rsid w:val="00E869A2"/>
    <w:rsid w:val="00E869FC"/>
    <w:rsid w:val="00E86B53"/>
    <w:rsid w:val="00E86C4E"/>
    <w:rsid w:val="00E86CB1"/>
    <w:rsid w:val="00E87012"/>
    <w:rsid w:val="00E872C6"/>
    <w:rsid w:val="00E8748C"/>
    <w:rsid w:val="00E87492"/>
    <w:rsid w:val="00E8756A"/>
    <w:rsid w:val="00E8757B"/>
    <w:rsid w:val="00E87915"/>
    <w:rsid w:val="00E87A23"/>
    <w:rsid w:val="00E87A5B"/>
    <w:rsid w:val="00E87CB9"/>
    <w:rsid w:val="00E87D8F"/>
    <w:rsid w:val="00E87DF3"/>
    <w:rsid w:val="00E87EFC"/>
    <w:rsid w:val="00E87F6C"/>
    <w:rsid w:val="00E90795"/>
    <w:rsid w:val="00E90A8A"/>
    <w:rsid w:val="00E90C3F"/>
    <w:rsid w:val="00E90DAE"/>
    <w:rsid w:val="00E90E09"/>
    <w:rsid w:val="00E90FC4"/>
    <w:rsid w:val="00E910E8"/>
    <w:rsid w:val="00E912DE"/>
    <w:rsid w:val="00E9174F"/>
    <w:rsid w:val="00E9189C"/>
    <w:rsid w:val="00E918BB"/>
    <w:rsid w:val="00E91942"/>
    <w:rsid w:val="00E91BAB"/>
    <w:rsid w:val="00E91C42"/>
    <w:rsid w:val="00E91DD0"/>
    <w:rsid w:val="00E91E47"/>
    <w:rsid w:val="00E92150"/>
    <w:rsid w:val="00E922F3"/>
    <w:rsid w:val="00E9230F"/>
    <w:rsid w:val="00E92702"/>
    <w:rsid w:val="00E92760"/>
    <w:rsid w:val="00E92AC0"/>
    <w:rsid w:val="00E92DF1"/>
    <w:rsid w:val="00E92ED6"/>
    <w:rsid w:val="00E92F1B"/>
    <w:rsid w:val="00E9319F"/>
    <w:rsid w:val="00E931D3"/>
    <w:rsid w:val="00E93350"/>
    <w:rsid w:val="00E933A5"/>
    <w:rsid w:val="00E9343C"/>
    <w:rsid w:val="00E9346C"/>
    <w:rsid w:val="00E9383C"/>
    <w:rsid w:val="00E93888"/>
    <w:rsid w:val="00E93892"/>
    <w:rsid w:val="00E939D5"/>
    <w:rsid w:val="00E93A2D"/>
    <w:rsid w:val="00E93AA5"/>
    <w:rsid w:val="00E94197"/>
    <w:rsid w:val="00E94212"/>
    <w:rsid w:val="00E94232"/>
    <w:rsid w:val="00E943B4"/>
    <w:rsid w:val="00E943EC"/>
    <w:rsid w:val="00E944D7"/>
    <w:rsid w:val="00E9479D"/>
    <w:rsid w:val="00E947D0"/>
    <w:rsid w:val="00E94845"/>
    <w:rsid w:val="00E94886"/>
    <w:rsid w:val="00E94979"/>
    <w:rsid w:val="00E94A7C"/>
    <w:rsid w:val="00E94D5A"/>
    <w:rsid w:val="00E94E0A"/>
    <w:rsid w:val="00E955E9"/>
    <w:rsid w:val="00E9578D"/>
    <w:rsid w:val="00E9598D"/>
    <w:rsid w:val="00E95A07"/>
    <w:rsid w:val="00E95FC1"/>
    <w:rsid w:val="00E96093"/>
    <w:rsid w:val="00E96103"/>
    <w:rsid w:val="00E961D3"/>
    <w:rsid w:val="00E9623B"/>
    <w:rsid w:val="00E9649A"/>
    <w:rsid w:val="00E96FD2"/>
    <w:rsid w:val="00E9729E"/>
    <w:rsid w:val="00E974CF"/>
    <w:rsid w:val="00E976FA"/>
    <w:rsid w:val="00E97B3A"/>
    <w:rsid w:val="00E97BBC"/>
    <w:rsid w:val="00EA0229"/>
    <w:rsid w:val="00EA03D7"/>
    <w:rsid w:val="00EA04C5"/>
    <w:rsid w:val="00EA05EE"/>
    <w:rsid w:val="00EA0684"/>
    <w:rsid w:val="00EA0CB0"/>
    <w:rsid w:val="00EA0F6E"/>
    <w:rsid w:val="00EA141A"/>
    <w:rsid w:val="00EA1438"/>
    <w:rsid w:val="00EA14A6"/>
    <w:rsid w:val="00EA15C7"/>
    <w:rsid w:val="00EA174E"/>
    <w:rsid w:val="00EA1766"/>
    <w:rsid w:val="00EA18CD"/>
    <w:rsid w:val="00EA191A"/>
    <w:rsid w:val="00EA1A4E"/>
    <w:rsid w:val="00EA1A61"/>
    <w:rsid w:val="00EA1AF5"/>
    <w:rsid w:val="00EA1E7E"/>
    <w:rsid w:val="00EA1F32"/>
    <w:rsid w:val="00EA204A"/>
    <w:rsid w:val="00EA20BA"/>
    <w:rsid w:val="00EA20E4"/>
    <w:rsid w:val="00EA2145"/>
    <w:rsid w:val="00EA227F"/>
    <w:rsid w:val="00EA22D2"/>
    <w:rsid w:val="00EA232F"/>
    <w:rsid w:val="00EA2391"/>
    <w:rsid w:val="00EA24D0"/>
    <w:rsid w:val="00EA2A0F"/>
    <w:rsid w:val="00EA2D0A"/>
    <w:rsid w:val="00EA2E7C"/>
    <w:rsid w:val="00EA31E1"/>
    <w:rsid w:val="00EA342D"/>
    <w:rsid w:val="00EA3825"/>
    <w:rsid w:val="00EA3A81"/>
    <w:rsid w:val="00EA3AEA"/>
    <w:rsid w:val="00EA3B38"/>
    <w:rsid w:val="00EA3C2F"/>
    <w:rsid w:val="00EA4257"/>
    <w:rsid w:val="00EA43E2"/>
    <w:rsid w:val="00EA46DE"/>
    <w:rsid w:val="00EA47BA"/>
    <w:rsid w:val="00EA4895"/>
    <w:rsid w:val="00EA4C44"/>
    <w:rsid w:val="00EA4C52"/>
    <w:rsid w:val="00EA4D3E"/>
    <w:rsid w:val="00EA4D4D"/>
    <w:rsid w:val="00EA4E47"/>
    <w:rsid w:val="00EA4ED8"/>
    <w:rsid w:val="00EA520D"/>
    <w:rsid w:val="00EA5225"/>
    <w:rsid w:val="00EA5397"/>
    <w:rsid w:val="00EA560D"/>
    <w:rsid w:val="00EA56C4"/>
    <w:rsid w:val="00EA5764"/>
    <w:rsid w:val="00EA593B"/>
    <w:rsid w:val="00EA5AD2"/>
    <w:rsid w:val="00EA5BF1"/>
    <w:rsid w:val="00EA5CC7"/>
    <w:rsid w:val="00EA5F28"/>
    <w:rsid w:val="00EA614E"/>
    <w:rsid w:val="00EA6789"/>
    <w:rsid w:val="00EA6B3A"/>
    <w:rsid w:val="00EA6D44"/>
    <w:rsid w:val="00EA7119"/>
    <w:rsid w:val="00EA711A"/>
    <w:rsid w:val="00EA7236"/>
    <w:rsid w:val="00EA74A0"/>
    <w:rsid w:val="00EA7646"/>
    <w:rsid w:val="00EA76DD"/>
    <w:rsid w:val="00EA77EC"/>
    <w:rsid w:val="00EA780A"/>
    <w:rsid w:val="00EA7B6E"/>
    <w:rsid w:val="00EA7C44"/>
    <w:rsid w:val="00EB03A4"/>
    <w:rsid w:val="00EB040E"/>
    <w:rsid w:val="00EB0529"/>
    <w:rsid w:val="00EB0544"/>
    <w:rsid w:val="00EB06F2"/>
    <w:rsid w:val="00EB06FE"/>
    <w:rsid w:val="00EB0F09"/>
    <w:rsid w:val="00EB0F69"/>
    <w:rsid w:val="00EB0F9C"/>
    <w:rsid w:val="00EB10CB"/>
    <w:rsid w:val="00EB136A"/>
    <w:rsid w:val="00EB1770"/>
    <w:rsid w:val="00EB19B5"/>
    <w:rsid w:val="00EB19C7"/>
    <w:rsid w:val="00EB1A75"/>
    <w:rsid w:val="00EB1D66"/>
    <w:rsid w:val="00EB1DDA"/>
    <w:rsid w:val="00EB22C5"/>
    <w:rsid w:val="00EB236A"/>
    <w:rsid w:val="00EB2397"/>
    <w:rsid w:val="00EB23EA"/>
    <w:rsid w:val="00EB2442"/>
    <w:rsid w:val="00EB244A"/>
    <w:rsid w:val="00EB27F7"/>
    <w:rsid w:val="00EB2815"/>
    <w:rsid w:val="00EB28ED"/>
    <w:rsid w:val="00EB2CA9"/>
    <w:rsid w:val="00EB2D0B"/>
    <w:rsid w:val="00EB2D3D"/>
    <w:rsid w:val="00EB2E1F"/>
    <w:rsid w:val="00EB2F06"/>
    <w:rsid w:val="00EB2F28"/>
    <w:rsid w:val="00EB308A"/>
    <w:rsid w:val="00EB30BA"/>
    <w:rsid w:val="00EB312F"/>
    <w:rsid w:val="00EB31E5"/>
    <w:rsid w:val="00EB3309"/>
    <w:rsid w:val="00EB3328"/>
    <w:rsid w:val="00EB3582"/>
    <w:rsid w:val="00EB3668"/>
    <w:rsid w:val="00EB39EF"/>
    <w:rsid w:val="00EB3C2F"/>
    <w:rsid w:val="00EB3FFB"/>
    <w:rsid w:val="00EB4132"/>
    <w:rsid w:val="00EB43D3"/>
    <w:rsid w:val="00EB442F"/>
    <w:rsid w:val="00EB46CF"/>
    <w:rsid w:val="00EB4C05"/>
    <w:rsid w:val="00EB4CC0"/>
    <w:rsid w:val="00EB4D73"/>
    <w:rsid w:val="00EB5042"/>
    <w:rsid w:val="00EB5168"/>
    <w:rsid w:val="00EB51DB"/>
    <w:rsid w:val="00EB5476"/>
    <w:rsid w:val="00EB5494"/>
    <w:rsid w:val="00EB54A5"/>
    <w:rsid w:val="00EB5525"/>
    <w:rsid w:val="00EB5621"/>
    <w:rsid w:val="00EB563B"/>
    <w:rsid w:val="00EB56F7"/>
    <w:rsid w:val="00EB586F"/>
    <w:rsid w:val="00EB5971"/>
    <w:rsid w:val="00EB5CA6"/>
    <w:rsid w:val="00EB5F05"/>
    <w:rsid w:val="00EB600B"/>
    <w:rsid w:val="00EB6054"/>
    <w:rsid w:val="00EB6267"/>
    <w:rsid w:val="00EB62EC"/>
    <w:rsid w:val="00EB64AF"/>
    <w:rsid w:val="00EB659B"/>
    <w:rsid w:val="00EB68C2"/>
    <w:rsid w:val="00EB693F"/>
    <w:rsid w:val="00EB6950"/>
    <w:rsid w:val="00EB6B65"/>
    <w:rsid w:val="00EB6CC5"/>
    <w:rsid w:val="00EB6D85"/>
    <w:rsid w:val="00EB6FED"/>
    <w:rsid w:val="00EB7018"/>
    <w:rsid w:val="00EB7062"/>
    <w:rsid w:val="00EB72E5"/>
    <w:rsid w:val="00EB7488"/>
    <w:rsid w:val="00EB7489"/>
    <w:rsid w:val="00EB7C0B"/>
    <w:rsid w:val="00EB7F95"/>
    <w:rsid w:val="00EC0016"/>
    <w:rsid w:val="00EC009D"/>
    <w:rsid w:val="00EC0207"/>
    <w:rsid w:val="00EC04A5"/>
    <w:rsid w:val="00EC050E"/>
    <w:rsid w:val="00EC0526"/>
    <w:rsid w:val="00EC072E"/>
    <w:rsid w:val="00EC087E"/>
    <w:rsid w:val="00EC0B3C"/>
    <w:rsid w:val="00EC0B8D"/>
    <w:rsid w:val="00EC0D89"/>
    <w:rsid w:val="00EC102A"/>
    <w:rsid w:val="00EC1116"/>
    <w:rsid w:val="00EC11FB"/>
    <w:rsid w:val="00EC12FB"/>
    <w:rsid w:val="00EC14FD"/>
    <w:rsid w:val="00EC169D"/>
    <w:rsid w:val="00EC181B"/>
    <w:rsid w:val="00EC1976"/>
    <w:rsid w:val="00EC1A24"/>
    <w:rsid w:val="00EC1AE3"/>
    <w:rsid w:val="00EC1B24"/>
    <w:rsid w:val="00EC1EE3"/>
    <w:rsid w:val="00EC1F6F"/>
    <w:rsid w:val="00EC1FFC"/>
    <w:rsid w:val="00EC2058"/>
    <w:rsid w:val="00EC20BC"/>
    <w:rsid w:val="00EC20FD"/>
    <w:rsid w:val="00EC2246"/>
    <w:rsid w:val="00EC26B4"/>
    <w:rsid w:val="00EC26DF"/>
    <w:rsid w:val="00EC27E7"/>
    <w:rsid w:val="00EC2A4D"/>
    <w:rsid w:val="00EC2C84"/>
    <w:rsid w:val="00EC2DE1"/>
    <w:rsid w:val="00EC3156"/>
    <w:rsid w:val="00EC3279"/>
    <w:rsid w:val="00EC3321"/>
    <w:rsid w:val="00EC3380"/>
    <w:rsid w:val="00EC34E4"/>
    <w:rsid w:val="00EC354F"/>
    <w:rsid w:val="00EC359F"/>
    <w:rsid w:val="00EC3619"/>
    <w:rsid w:val="00EC37E3"/>
    <w:rsid w:val="00EC39BE"/>
    <w:rsid w:val="00EC3BF7"/>
    <w:rsid w:val="00EC3CB5"/>
    <w:rsid w:val="00EC3E53"/>
    <w:rsid w:val="00EC43AB"/>
    <w:rsid w:val="00EC4486"/>
    <w:rsid w:val="00EC4678"/>
    <w:rsid w:val="00EC4741"/>
    <w:rsid w:val="00EC475F"/>
    <w:rsid w:val="00EC4973"/>
    <w:rsid w:val="00EC4B03"/>
    <w:rsid w:val="00EC4B37"/>
    <w:rsid w:val="00EC4B4E"/>
    <w:rsid w:val="00EC4C56"/>
    <w:rsid w:val="00EC4C60"/>
    <w:rsid w:val="00EC4D0E"/>
    <w:rsid w:val="00EC5267"/>
    <w:rsid w:val="00EC553F"/>
    <w:rsid w:val="00EC568D"/>
    <w:rsid w:val="00EC57AB"/>
    <w:rsid w:val="00EC58A4"/>
    <w:rsid w:val="00EC5930"/>
    <w:rsid w:val="00EC593D"/>
    <w:rsid w:val="00EC5A8F"/>
    <w:rsid w:val="00EC5B80"/>
    <w:rsid w:val="00EC5B97"/>
    <w:rsid w:val="00EC5EBC"/>
    <w:rsid w:val="00EC5F4D"/>
    <w:rsid w:val="00EC6218"/>
    <w:rsid w:val="00EC642F"/>
    <w:rsid w:val="00EC6457"/>
    <w:rsid w:val="00EC6570"/>
    <w:rsid w:val="00EC6620"/>
    <w:rsid w:val="00EC669A"/>
    <w:rsid w:val="00EC68CB"/>
    <w:rsid w:val="00EC6D50"/>
    <w:rsid w:val="00EC6DA2"/>
    <w:rsid w:val="00EC6F6D"/>
    <w:rsid w:val="00EC6FAF"/>
    <w:rsid w:val="00EC708D"/>
    <w:rsid w:val="00EC7248"/>
    <w:rsid w:val="00EC72FB"/>
    <w:rsid w:val="00EC7517"/>
    <w:rsid w:val="00EC760E"/>
    <w:rsid w:val="00EC7690"/>
    <w:rsid w:val="00EC78EF"/>
    <w:rsid w:val="00EC7941"/>
    <w:rsid w:val="00EC79E0"/>
    <w:rsid w:val="00EC7BCA"/>
    <w:rsid w:val="00EC7C5B"/>
    <w:rsid w:val="00EC7FE6"/>
    <w:rsid w:val="00ED0122"/>
    <w:rsid w:val="00ED030C"/>
    <w:rsid w:val="00ED04A8"/>
    <w:rsid w:val="00ED04DC"/>
    <w:rsid w:val="00ED052D"/>
    <w:rsid w:val="00ED0665"/>
    <w:rsid w:val="00ED06E1"/>
    <w:rsid w:val="00ED0889"/>
    <w:rsid w:val="00ED0A2C"/>
    <w:rsid w:val="00ED0B8B"/>
    <w:rsid w:val="00ED0B8D"/>
    <w:rsid w:val="00ED1209"/>
    <w:rsid w:val="00ED14E4"/>
    <w:rsid w:val="00ED1687"/>
    <w:rsid w:val="00ED17B5"/>
    <w:rsid w:val="00ED1AF4"/>
    <w:rsid w:val="00ED1B75"/>
    <w:rsid w:val="00ED1D76"/>
    <w:rsid w:val="00ED1E0F"/>
    <w:rsid w:val="00ED1E2D"/>
    <w:rsid w:val="00ED1E98"/>
    <w:rsid w:val="00ED1FA6"/>
    <w:rsid w:val="00ED1FF5"/>
    <w:rsid w:val="00ED2125"/>
    <w:rsid w:val="00ED23C1"/>
    <w:rsid w:val="00ED245B"/>
    <w:rsid w:val="00ED251F"/>
    <w:rsid w:val="00ED2583"/>
    <w:rsid w:val="00ED2AFE"/>
    <w:rsid w:val="00ED2BC3"/>
    <w:rsid w:val="00ED2C0F"/>
    <w:rsid w:val="00ED2D3E"/>
    <w:rsid w:val="00ED2DD0"/>
    <w:rsid w:val="00ED318F"/>
    <w:rsid w:val="00ED329E"/>
    <w:rsid w:val="00ED340D"/>
    <w:rsid w:val="00ED35AB"/>
    <w:rsid w:val="00ED35B8"/>
    <w:rsid w:val="00ED36E1"/>
    <w:rsid w:val="00ED3958"/>
    <w:rsid w:val="00ED3AB8"/>
    <w:rsid w:val="00ED4293"/>
    <w:rsid w:val="00ED45B6"/>
    <w:rsid w:val="00ED4627"/>
    <w:rsid w:val="00ED49B2"/>
    <w:rsid w:val="00ED4B1D"/>
    <w:rsid w:val="00ED4B22"/>
    <w:rsid w:val="00ED4BD7"/>
    <w:rsid w:val="00ED4EF4"/>
    <w:rsid w:val="00ED501F"/>
    <w:rsid w:val="00ED51C9"/>
    <w:rsid w:val="00ED51D2"/>
    <w:rsid w:val="00ED533C"/>
    <w:rsid w:val="00ED56C9"/>
    <w:rsid w:val="00ED5999"/>
    <w:rsid w:val="00ED5A21"/>
    <w:rsid w:val="00ED5EF8"/>
    <w:rsid w:val="00ED5F82"/>
    <w:rsid w:val="00ED61AB"/>
    <w:rsid w:val="00ED641C"/>
    <w:rsid w:val="00ED6C1A"/>
    <w:rsid w:val="00ED703F"/>
    <w:rsid w:val="00ED708C"/>
    <w:rsid w:val="00ED7125"/>
    <w:rsid w:val="00ED7193"/>
    <w:rsid w:val="00ED728E"/>
    <w:rsid w:val="00ED75D6"/>
    <w:rsid w:val="00ED76C5"/>
    <w:rsid w:val="00ED784C"/>
    <w:rsid w:val="00ED7AD0"/>
    <w:rsid w:val="00ED7BAF"/>
    <w:rsid w:val="00ED7C3D"/>
    <w:rsid w:val="00ED7DA8"/>
    <w:rsid w:val="00ED7DFA"/>
    <w:rsid w:val="00ED7F61"/>
    <w:rsid w:val="00ED7FD1"/>
    <w:rsid w:val="00EE0231"/>
    <w:rsid w:val="00EE0292"/>
    <w:rsid w:val="00EE0339"/>
    <w:rsid w:val="00EE08BB"/>
    <w:rsid w:val="00EE0C3D"/>
    <w:rsid w:val="00EE0F11"/>
    <w:rsid w:val="00EE141E"/>
    <w:rsid w:val="00EE1712"/>
    <w:rsid w:val="00EE1F5D"/>
    <w:rsid w:val="00EE1F88"/>
    <w:rsid w:val="00EE21D7"/>
    <w:rsid w:val="00EE21F6"/>
    <w:rsid w:val="00EE22F7"/>
    <w:rsid w:val="00EE257A"/>
    <w:rsid w:val="00EE26D8"/>
    <w:rsid w:val="00EE2A30"/>
    <w:rsid w:val="00EE3229"/>
    <w:rsid w:val="00EE32F2"/>
    <w:rsid w:val="00EE3528"/>
    <w:rsid w:val="00EE368E"/>
    <w:rsid w:val="00EE36DE"/>
    <w:rsid w:val="00EE376D"/>
    <w:rsid w:val="00EE393D"/>
    <w:rsid w:val="00EE39BB"/>
    <w:rsid w:val="00EE3BC0"/>
    <w:rsid w:val="00EE3BC4"/>
    <w:rsid w:val="00EE3C1A"/>
    <w:rsid w:val="00EE3C5D"/>
    <w:rsid w:val="00EE3C79"/>
    <w:rsid w:val="00EE3CAD"/>
    <w:rsid w:val="00EE3D1F"/>
    <w:rsid w:val="00EE4247"/>
    <w:rsid w:val="00EE4A92"/>
    <w:rsid w:val="00EE4ABD"/>
    <w:rsid w:val="00EE4F23"/>
    <w:rsid w:val="00EE5052"/>
    <w:rsid w:val="00EE553F"/>
    <w:rsid w:val="00EE55F5"/>
    <w:rsid w:val="00EE5607"/>
    <w:rsid w:val="00EE5A31"/>
    <w:rsid w:val="00EE5AD7"/>
    <w:rsid w:val="00EE5AE5"/>
    <w:rsid w:val="00EE5CC7"/>
    <w:rsid w:val="00EE5D62"/>
    <w:rsid w:val="00EE5EF3"/>
    <w:rsid w:val="00EE5F92"/>
    <w:rsid w:val="00EE609F"/>
    <w:rsid w:val="00EE6B34"/>
    <w:rsid w:val="00EE6B71"/>
    <w:rsid w:val="00EE6BC9"/>
    <w:rsid w:val="00EE6D31"/>
    <w:rsid w:val="00EE6E57"/>
    <w:rsid w:val="00EE6EBB"/>
    <w:rsid w:val="00EE75EC"/>
    <w:rsid w:val="00EE7704"/>
    <w:rsid w:val="00EF01BB"/>
    <w:rsid w:val="00EF02D8"/>
    <w:rsid w:val="00EF0368"/>
    <w:rsid w:val="00EF03DD"/>
    <w:rsid w:val="00EF0A1C"/>
    <w:rsid w:val="00EF0A84"/>
    <w:rsid w:val="00EF0CEB"/>
    <w:rsid w:val="00EF0DF4"/>
    <w:rsid w:val="00EF1001"/>
    <w:rsid w:val="00EF1032"/>
    <w:rsid w:val="00EF11B6"/>
    <w:rsid w:val="00EF12E9"/>
    <w:rsid w:val="00EF15CE"/>
    <w:rsid w:val="00EF15E7"/>
    <w:rsid w:val="00EF17B4"/>
    <w:rsid w:val="00EF18A7"/>
    <w:rsid w:val="00EF1995"/>
    <w:rsid w:val="00EF1AA0"/>
    <w:rsid w:val="00EF1C22"/>
    <w:rsid w:val="00EF1DF5"/>
    <w:rsid w:val="00EF2058"/>
    <w:rsid w:val="00EF20BF"/>
    <w:rsid w:val="00EF20DB"/>
    <w:rsid w:val="00EF21DD"/>
    <w:rsid w:val="00EF227B"/>
    <w:rsid w:val="00EF25DD"/>
    <w:rsid w:val="00EF2697"/>
    <w:rsid w:val="00EF27C4"/>
    <w:rsid w:val="00EF28CF"/>
    <w:rsid w:val="00EF2DE6"/>
    <w:rsid w:val="00EF3556"/>
    <w:rsid w:val="00EF36E1"/>
    <w:rsid w:val="00EF3CE4"/>
    <w:rsid w:val="00EF3F3B"/>
    <w:rsid w:val="00EF3F3F"/>
    <w:rsid w:val="00EF431A"/>
    <w:rsid w:val="00EF4333"/>
    <w:rsid w:val="00EF43A5"/>
    <w:rsid w:val="00EF460C"/>
    <w:rsid w:val="00EF4A46"/>
    <w:rsid w:val="00EF4ABB"/>
    <w:rsid w:val="00EF4C8A"/>
    <w:rsid w:val="00EF4F3E"/>
    <w:rsid w:val="00EF5088"/>
    <w:rsid w:val="00EF518A"/>
    <w:rsid w:val="00EF54DD"/>
    <w:rsid w:val="00EF5929"/>
    <w:rsid w:val="00EF5B3B"/>
    <w:rsid w:val="00EF5CC3"/>
    <w:rsid w:val="00EF5F6E"/>
    <w:rsid w:val="00EF5F7B"/>
    <w:rsid w:val="00EF5FAF"/>
    <w:rsid w:val="00EF622F"/>
    <w:rsid w:val="00EF666F"/>
    <w:rsid w:val="00EF69D5"/>
    <w:rsid w:val="00EF6A71"/>
    <w:rsid w:val="00EF6B2F"/>
    <w:rsid w:val="00EF6DDE"/>
    <w:rsid w:val="00EF6E25"/>
    <w:rsid w:val="00EF719F"/>
    <w:rsid w:val="00EF71C9"/>
    <w:rsid w:val="00EF73FF"/>
    <w:rsid w:val="00EF7735"/>
    <w:rsid w:val="00EF7A34"/>
    <w:rsid w:val="00EF7D25"/>
    <w:rsid w:val="00EF7DC9"/>
    <w:rsid w:val="00EF7E17"/>
    <w:rsid w:val="00F0019F"/>
    <w:rsid w:val="00F004AD"/>
    <w:rsid w:val="00F008D2"/>
    <w:rsid w:val="00F00909"/>
    <w:rsid w:val="00F00A13"/>
    <w:rsid w:val="00F00B0F"/>
    <w:rsid w:val="00F00BAA"/>
    <w:rsid w:val="00F00C27"/>
    <w:rsid w:val="00F00D86"/>
    <w:rsid w:val="00F00E02"/>
    <w:rsid w:val="00F00E75"/>
    <w:rsid w:val="00F01182"/>
    <w:rsid w:val="00F01204"/>
    <w:rsid w:val="00F0139B"/>
    <w:rsid w:val="00F0161F"/>
    <w:rsid w:val="00F0163A"/>
    <w:rsid w:val="00F0164B"/>
    <w:rsid w:val="00F01A00"/>
    <w:rsid w:val="00F01AC3"/>
    <w:rsid w:val="00F01B4A"/>
    <w:rsid w:val="00F01CD0"/>
    <w:rsid w:val="00F01D06"/>
    <w:rsid w:val="00F01E92"/>
    <w:rsid w:val="00F0200C"/>
    <w:rsid w:val="00F020B4"/>
    <w:rsid w:val="00F020C5"/>
    <w:rsid w:val="00F02631"/>
    <w:rsid w:val="00F027DC"/>
    <w:rsid w:val="00F02C6D"/>
    <w:rsid w:val="00F02D26"/>
    <w:rsid w:val="00F02F8E"/>
    <w:rsid w:val="00F033F2"/>
    <w:rsid w:val="00F036D4"/>
    <w:rsid w:val="00F03707"/>
    <w:rsid w:val="00F03714"/>
    <w:rsid w:val="00F038B3"/>
    <w:rsid w:val="00F03953"/>
    <w:rsid w:val="00F03DE8"/>
    <w:rsid w:val="00F03EA0"/>
    <w:rsid w:val="00F03F34"/>
    <w:rsid w:val="00F03FF2"/>
    <w:rsid w:val="00F040D0"/>
    <w:rsid w:val="00F0412C"/>
    <w:rsid w:val="00F045BB"/>
    <w:rsid w:val="00F04684"/>
    <w:rsid w:val="00F047B5"/>
    <w:rsid w:val="00F04828"/>
    <w:rsid w:val="00F048A6"/>
    <w:rsid w:val="00F048B8"/>
    <w:rsid w:val="00F04949"/>
    <w:rsid w:val="00F049CC"/>
    <w:rsid w:val="00F04AC2"/>
    <w:rsid w:val="00F04C3D"/>
    <w:rsid w:val="00F04E33"/>
    <w:rsid w:val="00F04EE2"/>
    <w:rsid w:val="00F04F5B"/>
    <w:rsid w:val="00F04FF6"/>
    <w:rsid w:val="00F05138"/>
    <w:rsid w:val="00F05161"/>
    <w:rsid w:val="00F0525D"/>
    <w:rsid w:val="00F056DD"/>
    <w:rsid w:val="00F059C3"/>
    <w:rsid w:val="00F05A11"/>
    <w:rsid w:val="00F05C8B"/>
    <w:rsid w:val="00F05CC0"/>
    <w:rsid w:val="00F06007"/>
    <w:rsid w:val="00F0604C"/>
    <w:rsid w:val="00F061C8"/>
    <w:rsid w:val="00F06204"/>
    <w:rsid w:val="00F06391"/>
    <w:rsid w:val="00F06B98"/>
    <w:rsid w:val="00F06BEA"/>
    <w:rsid w:val="00F06C69"/>
    <w:rsid w:val="00F06D37"/>
    <w:rsid w:val="00F06DC3"/>
    <w:rsid w:val="00F06E93"/>
    <w:rsid w:val="00F0708E"/>
    <w:rsid w:val="00F072FD"/>
    <w:rsid w:val="00F073B5"/>
    <w:rsid w:val="00F07AF1"/>
    <w:rsid w:val="00F07B90"/>
    <w:rsid w:val="00F07EA4"/>
    <w:rsid w:val="00F10036"/>
    <w:rsid w:val="00F10264"/>
    <w:rsid w:val="00F1041E"/>
    <w:rsid w:val="00F109CE"/>
    <w:rsid w:val="00F10B60"/>
    <w:rsid w:val="00F10D08"/>
    <w:rsid w:val="00F10E61"/>
    <w:rsid w:val="00F11126"/>
    <w:rsid w:val="00F11377"/>
    <w:rsid w:val="00F11511"/>
    <w:rsid w:val="00F11512"/>
    <w:rsid w:val="00F115DC"/>
    <w:rsid w:val="00F1184D"/>
    <w:rsid w:val="00F11992"/>
    <w:rsid w:val="00F11C6B"/>
    <w:rsid w:val="00F11F95"/>
    <w:rsid w:val="00F121EF"/>
    <w:rsid w:val="00F12305"/>
    <w:rsid w:val="00F1254E"/>
    <w:rsid w:val="00F1268F"/>
    <w:rsid w:val="00F12A48"/>
    <w:rsid w:val="00F12AA2"/>
    <w:rsid w:val="00F12B3F"/>
    <w:rsid w:val="00F12C45"/>
    <w:rsid w:val="00F12D5F"/>
    <w:rsid w:val="00F12F49"/>
    <w:rsid w:val="00F13291"/>
    <w:rsid w:val="00F134C0"/>
    <w:rsid w:val="00F13935"/>
    <w:rsid w:val="00F13BBE"/>
    <w:rsid w:val="00F13D36"/>
    <w:rsid w:val="00F13DBC"/>
    <w:rsid w:val="00F13E1A"/>
    <w:rsid w:val="00F13F4C"/>
    <w:rsid w:val="00F140C7"/>
    <w:rsid w:val="00F14249"/>
    <w:rsid w:val="00F14AE1"/>
    <w:rsid w:val="00F14C28"/>
    <w:rsid w:val="00F14D5D"/>
    <w:rsid w:val="00F14E60"/>
    <w:rsid w:val="00F14F84"/>
    <w:rsid w:val="00F15034"/>
    <w:rsid w:val="00F150AB"/>
    <w:rsid w:val="00F152CD"/>
    <w:rsid w:val="00F15713"/>
    <w:rsid w:val="00F15722"/>
    <w:rsid w:val="00F1576F"/>
    <w:rsid w:val="00F15883"/>
    <w:rsid w:val="00F15C0D"/>
    <w:rsid w:val="00F15CE7"/>
    <w:rsid w:val="00F15DC2"/>
    <w:rsid w:val="00F15EA4"/>
    <w:rsid w:val="00F15F18"/>
    <w:rsid w:val="00F15F91"/>
    <w:rsid w:val="00F16057"/>
    <w:rsid w:val="00F160FB"/>
    <w:rsid w:val="00F16732"/>
    <w:rsid w:val="00F168AE"/>
    <w:rsid w:val="00F16965"/>
    <w:rsid w:val="00F16BDB"/>
    <w:rsid w:val="00F16C96"/>
    <w:rsid w:val="00F16E03"/>
    <w:rsid w:val="00F16FDB"/>
    <w:rsid w:val="00F17150"/>
    <w:rsid w:val="00F17655"/>
    <w:rsid w:val="00F17871"/>
    <w:rsid w:val="00F17943"/>
    <w:rsid w:val="00F17B09"/>
    <w:rsid w:val="00F17B0E"/>
    <w:rsid w:val="00F17D9F"/>
    <w:rsid w:val="00F17FCF"/>
    <w:rsid w:val="00F20192"/>
    <w:rsid w:val="00F202B0"/>
    <w:rsid w:val="00F20593"/>
    <w:rsid w:val="00F20701"/>
    <w:rsid w:val="00F20902"/>
    <w:rsid w:val="00F20CBA"/>
    <w:rsid w:val="00F20D3D"/>
    <w:rsid w:val="00F2117F"/>
    <w:rsid w:val="00F2156B"/>
    <w:rsid w:val="00F21758"/>
    <w:rsid w:val="00F217F2"/>
    <w:rsid w:val="00F21813"/>
    <w:rsid w:val="00F21909"/>
    <w:rsid w:val="00F21A65"/>
    <w:rsid w:val="00F21ABC"/>
    <w:rsid w:val="00F21B90"/>
    <w:rsid w:val="00F21D2E"/>
    <w:rsid w:val="00F21E6F"/>
    <w:rsid w:val="00F21F88"/>
    <w:rsid w:val="00F221E4"/>
    <w:rsid w:val="00F22606"/>
    <w:rsid w:val="00F2261D"/>
    <w:rsid w:val="00F228A3"/>
    <w:rsid w:val="00F2292F"/>
    <w:rsid w:val="00F22A15"/>
    <w:rsid w:val="00F22B6C"/>
    <w:rsid w:val="00F22CA3"/>
    <w:rsid w:val="00F23116"/>
    <w:rsid w:val="00F23380"/>
    <w:rsid w:val="00F23397"/>
    <w:rsid w:val="00F233A1"/>
    <w:rsid w:val="00F23744"/>
    <w:rsid w:val="00F23754"/>
    <w:rsid w:val="00F2375E"/>
    <w:rsid w:val="00F237AB"/>
    <w:rsid w:val="00F23B54"/>
    <w:rsid w:val="00F23DF4"/>
    <w:rsid w:val="00F23E14"/>
    <w:rsid w:val="00F23F15"/>
    <w:rsid w:val="00F24133"/>
    <w:rsid w:val="00F241DB"/>
    <w:rsid w:val="00F241F3"/>
    <w:rsid w:val="00F242E7"/>
    <w:rsid w:val="00F243BC"/>
    <w:rsid w:val="00F243C0"/>
    <w:rsid w:val="00F243D4"/>
    <w:rsid w:val="00F24536"/>
    <w:rsid w:val="00F2456C"/>
    <w:rsid w:val="00F24847"/>
    <w:rsid w:val="00F2496A"/>
    <w:rsid w:val="00F24A03"/>
    <w:rsid w:val="00F24A7F"/>
    <w:rsid w:val="00F24C3C"/>
    <w:rsid w:val="00F24C5B"/>
    <w:rsid w:val="00F24D56"/>
    <w:rsid w:val="00F24E27"/>
    <w:rsid w:val="00F24E71"/>
    <w:rsid w:val="00F24FC3"/>
    <w:rsid w:val="00F25170"/>
    <w:rsid w:val="00F252C9"/>
    <w:rsid w:val="00F253AB"/>
    <w:rsid w:val="00F25411"/>
    <w:rsid w:val="00F25880"/>
    <w:rsid w:val="00F25A28"/>
    <w:rsid w:val="00F25CC6"/>
    <w:rsid w:val="00F25E08"/>
    <w:rsid w:val="00F25E32"/>
    <w:rsid w:val="00F25EFB"/>
    <w:rsid w:val="00F260AE"/>
    <w:rsid w:val="00F260DC"/>
    <w:rsid w:val="00F265FE"/>
    <w:rsid w:val="00F266BF"/>
    <w:rsid w:val="00F267B9"/>
    <w:rsid w:val="00F26BF9"/>
    <w:rsid w:val="00F26FA9"/>
    <w:rsid w:val="00F270B0"/>
    <w:rsid w:val="00F271FD"/>
    <w:rsid w:val="00F2749E"/>
    <w:rsid w:val="00F27685"/>
    <w:rsid w:val="00F27779"/>
    <w:rsid w:val="00F27912"/>
    <w:rsid w:val="00F27981"/>
    <w:rsid w:val="00F27CE3"/>
    <w:rsid w:val="00F27FDE"/>
    <w:rsid w:val="00F2ACED"/>
    <w:rsid w:val="00F2F7EF"/>
    <w:rsid w:val="00F305F2"/>
    <w:rsid w:val="00F3081E"/>
    <w:rsid w:val="00F3084E"/>
    <w:rsid w:val="00F309B6"/>
    <w:rsid w:val="00F30DB0"/>
    <w:rsid w:val="00F30E9D"/>
    <w:rsid w:val="00F3105C"/>
    <w:rsid w:val="00F311D1"/>
    <w:rsid w:val="00F31B95"/>
    <w:rsid w:val="00F31BE8"/>
    <w:rsid w:val="00F31DA9"/>
    <w:rsid w:val="00F31EE1"/>
    <w:rsid w:val="00F3202A"/>
    <w:rsid w:val="00F32363"/>
    <w:rsid w:val="00F324D0"/>
    <w:rsid w:val="00F32621"/>
    <w:rsid w:val="00F327C9"/>
    <w:rsid w:val="00F32857"/>
    <w:rsid w:val="00F328A1"/>
    <w:rsid w:val="00F328CF"/>
    <w:rsid w:val="00F32965"/>
    <w:rsid w:val="00F32B0E"/>
    <w:rsid w:val="00F32B89"/>
    <w:rsid w:val="00F32C0E"/>
    <w:rsid w:val="00F32C7B"/>
    <w:rsid w:val="00F32E27"/>
    <w:rsid w:val="00F32EF4"/>
    <w:rsid w:val="00F3315A"/>
    <w:rsid w:val="00F33C54"/>
    <w:rsid w:val="00F33F4B"/>
    <w:rsid w:val="00F340DD"/>
    <w:rsid w:val="00F34362"/>
    <w:rsid w:val="00F347F6"/>
    <w:rsid w:val="00F34800"/>
    <w:rsid w:val="00F34A81"/>
    <w:rsid w:val="00F34BB6"/>
    <w:rsid w:val="00F34D1C"/>
    <w:rsid w:val="00F34F03"/>
    <w:rsid w:val="00F34F64"/>
    <w:rsid w:val="00F35188"/>
    <w:rsid w:val="00F352AF"/>
    <w:rsid w:val="00F352BE"/>
    <w:rsid w:val="00F352CA"/>
    <w:rsid w:val="00F3535E"/>
    <w:rsid w:val="00F353C1"/>
    <w:rsid w:val="00F353E9"/>
    <w:rsid w:val="00F35695"/>
    <w:rsid w:val="00F35697"/>
    <w:rsid w:val="00F357FC"/>
    <w:rsid w:val="00F358B9"/>
    <w:rsid w:val="00F35ADB"/>
    <w:rsid w:val="00F35C6C"/>
    <w:rsid w:val="00F35CCF"/>
    <w:rsid w:val="00F35CDA"/>
    <w:rsid w:val="00F35D8D"/>
    <w:rsid w:val="00F360C5"/>
    <w:rsid w:val="00F365CD"/>
    <w:rsid w:val="00F36774"/>
    <w:rsid w:val="00F36A17"/>
    <w:rsid w:val="00F36A6C"/>
    <w:rsid w:val="00F36D76"/>
    <w:rsid w:val="00F36F30"/>
    <w:rsid w:val="00F36F52"/>
    <w:rsid w:val="00F36F95"/>
    <w:rsid w:val="00F37138"/>
    <w:rsid w:val="00F371FB"/>
    <w:rsid w:val="00F37477"/>
    <w:rsid w:val="00F374BB"/>
    <w:rsid w:val="00F377C1"/>
    <w:rsid w:val="00F37E08"/>
    <w:rsid w:val="00F37E53"/>
    <w:rsid w:val="00F37E79"/>
    <w:rsid w:val="00F37F39"/>
    <w:rsid w:val="00F40360"/>
    <w:rsid w:val="00F4036C"/>
    <w:rsid w:val="00F40376"/>
    <w:rsid w:val="00F40378"/>
    <w:rsid w:val="00F403A8"/>
    <w:rsid w:val="00F404C6"/>
    <w:rsid w:val="00F40700"/>
    <w:rsid w:val="00F40B7A"/>
    <w:rsid w:val="00F40BB2"/>
    <w:rsid w:val="00F4124C"/>
    <w:rsid w:val="00F4155B"/>
    <w:rsid w:val="00F418AC"/>
    <w:rsid w:val="00F419E4"/>
    <w:rsid w:val="00F41C05"/>
    <w:rsid w:val="00F41FD7"/>
    <w:rsid w:val="00F42177"/>
    <w:rsid w:val="00F422A7"/>
    <w:rsid w:val="00F424A2"/>
    <w:rsid w:val="00F426C2"/>
    <w:rsid w:val="00F4294A"/>
    <w:rsid w:val="00F42A42"/>
    <w:rsid w:val="00F42ABA"/>
    <w:rsid w:val="00F42B59"/>
    <w:rsid w:val="00F42C4C"/>
    <w:rsid w:val="00F42C74"/>
    <w:rsid w:val="00F42F99"/>
    <w:rsid w:val="00F4313D"/>
    <w:rsid w:val="00F434B9"/>
    <w:rsid w:val="00F43560"/>
    <w:rsid w:val="00F4381D"/>
    <w:rsid w:val="00F43B10"/>
    <w:rsid w:val="00F43D1D"/>
    <w:rsid w:val="00F43D2F"/>
    <w:rsid w:val="00F43D96"/>
    <w:rsid w:val="00F43F36"/>
    <w:rsid w:val="00F43F9B"/>
    <w:rsid w:val="00F44024"/>
    <w:rsid w:val="00F441E6"/>
    <w:rsid w:val="00F442CA"/>
    <w:rsid w:val="00F4499C"/>
    <w:rsid w:val="00F44FB6"/>
    <w:rsid w:val="00F44FC3"/>
    <w:rsid w:val="00F44FE7"/>
    <w:rsid w:val="00F45045"/>
    <w:rsid w:val="00F451CF"/>
    <w:rsid w:val="00F45281"/>
    <w:rsid w:val="00F45444"/>
    <w:rsid w:val="00F454F0"/>
    <w:rsid w:val="00F4553D"/>
    <w:rsid w:val="00F456CE"/>
    <w:rsid w:val="00F45884"/>
    <w:rsid w:val="00F45899"/>
    <w:rsid w:val="00F45A45"/>
    <w:rsid w:val="00F45B05"/>
    <w:rsid w:val="00F45F85"/>
    <w:rsid w:val="00F45FA5"/>
    <w:rsid w:val="00F45FC0"/>
    <w:rsid w:val="00F4607C"/>
    <w:rsid w:val="00F46179"/>
    <w:rsid w:val="00F461C6"/>
    <w:rsid w:val="00F4621B"/>
    <w:rsid w:val="00F4627F"/>
    <w:rsid w:val="00F46579"/>
    <w:rsid w:val="00F465D2"/>
    <w:rsid w:val="00F46631"/>
    <w:rsid w:val="00F4683F"/>
    <w:rsid w:val="00F46918"/>
    <w:rsid w:val="00F46A01"/>
    <w:rsid w:val="00F46BEF"/>
    <w:rsid w:val="00F46DE0"/>
    <w:rsid w:val="00F46F11"/>
    <w:rsid w:val="00F46F1D"/>
    <w:rsid w:val="00F46F51"/>
    <w:rsid w:val="00F470A4"/>
    <w:rsid w:val="00F47431"/>
    <w:rsid w:val="00F476A3"/>
    <w:rsid w:val="00F477D2"/>
    <w:rsid w:val="00F47A81"/>
    <w:rsid w:val="00F47B0B"/>
    <w:rsid w:val="00F47B57"/>
    <w:rsid w:val="00F47E0D"/>
    <w:rsid w:val="00F50529"/>
    <w:rsid w:val="00F509E4"/>
    <w:rsid w:val="00F50C32"/>
    <w:rsid w:val="00F50E5F"/>
    <w:rsid w:val="00F50F17"/>
    <w:rsid w:val="00F50F9B"/>
    <w:rsid w:val="00F50FAC"/>
    <w:rsid w:val="00F50FB3"/>
    <w:rsid w:val="00F50FC0"/>
    <w:rsid w:val="00F51089"/>
    <w:rsid w:val="00F5120E"/>
    <w:rsid w:val="00F515B3"/>
    <w:rsid w:val="00F5178A"/>
    <w:rsid w:val="00F518B5"/>
    <w:rsid w:val="00F51A75"/>
    <w:rsid w:val="00F51AA0"/>
    <w:rsid w:val="00F51B6A"/>
    <w:rsid w:val="00F51D0E"/>
    <w:rsid w:val="00F51E87"/>
    <w:rsid w:val="00F51EC4"/>
    <w:rsid w:val="00F51EEC"/>
    <w:rsid w:val="00F51F01"/>
    <w:rsid w:val="00F52046"/>
    <w:rsid w:val="00F5214E"/>
    <w:rsid w:val="00F521EF"/>
    <w:rsid w:val="00F5226F"/>
    <w:rsid w:val="00F525ED"/>
    <w:rsid w:val="00F527DA"/>
    <w:rsid w:val="00F52910"/>
    <w:rsid w:val="00F5294D"/>
    <w:rsid w:val="00F52B3C"/>
    <w:rsid w:val="00F53045"/>
    <w:rsid w:val="00F530DA"/>
    <w:rsid w:val="00F536EE"/>
    <w:rsid w:val="00F53D37"/>
    <w:rsid w:val="00F53E47"/>
    <w:rsid w:val="00F542EE"/>
    <w:rsid w:val="00F54519"/>
    <w:rsid w:val="00F5482E"/>
    <w:rsid w:val="00F5486E"/>
    <w:rsid w:val="00F55506"/>
    <w:rsid w:val="00F5551D"/>
    <w:rsid w:val="00F555F1"/>
    <w:rsid w:val="00F55725"/>
    <w:rsid w:val="00F5599D"/>
    <w:rsid w:val="00F55B31"/>
    <w:rsid w:val="00F55C05"/>
    <w:rsid w:val="00F55CC5"/>
    <w:rsid w:val="00F55FEA"/>
    <w:rsid w:val="00F56184"/>
    <w:rsid w:val="00F56225"/>
    <w:rsid w:val="00F5636E"/>
    <w:rsid w:val="00F56609"/>
    <w:rsid w:val="00F566D5"/>
    <w:rsid w:val="00F566FE"/>
    <w:rsid w:val="00F56736"/>
    <w:rsid w:val="00F5684D"/>
    <w:rsid w:val="00F5689C"/>
    <w:rsid w:val="00F568C2"/>
    <w:rsid w:val="00F569E9"/>
    <w:rsid w:val="00F56AB9"/>
    <w:rsid w:val="00F56D7D"/>
    <w:rsid w:val="00F56F08"/>
    <w:rsid w:val="00F57152"/>
    <w:rsid w:val="00F57779"/>
    <w:rsid w:val="00F57880"/>
    <w:rsid w:val="00F57A21"/>
    <w:rsid w:val="00F57F5B"/>
    <w:rsid w:val="00F57FB2"/>
    <w:rsid w:val="00F60232"/>
    <w:rsid w:val="00F6031A"/>
    <w:rsid w:val="00F603CB"/>
    <w:rsid w:val="00F605F3"/>
    <w:rsid w:val="00F60AA1"/>
    <w:rsid w:val="00F60BC7"/>
    <w:rsid w:val="00F6101F"/>
    <w:rsid w:val="00F61143"/>
    <w:rsid w:val="00F6167E"/>
    <w:rsid w:val="00F616E6"/>
    <w:rsid w:val="00F618DD"/>
    <w:rsid w:val="00F619D5"/>
    <w:rsid w:val="00F61A34"/>
    <w:rsid w:val="00F61EFE"/>
    <w:rsid w:val="00F61F48"/>
    <w:rsid w:val="00F61F87"/>
    <w:rsid w:val="00F62103"/>
    <w:rsid w:val="00F622D9"/>
    <w:rsid w:val="00F6271A"/>
    <w:rsid w:val="00F62768"/>
    <w:rsid w:val="00F629CA"/>
    <w:rsid w:val="00F62CB3"/>
    <w:rsid w:val="00F62F9C"/>
    <w:rsid w:val="00F6309F"/>
    <w:rsid w:val="00F630D3"/>
    <w:rsid w:val="00F630F2"/>
    <w:rsid w:val="00F6328E"/>
    <w:rsid w:val="00F632DE"/>
    <w:rsid w:val="00F63700"/>
    <w:rsid w:val="00F639CD"/>
    <w:rsid w:val="00F63A56"/>
    <w:rsid w:val="00F63DFA"/>
    <w:rsid w:val="00F63E17"/>
    <w:rsid w:val="00F63F20"/>
    <w:rsid w:val="00F63F56"/>
    <w:rsid w:val="00F63F9F"/>
    <w:rsid w:val="00F64395"/>
    <w:rsid w:val="00F64474"/>
    <w:rsid w:val="00F64503"/>
    <w:rsid w:val="00F648B8"/>
    <w:rsid w:val="00F64AD5"/>
    <w:rsid w:val="00F64C5C"/>
    <w:rsid w:val="00F64CAE"/>
    <w:rsid w:val="00F64CE5"/>
    <w:rsid w:val="00F64F84"/>
    <w:rsid w:val="00F650FC"/>
    <w:rsid w:val="00F65245"/>
    <w:rsid w:val="00F652FD"/>
    <w:rsid w:val="00F6543F"/>
    <w:rsid w:val="00F654B4"/>
    <w:rsid w:val="00F6595C"/>
    <w:rsid w:val="00F65A2B"/>
    <w:rsid w:val="00F65AE6"/>
    <w:rsid w:val="00F66061"/>
    <w:rsid w:val="00F66295"/>
    <w:rsid w:val="00F662A2"/>
    <w:rsid w:val="00F6632A"/>
    <w:rsid w:val="00F6634B"/>
    <w:rsid w:val="00F6635C"/>
    <w:rsid w:val="00F663D3"/>
    <w:rsid w:val="00F663F2"/>
    <w:rsid w:val="00F664DA"/>
    <w:rsid w:val="00F664DD"/>
    <w:rsid w:val="00F667DF"/>
    <w:rsid w:val="00F66994"/>
    <w:rsid w:val="00F669DF"/>
    <w:rsid w:val="00F66AAD"/>
    <w:rsid w:val="00F66B3C"/>
    <w:rsid w:val="00F66D8B"/>
    <w:rsid w:val="00F66E17"/>
    <w:rsid w:val="00F66FA9"/>
    <w:rsid w:val="00F66FE6"/>
    <w:rsid w:val="00F67036"/>
    <w:rsid w:val="00F67129"/>
    <w:rsid w:val="00F673FD"/>
    <w:rsid w:val="00F6743B"/>
    <w:rsid w:val="00F674AB"/>
    <w:rsid w:val="00F67A64"/>
    <w:rsid w:val="00F67AA2"/>
    <w:rsid w:val="00F67C1E"/>
    <w:rsid w:val="00F67C41"/>
    <w:rsid w:val="00F67D69"/>
    <w:rsid w:val="00F67DCD"/>
    <w:rsid w:val="00F703A2"/>
    <w:rsid w:val="00F703B7"/>
    <w:rsid w:val="00F704F6"/>
    <w:rsid w:val="00F70744"/>
    <w:rsid w:val="00F70943"/>
    <w:rsid w:val="00F70CFE"/>
    <w:rsid w:val="00F70E6B"/>
    <w:rsid w:val="00F70EA0"/>
    <w:rsid w:val="00F70F4A"/>
    <w:rsid w:val="00F70FBA"/>
    <w:rsid w:val="00F70FDA"/>
    <w:rsid w:val="00F71380"/>
    <w:rsid w:val="00F7155F"/>
    <w:rsid w:val="00F71AED"/>
    <w:rsid w:val="00F71BBB"/>
    <w:rsid w:val="00F71C2D"/>
    <w:rsid w:val="00F71C93"/>
    <w:rsid w:val="00F71DB3"/>
    <w:rsid w:val="00F71E08"/>
    <w:rsid w:val="00F71F17"/>
    <w:rsid w:val="00F71F61"/>
    <w:rsid w:val="00F7207B"/>
    <w:rsid w:val="00F724DD"/>
    <w:rsid w:val="00F7280B"/>
    <w:rsid w:val="00F72968"/>
    <w:rsid w:val="00F72C04"/>
    <w:rsid w:val="00F72F44"/>
    <w:rsid w:val="00F7320A"/>
    <w:rsid w:val="00F7323D"/>
    <w:rsid w:val="00F7327B"/>
    <w:rsid w:val="00F73289"/>
    <w:rsid w:val="00F7346D"/>
    <w:rsid w:val="00F734DC"/>
    <w:rsid w:val="00F73654"/>
    <w:rsid w:val="00F73705"/>
    <w:rsid w:val="00F73765"/>
    <w:rsid w:val="00F73869"/>
    <w:rsid w:val="00F73884"/>
    <w:rsid w:val="00F738CD"/>
    <w:rsid w:val="00F73959"/>
    <w:rsid w:val="00F7398F"/>
    <w:rsid w:val="00F73C0A"/>
    <w:rsid w:val="00F73C78"/>
    <w:rsid w:val="00F73D54"/>
    <w:rsid w:val="00F73D9B"/>
    <w:rsid w:val="00F73F76"/>
    <w:rsid w:val="00F74122"/>
    <w:rsid w:val="00F74763"/>
    <w:rsid w:val="00F747EF"/>
    <w:rsid w:val="00F74B6C"/>
    <w:rsid w:val="00F74BA4"/>
    <w:rsid w:val="00F74D3D"/>
    <w:rsid w:val="00F74D76"/>
    <w:rsid w:val="00F751B6"/>
    <w:rsid w:val="00F752EC"/>
    <w:rsid w:val="00F7561E"/>
    <w:rsid w:val="00F75C69"/>
    <w:rsid w:val="00F75DB1"/>
    <w:rsid w:val="00F75E0A"/>
    <w:rsid w:val="00F75F6F"/>
    <w:rsid w:val="00F76364"/>
    <w:rsid w:val="00F76366"/>
    <w:rsid w:val="00F76436"/>
    <w:rsid w:val="00F76493"/>
    <w:rsid w:val="00F7656F"/>
    <w:rsid w:val="00F766A9"/>
    <w:rsid w:val="00F766D1"/>
    <w:rsid w:val="00F766EF"/>
    <w:rsid w:val="00F767E1"/>
    <w:rsid w:val="00F767EB"/>
    <w:rsid w:val="00F7691A"/>
    <w:rsid w:val="00F76A8A"/>
    <w:rsid w:val="00F76B0E"/>
    <w:rsid w:val="00F77164"/>
    <w:rsid w:val="00F771BF"/>
    <w:rsid w:val="00F7730A"/>
    <w:rsid w:val="00F77652"/>
    <w:rsid w:val="00F776AC"/>
    <w:rsid w:val="00F77BBA"/>
    <w:rsid w:val="00F77D70"/>
    <w:rsid w:val="00F77EF4"/>
    <w:rsid w:val="00F80036"/>
    <w:rsid w:val="00F80088"/>
    <w:rsid w:val="00F8009F"/>
    <w:rsid w:val="00F800C5"/>
    <w:rsid w:val="00F800FB"/>
    <w:rsid w:val="00F80112"/>
    <w:rsid w:val="00F8041B"/>
    <w:rsid w:val="00F805B2"/>
    <w:rsid w:val="00F80695"/>
    <w:rsid w:val="00F80960"/>
    <w:rsid w:val="00F812D2"/>
    <w:rsid w:val="00F812F1"/>
    <w:rsid w:val="00F8152A"/>
    <w:rsid w:val="00F81609"/>
    <w:rsid w:val="00F81648"/>
    <w:rsid w:val="00F817D9"/>
    <w:rsid w:val="00F8182E"/>
    <w:rsid w:val="00F819B6"/>
    <w:rsid w:val="00F81F16"/>
    <w:rsid w:val="00F81FDB"/>
    <w:rsid w:val="00F820FF"/>
    <w:rsid w:val="00F821B3"/>
    <w:rsid w:val="00F82366"/>
    <w:rsid w:val="00F82413"/>
    <w:rsid w:val="00F8244D"/>
    <w:rsid w:val="00F824C9"/>
    <w:rsid w:val="00F82698"/>
    <w:rsid w:val="00F827E0"/>
    <w:rsid w:val="00F828A9"/>
    <w:rsid w:val="00F82D28"/>
    <w:rsid w:val="00F82F9B"/>
    <w:rsid w:val="00F83131"/>
    <w:rsid w:val="00F8328A"/>
    <w:rsid w:val="00F832BD"/>
    <w:rsid w:val="00F83302"/>
    <w:rsid w:val="00F833C5"/>
    <w:rsid w:val="00F83433"/>
    <w:rsid w:val="00F8347B"/>
    <w:rsid w:val="00F834F5"/>
    <w:rsid w:val="00F8353C"/>
    <w:rsid w:val="00F835F0"/>
    <w:rsid w:val="00F8370C"/>
    <w:rsid w:val="00F83819"/>
    <w:rsid w:val="00F83A77"/>
    <w:rsid w:val="00F83E98"/>
    <w:rsid w:val="00F83F67"/>
    <w:rsid w:val="00F84205"/>
    <w:rsid w:val="00F8452F"/>
    <w:rsid w:val="00F845F1"/>
    <w:rsid w:val="00F84ADE"/>
    <w:rsid w:val="00F84B9D"/>
    <w:rsid w:val="00F84C8D"/>
    <w:rsid w:val="00F84CC9"/>
    <w:rsid w:val="00F84E8D"/>
    <w:rsid w:val="00F85184"/>
    <w:rsid w:val="00F8519D"/>
    <w:rsid w:val="00F851B3"/>
    <w:rsid w:val="00F85261"/>
    <w:rsid w:val="00F853E2"/>
    <w:rsid w:val="00F8544B"/>
    <w:rsid w:val="00F854FA"/>
    <w:rsid w:val="00F855CB"/>
    <w:rsid w:val="00F85A56"/>
    <w:rsid w:val="00F85BE3"/>
    <w:rsid w:val="00F85C84"/>
    <w:rsid w:val="00F85D16"/>
    <w:rsid w:val="00F85D67"/>
    <w:rsid w:val="00F85E7E"/>
    <w:rsid w:val="00F861C7"/>
    <w:rsid w:val="00F86241"/>
    <w:rsid w:val="00F8655A"/>
    <w:rsid w:val="00F866CA"/>
    <w:rsid w:val="00F868C9"/>
    <w:rsid w:val="00F86912"/>
    <w:rsid w:val="00F86960"/>
    <w:rsid w:val="00F86C51"/>
    <w:rsid w:val="00F86D35"/>
    <w:rsid w:val="00F86EAA"/>
    <w:rsid w:val="00F86FB6"/>
    <w:rsid w:val="00F8705A"/>
    <w:rsid w:val="00F87214"/>
    <w:rsid w:val="00F8728E"/>
    <w:rsid w:val="00F87435"/>
    <w:rsid w:val="00F874D1"/>
    <w:rsid w:val="00F876E9"/>
    <w:rsid w:val="00F87A39"/>
    <w:rsid w:val="00F87A73"/>
    <w:rsid w:val="00F900F8"/>
    <w:rsid w:val="00F90352"/>
    <w:rsid w:val="00F90512"/>
    <w:rsid w:val="00F90596"/>
    <w:rsid w:val="00F905EA"/>
    <w:rsid w:val="00F906AD"/>
    <w:rsid w:val="00F908E3"/>
    <w:rsid w:val="00F90A19"/>
    <w:rsid w:val="00F90B6B"/>
    <w:rsid w:val="00F90FFD"/>
    <w:rsid w:val="00F910D8"/>
    <w:rsid w:val="00F911B7"/>
    <w:rsid w:val="00F9123C"/>
    <w:rsid w:val="00F9141A"/>
    <w:rsid w:val="00F915C9"/>
    <w:rsid w:val="00F91B47"/>
    <w:rsid w:val="00F91C8E"/>
    <w:rsid w:val="00F91E10"/>
    <w:rsid w:val="00F921CF"/>
    <w:rsid w:val="00F9231E"/>
    <w:rsid w:val="00F925BC"/>
    <w:rsid w:val="00F9267C"/>
    <w:rsid w:val="00F92A5E"/>
    <w:rsid w:val="00F92A82"/>
    <w:rsid w:val="00F92B39"/>
    <w:rsid w:val="00F930D6"/>
    <w:rsid w:val="00F93122"/>
    <w:rsid w:val="00F931F3"/>
    <w:rsid w:val="00F93236"/>
    <w:rsid w:val="00F93273"/>
    <w:rsid w:val="00F933C4"/>
    <w:rsid w:val="00F934B3"/>
    <w:rsid w:val="00F9369D"/>
    <w:rsid w:val="00F93B93"/>
    <w:rsid w:val="00F93DED"/>
    <w:rsid w:val="00F93E94"/>
    <w:rsid w:val="00F93ED1"/>
    <w:rsid w:val="00F93F4A"/>
    <w:rsid w:val="00F941BC"/>
    <w:rsid w:val="00F941EB"/>
    <w:rsid w:val="00F942FE"/>
    <w:rsid w:val="00F94546"/>
    <w:rsid w:val="00F94748"/>
    <w:rsid w:val="00F94995"/>
    <w:rsid w:val="00F94C68"/>
    <w:rsid w:val="00F94D76"/>
    <w:rsid w:val="00F951AF"/>
    <w:rsid w:val="00F95293"/>
    <w:rsid w:val="00F95460"/>
    <w:rsid w:val="00F954D0"/>
    <w:rsid w:val="00F95629"/>
    <w:rsid w:val="00F95699"/>
    <w:rsid w:val="00F956B5"/>
    <w:rsid w:val="00F95742"/>
    <w:rsid w:val="00F9599E"/>
    <w:rsid w:val="00F95C09"/>
    <w:rsid w:val="00F96008"/>
    <w:rsid w:val="00F961CC"/>
    <w:rsid w:val="00F963E0"/>
    <w:rsid w:val="00F96694"/>
    <w:rsid w:val="00F96AFB"/>
    <w:rsid w:val="00F96C84"/>
    <w:rsid w:val="00F96DF5"/>
    <w:rsid w:val="00F96E93"/>
    <w:rsid w:val="00F972FA"/>
    <w:rsid w:val="00F97634"/>
    <w:rsid w:val="00F976BE"/>
    <w:rsid w:val="00F97940"/>
    <w:rsid w:val="00F97AA5"/>
    <w:rsid w:val="00F97CA5"/>
    <w:rsid w:val="00F97D07"/>
    <w:rsid w:val="00F97E26"/>
    <w:rsid w:val="00FA08D5"/>
    <w:rsid w:val="00FA09FC"/>
    <w:rsid w:val="00FA0A36"/>
    <w:rsid w:val="00FA0AB0"/>
    <w:rsid w:val="00FA0ADC"/>
    <w:rsid w:val="00FA0C82"/>
    <w:rsid w:val="00FA0F48"/>
    <w:rsid w:val="00FA100F"/>
    <w:rsid w:val="00FA10B1"/>
    <w:rsid w:val="00FA1224"/>
    <w:rsid w:val="00FA1530"/>
    <w:rsid w:val="00FA1540"/>
    <w:rsid w:val="00FA1744"/>
    <w:rsid w:val="00FA187F"/>
    <w:rsid w:val="00FA1920"/>
    <w:rsid w:val="00FA1DF5"/>
    <w:rsid w:val="00FA1E37"/>
    <w:rsid w:val="00FA203E"/>
    <w:rsid w:val="00FA220A"/>
    <w:rsid w:val="00FA2612"/>
    <w:rsid w:val="00FA26E5"/>
    <w:rsid w:val="00FA27CC"/>
    <w:rsid w:val="00FA29C8"/>
    <w:rsid w:val="00FA2C1F"/>
    <w:rsid w:val="00FA2E6E"/>
    <w:rsid w:val="00FA3435"/>
    <w:rsid w:val="00FA3478"/>
    <w:rsid w:val="00FA358C"/>
    <w:rsid w:val="00FA3B6E"/>
    <w:rsid w:val="00FA3C83"/>
    <w:rsid w:val="00FA3CA6"/>
    <w:rsid w:val="00FA415D"/>
    <w:rsid w:val="00FA417B"/>
    <w:rsid w:val="00FA42AF"/>
    <w:rsid w:val="00FA44B2"/>
    <w:rsid w:val="00FA460C"/>
    <w:rsid w:val="00FA478E"/>
    <w:rsid w:val="00FA4A68"/>
    <w:rsid w:val="00FA5364"/>
    <w:rsid w:val="00FA570F"/>
    <w:rsid w:val="00FA590C"/>
    <w:rsid w:val="00FA5B8A"/>
    <w:rsid w:val="00FA5CDC"/>
    <w:rsid w:val="00FA6046"/>
    <w:rsid w:val="00FA62DD"/>
    <w:rsid w:val="00FA6416"/>
    <w:rsid w:val="00FA653F"/>
    <w:rsid w:val="00FA66AC"/>
    <w:rsid w:val="00FA67FF"/>
    <w:rsid w:val="00FA69F6"/>
    <w:rsid w:val="00FA6A55"/>
    <w:rsid w:val="00FA6A8F"/>
    <w:rsid w:val="00FA6D99"/>
    <w:rsid w:val="00FA6E92"/>
    <w:rsid w:val="00FA70F2"/>
    <w:rsid w:val="00FA7273"/>
    <w:rsid w:val="00FA72A4"/>
    <w:rsid w:val="00FA7370"/>
    <w:rsid w:val="00FA73A5"/>
    <w:rsid w:val="00FA7465"/>
    <w:rsid w:val="00FA74B5"/>
    <w:rsid w:val="00FA751A"/>
    <w:rsid w:val="00FA758B"/>
    <w:rsid w:val="00FA7B40"/>
    <w:rsid w:val="00FA7CA6"/>
    <w:rsid w:val="00FB00D8"/>
    <w:rsid w:val="00FB0133"/>
    <w:rsid w:val="00FB0288"/>
    <w:rsid w:val="00FB02B1"/>
    <w:rsid w:val="00FB05EE"/>
    <w:rsid w:val="00FB0BBE"/>
    <w:rsid w:val="00FB0C70"/>
    <w:rsid w:val="00FB0D41"/>
    <w:rsid w:val="00FB0D88"/>
    <w:rsid w:val="00FB0EE9"/>
    <w:rsid w:val="00FB0F0A"/>
    <w:rsid w:val="00FB1296"/>
    <w:rsid w:val="00FB13FB"/>
    <w:rsid w:val="00FB1465"/>
    <w:rsid w:val="00FB17B9"/>
    <w:rsid w:val="00FB185E"/>
    <w:rsid w:val="00FB19C2"/>
    <w:rsid w:val="00FB19FD"/>
    <w:rsid w:val="00FB1A47"/>
    <w:rsid w:val="00FB1CB4"/>
    <w:rsid w:val="00FB1EE6"/>
    <w:rsid w:val="00FB1F17"/>
    <w:rsid w:val="00FB22E4"/>
    <w:rsid w:val="00FB22E6"/>
    <w:rsid w:val="00FB24BB"/>
    <w:rsid w:val="00FB24FF"/>
    <w:rsid w:val="00FB2563"/>
    <w:rsid w:val="00FB2656"/>
    <w:rsid w:val="00FB281E"/>
    <w:rsid w:val="00FB2C15"/>
    <w:rsid w:val="00FB310B"/>
    <w:rsid w:val="00FB31C5"/>
    <w:rsid w:val="00FB322F"/>
    <w:rsid w:val="00FB34CF"/>
    <w:rsid w:val="00FB360A"/>
    <w:rsid w:val="00FB3622"/>
    <w:rsid w:val="00FB3725"/>
    <w:rsid w:val="00FB37A2"/>
    <w:rsid w:val="00FB382C"/>
    <w:rsid w:val="00FB3A38"/>
    <w:rsid w:val="00FB3A45"/>
    <w:rsid w:val="00FB3AE4"/>
    <w:rsid w:val="00FB3B26"/>
    <w:rsid w:val="00FB3BF3"/>
    <w:rsid w:val="00FB3C63"/>
    <w:rsid w:val="00FB3D8A"/>
    <w:rsid w:val="00FB3DB0"/>
    <w:rsid w:val="00FB4080"/>
    <w:rsid w:val="00FB419C"/>
    <w:rsid w:val="00FB42F4"/>
    <w:rsid w:val="00FB43E3"/>
    <w:rsid w:val="00FB4411"/>
    <w:rsid w:val="00FB4469"/>
    <w:rsid w:val="00FB459C"/>
    <w:rsid w:val="00FB460C"/>
    <w:rsid w:val="00FB48E4"/>
    <w:rsid w:val="00FB4BFD"/>
    <w:rsid w:val="00FB4F94"/>
    <w:rsid w:val="00FB510E"/>
    <w:rsid w:val="00FB54A1"/>
    <w:rsid w:val="00FB54FF"/>
    <w:rsid w:val="00FB553B"/>
    <w:rsid w:val="00FB55BB"/>
    <w:rsid w:val="00FB55DD"/>
    <w:rsid w:val="00FB55F1"/>
    <w:rsid w:val="00FB565A"/>
    <w:rsid w:val="00FB580D"/>
    <w:rsid w:val="00FB58B6"/>
    <w:rsid w:val="00FB58B9"/>
    <w:rsid w:val="00FB5AE3"/>
    <w:rsid w:val="00FB5E21"/>
    <w:rsid w:val="00FB62D7"/>
    <w:rsid w:val="00FB6301"/>
    <w:rsid w:val="00FB640D"/>
    <w:rsid w:val="00FB65CB"/>
    <w:rsid w:val="00FB6651"/>
    <w:rsid w:val="00FB6701"/>
    <w:rsid w:val="00FB6A3A"/>
    <w:rsid w:val="00FB6C7B"/>
    <w:rsid w:val="00FB6D87"/>
    <w:rsid w:val="00FB6E19"/>
    <w:rsid w:val="00FB6F42"/>
    <w:rsid w:val="00FB7586"/>
    <w:rsid w:val="00FB7AB2"/>
    <w:rsid w:val="00FB7C76"/>
    <w:rsid w:val="00FB7CA8"/>
    <w:rsid w:val="00FB7DA3"/>
    <w:rsid w:val="00FB7DBC"/>
    <w:rsid w:val="00FB7E85"/>
    <w:rsid w:val="00FB7F14"/>
    <w:rsid w:val="00FC0068"/>
    <w:rsid w:val="00FC0276"/>
    <w:rsid w:val="00FC03A9"/>
    <w:rsid w:val="00FC0888"/>
    <w:rsid w:val="00FC08B6"/>
    <w:rsid w:val="00FC0B52"/>
    <w:rsid w:val="00FC0DE0"/>
    <w:rsid w:val="00FC0E73"/>
    <w:rsid w:val="00FC1001"/>
    <w:rsid w:val="00FC111D"/>
    <w:rsid w:val="00FC12E1"/>
    <w:rsid w:val="00FC13C3"/>
    <w:rsid w:val="00FC1472"/>
    <w:rsid w:val="00FC172C"/>
    <w:rsid w:val="00FC177B"/>
    <w:rsid w:val="00FC17D8"/>
    <w:rsid w:val="00FC1869"/>
    <w:rsid w:val="00FC193D"/>
    <w:rsid w:val="00FC1A03"/>
    <w:rsid w:val="00FC1BE1"/>
    <w:rsid w:val="00FC295D"/>
    <w:rsid w:val="00FC2E89"/>
    <w:rsid w:val="00FC2EE4"/>
    <w:rsid w:val="00FC30FB"/>
    <w:rsid w:val="00FC3281"/>
    <w:rsid w:val="00FC3674"/>
    <w:rsid w:val="00FC37B3"/>
    <w:rsid w:val="00FC3919"/>
    <w:rsid w:val="00FC3B19"/>
    <w:rsid w:val="00FC3B23"/>
    <w:rsid w:val="00FC3EB8"/>
    <w:rsid w:val="00FC416A"/>
    <w:rsid w:val="00FC42E8"/>
    <w:rsid w:val="00FC4524"/>
    <w:rsid w:val="00FC45EA"/>
    <w:rsid w:val="00FC4695"/>
    <w:rsid w:val="00FC496B"/>
    <w:rsid w:val="00FC49B8"/>
    <w:rsid w:val="00FC4CC2"/>
    <w:rsid w:val="00FC4FC4"/>
    <w:rsid w:val="00FC51A9"/>
    <w:rsid w:val="00FC51F8"/>
    <w:rsid w:val="00FC55B8"/>
    <w:rsid w:val="00FC563C"/>
    <w:rsid w:val="00FC5C0B"/>
    <w:rsid w:val="00FC5C99"/>
    <w:rsid w:val="00FC5E81"/>
    <w:rsid w:val="00FC751D"/>
    <w:rsid w:val="00FC7792"/>
    <w:rsid w:val="00FC782E"/>
    <w:rsid w:val="00FC7882"/>
    <w:rsid w:val="00FC794D"/>
    <w:rsid w:val="00FC79FC"/>
    <w:rsid w:val="00FC7A11"/>
    <w:rsid w:val="00FC7A50"/>
    <w:rsid w:val="00FC7B25"/>
    <w:rsid w:val="00FC7C00"/>
    <w:rsid w:val="00FC7E6E"/>
    <w:rsid w:val="00FC7EFC"/>
    <w:rsid w:val="00FC7FEC"/>
    <w:rsid w:val="00FD00BB"/>
    <w:rsid w:val="00FD01F5"/>
    <w:rsid w:val="00FD0411"/>
    <w:rsid w:val="00FD093C"/>
    <w:rsid w:val="00FD0C19"/>
    <w:rsid w:val="00FD0C22"/>
    <w:rsid w:val="00FD0DE9"/>
    <w:rsid w:val="00FD1073"/>
    <w:rsid w:val="00FD115F"/>
    <w:rsid w:val="00FD14CB"/>
    <w:rsid w:val="00FD19D7"/>
    <w:rsid w:val="00FD1C69"/>
    <w:rsid w:val="00FD1F76"/>
    <w:rsid w:val="00FD2090"/>
    <w:rsid w:val="00FD2109"/>
    <w:rsid w:val="00FD2113"/>
    <w:rsid w:val="00FD2409"/>
    <w:rsid w:val="00FD250B"/>
    <w:rsid w:val="00FD2855"/>
    <w:rsid w:val="00FD2ADA"/>
    <w:rsid w:val="00FD2B77"/>
    <w:rsid w:val="00FD2ED6"/>
    <w:rsid w:val="00FD2F34"/>
    <w:rsid w:val="00FD3B03"/>
    <w:rsid w:val="00FD3BB1"/>
    <w:rsid w:val="00FD3CB4"/>
    <w:rsid w:val="00FD3EC2"/>
    <w:rsid w:val="00FD4114"/>
    <w:rsid w:val="00FD42D5"/>
    <w:rsid w:val="00FD4376"/>
    <w:rsid w:val="00FD473E"/>
    <w:rsid w:val="00FD4824"/>
    <w:rsid w:val="00FD49E2"/>
    <w:rsid w:val="00FD4A25"/>
    <w:rsid w:val="00FD4AF2"/>
    <w:rsid w:val="00FD4BC1"/>
    <w:rsid w:val="00FD4D77"/>
    <w:rsid w:val="00FD4E28"/>
    <w:rsid w:val="00FD5050"/>
    <w:rsid w:val="00FD5145"/>
    <w:rsid w:val="00FD5228"/>
    <w:rsid w:val="00FD52AD"/>
    <w:rsid w:val="00FD55A2"/>
    <w:rsid w:val="00FD56E7"/>
    <w:rsid w:val="00FD5A93"/>
    <w:rsid w:val="00FD5B6A"/>
    <w:rsid w:val="00FD5B7C"/>
    <w:rsid w:val="00FD5D02"/>
    <w:rsid w:val="00FD5E20"/>
    <w:rsid w:val="00FD5FB5"/>
    <w:rsid w:val="00FD622B"/>
    <w:rsid w:val="00FD6503"/>
    <w:rsid w:val="00FD66CA"/>
    <w:rsid w:val="00FD6866"/>
    <w:rsid w:val="00FD6EA6"/>
    <w:rsid w:val="00FD6F21"/>
    <w:rsid w:val="00FD701F"/>
    <w:rsid w:val="00FD7199"/>
    <w:rsid w:val="00FD73E5"/>
    <w:rsid w:val="00FD73E9"/>
    <w:rsid w:val="00FD76EB"/>
    <w:rsid w:val="00FD771D"/>
    <w:rsid w:val="00FD7760"/>
    <w:rsid w:val="00FD779E"/>
    <w:rsid w:val="00FD77E4"/>
    <w:rsid w:val="00FD7CD5"/>
    <w:rsid w:val="00FD7CDE"/>
    <w:rsid w:val="00FD7D1D"/>
    <w:rsid w:val="00FD7E5F"/>
    <w:rsid w:val="00FD7FA0"/>
    <w:rsid w:val="00FD7FDC"/>
    <w:rsid w:val="00FE00F4"/>
    <w:rsid w:val="00FE0258"/>
    <w:rsid w:val="00FE04ED"/>
    <w:rsid w:val="00FE0AC6"/>
    <w:rsid w:val="00FE0B83"/>
    <w:rsid w:val="00FE0E4D"/>
    <w:rsid w:val="00FE1004"/>
    <w:rsid w:val="00FE10E0"/>
    <w:rsid w:val="00FE10E8"/>
    <w:rsid w:val="00FE112B"/>
    <w:rsid w:val="00FE1885"/>
    <w:rsid w:val="00FE191D"/>
    <w:rsid w:val="00FE1C5A"/>
    <w:rsid w:val="00FE1CC7"/>
    <w:rsid w:val="00FE1D68"/>
    <w:rsid w:val="00FE2004"/>
    <w:rsid w:val="00FE210E"/>
    <w:rsid w:val="00FE216E"/>
    <w:rsid w:val="00FE236F"/>
    <w:rsid w:val="00FE249B"/>
    <w:rsid w:val="00FE2677"/>
    <w:rsid w:val="00FE27C2"/>
    <w:rsid w:val="00FE2976"/>
    <w:rsid w:val="00FE2B49"/>
    <w:rsid w:val="00FE2BF5"/>
    <w:rsid w:val="00FE2DE1"/>
    <w:rsid w:val="00FE2E52"/>
    <w:rsid w:val="00FE309B"/>
    <w:rsid w:val="00FE30AF"/>
    <w:rsid w:val="00FE3107"/>
    <w:rsid w:val="00FE31C7"/>
    <w:rsid w:val="00FE33BC"/>
    <w:rsid w:val="00FE33C9"/>
    <w:rsid w:val="00FE398F"/>
    <w:rsid w:val="00FE3A79"/>
    <w:rsid w:val="00FE3B4E"/>
    <w:rsid w:val="00FE4006"/>
    <w:rsid w:val="00FE4008"/>
    <w:rsid w:val="00FE41E2"/>
    <w:rsid w:val="00FE4359"/>
    <w:rsid w:val="00FE4575"/>
    <w:rsid w:val="00FE4647"/>
    <w:rsid w:val="00FE46BD"/>
    <w:rsid w:val="00FE476D"/>
    <w:rsid w:val="00FE4841"/>
    <w:rsid w:val="00FE499E"/>
    <w:rsid w:val="00FE4B8B"/>
    <w:rsid w:val="00FE4D6E"/>
    <w:rsid w:val="00FE4DDE"/>
    <w:rsid w:val="00FE4DF8"/>
    <w:rsid w:val="00FE4E05"/>
    <w:rsid w:val="00FE54F0"/>
    <w:rsid w:val="00FE59C2"/>
    <w:rsid w:val="00FE5A17"/>
    <w:rsid w:val="00FE5B95"/>
    <w:rsid w:val="00FE5D1C"/>
    <w:rsid w:val="00FE5D71"/>
    <w:rsid w:val="00FE5FCA"/>
    <w:rsid w:val="00FE6079"/>
    <w:rsid w:val="00FE62EF"/>
    <w:rsid w:val="00FE6454"/>
    <w:rsid w:val="00FE6458"/>
    <w:rsid w:val="00FE6645"/>
    <w:rsid w:val="00FE695C"/>
    <w:rsid w:val="00FE6DC2"/>
    <w:rsid w:val="00FE6F53"/>
    <w:rsid w:val="00FE70EB"/>
    <w:rsid w:val="00FE723C"/>
    <w:rsid w:val="00FE73F6"/>
    <w:rsid w:val="00FE76C8"/>
    <w:rsid w:val="00FE7857"/>
    <w:rsid w:val="00FE78D4"/>
    <w:rsid w:val="00FE7B7D"/>
    <w:rsid w:val="00FE7C2D"/>
    <w:rsid w:val="00FE7D19"/>
    <w:rsid w:val="00FE7E2E"/>
    <w:rsid w:val="00FF024E"/>
    <w:rsid w:val="00FF035B"/>
    <w:rsid w:val="00FF04A3"/>
    <w:rsid w:val="00FF0505"/>
    <w:rsid w:val="00FF0643"/>
    <w:rsid w:val="00FF0700"/>
    <w:rsid w:val="00FF080B"/>
    <w:rsid w:val="00FF086C"/>
    <w:rsid w:val="00FF0944"/>
    <w:rsid w:val="00FF09ED"/>
    <w:rsid w:val="00FF0B2C"/>
    <w:rsid w:val="00FF11D4"/>
    <w:rsid w:val="00FF1663"/>
    <w:rsid w:val="00FF16F8"/>
    <w:rsid w:val="00FF1943"/>
    <w:rsid w:val="00FF1A59"/>
    <w:rsid w:val="00FF1FD5"/>
    <w:rsid w:val="00FF249F"/>
    <w:rsid w:val="00FF2576"/>
    <w:rsid w:val="00FF2753"/>
    <w:rsid w:val="00FF2841"/>
    <w:rsid w:val="00FF2BB0"/>
    <w:rsid w:val="00FF2DCB"/>
    <w:rsid w:val="00FF2F81"/>
    <w:rsid w:val="00FF30DA"/>
    <w:rsid w:val="00FF315A"/>
    <w:rsid w:val="00FF32C4"/>
    <w:rsid w:val="00FF33FE"/>
    <w:rsid w:val="00FF3467"/>
    <w:rsid w:val="00FF38A1"/>
    <w:rsid w:val="00FF3A84"/>
    <w:rsid w:val="00FF3DF6"/>
    <w:rsid w:val="00FF3E26"/>
    <w:rsid w:val="00FF3FB6"/>
    <w:rsid w:val="00FF41D8"/>
    <w:rsid w:val="00FF444F"/>
    <w:rsid w:val="00FF4515"/>
    <w:rsid w:val="00FF451C"/>
    <w:rsid w:val="00FF464E"/>
    <w:rsid w:val="00FF466F"/>
    <w:rsid w:val="00FF46F8"/>
    <w:rsid w:val="00FF4700"/>
    <w:rsid w:val="00FF486D"/>
    <w:rsid w:val="00FF487D"/>
    <w:rsid w:val="00FF48D9"/>
    <w:rsid w:val="00FF4AE4"/>
    <w:rsid w:val="00FF4B40"/>
    <w:rsid w:val="00FF4C96"/>
    <w:rsid w:val="00FF4F0D"/>
    <w:rsid w:val="00FF4F39"/>
    <w:rsid w:val="00FF511F"/>
    <w:rsid w:val="00FF539C"/>
    <w:rsid w:val="00FF5455"/>
    <w:rsid w:val="00FF54AD"/>
    <w:rsid w:val="00FF58D1"/>
    <w:rsid w:val="00FF5BA7"/>
    <w:rsid w:val="00FF5C00"/>
    <w:rsid w:val="00FF635C"/>
    <w:rsid w:val="00FF6581"/>
    <w:rsid w:val="00FF67F0"/>
    <w:rsid w:val="00FF6B92"/>
    <w:rsid w:val="00FF6BED"/>
    <w:rsid w:val="00FF6C71"/>
    <w:rsid w:val="00FF6D32"/>
    <w:rsid w:val="00FF6FF5"/>
    <w:rsid w:val="00FF6FF8"/>
    <w:rsid w:val="00FF72C0"/>
    <w:rsid w:val="00FF7373"/>
    <w:rsid w:val="00FF765E"/>
    <w:rsid w:val="00FF791E"/>
    <w:rsid w:val="00FF7AB6"/>
    <w:rsid w:val="00FF7B24"/>
    <w:rsid w:val="013F8D51"/>
    <w:rsid w:val="0152A5D4"/>
    <w:rsid w:val="01595595"/>
    <w:rsid w:val="01AA116B"/>
    <w:rsid w:val="01AF7CA6"/>
    <w:rsid w:val="01BAA495"/>
    <w:rsid w:val="01C08067"/>
    <w:rsid w:val="01DB6712"/>
    <w:rsid w:val="01EDEAFB"/>
    <w:rsid w:val="02029B1D"/>
    <w:rsid w:val="0228E9C4"/>
    <w:rsid w:val="0229315D"/>
    <w:rsid w:val="022A97F0"/>
    <w:rsid w:val="02368448"/>
    <w:rsid w:val="0239C928"/>
    <w:rsid w:val="02447FB7"/>
    <w:rsid w:val="02483E07"/>
    <w:rsid w:val="0255ACA1"/>
    <w:rsid w:val="02615F3F"/>
    <w:rsid w:val="02669FAA"/>
    <w:rsid w:val="0268238B"/>
    <w:rsid w:val="026C2742"/>
    <w:rsid w:val="0270DCE7"/>
    <w:rsid w:val="02917B28"/>
    <w:rsid w:val="0293DBB1"/>
    <w:rsid w:val="02C34161"/>
    <w:rsid w:val="02C4A145"/>
    <w:rsid w:val="02C72FBC"/>
    <w:rsid w:val="02CB9EA8"/>
    <w:rsid w:val="02CBE13A"/>
    <w:rsid w:val="02D2C9FD"/>
    <w:rsid w:val="02D723A6"/>
    <w:rsid w:val="02E91EE9"/>
    <w:rsid w:val="02EBDEDF"/>
    <w:rsid w:val="02F26D7A"/>
    <w:rsid w:val="03166D97"/>
    <w:rsid w:val="031F7A48"/>
    <w:rsid w:val="031F9CB8"/>
    <w:rsid w:val="0322BD35"/>
    <w:rsid w:val="032E1B74"/>
    <w:rsid w:val="0333921E"/>
    <w:rsid w:val="035FEBFE"/>
    <w:rsid w:val="036BB8E7"/>
    <w:rsid w:val="03A1A041"/>
    <w:rsid w:val="03ACAD87"/>
    <w:rsid w:val="03B10D06"/>
    <w:rsid w:val="03B36F9E"/>
    <w:rsid w:val="03BF37BD"/>
    <w:rsid w:val="03C162BB"/>
    <w:rsid w:val="03E35794"/>
    <w:rsid w:val="03F4DB41"/>
    <w:rsid w:val="040D5D2E"/>
    <w:rsid w:val="0421C629"/>
    <w:rsid w:val="042A17DB"/>
    <w:rsid w:val="043A3D43"/>
    <w:rsid w:val="045CB432"/>
    <w:rsid w:val="045E5B82"/>
    <w:rsid w:val="04630EF0"/>
    <w:rsid w:val="04808C1C"/>
    <w:rsid w:val="0483031F"/>
    <w:rsid w:val="04A405C0"/>
    <w:rsid w:val="04B3A803"/>
    <w:rsid w:val="04B9407A"/>
    <w:rsid w:val="04BD509B"/>
    <w:rsid w:val="04F977C5"/>
    <w:rsid w:val="04FADA34"/>
    <w:rsid w:val="050E8505"/>
    <w:rsid w:val="0526161B"/>
    <w:rsid w:val="052E3B66"/>
    <w:rsid w:val="05353EC4"/>
    <w:rsid w:val="0536FD59"/>
    <w:rsid w:val="053C1C65"/>
    <w:rsid w:val="05451BAA"/>
    <w:rsid w:val="054594A9"/>
    <w:rsid w:val="055D3D7E"/>
    <w:rsid w:val="055D806F"/>
    <w:rsid w:val="056BEE0B"/>
    <w:rsid w:val="05B6EA67"/>
    <w:rsid w:val="05B7B91B"/>
    <w:rsid w:val="05BE1DF3"/>
    <w:rsid w:val="05DD1711"/>
    <w:rsid w:val="05F581C7"/>
    <w:rsid w:val="05FB2FA8"/>
    <w:rsid w:val="0611FA73"/>
    <w:rsid w:val="0613A00B"/>
    <w:rsid w:val="061F9AC0"/>
    <w:rsid w:val="0629D522"/>
    <w:rsid w:val="0632AB37"/>
    <w:rsid w:val="0643A8B5"/>
    <w:rsid w:val="0654B311"/>
    <w:rsid w:val="065E95B5"/>
    <w:rsid w:val="066E80B9"/>
    <w:rsid w:val="0683F120"/>
    <w:rsid w:val="068477CF"/>
    <w:rsid w:val="06A545D0"/>
    <w:rsid w:val="06C3311C"/>
    <w:rsid w:val="06DD1EFD"/>
    <w:rsid w:val="06E1EA1E"/>
    <w:rsid w:val="06FDDEB3"/>
    <w:rsid w:val="070EB71D"/>
    <w:rsid w:val="072B1C69"/>
    <w:rsid w:val="072B9AB1"/>
    <w:rsid w:val="07308FD8"/>
    <w:rsid w:val="0733DE11"/>
    <w:rsid w:val="074AA23A"/>
    <w:rsid w:val="07504D96"/>
    <w:rsid w:val="075EA71D"/>
    <w:rsid w:val="0761E699"/>
    <w:rsid w:val="07723D81"/>
    <w:rsid w:val="077DBF77"/>
    <w:rsid w:val="0787B0D1"/>
    <w:rsid w:val="078D8E69"/>
    <w:rsid w:val="078FFB0A"/>
    <w:rsid w:val="079754A8"/>
    <w:rsid w:val="07A16DD6"/>
    <w:rsid w:val="07BCD62A"/>
    <w:rsid w:val="07CDB7B7"/>
    <w:rsid w:val="07D171CC"/>
    <w:rsid w:val="07D2E226"/>
    <w:rsid w:val="07EE4203"/>
    <w:rsid w:val="080FADE8"/>
    <w:rsid w:val="08172BBA"/>
    <w:rsid w:val="0818E323"/>
    <w:rsid w:val="082AF214"/>
    <w:rsid w:val="083568D8"/>
    <w:rsid w:val="084B102E"/>
    <w:rsid w:val="086FF645"/>
    <w:rsid w:val="08813C2C"/>
    <w:rsid w:val="088878A5"/>
    <w:rsid w:val="088BF511"/>
    <w:rsid w:val="08C23CE5"/>
    <w:rsid w:val="08ED07CD"/>
    <w:rsid w:val="08FB62C3"/>
    <w:rsid w:val="08FE4E14"/>
    <w:rsid w:val="090B185A"/>
    <w:rsid w:val="09110B0A"/>
    <w:rsid w:val="09147A51"/>
    <w:rsid w:val="094016EC"/>
    <w:rsid w:val="094EF864"/>
    <w:rsid w:val="095259A2"/>
    <w:rsid w:val="0975594E"/>
    <w:rsid w:val="097807A4"/>
    <w:rsid w:val="0988DA32"/>
    <w:rsid w:val="09916253"/>
    <w:rsid w:val="09A0B79A"/>
    <w:rsid w:val="09D5AEA5"/>
    <w:rsid w:val="09E1AB4F"/>
    <w:rsid w:val="09F74477"/>
    <w:rsid w:val="09FCFDC6"/>
    <w:rsid w:val="09FFA3F2"/>
    <w:rsid w:val="0A019868"/>
    <w:rsid w:val="0A0F88A8"/>
    <w:rsid w:val="0A141CA4"/>
    <w:rsid w:val="0A28AC6B"/>
    <w:rsid w:val="0A3CC5EA"/>
    <w:rsid w:val="0A428E66"/>
    <w:rsid w:val="0A55AF0D"/>
    <w:rsid w:val="0A5E5484"/>
    <w:rsid w:val="0A9D338D"/>
    <w:rsid w:val="0ABDBFFC"/>
    <w:rsid w:val="0AD76ADF"/>
    <w:rsid w:val="0AE95AD0"/>
    <w:rsid w:val="0AF5135B"/>
    <w:rsid w:val="0B07B014"/>
    <w:rsid w:val="0B1A7796"/>
    <w:rsid w:val="0B2CC2B9"/>
    <w:rsid w:val="0B3C7A80"/>
    <w:rsid w:val="0BA60B7F"/>
    <w:rsid w:val="0BC69576"/>
    <w:rsid w:val="0BCAD7FB"/>
    <w:rsid w:val="0C103903"/>
    <w:rsid w:val="0C1182B6"/>
    <w:rsid w:val="0C22BCA3"/>
    <w:rsid w:val="0C3EDE6D"/>
    <w:rsid w:val="0C538030"/>
    <w:rsid w:val="0C542F3C"/>
    <w:rsid w:val="0C63F558"/>
    <w:rsid w:val="0C7E1095"/>
    <w:rsid w:val="0C8362BF"/>
    <w:rsid w:val="0C8A5317"/>
    <w:rsid w:val="0CB04D77"/>
    <w:rsid w:val="0CB627B0"/>
    <w:rsid w:val="0CC6EE7C"/>
    <w:rsid w:val="0CCA2BAD"/>
    <w:rsid w:val="0CCCCF0D"/>
    <w:rsid w:val="0CDD7CFF"/>
    <w:rsid w:val="0CEBD1B1"/>
    <w:rsid w:val="0D082840"/>
    <w:rsid w:val="0D0857FD"/>
    <w:rsid w:val="0D0B0EC3"/>
    <w:rsid w:val="0D1DABD3"/>
    <w:rsid w:val="0D2066C9"/>
    <w:rsid w:val="0D2E6B88"/>
    <w:rsid w:val="0D40AD26"/>
    <w:rsid w:val="0D556A9C"/>
    <w:rsid w:val="0D798DCE"/>
    <w:rsid w:val="0D87C039"/>
    <w:rsid w:val="0D937469"/>
    <w:rsid w:val="0DA544BC"/>
    <w:rsid w:val="0DB14F1D"/>
    <w:rsid w:val="0DBBB1C1"/>
    <w:rsid w:val="0DBCB0B4"/>
    <w:rsid w:val="0DBEA594"/>
    <w:rsid w:val="0DCAB8EF"/>
    <w:rsid w:val="0DD2F81E"/>
    <w:rsid w:val="0DD67814"/>
    <w:rsid w:val="0DE22244"/>
    <w:rsid w:val="0DE5B886"/>
    <w:rsid w:val="0DE66423"/>
    <w:rsid w:val="0DE99682"/>
    <w:rsid w:val="0DF240BA"/>
    <w:rsid w:val="0DF81A04"/>
    <w:rsid w:val="0E07EEFF"/>
    <w:rsid w:val="0E0FB761"/>
    <w:rsid w:val="0E107D3E"/>
    <w:rsid w:val="0E50C559"/>
    <w:rsid w:val="0E57B68F"/>
    <w:rsid w:val="0E608567"/>
    <w:rsid w:val="0E60E63A"/>
    <w:rsid w:val="0E7C83BB"/>
    <w:rsid w:val="0EA165CC"/>
    <w:rsid w:val="0EE147F4"/>
    <w:rsid w:val="0F0DA32D"/>
    <w:rsid w:val="0F0DCE61"/>
    <w:rsid w:val="0F43E2FC"/>
    <w:rsid w:val="0F5C08CA"/>
    <w:rsid w:val="0F658412"/>
    <w:rsid w:val="0F79AD76"/>
    <w:rsid w:val="0F7FBCB9"/>
    <w:rsid w:val="0F8D3435"/>
    <w:rsid w:val="0F8DC218"/>
    <w:rsid w:val="0F9FF1DB"/>
    <w:rsid w:val="0FAF8C87"/>
    <w:rsid w:val="0FB8F88C"/>
    <w:rsid w:val="0FC7BF6B"/>
    <w:rsid w:val="0FC8FC0E"/>
    <w:rsid w:val="0FD9246B"/>
    <w:rsid w:val="0FDFBB50"/>
    <w:rsid w:val="10117205"/>
    <w:rsid w:val="102C376E"/>
    <w:rsid w:val="103F2DD0"/>
    <w:rsid w:val="10476A9E"/>
    <w:rsid w:val="10482DB7"/>
    <w:rsid w:val="104A12F0"/>
    <w:rsid w:val="104F5FED"/>
    <w:rsid w:val="106892C7"/>
    <w:rsid w:val="107FA622"/>
    <w:rsid w:val="1082CC80"/>
    <w:rsid w:val="108380C7"/>
    <w:rsid w:val="109204C1"/>
    <w:rsid w:val="1099AC5E"/>
    <w:rsid w:val="1099F068"/>
    <w:rsid w:val="10A6DA64"/>
    <w:rsid w:val="10B300FD"/>
    <w:rsid w:val="10D4CB3C"/>
    <w:rsid w:val="10ED36A4"/>
    <w:rsid w:val="10EF3240"/>
    <w:rsid w:val="10F0396E"/>
    <w:rsid w:val="11093B73"/>
    <w:rsid w:val="11109ED7"/>
    <w:rsid w:val="1136638C"/>
    <w:rsid w:val="11383CDD"/>
    <w:rsid w:val="11584165"/>
    <w:rsid w:val="116AECD5"/>
    <w:rsid w:val="116EF4ED"/>
    <w:rsid w:val="117C9987"/>
    <w:rsid w:val="118641E5"/>
    <w:rsid w:val="118917C9"/>
    <w:rsid w:val="119AAB56"/>
    <w:rsid w:val="11A26C5A"/>
    <w:rsid w:val="11A4CB31"/>
    <w:rsid w:val="11B0D3C4"/>
    <w:rsid w:val="11B379F0"/>
    <w:rsid w:val="11CCB920"/>
    <w:rsid w:val="11D9CA73"/>
    <w:rsid w:val="11E0221C"/>
    <w:rsid w:val="11E82FBE"/>
    <w:rsid w:val="11EA6DD2"/>
    <w:rsid w:val="11EB0EA2"/>
    <w:rsid w:val="11F80D8B"/>
    <w:rsid w:val="120FB420"/>
    <w:rsid w:val="121091B0"/>
    <w:rsid w:val="1214A43E"/>
    <w:rsid w:val="1227A821"/>
    <w:rsid w:val="1236C234"/>
    <w:rsid w:val="123EBB76"/>
    <w:rsid w:val="12484CB3"/>
    <w:rsid w:val="125A3236"/>
    <w:rsid w:val="1263E1AB"/>
    <w:rsid w:val="12852F47"/>
    <w:rsid w:val="1285EEF6"/>
    <w:rsid w:val="12A4A34C"/>
    <w:rsid w:val="12BF292F"/>
    <w:rsid w:val="12E1F7FE"/>
    <w:rsid w:val="12E2E4F4"/>
    <w:rsid w:val="12E573A9"/>
    <w:rsid w:val="12F35643"/>
    <w:rsid w:val="12FB6EE9"/>
    <w:rsid w:val="1308237F"/>
    <w:rsid w:val="13127F57"/>
    <w:rsid w:val="13145C24"/>
    <w:rsid w:val="13191E96"/>
    <w:rsid w:val="132D0E07"/>
    <w:rsid w:val="1331191F"/>
    <w:rsid w:val="138D048A"/>
    <w:rsid w:val="13962E45"/>
    <w:rsid w:val="13A8B697"/>
    <w:rsid w:val="13BF30F7"/>
    <w:rsid w:val="13C1F28D"/>
    <w:rsid w:val="13C4DE77"/>
    <w:rsid w:val="13D483DB"/>
    <w:rsid w:val="140FF158"/>
    <w:rsid w:val="140FFBB4"/>
    <w:rsid w:val="14155EC6"/>
    <w:rsid w:val="141739A5"/>
    <w:rsid w:val="1417AA5B"/>
    <w:rsid w:val="141FFC88"/>
    <w:rsid w:val="143CA36F"/>
    <w:rsid w:val="148B5D93"/>
    <w:rsid w:val="149DBA66"/>
    <w:rsid w:val="14B8DEC5"/>
    <w:rsid w:val="14BBCC73"/>
    <w:rsid w:val="15067C42"/>
    <w:rsid w:val="150CB2E5"/>
    <w:rsid w:val="1511AE46"/>
    <w:rsid w:val="152483DB"/>
    <w:rsid w:val="153A31EB"/>
    <w:rsid w:val="155640E0"/>
    <w:rsid w:val="1556655A"/>
    <w:rsid w:val="155B4E21"/>
    <w:rsid w:val="1592A8D7"/>
    <w:rsid w:val="1597001F"/>
    <w:rsid w:val="15AA765B"/>
    <w:rsid w:val="15ABD395"/>
    <w:rsid w:val="15CB009D"/>
    <w:rsid w:val="15DD2776"/>
    <w:rsid w:val="15DFF625"/>
    <w:rsid w:val="1609631B"/>
    <w:rsid w:val="160A0ED8"/>
    <w:rsid w:val="162ABE5E"/>
    <w:rsid w:val="162AF41E"/>
    <w:rsid w:val="162B4A30"/>
    <w:rsid w:val="162C9AAD"/>
    <w:rsid w:val="16440982"/>
    <w:rsid w:val="164BC2C5"/>
    <w:rsid w:val="166F6292"/>
    <w:rsid w:val="1691F93F"/>
    <w:rsid w:val="16A267BC"/>
    <w:rsid w:val="16B365DA"/>
    <w:rsid w:val="16BD6578"/>
    <w:rsid w:val="16D7AD71"/>
    <w:rsid w:val="16F8D2C2"/>
    <w:rsid w:val="17088102"/>
    <w:rsid w:val="170EC2BB"/>
    <w:rsid w:val="1713011D"/>
    <w:rsid w:val="171A4759"/>
    <w:rsid w:val="171AB322"/>
    <w:rsid w:val="1727A283"/>
    <w:rsid w:val="1730603A"/>
    <w:rsid w:val="17492512"/>
    <w:rsid w:val="1781B190"/>
    <w:rsid w:val="179DEEA6"/>
    <w:rsid w:val="17A9E07D"/>
    <w:rsid w:val="17B94D14"/>
    <w:rsid w:val="17C35B58"/>
    <w:rsid w:val="17C42BE6"/>
    <w:rsid w:val="17CEC489"/>
    <w:rsid w:val="17F8C279"/>
    <w:rsid w:val="18084FEC"/>
    <w:rsid w:val="181119AE"/>
    <w:rsid w:val="181AE0CE"/>
    <w:rsid w:val="183048C9"/>
    <w:rsid w:val="184A6507"/>
    <w:rsid w:val="1850D29D"/>
    <w:rsid w:val="1850D323"/>
    <w:rsid w:val="1863A3ED"/>
    <w:rsid w:val="186C1AD6"/>
    <w:rsid w:val="1875CBE6"/>
    <w:rsid w:val="1880C25F"/>
    <w:rsid w:val="189846E3"/>
    <w:rsid w:val="18C97770"/>
    <w:rsid w:val="18FA5651"/>
    <w:rsid w:val="19082199"/>
    <w:rsid w:val="19144EE2"/>
    <w:rsid w:val="19246F05"/>
    <w:rsid w:val="192DFDA4"/>
    <w:rsid w:val="1930472D"/>
    <w:rsid w:val="1938DDD0"/>
    <w:rsid w:val="193DEB4A"/>
    <w:rsid w:val="1946144B"/>
    <w:rsid w:val="19509F3A"/>
    <w:rsid w:val="19517E01"/>
    <w:rsid w:val="19518FDA"/>
    <w:rsid w:val="195F8CE9"/>
    <w:rsid w:val="1963B651"/>
    <w:rsid w:val="196A9114"/>
    <w:rsid w:val="197C0788"/>
    <w:rsid w:val="199D2B8E"/>
    <w:rsid w:val="19A28A77"/>
    <w:rsid w:val="19A403BB"/>
    <w:rsid w:val="19A4B7D8"/>
    <w:rsid w:val="19A5D055"/>
    <w:rsid w:val="19B33C48"/>
    <w:rsid w:val="19D1C63A"/>
    <w:rsid w:val="19E4849E"/>
    <w:rsid w:val="19E72D54"/>
    <w:rsid w:val="19EB6F2C"/>
    <w:rsid w:val="1A117592"/>
    <w:rsid w:val="1A1262D5"/>
    <w:rsid w:val="1A29085C"/>
    <w:rsid w:val="1A38854E"/>
    <w:rsid w:val="1A3DFB78"/>
    <w:rsid w:val="1A52EBF2"/>
    <w:rsid w:val="1A6B66A2"/>
    <w:rsid w:val="1A745F6B"/>
    <w:rsid w:val="1A921B78"/>
    <w:rsid w:val="1AA1CBF1"/>
    <w:rsid w:val="1AA3550D"/>
    <w:rsid w:val="1AB641D4"/>
    <w:rsid w:val="1AD4071B"/>
    <w:rsid w:val="1ADE06C1"/>
    <w:rsid w:val="1B0F11FC"/>
    <w:rsid w:val="1B0F4706"/>
    <w:rsid w:val="1B3F936A"/>
    <w:rsid w:val="1B41E16C"/>
    <w:rsid w:val="1B5340ED"/>
    <w:rsid w:val="1B74FB8E"/>
    <w:rsid w:val="1B826E90"/>
    <w:rsid w:val="1B8CFDA2"/>
    <w:rsid w:val="1B9A1728"/>
    <w:rsid w:val="1BA1E910"/>
    <w:rsid w:val="1BC965A0"/>
    <w:rsid w:val="1BD513D5"/>
    <w:rsid w:val="1BD684BB"/>
    <w:rsid w:val="1BDF3507"/>
    <w:rsid w:val="1BFC635E"/>
    <w:rsid w:val="1C020256"/>
    <w:rsid w:val="1C02A70C"/>
    <w:rsid w:val="1C04D817"/>
    <w:rsid w:val="1C199EC5"/>
    <w:rsid w:val="1C2BC528"/>
    <w:rsid w:val="1C453BE5"/>
    <w:rsid w:val="1C4FDAD6"/>
    <w:rsid w:val="1C5BEF07"/>
    <w:rsid w:val="1C681B6F"/>
    <w:rsid w:val="1C891B99"/>
    <w:rsid w:val="1C925EC9"/>
    <w:rsid w:val="1C93367D"/>
    <w:rsid w:val="1C9447E8"/>
    <w:rsid w:val="1C962DD1"/>
    <w:rsid w:val="1CA51477"/>
    <w:rsid w:val="1CC03D5D"/>
    <w:rsid w:val="1CC34ED1"/>
    <w:rsid w:val="1CCCD3E9"/>
    <w:rsid w:val="1CFE0CF4"/>
    <w:rsid w:val="1D001313"/>
    <w:rsid w:val="1D1945F0"/>
    <w:rsid w:val="1D4C8615"/>
    <w:rsid w:val="1D613D59"/>
    <w:rsid w:val="1D94F2B0"/>
    <w:rsid w:val="1DA4C990"/>
    <w:rsid w:val="1DB4DA14"/>
    <w:rsid w:val="1DDB18DF"/>
    <w:rsid w:val="1E15802E"/>
    <w:rsid w:val="1E1FF6EC"/>
    <w:rsid w:val="1E2ED263"/>
    <w:rsid w:val="1E50865F"/>
    <w:rsid w:val="1E5C2785"/>
    <w:rsid w:val="1E5CEA64"/>
    <w:rsid w:val="1E6459A8"/>
    <w:rsid w:val="1E79C06B"/>
    <w:rsid w:val="1E7EDD8B"/>
    <w:rsid w:val="1E8A52D1"/>
    <w:rsid w:val="1E8B71A1"/>
    <w:rsid w:val="1E8C9E72"/>
    <w:rsid w:val="1EA35C57"/>
    <w:rsid w:val="1EA496D2"/>
    <w:rsid w:val="1EA6CDE8"/>
    <w:rsid w:val="1ED02896"/>
    <w:rsid w:val="1ED6DE67"/>
    <w:rsid w:val="1EE7EA78"/>
    <w:rsid w:val="1F1A2B66"/>
    <w:rsid w:val="1F32DE8A"/>
    <w:rsid w:val="1F34B3EB"/>
    <w:rsid w:val="1F36E34B"/>
    <w:rsid w:val="1F48C665"/>
    <w:rsid w:val="1F56589F"/>
    <w:rsid w:val="1F5F1A78"/>
    <w:rsid w:val="1F603A1E"/>
    <w:rsid w:val="1F68628C"/>
    <w:rsid w:val="1F7DDC78"/>
    <w:rsid w:val="1F8A6D5A"/>
    <w:rsid w:val="1F8CC559"/>
    <w:rsid w:val="1F8CEEFA"/>
    <w:rsid w:val="1F9551AC"/>
    <w:rsid w:val="1FAC66C2"/>
    <w:rsid w:val="1FACCCCA"/>
    <w:rsid w:val="1FAE9FC7"/>
    <w:rsid w:val="1FB8C399"/>
    <w:rsid w:val="1FC9528B"/>
    <w:rsid w:val="1FF57B37"/>
    <w:rsid w:val="20074303"/>
    <w:rsid w:val="20079052"/>
    <w:rsid w:val="2009ADFB"/>
    <w:rsid w:val="203F31FD"/>
    <w:rsid w:val="203F5CAC"/>
    <w:rsid w:val="205F4A7F"/>
    <w:rsid w:val="206BA352"/>
    <w:rsid w:val="2086E5F2"/>
    <w:rsid w:val="208C1561"/>
    <w:rsid w:val="209168D4"/>
    <w:rsid w:val="20D220BE"/>
    <w:rsid w:val="20E5C0B3"/>
    <w:rsid w:val="2103EA40"/>
    <w:rsid w:val="21055E66"/>
    <w:rsid w:val="211A0350"/>
    <w:rsid w:val="211ABE31"/>
    <w:rsid w:val="214C356F"/>
    <w:rsid w:val="214DC84C"/>
    <w:rsid w:val="21513B84"/>
    <w:rsid w:val="217C61F0"/>
    <w:rsid w:val="2188E721"/>
    <w:rsid w:val="219A009D"/>
    <w:rsid w:val="219A8301"/>
    <w:rsid w:val="219C929A"/>
    <w:rsid w:val="219FD508"/>
    <w:rsid w:val="21A5809D"/>
    <w:rsid w:val="21A9BCFF"/>
    <w:rsid w:val="21B4EC2C"/>
    <w:rsid w:val="21B86D06"/>
    <w:rsid w:val="21BF4019"/>
    <w:rsid w:val="21CCCC0B"/>
    <w:rsid w:val="21D9E935"/>
    <w:rsid w:val="21E0677F"/>
    <w:rsid w:val="21F0DDBD"/>
    <w:rsid w:val="2207B5C9"/>
    <w:rsid w:val="2212C715"/>
    <w:rsid w:val="22132A66"/>
    <w:rsid w:val="2218DC0F"/>
    <w:rsid w:val="2222958D"/>
    <w:rsid w:val="222B40D1"/>
    <w:rsid w:val="222B4A34"/>
    <w:rsid w:val="224ACCF7"/>
    <w:rsid w:val="227A8FB2"/>
    <w:rsid w:val="228193AE"/>
    <w:rsid w:val="228D87A2"/>
    <w:rsid w:val="22A526A2"/>
    <w:rsid w:val="22B073EC"/>
    <w:rsid w:val="22B4CA7B"/>
    <w:rsid w:val="22B758E2"/>
    <w:rsid w:val="22B7CAC4"/>
    <w:rsid w:val="22FB32EB"/>
    <w:rsid w:val="2301B6B6"/>
    <w:rsid w:val="234CA415"/>
    <w:rsid w:val="234E554D"/>
    <w:rsid w:val="23882B0B"/>
    <w:rsid w:val="2389F204"/>
    <w:rsid w:val="23C67668"/>
    <w:rsid w:val="23ED0748"/>
    <w:rsid w:val="23FBBCF4"/>
    <w:rsid w:val="23FCA901"/>
    <w:rsid w:val="23FD4366"/>
    <w:rsid w:val="24059C4C"/>
    <w:rsid w:val="241B1ADB"/>
    <w:rsid w:val="241D5B8F"/>
    <w:rsid w:val="241D5CA1"/>
    <w:rsid w:val="24279F43"/>
    <w:rsid w:val="242C1BF6"/>
    <w:rsid w:val="2454F9A8"/>
    <w:rsid w:val="24611A14"/>
    <w:rsid w:val="2466C4BF"/>
    <w:rsid w:val="24ACBCAB"/>
    <w:rsid w:val="24B7B391"/>
    <w:rsid w:val="24BFE281"/>
    <w:rsid w:val="24C58562"/>
    <w:rsid w:val="24FCF4DF"/>
    <w:rsid w:val="2504D970"/>
    <w:rsid w:val="25337D50"/>
    <w:rsid w:val="2554F4BE"/>
    <w:rsid w:val="25610EEB"/>
    <w:rsid w:val="257F4EC3"/>
    <w:rsid w:val="2582860B"/>
    <w:rsid w:val="25838AEA"/>
    <w:rsid w:val="25962F57"/>
    <w:rsid w:val="25A16515"/>
    <w:rsid w:val="25B462AD"/>
    <w:rsid w:val="25B99F9F"/>
    <w:rsid w:val="25BCECE3"/>
    <w:rsid w:val="25D3AA5A"/>
    <w:rsid w:val="25D3F2AD"/>
    <w:rsid w:val="261C0B7D"/>
    <w:rsid w:val="261DD252"/>
    <w:rsid w:val="2624228E"/>
    <w:rsid w:val="263353A6"/>
    <w:rsid w:val="2656CFD5"/>
    <w:rsid w:val="2667DDC7"/>
    <w:rsid w:val="26754AA7"/>
    <w:rsid w:val="26A3C309"/>
    <w:rsid w:val="26A94A0E"/>
    <w:rsid w:val="26B030C1"/>
    <w:rsid w:val="26C89C4D"/>
    <w:rsid w:val="26CC8C88"/>
    <w:rsid w:val="26FDA326"/>
    <w:rsid w:val="2705ED11"/>
    <w:rsid w:val="2718DC0F"/>
    <w:rsid w:val="27193CCD"/>
    <w:rsid w:val="2758A524"/>
    <w:rsid w:val="276AB2F2"/>
    <w:rsid w:val="2777DEC9"/>
    <w:rsid w:val="2780DD07"/>
    <w:rsid w:val="2783025D"/>
    <w:rsid w:val="278F0204"/>
    <w:rsid w:val="278F04A5"/>
    <w:rsid w:val="27A2AA57"/>
    <w:rsid w:val="27AB5758"/>
    <w:rsid w:val="27C0A852"/>
    <w:rsid w:val="27CBC9DE"/>
    <w:rsid w:val="27EC579B"/>
    <w:rsid w:val="27FCB755"/>
    <w:rsid w:val="2826FA15"/>
    <w:rsid w:val="286827FB"/>
    <w:rsid w:val="2868A889"/>
    <w:rsid w:val="286EF406"/>
    <w:rsid w:val="2891EB05"/>
    <w:rsid w:val="289D2832"/>
    <w:rsid w:val="28C38204"/>
    <w:rsid w:val="28C6DD48"/>
    <w:rsid w:val="28D6F8D8"/>
    <w:rsid w:val="28E5639F"/>
    <w:rsid w:val="291EAE4B"/>
    <w:rsid w:val="293D5721"/>
    <w:rsid w:val="293F976B"/>
    <w:rsid w:val="29483005"/>
    <w:rsid w:val="29613539"/>
    <w:rsid w:val="2976EC49"/>
    <w:rsid w:val="29799965"/>
    <w:rsid w:val="297F1B0B"/>
    <w:rsid w:val="2988B763"/>
    <w:rsid w:val="299AF4AB"/>
    <w:rsid w:val="29A46852"/>
    <w:rsid w:val="29B44CFB"/>
    <w:rsid w:val="29B92A76"/>
    <w:rsid w:val="29BA45B7"/>
    <w:rsid w:val="29BC83C7"/>
    <w:rsid w:val="29C64BF3"/>
    <w:rsid w:val="29FA6F50"/>
    <w:rsid w:val="2A0FBAF1"/>
    <w:rsid w:val="2A18705A"/>
    <w:rsid w:val="2A18CA35"/>
    <w:rsid w:val="2A28E311"/>
    <w:rsid w:val="2A4391C3"/>
    <w:rsid w:val="2A460491"/>
    <w:rsid w:val="2A49A263"/>
    <w:rsid w:val="2A8E10E2"/>
    <w:rsid w:val="2A94A488"/>
    <w:rsid w:val="2AA08A54"/>
    <w:rsid w:val="2AB5C874"/>
    <w:rsid w:val="2ABF9FF0"/>
    <w:rsid w:val="2AC054FE"/>
    <w:rsid w:val="2ACA8A81"/>
    <w:rsid w:val="2ADBB4C6"/>
    <w:rsid w:val="2ADE5E9E"/>
    <w:rsid w:val="2AF13423"/>
    <w:rsid w:val="2B0145D4"/>
    <w:rsid w:val="2B22557D"/>
    <w:rsid w:val="2B446068"/>
    <w:rsid w:val="2B5721DE"/>
    <w:rsid w:val="2B6FD912"/>
    <w:rsid w:val="2B85E9D1"/>
    <w:rsid w:val="2B924081"/>
    <w:rsid w:val="2BA8C45F"/>
    <w:rsid w:val="2BB8D022"/>
    <w:rsid w:val="2BCFCFB2"/>
    <w:rsid w:val="2BD6D1CC"/>
    <w:rsid w:val="2BD6FBEB"/>
    <w:rsid w:val="2BE89743"/>
    <w:rsid w:val="2BE9B231"/>
    <w:rsid w:val="2C015B6A"/>
    <w:rsid w:val="2C0EB883"/>
    <w:rsid w:val="2C144A85"/>
    <w:rsid w:val="2C158FA7"/>
    <w:rsid w:val="2C209A69"/>
    <w:rsid w:val="2C263B25"/>
    <w:rsid w:val="2C2E3B27"/>
    <w:rsid w:val="2C30FD5A"/>
    <w:rsid w:val="2C3708E0"/>
    <w:rsid w:val="2C464429"/>
    <w:rsid w:val="2C4A7A69"/>
    <w:rsid w:val="2C4D9311"/>
    <w:rsid w:val="2C62000C"/>
    <w:rsid w:val="2C860CBE"/>
    <w:rsid w:val="2C93F908"/>
    <w:rsid w:val="2C9A9DCF"/>
    <w:rsid w:val="2CA0A95B"/>
    <w:rsid w:val="2CA65AD5"/>
    <w:rsid w:val="2CDFA365"/>
    <w:rsid w:val="2CE1D9AF"/>
    <w:rsid w:val="2CE80602"/>
    <w:rsid w:val="2CE89E58"/>
    <w:rsid w:val="2CF831AC"/>
    <w:rsid w:val="2CFC6C5C"/>
    <w:rsid w:val="2D1225E3"/>
    <w:rsid w:val="2D129D37"/>
    <w:rsid w:val="2D13C6D1"/>
    <w:rsid w:val="2D1CB257"/>
    <w:rsid w:val="2D26276E"/>
    <w:rsid w:val="2D3A4936"/>
    <w:rsid w:val="2D5496FF"/>
    <w:rsid w:val="2D54B987"/>
    <w:rsid w:val="2D6ED692"/>
    <w:rsid w:val="2D8354CF"/>
    <w:rsid w:val="2D92D8E6"/>
    <w:rsid w:val="2DD51421"/>
    <w:rsid w:val="2DD6100E"/>
    <w:rsid w:val="2DE6D375"/>
    <w:rsid w:val="2DE9C6CF"/>
    <w:rsid w:val="2DF3F68F"/>
    <w:rsid w:val="2E286048"/>
    <w:rsid w:val="2E2A1E38"/>
    <w:rsid w:val="2E2BDB87"/>
    <w:rsid w:val="2E331B42"/>
    <w:rsid w:val="2E418F2A"/>
    <w:rsid w:val="2E495335"/>
    <w:rsid w:val="2E7C6C43"/>
    <w:rsid w:val="2E841A02"/>
    <w:rsid w:val="2E8799A3"/>
    <w:rsid w:val="2E8A37DA"/>
    <w:rsid w:val="2E9150FC"/>
    <w:rsid w:val="2E93FDE8"/>
    <w:rsid w:val="2EBF1A09"/>
    <w:rsid w:val="2EC8EE41"/>
    <w:rsid w:val="2ECDA702"/>
    <w:rsid w:val="2ED1391B"/>
    <w:rsid w:val="2EF161A8"/>
    <w:rsid w:val="2EF6F831"/>
    <w:rsid w:val="2F1039FB"/>
    <w:rsid w:val="2F282953"/>
    <w:rsid w:val="2F337B7D"/>
    <w:rsid w:val="2F374ED8"/>
    <w:rsid w:val="2F4C2FDF"/>
    <w:rsid w:val="2F5B7FA3"/>
    <w:rsid w:val="2F63B0D2"/>
    <w:rsid w:val="2F6DCE79"/>
    <w:rsid w:val="2F8619DF"/>
    <w:rsid w:val="2F96D882"/>
    <w:rsid w:val="2F992E27"/>
    <w:rsid w:val="2FAD34AE"/>
    <w:rsid w:val="2FB9D23B"/>
    <w:rsid w:val="2FBDEA46"/>
    <w:rsid w:val="2FDAF168"/>
    <w:rsid w:val="3002C865"/>
    <w:rsid w:val="3010EBAA"/>
    <w:rsid w:val="3014F326"/>
    <w:rsid w:val="3035F033"/>
    <w:rsid w:val="3044207B"/>
    <w:rsid w:val="30487387"/>
    <w:rsid w:val="304C0158"/>
    <w:rsid w:val="3078F7CB"/>
    <w:rsid w:val="307FB990"/>
    <w:rsid w:val="30850E02"/>
    <w:rsid w:val="308B3AFD"/>
    <w:rsid w:val="3098F997"/>
    <w:rsid w:val="30A65CE0"/>
    <w:rsid w:val="30BBA60D"/>
    <w:rsid w:val="30BC00D6"/>
    <w:rsid w:val="30BD91D0"/>
    <w:rsid w:val="30BDF892"/>
    <w:rsid w:val="30CD2D26"/>
    <w:rsid w:val="30D6F1E1"/>
    <w:rsid w:val="3127CE63"/>
    <w:rsid w:val="312A5260"/>
    <w:rsid w:val="3132BF5D"/>
    <w:rsid w:val="31455829"/>
    <w:rsid w:val="314993CB"/>
    <w:rsid w:val="314C2BE5"/>
    <w:rsid w:val="314EE7B8"/>
    <w:rsid w:val="3157CC13"/>
    <w:rsid w:val="315D8B45"/>
    <w:rsid w:val="316108A9"/>
    <w:rsid w:val="3171F162"/>
    <w:rsid w:val="3174F6A7"/>
    <w:rsid w:val="317EEBBD"/>
    <w:rsid w:val="31830755"/>
    <w:rsid w:val="318AC3CC"/>
    <w:rsid w:val="31A38A03"/>
    <w:rsid w:val="31B4BFE3"/>
    <w:rsid w:val="31C5E9ED"/>
    <w:rsid w:val="31D2B52D"/>
    <w:rsid w:val="31D3A428"/>
    <w:rsid w:val="31E53F6E"/>
    <w:rsid w:val="31F1FCFA"/>
    <w:rsid w:val="31FD9EF1"/>
    <w:rsid w:val="3202EAA9"/>
    <w:rsid w:val="320338DC"/>
    <w:rsid w:val="320AD6D6"/>
    <w:rsid w:val="3219F3B0"/>
    <w:rsid w:val="3255EA7A"/>
    <w:rsid w:val="32621056"/>
    <w:rsid w:val="32714E1A"/>
    <w:rsid w:val="3287A1EE"/>
    <w:rsid w:val="3292757C"/>
    <w:rsid w:val="3296B5A9"/>
    <w:rsid w:val="32B19397"/>
    <w:rsid w:val="32B81A19"/>
    <w:rsid w:val="32C62D5F"/>
    <w:rsid w:val="32ED126E"/>
    <w:rsid w:val="32FA30CE"/>
    <w:rsid w:val="32FAFECE"/>
    <w:rsid w:val="3302BD8A"/>
    <w:rsid w:val="330F014B"/>
    <w:rsid w:val="331EECBF"/>
    <w:rsid w:val="3325EA07"/>
    <w:rsid w:val="334A1FB8"/>
    <w:rsid w:val="334B00BE"/>
    <w:rsid w:val="3367A945"/>
    <w:rsid w:val="337942E4"/>
    <w:rsid w:val="337E7890"/>
    <w:rsid w:val="338262DC"/>
    <w:rsid w:val="338FC18F"/>
    <w:rsid w:val="33A326C8"/>
    <w:rsid w:val="33DFF977"/>
    <w:rsid w:val="33E4EF1A"/>
    <w:rsid w:val="33F65EBB"/>
    <w:rsid w:val="33FFD9A1"/>
    <w:rsid w:val="340D08CD"/>
    <w:rsid w:val="34233852"/>
    <w:rsid w:val="34394AD9"/>
    <w:rsid w:val="346C1CAC"/>
    <w:rsid w:val="346D0D83"/>
    <w:rsid w:val="349431D4"/>
    <w:rsid w:val="349C7A6E"/>
    <w:rsid w:val="34A6650D"/>
    <w:rsid w:val="34A76A09"/>
    <w:rsid w:val="34BF525C"/>
    <w:rsid w:val="34CE2048"/>
    <w:rsid w:val="34D7D8B5"/>
    <w:rsid w:val="34DF1057"/>
    <w:rsid w:val="34EEA2B9"/>
    <w:rsid w:val="35004ADD"/>
    <w:rsid w:val="35010480"/>
    <w:rsid w:val="35377392"/>
    <w:rsid w:val="35570D97"/>
    <w:rsid w:val="355C69DC"/>
    <w:rsid w:val="356F67B2"/>
    <w:rsid w:val="357E5DFC"/>
    <w:rsid w:val="3586E5DD"/>
    <w:rsid w:val="35ABFDC5"/>
    <w:rsid w:val="35BBD6BA"/>
    <w:rsid w:val="35C751FF"/>
    <w:rsid w:val="35D29F87"/>
    <w:rsid w:val="35D399B6"/>
    <w:rsid w:val="35DB15F6"/>
    <w:rsid w:val="35E131F1"/>
    <w:rsid w:val="36024EB8"/>
    <w:rsid w:val="360CE1A4"/>
    <w:rsid w:val="360FFDD9"/>
    <w:rsid w:val="3611D097"/>
    <w:rsid w:val="3634DCA2"/>
    <w:rsid w:val="364CF2DA"/>
    <w:rsid w:val="364CFF75"/>
    <w:rsid w:val="36641BF4"/>
    <w:rsid w:val="36706015"/>
    <w:rsid w:val="3674E637"/>
    <w:rsid w:val="36B6E813"/>
    <w:rsid w:val="36D6D955"/>
    <w:rsid w:val="36DE6F89"/>
    <w:rsid w:val="36F5F97A"/>
    <w:rsid w:val="36FA126C"/>
    <w:rsid w:val="370742FA"/>
    <w:rsid w:val="37180E74"/>
    <w:rsid w:val="372B040A"/>
    <w:rsid w:val="372B0C9D"/>
    <w:rsid w:val="3731ACA7"/>
    <w:rsid w:val="3747DE62"/>
    <w:rsid w:val="374AFCC2"/>
    <w:rsid w:val="375A30C1"/>
    <w:rsid w:val="3760DA6F"/>
    <w:rsid w:val="37790171"/>
    <w:rsid w:val="378F5476"/>
    <w:rsid w:val="379187EF"/>
    <w:rsid w:val="37A8BE52"/>
    <w:rsid w:val="37AC6DA0"/>
    <w:rsid w:val="37B888BB"/>
    <w:rsid w:val="37BBA6A8"/>
    <w:rsid w:val="37DDB647"/>
    <w:rsid w:val="37DEA0D4"/>
    <w:rsid w:val="37FA224F"/>
    <w:rsid w:val="37FC4B97"/>
    <w:rsid w:val="380245E5"/>
    <w:rsid w:val="380D4295"/>
    <w:rsid w:val="3811D3CE"/>
    <w:rsid w:val="381E127E"/>
    <w:rsid w:val="3822DA16"/>
    <w:rsid w:val="3828E10A"/>
    <w:rsid w:val="3842770E"/>
    <w:rsid w:val="384632C7"/>
    <w:rsid w:val="384F5514"/>
    <w:rsid w:val="386706F7"/>
    <w:rsid w:val="3874DF5E"/>
    <w:rsid w:val="387BDBD3"/>
    <w:rsid w:val="38836F13"/>
    <w:rsid w:val="38CB2E69"/>
    <w:rsid w:val="38D084A4"/>
    <w:rsid w:val="38FBE4B9"/>
    <w:rsid w:val="390CF625"/>
    <w:rsid w:val="3948FB07"/>
    <w:rsid w:val="394D9D35"/>
    <w:rsid w:val="395280CD"/>
    <w:rsid w:val="39CB1C28"/>
    <w:rsid w:val="39D366FE"/>
    <w:rsid w:val="39E14F80"/>
    <w:rsid w:val="39E894FD"/>
    <w:rsid w:val="3A2D7868"/>
    <w:rsid w:val="3A2EE35C"/>
    <w:rsid w:val="3A346F6C"/>
    <w:rsid w:val="3A38A6B9"/>
    <w:rsid w:val="3A50F5DD"/>
    <w:rsid w:val="3A55BEC4"/>
    <w:rsid w:val="3A6B2F46"/>
    <w:rsid w:val="3A8CB7D6"/>
    <w:rsid w:val="3A97F1D3"/>
    <w:rsid w:val="3A9FAC45"/>
    <w:rsid w:val="3AA0CDC5"/>
    <w:rsid w:val="3AB05EFE"/>
    <w:rsid w:val="3AC36561"/>
    <w:rsid w:val="3AC61F79"/>
    <w:rsid w:val="3AE2D140"/>
    <w:rsid w:val="3AE59555"/>
    <w:rsid w:val="3AEFB08E"/>
    <w:rsid w:val="3AF80BBB"/>
    <w:rsid w:val="3B12A03F"/>
    <w:rsid w:val="3B13ADF0"/>
    <w:rsid w:val="3B1C6531"/>
    <w:rsid w:val="3B2C55B0"/>
    <w:rsid w:val="3B3B1236"/>
    <w:rsid w:val="3B55EED5"/>
    <w:rsid w:val="3B65173A"/>
    <w:rsid w:val="3B7562A5"/>
    <w:rsid w:val="3B967F49"/>
    <w:rsid w:val="3BA5CF03"/>
    <w:rsid w:val="3BE69983"/>
    <w:rsid w:val="3BEFFB86"/>
    <w:rsid w:val="3BFB41EA"/>
    <w:rsid w:val="3BFE85BF"/>
    <w:rsid w:val="3C052C88"/>
    <w:rsid w:val="3C05CE81"/>
    <w:rsid w:val="3C07B5F0"/>
    <w:rsid w:val="3C0C06D4"/>
    <w:rsid w:val="3C2F33CE"/>
    <w:rsid w:val="3C35595D"/>
    <w:rsid w:val="3C359BDB"/>
    <w:rsid w:val="3C375D47"/>
    <w:rsid w:val="3C4129E7"/>
    <w:rsid w:val="3C4624B1"/>
    <w:rsid w:val="3C4CE936"/>
    <w:rsid w:val="3C5AFBB6"/>
    <w:rsid w:val="3C646EEA"/>
    <w:rsid w:val="3C7B7617"/>
    <w:rsid w:val="3C7D0B49"/>
    <w:rsid w:val="3C7DD9E4"/>
    <w:rsid w:val="3C7ECD61"/>
    <w:rsid w:val="3C869341"/>
    <w:rsid w:val="3CA58B34"/>
    <w:rsid w:val="3CAC5D74"/>
    <w:rsid w:val="3CDC2066"/>
    <w:rsid w:val="3CF40321"/>
    <w:rsid w:val="3CF9ACF5"/>
    <w:rsid w:val="3D329DA2"/>
    <w:rsid w:val="3D6405E9"/>
    <w:rsid w:val="3D7624D8"/>
    <w:rsid w:val="3D7B620B"/>
    <w:rsid w:val="3D7BE9E3"/>
    <w:rsid w:val="3D93B514"/>
    <w:rsid w:val="3DD23592"/>
    <w:rsid w:val="3DF8A657"/>
    <w:rsid w:val="3DFE5A6D"/>
    <w:rsid w:val="3E0578A1"/>
    <w:rsid w:val="3E06E398"/>
    <w:rsid w:val="3E071C62"/>
    <w:rsid w:val="3E1FD102"/>
    <w:rsid w:val="3E2EA299"/>
    <w:rsid w:val="3E3BC5C0"/>
    <w:rsid w:val="3E424D34"/>
    <w:rsid w:val="3E44158A"/>
    <w:rsid w:val="3E6334C5"/>
    <w:rsid w:val="3E64781D"/>
    <w:rsid w:val="3E68B4A3"/>
    <w:rsid w:val="3E6CD91F"/>
    <w:rsid w:val="3E7374E1"/>
    <w:rsid w:val="3E782B5B"/>
    <w:rsid w:val="3E7A49FF"/>
    <w:rsid w:val="3E80BF67"/>
    <w:rsid w:val="3E91D685"/>
    <w:rsid w:val="3EB2EAEF"/>
    <w:rsid w:val="3EBA6548"/>
    <w:rsid w:val="3EC96FAE"/>
    <w:rsid w:val="3ECBD6CB"/>
    <w:rsid w:val="3ECC4730"/>
    <w:rsid w:val="3ECCF8C8"/>
    <w:rsid w:val="3EE7FC24"/>
    <w:rsid w:val="3EEA9ACC"/>
    <w:rsid w:val="3EF12644"/>
    <w:rsid w:val="3EF2B184"/>
    <w:rsid w:val="3F12D72E"/>
    <w:rsid w:val="3F1F2C67"/>
    <w:rsid w:val="3F439546"/>
    <w:rsid w:val="3F558224"/>
    <w:rsid w:val="3F722152"/>
    <w:rsid w:val="3F7CA0D8"/>
    <w:rsid w:val="3F8AF872"/>
    <w:rsid w:val="3FA27043"/>
    <w:rsid w:val="3FB540D1"/>
    <w:rsid w:val="3FB7F4CC"/>
    <w:rsid w:val="3FBB395B"/>
    <w:rsid w:val="3FD9F689"/>
    <w:rsid w:val="3FE5CD71"/>
    <w:rsid w:val="3FEAF0C1"/>
    <w:rsid w:val="401675B6"/>
    <w:rsid w:val="401F13AE"/>
    <w:rsid w:val="40341B82"/>
    <w:rsid w:val="40414FB6"/>
    <w:rsid w:val="40440EA2"/>
    <w:rsid w:val="404953B4"/>
    <w:rsid w:val="4057E519"/>
    <w:rsid w:val="40700E9B"/>
    <w:rsid w:val="4087F3AA"/>
    <w:rsid w:val="40892890"/>
    <w:rsid w:val="4090BE14"/>
    <w:rsid w:val="4094726D"/>
    <w:rsid w:val="40A115E3"/>
    <w:rsid w:val="40A640EB"/>
    <w:rsid w:val="40D0ACB0"/>
    <w:rsid w:val="40EEE354"/>
    <w:rsid w:val="40F3B051"/>
    <w:rsid w:val="4100B18B"/>
    <w:rsid w:val="410683E6"/>
    <w:rsid w:val="411F03DF"/>
    <w:rsid w:val="41222D55"/>
    <w:rsid w:val="41294515"/>
    <w:rsid w:val="416130B6"/>
    <w:rsid w:val="416F302B"/>
    <w:rsid w:val="417FC2AD"/>
    <w:rsid w:val="41A72EBA"/>
    <w:rsid w:val="41B5BDE2"/>
    <w:rsid w:val="4204DF48"/>
    <w:rsid w:val="4208F8DA"/>
    <w:rsid w:val="4210CE50"/>
    <w:rsid w:val="42164BF0"/>
    <w:rsid w:val="4219FBEE"/>
    <w:rsid w:val="422F5B06"/>
    <w:rsid w:val="422F5B8E"/>
    <w:rsid w:val="423310E0"/>
    <w:rsid w:val="4234F58D"/>
    <w:rsid w:val="427DC46B"/>
    <w:rsid w:val="42978F41"/>
    <w:rsid w:val="42AF0A6D"/>
    <w:rsid w:val="42B34F72"/>
    <w:rsid w:val="42BBE50E"/>
    <w:rsid w:val="42C47F73"/>
    <w:rsid w:val="4310B261"/>
    <w:rsid w:val="431EA0CA"/>
    <w:rsid w:val="431F12BA"/>
    <w:rsid w:val="43328188"/>
    <w:rsid w:val="4334DAF4"/>
    <w:rsid w:val="433B78AD"/>
    <w:rsid w:val="4352B800"/>
    <w:rsid w:val="43601186"/>
    <w:rsid w:val="437A84F9"/>
    <w:rsid w:val="438C49A3"/>
    <w:rsid w:val="438C9894"/>
    <w:rsid w:val="4392753A"/>
    <w:rsid w:val="43A129F1"/>
    <w:rsid w:val="43A962B7"/>
    <w:rsid w:val="43BEF43B"/>
    <w:rsid w:val="43C26208"/>
    <w:rsid w:val="43C2FD87"/>
    <w:rsid w:val="43C96B13"/>
    <w:rsid w:val="43D5CF85"/>
    <w:rsid w:val="43E58E11"/>
    <w:rsid w:val="43EC7E19"/>
    <w:rsid w:val="43F2C770"/>
    <w:rsid w:val="4408E774"/>
    <w:rsid w:val="442B9203"/>
    <w:rsid w:val="443020C0"/>
    <w:rsid w:val="4434A95D"/>
    <w:rsid w:val="447D1177"/>
    <w:rsid w:val="447D70A7"/>
    <w:rsid w:val="44856B75"/>
    <w:rsid w:val="44AA3261"/>
    <w:rsid w:val="44AE60D3"/>
    <w:rsid w:val="44B382F3"/>
    <w:rsid w:val="44C5A8F6"/>
    <w:rsid w:val="44C7A716"/>
    <w:rsid w:val="44D3020F"/>
    <w:rsid w:val="44D3E31D"/>
    <w:rsid w:val="44E1F730"/>
    <w:rsid w:val="44E3F2AB"/>
    <w:rsid w:val="44E4E075"/>
    <w:rsid w:val="44F15424"/>
    <w:rsid w:val="44FAA1C5"/>
    <w:rsid w:val="44FC684A"/>
    <w:rsid w:val="453584B1"/>
    <w:rsid w:val="453EA43A"/>
    <w:rsid w:val="4549E6A3"/>
    <w:rsid w:val="455CE888"/>
    <w:rsid w:val="4562EE43"/>
    <w:rsid w:val="456F5083"/>
    <w:rsid w:val="457F106A"/>
    <w:rsid w:val="45B2C4AA"/>
    <w:rsid w:val="45B682AF"/>
    <w:rsid w:val="45B8335A"/>
    <w:rsid w:val="45CD6738"/>
    <w:rsid w:val="45E6B53F"/>
    <w:rsid w:val="4600669E"/>
    <w:rsid w:val="46020B83"/>
    <w:rsid w:val="4602B9F5"/>
    <w:rsid w:val="4603206F"/>
    <w:rsid w:val="460B2E6E"/>
    <w:rsid w:val="460B4470"/>
    <w:rsid w:val="4612822B"/>
    <w:rsid w:val="4612B1BD"/>
    <w:rsid w:val="46247D0C"/>
    <w:rsid w:val="46292980"/>
    <w:rsid w:val="4637906F"/>
    <w:rsid w:val="46401123"/>
    <w:rsid w:val="464B661E"/>
    <w:rsid w:val="4662A4BF"/>
    <w:rsid w:val="4668E32B"/>
    <w:rsid w:val="46C368F8"/>
    <w:rsid w:val="46DDF4A2"/>
    <w:rsid w:val="46E7A147"/>
    <w:rsid w:val="46F23BD7"/>
    <w:rsid w:val="46FFFF1F"/>
    <w:rsid w:val="471FB431"/>
    <w:rsid w:val="47219619"/>
    <w:rsid w:val="472A6299"/>
    <w:rsid w:val="472FCAC6"/>
    <w:rsid w:val="474756D1"/>
    <w:rsid w:val="4763FFFE"/>
    <w:rsid w:val="47908E26"/>
    <w:rsid w:val="47942288"/>
    <w:rsid w:val="47A158D2"/>
    <w:rsid w:val="47AC29A5"/>
    <w:rsid w:val="47B3FE5D"/>
    <w:rsid w:val="47CAFAA2"/>
    <w:rsid w:val="47D76CBA"/>
    <w:rsid w:val="47DC1931"/>
    <w:rsid w:val="47E4D128"/>
    <w:rsid w:val="47EA6970"/>
    <w:rsid w:val="4802778E"/>
    <w:rsid w:val="48211994"/>
    <w:rsid w:val="48218A4C"/>
    <w:rsid w:val="483B947B"/>
    <w:rsid w:val="4846C0E2"/>
    <w:rsid w:val="4846F24B"/>
    <w:rsid w:val="484880C7"/>
    <w:rsid w:val="4859DAC4"/>
    <w:rsid w:val="48704A38"/>
    <w:rsid w:val="48765183"/>
    <w:rsid w:val="487CD49F"/>
    <w:rsid w:val="489EA6E6"/>
    <w:rsid w:val="48E63F56"/>
    <w:rsid w:val="48F10824"/>
    <w:rsid w:val="490119F1"/>
    <w:rsid w:val="49075411"/>
    <w:rsid w:val="4908FECE"/>
    <w:rsid w:val="49163E33"/>
    <w:rsid w:val="4924B25D"/>
    <w:rsid w:val="49301A3B"/>
    <w:rsid w:val="4949DFA3"/>
    <w:rsid w:val="496654DC"/>
    <w:rsid w:val="4968F19C"/>
    <w:rsid w:val="49816D46"/>
    <w:rsid w:val="4997A4AC"/>
    <w:rsid w:val="49CC165F"/>
    <w:rsid w:val="49D0DCB3"/>
    <w:rsid w:val="49D55254"/>
    <w:rsid w:val="4A2CA4E5"/>
    <w:rsid w:val="4A50D9A0"/>
    <w:rsid w:val="4A5A831B"/>
    <w:rsid w:val="4A5AB870"/>
    <w:rsid w:val="4A7AD4A6"/>
    <w:rsid w:val="4A850234"/>
    <w:rsid w:val="4AA4E7C9"/>
    <w:rsid w:val="4AE4B199"/>
    <w:rsid w:val="4AE75622"/>
    <w:rsid w:val="4AE914E9"/>
    <w:rsid w:val="4AF038B1"/>
    <w:rsid w:val="4AFCC23C"/>
    <w:rsid w:val="4B081844"/>
    <w:rsid w:val="4B2EECF7"/>
    <w:rsid w:val="4B361202"/>
    <w:rsid w:val="4B36AC0F"/>
    <w:rsid w:val="4B4A3296"/>
    <w:rsid w:val="4B53C669"/>
    <w:rsid w:val="4B572E58"/>
    <w:rsid w:val="4B98790C"/>
    <w:rsid w:val="4BA8F4D8"/>
    <w:rsid w:val="4BB06C7D"/>
    <w:rsid w:val="4BB9B0BF"/>
    <w:rsid w:val="4BC147D3"/>
    <w:rsid w:val="4BC99252"/>
    <w:rsid w:val="4BCAE69B"/>
    <w:rsid w:val="4BD1C434"/>
    <w:rsid w:val="4BD64BD3"/>
    <w:rsid w:val="4BEEB299"/>
    <w:rsid w:val="4BF14CA9"/>
    <w:rsid w:val="4C095AF7"/>
    <w:rsid w:val="4C0DF19B"/>
    <w:rsid w:val="4C155C6A"/>
    <w:rsid w:val="4C20799D"/>
    <w:rsid w:val="4C215CDE"/>
    <w:rsid w:val="4C225814"/>
    <w:rsid w:val="4C25544E"/>
    <w:rsid w:val="4C3B80C1"/>
    <w:rsid w:val="4C548C5F"/>
    <w:rsid w:val="4C54FC8E"/>
    <w:rsid w:val="4C66C1D6"/>
    <w:rsid w:val="4C72E4C5"/>
    <w:rsid w:val="4C82FC83"/>
    <w:rsid w:val="4C8DB4E5"/>
    <w:rsid w:val="4C9692AA"/>
    <w:rsid w:val="4C9FB52D"/>
    <w:rsid w:val="4CC07BF3"/>
    <w:rsid w:val="4CEBBD1D"/>
    <w:rsid w:val="4D10A3AE"/>
    <w:rsid w:val="4D1F89D2"/>
    <w:rsid w:val="4D227732"/>
    <w:rsid w:val="4D394CB9"/>
    <w:rsid w:val="4D40237D"/>
    <w:rsid w:val="4D4AFA5E"/>
    <w:rsid w:val="4D4DF835"/>
    <w:rsid w:val="4D4F0E12"/>
    <w:rsid w:val="4D633347"/>
    <w:rsid w:val="4D69C49F"/>
    <w:rsid w:val="4D82AA93"/>
    <w:rsid w:val="4D8B9998"/>
    <w:rsid w:val="4DA6AE28"/>
    <w:rsid w:val="4DA97462"/>
    <w:rsid w:val="4DD84864"/>
    <w:rsid w:val="4DED0A6F"/>
    <w:rsid w:val="4E01E763"/>
    <w:rsid w:val="4E060F45"/>
    <w:rsid w:val="4E0615AC"/>
    <w:rsid w:val="4E187C28"/>
    <w:rsid w:val="4E1E3277"/>
    <w:rsid w:val="4E25C0EF"/>
    <w:rsid w:val="4E931D73"/>
    <w:rsid w:val="4E940053"/>
    <w:rsid w:val="4EBA7A52"/>
    <w:rsid w:val="4EDF6655"/>
    <w:rsid w:val="4EFECE6D"/>
    <w:rsid w:val="4F03FEBA"/>
    <w:rsid w:val="4F07F59B"/>
    <w:rsid w:val="4F0BB479"/>
    <w:rsid w:val="4F2056E6"/>
    <w:rsid w:val="4F31C8AD"/>
    <w:rsid w:val="4F3258C3"/>
    <w:rsid w:val="4F3D50BD"/>
    <w:rsid w:val="4F3EA0B8"/>
    <w:rsid w:val="4F4415D6"/>
    <w:rsid w:val="4F460E5E"/>
    <w:rsid w:val="4F4E05D9"/>
    <w:rsid w:val="4F5A604D"/>
    <w:rsid w:val="4F6413AB"/>
    <w:rsid w:val="4FA69862"/>
    <w:rsid w:val="4FD95E1C"/>
    <w:rsid w:val="4FD9D334"/>
    <w:rsid w:val="4FF2CC05"/>
    <w:rsid w:val="503190DA"/>
    <w:rsid w:val="5033430D"/>
    <w:rsid w:val="503DB7AA"/>
    <w:rsid w:val="504825F4"/>
    <w:rsid w:val="5073419B"/>
    <w:rsid w:val="5073D014"/>
    <w:rsid w:val="50798D60"/>
    <w:rsid w:val="5082C67B"/>
    <w:rsid w:val="5085B29D"/>
    <w:rsid w:val="508DC2EE"/>
    <w:rsid w:val="50A4A4DC"/>
    <w:rsid w:val="50A50955"/>
    <w:rsid w:val="50B30040"/>
    <w:rsid w:val="50B5BFF3"/>
    <w:rsid w:val="50C98CC3"/>
    <w:rsid w:val="50C9CD27"/>
    <w:rsid w:val="50DC1C0D"/>
    <w:rsid w:val="50E824B5"/>
    <w:rsid w:val="50FEFD3E"/>
    <w:rsid w:val="5128ADB1"/>
    <w:rsid w:val="5153F14A"/>
    <w:rsid w:val="5154BF24"/>
    <w:rsid w:val="51799593"/>
    <w:rsid w:val="51BD4198"/>
    <w:rsid w:val="51C8E556"/>
    <w:rsid w:val="51D067DE"/>
    <w:rsid w:val="51D58655"/>
    <w:rsid w:val="51EBE637"/>
    <w:rsid w:val="51FDCF41"/>
    <w:rsid w:val="520C0225"/>
    <w:rsid w:val="523607A7"/>
    <w:rsid w:val="5239E9F5"/>
    <w:rsid w:val="52500CAA"/>
    <w:rsid w:val="52769FA1"/>
    <w:rsid w:val="5278E1CA"/>
    <w:rsid w:val="5293DAF3"/>
    <w:rsid w:val="52959FF0"/>
    <w:rsid w:val="52AC0F43"/>
    <w:rsid w:val="52C02616"/>
    <w:rsid w:val="52C1D2B9"/>
    <w:rsid w:val="52C733F8"/>
    <w:rsid w:val="52CEA1FC"/>
    <w:rsid w:val="52DF2186"/>
    <w:rsid w:val="52F5FE0C"/>
    <w:rsid w:val="531226AB"/>
    <w:rsid w:val="5314C6D9"/>
    <w:rsid w:val="531C83FE"/>
    <w:rsid w:val="5329AC33"/>
    <w:rsid w:val="535EBF16"/>
    <w:rsid w:val="536A1065"/>
    <w:rsid w:val="53AF2FAF"/>
    <w:rsid w:val="53B1F9AE"/>
    <w:rsid w:val="53C08A06"/>
    <w:rsid w:val="53C7DEAC"/>
    <w:rsid w:val="54096414"/>
    <w:rsid w:val="5410188E"/>
    <w:rsid w:val="544F50D3"/>
    <w:rsid w:val="5450F207"/>
    <w:rsid w:val="545B233D"/>
    <w:rsid w:val="5463D876"/>
    <w:rsid w:val="5472AA22"/>
    <w:rsid w:val="547F1374"/>
    <w:rsid w:val="54855A4D"/>
    <w:rsid w:val="549AB046"/>
    <w:rsid w:val="54B07480"/>
    <w:rsid w:val="54B937D7"/>
    <w:rsid w:val="54C09143"/>
    <w:rsid w:val="54C73735"/>
    <w:rsid w:val="54D36336"/>
    <w:rsid w:val="550C75F5"/>
    <w:rsid w:val="55411527"/>
    <w:rsid w:val="55721E80"/>
    <w:rsid w:val="55745744"/>
    <w:rsid w:val="55A5CB33"/>
    <w:rsid w:val="55B0589A"/>
    <w:rsid w:val="55C19044"/>
    <w:rsid w:val="55C7351E"/>
    <w:rsid w:val="55E38884"/>
    <w:rsid w:val="55E84776"/>
    <w:rsid w:val="55FA1AF3"/>
    <w:rsid w:val="5618AE38"/>
    <w:rsid w:val="5623DC36"/>
    <w:rsid w:val="56446B48"/>
    <w:rsid w:val="564AA4C8"/>
    <w:rsid w:val="565D60E5"/>
    <w:rsid w:val="56695235"/>
    <w:rsid w:val="56767F10"/>
    <w:rsid w:val="5692B7CE"/>
    <w:rsid w:val="5699AE99"/>
    <w:rsid w:val="56AB2F1B"/>
    <w:rsid w:val="56B879E6"/>
    <w:rsid w:val="56BFBF85"/>
    <w:rsid w:val="56C70F5F"/>
    <w:rsid w:val="56CFD224"/>
    <w:rsid w:val="56FE47DB"/>
    <w:rsid w:val="571864AA"/>
    <w:rsid w:val="571AC8C6"/>
    <w:rsid w:val="574B9997"/>
    <w:rsid w:val="576FF489"/>
    <w:rsid w:val="5778FA64"/>
    <w:rsid w:val="577DF56A"/>
    <w:rsid w:val="57B7AC3D"/>
    <w:rsid w:val="57DE40E0"/>
    <w:rsid w:val="57DF9CFB"/>
    <w:rsid w:val="57FC7A71"/>
    <w:rsid w:val="5805A451"/>
    <w:rsid w:val="580D91F4"/>
    <w:rsid w:val="5824FA23"/>
    <w:rsid w:val="5826BA28"/>
    <w:rsid w:val="58340490"/>
    <w:rsid w:val="58444AE6"/>
    <w:rsid w:val="584D82CD"/>
    <w:rsid w:val="585A541C"/>
    <w:rsid w:val="585D0EEF"/>
    <w:rsid w:val="588DD4E8"/>
    <w:rsid w:val="58998A8D"/>
    <w:rsid w:val="5899C642"/>
    <w:rsid w:val="58A567FD"/>
    <w:rsid w:val="58B1EABD"/>
    <w:rsid w:val="58D007F4"/>
    <w:rsid w:val="58E36358"/>
    <w:rsid w:val="58E7970B"/>
    <w:rsid w:val="59033EB0"/>
    <w:rsid w:val="5904042A"/>
    <w:rsid w:val="59082BD1"/>
    <w:rsid w:val="590DAEF3"/>
    <w:rsid w:val="5914A755"/>
    <w:rsid w:val="59167357"/>
    <w:rsid w:val="591C685B"/>
    <w:rsid w:val="592272FE"/>
    <w:rsid w:val="5940FE56"/>
    <w:rsid w:val="5943AA1C"/>
    <w:rsid w:val="59598952"/>
    <w:rsid w:val="59668D29"/>
    <w:rsid w:val="596F23D8"/>
    <w:rsid w:val="597502E1"/>
    <w:rsid w:val="59882E55"/>
    <w:rsid w:val="598AEB29"/>
    <w:rsid w:val="598BA01C"/>
    <w:rsid w:val="598E6A46"/>
    <w:rsid w:val="59905C78"/>
    <w:rsid w:val="599C4327"/>
    <w:rsid w:val="59AA0626"/>
    <w:rsid w:val="59AC3265"/>
    <w:rsid w:val="59B0353D"/>
    <w:rsid w:val="59BBB67D"/>
    <w:rsid w:val="59C2A6C8"/>
    <w:rsid w:val="59DA98C3"/>
    <w:rsid w:val="59EB2E5E"/>
    <w:rsid w:val="59F529FB"/>
    <w:rsid w:val="5A01F92C"/>
    <w:rsid w:val="5A15C2ED"/>
    <w:rsid w:val="5A1C64EB"/>
    <w:rsid w:val="5A1F4949"/>
    <w:rsid w:val="5A51AD64"/>
    <w:rsid w:val="5A5C4945"/>
    <w:rsid w:val="5A6488EB"/>
    <w:rsid w:val="5A7B3696"/>
    <w:rsid w:val="5A8AA8C1"/>
    <w:rsid w:val="5A99D456"/>
    <w:rsid w:val="5A9D6160"/>
    <w:rsid w:val="5AB82438"/>
    <w:rsid w:val="5ABBD4F6"/>
    <w:rsid w:val="5AC0E237"/>
    <w:rsid w:val="5AC67825"/>
    <w:rsid w:val="5AC88E85"/>
    <w:rsid w:val="5AD8E613"/>
    <w:rsid w:val="5ADA34F2"/>
    <w:rsid w:val="5ADA7B01"/>
    <w:rsid w:val="5AE2C7D8"/>
    <w:rsid w:val="5AF2B995"/>
    <w:rsid w:val="5B062ACB"/>
    <w:rsid w:val="5B0F4E61"/>
    <w:rsid w:val="5B24C6CC"/>
    <w:rsid w:val="5B338D17"/>
    <w:rsid w:val="5B47478F"/>
    <w:rsid w:val="5B47930A"/>
    <w:rsid w:val="5B51BF73"/>
    <w:rsid w:val="5B5242A5"/>
    <w:rsid w:val="5B5F5372"/>
    <w:rsid w:val="5B626328"/>
    <w:rsid w:val="5B77E263"/>
    <w:rsid w:val="5B7AA686"/>
    <w:rsid w:val="5B7E1EC0"/>
    <w:rsid w:val="5B82312F"/>
    <w:rsid w:val="5BA6046F"/>
    <w:rsid w:val="5BA8E7C9"/>
    <w:rsid w:val="5BA9214D"/>
    <w:rsid w:val="5BAA24D6"/>
    <w:rsid w:val="5BAE375D"/>
    <w:rsid w:val="5BB3C453"/>
    <w:rsid w:val="5BC3D2EC"/>
    <w:rsid w:val="5BE01919"/>
    <w:rsid w:val="5BE4241D"/>
    <w:rsid w:val="5BECAFB6"/>
    <w:rsid w:val="5C081ACD"/>
    <w:rsid w:val="5C227077"/>
    <w:rsid w:val="5C23C91D"/>
    <w:rsid w:val="5C250C19"/>
    <w:rsid w:val="5C2D7476"/>
    <w:rsid w:val="5C403304"/>
    <w:rsid w:val="5C5905D7"/>
    <w:rsid w:val="5C5D8531"/>
    <w:rsid w:val="5C6952BE"/>
    <w:rsid w:val="5C6A134E"/>
    <w:rsid w:val="5C747346"/>
    <w:rsid w:val="5C7868E5"/>
    <w:rsid w:val="5C95CDFC"/>
    <w:rsid w:val="5C96B0D0"/>
    <w:rsid w:val="5CA16591"/>
    <w:rsid w:val="5CB55053"/>
    <w:rsid w:val="5CC1D1FF"/>
    <w:rsid w:val="5CC3E36B"/>
    <w:rsid w:val="5CD81D83"/>
    <w:rsid w:val="5CE686B3"/>
    <w:rsid w:val="5D0069F1"/>
    <w:rsid w:val="5D113FF7"/>
    <w:rsid w:val="5D16BC74"/>
    <w:rsid w:val="5D22B927"/>
    <w:rsid w:val="5D24C651"/>
    <w:rsid w:val="5D256C02"/>
    <w:rsid w:val="5D2633F8"/>
    <w:rsid w:val="5D26E577"/>
    <w:rsid w:val="5D3A11C0"/>
    <w:rsid w:val="5D423418"/>
    <w:rsid w:val="5D42F09F"/>
    <w:rsid w:val="5D4525F8"/>
    <w:rsid w:val="5D4F560A"/>
    <w:rsid w:val="5D522645"/>
    <w:rsid w:val="5D6905C2"/>
    <w:rsid w:val="5D6CC1C5"/>
    <w:rsid w:val="5D803A26"/>
    <w:rsid w:val="5DA4E929"/>
    <w:rsid w:val="5DC87ED9"/>
    <w:rsid w:val="5DEC42F7"/>
    <w:rsid w:val="5DF4DD16"/>
    <w:rsid w:val="5E200089"/>
    <w:rsid w:val="5E27C1BF"/>
    <w:rsid w:val="5E29BD72"/>
    <w:rsid w:val="5E2AF606"/>
    <w:rsid w:val="5E2C0374"/>
    <w:rsid w:val="5E32979C"/>
    <w:rsid w:val="5E34D789"/>
    <w:rsid w:val="5E4261C7"/>
    <w:rsid w:val="5E5713D5"/>
    <w:rsid w:val="5E749507"/>
    <w:rsid w:val="5E806C91"/>
    <w:rsid w:val="5E81BB0F"/>
    <w:rsid w:val="5E8AB3E6"/>
    <w:rsid w:val="5E91BA8C"/>
    <w:rsid w:val="5E9E1BCD"/>
    <w:rsid w:val="5EA03094"/>
    <w:rsid w:val="5EA4CDA1"/>
    <w:rsid w:val="5EAB16FF"/>
    <w:rsid w:val="5EADC388"/>
    <w:rsid w:val="5EB72535"/>
    <w:rsid w:val="5EB8E577"/>
    <w:rsid w:val="5EFA5D31"/>
    <w:rsid w:val="5F0B0C2B"/>
    <w:rsid w:val="5F536E74"/>
    <w:rsid w:val="5F951608"/>
    <w:rsid w:val="5F96D66D"/>
    <w:rsid w:val="5FA2F444"/>
    <w:rsid w:val="5FAABC5D"/>
    <w:rsid w:val="5FACF9D8"/>
    <w:rsid w:val="5FC38B27"/>
    <w:rsid w:val="5FC56492"/>
    <w:rsid w:val="5FD2F48B"/>
    <w:rsid w:val="5FDE2415"/>
    <w:rsid w:val="5FE474A5"/>
    <w:rsid w:val="5FF1D677"/>
    <w:rsid w:val="5FF56C4D"/>
    <w:rsid w:val="6001B7D2"/>
    <w:rsid w:val="601C64D6"/>
    <w:rsid w:val="601E2A72"/>
    <w:rsid w:val="602D7F90"/>
    <w:rsid w:val="604257FB"/>
    <w:rsid w:val="607576B6"/>
    <w:rsid w:val="607DC92F"/>
    <w:rsid w:val="6086DA52"/>
    <w:rsid w:val="609108F7"/>
    <w:rsid w:val="609BD6DF"/>
    <w:rsid w:val="60A63C91"/>
    <w:rsid w:val="60AD1DF9"/>
    <w:rsid w:val="60B820E5"/>
    <w:rsid w:val="60BCB597"/>
    <w:rsid w:val="60D65B54"/>
    <w:rsid w:val="60D70DC9"/>
    <w:rsid w:val="60E232AD"/>
    <w:rsid w:val="60E48B5F"/>
    <w:rsid w:val="60EA24A7"/>
    <w:rsid w:val="610BF86E"/>
    <w:rsid w:val="6119BCEC"/>
    <w:rsid w:val="612451BB"/>
    <w:rsid w:val="6127497D"/>
    <w:rsid w:val="6128F0B3"/>
    <w:rsid w:val="612A3E72"/>
    <w:rsid w:val="61374A91"/>
    <w:rsid w:val="613DE6C0"/>
    <w:rsid w:val="6142F9BC"/>
    <w:rsid w:val="6145B113"/>
    <w:rsid w:val="614B3CC1"/>
    <w:rsid w:val="6154B0CB"/>
    <w:rsid w:val="6167904C"/>
    <w:rsid w:val="616CDC1E"/>
    <w:rsid w:val="6179497E"/>
    <w:rsid w:val="61921197"/>
    <w:rsid w:val="61B29895"/>
    <w:rsid w:val="61D1770A"/>
    <w:rsid w:val="61EB419B"/>
    <w:rsid w:val="6200A16B"/>
    <w:rsid w:val="623D755D"/>
    <w:rsid w:val="625F22AA"/>
    <w:rsid w:val="625FCCE6"/>
    <w:rsid w:val="62750D79"/>
    <w:rsid w:val="627E5604"/>
    <w:rsid w:val="628D469B"/>
    <w:rsid w:val="629125B1"/>
    <w:rsid w:val="62B13118"/>
    <w:rsid w:val="62E7C471"/>
    <w:rsid w:val="62F5591B"/>
    <w:rsid w:val="6302DF24"/>
    <w:rsid w:val="631B6A53"/>
    <w:rsid w:val="6328C81C"/>
    <w:rsid w:val="633A0F7A"/>
    <w:rsid w:val="633CFABC"/>
    <w:rsid w:val="6350DBD2"/>
    <w:rsid w:val="636411F8"/>
    <w:rsid w:val="63770164"/>
    <w:rsid w:val="637A55BB"/>
    <w:rsid w:val="6399DBC9"/>
    <w:rsid w:val="639C10F0"/>
    <w:rsid w:val="63A6397C"/>
    <w:rsid w:val="63A9877B"/>
    <w:rsid w:val="63B8CF04"/>
    <w:rsid w:val="63C09376"/>
    <w:rsid w:val="63C794EE"/>
    <w:rsid w:val="63C96BBD"/>
    <w:rsid w:val="63FC331B"/>
    <w:rsid w:val="64098FCA"/>
    <w:rsid w:val="641A4AB5"/>
    <w:rsid w:val="641F6A85"/>
    <w:rsid w:val="643EFFA6"/>
    <w:rsid w:val="644FF5E9"/>
    <w:rsid w:val="64597FA1"/>
    <w:rsid w:val="645D7A77"/>
    <w:rsid w:val="645E49F8"/>
    <w:rsid w:val="646A8055"/>
    <w:rsid w:val="6487D9F1"/>
    <w:rsid w:val="648AB0FB"/>
    <w:rsid w:val="648ED7EC"/>
    <w:rsid w:val="649B152C"/>
    <w:rsid w:val="64ADE9C4"/>
    <w:rsid w:val="64B251C2"/>
    <w:rsid w:val="64B2EB55"/>
    <w:rsid w:val="64B7F578"/>
    <w:rsid w:val="64BD93A6"/>
    <w:rsid w:val="64E2EB25"/>
    <w:rsid w:val="64EBCD9B"/>
    <w:rsid w:val="64F9CDF6"/>
    <w:rsid w:val="64FA3F05"/>
    <w:rsid w:val="65049983"/>
    <w:rsid w:val="65076482"/>
    <w:rsid w:val="6510E25E"/>
    <w:rsid w:val="652E8BE1"/>
    <w:rsid w:val="65342503"/>
    <w:rsid w:val="653A0A7B"/>
    <w:rsid w:val="654604AD"/>
    <w:rsid w:val="655242DE"/>
    <w:rsid w:val="65615AE7"/>
    <w:rsid w:val="656B503D"/>
    <w:rsid w:val="656C4DCB"/>
    <w:rsid w:val="6575D868"/>
    <w:rsid w:val="657C181B"/>
    <w:rsid w:val="659C7666"/>
    <w:rsid w:val="65AC609E"/>
    <w:rsid w:val="65BED5BF"/>
    <w:rsid w:val="65C6B8BA"/>
    <w:rsid w:val="65C86DAB"/>
    <w:rsid w:val="65CE95A1"/>
    <w:rsid w:val="65E3ECCA"/>
    <w:rsid w:val="65F8C388"/>
    <w:rsid w:val="65F8F493"/>
    <w:rsid w:val="66047DBA"/>
    <w:rsid w:val="6621454B"/>
    <w:rsid w:val="6628B612"/>
    <w:rsid w:val="665F797B"/>
    <w:rsid w:val="66652AA7"/>
    <w:rsid w:val="6688790B"/>
    <w:rsid w:val="6692112D"/>
    <w:rsid w:val="669372D1"/>
    <w:rsid w:val="669F941B"/>
    <w:rsid w:val="66B1207A"/>
    <w:rsid w:val="66B373FE"/>
    <w:rsid w:val="66B781F4"/>
    <w:rsid w:val="66CC3F24"/>
    <w:rsid w:val="66E9FF14"/>
    <w:rsid w:val="66EE1F3E"/>
    <w:rsid w:val="67067102"/>
    <w:rsid w:val="674CEABB"/>
    <w:rsid w:val="6768B3C8"/>
    <w:rsid w:val="6784C362"/>
    <w:rsid w:val="67861FAF"/>
    <w:rsid w:val="67898539"/>
    <w:rsid w:val="679B933D"/>
    <w:rsid w:val="67A93190"/>
    <w:rsid w:val="67AB8BEC"/>
    <w:rsid w:val="67CBF301"/>
    <w:rsid w:val="67CE503B"/>
    <w:rsid w:val="67ED59B9"/>
    <w:rsid w:val="67EEE26C"/>
    <w:rsid w:val="680DDF89"/>
    <w:rsid w:val="681B9390"/>
    <w:rsid w:val="681C0E02"/>
    <w:rsid w:val="68236ED7"/>
    <w:rsid w:val="6834745C"/>
    <w:rsid w:val="68404DC4"/>
    <w:rsid w:val="684A4B66"/>
    <w:rsid w:val="684F9848"/>
    <w:rsid w:val="68542EDC"/>
    <w:rsid w:val="688588E3"/>
    <w:rsid w:val="689808AB"/>
    <w:rsid w:val="68B6F685"/>
    <w:rsid w:val="68BAB864"/>
    <w:rsid w:val="68BF3BF4"/>
    <w:rsid w:val="68CA02E1"/>
    <w:rsid w:val="68DF87B5"/>
    <w:rsid w:val="68EA1C92"/>
    <w:rsid w:val="68F4A6DA"/>
    <w:rsid w:val="68F91BCA"/>
    <w:rsid w:val="68FF8EDF"/>
    <w:rsid w:val="690DA02C"/>
    <w:rsid w:val="691CD4F3"/>
    <w:rsid w:val="69261F6A"/>
    <w:rsid w:val="693B72E2"/>
    <w:rsid w:val="69438B2B"/>
    <w:rsid w:val="696BB81B"/>
    <w:rsid w:val="696D7A07"/>
    <w:rsid w:val="69721150"/>
    <w:rsid w:val="697932C5"/>
    <w:rsid w:val="6986AB18"/>
    <w:rsid w:val="6989E5CD"/>
    <w:rsid w:val="6A0284CB"/>
    <w:rsid w:val="6A160614"/>
    <w:rsid w:val="6A162C3E"/>
    <w:rsid w:val="6A23EC61"/>
    <w:rsid w:val="6A3E4033"/>
    <w:rsid w:val="6A41301A"/>
    <w:rsid w:val="6A48F15B"/>
    <w:rsid w:val="6A6B62A4"/>
    <w:rsid w:val="6A78C524"/>
    <w:rsid w:val="6A82091E"/>
    <w:rsid w:val="6A8BAE84"/>
    <w:rsid w:val="6AAB7B4C"/>
    <w:rsid w:val="6AB4D601"/>
    <w:rsid w:val="6AC30EE1"/>
    <w:rsid w:val="6AC8E561"/>
    <w:rsid w:val="6ADAECD6"/>
    <w:rsid w:val="6AE3E657"/>
    <w:rsid w:val="6AE68748"/>
    <w:rsid w:val="6AF0F9FF"/>
    <w:rsid w:val="6AFCF896"/>
    <w:rsid w:val="6AFFE867"/>
    <w:rsid w:val="6B03C787"/>
    <w:rsid w:val="6B232AAC"/>
    <w:rsid w:val="6B2F8E83"/>
    <w:rsid w:val="6B93F9A4"/>
    <w:rsid w:val="6BA938FE"/>
    <w:rsid w:val="6BB1D64E"/>
    <w:rsid w:val="6BC5CAD9"/>
    <w:rsid w:val="6BD0B9AF"/>
    <w:rsid w:val="6BD64DF0"/>
    <w:rsid w:val="6BD688F1"/>
    <w:rsid w:val="6BDBF2E2"/>
    <w:rsid w:val="6BE570EE"/>
    <w:rsid w:val="6BEF0D1A"/>
    <w:rsid w:val="6C0AB637"/>
    <w:rsid w:val="6C0E45CB"/>
    <w:rsid w:val="6C16B5A6"/>
    <w:rsid w:val="6C175D34"/>
    <w:rsid w:val="6C1C9083"/>
    <w:rsid w:val="6C30FA14"/>
    <w:rsid w:val="6C32B793"/>
    <w:rsid w:val="6C3D2DA9"/>
    <w:rsid w:val="6C46F614"/>
    <w:rsid w:val="6C5AA725"/>
    <w:rsid w:val="6C632C70"/>
    <w:rsid w:val="6C6B9B7C"/>
    <w:rsid w:val="6C703021"/>
    <w:rsid w:val="6C724293"/>
    <w:rsid w:val="6C733DDD"/>
    <w:rsid w:val="6C7D7732"/>
    <w:rsid w:val="6CA56D85"/>
    <w:rsid w:val="6CA6F1F4"/>
    <w:rsid w:val="6CB0091B"/>
    <w:rsid w:val="6CBC561A"/>
    <w:rsid w:val="6CC08331"/>
    <w:rsid w:val="6CE663F3"/>
    <w:rsid w:val="6CF0DA10"/>
    <w:rsid w:val="6CF6B955"/>
    <w:rsid w:val="6D1BD3EA"/>
    <w:rsid w:val="6D300B0B"/>
    <w:rsid w:val="6D45C891"/>
    <w:rsid w:val="6D5D6A50"/>
    <w:rsid w:val="6D69DDBF"/>
    <w:rsid w:val="6D71FC50"/>
    <w:rsid w:val="6D75343F"/>
    <w:rsid w:val="6D7F9896"/>
    <w:rsid w:val="6D810F4F"/>
    <w:rsid w:val="6D81374D"/>
    <w:rsid w:val="6D848D4B"/>
    <w:rsid w:val="6D84DB5E"/>
    <w:rsid w:val="6D89C288"/>
    <w:rsid w:val="6D8A5195"/>
    <w:rsid w:val="6DC4FD77"/>
    <w:rsid w:val="6DD1E085"/>
    <w:rsid w:val="6DDDBFB6"/>
    <w:rsid w:val="6DDE9FD7"/>
    <w:rsid w:val="6DE53773"/>
    <w:rsid w:val="6DF04DE8"/>
    <w:rsid w:val="6DF53727"/>
    <w:rsid w:val="6E213B40"/>
    <w:rsid w:val="6E390BB9"/>
    <w:rsid w:val="6E3C455A"/>
    <w:rsid w:val="6E50F4C9"/>
    <w:rsid w:val="6E5322DC"/>
    <w:rsid w:val="6E65E69F"/>
    <w:rsid w:val="6E688E99"/>
    <w:rsid w:val="6E72C943"/>
    <w:rsid w:val="6E90D90C"/>
    <w:rsid w:val="6E94605A"/>
    <w:rsid w:val="6EA1AFF9"/>
    <w:rsid w:val="6EB80D9A"/>
    <w:rsid w:val="6EFCBD19"/>
    <w:rsid w:val="6F19CDCF"/>
    <w:rsid w:val="6F309AB2"/>
    <w:rsid w:val="6F3F16BB"/>
    <w:rsid w:val="6F5FB5FA"/>
    <w:rsid w:val="6F7426D3"/>
    <w:rsid w:val="6F7CFD7E"/>
    <w:rsid w:val="6F885792"/>
    <w:rsid w:val="6F88FABD"/>
    <w:rsid w:val="6F8B1B7E"/>
    <w:rsid w:val="6F8D4D55"/>
    <w:rsid w:val="6FAE136F"/>
    <w:rsid w:val="6FC0EDB6"/>
    <w:rsid w:val="6FC12E09"/>
    <w:rsid w:val="6FC4C4E8"/>
    <w:rsid w:val="6FC80718"/>
    <w:rsid w:val="6FD89BE0"/>
    <w:rsid w:val="6FDCFBB2"/>
    <w:rsid w:val="6FFD3215"/>
    <w:rsid w:val="7000F2B6"/>
    <w:rsid w:val="70059A95"/>
    <w:rsid w:val="700A7661"/>
    <w:rsid w:val="7019A907"/>
    <w:rsid w:val="701FB889"/>
    <w:rsid w:val="701FDC83"/>
    <w:rsid w:val="702E2F90"/>
    <w:rsid w:val="7039C50D"/>
    <w:rsid w:val="703C25DC"/>
    <w:rsid w:val="703F1E8C"/>
    <w:rsid w:val="70602873"/>
    <w:rsid w:val="706F11B3"/>
    <w:rsid w:val="70747345"/>
    <w:rsid w:val="7088D12D"/>
    <w:rsid w:val="7098383F"/>
    <w:rsid w:val="70B3CF39"/>
    <w:rsid w:val="70BB69D7"/>
    <w:rsid w:val="70C17ED9"/>
    <w:rsid w:val="70D9B4FB"/>
    <w:rsid w:val="70EB21E1"/>
    <w:rsid w:val="7110075E"/>
    <w:rsid w:val="7116DC72"/>
    <w:rsid w:val="7118DB15"/>
    <w:rsid w:val="711BEFF8"/>
    <w:rsid w:val="7129DB67"/>
    <w:rsid w:val="7140ACCD"/>
    <w:rsid w:val="71476ABF"/>
    <w:rsid w:val="714BD918"/>
    <w:rsid w:val="714C4874"/>
    <w:rsid w:val="715A691E"/>
    <w:rsid w:val="716B48FA"/>
    <w:rsid w:val="716CD794"/>
    <w:rsid w:val="717A230C"/>
    <w:rsid w:val="71912567"/>
    <w:rsid w:val="71B367A7"/>
    <w:rsid w:val="71CBDDDB"/>
    <w:rsid w:val="71DA5DA3"/>
    <w:rsid w:val="71EE0021"/>
    <w:rsid w:val="71FD6723"/>
    <w:rsid w:val="71FEEEAF"/>
    <w:rsid w:val="72095C93"/>
    <w:rsid w:val="72109B47"/>
    <w:rsid w:val="7217C334"/>
    <w:rsid w:val="721AD2BF"/>
    <w:rsid w:val="72223DA8"/>
    <w:rsid w:val="723E117A"/>
    <w:rsid w:val="723E82BF"/>
    <w:rsid w:val="724A3C08"/>
    <w:rsid w:val="726F2AAE"/>
    <w:rsid w:val="7272108F"/>
    <w:rsid w:val="7282EF14"/>
    <w:rsid w:val="728E8ED9"/>
    <w:rsid w:val="728F0AF2"/>
    <w:rsid w:val="729B873C"/>
    <w:rsid w:val="72AE3043"/>
    <w:rsid w:val="72B6080A"/>
    <w:rsid w:val="72CCE774"/>
    <w:rsid w:val="72CEB53D"/>
    <w:rsid w:val="72E2DB7E"/>
    <w:rsid w:val="72E5A01B"/>
    <w:rsid w:val="72F9F68A"/>
    <w:rsid w:val="72FA538F"/>
    <w:rsid w:val="72FB302C"/>
    <w:rsid w:val="732568C7"/>
    <w:rsid w:val="7328A4BD"/>
    <w:rsid w:val="732F9DB1"/>
    <w:rsid w:val="73328122"/>
    <w:rsid w:val="7335B902"/>
    <w:rsid w:val="73365B51"/>
    <w:rsid w:val="73483921"/>
    <w:rsid w:val="73488A90"/>
    <w:rsid w:val="734F7D5F"/>
    <w:rsid w:val="73596147"/>
    <w:rsid w:val="737FAA94"/>
    <w:rsid w:val="7381280E"/>
    <w:rsid w:val="7381D422"/>
    <w:rsid w:val="73846790"/>
    <w:rsid w:val="738A46D6"/>
    <w:rsid w:val="7398A9D5"/>
    <w:rsid w:val="739945C9"/>
    <w:rsid w:val="73A638C5"/>
    <w:rsid w:val="73B413C1"/>
    <w:rsid w:val="73B93E4A"/>
    <w:rsid w:val="73F05486"/>
    <w:rsid w:val="73F33929"/>
    <w:rsid w:val="73FB2803"/>
    <w:rsid w:val="73FC2C5F"/>
    <w:rsid w:val="73FCF116"/>
    <w:rsid w:val="73FD5581"/>
    <w:rsid w:val="741E372D"/>
    <w:rsid w:val="7432FA9A"/>
    <w:rsid w:val="74348E61"/>
    <w:rsid w:val="7456B678"/>
    <w:rsid w:val="745F203D"/>
    <w:rsid w:val="74776980"/>
    <w:rsid w:val="74779A18"/>
    <w:rsid w:val="74785C46"/>
    <w:rsid w:val="7487D788"/>
    <w:rsid w:val="7490ABC0"/>
    <w:rsid w:val="749353A5"/>
    <w:rsid w:val="749E6CC5"/>
    <w:rsid w:val="74B13719"/>
    <w:rsid w:val="74B7E6BE"/>
    <w:rsid w:val="74CBA4D6"/>
    <w:rsid w:val="74CF1693"/>
    <w:rsid w:val="74D2B8CC"/>
    <w:rsid w:val="74EBD562"/>
    <w:rsid w:val="7508FD9E"/>
    <w:rsid w:val="75100B9B"/>
    <w:rsid w:val="75291C23"/>
    <w:rsid w:val="7531EBAD"/>
    <w:rsid w:val="7545E244"/>
    <w:rsid w:val="754EDEEC"/>
    <w:rsid w:val="755A601D"/>
    <w:rsid w:val="75720C50"/>
    <w:rsid w:val="75BEEDDB"/>
    <w:rsid w:val="75C24C28"/>
    <w:rsid w:val="75C6E14C"/>
    <w:rsid w:val="75DAF6F7"/>
    <w:rsid w:val="75FFE246"/>
    <w:rsid w:val="7613E37D"/>
    <w:rsid w:val="76150D49"/>
    <w:rsid w:val="7631C074"/>
    <w:rsid w:val="76345212"/>
    <w:rsid w:val="764D750A"/>
    <w:rsid w:val="76568538"/>
    <w:rsid w:val="765C5302"/>
    <w:rsid w:val="7662BE31"/>
    <w:rsid w:val="7669D65F"/>
    <w:rsid w:val="766E3D38"/>
    <w:rsid w:val="767256BD"/>
    <w:rsid w:val="768CA6B4"/>
    <w:rsid w:val="769A6257"/>
    <w:rsid w:val="769B9B26"/>
    <w:rsid w:val="76A51C7A"/>
    <w:rsid w:val="76AE2514"/>
    <w:rsid w:val="76B5B65E"/>
    <w:rsid w:val="76BCFB5E"/>
    <w:rsid w:val="76BEE4D4"/>
    <w:rsid w:val="76C079FA"/>
    <w:rsid w:val="76C28AEC"/>
    <w:rsid w:val="76E2D976"/>
    <w:rsid w:val="77036F89"/>
    <w:rsid w:val="7707A944"/>
    <w:rsid w:val="77098F6B"/>
    <w:rsid w:val="7710C166"/>
    <w:rsid w:val="7716420E"/>
    <w:rsid w:val="7721F5D7"/>
    <w:rsid w:val="7734890D"/>
    <w:rsid w:val="773EDD2F"/>
    <w:rsid w:val="77469713"/>
    <w:rsid w:val="775C79A7"/>
    <w:rsid w:val="775CD90C"/>
    <w:rsid w:val="7768CEE7"/>
    <w:rsid w:val="77892036"/>
    <w:rsid w:val="77A0E0D4"/>
    <w:rsid w:val="77A7D9BB"/>
    <w:rsid w:val="77D3A6D0"/>
    <w:rsid w:val="77D8854A"/>
    <w:rsid w:val="77EFA3BC"/>
    <w:rsid w:val="77F0A337"/>
    <w:rsid w:val="77FC6C9D"/>
    <w:rsid w:val="78005419"/>
    <w:rsid w:val="78014214"/>
    <w:rsid w:val="780149CB"/>
    <w:rsid w:val="7805DD02"/>
    <w:rsid w:val="78115CE5"/>
    <w:rsid w:val="78307EB5"/>
    <w:rsid w:val="7831FE6D"/>
    <w:rsid w:val="7854F938"/>
    <w:rsid w:val="78682115"/>
    <w:rsid w:val="786DB3B0"/>
    <w:rsid w:val="78708BC2"/>
    <w:rsid w:val="78799ED3"/>
    <w:rsid w:val="7888C6B5"/>
    <w:rsid w:val="78927AE4"/>
    <w:rsid w:val="7897CBD1"/>
    <w:rsid w:val="78A4ABFA"/>
    <w:rsid w:val="78C2700E"/>
    <w:rsid w:val="78D37B80"/>
    <w:rsid w:val="78E3C717"/>
    <w:rsid w:val="78F29366"/>
    <w:rsid w:val="7915D691"/>
    <w:rsid w:val="79260FDA"/>
    <w:rsid w:val="793E4033"/>
    <w:rsid w:val="79744009"/>
    <w:rsid w:val="79942BC9"/>
    <w:rsid w:val="799A265D"/>
    <w:rsid w:val="79AC282F"/>
    <w:rsid w:val="79AFD4C9"/>
    <w:rsid w:val="79CAD56E"/>
    <w:rsid w:val="79D66F38"/>
    <w:rsid w:val="79DE4177"/>
    <w:rsid w:val="79E613D2"/>
    <w:rsid w:val="79E6DCC0"/>
    <w:rsid w:val="79EB1481"/>
    <w:rsid w:val="79ED2F5F"/>
    <w:rsid w:val="79EDB064"/>
    <w:rsid w:val="79EF284F"/>
    <w:rsid w:val="7A001174"/>
    <w:rsid w:val="7A34ACC0"/>
    <w:rsid w:val="7A35E79C"/>
    <w:rsid w:val="7A38003B"/>
    <w:rsid w:val="7A39494B"/>
    <w:rsid w:val="7A67BAE6"/>
    <w:rsid w:val="7A7D2DFB"/>
    <w:rsid w:val="7A88C362"/>
    <w:rsid w:val="7A96E24C"/>
    <w:rsid w:val="7AA4ACDA"/>
    <w:rsid w:val="7AB930C7"/>
    <w:rsid w:val="7ADB1CCC"/>
    <w:rsid w:val="7ADB568C"/>
    <w:rsid w:val="7AEB50DA"/>
    <w:rsid w:val="7AEC2AB1"/>
    <w:rsid w:val="7B0C599C"/>
    <w:rsid w:val="7B77C670"/>
    <w:rsid w:val="7B805438"/>
    <w:rsid w:val="7B8DBEE6"/>
    <w:rsid w:val="7B96E6BC"/>
    <w:rsid w:val="7BA258F9"/>
    <w:rsid w:val="7BADC4FC"/>
    <w:rsid w:val="7BBDE39B"/>
    <w:rsid w:val="7BC829B9"/>
    <w:rsid w:val="7BCBA8B9"/>
    <w:rsid w:val="7BDB33B7"/>
    <w:rsid w:val="7BE9B8C4"/>
    <w:rsid w:val="7BF409EF"/>
    <w:rsid w:val="7BFF70EC"/>
    <w:rsid w:val="7C12E9AD"/>
    <w:rsid w:val="7C1D3165"/>
    <w:rsid w:val="7C3DC97B"/>
    <w:rsid w:val="7C547DA7"/>
    <w:rsid w:val="7C672E0E"/>
    <w:rsid w:val="7C766C63"/>
    <w:rsid w:val="7C84C274"/>
    <w:rsid w:val="7C992D89"/>
    <w:rsid w:val="7CA46BC2"/>
    <w:rsid w:val="7CAA3E1D"/>
    <w:rsid w:val="7CAA4C2A"/>
    <w:rsid w:val="7CB14E44"/>
    <w:rsid w:val="7CBB265D"/>
    <w:rsid w:val="7CBC412B"/>
    <w:rsid w:val="7CBD861B"/>
    <w:rsid w:val="7CCE471E"/>
    <w:rsid w:val="7CDB608D"/>
    <w:rsid w:val="7CDDEE4B"/>
    <w:rsid w:val="7CE67F6B"/>
    <w:rsid w:val="7CEC7837"/>
    <w:rsid w:val="7CEFE58F"/>
    <w:rsid w:val="7CF13232"/>
    <w:rsid w:val="7CFD89C6"/>
    <w:rsid w:val="7CFF9D5F"/>
    <w:rsid w:val="7D10114A"/>
    <w:rsid w:val="7D267227"/>
    <w:rsid w:val="7D527248"/>
    <w:rsid w:val="7D620056"/>
    <w:rsid w:val="7D7472B2"/>
    <w:rsid w:val="7D74BF01"/>
    <w:rsid w:val="7D7ECBAD"/>
    <w:rsid w:val="7DA1D5F4"/>
    <w:rsid w:val="7DA91E6D"/>
    <w:rsid w:val="7DB9C6DB"/>
    <w:rsid w:val="7DBED6E5"/>
    <w:rsid w:val="7DE3D49F"/>
    <w:rsid w:val="7E1A86EA"/>
    <w:rsid w:val="7E2AAF76"/>
    <w:rsid w:val="7E4CF389"/>
    <w:rsid w:val="7E4FD1F2"/>
    <w:rsid w:val="7E6CF0C2"/>
    <w:rsid w:val="7EA39006"/>
    <w:rsid w:val="7EAF0B5E"/>
    <w:rsid w:val="7EBE5F68"/>
    <w:rsid w:val="7EC5043E"/>
    <w:rsid w:val="7ECD44C9"/>
    <w:rsid w:val="7EE80114"/>
    <w:rsid w:val="7EFCA390"/>
    <w:rsid w:val="7F20904A"/>
    <w:rsid w:val="7F26CF7F"/>
    <w:rsid w:val="7F3093C2"/>
    <w:rsid w:val="7F358885"/>
    <w:rsid w:val="7F416D69"/>
    <w:rsid w:val="7F44D54B"/>
    <w:rsid w:val="7F5454A9"/>
    <w:rsid w:val="7F5F702F"/>
    <w:rsid w:val="7F5FE3C0"/>
    <w:rsid w:val="7F686036"/>
    <w:rsid w:val="7F7DE441"/>
    <w:rsid w:val="7F82D57C"/>
    <w:rsid w:val="7F842462"/>
    <w:rsid w:val="7F93F595"/>
    <w:rsid w:val="7F9ADE78"/>
    <w:rsid w:val="7FBEF4B7"/>
    <w:rsid w:val="7FFD3D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2FB050"/>
  <w15:docId w15:val="{F20FE8B3-B621-43F9-9991-FBEDBB47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2"/>
    <w:rPr>
      <w:rFonts w:ascii="Times New Roman" w:eastAsia="Times New Roman" w:hAnsi="Times New Roman" w:cs="Times New Roman"/>
      <w:sz w:val="24"/>
      <w:szCs w:val="24"/>
    </w:rPr>
  </w:style>
  <w:style w:type="paragraph" w:styleId="Heading1">
    <w:name w:val="heading 1"/>
    <w:next w:val="Normal"/>
    <w:link w:val="Heading1Char"/>
    <w:uiPriority w:val="1"/>
    <w:qFormat/>
    <w:rsid w:val="00F715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outlineLvl w:val="0"/>
    </w:pPr>
    <w:rPr>
      <w:rFonts w:ascii="Times New Roman" w:eastAsia="Times New Roman" w:hAnsi="Times New Roman" w:cs="Times New Roman"/>
      <w:b/>
      <w:snapToGrid w:val="0"/>
      <w:sz w:val="24"/>
      <w:szCs w:val="20"/>
    </w:rPr>
  </w:style>
  <w:style w:type="paragraph" w:styleId="Heading2">
    <w:name w:val="heading 2"/>
    <w:basedOn w:val="Heading1"/>
    <w:next w:val="Normal"/>
    <w:link w:val="Heading2Char"/>
    <w:autoRedefine/>
    <w:uiPriority w:val="9"/>
    <w:unhideWhenUsed/>
    <w:qFormat/>
    <w:rsid w:val="004F1175"/>
    <w:pPr>
      <w:keepLines/>
      <w:tabs>
        <w:tab w:val="clear" w:pos="0"/>
        <w:tab w:val="left" w:pos="360"/>
        <w:tab w:val="clear" w:pos="720"/>
        <w:tab w:val="clear" w:pos="1440"/>
      </w:tabs>
      <w:spacing w:before="240" w:after="120"/>
      <w:jc w:val="left"/>
      <w:outlineLvl w:val="1"/>
    </w:pPr>
    <w:rPr>
      <w:rFonts w:eastAsiaTheme="majorEastAsia" w:cstheme="majorBidi"/>
      <w:szCs w:val="26"/>
    </w:rPr>
  </w:style>
  <w:style w:type="paragraph" w:styleId="Heading3">
    <w:name w:val="heading 3"/>
    <w:basedOn w:val="Heading2"/>
    <w:next w:val="Normal"/>
    <w:link w:val="Heading3Char"/>
    <w:uiPriority w:val="9"/>
    <w:unhideWhenUsed/>
    <w:qFormat/>
    <w:rsid w:val="00FD7D1D"/>
    <w:pPr>
      <w:outlineLvl w:val="2"/>
    </w:pPr>
    <w:rPr>
      <w:b w:val="0"/>
      <w:bCs/>
    </w:rPr>
  </w:style>
  <w:style w:type="paragraph" w:styleId="Heading4">
    <w:name w:val="heading 4"/>
    <w:basedOn w:val="Normal"/>
    <w:next w:val="Normal"/>
    <w:link w:val="Heading4Char"/>
    <w:uiPriority w:val="9"/>
    <w:unhideWhenUsed/>
    <w:qFormat/>
    <w:rsid w:val="006E6DEB"/>
    <w:pPr>
      <w:keepNext/>
      <w:keepLines/>
      <w:tabs>
        <w:tab w:val="left" w:pos="-2160"/>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spacing w:before="240" w:after="120"/>
      <w:ind w:left="360" w:hanging="360"/>
      <w:outlineLvl w:val="3"/>
    </w:pPr>
    <w:rPr>
      <w:rFonts w:eastAsiaTheme="majorEastAsia" w:cstheme="majorBidi"/>
      <w:i/>
      <w:snapToGrid w:val="0"/>
      <w:szCs w:val="26"/>
    </w:rPr>
  </w:style>
  <w:style w:type="paragraph" w:styleId="Heading5">
    <w:name w:val="heading 5"/>
    <w:basedOn w:val="Normal"/>
    <w:next w:val="Normal"/>
    <w:link w:val="Heading5Char"/>
    <w:uiPriority w:val="9"/>
    <w:unhideWhenUsed/>
    <w:qFormat/>
    <w:rsid w:val="00E03843"/>
    <w:pPr>
      <w:keepNext/>
      <w:keepLines/>
      <w:spacing w:before="240" w:after="0"/>
      <w:ind w:left="720" w:hanging="3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6670D4"/>
    <w:pPr>
      <w:keepLines/>
    </w:pPr>
    <w:rPr>
      <w:rFonts w:eastAsiaTheme="minorHAnsi" w:cstheme="minorBidi"/>
      <w:sz w:val="20"/>
      <w:szCs w:val="20"/>
    </w:rPr>
  </w:style>
  <w:style w:type="character" w:customStyle="1" w:styleId="FootnoteTextChar">
    <w:name w:val="Footnote Text Char"/>
    <w:aliases w:val="Char18 Char,F1 Char,FT Char,Footnote Text - NEW Char,Footnote Text AG Char,Footnote Text Char Char Char,Footnote Text Char Char Char Char Char,Footnote Text Char1 Char Char Char,Footnote ak Char,Footnotes Char,SD Footnote Text Char"/>
    <w:basedOn w:val="DefaultParagraphFont"/>
    <w:link w:val="FootnoteText"/>
    <w:uiPriority w:val="99"/>
    <w:rsid w:val="006670D4"/>
    <w:rPr>
      <w:rFonts w:ascii="Times New Roman" w:hAnsi="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Acumen,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F7155F"/>
    <w:pPr>
      <w:spacing w:before="240" w:after="0"/>
    </w:pPr>
  </w:style>
  <w:style w:type="character" w:customStyle="1" w:styleId="BodyTextChar">
    <w:name w:val="Body Text Char"/>
    <w:basedOn w:val="DefaultParagraphFont"/>
    <w:link w:val="BodyText"/>
    <w:uiPriority w:val="1"/>
    <w:rsid w:val="00F7155F"/>
    <w:rPr>
      <w:rFonts w:ascii="Times New Roman" w:eastAsia="Times New Roman" w:hAnsi="Times New Roman" w:cs="Times New Roman"/>
      <w:sz w:val="24"/>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F7155F"/>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4F1175"/>
    <w:rPr>
      <w:rFonts w:ascii="Times New Roman" w:hAnsi="Times New Roman" w:eastAsiaTheme="majorEastAsia" w:cstheme="majorBidi"/>
      <w:b/>
      <w:snapToGrid w:val="0"/>
      <w:sz w:val="24"/>
      <w:szCs w:val="26"/>
    </w:rPr>
  </w:style>
  <w:style w:type="character" w:customStyle="1" w:styleId="Heading3Char">
    <w:name w:val="Heading 3 Char"/>
    <w:basedOn w:val="DefaultParagraphFont"/>
    <w:link w:val="Heading3"/>
    <w:uiPriority w:val="9"/>
    <w:rsid w:val="00FD7D1D"/>
    <w:rPr>
      <w:rFonts w:ascii="Times New Roman" w:hAnsi="Times New Roman" w:eastAsiaTheme="majorEastAsia" w:cstheme="majorBidi"/>
      <w:bCs/>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6E6DEB"/>
    <w:rPr>
      <w:rFonts w:ascii="Times New Roman" w:hAnsi="Times New Roman" w:eastAsiaTheme="majorEastAsia" w:cstheme="majorBidi"/>
      <w:i/>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2"/>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Table10-ColumnHeading">
    <w:name w:val="Table 10-Column Heading"/>
    <w:basedOn w:val="Table11-ColumnHeading"/>
    <w:qFormat/>
    <w:rsid w:val="00361BB4"/>
    <w:rPr>
      <w:sz w:val="20"/>
    </w:rPr>
  </w:style>
  <w:style w:type="paragraph" w:customStyle="1" w:styleId="Table10Basic">
    <w:name w:val="Table 10 Basic"/>
    <w:basedOn w:val="Table11Basic"/>
    <w:qFormat/>
    <w:rsid w:val="00361BB4"/>
    <w:rPr>
      <w:sz w:val="20"/>
    </w:rPr>
  </w:style>
  <w:style w:type="paragraph" w:customStyle="1" w:styleId="Table10Centered">
    <w:name w:val="Table 10 Centered"/>
    <w:basedOn w:val="Table10Basic"/>
    <w:qFormat/>
    <w:rsid w:val="00361BB4"/>
    <w:pPr>
      <w:jc w:val="center"/>
    </w:pPr>
    <w:rPr>
      <w:rFonts w:eastAsia="Calibri"/>
    </w:rPr>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table" w:styleId="TableWeb3">
    <w:name w:val="Table Web 3"/>
    <w:basedOn w:val="TableNormal"/>
    <w:uiPriority w:val="99"/>
    <w:rsid w:val="009F66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perscript">
    <w:name w:val="superscript"/>
    <w:basedOn w:val="DefaultParagraphFont"/>
    <w:rsid w:val="006C6030"/>
  </w:style>
  <w:style w:type="character" w:customStyle="1" w:styleId="contentcontrolboundarysink">
    <w:name w:val="contentcontrolboundarysink"/>
    <w:basedOn w:val="DefaultParagraphFont"/>
    <w:rsid w:val="00F812D2"/>
  </w:style>
  <w:style w:type="paragraph" w:customStyle="1" w:styleId="Bullet1">
    <w:name w:val="Bullet 1"/>
    <w:basedOn w:val="BodyText"/>
    <w:qFormat/>
    <w:rsid w:val="00BA5E1B"/>
    <w:pPr>
      <w:numPr>
        <w:numId w:val="17"/>
      </w:numPr>
      <w:spacing w:before="120"/>
    </w:pPr>
  </w:style>
  <w:style w:type="paragraph" w:customStyle="1" w:styleId="ExhibitTitle">
    <w:name w:val="Exhibit Title"/>
    <w:basedOn w:val="Normal"/>
    <w:qFormat/>
    <w:rsid w:val="004F54FB"/>
    <w:pPr>
      <w:keepNext/>
      <w:spacing w:before="240" w:after="120"/>
    </w:pPr>
    <w:rPr>
      <w:b/>
    </w:rPr>
  </w:style>
  <w:style w:type="paragraph" w:customStyle="1" w:styleId="Table11-ColumnHeading">
    <w:name w:val="Table 11-Column Heading"/>
    <w:basedOn w:val="Normal"/>
    <w:qFormat/>
    <w:rsid w:val="00AB5AC8"/>
    <w:pPr>
      <w:spacing w:before="40" w:after="40"/>
      <w:ind w:left="86" w:right="101"/>
      <w:jc w:val="center"/>
    </w:pPr>
    <w:rPr>
      <w:b/>
      <w:bCs/>
      <w:sz w:val="22"/>
      <w:szCs w:val="22"/>
    </w:rPr>
  </w:style>
  <w:style w:type="paragraph" w:customStyle="1" w:styleId="Table11Basic">
    <w:name w:val="Table 11 Basic"/>
    <w:basedOn w:val="Normal"/>
    <w:qFormat/>
    <w:rsid w:val="00AB5AC8"/>
    <w:pPr>
      <w:spacing w:before="40" w:after="40"/>
    </w:pPr>
    <w:rPr>
      <w:sz w:val="22"/>
      <w:szCs w:val="22"/>
    </w:rPr>
  </w:style>
  <w:style w:type="paragraph" w:customStyle="1" w:styleId="Table11Centered">
    <w:name w:val="Table 11 Centered"/>
    <w:basedOn w:val="Table11Basic"/>
    <w:qFormat/>
    <w:rsid w:val="00AB5AC8"/>
    <w:pPr>
      <w:jc w:val="center"/>
    </w:pPr>
  </w:style>
  <w:style w:type="paragraph" w:customStyle="1" w:styleId="BodyText-PostHead">
    <w:name w:val="Body Text-Post Head"/>
    <w:basedOn w:val="BodyText"/>
    <w:qFormat/>
    <w:rsid w:val="00184B7F"/>
    <w:pPr>
      <w:spacing w:before="0"/>
    </w:pPr>
  </w:style>
  <w:style w:type="character" w:customStyle="1" w:styleId="Heading5Char">
    <w:name w:val="Heading 5 Char"/>
    <w:basedOn w:val="DefaultParagraphFont"/>
    <w:link w:val="Heading5"/>
    <w:uiPriority w:val="9"/>
    <w:rsid w:val="00E03843"/>
    <w:rPr>
      <w:rFonts w:ascii="Times New Roman" w:hAnsi="Times New Roman" w:eastAsiaTheme="majorEastAsia" w:cstheme="majorBidi"/>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1/may/oes_nat.htm" TargetMode="External" /><Relationship Id="rId11" Type="http://schemas.openxmlformats.org/officeDocument/2006/relationships/hyperlink" Target="https://www.bls.gov/oes/2022/may/oes_nat.htm" TargetMode="External" /><Relationship Id="rId12" Type="http://schemas.openxmlformats.org/officeDocument/2006/relationships/hyperlink" Target="https://www.cms.gov/Medicare/Quality-Initiatives-Patient-Assessment-Instruments/QualityMeasures/Pre-Rule-Making.html" TargetMode="External" /><Relationship Id="rId13" Type="http://schemas.openxmlformats.org/officeDocument/2006/relationships/hyperlink" Target="https://qpp.cms.gov" TargetMode="External" /><Relationship Id="rId14" Type="http://schemas.openxmlformats.org/officeDocument/2006/relationships/hyperlink" Target="https://www.medicare.gov/care-compare/" TargetMode="External" /><Relationship Id="rId15" Type="http://schemas.openxmlformats.org/officeDocument/2006/relationships/hyperlink" Target="https://www.cms.gov/medicare/quality-initiatives-patient-assessment-instruments/physician-compare-initiative/" TargetMode="External" /><Relationship Id="rId16" Type="http://schemas.openxmlformats.org/officeDocument/2006/relationships/hyperlink" Target="https://qpp.cms.gov/resources/performance-data"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glossaryDocument" Target="glossary/document.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hs.gov/coronavirus/covid-19-public-health-emergency/index.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DBFDF84106248B2B34C7F04377D1F48"/>
        <w:category>
          <w:name w:val="General"/>
          <w:gallery w:val="placeholder"/>
        </w:category>
        <w:types>
          <w:type w:val="bbPlcHdr"/>
        </w:types>
        <w:behaviors>
          <w:behavior w:val="content"/>
        </w:behaviors>
        <w:guid w:val="{F7042F1D-A58F-4AE9-9F68-5713C8D69EA5}"/>
      </w:docPartPr>
      <w:docPartBody>
        <w:p w:rsidR="001A7D49"/>
      </w:docPartBody>
    </w:docPart>
    <w:docPart>
      <w:docPartPr>
        <w:name w:val="4E1A131DD11A419EB7BAE42F84E1CE57"/>
        <w:category>
          <w:name w:val="General"/>
          <w:gallery w:val="placeholder"/>
        </w:category>
        <w:types>
          <w:type w:val="bbPlcHdr"/>
        </w:types>
        <w:behaviors>
          <w:behavior w:val="content"/>
        </w:behaviors>
        <w:guid w:val="{BD03C900-0CF8-4603-8E23-C55B7DC8B40C}"/>
      </w:docPartPr>
      <w:docPartBody>
        <w:p w:rsidR="001A7D49"/>
      </w:docPartBody>
    </w:docPart>
    <w:docPart>
      <w:docPartPr>
        <w:name w:val="E453B1D7412D4965BF03A168C57D7989"/>
        <w:category>
          <w:name w:val="General"/>
          <w:gallery w:val="placeholder"/>
        </w:category>
        <w:types>
          <w:type w:val="bbPlcHdr"/>
        </w:types>
        <w:behaviors>
          <w:behavior w:val="content"/>
        </w:behaviors>
        <w:guid w:val="{8D22549F-0CDC-4B18-89F0-64DE6E1510F4}"/>
      </w:docPartPr>
      <w:docPartBody>
        <w:p w:rsidR="00A060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3D"/>
    <w:rsid w:val="000133EA"/>
    <w:rsid w:val="00037BD3"/>
    <w:rsid w:val="000407B7"/>
    <w:rsid w:val="00057F86"/>
    <w:rsid w:val="000C1A1D"/>
    <w:rsid w:val="000C31FB"/>
    <w:rsid w:val="000C634D"/>
    <w:rsid w:val="000E5BE0"/>
    <w:rsid w:val="000F485F"/>
    <w:rsid w:val="00106DBB"/>
    <w:rsid w:val="00121CD9"/>
    <w:rsid w:val="00123997"/>
    <w:rsid w:val="00177E6D"/>
    <w:rsid w:val="00195D0D"/>
    <w:rsid w:val="001A7CF8"/>
    <w:rsid w:val="001A7D49"/>
    <w:rsid w:val="001B1593"/>
    <w:rsid w:val="001C01CE"/>
    <w:rsid w:val="001C583A"/>
    <w:rsid w:val="001D4107"/>
    <w:rsid w:val="001E7DF7"/>
    <w:rsid w:val="001F53BE"/>
    <w:rsid w:val="00203F8E"/>
    <w:rsid w:val="00206A52"/>
    <w:rsid w:val="00207033"/>
    <w:rsid w:val="00215C31"/>
    <w:rsid w:val="002228A6"/>
    <w:rsid w:val="002414D9"/>
    <w:rsid w:val="00246632"/>
    <w:rsid w:val="002533CE"/>
    <w:rsid w:val="00276F8E"/>
    <w:rsid w:val="00295DE5"/>
    <w:rsid w:val="002C2877"/>
    <w:rsid w:val="00302B87"/>
    <w:rsid w:val="0031293D"/>
    <w:rsid w:val="00312AFE"/>
    <w:rsid w:val="003249ED"/>
    <w:rsid w:val="0033279B"/>
    <w:rsid w:val="00342117"/>
    <w:rsid w:val="003700D9"/>
    <w:rsid w:val="00381D3F"/>
    <w:rsid w:val="00382389"/>
    <w:rsid w:val="003D3CC7"/>
    <w:rsid w:val="003F00FE"/>
    <w:rsid w:val="003F642A"/>
    <w:rsid w:val="004053EC"/>
    <w:rsid w:val="00446D34"/>
    <w:rsid w:val="00465206"/>
    <w:rsid w:val="0047134D"/>
    <w:rsid w:val="00471C08"/>
    <w:rsid w:val="00483DB8"/>
    <w:rsid w:val="00486C33"/>
    <w:rsid w:val="004878A2"/>
    <w:rsid w:val="004A5B27"/>
    <w:rsid w:val="004B4DFF"/>
    <w:rsid w:val="004B50B7"/>
    <w:rsid w:val="004C7AEA"/>
    <w:rsid w:val="004D6789"/>
    <w:rsid w:val="004E2B39"/>
    <w:rsid w:val="0050375B"/>
    <w:rsid w:val="005115E8"/>
    <w:rsid w:val="005167E6"/>
    <w:rsid w:val="00524041"/>
    <w:rsid w:val="00537671"/>
    <w:rsid w:val="00543A8D"/>
    <w:rsid w:val="0055602E"/>
    <w:rsid w:val="0058495F"/>
    <w:rsid w:val="00586A54"/>
    <w:rsid w:val="005B00D9"/>
    <w:rsid w:val="005B55D2"/>
    <w:rsid w:val="005B5FE8"/>
    <w:rsid w:val="005C071E"/>
    <w:rsid w:val="005C6DD8"/>
    <w:rsid w:val="00627E64"/>
    <w:rsid w:val="0063068F"/>
    <w:rsid w:val="00630E24"/>
    <w:rsid w:val="00631746"/>
    <w:rsid w:val="00631AC3"/>
    <w:rsid w:val="006327BF"/>
    <w:rsid w:val="00660079"/>
    <w:rsid w:val="006704E3"/>
    <w:rsid w:val="00696D88"/>
    <w:rsid w:val="006A018D"/>
    <w:rsid w:val="006B7ED8"/>
    <w:rsid w:val="006C7C97"/>
    <w:rsid w:val="006E5B3F"/>
    <w:rsid w:val="006E6314"/>
    <w:rsid w:val="006F78D1"/>
    <w:rsid w:val="006F79AB"/>
    <w:rsid w:val="00700EA3"/>
    <w:rsid w:val="00703925"/>
    <w:rsid w:val="00725200"/>
    <w:rsid w:val="00726C3E"/>
    <w:rsid w:val="0073223F"/>
    <w:rsid w:val="00732766"/>
    <w:rsid w:val="0074764B"/>
    <w:rsid w:val="00765442"/>
    <w:rsid w:val="00781834"/>
    <w:rsid w:val="00784B10"/>
    <w:rsid w:val="007C553B"/>
    <w:rsid w:val="007E0F77"/>
    <w:rsid w:val="007E2605"/>
    <w:rsid w:val="00833C35"/>
    <w:rsid w:val="00833EFE"/>
    <w:rsid w:val="008455F1"/>
    <w:rsid w:val="0085293C"/>
    <w:rsid w:val="00870F79"/>
    <w:rsid w:val="008A169E"/>
    <w:rsid w:val="008A2ABE"/>
    <w:rsid w:val="008B55D1"/>
    <w:rsid w:val="008D1181"/>
    <w:rsid w:val="009040D4"/>
    <w:rsid w:val="00907317"/>
    <w:rsid w:val="00914695"/>
    <w:rsid w:val="009220DC"/>
    <w:rsid w:val="00924378"/>
    <w:rsid w:val="0093441D"/>
    <w:rsid w:val="00934CE1"/>
    <w:rsid w:val="009573A9"/>
    <w:rsid w:val="0098004B"/>
    <w:rsid w:val="0098433E"/>
    <w:rsid w:val="009846C1"/>
    <w:rsid w:val="00986CFE"/>
    <w:rsid w:val="0098757B"/>
    <w:rsid w:val="00992BA6"/>
    <w:rsid w:val="00994472"/>
    <w:rsid w:val="00994C0F"/>
    <w:rsid w:val="009A3FFB"/>
    <w:rsid w:val="009A7959"/>
    <w:rsid w:val="009C276B"/>
    <w:rsid w:val="00A00228"/>
    <w:rsid w:val="00A0609B"/>
    <w:rsid w:val="00A06B44"/>
    <w:rsid w:val="00A37750"/>
    <w:rsid w:val="00A63C2E"/>
    <w:rsid w:val="00A70B68"/>
    <w:rsid w:val="00A92592"/>
    <w:rsid w:val="00A9662B"/>
    <w:rsid w:val="00A97C64"/>
    <w:rsid w:val="00AB283A"/>
    <w:rsid w:val="00B0362F"/>
    <w:rsid w:val="00B40581"/>
    <w:rsid w:val="00B47716"/>
    <w:rsid w:val="00B64F6F"/>
    <w:rsid w:val="00BA54F9"/>
    <w:rsid w:val="00BB1B78"/>
    <w:rsid w:val="00BD2E71"/>
    <w:rsid w:val="00BE3A8A"/>
    <w:rsid w:val="00BE57BB"/>
    <w:rsid w:val="00BE77D8"/>
    <w:rsid w:val="00C15ACA"/>
    <w:rsid w:val="00C1619D"/>
    <w:rsid w:val="00C404AD"/>
    <w:rsid w:val="00C407E3"/>
    <w:rsid w:val="00C61DD5"/>
    <w:rsid w:val="00C72D8C"/>
    <w:rsid w:val="00C92C12"/>
    <w:rsid w:val="00C94324"/>
    <w:rsid w:val="00CA53D3"/>
    <w:rsid w:val="00CB3D44"/>
    <w:rsid w:val="00CD1F53"/>
    <w:rsid w:val="00D0317E"/>
    <w:rsid w:val="00D07EDC"/>
    <w:rsid w:val="00D26501"/>
    <w:rsid w:val="00D450AE"/>
    <w:rsid w:val="00D5662E"/>
    <w:rsid w:val="00D72630"/>
    <w:rsid w:val="00D755DD"/>
    <w:rsid w:val="00D90224"/>
    <w:rsid w:val="00D942A0"/>
    <w:rsid w:val="00D97033"/>
    <w:rsid w:val="00DA2B83"/>
    <w:rsid w:val="00DC2551"/>
    <w:rsid w:val="00DD3212"/>
    <w:rsid w:val="00E25532"/>
    <w:rsid w:val="00E46869"/>
    <w:rsid w:val="00E86C4E"/>
    <w:rsid w:val="00E87A23"/>
    <w:rsid w:val="00E94979"/>
    <w:rsid w:val="00EC51A6"/>
    <w:rsid w:val="00F0164B"/>
    <w:rsid w:val="00F125B6"/>
    <w:rsid w:val="00F20F0D"/>
    <w:rsid w:val="00F37F39"/>
    <w:rsid w:val="00F5294D"/>
    <w:rsid w:val="00F5599D"/>
    <w:rsid w:val="00FA100F"/>
    <w:rsid w:val="00FA1920"/>
    <w:rsid w:val="00FF68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fb0f4-9cff-4e04-9823-15737fd50144">
      <Terms xmlns="http://schemas.microsoft.com/office/infopath/2007/PartnerControls"/>
    </lcf76f155ced4ddcb4097134ff3c332f>
    <TaxCatchAll xmlns="b8759a14-0f36-467b-89bb-6221a083b0fc" xsi:nil="true"/>
    <Version_x0020_Note xmlns="4dbfb0f4-9cff-4e04-9823-15737fd50144"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7B32BB7467444199DF6F33399F7E1D" ma:contentTypeVersion="25" ma:contentTypeDescription="Create a new document." ma:contentTypeScope="" ma:versionID="ea61a4e24e62b25e438e618bc3347bc2">
  <xsd:schema xmlns:xsd="http://www.w3.org/2001/XMLSchema" xmlns:xs="http://www.w3.org/2001/XMLSchema" xmlns:p="http://schemas.microsoft.com/office/2006/metadata/properties" xmlns:ns1="http://schemas.microsoft.com/sharepoint/v3" xmlns:ns2="4dbfb0f4-9cff-4e04-9823-15737fd50144" xmlns:ns3="83d59023-fc7a-477c-89c8-8f764ce10de5" xmlns:ns4="b8759a14-0f36-467b-89bb-6221a083b0fc" targetNamespace="http://schemas.microsoft.com/office/2006/metadata/properties" ma:root="true" ma:fieldsID="ac75f412e0d77730f3cf3276e7cf4fcc" ns1:_="" ns2:_="" ns3:_="" ns4:_="">
    <xsd:import namespace="http://schemas.microsoft.com/sharepoint/v3"/>
    <xsd:import namespace="4dbfb0f4-9cff-4e04-9823-15737fd50144"/>
    <xsd:import namespace="83d59023-fc7a-477c-89c8-8f764ce10de5"/>
    <xsd:import namespace="b8759a14-0f36-467b-89bb-6221a083b0fc"/>
    <xsd:element name="properties">
      <xsd:complexType>
        <xsd:sequence>
          <xsd:element name="documentManagement">
            <xsd:complexType>
              <xsd:all>
                <xsd:element ref="ns1:PublishingStartDate" minOccurs="0"/>
                <xsd:element ref="ns1:PublishingExpirationDate" minOccurs="0"/>
                <xsd:element ref="ns2:Version_x0020_No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fb0f4-9cff-4e04-9823-15737fd50144" elementFormDefault="qualified">
    <xsd:import namespace="http://schemas.microsoft.com/office/2006/documentManagement/types"/>
    <xsd:import namespace="http://schemas.microsoft.com/office/infopath/2007/PartnerControls"/>
    <xsd:element name="Version_x0020_Note" ma:index="6" nillable="true" ma:displayName="Version Note" ma:internalName="Version_x0020_Not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59023-fc7a-477c-89c8-8f764ce10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731E-589F-44CA-97CF-3C1C449EE96D}">
  <ds:schemaRefs>
    <ds:schemaRef ds:uri="4dbfb0f4-9cff-4e04-9823-15737fd50144"/>
    <ds:schemaRef ds:uri="b8759a14-0f36-467b-89bb-6221a083b0fc"/>
    <ds:schemaRef ds:uri="http://purl.org/dc/elements/1.1/"/>
    <ds:schemaRef ds:uri="http://www.w3.org/XML/1998/namespace"/>
    <ds:schemaRef ds:uri="83d59023-fc7a-477c-89c8-8f764ce10de5"/>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CBFD160-5FD3-406A-8C65-4D9C37B5E58D}">
  <ds:schemaRefs>
    <ds:schemaRef ds:uri="http://schemas.microsoft.com/sharepoint/v3/contenttype/forms"/>
  </ds:schemaRefs>
</ds:datastoreItem>
</file>

<file path=customXml/itemProps3.xml><?xml version="1.0" encoding="utf-8"?>
<ds:datastoreItem xmlns:ds="http://schemas.openxmlformats.org/officeDocument/2006/customXml" ds:itemID="{54AC14A7-4AB1-4FAF-ABD9-1635128C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fb0f4-9cff-4e04-9823-15737fd50144"/>
    <ds:schemaRef ds:uri="83d59023-fc7a-477c-89c8-8f764ce10de5"/>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22794</Words>
  <Characters>125640</Characters>
  <Application>Microsoft Office Word</Application>
  <DocSecurity>0</DocSecurity>
  <Lines>1047</Lines>
  <Paragraphs>296</Paragraphs>
  <ScaleCrop>false</ScaleCrop>
  <HeadingPairs>
    <vt:vector size="2" baseType="variant">
      <vt:variant>
        <vt:lpstr>Title</vt:lpstr>
      </vt:variant>
      <vt:variant>
        <vt:i4>1</vt:i4>
      </vt:variant>
    </vt:vector>
  </HeadingPairs>
  <TitlesOfParts>
    <vt:vector size="1" baseType="lpstr">
      <vt:lpstr>Supporting Statement – Part A Quality Payment Program (QPP)/Merit-Based Incentive Payment System (MIPS) (CMS-10621/OMB control number: 0938-1314)</vt:lpstr>
    </vt:vector>
  </TitlesOfParts>
  <Company/>
  <LinksUpToDate>false</LinksUpToDate>
  <CharactersWithSpaces>148138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Quality Payment Program (QPP)/Merit-Based Incentive Payment System (MIPS) (CMS-10621/OMB control number: 0938-1314)</dc:title>
  <dc:subject>Supporting Statement – Part A Quality Payment Program (QPP)/Merit-Based Incentive Payment System (MIPS) (CMS-10621/OMB control number: 0938-1314)</dc:subject>
  <dc:creator>Centers for Medicare &amp; Medicaid Services</dc:creator>
  <cp:keywords>CMS; Quality Payment Program; QPP; Merit-Based Incentive Payment System; MIPS; Physician Fee Schedule; PFS; CY 2025 PFS; Medicare Access and CHIP Reauthorization Act of 2015; MACRA</cp:keywords>
  <dc:description>Public domain</dc:description>
  <cp:lastModifiedBy>Bryman, Mitch (CMS/OSORA)</cp:lastModifiedBy>
  <cp:revision>6</cp:revision>
  <dcterms:created xsi:type="dcterms:W3CDTF">2025-01-24T13:56:00Z</dcterms:created>
  <dcterms:modified xsi:type="dcterms:W3CDTF">2025-01-24T14:08:00Z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0x010100427B32BB7467444199DF6F33399F7E1D</vt:lpwstr>
  </property>
  <property fmtid="{D5CDD505-2E9C-101B-9397-08002B2CF9AE}" pid="3" name="GrammarlyDocumentId">
    <vt:lpwstr>6e9db64312897f6b13fa00e3789ddba7adae87f8c2c0d89b9748285f49bfb6df</vt:lpwstr>
  </property>
  <property fmtid="{D5CDD505-2E9C-101B-9397-08002B2CF9AE}" pid="4" name="MediaServiceImageTags">
    <vt:lpwstr/>
  </property>
  <property fmtid="{D5CDD505-2E9C-101B-9397-08002B2CF9AE}" pid="5" name="Order">
    <vt:r8>1711800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