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81"/>
        <w:ind w:left="5378" w:right="0" w:firstLine="0"/>
        <w:jc w:val="left"/>
        <w:rPr>
          <w:rFonts w:ascii="Arial"/>
          <w:sz w:val="18"/>
        </w:rPr>
      </w:pPr>
      <w:r>
        <w:rPr>
          <w:rFonts w:ascii="Arial"/>
          <w:sz w:val="18"/>
        </w:rPr>
        <w:t>OMB</w:t>
      </w:r>
      <w:r>
        <w:rPr>
          <w:rFonts w:ascii="Arial"/>
          <w:spacing w:val="-7"/>
          <w:sz w:val="18"/>
        </w:rPr>
        <w:t xml:space="preserve"> </w:t>
      </w:r>
      <w:r>
        <w:rPr>
          <w:rFonts w:ascii="Arial"/>
          <w:sz w:val="18"/>
        </w:rPr>
        <w:t>Approved</w:t>
      </w:r>
      <w:r>
        <w:rPr>
          <w:rFonts w:ascii="Arial"/>
          <w:spacing w:val="-8"/>
          <w:sz w:val="18"/>
        </w:rPr>
        <w:t xml:space="preserve"> </w:t>
      </w:r>
      <w:r>
        <w:rPr>
          <w:rFonts w:ascii="Arial"/>
          <w:sz w:val="18"/>
        </w:rPr>
        <w:t>#</w:t>
      </w:r>
      <w:r>
        <w:rPr>
          <w:rFonts w:ascii="Arial"/>
          <w:spacing w:val="-5"/>
          <w:sz w:val="18"/>
        </w:rPr>
        <w:t xml:space="preserve"> </w:t>
      </w:r>
      <w:r>
        <w:rPr>
          <w:rFonts w:ascii="Arial"/>
          <w:sz w:val="18"/>
        </w:rPr>
        <w:t>0938-0944</w:t>
      </w:r>
      <w:r>
        <w:rPr>
          <w:rFonts w:ascii="Arial"/>
          <w:spacing w:val="-6"/>
          <w:sz w:val="18"/>
        </w:rPr>
        <w:t xml:space="preserve"> </w:t>
      </w:r>
      <w:r>
        <w:rPr>
          <w:rFonts w:ascii="Arial"/>
          <w:sz w:val="18"/>
        </w:rPr>
        <w:t>(Expires:</w:t>
      </w:r>
      <w:r>
        <w:rPr>
          <w:rFonts w:ascii="Arial"/>
          <w:spacing w:val="-8"/>
          <w:sz w:val="18"/>
        </w:rPr>
        <w:t xml:space="preserve"> </w:t>
      </w:r>
      <w:r>
        <w:rPr>
          <w:rFonts w:ascii="Arial"/>
          <w:spacing w:val="-2"/>
          <w:sz w:val="18"/>
        </w:rPr>
        <w:t>03/31/2027)</w:t>
      </w:r>
    </w:p>
    <w:p>
      <w:pPr>
        <w:pStyle w:val="BodyText"/>
        <w:spacing w:before="0"/>
        <w:ind w:left="0"/>
        <w:rPr>
          <w:rFonts w:ascii="Arial"/>
          <w:sz w:val="20"/>
        </w:rPr>
      </w:pPr>
    </w:p>
    <w:p>
      <w:pPr>
        <w:pStyle w:val="BodyText"/>
        <w:spacing w:before="0"/>
        <w:ind w:left="0"/>
        <w:rPr>
          <w:rFonts w:ascii="Arial"/>
          <w:sz w:val="20"/>
        </w:rPr>
      </w:pPr>
    </w:p>
    <w:p>
      <w:pPr>
        <w:pStyle w:val="BodyText"/>
        <w:spacing w:before="0"/>
        <w:ind w:left="0"/>
        <w:rPr>
          <w:rFonts w:ascii="Arial"/>
          <w:sz w:val="20"/>
        </w:rPr>
      </w:pPr>
    </w:p>
    <w:p>
      <w:pPr>
        <w:pStyle w:val="BodyText"/>
        <w:spacing w:before="0"/>
        <w:ind w:left="0"/>
        <w:rPr>
          <w:rFonts w:ascii="Arial"/>
          <w:sz w:val="20"/>
        </w:rPr>
      </w:pPr>
    </w:p>
    <w:p>
      <w:pPr>
        <w:pStyle w:val="BodyText"/>
        <w:spacing w:before="0"/>
        <w:ind w:left="0"/>
        <w:rPr>
          <w:rFonts w:ascii="Arial"/>
          <w:sz w:val="20"/>
        </w:rPr>
      </w:pPr>
    </w:p>
    <w:p>
      <w:pPr>
        <w:pStyle w:val="BodyText"/>
        <w:spacing w:before="0"/>
        <w:ind w:left="0"/>
        <w:rPr>
          <w:rFonts w:ascii="Arial"/>
          <w:sz w:val="20"/>
        </w:rPr>
      </w:pPr>
    </w:p>
    <w:p>
      <w:pPr>
        <w:pStyle w:val="BodyText"/>
        <w:spacing w:before="0"/>
        <w:ind w:left="0"/>
        <w:rPr>
          <w:rFonts w:ascii="Arial"/>
          <w:sz w:val="20"/>
        </w:rPr>
      </w:pPr>
    </w:p>
    <w:p>
      <w:pPr>
        <w:pStyle w:val="BodyText"/>
        <w:spacing w:before="138"/>
        <w:ind w:left="0"/>
        <w:rPr>
          <w:rFonts w:ascii="Arial"/>
          <w:sz w:val="20"/>
        </w:rPr>
      </w:pPr>
      <w:r>
        <mc:AlternateContent>
          <mc:Choice Requires="wps">
            <w:drawing>
              <wp:anchor distT="0" distB="0" distL="0" distR="0" simplePos="0" relativeHeight="251664384" behindDoc="1" locked="0" layoutInCell="1" allowOverlap="1">
                <wp:simplePos x="0" y="0"/>
                <wp:positionH relativeFrom="page">
                  <wp:posOffset>987856</wp:posOffset>
                </wp:positionH>
                <wp:positionV relativeFrom="paragraph">
                  <wp:posOffset>249525</wp:posOffset>
                </wp:positionV>
                <wp:extent cx="5889625" cy="18415"/>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5889625" cy="18415"/>
                        </a:xfrm>
                        <a:custGeom>
                          <a:avLst/>
                          <a:gdLst/>
                          <a:rect l="l" t="t" r="r" b="b"/>
                          <a:pathLst>
                            <a:path fill="norm" h="18415" w="5889625" stroke="1">
                              <a:moveTo>
                                <a:pt x="5889625" y="12192"/>
                              </a:moveTo>
                              <a:lnTo>
                                <a:pt x="0" y="12192"/>
                              </a:lnTo>
                              <a:lnTo>
                                <a:pt x="0" y="18288"/>
                              </a:lnTo>
                              <a:lnTo>
                                <a:pt x="5889625" y="18288"/>
                              </a:lnTo>
                              <a:lnTo>
                                <a:pt x="5889625" y="12192"/>
                              </a:lnTo>
                              <a:close/>
                            </a:path>
                            <a:path fill="norm" h="18415" w="5889625" stroke="1">
                              <a:moveTo>
                                <a:pt x="5889625" y="0"/>
                              </a:moveTo>
                              <a:lnTo>
                                <a:pt x="0" y="0"/>
                              </a:lnTo>
                              <a:lnTo>
                                <a:pt x="0" y="6096"/>
                              </a:lnTo>
                              <a:lnTo>
                                <a:pt x="5889625" y="6096"/>
                              </a:lnTo>
                              <a:lnTo>
                                <a:pt x="588962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25" style="width:463.75pt;height:1.45pt;margin-top:19.65pt;margin-left:77.78pt;mso-position-horizontal-relative:page;mso-wrap-distance-left:0;mso-wrap-distance-right:0;position:absolute;z-index:-251651072" coordorigin="1556,393" coordsize="9275,29" path="m10831,412l1556,412,1556,422,10831,422,10831,412xm10831,393l1556,393,1556,403,10831,403,10831,393xe" filled="t" fillcolor="black" stroked="f">
                <v:fill type="solid"/>
                <v:path arrowok="t"/>
                <w10:wrap type="topAndBottom"/>
              </v:shape>
            </w:pict>
          </mc:Fallback>
        </mc:AlternateContent>
      </w:r>
    </w:p>
    <w:p>
      <w:pPr>
        <w:pStyle w:val="BodyText"/>
        <w:spacing w:before="0"/>
        <w:ind w:left="0"/>
        <w:rPr>
          <w:rFonts w:ascii="Arial"/>
          <w:sz w:val="18"/>
        </w:rPr>
      </w:pPr>
    </w:p>
    <w:p>
      <w:pPr>
        <w:pStyle w:val="BodyText"/>
        <w:spacing w:before="204"/>
        <w:ind w:left="0"/>
        <w:rPr>
          <w:rFonts w:ascii="Arial"/>
          <w:sz w:val="18"/>
        </w:rPr>
      </w:pPr>
    </w:p>
    <w:p>
      <w:pPr>
        <w:pStyle w:val="Title"/>
      </w:pPr>
      <w:bookmarkStart w:id="0" w:name="INSTRUCTIONS FOR COMPLETING THE PRESCRIP"/>
      <w:bookmarkEnd w:id="0"/>
      <w:r>
        <w:t>INSTRUCTIONS</w:t>
      </w:r>
      <w:r>
        <w:rPr>
          <w:spacing w:val="-20"/>
        </w:rPr>
        <w:t xml:space="preserve"> </w:t>
      </w:r>
      <w:r>
        <w:t>FOR</w:t>
      </w:r>
      <w:r>
        <w:rPr>
          <w:spacing w:val="-19"/>
        </w:rPr>
        <w:t xml:space="preserve"> </w:t>
      </w:r>
      <w:r>
        <w:t>COMPLETING THE PRESCRIPTION DRUG PLAN BID PRICING TOOL</w:t>
      </w:r>
    </w:p>
    <w:p>
      <w:pPr>
        <w:pStyle w:val="Title"/>
        <w:spacing w:before="3"/>
        <w:ind w:left="2224"/>
      </w:pPr>
      <w:r>
        <w:t>FOR</w:t>
      </w:r>
      <w:r>
        <w:rPr>
          <w:spacing w:val="-5"/>
        </w:rPr>
        <w:t xml:space="preserve"> </w:t>
      </w:r>
      <w:r>
        <w:t>CONTRACT</w:t>
      </w:r>
      <w:r>
        <w:rPr>
          <w:spacing w:val="-14"/>
        </w:rPr>
        <w:t xml:space="preserve"> </w:t>
      </w:r>
      <w:r>
        <w:t>YEAR</w:t>
      </w:r>
      <w:r>
        <w:rPr>
          <w:spacing w:val="-1"/>
        </w:rPr>
        <w:t xml:space="preserve"> </w:t>
      </w:r>
      <w:r>
        <w:rPr>
          <w:spacing w:val="-4"/>
        </w:rPr>
        <w:t>2026</w:t>
      </w:r>
    </w:p>
    <w:p>
      <w:pPr>
        <w:pStyle w:val="BodyText"/>
        <w:spacing w:before="0"/>
        <w:ind w:left="0"/>
        <w:rPr>
          <w:rFonts w:ascii="Arial"/>
          <w:sz w:val="20"/>
        </w:rPr>
      </w:pPr>
    </w:p>
    <w:p>
      <w:pPr>
        <w:pStyle w:val="BodyText"/>
        <w:spacing w:before="131"/>
        <w:ind w:left="0"/>
        <w:rPr>
          <w:rFonts w:ascii="Arial"/>
          <w:sz w:val="20"/>
        </w:rPr>
      </w:pPr>
      <w:r>
        <mc:AlternateContent>
          <mc:Choice Requires="wps">
            <w:drawing>
              <wp:anchor distT="0" distB="0" distL="0" distR="0" simplePos="0" relativeHeight="251666432" behindDoc="1" locked="0" layoutInCell="1" allowOverlap="1">
                <wp:simplePos x="0" y="0"/>
                <wp:positionH relativeFrom="page">
                  <wp:posOffset>987856</wp:posOffset>
                </wp:positionH>
                <wp:positionV relativeFrom="paragraph">
                  <wp:posOffset>244977</wp:posOffset>
                </wp:positionV>
                <wp:extent cx="5889625" cy="18415"/>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5889625" cy="18415"/>
                        </a:xfrm>
                        <a:custGeom>
                          <a:avLst/>
                          <a:gdLst/>
                          <a:rect l="l" t="t" r="r" b="b"/>
                          <a:pathLst>
                            <a:path fill="norm" h="18415" w="5889625" stroke="1">
                              <a:moveTo>
                                <a:pt x="5889625" y="12179"/>
                              </a:moveTo>
                              <a:lnTo>
                                <a:pt x="0" y="12179"/>
                              </a:lnTo>
                              <a:lnTo>
                                <a:pt x="0" y="18275"/>
                              </a:lnTo>
                              <a:lnTo>
                                <a:pt x="5889625" y="18275"/>
                              </a:lnTo>
                              <a:lnTo>
                                <a:pt x="5889625" y="12179"/>
                              </a:lnTo>
                              <a:close/>
                            </a:path>
                            <a:path fill="norm" h="18415" w="5889625" stroke="1">
                              <a:moveTo>
                                <a:pt x="5889625" y="0"/>
                              </a:moveTo>
                              <a:lnTo>
                                <a:pt x="0" y="0"/>
                              </a:lnTo>
                              <a:lnTo>
                                <a:pt x="0" y="6083"/>
                              </a:lnTo>
                              <a:lnTo>
                                <a:pt x="5889625" y="6083"/>
                              </a:lnTo>
                              <a:lnTo>
                                <a:pt x="588962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_x0000_s1026" style="width:463.75pt;height:1.45pt;margin-top:19.29pt;margin-left:77.78pt;mso-position-horizontal-relative:page;mso-wrap-distance-left:0;mso-wrap-distance-right:0;position:absolute;z-index:-251649024" coordorigin="1556,386" coordsize="9275,29" path="m10831,405l1556,405,1556,415,10831,415,10831,405xm10831,386l1556,386,1556,395,10831,395,10831,386xe" filled="t" fillcolor="black" stroked="f">
                <v:fill type="solid"/>
                <v:path arrowok="t"/>
                <w10:wrap type="topAndBottom"/>
              </v:shape>
            </w:pict>
          </mc:Fallback>
        </mc:AlternateContent>
      </w: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0"/>
        <w:ind w:left="0"/>
        <w:rPr>
          <w:rFonts w:ascii="Arial"/>
          <w:sz w:val="28"/>
        </w:rPr>
      </w:pPr>
    </w:p>
    <w:p>
      <w:pPr>
        <w:pStyle w:val="BodyText"/>
        <w:spacing w:before="171"/>
        <w:ind w:left="0"/>
        <w:rPr>
          <w:rFonts w:ascii="Arial"/>
          <w:sz w:val="28"/>
        </w:rPr>
      </w:pPr>
    </w:p>
    <w:p>
      <w:pPr>
        <w:spacing w:before="0"/>
        <w:ind w:left="6297" w:right="0" w:firstLine="0"/>
        <w:jc w:val="left"/>
        <w:rPr>
          <w:rFonts w:ascii="Arial"/>
          <w:sz w:val="28"/>
        </w:rPr>
      </w:pPr>
      <w:r>
        <w:rPr>
          <w:rFonts w:ascii="Arial"/>
          <w:sz w:val="28"/>
        </w:rPr>
        <w:t>Draft</w:t>
      </w:r>
      <w:r>
        <w:rPr>
          <w:rFonts w:ascii="Arial"/>
          <w:spacing w:val="-5"/>
          <w:sz w:val="28"/>
        </w:rPr>
        <w:t xml:space="preserve"> </w:t>
      </w:r>
      <w:r>
        <w:rPr>
          <w:rFonts w:ascii="Arial"/>
          <w:sz w:val="28"/>
        </w:rPr>
        <w:t>December</w:t>
      </w:r>
      <w:r>
        <w:rPr>
          <w:rFonts w:ascii="Arial"/>
          <w:spacing w:val="-3"/>
          <w:sz w:val="28"/>
        </w:rPr>
        <w:t xml:space="preserve"> </w:t>
      </w:r>
      <w:r>
        <w:rPr>
          <w:rFonts w:ascii="Arial"/>
          <w:sz w:val="28"/>
        </w:rPr>
        <w:t>13,</w:t>
      </w:r>
      <w:r>
        <w:rPr>
          <w:rFonts w:ascii="Arial"/>
          <w:spacing w:val="-6"/>
          <w:sz w:val="28"/>
        </w:rPr>
        <w:t xml:space="preserve"> </w:t>
      </w:r>
      <w:r>
        <w:rPr>
          <w:rFonts w:ascii="Arial"/>
          <w:spacing w:val="-4"/>
          <w:sz w:val="28"/>
        </w:rPr>
        <w:t>2024</w:t>
      </w:r>
    </w:p>
    <w:p>
      <w:pPr>
        <w:pStyle w:val="BodyText"/>
        <w:spacing w:before="0"/>
        <w:ind w:left="0"/>
        <w:rPr>
          <w:rFonts w:ascii="Arial"/>
          <w:sz w:val="28"/>
        </w:rPr>
      </w:pPr>
    </w:p>
    <w:p>
      <w:pPr>
        <w:pStyle w:val="BodyText"/>
        <w:spacing w:before="0"/>
        <w:ind w:left="0"/>
        <w:rPr>
          <w:rFonts w:ascii="Arial"/>
          <w:sz w:val="28"/>
        </w:rPr>
      </w:pPr>
    </w:p>
    <w:p>
      <w:pPr>
        <w:pStyle w:val="BodyText"/>
        <w:spacing w:before="35"/>
        <w:ind w:left="0"/>
        <w:rPr>
          <w:rFonts w:ascii="Arial"/>
          <w:sz w:val="28"/>
        </w:rPr>
      </w:pPr>
    </w:p>
    <w:p>
      <w:pPr>
        <w:spacing w:before="0"/>
        <w:ind w:left="224" w:right="478" w:firstLine="0"/>
        <w:jc w:val="left"/>
        <w:rPr>
          <w:rFonts w:ascii="Arial"/>
          <w:i/>
          <w:sz w:val="18"/>
        </w:rPr>
      </w:pPr>
      <w:r>
        <w:rPr>
          <w:rFonts w:ascii="Arial"/>
          <w:i/>
          <w:sz w:val="18"/>
        </w:rPr>
        <w:t>According to the Paperwork Reduction Act of 1995, no persons are required to respond to a collection of</w:t>
      </w:r>
      <w:r>
        <w:rPr>
          <w:rFonts w:ascii="Arial"/>
          <w:i/>
          <w:sz w:val="18"/>
        </w:rPr>
        <w:t xml:space="preserve"> information unless it displays a valid OMB control number. The valid OMB control number for this information collection is 0938-0944. The time required to complete this information collection is estimated to average 12 hours per</w:t>
      </w:r>
      <w:r>
        <w:rPr>
          <w:rFonts w:ascii="Arial"/>
          <w:i/>
          <w:spacing w:val="-2"/>
          <w:sz w:val="18"/>
        </w:rPr>
        <w:t xml:space="preserve"> </w:t>
      </w:r>
      <w:r>
        <w:rPr>
          <w:rFonts w:ascii="Arial"/>
          <w:i/>
          <w:sz w:val="18"/>
        </w:rPr>
        <w:t>response,</w:t>
      </w:r>
      <w:r>
        <w:rPr>
          <w:rFonts w:ascii="Arial"/>
          <w:i/>
          <w:spacing w:val="-4"/>
          <w:sz w:val="18"/>
        </w:rPr>
        <w:t xml:space="preserve"> </w:t>
      </w:r>
      <w:r>
        <w:rPr>
          <w:rFonts w:ascii="Arial"/>
          <w:i/>
          <w:sz w:val="18"/>
        </w:rPr>
        <w:t>including</w:t>
      </w:r>
      <w:r>
        <w:rPr>
          <w:rFonts w:ascii="Arial"/>
          <w:i/>
          <w:spacing w:val="-4"/>
          <w:sz w:val="18"/>
        </w:rPr>
        <w:t xml:space="preserve"> </w:t>
      </w:r>
      <w:r>
        <w:rPr>
          <w:rFonts w:ascii="Arial"/>
          <w:i/>
          <w:sz w:val="18"/>
        </w:rPr>
        <w:t>the</w:t>
      </w:r>
      <w:r>
        <w:rPr>
          <w:rFonts w:ascii="Arial"/>
          <w:i/>
          <w:spacing w:val="-4"/>
          <w:sz w:val="18"/>
        </w:rPr>
        <w:t xml:space="preserve"> </w:t>
      </w:r>
      <w:r>
        <w:rPr>
          <w:rFonts w:ascii="Arial"/>
          <w:i/>
          <w:sz w:val="18"/>
        </w:rPr>
        <w:t>time</w:t>
      </w:r>
      <w:r>
        <w:rPr>
          <w:rFonts w:ascii="Arial"/>
          <w:i/>
          <w:spacing w:val="-2"/>
          <w:sz w:val="18"/>
        </w:rPr>
        <w:t xml:space="preserve"> </w:t>
      </w:r>
      <w:r>
        <w:rPr>
          <w:rFonts w:ascii="Arial"/>
          <w:i/>
          <w:sz w:val="18"/>
        </w:rPr>
        <w:t>to</w:t>
      </w:r>
      <w:r>
        <w:rPr>
          <w:rFonts w:ascii="Arial"/>
          <w:i/>
          <w:spacing w:val="-2"/>
          <w:sz w:val="18"/>
        </w:rPr>
        <w:t xml:space="preserve"> </w:t>
      </w:r>
      <w:r>
        <w:rPr>
          <w:rFonts w:ascii="Arial"/>
          <w:i/>
          <w:sz w:val="18"/>
        </w:rPr>
        <w:t>review</w:t>
      </w:r>
      <w:r>
        <w:rPr>
          <w:rFonts w:ascii="Arial"/>
          <w:i/>
          <w:spacing w:val="-5"/>
          <w:sz w:val="18"/>
        </w:rPr>
        <w:t xml:space="preserve"> </w:t>
      </w:r>
      <w:r>
        <w:rPr>
          <w:rFonts w:ascii="Arial"/>
          <w:i/>
          <w:sz w:val="18"/>
        </w:rPr>
        <w:t>instructions,</w:t>
      </w:r>
      <w:r>
        <w:rPr>
          <w:rFonts w:ascii="Arial"/>
          <w:i/>
          <w:spacing w:val="-4"/>
          <w:sz w:val="18"/>
        </w:rPr>
        <w:t xml:space="preserve"> </w:t>
      </w:r>
      <w:r>
        <w:rPr>
          <w:rFonts w:ascii="Arial"/>
          <w:i/>
          <w:sz w:val="18"/>
        </w:rPr>
        <w:t>search</w:t>
      </w:r>
      <w:r>
        <w:rPr>
          <w:rFonts w:ascii="Arial"/>
          <w:i/>
          <w:spacing w:val="-2"/>
          <w:sz w:val="18"/>
        </w:rPr>
        <w:t xml:space="preserve"> </w:t>
      </w:r>
      <w:r>
        <w:rPr>
          <w:rFonts w:ascii="Arial"/>
          <w:i/>
          <w:sz w:val="18"/>
        </w:rPr>
        <w:t>existing</w:t>
      </w:r>
      <w:r>
        <w:rPr>
          <w:rFonts w:ascii="Arial"/>
          <w:i/>
          <w:spacing w:val="-4"/>
          <w:sz w:val="18"/>
        </w:rPr>
        <w:t xml:space="preserve"> </w:t>
      </w:r>
      <w:r>
        <w:rPr>
          <w:rFonts w:ascii="Arial"/>
          <w:i/>
          <w:sz w:val="18"/>
        </w:rPr>
        <w:t>data</w:t>
      </w:r>
      <w:r>
        <w:rPr>
          <w:rFonts w:ascii="Arial"/>
          <w:i/>
          <w:spacing w:val="-2"/>
          <w:sz w:val="18"/>
        </w:rPr>
        <w:t xml:space="preserve"> </w:t>
      </w:r>
      <w:r>
        <w:rPr>
          <w:rFonts w:ascii="Arial"/>
          <w:i/>
          <w:sz w:val="18"/>
        </w:rPr>
        <w:t>resources,</w:t>
      </w:r>
      <w:r>
        <w:rPr>
          <w:rFonts w:ascii="Arial"/>
          <w:i/>
          <w:spacing w:val="-4"/>
          <w:sz w:val="18"/>
        </w:rPr>
        <w:t xml:space="preserve"> </w:t>
      </w:r>
      <w:r>
        <w:rPr>
          <w:rFonts w:ascii="Arial"/>
          <w:i/>
          <w:sz w:val="18"/>
        </w:rPr>
        <w:t>gather</w:t>
      </w:r>
      <w:r>
        <w:rPr>
          <w:rFonts w:ascii="Arial"/>
          <w:i/>
          <w:spacing w:val="-2"/>
          <w:sz w:val="18"/>
        </w:rPr>
        <w:t xml:space="preserve"> </w:t>
      </w:r>
      <w:r>
        <w:rPr>
          <w:rFonts w:ascii="Arial"/>
          <w:i/>
          <w:sz w:val="18"/>
        </w:rPr>
        <w:t>the</w:t>
      </w:r>
      <w:r>
        <w:rPr>
          <w:rFonts w:ascii="Arial"/>
          <w:i/>
          <w:spacing w:val="-4"/>
          <w:sz w:val="18"/>
        </w:rPr>
        <w:t xml:space="preserve"> </w:t>
      </w:r>
      <w:r>
        <w:rPr>
          <w:rFonts w:ascii="Arial"/>
          <w:i/>
          <w:sz w:val="18"/>
        </w:rPr>
        <w:t>data</w:t>
      </w:r>
      <w:r>
        <w:rPr>
          <w:rFonts w:ascii="Arial"/>
          <w:i/>
          <w:spacing w:val="-4"/>
          <w:sz w:val="18"/>
        </w:rPr>
        <w:t xml:space="preserve"> </w:t>
      </w:r>
      <w:r>
        <w:rPr>
          <w:rFonts w:ascii="Arial"/>
          <w:i/>
          <w:sz w:val="18"/>
        </w:rPr>
        <w:t>needed,</w:t>
      </w:r>
      <w:r>
        <w:rPr>
          <w:rFonts w:ascii="Arial"/>
          <w:i/>
          <w:spacing w:val="-4"/>
          <w:sz w:val="18"/>
        </w:rPr>
        <w:t xml:space="preserve"> </w:t>
      </w:r>
      <w:r>
        <w:rPr>
          <w:rFonts w:ascii="Arial"/>
          <w:i/>
          <w:sz w:val="18"/>
        </w:rPr>
        <w:t>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pPr>
        <w:spacing w:after="0"/>
        <w:jc w:val="left"/>
        <w:rPr>
          <w:rFonts w:ascii="Arial"/>
          <w:sz w:val="18"/>
        </w:rPr>
        <w:sectPr>
          <w:footerReference w:type="default" r:id="rId4"/>
          <w:type w:val="continuous"/>
          <w:pgSz w:w="12240" w:h="15840"/>
          <w:pgMar w:top="1360" w:right="1000" w:bottom="1000" w:left="1360" w:header="0" w:footer="806"/>
          <w:pgNumType w:start="1"/>
          <w:cols w:space="720"/>
        </w:sectPr>
      </w:pPr>
    </w:p>
    <w:p>
      <w:pPr>
        <w:pStyle w:val="Heading1"/>
        <w:tabs>
          <w:tab w:val="left" w:pos="9470"/>
        </w:tabs>
        <w:spacing w:before="79"/>
        <w:rPr>
          <w:u w:val="none"/>
        </w:rPr>
      </w:pPr>
      <w:bookmarkStart w:id="1" w:name="Table  of Contents"/>
      <w:bookmarkEnd w:id="1"/>
      <w:bookmarkStart w:id="2" w:name="_bookmark0"/>
      <w:bookmarkEnd w:id="2"/>
      <w:r>
        <w:rPr>
          <w:spacing w:val="-50"/>
          <w:u w:val="single"/>
        </w:rPr>
        <w:t xml:space="preserve"> </w:t>
      </w:r>
      <w:r>
        <w:rPr>
          <w:u w:val="single"/>
        </w:rPr>
        <w:t>TABLE</w:t>
      </w:r>
      <w:r>
        <w:rPr>
          <w:spacing w:val="-6"/>
          <w:u w:val="single"/>
        </w:rPr>
        <w:t xml:space="preserve"> </w:t>
      </w:r>
      <w:r>
        <w:rPr>
          <w:u w:val="single"/>
        </w:rPr>
        <w:t>OF</w:t>
      </w:r>
      <w:r>
        <w:rPr>
          <w:spacing w:val="-3"/>
          <w:u w:val="single"/>
        </w:rPr>
        <w:t xml:space="preserve"> </w:t>
      </w:r>
      <w:r>
        <w:rPr>
          <w:spacing w:val="-2"/>
          <w:u w:val="single"/>
        </w:rPr>
        <w:t>CONTENTS</w:t>
      </w:r>
      <w:r>
        <w:rPr>
          <w:u w:val="single"/>
        </w:rPr>
        <w:tab/>
      </w:r>
    </w:p>
    <w:p>
      <w:pPr>
        <w:spacing w:after="0"/>
        <w:sectPr>
          <w:footerReference w:type="default" r:id="rId5"/>
          <w:pgSz w:w="12240" w:h="15840"/>
          <w:pgMar w:top="1360" w:right="1000" w:bottom="1471" w:left="1360" w:header="0" w:footer="747"/>
          <w:pgNumType w:start="2"/>
          <w:cols w:space="720"/>
        </w:sectPr>
      </w:pPr>
    </w:p>
    <w:sdt>
      <w:sdtPr>
        <w:id w:val="1986401152"/>
        <w:docPartObj>
          <w:docPartGallery w:val="Table of Contents"/>
          <w:docPartUnique/>
        </w:docPartObj>
      </w:sdtPr>
      <w:sdtContent>
        <w:p>
          <w:pPr>
            <w:pStyle w:val="TOC1"/>
            <w:tabs>
              <w:tab w:val="right" w:leader="dot" w:pos="9432"/>
            </w:tabs>
            <w:spacing w:before="270"/>
          </w:pPr>
          <w:hyperlink w:anchor="_bookmark0" w:history="1">
            <w:r>
              <w:t>Table</w:t>
            </w:r>
            <w:r>
              <w:rPr>
                <w:spacing w:val="-1"/>
              </w:rPr>
              <w:t xml:space="preserve"> </w:t>
            </w:r>
            <w:r>
              <w:t>of</w:t>
            </w:r>
            <w:r>
              <w:rPr>
                <w:spacing w:val="-3"/>
              </w:rPr>
              <w:t xml:space="preserve"> </w:t>
            </w:r>
            <w:r>
              <w:rPr>
                <w:spacing w:val="-2"/>
              </w:rPr>
              <w:t>Contents</w:t>
            </w:r>
            <w:r>
              <w:tab/>
            </w:r>
            <w:r>
              <w:rPr>
                <w:spacing w:val="-10"/>
              </w:rPr>
              <w:t>2</w:t>
            </w:r>
          </w:hyperlink>
        </w:p>
        <w:p>
          <w:pPr>
            <w:pStyle w:val="TOC1"/>
            <w:numPr>
              <w:ilvl w:val="0"/>
              <w:numId w:val="18"/>
            </w:numPr>
            <w:tabs>
              <w:tab w:val="left" w:pos="398"/>
              <w:tab w:val="right" w:leader="dot" w:pos="9432"/>
            </w:tabs>
            <w:spacing w:before="1" w:after="0" w:line="240" w:lineRule="auto"/>
            <w:ind w:left="398" w:right="0" w:hanging="174"/>
            <w:jc w:val="left"/>
          </w:pPr>
          <w:hyperlink w:anchor="_bookmark1" w:history="1">
            <w:r>
              <w:rPr>
                <w:spacing w:val="-2"/>
              </w:rPr>
              <w:t>Introduction</w:t>
            </w:r>
            <w:r>
              <w:tab/>
            </w:r>
            <w:r>
              <w:rPr>
                <w:spacing w:val="-10"/>
              </w:rPr>
              <w:t>4</w:t>
            </w:r>
          </w:hyperlink>
        </w:p>
        <w:p>
          <w:pPr>
            <w:pStyle w:val="TOC2"/>
            <w:tabs>
              <w:tab w:val="right" w:leader="dot" w:pos="9432"/>
            </w:tabs>
            <w:spacing w:before="1"/>
          </w:pPr>
          <w:hyperlink w:anchor="_bookmark2" w:history="1">
            <w:r>
              <w:rPr>
                <w:spacing w:val="-2"/>
              </w:rPr>
              <w:t>Background</w:t>
            </w:r>
            <w:r>
              <w:tab/>
            </w:r>
            <w:r>
              <w:rPr>
                <w:spacing w:val="-10"/>
              </w:rPr>
              <w:t>4</w:t>
            </w:r>
          </w:hyperlink>
        </w:p>
        <w:p>
          <w:pPr>
            <w:pStyle w:val="TOC2"/>
            <w:tabs>
              <w:tab w:val="right" w:leader="dot" w:pos="9432"/>
            </w:tabs>
          </w:pPr>
          <w:hyperlink w:anchor="_bookmark3" w:history="1">
            <w:r>
              <w:t>Document</w:t>
            </w:r>
            <w:r>
              <w:rPr>
                <w:spacing w:val="-5"/>
              </w:rPr>
              <w:t xml:space="preserve"> </w:t>
            </w:r>
            <w:r>
              <w:rPr>
                <w:spacing w:val="-2"/>
              </w:rPr>
              <w:t>Overview</w:t>
            </w:r>
            <w:r>
              <w:tab/>
            </w:r>
            <w:r>
              <w:rPr>
                <w:spacing w:val="-10"/>
              </w:rPr>
              <w:t>4</w:t>
            </w:r>
          </w:hyperlink>
        </w:p>
        <w:p>
          <w:pPr>
            <w:pStyle w:val="TOC2"/>
            <w:tabs>
              <w:tab w:val="right" w:leader="dot" w:pos="9432"/>
            </w:tabs>
            <w:spacing w:before="1"/>
          </w:pPr>
          <w:hyperlink w:anchor="_bookmark4" w:history="1">
            <w:r>
              <w:t>New</w:t>
            </w:r>
            <w:r>
              <w:rPr>
                <w:spacing w:val="-2"/>
              </w:rPr>
              <w:t xml:space="preserve"> </w:t>
            </w:r>
            <w:r>
              <w:t>for</w:t>
            </w:r>
            <w:r>
              <w:rPr>
                <w:spacing w:val="-5"/>
              </w:rPr>
              <w:t xml:space="preserve"> </w:t>
            </w:r>
            <w:r>
              <w:t>Contract</w:t>
            </w:r>
            <w:r>
              <w:rPr>
                <w:spacing w:val="-5"/>
              </w:rPr>
              <w:t xml:space="preserve"> </w:t>
            </w:r>
            <w:r>
              <w:t>Year</w:t>
            </w:r>
            <w:r>
              <w:rPr>
                <w:spacing w:val="-4"/>
              </w:rPr>
              <w:t xml:space="preserve"> </w:t>
            </w:r>
            <w:r>
              <w:t>2026</w:t>
            </w:r>
            <w:r>
              <w:rPr>
                <w:spacing w:val="-4"/>
              </w:rPr>
              <w:t xml:space="preserve"> </w:t>
            </w:r>
            <w:r>
              <w:rPr>
                <w:spacing w:val="-2"/>
              </w:rPr>
              <w:t>(CY2026)</w:t>
            </w:r>
            <w:r>
              <w:tab/>
            </w:r>
            <w:r>
              <w:rPr>
                <w:spacing w:val="-10"/>
              </w:rPr>
              <w:t>5</w:t>
            </w:r>
          </w:hyperlink>
        </w:p>
        <w:p>
          <w:pPr>
            <w:pStyle w:val="TOC2"/>
            <w:tabs>
              <w:tab w:val="right" w:leader="dot" w:pos="9432"/>
            </w:tabs>
          </w:pPr>
          <w:hyperlink w:anchor="_bookmark5" w:history="1">
            <w:r>
              <w:t>Bidding</w:t>
            </w:r>
            <w:r>
              <w:rPr>
                <w:spacing w:val="-7"/>
              </w:rPr>
              <w:t xml:space="preserve"> </w:t>
            </w:r>
            <w:r>
              <w:rPr>
                <w:spacing w:val="-2"/>
              </w:rPr>
              <w:t>Resources</w:t>
            </w:r>
            <w:r>
              <w:tab/>
            </w:r>
            <w:r>
              <w:rPr>
                <w:spacing w:val="-10"/>
              </w:rPr>
              <w:t>5</w:t>
            </w:r>
          </w:hyperlink>
        </w:p>
        <w:p>
          <w:pPr>
            <w:pStyle w:val="TOC1"/>
            <w:numPr>
              <w:ilvl w:val="0"/>
              <w:numId w:val="18"/>
            </w:numPr>
            <w:tabs>
              <w:tab w:val="left" w:pos="467"/>
              <w:tab w:val="right" w:leader="dot" w:pos="9432"/>
            </w:tabs>
            <w:spacing w:before="1" w:after="0" w:line="240" w:lineRule="auto"/>
            <w:ind w:left="467" w:right="0" w:hanging="243"/>
            <w:jc w:val="left"/>
          </w:pPr>
          <w:hyperlink w:anchor="_bookmark6" w:history="1">
            <w:r>
              <w:t>Pricing</w:t>
            </w:r>
            <w:r>
              <w:rPr>
                <w:spacing w:val="-4"/>
              </w:rPr>
              <w:t xml:space="preserve"> </w:t>
            </w:r>
            <w:r>
              <w:rPr>
                <w:spacing w:val="-2"/>
              </w:rPr>
              <w:t>Considerations</w:t>
            </w:r>
            <w:r>
              <w:tab/>
            </w:r>
            <w:r>
              <w:rPr>
                <w:spacing w:val="-10"/>
              </w:rPr>
              <w:t>6</w:t>
            </w:r>
          </w:hyperlink>
        </w:p>
        <w:p>
          <w:pPr>
            <w:pStyle w:val="TOC2"/>
            <w:tabs>
              <w:tab w:val="right" w:leader="dot" w:pos="9432"/>
            </w:tabs>
            <w:spacing w:before="1"/>
          </w:pPr>
          <w:hyperlink w:anchor="_bookmark7" w:history="1">
            <w:r>
              <w:t>Bidding/Pricing</w:t>
            </w:r>
            <w:r>
              <w:rPr>
                <w:spacing w:val="-13"/>
              </w:rPr>
              <w:t xml:space="preserve"> </w:t>
            </w:r>
            <w:r>
              <w:rPr>
                <w:spacing w:val="-2"/>
              </w:rPr>
              <w:t>Approach</w:t>
            </w:r>
            <w:r>
              <w:tab/>
            </w:r>
            <w:r>
              <w:rPr>
                <w:spacing w:val="-10"/>
              </w:rPr>
              <w:t>6</w:t>
            </w:r>
          </w:hyperlink>
        </w:p>
        <w:p>
          <w:pPr>
            <w:pStyle w:val="TOC2"/>
            <w:tabs>
              <w:tab w:val="right" w:leader="dot" w:pos="9432"/>
            </w:tabs>
          </w:pPr>
          <w:hyperlink w:anchor="_bookmark8" w:history="1">
            <w:r>
              <w:t>Specific</w:t>
            </w:r>
            <w:r>
              <w:rPr>
                <w:spacing w:val="-5"/>
              </w:rPr>
              <w:t xml:space="preserve"> </w:t>
            </w:r>
            <w:r>
              <w:rPr>
                <w:spacing w:val="-2"/>
              </w:rPr>
              <w:t>Topics</w:t>
            </w:r>
            <w:r>
              <w:tab/>
            </w:r>
            <w:r>
              <w:rPr>
                <w:spacing w:val="-10"/>
              </w:rPr>
              <w:t>6</w:t>
            </w:r>
          </w:hyperlink>
        </w:p>
        <w:p>
          <w:pPr>
            <w:pStyle w:val="TOC3"/>
            <w:tabs>
              <w:tab w:val="right" w:leader="dot" w:pos="9432"/>
            </w:tabs>
          </w:pPr>
          <w:hyperlink w:anchor="_bookmark9" w:history="1">
            <w:r>
              <w:t>Actuarial</w:t>
            </w:r>
            <w:r>
              <w:rPr>
                <w:spacing w:val="-6"/>
              </w:rPr>
              <w:t xml:space="preserve"> </w:t>
            </w:r>
            <w:r>
              <w:rPr>
                <w:spacing w:val="-2"/>
              </w:rPr>
              <w:t>Equivalence</w:t>
            </w:r>
            <w:r>
              <w:tab/>
            </w:r>
            <w:r>
              <w:rPr>
                <w:spacing w:val="-12"/>
              </w:rPr>
              <w:t>6</w:t>
            </w:r>
          </w:hyperlink>
        </w:p>
        <w:p>
          <w:pPr>
            <w:pStyle w:val="TOC3"/>
            <w:tabs>
              <w:tab w:val="right" w:leader="dot" w:pos="9432"/>
            </w:tabs>
            <w:spacing w:before="0"/>
          </w:pPr>
          <w:hyperlink w:anchor="_bookmark10" w:history="1">
            <w:r>
              <w:t>Base</w:t>
            </w:r>
            <w:r>
              <w:rPr>
                <w:spacing w:val="-4"/>
              </w:rPr>
              <w:t xml:space="preserve"> </w:t>
            </w:r>
            <w:r>
              <w:t>Period</w:t>
            </w:r>
            <w:r>
              <w:rPr>
                <w:spacing w:val="-3"/>
              </w:rPr>
              <w:t xml:space="preserve"> </w:t>
            </w:r>
            <w:r>
              <w:rPr>
                <w:spacing w:val="-2"/>
              </w:rPr>
              <w:t>Experience</w:t>
            </w:r>
            <w:r>
              <w:tab/>
            </w:r>
            <w:r>
              <w:rPr>
                <w:spacing w:val="-10"/>
              </w:rPr>
              <w:t>7</w:t>
            </w:r>
          </w:hyperlink>
        </w:p>
        <w:p>
          <w:pPr>
            <w:pStyle w:val="TOC3"/>
            <w:tabs>
              <w:tab w:val="right" w:leader="dot" w:pos="9432"/>
            </w:tabs>
            <w:spacing w:line="240" w:lineRule="auto"/>
          </w:pPr>
          <w:hyperlink w:anchor="_bookmark11" w:history="1">
            <w:r>
              <w:rPr>
                <w:spacing w:val="-2"/>
              </w:rPr>
              <w:t>Credibility</w:t>
            </w:r>
            <w:r>
              <w:tab/>
            </w:r>
            <w:r>
              <w:rPr>
                <w:spacing w:val="-5"/>
              </w:rPr>
              <w:t>10</w:t>
            </w:r>
          </w:hyperlink>
        </w:p>
        <w:p>
          <w:pPr>
            <w:pStyle w:val="TOC3"/>
            <w:tabs>
              <w:tab w:val="right" w:leader="dot" w:pos="9432"/>
            </w:tabs>
          </w:pPr>
          <w:hyperlink w:anchor="_bookmark12" w:history="1">
            <w:r>
              <w:t>Direct</w:t>
            </w:r>
            <w:r>
              <w:rPr>
                <w:spacing w:val="-8"/>
              </w:rPr>
              <w:t xml:space="preserve"> </w:t>
            </w:r>
            <w:r>
              <w:t>and</w:t>
            </w:r>
            <w:r>
              <w:rPr>
                <w:spacing w:val="-6"/>
              </w:rPr>
              <w:t xml:space="preserve"> </w:t>
            </w:r>
            <w:r>
              <w:t>Indirect</w:t>
            </w:r>
            <w:r>
              <w:rPr>
                <w:spacing w:val="-8"/>
              </w:rPr>
              <w:t xml:space="preserve"> </w:t>
            </w:r>
            <w:r>
              <w:t>Remuneration</w:t>
            </w:r>
            <w:r>
              <w:rPr>
                <w:spacing w:val="-5"/>
              </w:rPr>
              <w:t xml:space="preserve"> </w:t>
            </w:r>
            <w:r>
              <w:rPr>
                <w:spacing w:val="-4"/>
              </w:rPr>
              <w:t>(DIR)</w:t>
            </w:r>
            <w:r>
              <w:tab/>
            </w:r>
            <w:r>
              <w:rPr>
                <w:spacing w:val="-5"/>
              </w:rPr>
              <w:t>12</w:t>
            </w:r>
          </w:hyperlink>
        </w:p>
        <w:p>
          <w:pPr>
            <w:pStyle w:val="TOC3"/>
            <w:tabs>
              <w:tab w:val="right" w:leader="dot" w:pos="9432"/>
            </w:tabs>
            <w:spacing w:before="0"/>
          </w:pPr>
          <w:hyperlink w:anchor="_bookmark13" w:history="1">
            <w:r>
              <w:rPr>
                <w:spacing w:val="-2"/>
              </w:rPr>
              <w:t>Enrollment</w:t>
            </w:r>
            <w:r>
              <w:tab/>
            </w:r>
            <w:r>
              <w:rPr>
                <w:spacing w:val="-5"/>
              </w:rPr>
              <w:t>12</w:t>
            </w:r>
          </w:hyperlink>
        </w:p>
        <w:p>
          <w:pPr>
            <w:pStyle w:val="TOC3"/>
            <w:tabs>
              <w:tab w:val="right" w:leader="dot" w:pos="9432"/>
            </w:tabs>
            <w:spacing w:line="240" w:lineRule="auto"/>
          </w:pPr>
          <w:hyperlink w:anchor="_bookmark14" w:history="1">
            <w:r>
              <w:t>Gain/Loss</w:t>
            </w:r>
            <w:r>
              <w:rPr>
                <w:spacing w:val="-7"/>
              </w:rPr>
              <w:t xml:space="preserve"> </w:t>
            </w:r>
            <w:r>
              <w:rPr>
                <w:spacing w:val="-2"/>
              </w:rPr>
              <w:t>Margin</w:t>
            </w:r>
            <w:r>
              <w:tab/>
            </w:r>
            <w:r>
              <w:rPr>
                <w:spacing w:val="-5"/>
              </w:rPr>
              <w:t>13</w:t>
            </w:r>
          </w:hyperlink>
        </w:p>
        <w:p>
          <w:pPr>
            <w:pStyle w:val="TOC3"/>
            <w:tabs>
              <w:tab w:val="right" w:leader="dot" w:pos="9432"/>
            </w:tabs>
          </w:pPr>
          <w:hyperlink w:anchor="_bookmark15" w:history="1">
            <w:r>
              <w:t>Non-Benefit</w:t>
            </w:r>
            <w:r>
              <w:rPr>
                <w:spacing w:val="-9"/>
              </w:rPr>
              <w:t xml:space="preserve"> </w:t>
            </w:r>
            <w:r>
              <w:rPr>
                <w:spacing w:val="-2"/>
              </w:rPr>
              <w:t>Expenses</w:t>
            </w:r>
            <w:r>
              <w:tab/>
            </w:r>
            <w:r>
              <w:rPr>
                <w:spacing w:val="-5"/>
              </w:rPr>
              <w:t>15</w:t>
            </w:r>
          </w:hyperlink>
        </w:p>
        <w:p>
          <w:pPr>
            <w:pStyle w:val="TOC3"/>
            <w:tabs>
              <w:tab w:val="right" w:leader="dot" w:pos="9432"/>
            </w:tabs>
            <w:spacing w:before="0"/>
          </w:pPr>
          <w:hyperlink w:anchor="_bookmark16" w:history="1">
            <w:r>
              <w:t>PBM</w:t>
            </w:r>
            <w:r>
              <w:rPr>
                <w:spacing w:val="-5"/>
              </w:rPr>
              <w:t xml:space="preserve"> </w:t>
            </w:r>
            <w:r>
              <w:rPr>
                <w:spacing w:val="-2"/>
              </w:rPr>
              <w:t>Pricing</w:t>
            </w:r>
            <w:r>
              <w:tab/>
            </w:r>
            <w:r>
              <w:rPr>
                <w:spacing w:val="-5"/>
              </w:rPr>
              <w:t>17</w:t>
            </w:r>
          </w:hyperlink>
        </w:p>
        <w:p>
          <w:pPr>
            <w:pStyle w:val="TOC3"/>
            <w:tabs>
              <w:tab w:val="right" w:leader="dot" w:pos="9432"/>
            </w:tabs>
          </w:pPr>
          <w:hyperlink w:anchor="_bookmark17" w:history="1">
            <w:r>
              <w:t>Related-Party</w:t>
            </w:r>
            <w:r>
              <w:rPr>
                <w:spacing w:val="-11"/>
              </w:rPr>
              <w:t xml:space="preserve"> </w:t>
            </w:r>
            <w:r>
              <w:rPr>
                <w:spacing w:val="-2"/>
              </w:rPr>
              <w:t>Arrangements</w:t>
            </w:r>
            <w:r>
              <w:tab/>
            </w:r>
            <w:r>
              <w:rPr>
                <w:spacing w:val="-5"/>
              </w:rPr>
              <w:t>17</w:t>
            </w:r>
          </w:hyperlink>
        </w:p>
        <w:p>
          <w:pPr>
            <w:pStyle w:val="TOC3"/>
            <w:tabs>
              <w:tab w:val="right" w:leader="dot" w:pos="9432"/>
            </w:tabs>
            <w:spacing w:before="0"/>
          </w:pPr>
          <w:hyperlink w:anchor="_bookmark18" w:history="1">
            <w:r>
              <w:t>Risk</w:t>
            </w:r>
            <w:r>
              <w:rPr>
                <w:spacing w:val="-4"/>
              </w:rPr>
              <w:t xml:space="preserve"> </w:t>
            </w:r>
            <w:r>
              <w:t>Score</w:t>
            </w:r>
            <w:r>
              <w:rPr>
                <w:spacing w:val="-6"/>
              </w:rPr>
              <w:t xml:space="preserve"> </w:t>
            </w:r>
            <w:r>
              <w:t>Development</w:t>
            </w:r>
            <w:r>
              <w:rPr>
                <w:spacing w:val="-4"/>
              </w:rPr>
              <w:t xml:space="preserve"> </w:t>
            </w:r>
            <w:r>
              <w:t>for</w:t>
            </w:r>
            <w:r>
              <w:rPr>
                <w:spacing w:val="-5"/>
              </w:rPr>
              <w:t xml:space="preserve"> </w:t>
            </w:r>
            <w:r>
              <w:rPr>
                <w:spacing w:val="-2"/>
              </w:rPr>
              <w:t>CY2026</w:t>
            </w:r>
            <w:r>
              <w:tab/>
            </w:r>
            <w:r>
              <w:rPr>
                <w:spacing w:val="-5"/>
              </w:rPr>
              <w:t>17</w:t>
            </w:r>
          </w:hyperlink>
        </w:p>
        <w:p>
          <w:pPr>
            <w:pStyle w:val="TOC3"/>
            <w:tabs>
              <w:tab w:val="right" w:leader="dot" w:pos="9432"/>
            </w:tabs>
            <w:spacing w:line="240" w:lineRule="auto"/>
          </w:pPr>
          <w:hyperlink w:anchor="_bookmark19" w:history="1">
            <w:r>
              <w:rPr>
                <w:spacing w:val="-2"/>
              </w:rPr>
              <w:t>Sequestration</w:t>
            </w:r>
            <w:r>
              <w:tab/>
            </w:r>
            <w:r>
              <w:rPr>
                <w:spacing w:val="-5"/>
              </w:rPr>
              <w:t>19</w:t>
            </w:r>
          </w:hyperlink>
        </w:p>
        <w:p>
          <w:pPr>
            <w:pStyle w:val="TOC3"/>
            <w:tabs>
              <w:tab w:val="right" w:leader="dot" w:pos="9432"/>
            </w:tabs>
          </w:pPr>
          <w:hyperlink w:anchor="_bookmark20" w:history="1">
            <w:r>
              <w:t>Supporting</w:t>
            </w:r>
            <w:r>
              <w:rPr>
                <w:spacing w:val="-7"/>
              </w:rPr>
              <w:t xml:space="preserve"> </w:t>
            </w:r>
            <w:r>
              <w:rPr>
                <w:spacing w:val="-2"/>
              </w:rPr>
              <w:t>Documentation</w:t>
            </w:r>
            <w:r>
              <w:tab/>
            </w:r>
            <w:r>
              <w:rPr>
                <w:spacing w:val="-5"/>
              </w:rPr>
              <w:t>19</w:t>
            </w:r>
          </w:hyperlink>
        </w:p>
        <w:p>
          <w:pPr>
            <w:pStyle w:val="TOC3"/>
            <w:tabs>
              <w:tab w:val="right" w:leader="dot" w:pos="9432"/>
            </w:tabs>
            <w:spacing w:before="0"/>
          </w:pPr>
          <w:hyperlink w:anchor="_bookmark21" w:history="1">
            <w:r>
              <w:t>Types</w:t>
            </w:r>
            <w:r>
              <w:rPr>
                <w:spacing w:val="-5"/>
              </w:rPr>
              <w:t xml:space="preserve"> </w:t>
            </w:r>
            <w:r>
              <w:t>of</w:t>
            </w:r>
            <w:r>
              <w:rPr>
                <w:spacing w:val="-3"/>
              </w:rPr>
              <w:t xml:space="preserve"> </w:t>
            </w:r>
            <w:r>
              <w:t>Part</w:t>
            </w:r>
            <w:r>
              <w:rPr>
                <w:spacing w:val="-4"/>
              </w:rPr>
              <w:t xml:space="preserve"> </w:t>
            </w:r>
            <w:r>
              <w:t>D-Covered</w:t>
            </w:r>
            <w:r>
              <w:rPr>
                <w:spacing w:val="-4"/>
              </w:rPr>
              <w:t xml:space="preserve"> </w:t>
            </w:r>
            <w:r>
              <w:rPr>
                <w:spacing w:val="-2"/>
              </w:rPr>
              <w:t>Drugs</w:t>
            </w:r>
            <w:r>
              <w:tab/>
            </w:r>
            <w:r>
              <w:rPr>
                <w:spacing w:val="-5"/>
              </w:rPr>
              <w:t>20</w:t>
            </w:r>
          </w:hyperlink>
        </w:p>
        <w:p>
          <w:pPr>
            <w:pStyle w:val="TOC1"/>
            <w:numPr>
              <w:ilvl w:val="0"/>
              <w:numId w:val="18"/>
            </w:numPr>
            <w:tabs>
              <w:tab w:val="left" w:pos="537"/>
              <w:tab w:val="right" w:leader="dot" w:pos="9432"/>
            </w:tabs>
            <w:spacing w:before="1" w:after="0" w:line="241" w:lineRule="exact"/>
            <w:ind w:left="537" w:right="0" w:hanging="313"/>
            <w:jc w:val="left"/>
          </w:pPr>
          <w:hyperlink w:anchor="_bookmark22" w:history="1">
            <w:r>
              <w:t>Data</w:t>
            </w:r>
            <w:r>
              <w:rPr>
                <w:spacing w:val="-3"/>
              </w:rPr>
              <w:t xml:space="preserve"> </w:t>
            </w:r>
            <w:r>
              <w:t>Entry</w:t>
            </w:r>
            <w:r>
              <w:rPr>
                <w:spacing w:val="-3"/>
              </w:rPr>
              <w:t xml:space="preserve"> </w:t>
            </w:r>
            <w:r>
              <w:t>and</w:t>
            </w:r>
            <w:r>
              <w:rPr>
                <w:spacing w:val="-5"/>
              </w:rPr>
              <w:t xml:space="preserve"> </w:t>
            </w:r>
            <w:r>
              <w:rPr>
                <w:spacing w:val="-2"/>
              </w:rPr>
              <w:t>Formulas</w:t>
            </w:r>
            <w:r>
              <w:tab/>
            </w:r>
            <w:r>
              <w:rPr>
                <w:spacing w:val="-5"/>
              </w:rPr>
              <w:t>21</w:t>
            </w:r>
          </w:hyperlink>
        </w:p>
        <w:p>
          <w:pPr>
            <w:pStyle w:val="TOC2"/>
            <w:tabs>
              <w:tab w:val="right" w:leader="dot" w:pos="9432"/>
            </w:tabs>
          </w:pPr>
          <w:hyperlink w:anchor="_bookmark23" w:history="1">
            <w:r>
              <w:t>Prescription</w:t>
            </w:r>
            <w:r>
              <w:rPr>
                <w:spacing w:val="-11"/>
              </w:rPr>
              <w:t xml:space="preserve"> </w:t>
            </w:r>
            <w:r>
              <w:rPr>
                <w:spacing w:val="-4"/>
              </w:rPr>
              <w:t>Drug</w:t>
            </w:r>
            <w:r>
              <w:tab/>
            </w:r>
            <w:r>
              <w:rPr>
                <w:spacing w:val="-5"/>
              </w:rPr>
              <w:t>21</w:t>
            </w:r>
          </w:hyperlink>
        </w:p>
        <w:p>
          <w:pPr>
            <w:pStyle w:val="TOC1"/>
            <w:tabs>
              <w:tab w:val="right" w:leader="dot" w:pos="9432"/>
            </w:tabs>
          </w:pPr>
          <w:hyperlink w:anchor="_bookmark24" w:history="1">
            <w:r>
              <w:t>PD</w:t>
            </w:r>
            <w:r>
              <w:rPr>
                <w:spacing w:val="-3"/>
              </w:rPr>
              <w:t xml:space="preserve"> </w:t>
            </w:r>
            <w:r>
              <w:t>Worksheet</w:t>
            </w:r>
            <w:r>
              <w:rPr>
                <w:spacing w:val="-2"/>
              </w:rPr>
              <w:t xml:space="preserve"> </w:t>
            </w:r>
            <w:r>
              <w:t>1</w:t>
            </w:r>
            <w:r>
              <w:rPr>
                <w:spacing w:val="-1"/>
              </w:rPr>
              <w:t xml:space="preserve"> </w:t>
            </w:r>
            <w:r>
              <w:t>–</w:t>
            </w:r>
            <w:r>
              <w:rPr>
                <w:spacing w:val="-5"/>
              </w:rPr>
              <w:t xml:space="preserve"> </w:t>
            </w:r>
            <w:r>
              <w:t>Rx</w:t>
            </w:r>
            <w:r>
              <w:rPr>
                <w:spacing w:val="-4"/>
              </w:rPr>
              <w:t xml:space="preserve"> </w:t>
            </w:r>
            <w:r>
              <w:t>Base</w:t>
            </w:r>
            <w:r>
              <w:rPr>
                <w:spacing w:val="-4"/>
              </w:rPr>
              <w:t xml:space="preserve"> </w:t>
            </w:r>
            <w:r>
              <w:t>Period</w:t>
            </w:r>
            <w:r>
              <w:rPr>
                <w:spacing w:val="-1"/>
              </w:rPr>
              <w:t xml:space="preserve"> </w:t>
            </w:r>
            <w:r>
              <w:rPr>
                <w:spacing w:val="-2"/>
              </w:rPr>
              <w:t>Experience</w:t>
            </w:r>
            <w:r>
              <w:tab/>
            </w:r>
            <w:r>
              <w:rPr>
                <w:spacing w:val="-5"/>
              </w:rPr>
              <w:t>24</w:t>
            </w:r>
          </w:hyperlink>
        </w:p>
        <w:p>
          <w:pPr>
            <w:pStyle w:val="TOC2"/>
            <w:tabs>
              <w:tab w:val="right" w:leader="dot" w:pos="9432"/>
            </w:tabs>
            <w:spacing w:before="1"/>
          </w:pPr>
          <w:hyperlink w:anchor="_bookmark25"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24</w:t>
            </w:r>
          </w:hyperlink>
        </w:p>
        <w:p>
          <w:pPr>
            <w:pStyle w:val="TOC2"/>
            <w:tabs>
              <w:tab w:val="right" w:leader="dot" w:pos="9432"/>
            </w:tabs>
          </w:pPr>
          <w:hyperlink w:anchor="_bookmark26" w:history="1">
            <w:r>
              <w:t>Section</w:t>
            </w:r>
            <w:r>
              <w:rPr>
                <w:spacing w:val="-3"/>
              </w:rPr>
              <w:t xml:space="preserve"> </w:t>
            </w:r>
            <w:r>
              <w:t>II</w:t>
            </w:r>
            <w:r>
              <w:rPr>
                <w:spacing w:val="-4"/>
              </w:rPr>
              <w:t xml:space="preserve"> </w:t>
            </w:r>
            <w:r>
              <w:t>–</w:t>
            </w:r>
            <w:r>
              <w:rPr>
                <w:spacing w:val="-2"/>
              </w:rPr>
              <w:t xml:space="preserve"> </w:t>
            </w:r>
            <w:r>
              <w:t>Base</w:t>
            </w:r>
            <w:r>
              <w:rPr>
                <w:spacing w:val="-3"/>
              </w:rPr>
              <w:t xml:space="preserve"> </w:t>
            </w:r>
            <w:r>
              <w:t>Period</w:t>
            </w:r>
            <w:r>
              <w:rPr>
                <w:spacing w:val="-5"/>
              </w:rPr>
              <w:t xml:space="preserve"> </w:t>
            </w:r>
            <w:r>
              <w:t>Background</w:t>
            </w:r>
            <w:r>
              <w:rPr>
                <w:spacing w:val="-2"/>
              </w:rPr>
              <w:t xml:space="preserve"> Information</w:t>
            </w:r>
            <w:r>
              <w:tab/>
            </w:r>
            <w:r>
              <w:rPr>
                <w:spacing w:val="-5"/>
              </w:rPr>
              <w:t>26</w:t>
            </w:r>
          </w:hyperlink>
        </w:p>
        <w:p>
          <w:pPr>
            <w:pStyle w:val="TOC2"/>
            <w:tabs>
              <w:tab w:val="right" w:leader="dot" w:pos="9432"/>
            </w:tabs>
            <w:spacing w:before="1" w:line="240" w:lineRule="auto"/>
          </w:pPr>
          <w:hyperlink w:anchor="_bookmark27" w:history="1">
            <w:r>
              <w:t>Section</w:t>
            </w:r>
            <w:r>
              <w:rPr>
                <w:spacing w:val="-3"/>
              </w:rPr>
              <w:t xml:space="preserve"> </w:t>
            </w:r>
            <w:r>
              <w:t>III</w:t>
            </w:r>
            <w:r>
              <w:rPr>
                <w:spacing w:val="-3"/>
              </w:rPr>
              <w:t xml:space="preserve"> </w:t>
            </w:r>
            <w:r>
              <w:t>–</w:t>
            </w:r>
            <w:r>
              <w:rPr>
                <w:spacing w:val="-2"/>
              </w:rPr>
              <w:t xml:space="preserve"> </w:t>
            </w:r>
            <w:r>
              <w:t>Part</w:t>
            </w:r>
            <w:r>
              <w:rPr>
                <w:spacing w:val="-6"/>
              </w:rPr>
              <w:t xml:space="preserve"> </w:t>
            </w:r>
            <w:r>
              <w:t>D</w:t>
            </w:r>
            <w:r>
              <w:rPr>
                <w:spacing w:val="-1"/>
              </w:rPr>
              <w:t xml:space="preserve"> </w:t>
            </w:r>
            <w:r>
              <w:t>Claims</w:t>
            </w:r>
            <w:r>
              <w:rPr>
                <w:spacing w:val="-5"/>
              </w:rPr>
              <w:t xml:space="preserve"> </w:t>
            </w:r>
            <w:r>
              <w:rPr>
                <w:spacing w:val="-2"/>
              </w:rPr>
              <w:t>Experience</w:t>
            </w:r>
            <w:r>
              <w:tab/>
            </w:r>
            <w:r>
              <w:rPr>
                <w:spacing w:val="-5"/>
              </w:rPr>
              <w:t>28</w:t>
            </w:r>
          </w:hyperlink>
        </w:p>
        <w:p>
          <w:pPr>
            <w:pStyle w:val="TOC2"/>
            <w:tabs>
              <w:tab w:val="right" w:leader="dot" w:pos="9432"/>
            </w:tabs>
            <w:spacing w:before="1"/>
          </w:pPr>
          <w:hyperlink w:anchor="_bookmark28" w:history="1">
            <w:r>
              <w:t>Section</w:t>
            </w:r>
            <w:r>
              <w:rPr>
                <w:spacing w:val="-6"/>
              </w:rPr>
              <w:t xml:space="preserve"> </w:t>
            </w:r>
            <w:r>
              <w:t>IV</w:t>
            </w:r>
            <w:r>
              <w:rPr>
                <w:spacing w:val="-6"/>
              </w:rPr>
              <w:t xml:space="preserve"> </w:t>
            </w:r>
            <w:r>
              <w:t>–</w:t>
            </w:r>
            <w:r>
              <w:rPr>
                <w:spacing w:val="-3"/>
              </w:rPr>
              <w:t xml:space="preserve"> </w:t>
            </w:r>
            <w:r>
              <w:t>PMPM</w:t>
            </w:r>
            <w:r>
              <w:rPr>
                <w:spacing w:val="-7"/>
              </w:rPr>
              <w:t xml:space="preserve"> </w:t>
            </w:r>
            <w:r>
              <w:t>Non-Benefit</w:t>
            </w:r>
            <w:r>
              <w:rPr>
                <w:spacing w:val="-4"/>
              </w:rPr>
              <w:t xml:space="preserve"> </w:t>
            </w:r>
            <w:r>
              <w:rPr>
                <w:spacing w:val="-2"/>
              </w:rPr>
              <w:t>Expenses</w:t>
            </w:r>
            <w:r>
              <w:tab/>
            </w:r>
            <w:r>
              <w:rPr>
                <w:spacing w:val="-5"/>
              </w:rPr>
              <w:t>31</w:t>
            </w:r>
          </w:hyperlink>
        </w:p>
        <w:p>
          <w:pPr>
            <w:pStyle w:val="TOC2"/>
            <w:tabs>
              <w:tab w:val="right" w:leader="dot" w:pos="9432"/>
            </w:tabs>
          </w:pPr>
          <w:hyperlink w:anchor="_bookmark29" w:history="1">
            <w:r>
              <w:t>Section</w:t>
            </w:r>
            <w:r>
              <w:rPr>
                <w:spacing w:val="-4"/>
              </w:rPr>
              <w:t xml:space="preserve"> </w:t>
            </w:r>
            <w:r>
              <w:t>V</w:t>
            </w:r>
            <w:r>
              <w:rPr>
                <w:spacing w:val="-4"/>
              </w:rPr>
              <w:t xml:space="preserve"> </w:t>
            </w:r>
            <w:r>
              <w:t>–</w:t>
            </w:r>
            <w:r>
              <w:rPr>
                <w:spacing w:val="-3"/>
              </w:rPr>
              <w:t xml:space="preserve"> </w:t>
            </w:r>
            <w:r>
              <w:t>PMPM</w:t>
            </w:r>
            <w:r>
              <w:rPr>
                <w:spacing w:val="-4"/>
              </w:rPr>
              <w:t xml:space="preserve"> </w:t>
            </w:r>
            <w:r>
              <w:t>Premium</w:t>
            </w:r>
            <w:r>
              <w:rPr>
                <w:spacing w:val="-3"/>
              </w:rPr>
              <w:t xml:space="preserve"> </w:t>
            </w:r>
            <w:r>
              <w:rPr>
                <w:spacing w:val="-2"/>
              </w:rPr>
              <w:t>Revenue</w:t>
            </w:r>
            <w:r>
              <w:tab/>
            </w:r>
            <w:r>
              <w:rPr>
                <w:spacing w:val="-5"/>
              </w:rPr>
              <w:t>31</w:t>
            </w:r>
          </w:hyperlink>
        </w:p>
        <w:p>
          <w:pPr>
            <w:pStyle w:val="TOC2"/>
            <w:tabs>
              <w:tab w:val="right" w:leader="dot" w:pos="9432"/>
            </w:tabs>
            <w:spacing w:before="1"/>
          </w:pPr>
          <w:hyperlink w:anchor="_bookmark30" w:history="1">
            <w:r>
              <w:t>Section</w:t>
            </w:r>
            <w:r>
              <w:rPr>
                <w:spacing w:val="-2"/>
              </w:rPr>
              <w:t xml:space="preserve"> </w:t>
            </w:r>
            <w:r>
              <w:t>VI</w:t>
            </w:r>
            <w:r>
              <w:rPr>
                <w:spacing w:val="-5"/>
              </w:rPr>
              <w:t xml:space="preserve"> </w:t>
            </w:r>
            <w:r>
              <w:t>–</w:t>
            </w:r>
            <w:r>
              <w:rPr>
                <w:spacing w:val="-2"/>
              </w:rPr>
              <w:t xml:space="preserve"> </w:t>
            </w:r>
            <w:r>
              <w:t>IRA</w:t>
            </w:r>
            <w:r>
              <w:rPr>
                <w:spacing w:val="-3"/>
              </w:rPr>
              <w:t xml:space="preserve"> </w:t>
            </w:r>
            <w:r>
              <w:t>Part</w:t>
            </w:r>
            <w:r>
              <w:rPr>
                <w:spacing w:val="-3"/>
              </w:rPr>
              <w:t xml:space="preserve"> </w:t>
            </w:r>
            <w:r>
              <w:t>D</w:t>
            </w:r>
            <w:r>
              <w:rPr>
                <w:spacing w:val="-4"/>
              </w:rPr>
              <w:t xml:space="preserve"> </w:t>
            </w:r>
            <w:r>
              <w:t>Drug</w:t>
            </w:r>
            <w:r>
              <w:rPr>
                <w:spacing w:val="-1"/>
              </w:rPr>
              <w:t xml:space="preserve"> </w:t>
            </w:r>
            <w:r>
              <w:rPr>
                <w:spacing w:val="-2"/>
              </w:rPr>
              <w:t>Experience</w:t>
            </w:r>
            <w:r>
              <w:tab/>
            </w:r>
            <w:r>
              <w:rPr>
                <w:spacing w:val="-5"/>
              </w:rPr>
              <w:t>32</w:t>
            </w:r>
          </w:hyperlink>
        </w:p>
        <w:p>
          <w:pPr>
            <w:pStyle w:val="TOC2"/>
            <w:tabs>
              <w:tab w:val="right" w:leader="dot" w:pos="9432"/>
            </w:tabs>
          </w:pPr>
          <w:hyperlink w:anchor="_bookmark31" w:history="1">
            <w:r>
              <w:t>Section</w:t>
            </w:r>
            <w:r>
              <w:rPr>
                <w:spacing w:val="-4"/>
              </w:rPr>
              <w:t xml:space="preserve"> </w:t>
            </w:r>
            <w:r>
              <w:t>VII</w:t>
            </w:r>
            <w:r>
              <w:rPr>
                <w:spacing w:val="-6"/>
              </w:rPr>
              <w:t xml:space="preserve"> </w:t>
            </w:r>
            <w:r>
              <w:t>–</w:t>
            </w:r>
            <w:r>
              <w:rPr>
                <w:spacing w:val="-3"/>
              </w:rPr>
              <w:t xml:space="preserve"> </w:t>
            </w:r>
            <w:r>
              <w:t>PMPM</w:t>
            </w:r>
            <w:r>
              <w:rPr>
                <w:spacing w:val="-4"/>
              </w:rPr>
              <w:t xml:space="preserve"> </w:t>
            </w:r>
            <w:r>
              <w:t>Income</w:t>
            </w:r>
            <w:r>
              <w:rPr>
                <w:spacing w:val="-3"/>
              </w:rPr>
              <w:t xml:space="preserve"> </w:t>
            </w:r>
            <w:r>
              <w:t>Statement</w:t>
            </w:r>
            <w:r>
              <w:rPr>
                <w:spacing w:val="-4"/>
              </w:rPr>
              <w:t xml:space="preserve"> </w:t>
            </w:r>
            <w:r>
              <w:rPr>
                <w:spacing w:val="-2"/>
              </w:rPr>
              <w:t>Summary</w:t>
            </w:r>
            <w:r>
              <w:tab/>
            </w:r>
            <w:r>
              <w:rPr>
                <w:spacing w:val="-5"/>
              </w:rPr>
              <w:t>32</w:t>
            </w:r>
          </w:hyperlink>
        </w:p>
        <w:p>
          <w:pPr>
            <w:pStyle w:val="TOC2"/>
            <w:tabs>
              <w:tab w:val="right" w:leader="dot" w:pos="9432"/>
            </w:tabs>
            <w:spacing w:before="1" w:line="240" w:lineRule="auto"/>
          </w:pPr>
          <w:hyperlink w:anchor="_bookmark32" w:history="1">
            <w:r>
              <w:t>Section</w:t>
            </w:r>
            <w:r>
              <w:rPr>
                <w:spacing w:val="-3"/>
              </w:rPr>
              <w:t xml:space="preserve"> </w:t>
            </w:r>
            <w:r>
              <w:t>VIII</w:t>
            </w:r>
            <w:r>
              <w:rPr>
                <w:spacing w:val="-4"/>
              </w:rPr>
              <w:t xml:space="preserve"> </w:t>
            </w:r>
            <w:r>
              <w:t>–</w:t>
            </w:r>
            <w:r>
              <w:rPr>
                <w:spacing w:val="-5"/>
              </w:rPr>
              <w:t xml:space="preserve"> </w:t>
            </w:r>
            <w:r>
              <w:t>DIR</w:t>
            </w:r>
            <w:r>
              <w:rPr>
                <w:spacing w:val="-3"/>
              </w:rPr>
              <w:t xml:space="preserve"> </w:t>
            </w:r>
            <w:r>
              <w:t>#10</w:t>
            </w:r>
            <w:r>
              <w:rPr>
                <w:spacing w:val="-2"/>
              </w:rPr>
              <w:t xml:space="preserve"> Experience</w:t>
            </w:r>
            <w:r>
              <w:tab/>
            </w:r>
            <w:r>
              <w:rPr>
                <w:spacing w:val="-5"/>
              </w:rPr>
              <w:t>32</w:t>
            </w:r>
          </w:hyperlink>
        </w:p>
        <w:p>
          <w:pPr>
            <w:pStyle w:val="TOC1"/>
            <w:tabs>
              <w:tab w:val="right" w:leader="dot" w:pos="9432"/>
            </w:tabs>
            <w:spacing w:line="241" w:lineRule="exact"/>
          </w:pPr>
          <w:hyperlink w:anchor="_bookmark33" w:history="1">
            <w:r>
              <w:t>PD</w:t>
            </w:r>
            <w:r>
              <w:rPr>
                <w:spacing w:val="-7"/>
              </w:rPr>
              <w:t xml:space="preserve"> </w:t>
            </w:r>
            <w:r>
              <w:t>Worksheet</w:t>
            </w:r>
            <w:r>
              <w:rPr>
                <w:spacing w:val="-5"/>
              </w:rPr>
              <w:t xml:space="preserve"> </w:t>
            </w:r>
            <w:r>
              <w:t>2</w:t>
            </w:r>
            <w:r>
              <w:rPr>
                <w:spacing w:val="-4"/>
              </w:rPr>
              <w:t xml:space="preserve"> </w:t>
            </w:r>
            <w:r>
              <w:t>–</w:t>
            </w:r>
            <w:r>
              <w:rPr>
                <w:spacing w:val="-7"/>
              </w:rPr>
              <w:t xml:space="preserve"> </w:t>
            </w:r>
            <w:r>
              <w:t>Rx</w:t>
            </w:r>
            <w:r>
              <w:rPr>
                <w:spacing w:val="-4"/>
              </w:rPr>
              <w:t xml:space="preserve"> </w:t>
            </w:r>
            <w:r>
              <w:t>PDP</w:t>
            </w:r>
            <w:r>
              <w:rPr>
                <w:spacing w:val="-4"/>
              </w:rPr>
              <w:t xml:space="preserve"> </w:t>
            </w:r>
            <w:r>
              <w:t>Projection</w:t>
            </w:r>
            <w:r>
              <w:rPr>
                <w:spacing w:val="-4"/>
              </w:rPr>
              <w:t xml:space="preserve"> </w:t>
            </w:r>
            <w:r>
              <w:t>of</w:t>
            </w:r>
            <w:r>
              <w:rPr>
                <w:spacing w:val="-4"/>
              </w:rPr>
              <w:t xml:space="preserve"> </w:t>
            </w:r>
            <w:r>
              <w:t>Allowed/Non-</w:t>
            </w:r>
            <w:r>
              <w:rPr>
                <w:spacing w:val="-2"/>
              </w:rPr>
              <w:t>Benefit</w:t>
            </w:r>
            <w:r>
              <w:tab/>
            </w:r>
            <w:r>
              <w:rPr>
                <w:spacing w:val="-5"/>
              </w:rPr>
              <w:t>33</w:t>
            </w:r>
          </w:hyperlink>
        </w:p>
        <w:p>
          <w:pPr>
            <w:pStyle w:val="TOC2"/>
            <w:tabs>
              <w:tab w:val="right" w:leader="dot" w:pos="9432"/>
            </w:tabs>
          </w:pPr>
          <w:hyperlink w:anchor="_bookmark34"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33</w:t>
            </w:r>
          </w:hyperlink>
        </w:p>
        <w:p>
          <w:pPr>
            <w:pStyle w:val="TOC2"/>
            <w:tabs>
              <w:tab w:val="right" w:leader="dot" w:pos="9432"/>
            </w:tabs>
            <w:spacing w:before="1"/>
          </w:pPr>
          <w:hyperlink w:anchor="_bookmark35" w:history="1">
            <w:r>
              <w:t>Section</w:t>
            </w:r>
            <w:r>
              <w:rPr>
                <w:spacing w:val="-3"/>
              </w:rPr>
              <w:t xml:space="preserve"> </w:t>
            </w:r>
            <w:r>
              <w:t>II</w:t>
            </w:r>
            <w:r>
              <w:rPr>
                <w:spacing w:val="-4"/>
              </w:rPr>
              <w:t xml:space="preserve"> </w:t>
            </w:r>
            <w:r>
              <w:t>–</w:t>
            </w:r>
            <w:r>
              <w:rPr>
                <w:spacing w:val="-6"/>
              </w:rPr>
              <w:t xml:space="preserve"> </w:t>
            </w:r>
            <w:r>
              <w:t>Utilization</w:t>
            </w:r>
            <w:r>
              <w:rPr>
                <w:spacing w:val="-3"/>
              </w:rPr>
              <w:t xml:space="preserve"> </w:t>
            </w:r>
            <w:r>
              <w:t>for</w:t>
            </w:r>
            <w:r>
              <w:rPr>
                <w:spacing w:val="-4"/>
              </w:rPr>
              <w:t xml:space="preserve"> </w:t>
            </w:r>
            <w:r>
              <w:t>Covered</w:t>
            </w:r>
            <w:r>
              <w:rPr>
                <w:spacing w:val="-3"/>
              </w:rPr>
              <w:t xml:space="preserve"> </w:t>
            </w:r>
            <w:r>
              <w:t>Part</w:t>
            </w:r>
            <w:r>
              <w:rPr>
                <w:spacing w:val="-3"/>
              </w:rPr>
              <w:t xml:space="preserve"> </w:t>
            </w:r>
            <w:r>
              <w:t>D</w:t>
            </w:r>
            <w:r>
              <w:rPr>
                <w:spacing w:val="-4"/>
              </w:rPr>
              <w:t xml:space="preserve"> </w:t>
            </w:r>
            <w:r>
              <w:rPr>
                <w:spacing w:val="-2"/>
              </w:rPr>
              <w:t>Drugs</w:t>
            </w:r>
            <w:r>
              <w:tab/>
            </w:r>
            <w:r>
              <w:rPr>
                <w:spacing w:val="-5"/>
              </w:rPr>
              <w:t>33</w:t>
            </w:r>
          </w:hyperlink>
        </w:p>
        <w:p>
          <w:pPr>
            <w:pStyle w:val="TOC2"/>
            <w:tabs>
              <w:tab w:val="right" w:leader="dot" w:pos="9432"/>
            </w:tabs>
          </w:pPr>
          <w:hyperlink w:anchor="_bookmark36" w:history="1">
            <w:r>
              <w:t>Section</w:t>
            </w:r>
            <w:r>
              <w:rPr>
                <w:spacing w:val="-3"/>
              </w:rPr>
              <w:t xml:space="preserve"> </w:t>
            </w:r>
            <w:r>
              <w:t>III</w:t>
            </w:r>
            <w:r>
              <w:rPr>
                <w:spacing w:val="-3"/>
              </w:rPr>
              <w:t xml:space="preserve"> </w:t>
            </w:r>
            <w:r>
              <w:t>–</w:t>
            </w:r>
            <w:r>
              <w:rPr>
                <w:spacing w:val="-2"/>
              </w:rPr>
              <w:t xml:space="preserve"> </w:t>
            </w:r>
            <w:r>
              <w:t>Cost</w:t>
            </w:r>
            <w:r>
              <w:rPr>
                <w:spacing w:val="-4"/>
              </w:rPr>
              <w:t xml:space="preserve"> </w:t>
            </w:r>
            <w:r>
              <w:t>for</w:t>
            </w:r>
            <w:r>
              <w:rPr>
                <w:spacing w:val="-3"/>
              </w:rPr>
              <w:t xml:space="preserve"> </w:t>
            </w:r>
            <w:r>
              <w:t>Covered</w:t>
            </w:r>
            <w:r>
              <w:rPr>
                <w:spacing w:val="-2"/>
              </w:rPr>
              <w:t xml:space="preserve"> </w:t>
            </w:r>
            <w:r>
              <w:t>Part</w:t>
            </w:r>
            <w:r>
              <w:rPr>
                <w:spacing w:val="-3"/>
              </w:rPr>
              <w:t xml:space="preserve"> </w:t>
            </w:r>
            <w:r>
              <w:t>D</w:t>
            </w:r>
            <w:r>
              <w:rPr>
                <w:spacing w:val="-4"/>
              </w:rPr>
              <w:t xml:space="preserve"> Drugs</w:t>
            </w:r>
            <w:r>
              <w:tab/>
            </w:r>
            <w:r>
              <w:rPr>
                <w:spacing w:val="-5"/>
              </w:rPr>
              <w:t>35</w:t>
            </w:r>
          </w:hyperlink>
        </w:p>
        <w:p>
          <w:pPr>
            <w:pStyle w:val="TOC2"/>
            <w:tabs>
              <w:tab w:val="right" w:leader="dot" w:pos="9432"/>
            </w:tabs>
            <w:spacing w:line="240" w:lineRule="auto"/>
          </w:pPr>
          <w:hyperlink w:anchor="_bookmark37" w:history="1">
            <w:r>
              <w:t>Section</w:t>
            </w:r>
            <w:r>
              <w:rPr>
                <w:spacing w:val="-6"/>
              </w:rPr>
              <w:t xml:space="preserve"> </w:t>
            </w:r>
            <w:r>
              <w:t>IV</w:t>
            </w:r>
            <w:r>
              <w:rPr>
                <w:spacing w:val="-5"/>
              </w:rPr>
              <w:t xml:space="preserve"> </w:t>
            </w:r>
            <w:r>
              <w:t>–</w:t>
            </w:r>
            <w:r>
              <w:rPr>
                <w:spacing w:val="-3"/>
              </w:rPr>
              <w:t xml:space="preserve"> </w:t>
            </w:r>
            <w:r>
              <w:t>Projected</w:t>
            </w:r>
            <w:r>
              <w:rPr>
                <w:spacing w:val="-6"/>
              </w:rPr>
              <w:t xml:space="preserve"> </w:t>
            </w:r>
            <w:r>
              <w:t>Allowed</w:t>
            </w:r>
            <w:r>
              <w:rPr>
                <w:spacing w:val="-6"/>
              </w:rPr>
              <w:t xml:space="preserve"> </w:t>
            </w:r>
            <w:r>
              <w:rPr>
                <w:spacing w:val="-4"/>
              </w:rPr>
              <w:t>PMPM</w:t>
            </w:r>
            <w:r>
              <w:tab/>
            </w:r>
            <w:r>
              <w:rPr>
                <w:spacing w:val="-5"/>
              </w:rPr>
              <w:t>35</w:t>
            </w:r>
          </w:hyperlink>
        </w:p>
        <w:p>
          <w:pPr>
            <w:pStyle w:val="TOC2"/>
            <w:tabs>
              <w:tab w:val="right" w:leader="dot" w:pos="9432"/>
            </w:tabs>
            <w:spacing w:before="1"/>
          </w:pPr>
          <w:hyperlink w:anchor="_bookmark38" w:history="1">
            <w:r>
              <w:t>Section</w:t>
            </w:r>
            <w:r>
              <w:rPr>
                <w:spacing w:val="-3"/>
              </w:rPr>
              <w:t xml:space="preserve"> </w:t>
            </w:r>
            <w:r>
              <w:t>V</w:t>
            </w:r>
            <w:r>
              <w:rPr>
                <w:spacing w:val="-5"/>
              </w:rPr>
              <w:t xml:space="preserve"> </w:t>
            </w:r>
            <w:r>
              <w:t>–</w:t>
            </w:r>
            <w:r>
              <w:rPr>
                <w:spacing w:val="-3"/>
              </w:rPr>
              <w:t xml:space="preserve"> </w:t>
            </w:r>
            <w:r>
              <w:t>PMPM</w:t>
            </w:r>
            <w:r>
              <w:rPr>
                <w:spacing w:val="-6"/>
              </w:rPr>
              <w:t xml:space="preserve"> </w:t>
            </w:r>
            <w:r>
              <w:t>Non-Benefit</w:t>
            </w:r>
            <w:r>
              <w:rPr>
                <w:spacing w:val="-3"/>
              </w:rPr>
              <w:t xml:space="preserve"> </w:t>
            </w:r>
            <w:r>
              <w:t>Expense</w:t>
            </w:r>
            <w:r>
              <w:rPr>
                <w:spacing w:val="-6"/>
              </w:rPr>
              <w:t xml:space="preserve"> </w:t>
            </w:r>
            <w:r>
              <w:t>and</w:t>
            </w:r>
            <w:r>
              <w:rPr>
                <w:spacing w:val="-6"/>
              </w:rPr>
              <w:t xml:space="preserve"> </w:t>
            </w:r>
            <w:r>
              <w:t>Gain/Loss</w:t>
            </w:r>
            <w:r>
              <w:rPr>
                <w:spacing w:val="-3"/>
              </w:rPr>
              <w:t xml:space="preserve"> </w:t>
            </w:r>
            <w:r>
              <w:rPr>
                <w:spacing w:val="-2"/>
              </w:rPr>
              <w:t>Margin</w:t>
            </w:r>
            <w:r>
              <w:tab/>
            </w:r>
            <w:r>
              <w:rPr>
                <w:spacing w:val="-5"/>
              </w:rPr>
              <w:t>36</w:t>
            </w:r>
          </w:hyperlink>
        </w:p>
        <w:p>
          <w:pPr>
            <w:pStyle w:val="TOC2"/>
            <w:tabs>
              <w:tab w:val="right" w:leader="dot" w:pos="9432"/>
            </w:tabs>
          </w:pPr>
          <w:hyperlink w:anchor="_bookmark39" w:history="1">
            <w:r>
              <w:t>Section</w:t>
            </w:r>
            <w:r>
              <w:rPr>
                <w:spacing w:val="-3"/>
              </w:rPr>
              <w:t xml:space="preserve"> </w:t>
            </w:r>
            <w:r>
              <w:t>VI</w:t>
            </w:r>
            <w:r>
              <w:rPr>
                <w:spacing w:val="-4"/>
              </w:rPr>
              <w:t xml:space="preserve"> </w:t>
            </w:r>
            <w:r>
              <w:t>–</w:t>
            </w:r>
            <w:r>
              <w:rPr>
                <w:spacing w:val="-3"/>
              </w:rPr>
              <w:t xml:space="preserve"> </w:t>
            </w:r>
            <w:r>
              <w:t>Percentage</w:t>
            </w:r>
            <w:r>
              <w:rPr>
                <w:spacing w:val="-2"/>
              </w:rPr>
              <w:t xml:space="preserve"> </w:t>
            </w:r>
            <w:r>
              <w:t>of</w:t>
            </w:r>
            <w:r>
              <w:rPr>
                <w:spacing w:val="-5"/>
              </w:rPr>
              <w:t xml:space="preserve"> </w:t>
            </w:r>
            <w:r>
              <w:rPr>
                <w:spacing w:val="-2"/>
              </w:rPr>
              <w:t>Revenue</w:t>
            </w:r>
            <w:r>
              <w:tab/>
            </w:r>
            <w:r>
              <w:rPr>
                <w:spacing w:val="-5"/>
              </w:rPr>
              <w:t>37</w:t>
            </w:r>
          </w:hyperlink>
        </w:p>
        <w:p>
          <w:pPr>
            <w:pStyle w:val="TOC2"/>
            <w:tabs>
              <w:tab w:val="right" w:leader="dot" w:pos="9432"/>
            </w:tabs>
            <w:spacing w:before="1" w:line="240" w:lineRule="auto"/>
          </w:pPr>
          <w:hyperlink w:anchor="_bookmark40" w:history="1">
            <w:r>
              <w:t>Section</w:t>
            </w:r>
            <w:r>
              <w:rPr>
                <w:spacing w:val="-5"/>
              </w:rPr>
              <w:t xml:space="preserve"> </w:t>
            </w:r>
            <w:r>
              <w:t>VII</w:t>
            </w:r>
            <w:r>
              <w:rPr>
                <w:spacing w:val="-5"/>
              </w:rPr>
              <w:t xml:space="preserve"> </w:t>
            </w:r>
            <w:r>
              <w:t>–</w:t>
            </w:r>
            <w:r>
              <w:rPr>
                <w:spacing w:val="-2"/>
              </w:rPr>
              <w:t xml:space="preserve"> </w:t>
            </w:r>
            <w:r>
              <w:t>Related</w:t>
            </w:r>
            <w:r>
              <w:rPr>
                <w:spacing w:val="-5"/>
              </w:rPr>
              <w:t xml:space="preserve"> </w:t>
            </w:r>
            <w:r>
              <w:rPr>
                <w:spacing w:val="-4"/>
              </w:rPr>
              <w:t>Party</w:t>
            </w:r>
            <w:r>
              <w:tab/>
            </w:r>
            <w:r>
              <w:rPr>
                <w:spacing w:val="-5"/>
              </w:rPr>
              <w:t>37</w:t>
            </w:r>
          </w:hyperlink>
        </w:p>
        <w:p>
          <w:pPr>
            <w:pStyle w:val="TOC2"/>
            <w:tabs>
              <w:tab w:val="right" w:leader="dot" w:pos="9432"/>
            </w:tabs>
            <w:spacing w:before="2"/>
          </w:pPr>
          <w:hyperlink w:anchor="_bookmark41" w:history="1">
            <w:r>
              <w:t>Section</w:t>
            </w:r>
            <w:r>
              <w:rPr>
                <w:spacing w:val="-3"/>
              </w:rPr>
              <w:t xml:space="preserve"> </w:t>
            </w:r>
            <w:r>
              <w:t>VIII</w:t>
            </w:r>
            <w:r>
              <w:rPr>
                <w:spacing w:val="-4"/>
              </w:rPr>
              <w:t xml:space="preserve"> </w:t>
            </w:r>
            <w:r>
              <w:t>–</w:t>
            </w:r>
            <w:r>
              <w:rPr>
                <w:spacing w:val="-5"/>
              </w:rPr>
              <w:t xml:space="preserve"> </w:t>
            </w:r>
            <w:r>
              <w:t>DIR</w:t>
            </w:r>
            <w:r>
              <w:rPr>
                <w:spacing w:val="-3"/>
              </w:rPr>
              <w:t xml:space="preserve"> </w:t>
            </w:r>
            <w:r>
              <w:t>#10</w:t>
            </w:r>
            <w:r>
              <w:rPr>
                <w:spacing w:val="-2"/>
              </w:rPr>
              <w:t xml:space="preserve"> Projection</w:t>
            </w:r>
            <w:r>
              <w:tab/>
            </w:r>
            <w:r>
              <w:rPr>
                <w:spacing w:val="-5"/>
              </w:rPr>
              <w:t>38</w:t>
            </w:r>
          </w:hyperlink>
        </w:p>
        <w:p>
          <w:pPr>
            <w:pStyle w:val="TOC1"/>
            <w:tabs>
              <w:tab w:val="right" w:leader="dot" w:pos="9432"/>
            </w:tabs>
            <w:spacing w:before="0" w:line="241" w:lineRule="exact"/>
          </w:pPr>
          <w:hyperlink w:anchor="_bookmark42" w:history="1">
            <w:r>
              <w:t>PD</w:t>
            </w:r>
            <w:r>
              <w:rPr>
                <w:spacing w:val="-6"/>
              </w:rPr>
              <w:t xml:space="preserve"> </w:t>
            </w:r>
            <w:r>
              <w:t>Worksheet</w:t>
            </w:r>
            <w:r>
              <w:rPr>
                <w:spacing w:val="-4"/>
              </w:rPr>
              <w:t xml:space="preserve"> </w:t>
            </w:r>
            <w:r>
              <w:t>3</w:t>
            </w:r>
            <w:r>
              <w:rPr>
                <w:spacing w:val="-3"/>
              </w:rPr>
              <w:t xml:space="preserve"> </w:t>
            </w:r>
            <w:r>
              <w:t>–</w:t>
            </w:r>
            <w:r>
              <w:rPr>
                <w:spacing w:val="-6"/>
              </w:rPr>
              <w:t xml:space="preserve"> </w:t>
            </w:r>
            <w:r>
              <w:t>Rx</w:t>
            </w:r>
            <w:r>
              <w:rPr>
                <w:spacing w:val="-6"/>
              </w:rPr>
              <w:t xml:space="preserve"> </w:t>
            </w:r>
            <w:r>
              <w:t>Contract</w:t>
            </w:r>
            <w:r>
              <w:rPr>
                <w:spacing w:val="-4"/>
              </w:rPr>
              <w:t xml:space="preserve"> </w:t>
            </w:r>
            <w:r>
              <w:t>Period</w:t>
            </w:r>
            <w:r>
              <w:rPr>
                <w:spacing w:val="-3"/>
              </w:rPr>
              <w:t xml:space="preserve"> </w:t>
            </w:r>
            <w:r>
              <w:t>Projection</w:t>
            </w:r>
            <w:r>
              <w:rPr>
                <w:spacing w:val="-3"/>
              </w:rPr>
              <w:t xml:space="preserve"> </w:t>
            </w:r>
            <w:r>
              <w:t>for</w:t>
            </w:r>
            <w:r>
              <w:rPr>
                <w:spacing w:val="-6"/>
              </w:rPr>
              <w:t xml:space="preserve"> </w:t>
            </w:r>
            <w:r>
              <w:t>Defined</w:t>
            </w:r>
            <w:r>
              <w:rPr>
                <w:spacing w:val="-3"/>
              </w:rPr>
              <w:t xml:space="preserve"> </w:t>
            </w:r>
            <w:r>
              <w:t>Standard</w:t>
            </w:r>
            <w:r>
              <w:rPr>
                <w:spacing w:val="-5"/>
              </w:rPr>
              <w:t xml:space="preserve"> </w:t>
            </w:r>
            <w:r>
              <w:rPr>
                <w:spacing w:val="-2"/>
              </w:rPr>
              <w:t>Coverage</w:t>
            </w:r>
            <w:r>
              <w:tab/>
            </w:r>
            <w:r>
              <w:rPr>
                <w:spacing w:val="-5"/>
              </w:rPr>
              <w:t>39</w:t>
            </w:r>
          </w:hyperlink>
        </w:p>
        <w:p>
          <w:pPr>
            <w:pStyle w:val="TOC2"/>
            <w:tabs>
              <w:tab w:val="right" w:leader="dot" w:pos="9432"/>
            </w:tabs>
            <w:spacing w:before="1"/>
          </w:pPr>
          <w:hyperlink w:anchor="_bookmark43"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39</w:t>
            </w:r>
          </w:hyperlink>
        </w:p>
        <w:p>
          <w:pPr>
            <w:pStyle w:val="TOC2"/>
            <w:tabs>
              <w:tab w:val="right" w:leader="dot" w:pos="9432"/>
            </w:tabs>
          </w:pPr>
          <w:hyperlink w:anchor="_bookmark44" w:history="1">
            <w:r>
              <w:t>Section</w:t>
            </w:r>
            <w:r>
              <w:rPr>
                <w:spacing w:val="-5"/>
              </w:rPr>
              <w:t xml:space="preserve"> </w:t>
            </w:r>
            <w:r>
              <w:t>II</w:t>
            </w:r>
            <w:r>
              <w:rPr>
                <w:spacing w:val="-4"/>
              </w:rPr>
              <w:t xml:space="preserve"> </w:t>
            </w:r>
            <w:r>
              <w:t>–</w:t>
            </w:r>
            <w:r>
              <w:rPr>
                <w:spacing w:val="-3"/>
              </w:rPr>
              <w:t xml:space="preserve"> </w:t>
            </w:r>
            <w:r>
              <w:t>Projection</w:t>
            </w:r>
            <w:r>
              <w:rPr>
                <w:spacing w:val="-5"/>
              </w:rPr>
              <w:t xml:space="preserve"> </w:t>
            </w:r>
            <w:r>
              <w:rPr>
                <w:spacing w:val="-4"/>
              </w:rPr>
              <w:t>Data</w:t>
            </w:r>
            <w:r>
              <w:tab/>
            </w:r>
            <w:r>
              <w:rPr>
                <w:spacing w:val="-5"/>
              </w:rPr>
              <w:t>39</w:t>
            </w:r>
          </w:hyperlink>
        </w:p>
        <w:p>
          <w:pPr>
            <w:pStyle w:val="TOC2"/>
            <w:tabs>
              <w:tab w:val="right" w:leader="dot" w:pos="9432"/>
            </w:tabs>
            <w:spacing w:before="1" w:line="240" w:lineRule="auto"/>
          </w:pPr>
          <w:hyperlink w:anchor="_bookmark45" w:history="1">
            <w:r>
              <w:t>Section</w:t>
            </w:r>
            <w:r>
              <w:rPr>
                <w:spacing w:val="-2"/>
              </w:rPr>
              <w:t xml:space="preserve"> </w:t>
            </w:r>
            <w:r>
              <w:t>III</w:t>
            </w:r>
            <w:r>
              <w:rPr>
                <w:spacing w:val="-3"/>
              </w:rPr>
              <w:t xml:space="preserve"> </w:t>
            </w:r>
            <w:r>
              <w:t>–</w:t>
            </w:r>
            <w:r>
              <w:rPr>
                <w:spacing w:val="-1"/>
              </w:rPr>
              <w:t xml:space="preserve"> </w:t>
            </w:r>
            <w:r>
              <w:t>Part</w:t>
            </w:r>
            <w:r>
              <w:rPr>
                <w:spacing w:val="-6"/>
              </w:rPr>
              <w:t xml:space="preserve"> </w:t>
            </w:r>
            <w:r>
              <w:t>D Covered</w:t>
            </w:r>
            <w:r>
              <w:rPr>
                <w:spacing w:val="-5"/>
              </w:rPr>
              <w:t xml:space="preserve"> </w:t>
            </w:r>
            <w:r>
              <w:t>Drug</w:t>
            </w:r>
            <w:r>
              <w:rPr>
                <w:spacing w:val="-4"/>
              </w:rPr>
              <w:t xml:space="preserve"> </w:t>
            </w:r>
            <w:r>
              <w:rPr>
                <w:spacing w:val="-2"/>
              </w:rPr>
              <w:t>Claims</w:t>
            </w:r>
            <w:r>
              <w:tab/>
            </w:r>
            <w:r>
              <w:rPr>
                <w:spacing w:val="-5"/>
              </w:rPr>
              <w:t>39</w:t>
            </w:r>
          </w:hyperlink>
        </w:p>
        <w:p>
          <w:pPr>
            <w:pStyle w:val="TOC2"/>
            <w:tabs>
              <w:tab w:val="right" w:leader="dot" w:pos="9432"/>
            </w:tabs>
            <w:spacing w:before="1"/>
          </w:pPr>
          <w:hyperlink w:anchor="_bookmark46" w:history="1">
            <w:r>
              <w:t>Section</w:t>
            </w:r>
            <w:r>
              <w:rPr>
                <w:spacing w:val="-2"/>
              </w:rPr>
              <w:t xml:space="preserve"> </w:t>
            </w:r>
            <w:r>
              <w:t>IV</w:t>
            </w:r>
            <w:r>
              <w:rPr>
                <w:spacing w:val="-4"/>
              </w:rPr>
              <w:t xml:space="preserve"> </w:t>
            </w:r>
            <w:r>
              <w:t>–</w:t>
            </w:r>
            <w:r>
              <w:rPr>
                <w:spacing w:val="-2"/>
              </w:rPr>
              <w:t xml:space="preserve"> </w:t>
            </w:r>
            <w:r>
              <w:t>IRA</w:t>
            </w:r>
            <w:r>
              <w:rPr>
                <w:spacing w:val="-4"/>
              </w:rPr>
              <w:t xml:space="preserve"> </w:t>
            </w:r>
            <w:r>
              <w:t>Part</w:t>
            </w:r>
            <w:r>
              <w:rPr>
                <w:spacing w:val="-3"/>
              </w:rPr>
              <w:t xml:space="preserve"> </w:t>
            </w:r>
            <w:r>
              <w:t>D</w:t>
            </w:r>
            <w:r>
              <w:rPr>
                <w:spacing w:val="-4"/>
              </w:rPr>
              <w:t xml:space="preserve"> </w:t>
            </w:r>
            <w:r>
              <w:t>Drug</w:t>
            </w:r>
            <w:r>
              <w:rPr>
                <w:spacing w:val="-1"/>
              </w:rPr>
              <w:t xml:space="preserve"> </w:t>
            </w:r>
            <w:r>
              <w:rPr>
                <w:spacing w:val="-2"/>
              </w:rPr>
              <w:t>Projection</w:t>
            </w:r>
            <w:r>
              <w:tab/>
            </w:r>
            <w:r>
              <w:rPr>
                <w:spacing w:val="-5"/>
              </w:rPr>
              <w:t>42</w:t>
            </w:r>
          </w:hyperlink>
        </w:p>
        <w:p>
          <w:pPr>
            <w:pStyle w:val="TOC2"/>
            <w:tabs>
              <w:tab w:val="right" w:leader="dot" w:pos="9432"/>
            </w:tabs>
          </w:pPr>
          <w:hyperlink w:anchor="_bookmark47" w:history="1">
            <w:r>
              <w:t>Section</w:t>
            </w:r>
            <w:r>
              <w:rPr>
                <w:spacing w:val="-3"/>
              </w:rPr>
              <w:t xml:space="preserve"> </w:t>
            </w:r>
            <w:r>
              <w:t>V</w:t>
            </w:r>
            <w:r>
              <w:rPr>
                <w:spacing w:val="-5"/>
              </w:rPr>
              <w:t xml:space="preserve"> </w:t>
            </w:r>
            <w:r>
              <w:t>–</w:t>
            </w:r>
            <w:r>
              <w:rPr>
                <w:spacing w:val="-5"/>
              </w:rPr>
              <w:t xml:space="preserve"> </w:t>
            </w:r>
            <w:r>
              <w:t>Defined</w:t>
            </w:r>
            <w:r>
              <w:rPr>
                <w:spacing w:val="-6"/>
              </w:rPr>
              <w:t xml:space="preserve"> </w:t>
            </w:r>
            <w:r>
              <w:t>Standard</w:t>
            </w:r>
            <w:r>
              <w:rPr>
                <w:spacing w:val="-2"/>
              </w:rPr>
              <w:t xml:space="preserve"> </w:t>
            </w:r>
            <w:r>
              <w:t>Coverage</w:t>
            </w:r>
            <w:r>
              <w:rPr>
                <w:spacing w:val="-6"/>
              </w:rPr>
              <w:t xml:space="preserve"> </w:t>
            </w:r>
            <w:r>
              <w:t>Bid</w:t>
            </w:r>
            <w:r>
              <w:rPr>
                <w:spacing w:val="-5"/>
              </w:rPr>
              <w:t xml:space="preserve"> </w:t>
            </w:r>
            <w:r>
              <w:rPr>
                <w:spacing w:val="-2"/>
              </w:rPr>
              <w:t>Development</w:t>
            </w:r>
            <w:r>
              <w:tab/>
            </w:r>
            <w:r>
              <w:rPr>
                <w:spacing w:val="-5"/>
              </w:rPr>
              <w:t>42</w:t>
            </w:r>
          </w:hyperlink>
        </w:p>
        <w:p>
          <w:pPr>
            <w:pStyle w:val="TOC1"/>
            <w:tabs>
              <w:tab w:val="right" w:leader="dot" w:pos="9432"/>
            </w:tabs>
            <w:spacing w:before="0" w:line="241" w:lineRule="exact"/>
          </w:pPr>
          <w:hyperlink w:anchor="_bookmark48" w:history="1">
            <w:r>
              <w:t>PD</w:t>
            </w:r>
            <w:r>
              <w:rPr>
                <w:spacing w:val="-7"/>
              </w:rPr>
              <w:t xml:space="preserve"> </w:t>
            </w:r>
            <w:r>
              <w:t>Worksheet</w:t>
            </w:r>
            <w:r>
              <w:rPr>
                <w:spacing w:val="-4"/>
              </w:rPr>
              <w:t xml:space="preserve"> </w:t>
            </w:r>
            <w:r>
              <w:t>4</w:t>
            </w:r>
            <w:r>
              <w:rPr>
                <w:spacing w:val="-3"/>
              </w:rPr>
              <w:t xml:space="preserve"> </w:t>
            </w:r>
            <w:r>
              <w:t>–</w:t>
            </w:r>
            <w:r>
              <w:rPr>
                <w:spacing w:val="-6"/>
              </w:rPr>
              <w:t xml:space="preserve"> </w:t>
            </w:r>
            <w:r>
              <w:t>Rx</w:t>
            </w:r>
            <w:r>
              <w:rPr>
                <w:spacing w:val="-3"/>
              </w:rPr>
              <w:t xml:space="preserve"> </w:t>
            </w:r>
            <w:r>
              <w:t>Standard</w:t>
            </w:r>
            <w:r>
              <w:rPr>
                <w:spacing w:val="-4"/>
              </w:rPr>
              <w:t xml:space="preserve"> </w:t>
            </w:r>
            <w:r>
              <w:t>Coverage</w:t>
            </w:r>
            <w:r>
              <w:rPr>
                <w:spacing w:val="-6"/>
              </w:rPr>
              <w:t xml:space="preserve"> </w:t>
            </w:r>
            <w:r>
              <w:t>with</w:t>
            </w:r>
            <w:r>
              <w:rPr>
                <w:spacing w:val="-6"/>
              </w:rPr>
              <w:t xml:space="preserve"> </w:t>
            </w:r>
            <w:r>
              <w:t>Actuarially</w:t>
            </w:r>
            <w:r>
              <w:rPr>
                <w:spacing w:val="-3"/>
              </w:rPr>
              <w:t xml:space="preserve"> </w:t>
            </w:r>
            <w:r>
              <w:t>Equivalent</w:t>
            </w:r>
            <w:r>
              <w:rPr>
                <w:spacing w:val="-4"/>
              </w:rPr>
              <w:t xml:space="preserve"> </w:t>
            </w:r>
            <w:r>
              <w:t>Cost</w:t>
            </w:r>
            <w:r>
              <w:rPr>
                <w:spacing w:val="-5"/>
              </w:rPr>
              <w:t xml:space="preserve"> </w:t>
            </w:r>
            <w:r>
              <w:rPr>
                <w:spacing w:val="-2"/>
              </w:rPr>
              <w:t>Sharing</w:t>
            </w:r>
            <w:r>
              <w:tab/>
            </w:r>
            <w:r>
              <w:rPr>
                <w:spacing w:val="-5"/>
              </w:rPr>
              <w:t>43</w:t>
            </w:r>
          </w:hyperlink>
        </w:p>
        <w:p>
          <w:pPr>
            <w:pStyle w:val="TOC2"/>
            <w:tabs>
              <w:tab w:val="right" w:leader="dot" w:pos="9432"/>
            </w:tabs>
          </w:pPr>
          <w:hyperlink w:anchor="_bookmark49" w:history="1">
            <w:r>
              <w:t>Considerations</w:t>
            </w:r>
            <w:r>
              <w:rPr>
                <w:spacing w:val="-6"/>
              </w:rPr>
              <w:t xml:space="preserve"> </w:t>
            </w:r>
            <w:r>
              <w:t>for</w:t>
            </w:r>
            <w:r>
              <w:rPr>
                <w:spacing w:val="-9"/>
              </w:rPr>
              <w:t xml:space="preserve"> </w:t>
            </w:r>
            <w:r>
              <w:t>Actuarially</w:t>
            </w:r>
            <w:r>
              <w:rPr>
                <w:spacing w:val="-6"/>
              </w:rPr>
              <w:t xml:space="preserve"> </w:t>
            </w:r>
            <w:r>
              <w:t>Equivalent</w:t>
            </w:r>
            <w:r>
              <w:rPr>
                <w:spacing w:val="-6"/>
              </w:rPr>
              <w:t xml:space="preserve"> </w:t>
            </w:r>
            <w:r>
              <w:rPr>
                <w:spacing w:val="-2"/>
              </w:rPr>
              <w:t>Coverage</w:t>
            </w:r>
            <w:r>
              <w:tab/>
            </w:r>
            <w:r>
              <w:rPr>
                <w:spacing w:val="-5"/>
              </w:rPr>
              <w:t>43</w:t>
            </w:r>
          </w:hyperlink>
        </w:p>
        <w:p>
          <w:pPr>
            <w:pStyle w:val="TOC2"/>
            <w:tabs>
              <w:tab w:val="right" w:leader="dot" w:pos="9432"/>
            </w:tabs>
            <w:spacing w:before="1" w:after="20" w:line="240" w:lineRule="auto"/>
          </w:pPr>
          <w:hyperlink w:anchor="_bookmark50"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43</w:t>
            </w:r>
          </w:hyperlink>
        </w:p>
        <w:p>
          <w:pPr>
            <w:pStyle w:val="TOC2"/>
            <w:tabs>
              <w:tab w:val="left" w:leader="dot" w:pos="9221"/>
            </w:tabs>
            <w:spacing w:before="81"/>
          </w:pPr>
          <w:hyperlink w:anchor="_bookmark51" w:history="1">
            <w:r>
              <w:t>Section</w:t>
            </w:r>
            <w:r>
              <w:rPr>
                <w:spacing w:val="-5"/>
              </w:rPr>
              <w:t xml:space="preserve"> </w:t>
            </w:r>
            <w:r>
              <w:t>II</w:t>
            </w:r>
            <w:r>
              <w:rPr>
                <w:spacing w:val="-4"/>
              </w:rPr>
              <w:t xml:space="preserve"> </w:t>
            </w:r>
            <w:r>
              <w:t>–</w:t>
            </w:r>
            <w:r>
              <w:rPr>
                <w:spacing w:val="-3"/>
              </w:rPr>
              <w:t xml:space="preserve"> </w:t>
            </w:r>
            <w:r>
              <w:t>Projection</w:t>
            </w:r>
            <w:r>
              <w:rPr>
                <w:spacing w:val="-5"/>
              </w:rPr>
              <w:t xml:space="preserve"> </w:t>
            </w:r>
            <w:r>
              <w:rPr>
                <w:spacing w:val="-4"/>
              </w:rPr>
              <w:t>Data</w:t>
            </w:r>
            <w:r>
              <w:tab/>
            </w:r>
            <w:r>
              <w:rPr>
                <w:spacing w:val="-5"/>
              </w:rPr>
              <w:t>43</w:t>
            </w:r>
          </w:hyperlink>
        </w:p>
        <w:p>
          <w:pPr>
            <w:pStyle w:val="TOC2"/>
            <w:tabs>
              <w:tab w:val="left" w:leader="dot" w:pos="9221"/>
            </w:tabs>
          </w:pPr>
          <w:hyperlink w:anchor="_bookmark52" w:history="1">
            <w:r>
              <w:t>Section</w:t>
            </w:r>
            <w:r>
              <w:rPr>
                <w:spacing w:val="-4"/>
              </w:rPr>
              <w:t xml:space="preserve"> </w:t>
            </w:r>
            <w:r>
              <w:t>III</w:t>
            </w:r>
            <w:r>
              <w:rPr>
                <w:spacing w:val="-4"/>
              </w:rPr>
              <w:t xml:space="preserve"> </w:t>
            </w:r>
            <w:r>
              <w:t>–</w:t>
            </w:r>
            <w:r>
              <w:rPr>
                <w:spacing w:val="-6"/>
              </w:rPr>
              <w:t xml:space="preserve"> </w:t>
            </w:r>
            <w:r>
              <w:t>Development</w:t>
            </w:r>
            <w:r>
              <w:rPr>
                <w:spacing w:val="-4"/>
              </w:rPr>
              <w:t xml:space="preserve"> </w:t>
            </w:r>
            <w:r>
              <w:t>of</w:t>
            </w:r>
            <w:r>
              <w:rPr>
                <w:spacing w:val="-4"/>
              </w:rPr>
              <w:t xml:space="preserve"> </w:t>
            </w:r>
            <w:r>
              <w:t>Bid</w:t>
            </w:r>
            <w:r>
              <w:rPr>
                <w:spacing w:val="-3"/>
              </w:rPr>
              <w:t xml:space="preserve"> </w:t>
            </w:r>
            <w:r>
              <w:t>for</w:t>
            </w:r>
            <w:r>
              <w:rPr>
                <w:spacing w:val="-6"/>
              </w:rPr>
              <w:t xml:space="preserve"> </w:t>
            </w:r>
            <w:r>
              <w:t>Defined</w:t>
            </w:r>
            <w:r>
              <w:rPr>
                <w:spacing w:val="-3"/>
              </w:rPr>
              <w:t xml:space="preserve"> </w:t>
            </w:r>
            <w:r>
              <w:t>Standard</w:t>
            </w:r>
            <w:r>
              <w:rPr>
                <w:spacing w:val="-6"/>
              </w:rPr>
              <w:t xml:space="preserve"> </w:t>
            </w:r>
            <w:r>
              <w:rPr>
                <w:spacing w:val="-2"/>
              </w:rPr>
              <w:t>Coverage</w:t>
            </w:r>
            <w:r>
              <w:tab/>
            </w:r>
            <w:r>
              <w:rPr>
                <w:spacing w:val="-5"/>
              </w:rPr>
              <w:t>43</w:t>
            </w:r>
          </w:hyperlink>
        </w:p>
        <w:p>
          <w:pPr>
            <w:pStyle w:val="TOC2"/>
            <w:tabs>
              <w:tab w:val="left" w:leader="dot" w:pos="9221"/>
            </w:tabs>
            <w:spacing w:before="1"/>
          </w:pPr>
          <w:hyperlink w:anchor="_bookmark53" w:history="1">
            <w:r>
              <w:t>Section</w:t>
            </w:r>
            <w:r>
              <w:rPr>
                <w:spacing w:val="-6"/>
              </w:rPr>
              <w:t xml:space="preserve"> </w:t>
            </w:r>
            <w:r>
              <w:t>IV</w:t>
            </w:r>
            <w:r>
              <w:rPr>
                <w:spacing w:val="-5"/>
              </w:rPr>
              <w:t xml:space="preserve"> </w:t>
            </w:r>
            <w:r>
              <w:t>–</w:t>
            </w:r>
            <w:r>
              <w:rPr>
                <w:spacing w:val="-5"/>
              </w:rPr>
              <w:t xml:space="preserve"> </w:t>
            </w:r>
            <w:r>
              <w:t>Development</w:t>
            </w:r>
            <w:r>
              <w:rPr>
                <w:spacing w:val="-4"/>
              </w:rPr>
              <w:t xml:space="preserve"> </w:t>
            </w:r>
            <w:r>
              <w:t>of</w:t>
            </w:r>
            <w:r>
              <w:rPr>
                <w:spacing w:val="-4"/>
              </w:rPr>
              <w:t xml:space="preserve"> </w:t>
            </w:r>
            <w:r>
              <w:t>Bid</w:t>
            </w:r>
            <w:r>
              <w:rPr>
                <w:spacing w:val="-3"/>
              </w:rPr>
              <w:t xml:space="preserve"> </w:t>
            </w:r>
            <w:r>
              <w:t>Components</w:t>
            </w:r>
            <w:r>
              <w:rPr>
                <w:spacing w:val="-4"/>
              </w:rPr>
              <w:t xml:space="preserve"> </w:t>
            </w:r>
            <w:r>
              <w:t>and</w:t>
            </w:r>
            <w:r>
              <w:rPr>
                <w:spacing w:val="-5"/>
              </w:rPr>
              <w:t xml:space="preserve"> </w:t>
            </w:r>
            <w:r>
              <w:t>Test</w:t>
            </w:r>
            <w:r>
              <w:rPr>
                <w:spacing w:val="-4"/>
              </w:rPr>
              <w:t xml:space="preserve"> </w:t>
            </w:r>
            <w:r>
              <w:t>for</w:t>
            </w:r>
            <w:r>
              <w:rPr>
                <w:spacing w:val="-4"/>
              </w:rPr>
              <w:t xml:space="preserve"> </w:t>
            </w:r>
            <w:r>
              <w:t>Actuarial</w:t>
            </w:r>
            <w:r>
              <w:rPr>
                <w:spacing w:val="-4"/>
              </w:rPr>
              <w:t xml:space="preserve"> </w:t>
            </w:r>
            <w:r>
              <w:rPr>
                <w:spacing w:val="-2"/>
              </w:rPr>
              <w:t>Equivalence</w:t>
            </w:r>
            <w:r>
              <w:tab/>
            </w:r>
            <w:r>
              <w:rPr>
                <w:spacing w:val="-5"/>
              </w:rPr>
              <w:t>43</w:t>
            </w:r>
          </w:hyperlink>
        </w:p>
        <w:p>
          <w:pPr>
            <w:pStyle w:val="TOC2"/>
            <w:tabs>
              <w:tab w:val="left" w:leader="dot" w:pos="9221"/>
            </w:tabs>
          </w:pPr>
          <w:hyperlink w:anchor="_bookmark54" w:history="1">
            <w:r>
              <w:t>Section</w:t>
            </w:r>
            <w:r>
              <w:rPr>
                <w:spacing w:val="-6"/>
              </w:rPr>
              <w:t xml:space="preserve"> </w:t>
            </w:r>
            <w:r>
              <w:t>V</w:t>
            </w:r>
            <w:r>
              <w:rPr>
                <w:spacing w:val="-6"/>
              </w:rPr>
              <w:t xml:space="preserve"> </w:t>
            </w:r>
            <w:r>
              <w:t>–</w:t>
            </w:r>
            <w:r>
              <w:rPr>
                <w:spacing w:val="-4"/>
              </w:rPr>
              <w:t xml:space="preserve"> </w:t>
            </w:r>
            <w:r>
              <w:t>Standard</w:t>
            </w:r>
            <w:r>
              <w:rPr>
                <w:spacing w:val="-6"/>
              </w:rPr>
              <w:t xml:space="preserve"> </w:t>
            </w:r>
            <w:r>
              <w:t>Coverage</w:t>
            </w:r>
            <w:r>
              <w:rPr>
                <w:spacing w:val="-4"/>
              </w:rPr>
              <w:t xml:space="preserve"> </w:t>
            </w:r>
            <w:r>
              <w:t>Bid</w:t>
            </w:r>
            <w:r>
              <w:rPr>
                <w:spacing w:val="-6"/>
              </w:rPr>
              <w:t xml:space="preserve"> </w:t>
            </w:r>
            <w:r>
              <w:t>Development</w:t>
            </w:r>
            <w:r>
              <w:rPr>
                <w:spacing w:val="-8"/>
              </w:rPr>
              <w:t xml:space="preserve"> </w:t>
            </w:r>
            <w:r>
              <w:t>with</w:t>
            </w:r>
            <w:r>
              <w:rPr>
                <w:spacing w:val="-4"/>
              </w:rPr>
              <w:t xml:space="preserve"> </w:t>
            </w:r>
            <w:r>
              <w:t>Actuarially</w:t>
            </w:r>
            <w:r>
              <w:rPr>
                <w:spacing w:val="-3"/>
              </w:rPr>
              <w:t xml:space="preserve"> </w:t>
            </w:r>
            <w:r>
              <w:t>Equivalent</w:t>
            </w:r>
            <w:r>
              <w:rPr>
                <w:spacing w:val="-5"/>
              </w:rPr>
              <w:t xml:space="preserve"> </w:t>
            </w:r>
            <w:r>
              <w:t>Cost</w:t>
            </w:r>
            <w:r>
              <w:rPr>
                <w:spacing w:val="-5"/>
              </w:rPr>
              <w:t xml:space="preserve"> </w:t>
            </w:r>
            <w:r>
              <w:rPr>
                <w:spacing w:val="-2"/>
              </w:rPr>
              <w:t>Sharing</w:t>
            </w:r>
            <w:r>
              <w:tab/>
            </w:r>
            <w:r>
              <w:rPr>
                <w:spacing w:val="-5"/>
              </w:rPr>
              <w:t>44</w:t>
            </w:r>
          </w:hyperlink>
        </w:p>
        <w:p>
          <w:pPr>
            <w:pStyle w:val="TOC1"/>
            <w:tabs>
              <w:tab w:val="left" w:leader="dot" w:pos="9221"/>
            </w:tabs>
          </w:pPr>
          <w:hyperlink w:anchor="_bookmark55" w:history="1">
            <w:r>
              <w:t>PD</w:t>
            </w:r>
            <w:r>
              <w:rPr>
                <w:spacing w:val="-4"/>
              </w:rPr>
              <w:t xml:space="preserve"> </w:t>
            </w:r>
            <w:r>
              <w:t>Worksheet</w:t>
            </w:r>
            <w:r>
              <w:rPr>
                <w:spacing w:val="-4"/>
              </w:rPr>
              <w:t xml:space="preserve"> </w:t>
            </w:r>
            <w:r>
              <w:t>5</w:t>
            </w:r>
            <w:r>
              <w:rPr>
                <w:spacing w:val="-3"/>
              </w:rPr>
              <w:t xml:space="preserve"> </w:t>
            </w:r>
            <w:r>
              <w:t>–</w:t>
            </w:r>
            <w:r>
              <w:rPr>
                <w:spacing w:val="-6"/>
              </w:rPr>
              <w:t xml:space="preserve"> </w:t>
            </w:r>
            <w:r>
              <w:t>Rx</w:t>
            </w:r>
            <w:r>
              <w:rPr>
                <w:spacing w:val="-6"/>
              </w:rPr>
              <w:t xml:space="preserve"> </w:t>
            </w:r>
            <w:r>
              <w:t>Alternative</w:t>
            </w:r>
            <w:r>
              <w:rPr>
                <w:spacing w:val="-2"/>
              </w:rPr>
              <w:t xml:space="preserve"> Coverage</w:t>
            </w:r>
            <w:r>
              <w:tab/>
            </w:r>
            <w:r>
              <w:rPr>
                <w:spacing w:val="-5"/>
              </w:rPr>
              <w:t>45</w:t>
            </w:r>
          </w:hyperlink>
        </w:p>
        <w:p>
          <w:pPr>
            <w:pStyle w:val="TOC2"/>
            <w:tabs>
              <w:tab w:val="left" w:leader="dot" w:pos="9221"/>
            </w:tabs>
            <w:spacing w:before="1"/>
          </w:pPr>
          <w:hyperlink w:anchor="_bookmark56" w:history="1">
            <w:r>
              <w:t>Considerations</w:t>
            </w:r>
            <w:r>
              <w:rPr>
                <w:spacing w:val="-7"/>
              </w:rPr>
              <w:t xml:space="preserve"> </w:t>
            </w:r>
            <w:r>
              <w:t>for</w:t>
            </w:r>
            <w:r>
              <w:rPr>
                <w:spacing w:val="-8"/>
              </w:rPr>
              <w:t xml:space="preserve"> </w:t>
            </w:r>
            <w:r>
              <w:t>Basic</w:t>
            </w:r>
            <w:r>
              <w:rPr>
                <w:spacing w:val="-8"/>
              </w:rPr>
              <w:t xml:space="preserve"> </w:t>
            </w:r>
            <w:r>
              <w:t>Alternative</w:t>
            </w:r>
            <w:r>
              <w:rPr>
                <w:spacing w:val="-4"/>
              </w:rPr>
              <w:t xml:space="preserve"> </w:t>
            </w:r>
            <w:r>
              <w:t>and</w:t>
            </w:r>
            <w:r>
              <w:rPr>
                <w:spacing w:val="-8"/>
              </w:rPr>
              <w:t xml:space="preserve"> </w:t>
            </w:r>
            <w:r>
              <w:t>Enhanced</w:t>
            </w:r>
            <w:r>
              <w:rPr>
                <w:spacing w:val="-8"/>
              </w:rPr>
              <w:t xml:space="preserve"> </w:t>
            </w:r>
            <w:r>
              <w:t>Alternative</w:t>
            </w:r>
            <w:r>
              <w:rPr>
                <w:spacing w:val="-4"/>
              </w:rPr>
              <w:t xml:space="preserve"> </w:t>
            </w:r>
            <w:r>
              <w:rPr>
                <w:spacing w:val="-2"/>
              </w:rPr>
              <w:t>Coverage</w:t>
            </w:r>
            <w:r>
              <w:tab/>
            </w:r>
            <w:r>
              <w:rPr>
                <w:spacing w:val="-5"/>
              </w:rPr>
              <w:t>45</w:t>
            </w:r>
          </w:hyperlink>
        </w:p>
        <w:p>
          <w:pPr>
            <w:pStyle w:val="TOC2"/>
            <w:tabs>
              <w:tab w:val="left" w:leader="dot" w:pos="9221"/>
            </w:tabs>
          </w:pPr>
          <w:hyperlink w:anchor="_bookmark57"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45</w:t>
            </w:r>
          </w:hyperlink>
        </w:p>
        <w:p>
          <w:pPr>
            <w:pStyle w:val="TOC2"/>
            <w:tabs>
              <w:tab w:val="left" w:leader="dot" w:pos="9221"/>
            </w:tabs>
            <w:spacing w:before="1" w:line="240" w:lineRule="auto"/>
          </w:pPr>
          <w:hyperlink w:anchor="_bookmark58" w:history="1">
            <w:r>
              <w:t>Section</w:t>
            </w:r>
            <w:r>
              <w:rPr>
                <w:spacing w:val="-5"/>
              </w:rPr>
              <w:t xml:space="preserve"> </w:t>
            </w:r>
            <w:r>
              <w:t>II</w:t>
            </w:r>
            <w:r>
              <w:rPr>
                <w:spacing w:val="-4"/>
              </w:rPr>
              <w:t xml:space="preserve"> </w:t>
            </w:r>
            <w:r>
              <w:t>–</w:t>
            </w:r>
            <w:r>
              <w:rPr>
                <w:spacing w:val="-3"/>
              </w:rPr>
              <w:t xml:space="preserve"> </w:t>
            </w:r>
            <w:r>
              <w:t>Projection</w:t>
            </w:r>
            <w:r>
              <w:rPr>
                <w:spacing w:val="-5"/>
              </w:rPr>
              <w:t xml:space="preserve"> </w:t>
            </w:r>
            <w:r>
              <w:rPr>
                <w:spacing w:val="-4"/>
              </w:rPr>
              <w:t>Data</w:t>
            </w:r>
            <w:r>
              <w:tab/>
            </w:r>
            <w:r>
              <w:rPr>
                <w:spacing w:val="-5"/>
              </w:rPr>
              <w:t>45</w:t>
            </w:r>
          </w:hyperlink>
        </w:p>
        <w:p>
          <w:pPr>
            <w:pStyle w:val="TOC2"/>
            <w:tabs>
              <w:tab w:val="left" w:leader="dot" w:pos="9221"/>
            </w:tabs>
          </w:pPr>
          <w:hyperlink w:anchor="_bookmark59" w:history="1">
            <w:r>
              <w:t>Section</w:t>
            </w:r>
            <w:r>
              <w:rPr>
                <w:spacing w:val="-4"/>
              </w:rPr>
              <w:t xml:space="preserve"> </w:t>
            </w:r>
            <w:r>
              <w:t>III</w:t>
            </w:r>
            <w:r>
              <w:rPr>
                <w:spacing w:val="-4"/>
              </w:rPr>
              <w:t xml:space="preserve"> </w:t>
            </w:r>
            <w:r>
              <w:t>–</w:t>
            </w:r>
            <w:r>
              <w:rPr>
                <w:spacing w:val="-6"/>
              </w:rPr>
              <w:t xml:space="preserve"> </w:t>
            </w:r>
            <w:r>
              <w:t>Development</w:t>
            </w:r>
            <w:r>
              <w:rPr>
                <w:spacing w:val="-4"/>
              </w:rPr>
              <w:t xml:space="preserve"> </w:t>
            </w:r>
            <w:r>
              <w:t>of</w:t>
            </w:r>
            <w:r>
              <w:rPr>
                <w:spacing w:val="-4"/>
              </w:rPr>
              <w:t xml:space="preserve"> </w:t>
            </w:r>
            <w:r>
              <w:t>Bid</w:t>
            </w:r>
            <w:r>
              <w:rPr>
                <w:spacing w:val="-3"/>
              </w:rPr>
              <w:t xml:space="preserve"> </w:t>
            </w:r>
            <w:r>
              <w:t>for</w:t>
            </w:r>
            <w:r>
              <w:rPr>
                <w:spacing w:val="-6"/>
              </w:rPr>
              <w:t xml:space="preserve"> </w:t>
            </w:r>
            <w:r>
              <w:t>Defined</w:t>
            </w:r>
            <w:r>
              <w:rPr>
                <w:spacing w:val="-3"/>
              </w:rPr>
              <w:t xml:space="preserve"> </w:t>
            </w:r>
            <w:r>
              <w:t>Standard</w:t>
            </w:r>
            <w:r>
              <w:rPr>
                <w:spacing w:val="-6"/>
              </w:rPr>
              <w:t xml:space="preserve"> </w:t>
            </w:r>
            <w:r>
              <w:rPr>
                <w:spacing w:val="-2"/>
              </w:rPr>
              <w:t>Coverage</w:t>
            </w:r>
            <w:r>
              <w:tab/>
            </w:r>
            <w:r>
              <w:rPr>
                <w:spacing w:val="-5"/>
              </w:rPr>
              <w:t>45</w:t>
            </w:r>
          </w:hyperlink>
        </w:p>
        <w:p>
          <w:pPr>
            <w:pStyle w:val="TOC2"/>
            <w:tabs>
              <w:tab w:val="left" w:leader="dot" w:pos="9221"/>
            </w:tabs>
          </w:pPr>
          <w:hyperlink w:anchor="_bookmark60" w:history="1">
            <w:r>
              <w:t>Section</w:t>
            </w:r>
            <w:r>
              <w:rPr>
                <w:spacing w:val="-3"/>
              </w:rPr>
              <w:t xml:space="preserve"> </w:t>
            </w:r>
            <w:r>
              <w:t>IV</w:t>
            </w:r>
            <w:r>
              <w:rPr>
                <w:spacing w:val="-5"/>
              </w:rPr>
              <w:t xml:space="preserve"> </w:t>
            </w:r>
            <w:r>
              <w:t>–</w:t>
            </w:r>
            <w:r>
              <w:rPr>
                <w:spacing w:val="-6"/>
              </w:rPr>
              <w:t xml:space="preserve"> </w:t>
            </w:r>
            <w:r>
              <w:t>Development</w:t>
            </w:r>
            <w:r>
              <w:rPr>
                <w:spacing w:val="-4"/>
              </w:rPr>
              <w:t xml:space="preserve"> </w:t>
            </w:r>
            <w:r>
              <w:t>of</w:t>
            </w:r>
            <w:r>
              <w:rPr>
                <w:spacing w:val="-4"/>
              </w:rPr>
              <w:t xml:space="preserve"> </w:t>
            </w:r>
            <w:r>
              <w:t>Bid</w:t>
            </w:r>
            <w:r>
              <w:rPr>
                <w:spacing w:val="-2"/>
              </w:rPr>
              <w:t xml:space="preserve"> Components</w:t>
            </w:r>
            <w:r>
              <w:tab/>
            </w:r>
            <w:r>
              <w:rPr>
                <w:spacing w:val="-5"/>
              </w:rPr>
              <w:t>46</w:t>
            </w:r>
          </w:hyperlink>
        </w:p>
        <w:p>
          <w:pPr>
            <w:pStyle w:val="TOC2"/>
            <w:tabs>
              <w:tab w:val="left" w:leader="dot" w:pos="9221"/>
            </w:tabs>
            <w:spacing w:before="1"/>
          </w:pPr>
          <w:hyperlink w:anchor="_bookmark61" w:history="1">
            <w:r>
              <w:t>Section</w:t>
            </w:r>
            <w:r>
              <w:rPr>
                <w:spacing w:val="-4"/>
              </w:rPr>
              <w:t xml:space="preserve"> </w:t>
            </w:r>
            <w:r>
              <w:t>V</w:t>
            </w:r>
            <w:r>
              <w:rPr>
                <w:spacing w:val="-5"/>
              </w:rPr>
              <w:t xml:space="preserve"> </w:t>
            </w:r>
            <w:r>
              <w:t>–</w:t>
            </w:r>
            <w:r>
              <w:rPr>
                <w:spacing w:val="-6"/>
              </w:rPr>
              <w:t xml:space="preserve"> </w:t>
            </w:r>
            <w:r>
              <w:t>Development</w:t>
            </w:r>
            <w:r>
              <w:rPr>
                <w:spacing w:val="-4"/>
              </w:rPr>
              <w:t xml:space="preserve"> </w:t>
            </w:r>
            <w:r>
              <w:t>of</w:t>
            </w:r>
            <w:r>
              <w:rPr>
                <w:spacing w:val="-6"/>
              </w:rPr>
              <w:t xml:space="preserve"> </w:t>
            </w:r>
            <w:r>
              <w:t>Actuarial</w:t>
            </w:r>
            <w:r>
              <w:rPr>
                <w:spacing w:val="-4"/>
              </w:rPr>
              <w:t xml:space="preserve"> </w:t>
            </w:r>
            <w:r>
              <w:t>Equivalence</w:t>
            </w:r>
            <w:r>
              <w:rPr>
                <w:spacing w:val="-5"/>
              </w:rPr>
              <w:t xml:space="preserve"> </w:t>
            </w:r>
            <w:r>
              <w:rPr>
                <w:spacing w:val="-4"/>
              </w:rPr>
              <w:t>Test</w:t>
            </w:r>
            <w:r>
              <w:tab/>
            </w:r>
            <w:r>
              <w:rPr>
                <w:spacing w:val="-5"/>
              </w:rPr>
              <w:t>47</w:t>
            </w:r>
          </w:hyperlink>
        </w:p>
        <w:p>
          <w:pPr>
            <w:pStyle w:val="TOC2"/>
            <w:tabs>
              <w:tab w:val="left" w:leader="dot" w:pos="9221"/>
            </w:tabs>
          </w:pPr>
          <w:hyperlink w:anchor="_bookmark62" w:history="1">
            <w:r>
              <w:t>Section</w:t>
            </w:r>
            <w:r>
              <w:rPr>
                <w:spacing w:val="-4"/>
              </w:rPr>
              <w:t xml:space="preserve"> </w:t>
            </w:r>
            <w:r>
              <w:t>VI</w:t>
            </w:r>
            <w:r>
              <w:rPr>
                <w:spacing w:val="-7"/>
              </w:rPr>
              <w:t xml:space="preserve"> </w:t>
            </w:r>
            <w:r>
              <w:t>–</w:t>
            </w:r>
            <w:r>
              <w:rPr>
                <w:spacing w:val="-4"/>
              </w:rPr>
              <w:t xml:space="preserve"> </w:t>
            </w:r>
            <w:r>
              <w:t>Tests</w:t>
            </w:r>
            <w:r>
              <w:rPr>
                <w:spacing w:val="-4"/>
              </w:rPr>
              <w:t xml:space="preserve"> </w:t>
            </w:r>
            <w:r>
              <w:t>for</w:t>
            </w:r>
            <w:r>
              <w:rPr>
                <w:spacing w:val="-5"/>
              </w:rPr>
              <w:t xml:space="preserve"> </w:t>
            </w:r>
            <w:r>
              <w:t>Alternative</w:t>
            </w:r>
            <w:r>
              <w:rPr>
                <w:spacing w:val="-3"/>
              </w:rPr>
              <w:t xml:space="preserve"> </w:t>
            </w:r>
            <w:r>
              <w:rPr>
                <w:spacing w:val="-2"/>
              </w:rPr>
              <w:t>Coverage</w:t>
            </w:r>
            <w:r>
              <w:tab/>
            </w:r>
            <w:r>
              <w:rPr>
                <w:spacing w:val="-5"/>
              </w:rPr>
              <w:t>47</w:t>
            </w:r>
          </w:hyperlink>
        </w:p>
        <w:p>
          <w:pPr>
            <w:pStyle w:val="TOC2"/>
            <w:tabs>
              <w:tab w:val="left" w:leader="dot" w:pos="9221"/>
            </w:tabs>
            <w:spacing w:before="1" w:line="240" w:lineRule="auto"/>
          </w:pPr>
          <w:hyperlink w:anchor="_bookmark63" w:history="1">
            <w:r>
              <w:t>Section</w:t>
            </w:r>
            <w:r>
              <w:rPr>
                <w:spacing w:val="-4"/>
              </w:rPr>
              <w:t xml:space="preserve"> </w:t>
            </w:r>
            <w:r>
              <w:t>VII</w:t>
            </w:r>
            <w:r>
              <w:rPr>
                <w:spacing w:val="-6"/>
              </w:rPr>
              <w:t xml:space="preserve"> </w:t>
            </w:r>
            <w:r>
              <w:t>–</w:t>
            </w:r>
            <w:r>
              <w:rPr>
                <w:spacing w:val="-3"/>
              </w:rPr>
              <w:t xml:space="preserve"> </w:t>
            </w:r>
            <w:r>
              <w:t>Development</w:t>
            </w:r>
            <w:r>
              <w:rPr>
                <w:spacing w:val="-4"/>
              </w:rPr>
              <w:t xml:space="preserve"> </w:t>
            </w:r>
            <w:r>
              <w:t>of</w:t>
            </w:r>
            <w:r>
              <w:rPr>
                <w:spacing w:val="-4"/>
              </w:rPr>
              <w:t xml:space="preserve"> </w:t>
            </w:r>
            <w:r>
              <w:t>Supplemental</w:t>
            </w:r>
            <w:r>
              <w:rPr>
                <w:spacing w:val="-4"/>
              </w:rPr>
              <w:t xml:space="preserve"> </w:t>
            </w:r>
            <w:r>
              <w:rPr>
                <w:spacing w:val="-2"/>
              </w:rPr>
              <w:t>Premium</w:t>
            </w:r>
            <w:r>
              <w:tab/>
            </w:r>
            <w:r>
              <w:rPr>
                <w:spacing w:val="-5"/>
              </w:rPr>
              <w:t>47</w:t>
            </w:r>
          </w:hyperlink>
        </w:p>
        <w:p>
          <w:pPr>
            <w:pStyle w:val="TOC2"/>
            <w:tabs>
              <w:tab w:val="left" w:leader="dot" w:pos="9221"/>
            </w:tabs>
            <w:spacing w:before="1"/>
          </w:pPr>
          <w:hyperlink w:anchor="_bookmark64" w:history="1">
            <w:r>
              <w:t>Section</w:t>
            </w:r>
            <w:r>
              <w:rPr>
                <w:spacing w:val="-4"/>
              </w:rPr>
              <w:t xml:space="preserve"> </w:t>
            </w:r>
            <w:r>
              <w:t>VIII</w:t>
            </w:r>
            <w:r>
              <w:rPr>
                <w:spacing w:val="-5"/>
              </w:rPr>
              <w:t xml:space="preserve"> </w:t>
            </w:r>
            <w:r>
              <w:t>–</w:t>
            </w:r>
            <w:r>
              <w:rPr>
                <w:spacing w:val="-7"/>
              </w:rPr>
              <w:t xml:space="preserve"> </w:t>
            </w:r>
            <w:r>
              <w:t>Development</w:t>
            </w:r>
            <w:r>
              <w:rPr>
                <w:spacing w:val="-7"/>
              </w:rPr>
              <w:t xml:space="preserve"> </w:t>
            </w:r>
            <w:r>
              <w:t>of</w:t>
            </w:r>
            <w:r>
              <w:rPr>
                <w:spacing w:val="-5"/>
              </w:rPr>
              <w:t xml:space="preserve"> </w:t>
            </w:r>
            <w:r>
              <w:t>Induced</w:t>
            </w:r>
            <w:r>
              <w:rPr>
                <w:spacing w:val="-7"/>
              </w:rPr>
              <w:t xml:space="preserve"> </w:t>
            </w:r>
            <w:r>
              <w:t>Utilization</w:t>
            </w:r>
            <w:r>
              <w:rPr>
                <w:spacing w:val="-3"/>
              </w:rPr>
              <w:t xml:space="preserve"> </w:t>
            </w:r>
            <w:r>
              <w:rPr>
                <w:spacing w:val="-2"/>
              </w:rPr>
              <w:t>Adjustment</w:t>
            </w:r>
            <w:r>
              <w:tab/>
            </w:r>
            <w:r>
              <w:rPr>
                <w:spacing w:val="-5"/>
              </w:rPr>
              <w:t>47</w:t>
            </w:r>
          </w:hyperlink>
        </w:p>
        <w:p>
          <w:pPr>
            <w:pStyle w:val="TOC1"/>
            <w:tabs>
              <w:tab w:val="left" w:leader="dot" w:pos="9221"/>
            </w:tabs>
            <w:spacing w:before="0"/>
            <w:ind w:left="656" w:right="445" w:hanging="432"/>
          </w:pPr>
          <w:hyperlink w:anchor="_bookmark65" w:history="1">
            <w:r>
              <w:t>PD Worksheet 6 – Rx Script Projections for Defined Standard, Actuarially Equivalent or Alternative</w:t>
            </w:r>
          </w:hyperlink>
          <w:r>
            <w:t xml:space="preserve"> </w:t>
          </w:r>
          <w:hyperlink w:anchor="_bookmark65" w:history="1">
            <w:r>
              <w:rPr>
                <w:spacing w:val="-2"/>
              </w:rPr>
              <w:t>Coverage</w:t>
            </w:r>
            <w:r>
              <w:tab/>
            </w:r>
            <w:r>
              <w:rPr>
                <w:spacing w:val="-5"/>
              </w:rPr>
              <w:t>48</w:t>
            </w:r>
          </w:hyperlink>
        </w:p>
        <w:p>
          <w:pPr>
            <w:pStyle w:val="TOC2"/>
            <w:tabs>
              <w:tab w:val="left" w:leader="dot" w:pos="9221"/>
            </w:tabs>
            <w:spacing w:line="240" w:lineRule="auto"/>
          </w:pPr>
          <w:hyperlink w:anchor="_bookmark66" w:history="1">
            <w:r>
              <w:rPr>
                <w:spacing w:val="-2"/>
              </w:rPr>
              <w:t>Considerations</w:t>
            </w:r>
            <w:r>
              <w:tab/>
            </w:r>
            <w:r>
              <w:rPr>
                <w:spacing w:val="-5"/>
              </w:rPr>
              <w:t>48</w:t>
            </w:r>
          </w:hyperlink>
        </w:p>
        <w:p>
          <w:pPr>
            <w:pStyle w:val="TOC2"/>
            <w:tabs>
              <w:tab w:val="left" w:leader="dot" w:pos="9221"/>
            </w:tabs>
            <w:spacing w:line="240" w:lineRule="auto"/>
          </w:pPr>
          <w:hyperlink w:anchor="_bookmark67"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48</w:t>
            </w:r>
          </w:hyperlink>
        </w:p>
        <w:p>
          <w:pPr>
            <w:pStyle w:val="TOC2"/>
            <w:tabs>
              <w:tab w:val="left" w:leader="dot" w:pos="9221"/>
            </w:tabs>
            <w:spacing w:before="1"/>
          </w:pPr>
          <w:hyperlink w:anchor="_bookmark68" w:history="1">
            <w:r>
              <w:t>Section</w:t>
            </w:r>
            <w:r>
              <w:rPr>
                <w:spacing w:val="-4"/>
              </w:rPr>
              <w:t xml:space="preserve"> </w:t>
            </w:r>
            <w:r>
              <w:t>II</w:t>
            </w:r>
            <w:r>
              <w:rPr>
                <w:spacing w:val="-4"/>
              </w:rPr>
              <w:t xml:space="preserve"> </w:t>
            </w:r>
            <w:r>
              <w:t>–</w:t>
            </w:r>
            <w:r>
              <w:rPr>
                <w:spacing w:val="-3"/>
              </w:rPr>
              <w:t xml:space="preserve"> </w:t>
            </w:r>
            <w:r>
              <w:t>Projections</w:t>
            </w:r>
            <w:r>
              <w:rPr>
                <w:spacing w:val="-3"/>
              </w:rPr>
              <w:t xml:space="preserve"> </w:t>
            </w:r>
            <w:r>
              <w:t>for</w:t>
            </w:r>
            <w:r>
              <w:rPr>
                <w:spacing w:val="-6"/>
              </w:rPr>
              <w:t xml:space="preserve"> </w:t>
            </w:r>
            <w:r>
              <w:t>Equivalence</w:t>
            </w:r>
            <w:r>
              <w:rPr>
                <w:spacing w:val="-6"/>
              </w:rPr>
              <w:t xml:space="preserve"> </w:t>
            </w:r>
            <w:r>
              <w:rPr>
                <w:spacing w:val="-2"/>
              </w:rPr>
              <w:t>Tests</w:t>
            </w:r>
            <w:r>
              <w:tab/>
            </w:r>
            <w:r>
              <w:rPr>
                <w:spacing w:val="-5"/>
              </w:rPr>
              <w:t>48</w:t>
            </w:r>
          </w:hyperlink>
        </w:p>
        <w:p>
          <w:pPr>
            <w:pStyle w:val="TOC1"/>
            <w:tabs>
              <w:tab w:val="left" w:leader="dot" w:pos="9221"/>
            </w:tabs>
            <w:spacing w:before="0" w:line="241" w:lineRule="exact"/>
          </w:pPr>
          <w:hyperlink w:anchor="_bookmark69" w:history="1">
            <w:r>
              <w:t>PD</w:t>
            </w:r>
            <w:r>
              <w:rPr>
                <w:spacing w:val="-4"/>
              </w:rPr>
              <w:t xml:space="preserve"> </w:t>
            </w:r>
            <w:r>
              <w:t>Worksheet</w:t>
            </w:r>
            <w:r>
              <w:rPr>
                <w:spacing w:val="-3"/>
              </w:rPr>
              <w:t xml:space="preserve"> </w:t>
            </w:r>
            <w:r>
              <w:t>7</w:t>
            </w:r>
            <w:r>
              <w:rPr>
                <w:spacing w:val="-2"/>
              </w:rPr>
              <w:t xml:space="preserve"> </w:t>
            </w:r>
            <w:r>
              <w:t>–</w:t>
            </w:r>
            <w:r>
              <w:rPr>
                <w:spacing w:val="-3"/>
              </w:rPr>
              <w:t xml:space="preserve"> </w:t>
            </w:r>
            <w:r>
              <w:t>Summary</w:t>
            </w:r>
            <w:r>
              <w:rPr>
                <w:spacing w:val="-5"/>
              </w:rPr>
              <w:t xml:space="preserve"> </w:t>
            </w:r>
            <w:r>
              <w:t>of</w:t>
            </w:r>
            <w:r>
              <w:rPr>
                <w:spacing w:val="-3"/>
              </w:rPr>
              <w:t xml:space="preserve"> </w:t>
            </w:r>
            <w:r>
              <w:t>Key</w:t>
            </w:r>
            <w:r>
              <w:rPr>
                <w:spacing w:val="-2"/>
              </w:rPr>
              <w:t xml:space="preserve"> </w:t>
            </w:r>
            <w:r>
              <w:t>Bid</w:t>
            </w:r>
            <w:r>
              <w:rPr>
                <w:spacing w:val="-5"/>
              </w:rPr>
              <w:t xml:space="preserve"> </w:t>
            </w:r>
            <w:r>
              <w:rPr>
                <w:spacing w:val="-2"/>
              </w:rPr>
              <w:t>Elements</w:t>
            </w:r>
            <w:r>
              <w:tab/>
            </w:r>
            <w:r>
              <w:rPr>
                <w:spacing w:val="-5"/>
              </w:rPr>
              <w:t>53</w:t>
            </w:r>
          </w:hyperlink>
        </w:p>
        <w:p>
          <w:pPr>
            <w:pStyle w:val="TOC2"/>
            <w:tabs>
              <w:tab w:val="left" w:leader="dot" w:pos="9221"/>
            </w:tabs>
            <w:spacing w:before="1" w:line="240" w:lineRule="auto"/>
          </w:pPr>
          <w:hyperlink w:anchor="_bookmark70" w:history="1">
            <w:r>
              <w:t>Section</w:t>
            </w:r>
            <w:r>
              <w:rPr>
                <w:spacing w:val="-2"/>
              </w:rPr>
              <w:t xml:space="preserve"> </w:t>
            </w:r>
            <w:r>
              <w:t>I</w:t>
            </w:r>
            <w:r>
              <w:rPr>
                <w:spacing w:val="-3"/>
              </w:rPr>
              <w:t xml:space="preserve"> </w:t>
            </w:r>
            <w:r>
              <w:t>–</w:t>
            </w:r>
            <w:r>
              <w:rPr>
                <w:spacing w:val="-4"/>
              </w:rPr>
              <w:t xml:space="preserve"> </w:t>
            </w:r>
            <w:r>
              <w:t>General</w:t>
            </w:r>
            <w:r>
              <w:rPr>
                <w:spacing w:val="-2"/>
              </w:rPr>
              <w:t xml:space="preserve"> Information</w:t>
            </w:r>
            <w:r>
              <w:tab/>
            </w:r>
            <w:r>
              <w:rPr>
                <w:spacing w:val="-5"/>
              </w:rPr>
              <w:t>53</w:t>
            </w:r>
          </w:hyperlink>
        </w:p>
        <w:p>
          <w:pPr>
            <w:pStyle w:val="TOC2"/>
            <w:tabs>
              <w:tab w:val="left" w:leader="dot" w:pos="9221"/>
            </w:tabs>
            <w:spacing w:before="1"/>
          </w:pPr>
          <w:hyperlink w:anchor="_bookmark71" w:history="1">
            <w:r>
              <w:t>Section</w:t>
            </w:r>
            <w:r>
              <w:rPr>
                <w:spacing w:val="-3"/>
              </w:rPr>
              <w:t xml:space="preserve"> </w:t>
            </w:r>
            <w:r>
              <w:t>II</w:t>
            </w:r>
            <w:r>
              <w:rPr>
                <w:spacing w:val="-4"/>
              </w:rPr>
              <w:t xml:space="preserve"> </w:t>
            </w:r>
            <w:r>
              <w:t>–</w:t>
            </w:r>
            <w:r>
              <w:rPr>
                <w:spacing w:val="-2"/>
              </w:rPr>
              <w:t xml:space="preserve"> </w:t>
            </w:r>
            <w:r>
              <w:t>2026</w:t>
            </w:r>
            <w:r>
              <w:rPr>
                <w:spacing w:val="-6"/>
              </w:rPr>
              <w:t xml:space="preserve"> </w:t>
            </w:r>
            <w:r>
              <w:t>Defined</w:t>
            </w:r>
            <w:r>
              <w:rPr>
                <w:spacing w:val="-5"/>
              </w:rPr>
              <w:t xml:space="preserve"> </w:t>
            </w:r>
            <w:r>
              <w:t>Standard</w:t>
            </w:r>
            <w:r>
              <w:rPr>
                <w:spacing w:val="-6"/>
              </w:rPr>
              <w:t xml:space="preserve"> </w:t>
            </w:r>
            <w:r>
              <w:t>Benefit</w:t>
            </w:r>
            <w:r>
              <w:rPr>
                <w:spacing w:val="-3"/>
              </w:rPr>
              <w:t xml:space="preserve"> </w:t>
            </w:r>
            <w:r>
              <w:rPr>
                <w:spacing w:val="-2"/>
              </w:rPr>
              <w:t>Parameters</w:t>
            </w:r>
            <w:r>
              <w:tab/>
            </w:r>
            <w:r>
              <w:rPr>
                <w:spacing w:val="-5"/>
              </w:rPr>
              <w:t>53</w:t>
            </w:r>
          </w:hyperlink>
        </w:p>
        <w:p>
          <w:pPr>
            <w:pStyle w:val="TOC2"/>
            <w:tabs>
              <w:tab w:val="left" w:leader="dot" w:pos="9221"/>
            </w:tabs>
          </w:pPr>
          <w:hyperlink w:anchor="_bookmark72" w:history="1">
            <w:r>
              <w:t>Section</w:t>
            </w:r>
            <w:r>
              <w:rPr>
                <w:spacing w:val="-3"/>
              </w:rPr>
              <w:t xml:space="preserve"> </w:t>
            </w:r>
            <w:r>
              <w:t>III</w:t>
            </w:r>
            <w:r>
              <w:rPr>
                <w:spacing w:val="-3"/>
              </w:rPr>
              <w:t xml:space="preserve"> </w:t>
            </w:r>
            <w:r>
              <w:t>–</w:t>
            </w:r>
            <w:r>
              <w:rPr>
                <w:spacing w:val="-2"/>
              </w:rPr>
              <w:t xml:space="preserve"> </w:t>
            </w:r>
            <w:r>
              <w:t>Summary</w:t>
            </w:r>
            <w:r>
              <w:rPr>
                <w:spacing w:val="-5"/>
              </w:rPr>
              <w:t xml:space="preserve"> </w:t>
            </w:r>
            <w:r>
              <w:t>of</w:t>
            </w:r>
            <w:r>
              <w:rPr>
                <w:spacing w:val="-5"/>
              </w:rPr>
              <w:t xml:space="preserve"> </w:t>
            </w:r>
            <w:r>
              <w:t>Key</w:t>
            </w:r>
            <w:r>
              <w:rPr>
                <w:spacing w:val="-2"/>
              </w:rPr>
              <w:t xml:space="preserve"> </w:t>
            </w:r>
            <w:r>
              <w:t>Bid</w:t>
            </w:r>
            <w:r>
              <w:rPr>
                <w:spacing w:val="-5"/>
              </w:rPr>
              <w:t xml:space="preserve"> </w:t>
            </w:r>
            <w:r>
              <w:rPr>
                <w:spacing w:val="-2"/>
              </w:rPr>
              <w:t>Elements</w:t>
            </w:r>
            <w:r>
              <w:tab/>
            </w:r>
            <w:r>
              <w:rPr>
                <w:spacing w:val="-5"/>
              </w:rPr>
              <w:t>53</w:t>
            </w:r>
          </w:hyperlink>
        </w:p>
        <w:p>
          <w:pPr>
            <w:pStyle w:val="TOC2"/>
            <w:tabs>
              <w:tab w:val="left" w:leader="dot" w:pos="9221"/>
            </w:tabs>
            <w:spacing w:before="1"/>
          </w:pPr>
          <w:hyperlink w:anchor="_bookmark73" w:history="1">
            <w:r>
              <w:t>Section</w:t>
            </w:r>
            <w:r>
              <w:rPr>
                <w:spacing w:val="-3"/>
              </w:rPr>
              <w:t xml:space="preserve"> </w:t>
            </w:r>
            <w:r>
              <w:t>IV</w:t>
            </w:r>
            <w:r>
              <w:rPr>
                <w:spacing w:val="-4"/>
              </w:rPr>
              <w:t xml:space="preserve"> </w:t>
            </w:r>
            <w:r>
              <w:t>–</w:t>
            </w:r>
            <w:r>
              <w:rPr>
                <w:spacing w:val="-2"/>
              </w:rPr>
              <w:t xml:space="preserve"> </w:t>
            </w:r>
            <w:r>
              <w:t>Part</w:t>
            </w:r>
            <w:r>
              <w:rPr>
                <w:spacing w:val="-7"/>
              </w:rPr>
              <w:t xml:space="preserve"> </w:t>
            </w:r>
            <w:r>
              <w:t>D</w:t>
            </w:r>
            <w:r>
              <w:rPr>
                <w:spacing w:val="-4"/>
              </w:rPr>
              <w:t xml:space="preserve"> </w:t>
            </w:r>
            <w:r>
              <w:t>Bid</w:t>
            </w:r>
            <w:r>
              <w:rPr>
                <w:spacing w:val="-2"/>
              </w:rPr>
              <w:t xml:space="preserve"> </w:t>
            </w:r>
            <w:r>
              <w:t>Pricing</w:t>
            </w:r>
            <w:r>
              <w:rPr>
                <w:spacing w:val="-3"/>
              </w:rPr>
              <w:t xml:space="preserve"> </w:t>
            </w:r>
            <w:r>
              <w:t>Tool</w:t>
            </w:r>
            <w:r>
              <w:rPr>
                <w:spacing w:val="-5"/>
              </w:rPr>
              <w:t xml:space="preserve"> </w:t>
            </w:r>
            <w:r>
              <w:t>Contacts</w:t>
            </w:r>
            <w:r>
              <w:rPr>
                <w:spacing w:val="-2"/>
              </w:rPr>
              <w:t xml:space="preserve"> </w:t>
            </w:r>
            <w:r>
              <w:t>and</w:t>
            </w:r>
            <w:r>
              <w:rPr>
                <w:spacing w:val="-5"/>
              </w:rPr>
              <w:t xml:space="preserve"> </w:t>
            </w:r>
            <w:r>
              <w:t>Date</w:t>
            </w:r>
            <w:r>
              <w:rPr>
                <w:spacing w:val="-5"/>
              </w:rPr>
              <w:t xml:space="preserve"> </w:t>
            </w:r>
            <w:r>
              <w:rPr>
                <w:spacing w:val="-2"/>
              </w:rPr>
              <w:t>Prepared</w:t>
            </w:r>
            <w:r>
              <w:tab/>
            </w:r>
            <w:r>
              <w:rPr>
                <w:spacing w:val="-5"/>
              </w:rPr>
              <w:t>55</w:t>
            </w:r>
          </w:hyperlink>
        </w:p>
        <w:p>
          <w:pPr>
            <w:pStyle w:val="TOC2"/>
            <w:tabs>
              <w:tab w:val="left" w:leader="dot" w:pos="9221"/>
            </w:tabs>
          </w:pPr>
          <w:hyperlink w:anchor="_bookmark74" w:history="1">
            <w:r>
              <w:t>Section</w:t>
            </w:r>
            <w:r>
              <w:rPr>
                <w:spacing w:val="-3"/>
              </w:rPr>
              <w:t xml:space="preserve"> </w:t>
            </w:r>
            <w:r>
              <w:t>V</w:t>
            </w:r>
            <w:r>
              <w:rPr>
                <w:spacing w:val="-4"/>
              </w:rPr>
              <w:t xml:space="preserve"> </w:t>
            </w:r>
            <w:r>
              <w:t>–</w:t>
            </w:r>
            <w:r>
              <w:rPr>
                <w:spacing w:val="-2"/>
              </w:rPr>
              <w:t xml:space="preserve"> </w:t>
            </w:r>
            <w:r>
              <w:t>Working</w:t>
            </w:r>
            <w:r>
              <w:rPr>
                <w:spacing w:val="-2"/>
              </w:rPr>
              <w:t xml:space="preserve"> </w:t>
            </w:r>
            <w:r>
              <w:t>Model</w:t>
            </w:r>
            <w:r>
              <w:rPr>
                <w:spacing w:val="-6"/>
              </w:rPr>
              <w:t xml:space="preserve"> </w:t>
            </w:r>
            <w:r>
              <w:t>Text</w:t>
            </w:r>
            <w:r>
              <w:rPr>
                <w:spacing w:val="-3"/>
              </w:rPr>
              <w:t xml:space="preserve"> </w:t>
            </w:r>
            <w:r>
              <w:rPr>
                <w:spacing w:val="-5"/>
              </w:rPr>
              <w:t>Box</w:t>
            </w:r>
            <w:r>
              <w:tab/>
            </w:r>
            <w:r>
              <w:rPr>
                <w:spacing w:val="-5"/>
              </w:rPr>
              <w:t>55</w:t>
            </w:r>
          </w:hyperlink>
        </w:p>
        <w:p>
          <w:pPr>
            <w:pStyle w:val="TOC1"/>
            <w:numPr>
              <w:ilvl w:val="0"/>
              <w:numId w:val="18"/>
            </w:numPr>
            <w:tabs>
              <w:tab w:val="left" w:pos="548"/>
              <w:tab w:val="left" w:leader="dot" w:pos="9221"/>
            </w:tabs>
            <w:spacing w:before="1" w:after="0" w:line="240" w:lineRule="auto"/>
            <w:ind w:left="548" w:right="0" w:hanging="324"/>
            <w:jc w:val="left"/>
          </w:pPr>
          <w:hyperlink w:anchor="_bookmark75" w:history="1">
            <w:r>
              <w:rPr>
                <w:spacing w:val="-2"/>
              </w:rPr>
              <w:t>Appendices</w:t>
            </w:r>
            <w:r>
              <w:tab/>
            </w:r>
            <w:r>
              <w:rPr>
                <w:spacing w:val="-5"/>
              </w:rPr>
              <w:t>56</w:t>
            </w:r>
          </w:hyperlink>
        </w:p>
        <w:p>
          <w:pPr>
            <w:pStyle w:val="TOC1"/>
            <w:tabs>
              <w:tab w:val="left" w:leader="dot" w:pos="9221"/>
            </w:tabs>
            <w:spacing w:line="241" w:lineRule="exact"/>
          </w:pPr>
          <w:hyperlink w:anchor="_bookmark76" w:history="1">
            <w:r>
              <w:t>Appendix</w:t>
            </w:r>
            <w:r>
              <w:rPr>
                <w:spacing w:val="-6"/>
              </w:rPr>
              <w:t xml:space="preserve"> </w:t>
            </w:r>
            <w:r>
              <w:t>A</w:t>
            </w:r>
            <w:r>
              <w:rPr>
                <w:spacing w:val="-2"/>
              </w:rPr>
              <w:t xml:space="preserve"> </w:t>
            </w:r>
            <w:r>
              <w:t>–</w:t>
            </w:r>
            <w:r>
              <w:rPr>
                <w:spacing w:val="-5"/>
              </w:rPr>
              <w:t xml:space="preserve"> </w:t>
            </w:r>
            <w:r>
              <w:t>Actuarial</w:t>
            </w:r>
            <w:r>
              <w:rPr>
                <w:spacing w:val="-6"/>
              </w:rPr>
              <w:t xml:space="preserve"> </w:t>
            </w:r>
            <w:r>
              <w:rPr>
                <w:spacing w:val="-2"/>
              </w:rPr>
              <w:t>Certification</w:t>
            </w:r>
            <w:r>
              <w:tab/>
            </w:r>
            <w:r>
              <w:rPr>
                <w:spacing w:val="-5"/>
              </w:rPr>
              <w:t>56</w:t>
            </w:r>
          </w:hyperlink>
        </w:p>
        <w:p>
          <w:pPr>
            <w:pStyle w:val="TOC2"/>
            <w:tabs>
              <w:tab w:val="left" w:leader="dot" w:pos="9221"/>
            </w:tabs>
          </w:pPr>
          <w:hyperlink w:anchor="_bookmark77" w:history="1">
            <w:r>
              <w:rPr>
                <w:spacing w:val="-2"/>
              </w:rPr>
              <w:t>General</w:t>
            </w:r>
            <w:r>
              <w:tab/>
            </w:r>
            <w:r>
              <w:rPr>
                <w:spacing w:val="-5"/>
              </w:rPr>
              <w:t>56</w:t>
            </w:r>
          </w:hyperlink>
        </w:p>
        <w:p>
          <w:pPr>
            <w:pStyle w:val="TOC1"/>
            <w:tabs>
              <w:tab w:val="left" w:leader="dot" w:pos="9221"/>
            </w:tabs>
            <w:spacing w:line="241" w:lineRule="exact"/>
          </w:pPr>
          <w:hyperlink w:anchor="_bookmark81" w:history="1">
            <w:r>
              <w:t>Appendix</w:t>
            </w:r>
            <w:r>
              <w:rPr>
                <w:spacing w:val="-7"/>
              </w:rPr>
              <w:t xml:space="preserve"> </w:t>
            </w:r>
            <w:r>
              <w:t>B</w:t>
            </w:r>
            <w:r>
              <w:rPr>
                <w:spacing w:val="-2"/>
              </w:rPr>
              <w:t xml:space="preserve"> </w:t>
            </w:r>
            <w:r>
              <w:t>–</w:t>
            </w:r>
            <w:r>
              <w:rPr>
                <w:spacing w:val="-3"/>
              </w:rPr>
              <w:t xml:space="preserve"> </w:t>
            </w:r>
            <w:r>
              <w:t>Supporting</w:t>
            </w:r>
            <w:r>
              <w:rPr>
                <w:spacing w:val="-6"/>
              </w:rPr>
              <w:t xml:space="preserve"> </w:t>
            </w:r>
            <w:r>
              <w:rPr>
                <w:spacing w:val="-2"/>
              </w:rPr>
              <w:t>Documentation</w:t>
            </w:r>
            <w:r>
              <w:tab/>
            </w:r>
            <w:r>
              <w:rPr>
                <w:spacing w:val="-5"/>
              </w:rPr>
              <w:t>58</w:t>
            </w:r>
          </w:hyperlink>
        </w:p>
        <w:p>
          <w:pPr>
            <w:pStyle w:val="TOC2"/>
            <w:tabs>
              <w:tab w:val="left" w:leader="dot" w:pos="9221"/>
            </w:tabs>
          </w:pPr>
          <w:hyperlink w:anchor="_bookmark82" w:history="1">
            <w:r>
              <w:rPr>
                <w:spacing w:val="-2"/>
              </w:rPr>
              <w:t>General</w:t>
            </w:r>
            <w:r>
              <w:tab/>
            </w:r>
            <w:r>
              <w:rPr>
                <w:spacing w:val="-5"/>
              </w:rPr>
              <w:t>58</w:t>
            </w:r>
          </w:hyperlink>
        </w:p>
        <w:p>
          <w:pPr>
            <w:pStyle w:val="TOC2"/>
            <w:tabs>
              <w:tab w:val="left" w:leader="dot" w:pos="9221"/>
            </w:tabs>
            <w:spacing w:before="1" w:line="240" w:lineRule="auto"/>
          </w:pPr>
          <w:hyperlink w:anchor="_bookmark83" w:history="1">
            <w:r>
              <w:t>Submitting</w:t>
            </w:r>
            <w:r>
              <w:rPr>
                <w:spacing w:val="-7"/>
              </w:rPr>
              <w:t xml:space="preserve"> </w:t>
            </w:r>
            <w:r>
              <w:t>Supporting</w:t>
            </w:r>
            <w:r>
              <w:rPr>
                <w:spacing w:val="-9"/>
              </w:rPr>
              <w:t xml:space="preserve"> </w:t>
            </w:r>
            <w:r>
              <w:rPr>
                <w:spacing w:val="-2"/>
              </w:rPr>
              <w:t>Documentation</w:t>
            </w:r>
            <w:r>
              <w:tab/>
            </w:r>
            <w:r>
              <w:rPr>
                <w:spacing w:val="-5"/>
              </w:rPr>
              <w:t>59</w:t>
            </w:r>
          </w:hyperlink>
        </w:p>
        <w:p>
          <w:pPr>
            <w:pStyle w:val="TOC2"/>
            <w:tabs>
              <w:tab w:val="left" w:leader="dot" w:pos="9221"/>
            </w:tabs>
            <w:spacing w:before="1"/>
          </w:pPr>
          <w:hyperlink w:anchor="_bookmark84" w:history="1">
            <w:r>
              <w:t>Part</w:t>
            </w:r>
            <w:r>
              <w:rPr>
                <w:spacing w:val="-5"/>
              </w:rPr>
              <w:t xml:space="preserve"> </w:t>
            </w:r>
            <w:r>
              <w:t>D</w:t>
            </w:r>
            <w:r>
              <w:rPr>
                <w:spacing w:val="-6"/>
              </w:rPr>
              <w:t xml:space="preserve"> </w:t>
            </w:r>
            <w:r>
              <w:t>Checklist</w:t>
            </w:r>
            <w:r>
              <w:rPr>
                <w:spacing w:val="-6"/>
              </w:rPr>
              <w:t xml:space="preserve"> </w:t>
            </w:r>
            <w:r>
              <w:t>for</w:t>
            </w:r>
            <w:r>
              <w:rPr>
                <w:spacing w:val="-5"/>
              </w:rPr>
              <w:t xml:space="preserve"> </w:t>
            </w:r>
            <w:r>
              <w:t>Required</w:t>
            </w:r>
            <w:r>
              <w:rPr>
                <w:spacing w:val="-4"/>
              </w:rPr>
              <w:t xml:space="preserve"> </w:t>
            </w:r>
            <w:r>
              <w:t>Supporting</w:t>
            </w:r>
            <w:r>
              <w:rPr>
                <w:spacing w:val="-3"/>
              </w:rPr>
              <w:t xml:space="preserve"> </w:t>
            </w:r>
            <w:r>
              <w:rPr>
                <w:spacing w:val="-2"/>
              </w:rPr>
              <w:t>Documentation</w:t>
            </w:r>
            <w:r>
              <w:tab/>
            </w:r>
            <w:r>
              <w:rPr>
                <w:spacing w:val="-5"/>
              </w:rPr>
              <w:t>69</w:t>
            </w:r>
          </w:hyperlink>
        </w:p>
        <w:p>
          <w:pPr>
            <w:pStyle w:val="TOC2"/>
            <w:tabs>
              <w:tab w:val="left" w:leader="dot" w:pos="9221"/>
            </w:tabs>
          </w:pPr>
          <w:hyperlink w:anchor="_bookmark85" w:history="1">
            <w:r>
              <w:t>Sample</w:t>
            </w:r>
            <w:r>
              <w:rPr>
                <w:spacing w:val="-7"/>
              </w:rPr>
              <w:t xml:space="preserve"> </w:t>
            </w:r>
            <w:r>
              <w:t>Supporting</w:t>
            </w:r>
            <w:r>
              <w:rPr>
                <w:spacing w:val="-8"/>
              </w:rPr>
              <w:t xml:space="preserve"> </w:t>
            </w:r>
            <w:r>
              <w:rPr>
                <w:spacing w:val="-2"/>
              </w:rPr>
              <w:t>Documentation</w:t>
            </w:r>
            <w:r>
              <w:tab/>
            </w:r>
            <w:r>
              <w:rPr>
                <w:spacing w:val="-5"/>
              </w:rPr>
              <w:t>71</w:t>
            </w:r>
          </w:hyperlink>
        </w:p>
        <w:p>
          <w:pPr>
            <w:pStyle w:val="TOC1"/>
            <w:tabs>
              <w:tab w:val="left" w:leader="dot" w:pos="9221"/>
            </w:tabs>
          </w:pPr>
          <w:hyperlink w:anchor="_bookmark86" w:history="1">
            <w:r>
              <w:t>Appendix</w:t>
            </w:r>
            <w:r>
              <w:rPr>
                <w:spacing w:val="-10"/>
              </w:rPr>
              <w:t xml:space="preserve"> </w:t>
            </w:r>
            <w:r>
              <w:t>C</w:t>
            </w:r>
            <w:r>
              <w:rPr>
                <w:spacing w:val="-3"/>
              </w:rPr>
              <w:t xml:space="preserve"> </w:t>
            </w:r>
            <w:r>
              <w:t>–</w:t>
            </w:r>
            <w:r>
              <w:rPr>
                <w:spacing w:val="-7"/>
              </w:rPr>
              <w:t xml:space="preserve"> </w:t>
            </w:r>
            <w:r>
              <w:t>Employer/Union-Only</w:t>
            </w:r>
            <w:r>
              <w:rPr>
                <w:spacing w:val="-7"/>
              </w:rPr>
              <w:t xml:space="preserve"> </w:t>
            </w:r>
            <w:r>
              <w:t>Group</w:t>
            </w:r>
            <w:r>
              <w:rPr>
                <w:spacing w:val="-4"/>
              </w:rPr>
              <w:t xml:space="preserve"> </w:t>
            </w:r>
            <w:r>
              <w:t>(EGWP)</w:t>
            </w:r>
            <w:r>
              <w:rPr>
                <w:spacing w:val="-7"/>
              </w:rPr>
              <w:t xml:space="preserve"> </w:t>
            </w:r>
            <w:r>
              <w:rPr>
                <w:spacing w:val="-2"/>
              </w:rPr>
              <w:t>Requirements</w:t>
            </w:r>
            <w:r>
              <w:tab/>
            </w:r>
            <w:r>
              <w:rPr>
                <w:spacing w:val="-5"/>
              </w:rPr>
              <w:t>73</w:t>
            </w:r>
          </w:hyperlink>
        </w:p>
        <w:p>
          <w:pPr>
            <w:pStyle w:val="TOC1"/>
            <w:tabs>
              <w:tab w:val="left" w:leader="dot" w:pos="9221"/>
            </w:tabs>
            <w:spacing w:line="241" w:lineRule="exact"/>
          </w:pPr>
          <w:hyperlink w:anchor="_bookmark87" w:history="1">
            <w:r>
              <w:t>Appendix</w:t>
            </w:r>
            <w:r>
              <w:rPr>
                <w:spacing w:val="-7"/>
              </w:rPr>
              <w:t xml:space="preserve"> </w:t>
            </w:r>
            <w:r>
              <w:t>D</w:t>
            </w:r>
            <w:r>
              <w:rPr>
                <w:spacing w:val="-2"/>
              </w:rPr>
              <w:t xml:space="preserve"> </w:t>
            </w:r>
            <w:r>
              <w:t>–</w:t>
            </w:r>
            <w:r>
              <w:rPr>
                <w:spacing w:val="-6"/>
              </w:rPr>
              <w:t xml:space="preserve"> </w:t>
            </w:r>
            <w:r>
              <w:t>Calculation</w:t>
            </w:r>
            <w:r>
              <w:rPr>
                <w:spacing w:val="-3"/>
              </w:rPr>
              <w:t xml:space="preserve"> </w:t>
            </w:r>
            <w:r>
              <w:t>of</w:t>
            </w:r>
            <w:r>
              <w:rPr>
                <w:spacing w:val="-6"/>
              </w:rPr>
              <w:t xml:space="preserve"> </w:t>
            </w:r>
            <w:r>
              <w:t>National</w:t>
            </w:r>
            <w:r>
              <w:rPr>
                <w:spacing w:val="-7"/>
              </w:rPr>
              <w:t xml:space="preserve"> </w:t>
            </w:r>
            <w:r>
              <w:t>Average</w:t>
            </w:r>
            <w:r>
              <w:rPr>
                <w:spacing w:val="-3"/>
              </w:rPr>
              <w:t xml:space="preserve"> </w:t>
            </w:r>
            <w:r>
              <w:t>Monthly</w:t>
            </w:r>
            <w:r>
              <w:rPr>
                <w:spacing w:val="-6"/>
              </w:rPr>
              <w:t xml:space="preserve"> </w:t>
            </w:r>
            <w:r>
              <w:t>Bid</w:t>
            </w:r>
            <w:r>
              <w:rPr>
                <w:spacing w:val="-3"/>
              </w:rPr>
              <w:t xml:space="preserve"> </w:t>
            </w:r>
            <w:r>
              <w:rPr>
                <w:spacing w:val="-2"/>
              </w:rPr>
              <w:t>Amount</w:t>
            </w:r>
            <w:r>
              <w:tab/>
            </w:r>
            <w:r>
              <w:rPr>
                <w:spacing w:val="-5"/>
              </w:rPr>
              <w:t>74</w:t>
            </w:r>
          </w:hyperlink>
        </w:p>
        <w:p>
          <w:pPr>
            <w:pStyle w:val="TOC1"/>
            <w:tabs>
              <w:tab w:val="left" w:leader="dot" w:pos="9221"/>
            </w:tabs>
            <w:spacing w:before="0" w:line="241" w:lineRule="exact"/>
          </w:pPr>
          <w:hyperlink w:anchor="_bookmark88" w:history="1">
            <w:r>
              <w:t>Appendix</w:t>
            </w:r>
            <w:r>
              <w:rPr>
                <w:spacing w:val="-9"/>
              </w:rPr>
              <w:t xml:space="preserve"> </w:t>
            </w:r>
            <w:r>
              <w:t>E</w:t>
            </w:r>
            <w:r>
              <w:rPr>
                <w:spacing w:val="-4"/>
              </w:rPr>
              <w:t xml:space="preserve"> </w:t>
            </w:r>
            <w:r>
              <w:t>–</w:t>
            </w:r>
            <w:r>
              <w:rPr>
                <w:spacing w:val="-7"/>
              </w:rPr>
              <w:t xml:space="preserve"> </w:t>
            </w:r>
            <w:r>
              <w:t>Calculation</w:t>
            </w:r>
            <w:r>
              <w:rPr>
                <w:spacing w:val="-4"/>
              </w:rPr>
              <w:t xml:space="preserve"> </w:t>
            </w:r>
            <w:r>
              <w:t>of</w:t>
            </w:r>
            <w:r>
              <w:rPr>
                <w:spacing w:val="-6"/>
              </w:rPr>
              <w:t xml:space="preserve"> </w:t>
            </w:r>
            <w:r>
              <w:t>Low-Income</w:t>
            </w:r>
            <w:r>
              <w:rPr>
                <w:spacing w:val="-7"/>
              </w:rPr>
              <w:t xml:space="preserve"> </w:t>
            </w:r>
            <w:r>
              <w:t>Benchmark</w:t>
            </w:r>
            <w:r>
              <w:rPr>
                <w:spacing w:val="-4"/>
              </w:rPr>
              <w:t xml:space="preserve"> </w:t>
            </w:r>
            <w:r>
              <w:t>Premium</w:t>
            </w:r>
            <w:r>
              <w:rPr>
                <w:spacing w:val="-4"/>
              </w:rPr>
              <w:t xml:space="preserve"> </w:t>
            </w:r>
            <w:r>
              <w:rPr>
                <w:spacing w:val="-2"/>
              </w:rPr>
              <w:t>Amounts</w:t>
            </w:r>
            <w:r>
              <w:tab/>
            </w:r>
            <w:r>
              <w:rPr>
                <w:spacing w:val="-5"/>
              </w:rPr>
              <w:t>75</w:t>
            </w:r>
          </w:hyperlink>
        </w:p>
        <w:p>
          <w:pPr>
            <w:pStyle w:val="TOC1"/>
            <w:tabs>
              <w:tab w:val="left" w:leader="dot" w:pos="9221"/>
            </w:tabs>
            <w:spacing w:before="0"/>
          </w:pPr>
          <w:hyperlink w:anchor="_bookmark89" w:history="1">
            <w:r>
              <w:t>Appendix</w:t>
            </w:r>
            <w:r>
              <w:rPr>
                <w:spacing w:val="-3"/>
              </w:rPr>
              <w:t xml:space="preserve"> </w:t>
            </w:r>
            <w:r>
              <w:t>F</w:t>
            </w:r>
            <w:r>
              <w:rPr>
                <w:spacing w:val="-4"/>
              </w:rPr>
              <w:t xml:space="preserve"> </w:t>
            </w:r>
            <w:r>
              <w:t>–</w:t>
            </w:r>
            <w:r>
              <w:rPr>
                <w:spacing w:val="-3"/>
              </w:rPr>
              <w:t xml:space="preserve"> </w:t>
            </w:r>
            <w:r>
              <w:t>Trending</w:t>
            </w:r>
            <w:r>
              <w:rPr>
                <w:spacing w:val="-5"/>
              </w:rPr>
              <w:t xml:space="preserve"> </w:t>
            </w:r>
            <w:r>
              <w:t>Risk</w:t>
            </w:r>
            <w:r>
              <w:rPr>
                <w:spacing w:val="-5"/>
              </w:rPr>
              <w:t xml:space="preserve"> </w:t>
            </w:r>
            <w:r>
              <w:rPr>
                <w:spacing w:val="-2"/>
              </w:rPr>
              <w:t>Scores</w:t>
            </w:r>
            <w:r>
              <w:tab/>
            </w:r>
            <w:r>
              <w:rPr>
                <w:spacing w:val="-5"/>
              </w:rPr>
              <w:t>77</w:t>
            </w:r>
          </w:hyperlink>
        </w:p>
      </w:sdtContent>
    </w:sdt>
    <w:p>
      <w:pPr>
        <w:spacing w:after="0"/>
        <w:sectPr>
          <w:type w:val="continuous"/>
          <w:pgSz w:w="12240" w:h="15840"/>
          <w:pgMar w:top="1360" w:right="1000" w:bottom="1471" w:left="1360" w:header="0" w:footer="747"/>
          <w:cols w:space="720"/>
        </w:sectPr>
      </w:pPr>
    </w:p>
    <w:p>
      <w:pPr>
        <w:pStyle w:val="Heading1"/>
        <w:numPr>
          <w:ilvl w:val="0"/>
          <w:numId w:val="17"/>
        </w:numPr>
        <w:tabs>
          <w:tab w:val="left" w:pos="352"/>
          <w:tab w:val="left" w:pos="9470"/>
        </w:tabs>
        <w:spacing w:before="327" w:after="0" w:line="240" w:lineRule="auto"/>
        <w:ind w:left="352" w:right="0" w:hanging="157"/>
        <w:jc w:val="left"/>
        <w:rPr>
          <w:u w:val="single"/>
        </w:rPr>
      </w:pPr>
      <w:bookmarkStart w:id="3" w:name="I. Introduction"/>
      <w:bookmarkEnd w:id="3"/>
      <w:bookmarkStart w:id="4" w:name="_bookmark1"/>
      <w:bookmarkEnd w:id="4"/>
      <w:r>
        <w:rPr>
          <w:u w:val="single"/>
        </w:rPr>
        <w:t xml:space="preserve"> </w:t>
      </w:r>
      <w:r>
        <w:rPr>
          <w:spacing w:val="-2"/>
          <w:u w:val="single"/>
        </w:rPr>
        <w:t>INTRODUCTION</w:t>
      </w:r>
      <w:r>
        <w:rPr>
          <w:u w:val="single"/>
        </w:rPr>
        <w:tab/>
      </w:r>
    </w:p>
    <w:p>
      <w:pPr>
        <w:pStyle w:val="BodyText"/>
        <w:spacing w:before="110"/>
        <w:ind w:left="0"/>
        <w:rPr>
          <w:rFonts w:ascii="Arial"/>
          <w:b/>
          <w:sz w:val="21"/>
        </w:rPr>
      </w:pPr>
    </w:p>
    <w:p>
      <w:pPr>
        <w:pStyle w:val="Heading2"/>
        <w:ind w:left="224"/>
      </w:pPr>
      <w:bookmarkStart w:id="5" w:name="Background"/>
      <w:bookmarkEnd w:id="5"/>
      <w:bookmarkStart w:id="6" w:name="_bookmark2"/>
      <w:bookmarkEnd w:id="6"/>
      <w:r>
        <w:rPr>
          <w:smallCaps/>
          <w:spacing w:val="-2"/>
        </w:rPr>
        <w:t>Background</w:t>
      </w:r>
    </w:p>
    <w:p>
      <w:pPr>
        <w:pStyle w:val="BodyText"/>
        <w:spacing w:before="179"/>
        <w:ind w:left="224" w:right="445"/>
      </w:pPr>
      <w:r>
        <w:t>Part D sponsors, that is, Prescription Drug Plans (PDPs) and Medicare Advantage Prescription Drug Plans (MA-PDs), must submit a separate bid to the Centers for Medicare &amp; Medicaid Services</w:t>
      </w:r>
      <w:r>
        <w:rPr>
          <w:spacing w:val="-4"/>
        </w:rPr>
        <w:t xml:space="preserve"> </w:t>
      </w:r>
      <w:r>
        <w:t>(CMS)</w:t>
      </w:r>
      <w:r>
        <w:rPr>
          <w:spacing w:val="-4"/>
        </w:rPr>
        <w:t xml:space="preserve"> </w:t>
      </w:r>
      <w:r>
        <w:t>for</w:t>
      </w:r>
      <w:r>
        <w:rPr>
          <w:spacing w:val="-3"/>
        </w:rPr>
        <w:t xml:space="preserve"> </w:t>
      </w:r>
      <w:r>
        <w:t>each</w:t>
      </w:r>
      <w:r>
        <w:rPr>
          <w:spacing w:val="-2"/>
        </w:rPr>
        <w:t xml:space="preserve"> </w:t>
      </w:r>
      <w:r>
        <w:t>prescription</w:t>
      </w:r>
      <w:r>
        <w:rPr>
          <w:spacing w:val="-4"/>
        </w:rPr>
        <w:t xml:space="preserve"> </w:t>
      </w:r>
      <w:r>
        <w:t>drug</w:t>
      </w:r>
      <w:r>
        <w:rPr>
          <w:spacing w:val="-4"/>
        </w:rPr>
        <w:t xml:space="preserve"> </w:t>
      </w:r>
      <w:r>
        <w:t>plan</w:t>
      </w:r>
      <w:r>
        <w:rPr>
          <w:spacing w:val="-3"/>
        </w:rPr>
        <w:t xml:space="preserve"> </w:t>
      </w:r>
      <w:r>
        <w:t>that</w:t>
      </w:r>
      <w:r>
        <w:rPr>
          <w:spacing w:val="-3"/>
        </w:rPr>
        <w:t xml:space="preserve"> </w:t>
      </w:r>
      <w:r>
        <w:t>they</w:t>
      </w:r>
      <w:r>
        <w:rPr>
          <w:spacing w:val="-4"/>
        </w:rPr>
        <w:t xml:space="preserve"> </w:t>
      </w:r>
      <w:r>
        <w:t>intend</w:t>
      </w:r>
      <w:r>
        <w:rPr>
          <w:spacing w:val="-4"/>
        </w:rPr>
        <w:t xml:space="preserve"> </w:t>
      </w:r>
      <w:r>
        <w:t>to</w:t>
      </w:r>
      <w:r>
        <w:rPr>
          <w:spacing w:val="-4"/>
        </w:rPr>
        <w:t xml:space="preserve"> </w:t>
      </w:r>
      <w:r>
        <w:t>offer</w:t>
      </w:r>
      <w:r>
        <w:rPr>
          <w:spacing w:val="-4"/>
        </w:rPr>
        <w:t xml:space="preserve"> </w:t>
      </w:r>
      <w:r>
        <w:t>Medicare</w:t>
      </w:r>
      <w:r>
        <w:rPr>
          <w:spacing w:val="-5"/>
        </w:rPr>
        <w:t xml:space="preserve"> </w:t>
      </w:r>
      <w:r>
        <w:t>beneficiaries. This requirement includes Part D plans without a corresponding Medicare Advantage (MA) plan, such as Section 1876 cost plans, Section 1833 cost plans, and Programs of All-Inclusive Care for the Elderly (PACE) plans.</w:t>
      </w:r>
    </w:p>
    <w:p>
      <w:pPr>
        <w:pStyle w:val="BodyText"/>
        <w:spacing w:before="118"/>
        <w:ind w:left="224" w:right="478"/>
      </w:pPr>
      <w:r>
        <w:t>Note</w:t>
      </w:r>
      <w:r>
        <w:rPr>
          <w:spacing w:val="-4"/>
        </w:rPr>
        <w:t xml:space="preserve"> </w:t>
      </w:r>
      <w:r>
        <w:t>that</w:t>
      </w:r>
      <w:r>
        <w:rPr>
          <w:spacing w:val="-3"/>
        </w:rPr>
        <w:t xml:space="preserve"> </w:t>
      </w:r>
      <w:r>
        <w:t>a</w:t>
      </w:r>
      <w:r>
        <w:rPr>
          <w:spacing w:val="-4"/>
        </w:rPr>
        <w:t xml:space="preserve"> </w:t>
      </w:r>
      <w:r>
        <w:t>Medicare</w:t>
      </w:r>
      <w:r>
        <w:rPr>
          <w:spacing w:val="-3"/>
        </w:rPr>
        <w:t xml:space="preserve"> </w:t>
      </w:r>
      <w:r>
        <w:t>Advantage</w:t>
      </w:r>
      <w:r>
        <w:rPr>
          <w:spacing w:val="-5"/>
        </w:rPr>
        <w:t xml:space="preserve"> </w:t>
      </w:r>
      <w:r>
        <w:t>Organization</w:t>
      </w:r>
      <w:r>
        <w:rPr>
          <w:spacing w:val="-3"/>
        </w:rPr>
        <w:t xml:space="preserve"> </w:t>
      </w:r>
      <w:r>
        <w:t>(MAO)</w:t>
      </w:r>
      <w:r>
        <w:rPr>
          <w:spacing w:val="-3"/>
        </w:rPr>
        <w:t xml:space="preserve"> </w:t>
      </w:r>
      <w:r>
        <w:t>may</w:t>
      </w:r>
      <w:r>
        <w:rPr>
          <w:spacing w:val="-3"/>
        </w:rPr>
        <w:t xml:space="preserve"> </w:t>
      </w:r>
      <w:r>
        <w:t>offer</w:t>
      </w:r>
      <w:r>
        <w:rPr>
          <w:spacing w:val="-3"/>
        </w:rPr>
        <w:t xml:space="preserve"> </w:t>
      </w:r>
      <w:r>
        <w:t>private</w:t>
      </w:r>
      <w:r>
        <w:rPr>
          <w:spacing w:val="-3"/>
        </w:rPr>
        <w:t xml:space="preserve"> </w:t>
      </w:r>
      <w:r>
        <w:t>fee-for-service</w:t>
      </w:r>
      <w:r>
        <w:rPr>
          <w:spacing w:val="-4"/>
        </w:rPr>
        <w:t xml:space="preserve"> </w:t>
      </w:r>
      <w:r>
        <w:t>(PFFS) and Religious Fraternal Benefit PFFS plans without Part D coverage. However, if an MAO offers, in a given MA service area, at least one benefit plan of any other plan type, at least one benefit plan in such service area must include Part D coverage.</w:t>
      </w:r>
    </w:p>
    <w:p>
      <w:pPr>
        <w:pStyle w:val="BodyText"/>
        <w:spacing w:before="121"/>
        <w:ind w:left="224" w:right="985"/>
        <w:jc w:val="both"/>
      </w:pPr>
      <w:r>
        <w:t>Organizations</w:t>
      </w:r>
      <w:r>
        <w:rPr>
          <w:spacing w:val="-4"/>
        </w:rPr>
        <w:t xml:space="preserve"> </w:t>
      </w:r>
      <w:r>
        <w:t>must</w:t>
      </w:r>
      <w:r>
        <w:rPr>
          <w:spacing w:val="-4"/>
        </w:rPr>
        <w:t xml:space="preserve"> </w:t>
      </w:r>
      <w:r>
        <w:t>submit</w:t>
      </w:r>
      <w:r>
        <w:rPr>
          <w:spacing w:val="-4"/>
        </w:rPr>
        <w:t xml:space="preserve"> </w:t>
      </w:r>
      <w:r>
        <w:t>the</w:t>
      </w:r>
      <w:r>
        <w:rPr>
          <w:spacing w:val="-5"/>
        </w:rPr>
        <w:t xml:space="preserve"> </w:t>
      </w:r>
      <w:r>
        <w:t>information</w:t>
      </w:r>
      <w:r>
        <w:rPr>
          <w:spacing w:val="-4"/>
        </w:rPr>
        <w:t xml:space="preserve"> </w:t>
      </w:r>
      <w:r>
        <w:t>via</w:t>
      </w:r>
      <w:r>
        <w:rPr>
          <w:spacing w:val="-5"/>
        </w:rPr>
        <w:t xml:space="preserve"> </w:t>
      </w:r>
      <w:r>
        <w:t>the</w:t>
      </w:r>
      <w:r>
        <w:rPr>
          <w:spacing w:val="-4"/>
        </w:rPr>
        <w:t xml:space="preserve"> </w:t>
      </w:r>
      <w:r>
        <w:t>CMS</w:t>
      </w:r>
      <w:r>
        <w:rPr>
          <w:spacing w:val="-3"/>
        </w:rPr>
        <w:t xml:space="preserve"> </w:t>
      </w:r>
      <w:r>
        <w:t>Health</w:t>
      </w:r>
      <w:r>
        <w:rPr>
          <w:spacing w:val="-4"/>
        </w:rPr>
        <w:t xml:space="preserve"> </w:t>
      </w:r>
      <w:r>
        <w:t>Plan</w:t>
      </w:r>
      <w:r>
        <w:rPr>
          <w:spacing w:val="-4"/>
        </w:rPr>
        <w:t xml:space="preserve"> </w:t>
      </w:r>
      <w:r>
        <w:t>Management</w:t>
      </w:r>
      <w:r>
        <w:rPr>
          <w:spacing w:val="-4"/>
        </w:rPr>
        <w:t xml:space="preserve"> </w:t>
      </w:r>
      <w:r>
        <w:t>System (HPMS)</w:t>
      </w:r>
      <w:r>
        <w:rPr>
          <w:spacing w:val="-1"/>
        </w:rPr>
        <w:t xml:space="preserve"> </w:t>
      </w:r>
      <w:r>
        <w:t>in</w:t>
      </w:r>
      <w:r>
        <w:rPr>
          <w:spacing w:val="-1"/>
        </w:rPr>
        <w:t xml:space="preserve"> </w:t>
      </w:r>
      <w:r>
        <w:t>the</w:t>
      </w:r>
      <w:r>
        <w:rPr>
          <w:spacing w:val="-2"/>
        </w:rPr>
        <w:t xml:space="preserve"> </w:t>
      </w:r>
      <w:r>
        <w:t>CMS-approved</w:t>
      </w:r>
      <w:r>
        <w:rPr>
          <w:spacing w:val="-1"/>
        </w:rPr>
        <w:t xml:space="preserve"> </w:t>
      </w:r>
      <w:r>
        <w:t>electronic</w:t>
      </w:r>
      <w:r>
        <w:rPr>
          <w:spacing w:val="-2"/>
        </w:rPr>
        <w:t xml:space="preserve"> </w:t>
      </w:r>
      <w:r>
        <w:t>format—the</w:t>
      </w:r>
      <w:r>
        <w:rPr>
          <w:spacing w:val="-1"/>
        </w:rPr>
        <w:t xml:space="preserve"> </w:t>
      </w:r>
      <w:r>
        <w:t>Prescription</w:t>
      </w:r>
      <w:r>
        <w:rPr>
          <w:spacing w:val="-1"/>
        </w:rPr>
        <w:t xml:space="preserve"> </w:t>
      </w:r>
      <w:r>
        <w:t>Drug Bid</w:t>
      </w:r>
      <w:r>
        <w:rPr>
          <w:spacing w:val="-1"/>
        </w:rPr>
        <w:t xml:space="preserve"> </w:t>
      </w:r>
      <w:r>
        <w:t>Pricing</w:t>
      </w:r>
      <w:r>
        <w:rPr>
          <w:spacing w:val="-1"/>
        </w:rPr>
        <w:t xml:space="preserve"> </w:t>
      </w:r>
      <w:r>
        <w:t xml:space="preserve">Tool </w:t>
      </w:r>
      <w:r>
        <w:rPr>
          <w:spacing w:val="-2"/>
        </w:rPr>
        <w:t>(BPT).</w:t>
      </w:r>
    </w:p>
    <w:p>
      <w:pPr>
        <w:pStyle w:val="BodyText"/>
        <w:ind w:left="224"/>
      </w:pPr>
      <w:r>
        <w:t>Each</w:t>
      </w:r>
      <w:r>
        <w:rPr>
          <w:spacing w:val="-4"/>
        </w:rPr>
        <w:t xml:space="preserve"> </w:t>
      </w:r>
      <w:r>
        <w:t>bid</w:t>
      </w:r>
      <w:r>
        <w:rPr>
          <w:spacing w:val="-4"/>
        </w:rPr>
        <w:t xml:space="preserve"> </w:t>
      </w:r>
      <w:r>
        <w:t>submission</w:t>
      </w:r>
      <w:r>
        <w:rPr>
          <w:spacing w:val="-4"/>
        </w:rPr>
        <w:t xml:space="preserve"> </w:t>
      </w:r>
      <w:r>
        <w:t>must</w:t>
      </w:r>
      <w:r>
        <w:rPr>
          <w:spacing w:val="-4"/>
        </w:rPr>
        <w:t xml:space="preserve"> </w:t>
      </w:r>
      <w:r>
        <w:t>include</w:t>
      </w:r>
      <w:r>
        <w:rPr>
          <w:spacing w:val="-4"/>
        </w:rPr>
        <w:t xml:space="preserve"> </w:t>
      </w:r>
      <w:r>
        <w:t>an</w:t>
      </w:r>
      <w:r>
        <w:rPr>
          <w:spacing w:val="-4"/>
        </w:rPr>
        <w:t xml:space="preserve"> </w:t>
      </w:r>
      <w:r>
        <w:t>actuarial</w:t>
      </w:r>
      <w:r>
        <w:rPr>
          <w:spacing w:val="-4"/>
        </w:rPr>
        <w:t xml:space="preserve"> </w:t>
      </w:r>
      <w:r>
        <w:t>certification</w:t>
      </w:r>
      <w:r>
        <w:rPr>
          <w:spacing w:val="-4"/>
        </w:rPr>
        <w:t xml:space="preserve"> </w:t>
      </w:r>
      <w:r>
        <w:t>and</w:t>
      </w:r>
      <w:r>
        <w:rPr>
          <w:spacing w:val="-4"/>
        </w:rPr>
        <w:t xml:space="preserve"> </w:t>
      </w:r>
      <w:r>
        <w:t>supporting</w:t>
      </w:r>
      <w:r>
        <w:rPr>
          <w:spacing w:val="-4"/>
        </w:rPr>
        <w:t xml:space="preserve"> </w:t>
      </w:r>
      <w:r>
        <w:t>documentation</w:t>
      </w:r>
      <w:r>
        <w:rPr>
          <w:spacing w:val="-4"/>
        </w:rPr>
        <w:t xml:space="preserve"> </w:t>
      </w:r>
      <w:r>
        <w:t>as described in Appendix A and Appendix B, respectively.</w:t>
      </w:r>
    </w:p>
    <w:p>
      <w:pPr>
        <w:pStyle w:val="BodyText"/>
        <w:ind w:left="224" w:right="478"/>
      </w:pPr>
      <w:r>
        <w:t>The submitted bids will be subject to review and audit by CMS or by any person or organization that CMS designates. As part of the review and audit process, CMS or its representative</w:t>
      </w:r>
      <w:r>
        <w:rPr>
          <w:spacing w:val="-5"/>
        </w:rPr>
        <w:t xml:space="preserve"> </w:t>
      </w:r>
      <w:r>
        <w:t>may</w:t>
      </w:r>
      <w:r>
        <w:rPr>
          <w:spacing w:val="-5"/>
        </w:rPr>
        <w:t xml:space="preserve"> </w:t>
      </w:r>
      <w:r>
        <w:t>request</w:t>
      </w:r>
      <w:r>
        <w:rPr>
          <w:spacing w:val="-5"/>
        </w:rPr>
        <w:t xml:space="preserve"> </w:t>
      </w:r>
      <w:r>
        <w:t>additional</w:t>
      </w:r>
      <w:r>
        <w:rPr>
          <w:spacing w:val="-5"/>
        </w:rPr>
        <w:t xml:space="preserve"> </w:t>
      </w:r>
      <w:r>
        <w:t>documentation</w:t>
      </w:r>
      <w:r>
        <w:rPr>
          <w:spacing w:val="-5"/>
        </w:rPr>
        <w:t xml:space="preserve"> </w:t>
      </w:r>
      <w:r>
        <w:t>supporting</w:t>
      </w:r>
      <w:r>
        <w:rPr>
          <w:spacing w:val="-5"/>
        </w:rPr>
        <w:t xml:space="preserve"> </w:t>
      </w:r>
      <w:r>
        <w:t>the</w:t>
      </w:r>
      <w:r>
        <w:rPr>
          <w:spacing w:val="-6"/>
        </w:rPr>
        <w:t xml:space="preserve"> </w:t>
      </w:r>
      <w:r>
        <w:t>information</w:t>
      </w:r>
      <w:r>
        <w:rPr>
          <w:spacing w:val="-1"/>
        </w:rPr>
        <w:t xml:space="preserve"> </w:t>
      </w:r>
      <w:r>
        <w:t>contained</w:t>
      </w:r>
      <w:r>
        <w:rPr>
          <w:spacing w:val="-5"/>
        </w:rPr>
        <w:t xml:space="preserve"> </w:t>
      </w:r>
      <w:r>
        <w:t>in the BPT. Organizations must be prepared to provide this information in a timely manner.</w:t>
      </w:r>
    </w:p>
    <w:p>
      <w:pPr>
        <w:pStyle w:val="BodyText"/>
        <w:ind w:left="224" w:right="1649"/>
      </w:pPr>
      <w:r>
        <w:t>These</w:t>
      </w:r>
      <w:r>
        <w:rPr>
          <w:spacing w:val="-5"/>
        </w:rPr>
        <w:t xml:space="preserve"> </w:t>
      </w:r>
      <w:r>
        <w:t>bid</w:t>
      </w:r>
      <w:r>
        <w:rPr>
          <w:spacing w:val="-4"/>
        </w:rPr>
        <w:t xml:space="preserve"> </w:t>
      </w:r>
      <w:r>
        <w:t>instructions</w:t>
      </w:r>
      <w:r>
        <w:rPr>
          <w:spacing w:val="-4"/>
        </w:rPr>
        <w:t xml:space="preserve"> </w:t>
      </w:r>
      <w:r>
        <w:t>provide</w:t>
      </w:r>
      <w:r>
        <w:rPr>
          <w:spacing w:val="-4"/>
        </w:rPr>
        <w:t xml:space="preserve"> </w:t>
      </w:r>
      <w:r>
        <w:t>details</w:t>
      </w:r>
      <w:r>
        <w:rPr>
          <w:spacing w:val="-4"/>
        </w:rPr>
        <w:t xml:space="preserve"> </w:t>
      </w:r>
      <w:r>
        <w:t>on</w:t>
      </w:r>
      <w:r>
        <w:rPr>
          <w:spacing w:val="-4"/>
        </w:rPr>
        <w:t xml:space="preserve"> </w:t>
      </w:r>
      <w:r>
        <w:t>the</w:t>
      </w:r>
      <w:r>
        <w:rPr>
          <w:spacing w:val="-4"/>
        </w:rPr>
        <w:t xml:space="preserve"> </w:t>
      </w:r>
      <w:r>
        <w:t>bid</w:t>
      </w:r>
      <w:r>
        <w:rPr>
          <w:spacing w:val="-4"/>
        </w:rPr>
        <w:t xml:space="preserve"> </w:t>
      </w:r>
      <w:r>
        <w:t>submission</w:t>
      </w:r>
      <w:r>
        <w:rPr>
          <w:spacing w:val="-4"/>
        </w:rPr>
        <w:t xml:space="preserve"> </w:t>
      </w:r>
      <w:r>
        <w:t>elements</w:t>
      </w:r>
      <w:r>
        <w:rPr>
          <w:spacing w:val="-4"/>
        </w:rPr>
        <w:t xml:space="preserve"> </w:t>
      </w:r>
      <w:r>
        <w:t>required</w:t>
      </w:r>
      <w:r>
        <w:rPr>
          <w:spacing w:val="-4"/>
        </w:rPr>
        <w:t xml:space="preserve"> </w:t>
      </w:r>
      <w:r>
        <w:t>by 42 CFR 423.265.</w:t>
      </w:r>
    </w:p>
    <w:p>
      <w:pPr>
        <w:pStyle w:val="BodyText"/>
        <w:spacing w:before="45"/>
        <w:ind w:left="0"/>
      </w:pPr>
    </w:p>
    <w:p>
      <w:pPr>
        <w:pStyle w:val="Heading2"/>
        <w:ind w:left="224"/>
      </w:pPr>
      <w:bookmarkStart w:id="7" w:name="Document Overview"/>
      <w:bookmarkEnd w:id="7"/>
      <w:bookmarkStart w:id="8" w:name="_bookmark3"/>
      <w:bookmarkEnd w:id="8"/>
      <w:r>
        <w:rPr>
          <w:smallCaps/>
        </w:rPr>
        <w:t>Document</w:t>
      </w:r>
      <w:r>
        <w:rPr>
          <w:smallCaps/>
          <w:spacing w:val="-10"/>
        </w:rPr>
        <w:t xml:space="preserve"> </w:t>
      </w:r>
      <w:r>
        <w:rPr>
          <w:smallCaps/>
          <w:spacing w:val="-2"/>
        </w:rPr>
        <w:t>Overview</w:t>
      </w:r>
    </w:p>
    <w:p>
      <w:pPr>
        <w:pStyle w:val="BodyText"/>
        <w:spacing w:before="180"/>
        <w:ind w:left="224" w:right="478"/>
      </w:pPr>
      <w:r>
        <w:t>This</w:t>
      </w:r>
      <w:r>
        <w:rPr>
          <w:spacing w:val="-4"/>
        </w:rPr>
        <w:t xml:space="preserve"> </w:t>
      </w:r>
      <w:r>
        <w:t>document</w:t>
      </w:r>
      <w:r>
        <w:rPr>
          <w:spacing w:val="-4"/>
        </w:rPr>
        <w:t xml:space="preserve"> </w:t>
      </w:r>
      <w:r>
        <w:t>contains</w:t>
      </w:r>
      <w:r>
        <w:rPr>
          <w:spacing w:val="-4"/>
        </w:rPr>
        <w:t xml:space="preserve"> </w:t>
      </w:r>
      <w:r>
        <w:t>general</w:t>
      </w:r>
      <w:r>
        <w:rPr>
          <w:spacing w:val="-4"/>
        </w:rPr>
        <w:t xml:space="preserve"> </w:t>
      </w:r>
      <w:r>
        <w:t>pricing</w:t>
      </w:r>
      <w:r>
        <w:rPr>
          <w:spacing w:val="-4"/>
        </w:rPr>
        <w:t xml:space="preserve"> </w:t>
      </w:r>
      <w:r>
        <w:t>considerations</w:t>
      </w:r>
      <w:r>
        <w:rPr>
          <w:spacing w:val="-4"/>
        </w:rPr>
        <w:t xml:space="preserve"> </w:t>
      </w:r>
      <w:r>
        <w:t>and</w:t>
      </w:r>
      <w:r>
        <w:rPr>
          <w:spacing w:val="-4"/>
        </w:rPr>
        <w:t xml:space="preserve"> </w:t>
      </w:r>
      <w:r>
        <w:t>detailed</w:t>
      </w:r>
      <w:r>
        <w:rPr>
          <w:spacing w:val="-2"/>
        </w:rPr>
        <w:t xml:space="preserve"> </w:t>
      </w:r>
      <w:r>
        <w:t>instructions</w:t>
      </w:r>
      <w:r>
        <w:rPr>
          <w:spacing w:val="-3"/>
        </w:rPr>
        <w:t xml:space="preserve"> </w:t>
      </w:r>
      <w:r>
        <w:t>for</w:t>
      </w:r>
      <w:r>
        <w:rPr>
          <w:spacing w:val="-6"/>
        </w:rPr>
        <w:t xml:space="preserve"> </w:t>
      </w:r>
      <w:r>
        <w:t>completing the BPT. The contents of each section are as follows:</w:t>
      </w:r>
    </w:p>
    <w:p>
      <w:pPr>
        <w:pStyle w:val="ListParagraph"/>
        <w:numPr>
          <w:ilvl w:val="0"/>
          <w:numId w:val="16"/>
        </w:numPr>
        <w:tabs>
          <w:tab w:val="left" w:pos="944"/>
        </w:tabs>
        <w:spacing w:before="120" w:after="0" w:line="240" w:lineRule="auto"/>
        <w:ind w:left="944" w:right="947" w:hanging="360"/>
        <w:jc w:val="left"/>
        <w:rPr>
          <w:sz w:val="24"/>
        </w:rPr>
      </w:pPr>
      <w:r>
        <w:rPr>
          <w:sz w:val="24"/>
        </w:rPr>
        <w:t>Section</w:t>
      </w:r>
      <w:r>
        <w:rPr>
          <w:spacing w:val="-3"/>
          <w:sz w:val="24"/>
        </w:rPr>
        <w:t xml:space="preserve"> </w:t>
      </w:r>
      <w:r>
        <w:rPr>
          <w:sz w:val="24"/>
        </w:rPr>
        <w:t>I,</w:t>
      </w:r>
      <w:r>
        <w:rPr>
          <w:spacing w:val="-2"/>
          <w:sz w:val="24"/>
        </w:rPr>
        <w:t xml:space="preserve"> </w:t>
      </w:r>
      <w:r>
        <w:rPr>
          <w:sz w:val="24"/>
        </w:rPr>
        <w:t>“Introduction”:</w:t>
      </w:r>
      <w:r>
        <w:rPr>
          <w:spacing w:val="-2"/>
          <w:sz w:val="24"/>
        </w:rPr>
        <w:t xml:space="preserve"> </w:t>
      </w:r>
      <w:r>
        <w:rPr>
          <w:sz w:val="24"/>
        </w:rPr>
        <w:t>contains</w:t>
      </w:r>
      <w:r>
        <w:rPr>
          <w:spacing w:val="-3"/>
          <w:sz w:val="24"/>
        </w:rPr>
        <w:t xml:space="preserve"> </w:t>
      </w:r>
      <w:r>
        <w:rPr>
          <w:sz w:val="24"/>
        </w:rPr>
        <w:t>a</w:t>
      </w:r>
      <w:r>
        <w:rPr>
          <w:spacing w:val="-4"/>
          <w:sz w:val="24"/>
        </w:rPr>
        <w:t xml:space="preserve"> </w:t>
      </w:r>
      <w:r>
        <w:rPr>
          <w:sz w:val="24"/>
        </w:rPr>
        <w:t>list</w:t>
      </w:r>
      <w:r>
        <w:rPr>
          <w:spacing w:val="-3"/>
          <w:sz w:val="24"/>
        </w:rPr>
        <w:t xml:space="preserve"> </w:t>
      </w:r>
      <w:r>
        <w:rPr>
          <w:sz w:val="24"/>
        </w:rPr>
        <w:t>of</w:t>
      </w:r>
      <w:r>
        <w:rPr>
          <w:spacing w:val="-3"/>
          <w:sz w:val="24"/>
        </w:rPr>
        <w:t xml:space="preserve"> </w:t>
      </w:r>
      <w:r>
        <w:rPr>
          <w:sz w:val="24"/>
        </w:rPr>
        <w:t>key</w:t>
      </w:r>
      <w:r>
        <w:rPr>
          <w:spacing w:val="-3"/>
          <w:sz w:val="24"/>
        </w:rPr>
        <w:t xml:space="preserve"> </w:t>
      </w:r>
      <w:r>
        <w:rPr>
          <w:sz w:val="24"/>
        </w:rPr>
        <w:t>changes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CY2025</w:t>
      </w:r>
      <w:r>
        <w:rPr>
          <w:spacing w:val="-3"/>
          <w:sz w:val="24"/>
        </w:rPr>
        <w:t xml:space="preserve"> </w:t>
      </w:r>
      <w:r>
        <w:rPr>
          <w:sz w:val="24"/>
        </w:rPr>
        <w:t>BPT</w:t>
      </w:r>
      <w:r>
        <w:rPr>
          <w:spacing w:val="-3"/>
          <w:sz w:val="24"/>
        </w:rPr>
        <w:t xml:space="preserve"> </w:t>
      </w:r>
      <w:r>
        <w:rPr>
          <w:sz w:val="24"/>
        </w:rPr>
        <w:t>and provides sources of information that can be accessed for assistance during the bid submission process.</w:t>
      </w:r>
    </w:p>
    <w:p>
      <w:pPr>
        <w:pStyle w:val="ListParagraph"/>
        <w:numPr>
          <w:ilvl w:val="0"/>
          <w:numId w:val="16"/>
        </w:numPr>
        <w:tabs>
          <w:tab w:val="left" w:pos="944"/>
        </w:tabs>
        <w:spacing w:before="41" w:after="0" w:line="240" w:lineRule="auto"/>
        <w:ind w:left="944" w:right="1429" w:hanging="360"/>
        <w:jc w:val="left"/>
        <w:rPr>
          <w:sz w:val="24"/>
        </w:rPr>
      </w:pPr>
      <w:r>
        <w:rPr>
          <w:sz w:val="24"/>
        </w:rPr>
        <w:t>Section</w:t>
      </w:r>
      <w:r>
        <w:rPr>
          <w:spacing w:val="-5"/>
          <w:sz w:val="24"/>
        </w:rPr>
        <w:t xml:space="preserve"> </w:t>
      </w:r>
      <w:r>
        <w:rPr>
          <w:sz w:val="24"/>
        </w:rPr>
        <w:t>II,</w:t>
      </w:r>
      <w:r>
        <w:rPr>
          <w:spacing w:val="-5"/>
          <w:sz w:val="24"/>
        </w:rPr>
        <w:t xml:space="preserve"> </w:t>
      </w:r>
      <w:r>
        <w:rPr>
          <w:sz w:val="24"/>
        </w:rPr>
        <w:t>“Pricing</w:t>
      </w:r>
      <w:r>
        <w:rPr>
          <w:spacing w:val="-5"/>
          <w:sz w:val="24"/>
        </w:rPr>
        <w:t xml:space="preserve"> </w:t>
      </w:r>
      <w:r>
        <w:rPr>
          <w:sz w:val="24"/>
        </w:rPr>
        <w:t>Considerations”:</w:t>
      </w:r>
      <w:r>
        <w:rPr>
          <w:spacing w:val="-5"/>
          <w:sz w:val="24"/>
        </w:rPr>
        <w:t xml:space="preserve"> </w:t>
      </w:r>
      <w:r>
        <w:rPr>
          <w:sz w:val="24"/>
        </w:rPr>
        <w:t>contains</w:t>
      </w:r>
      <w:r>
        <w:rPr>
          <w:spacing w:val="-5"/>
          <w:sz w:val="24"/>
        </w:rPr>
        <w:t xml:space="preserve"> </w:t>
      </w:r>
      <w:r>
        <w:rPr>
          <w:sz w:val="24"/>
        </w:rPr>
        <w:t>guidance</w:t>
      </w:r>
      <w:r>
        <w:rPr>
          <w:spacing w:val="-6"/>
          <w:sz w:val="24"/>
        </w:rPr>
        <w:t xml:space="preserve"> </w:t>
      </w:r>
      <w:r>
        <w:rPr>
          <w:sz w:val="24"/>
        </w:rPr>
        <w:t>for</w:t>
      </w:r>
      <w:r>
        <w:rPr>
          <w:spacing w:val="-5"/>
          <w:sz w:val="24"/>
        </w:rPr>
        <w:t xml:space="preserve"> </w:t>
      </w:r>
      <w:r>
        <w:rPr>
          <w:sz w:val="24"/>
        </w:rPr>
        <w:t>preparing</w:t>
      </w:r>
      <w:r>
        <w:rPr>
          <w:spacing w:val="-5"/>
          <w:sz w:val="24"/>
        </w:rPr>
        <w:t xml:space="preserve"> </w:t>
      </w:r>
      <w:r>
        <w:rPr>
          <w:sz w:val="24"/>
        </w:rPr>
        <w:t>bids</w:t>
      </w:r>
      <w:r>
        <w:rPr>
          <w:spacing w:val="-3"/>
          <w:sz w:val="24"/>
        </w:rPr>
        <w:t xml:space="preserve"> </w:t>
      </w:r>
      <w:r>
        <w:rPr>
          <w:sz w:val="24"/>
        </w:rPr>
        <w:t>and presenting pricing results in the BPT.</w:t>
      </w:r>
    </w:p>
    <w:p>
      <w:pPr>
        <w:pStyle w:val="ListParagraph"/>
        <w:numPr>
          <w:ilvl w:val="0"/>
          <w:numId w:val="16"/>
        </w:numPr>
        <w:tabs>
          <w:tab w:val="left" w:pos="944"/>
        </w:tabs>
        <w:spacing w:before="41" w:after="0" w:line="240" w:lineRule="auto"/>
        <w:ind w:left="944" w:right="788" w:hanging="360"/>
        <w:jc w:val="left"/>
        <w:rPr>
          <w:sz w:val="24"/>
        </w:rPr>
      </w:pPr>
      <w:r>
        <w:rPr>
          <w:sz w:val="24"/>
        </w:rPr>
        <w:t>Section</w:t>
      </w:r>
      <w:r>
        <w:rPr>
          <w:spacing w:val="-4"/>
          <w:sz w:val="24"/>
        </w:rPr>
        <w:t xml:space="preserve"> </w:t>
      </w:r>
      <w:r>
        <w:rPr>
          <w:sz w:val="24"/>
        </w:rPr>
        <w:t>III,</w:t>
      </w:r>
      <w:r>
        <w:rPr>
          <w:spacing w:val="-4"/>
          <w:sz w:val="24"/>
        </w:rPr>
        <w:t xml:space="preserve"> </w:t>
      </w:r>
      <w:r>
        <w:rPr>
          <w:sz w:val="24"/>
        </w:rPr>
        <w:t>“Data</w:t>
      </w:r>
      <w:r>
        <w:rPr>
          <w:spacing w:val="-4"/>
          <w:sz w:val="24"/>
        </w:rPr>
        <w:t xml:space="preserve"> </w:t>
      </w:r>
      <w:r>
        <w:rPr>
          <w:sz w:val="24"/>
        </w:rPr>
        <w:t>Entry</w:t>
      </w:r>
      <w:r>
        <w:rPr>
          <w:spacing w:val="-3"/>
          <w:sz w:val="24"/>
        </w:rPr>
        <w:t xml:space="preserve"> </w:t>
      </w:r>
      <w:r>
        <w:rPr>
          <w:sz w:val="24"/>
        </w:rPr>
        <w:t>and</w:t>
      </w:r>
      <w:r>
        <w:rPr>
          <w:spacing w:val="-4"/>
          <w:sz w:val="24"/>
        </w:rPr>
        <w:t xml:space="preserve"> </w:t>
      </w:r>
      <w:r>
        <w:rPr>
          <w:sz w:val="24"/>
        </w:rPr>
        <w:t>Formulas”:</w:t>
      </w:r>
      <w:r>
        <w:rPr>
          <w:spacing w:val="-4"/>
          <w:sz w:val="24"/>
        </w:rPr>
        <w:t xml:space="preserve"> </w:t>
      </w:r>
      <w:r>
        <w:rPr>
          <w:sz w:val="24"/>
        </w:rPr>
        <w:t>contains</w:t>
      </w:r>
      <w:r>
        <w:rPr>
          <w:spacing w:val="-2"/>
          <w:sz w:val="24"/>
        </w:rPr>
        <w:t xml:space="preserve"> </w:t>
      </w:r>
      <w:r>
        <w:rPr>
          <w:sz w:val="24"/>
        </w:rPr>
        <w:t>directions</w:t>
      </w:r>
      <w:r>
        <w:rPr>
          <w:spacing w:val="-4"/>
          <w:sz w:val="24"/>
        </w:rPr>
        <w:t xml:space="preserve"> </w:t>
      </w:r>
      <w:r>
        <w:rPr>
          <w:sz w:val="24"/>
        </w:rPr>
        <w:t>for</w:t>
      </w:r>
      <w:r>
        <w:rPr>
          <w:spacing w:val="-6"/>
          <w:sz w:val="24"/>
        </w:rPr>
        <w:t xml:space="preserve"> </w:t>
      </w:r>
      <w:r>
        <w:rPr>
          <w:sz w:val="24"/>
        </w:rPr>
        <w:t>completing</w:t>
      </w:r>
      <w:r>
        <w:rPr>
          <w:spacing w:val="-2"/>
          <w:sz w:val="24"/>
        </w:rPr>
        <w:t xml:space="preserve"> </w:t>
      </w:r>
      <w:r>
        <w:rPr>
          <w:sz w:val="24"/>
        </w:rPr>
        <w:t>the</w:t>
      </w:r>
      <w:r>
        <w:rPr>
          <w:spacing w:val="-2"/>
          <w:sz w:val="24"/>
        </w:rPr>
        <w:t xml:space="preserve"> </w:t>
      </w:r>
      <w:r>
        <w:rPr>
          <w:sz w:val="24"/>
        </w:rPr>
        <w:t>seven worksheets in the BPT and explains the formulas for calculated cells.</w:t>
      </w:r>
    </w:p>
    <w:p>
      <w:pPr>
        <w:pStyle w:val="ListParagraph"/>
        <w:numPr>
          <w:ilvl w:val="0"/>
          <w:numId w:val="16"/>
        </w:numPr>
        <w:tabs>
          <w:tab w:val="left" w:pos="944"/>
        </w:tabs>
        <w:spacing w:before="38" w:after="0" w:line="240" w:lineRule="auto"/>
        <w:ind w:left="944" w:right="515" w:hanging="360"/>
        <w:jc w:val="left"/>
        <w:rPr>
          <w:sz w:val="24"/>
        </w:rPr>
      </w:pPr>
      <w:r>
        <w:rPr>
          <w:sz w:val="24"/>
        </w:rPr>
        <w:t>Section IV, Appendices A through F: contains requirements for Actuarial Certification (Appendix</w:t>
      </w:r>
      <w:r>
        <w:rPr>
          <w:spacing w:val="-6"/>
          <w:sz w:val="24"/>
        </w:rPr>
        <w:t xml:space="preserve"> </w:t>
      </w:r>
      <w:r>
        <w:rPr>
          <w:sz w:val="24"/>
        </w:rPr>
        <w:t>A),</w:t>
      </w:r>
      <w:r>
        <w:rPr>
          <w:spacing w:val="-6"/>
          <w:sz w:val="24"/>
        </w:rPr>
        <w:t xml:space="preserve"> </w:t>
      </w:r>
      <w:r>
        <w:rPr>
          <w:sz w:val="24"/>
        </w:rPr>
        <w:t>Supporting</w:t>
      </w:r>
      <w:r>
        <w:rPr>
          <w:spacing w:val="-6"/>
          <w:sz w:val="24"/>
        </w:rPr>
        <w:t xml:space="preserve"> </w:t>
      </w:r>
      <w:r>
        <w:rPr>
          <w:sz w:val="24"/>
        </w:rPr>
        <w:t>Documentation</w:t>
      </w:r>
      <w:r>
        <w:rPr>
          <w:spacing w:val="-5"/>
          <w:sz w:val="24"/>
        </w:rPr>
        <w:t xml:space="preserve"> </w:t>
      </w:r>
      <w:r>
        <w:rPr>
          <w:sz w:val="24"/>
        </w:rPr>
        <w:t>(Appendix</w:t>
      </w:r>
      <w:r>
        <w:rPr>
          <w:spacing w:val="-6"/>
          <w:sz w:val="24"/>
        </w:rPr>
        <w:t xml:space="preserve"> </w:t>
      </w:r>
      <w:r>
        <w:rPr>
          <w:sz w:val="24"/>
        </w:rPr>
        <w:t>B),</w:t>
      </w:r>
      <w:r>
        <w:rPr>
          <w:spacing w:val="-6"/>
          <w:sz w:val="24"/>
        </w:rPr>
        <w:t xml:space="preserve"> </w:t>
      </w:r>
      <w:r>
        <w:rPr>
          <w:sz w:val="24"/>
        </w:rPr>
        <w:t>Employer/Union-Only</w:t>
      </w:r>
      <w:r>
        <w:rPr>
          <w:spacing w:val="-6"/>
          <w:sz w:val="24"/>
        </w:rPr>
        <w:t xml:space="preserve"> </w:t>
      </w:r>
      <w:r>
        <w:rPr>
          <w:sz w:val="24"/>
        </w:rPr>
        <w:t>Group (EGWP) Requirements (Appendix C), Calculation of National Average Monthly Bid Amount (Appendix D), Calculation of Low-Income Benchmark Premium Amounts (Appendix E), and Trending Risk Scores (Appendix F).</w:t>
      </w:r>
    </w:p>
    <w:p>
      <w:pPr>
        <w:spacing w:after="0" w:line="240" w:lineRule="auto"/>
        <w:jc w:val="left"/>
        <w:rPr>
          <w:sz w:val="24"/>
        </w:rPr>
        <w:sectPr>
          <w:headerReference w:type="default" r:id="rId6"/>
          <w:footerReference w:type="default" r:id="rId7"/>
          <w:pgSz w:w="12240" w:h="15840"/>
          <w:pgMar w:top="1340" w:right="1000" w:bottom="940" w:left="1360" w:header="727" w:footer="747"/>
          <w:cols w:space="720"/>
        </w:sectPr>
      </w:pPr>
    </w:p>
    <w:p>
      <w:pPr>
        <w:pStyle w:val="Heading2"/>
        <w:spacing w:before="88"/>
        <w:ind w:left="224"/>
      </w:pPr>
      <w:bookmarkStart w:id="9" w:name="New for Contract Year 2026 (CY2026)"/>
      <w:bookmarkEnd w:id="9"/>
      <w:bookmarkStart w:id="10" w:name="_bookmark4"/>
      <w:bookmarkEnd w:id="10"/>
      <w:r>
        <w:rPr>
          <w:smallCaps/>
        </w:rPr>
        <w:t>New</w:t>
      </w:r>
      <w:r>
        <w:rPr>
          <w:smallCaps/>
          <w:spacing w:val="-12"/>
        </w:rPr>
        <w:t xml:space="preserve"> </w:t>
      </w:r>
      <w:r>
        <w:rPr>
          <w:smallCaps/>
        </w:rPr>
        <w:t>for</w:t>
      </w:r>
      <w:r>
        <w:rPr>
          <w:smallCaps/>
          <w:spacing w:val="-6"/>
        </w:rPr>
        <w:t xml:space="preserve"> </w:t>
      </w:r>
      <w:r>
        <w:rPr>
          <w:smallCaps/>
        </w:rPr>
        <w:t>Contract</w:t>
      </w:r>
      <w:r>
        <w:rPr>
          <w:smallCaps/>
          <w:spacing w:val="-7"/>
        </w:rPr>
        <w:t xml:space="preserve"> </w:t>
      </w:r>
      <w:r>
        <w:rPr>
          <w:smallCaps/>
        </w:rPr>
        <w:t>Year</w:t>
      </w:r>
      <w:r>
        <w:rPr>
          <w:smallCaps/>
          <w:spacing w:val="-6"/>
        </w:rPr>
        <w:t xml:space="preserve"> </w:t>
      </w:r>
      <w:r>
        <w:rPr>
          <w:smallCaps/>
        </w:rPr>
        <w:t>2026</w:t>
      </w:r>
      <w:r>
        <w:rPr>
          <w:smallCaps/>
          <w:spacing w:val="-15"/>
        </w:rPr>
        <w:t xml:space="preserve"> </w:t>
      </w:r>
      <w:r>
        <w:rPr>
          <w:smallCaps/>
          <w:spacing w:val="-2"/>
        </w:rPr>
        <w:t>(CY2026)</w:t>
      </w:r>
    </w:p>
    <w:p>
      <w:pPr>
        <w:pStyle w:val="ListParagraph"/>
        <w:numPr>
          <w:ilvl w:val="0"/>
          <w:numId w:val="16"/>
        </w:numPr>
        <w:tabs>
          <w:tab w:val="left" w:pos="944"/>
        </w:tabs>
        <w:spacing w:before="180" w:after="0" w:line="240" w:lineRule="auto"/>
        <w:ind w:left="944" w:right="0" w:hanging="360"/>
        <w:jc w:val="left"/>
        <w:rPr>
          <w:sz w:val="24"/>
        </w:rPr>
      </w:pPr>
      <w:r>
        <w:rPr>
          <w:sz w:val="24"/>
        </w:rPr>
        <w:t>Removal</w:t>
      </w:r>
      <w:r>
        <w:rPr>
          <w:spacing w:val="-1"/>
          <w:sz w:val="24"/>
        </w:rPr>
        <w:t xml:space="preserve"> </w:t>
      </w:r>
      <w:r>
        <w:rPr>
          <w:sz w:val="24"/>
        </w:rPr>
        <w:t>of</w:t>
      </w:r>
      <w:r>
        <w:rPr>
          <w:spacing w:val="-2"/>
          <w:sz w:val="24"/>
        </w:rPr>
        <w:t xml:space="preserve"> </w:t>
      </w:r>
      <w:r>
        <w:rPr>
          <w:sz w:val="24"/>
        </w:rPr>
        <w:t>insulins and</w:t>
      </w:r>
      <w:r>
        <w:rPr>
          <w:spacing w:val="-1"/>
          <w:sz w:val="24"/>
        </w:rPr>
        <w:t xml:space="preserve"> </w:t>
      </w:r>
      <w:r>
        <w:rPr>
          <w:sz w:val="24"/>
        </w:rPr>
        <w:t>vaccine</w:t>
      </w:r>
      <w:r>
        <w:rPr>
          <w:spacing w:val="-1"/>
          <w:sz w:val="24"/>
        </w:rPr>
        <w:t xml:space="preserve"> </w:t>
      </w:r>
      <w:r>
        <w:rPr>
          <w:sz w:val="24"/>
        </w:rPr>
        <w:t>lines</w:t>
      </w:r>
      <w:r>
        <w:rPr>
          <w:spacing w:val="1"/>
          <w:sz w:val="24"/>
        </w:rPr>
        <w:t xml:space="preserve"> </w:t>
      </w:r>
      <w:r>
        <w:rPr>
          <w:sz w:val="24"/>
        </w:rPr>
        <w:t>from</w:t>
      </w:r>
      <w:r>
        <w:rPr>
          <w:spacing w:val="-1"/>
          <w:sz w:val="24"/>
        </w:rPr>
        <w:t xml:space="preserve"> </w:t>
      </w:r>
      <w:r>
        <w:rPr>
          <w:sz w:val="24"/>
        </w:rPr>
        <w:t>Section</w:t>
      </w:r>
      <w:r>
        <w:rPr>
          <w:spacing w:val="-1"/>
          <w:sz w:val="24"/>
        </w:rPr>
        <w:t xml:space="preserve"> </w:t>
      </w:r>
      <w:r>
        <w:rPr>
          <w:sz w:val="24"/>
        </w:rPr>
        <w:t>VI</w:t>
      </w:r>
      <w:r>
        <w:rPr>
          <w:spacing w:val="-4"/>
          <w:sz w:val="24"/>
        </w:rPr>
        <w:t xml:space="preserve"> </w:t>
      </w:r>
      <w:r>
        <w:rPr>
          <w:sz w:val="24"/>
        </w:rPr>
        <w:t>on</w:t>
      </w:r>
      <w:r>
        <w:rPr>
          <w:spacing w:val="-1"/>
          <w:sz w:val="24"/>
        </w:rPr>
        <w:t xml:space="preserve"> </w:t>
      </w:r>
      <w:r>
        <w:rPr>
          <w:sz w:val="24"/>
        </w:rPr>
        <w:t xml:space="preserve">Worksheet </w:t>
      </w:r>
      <w:r>
        <w:rPr>
          <w:spacing w:val="-5"/>
          <w:sz w:val="24"/>
        </w:rPr>
        <w:t>1.</w:t>
      </w:r>
    </w:p>
    <w:p>
      <w:pPr>
        <w:pStyle w:val="ListParagraph"/>
        <w:numPr>
          <w:ilvl w:val="0"/>
          <w:numId w:val="16"/>
        </w:numPr>
        <w:tabs>
          <w:tab w:val="left" w:pos="944"/>
        </w:tabs>
        <w:spacing w:before="38" w:after="0" w:line="240" w:lineRule="auto"/>
        <w:ind w:left="944" w:right="1316" w:hanging="360"/>
        <w:jc w:val="left"/>
        <w:rPr>
          <w:sz w:val="24"/>
        </w:rPr>
      </w:pPr>
      <w:r>
        <w:rPr>
          <w:sz w:val="24"/>
        </w:rPr>
        <w:t>Addition</w:t>
      </w:r>
      <w:r>
        <w:rPr>
          <w:spacing w:val="-4"/>
          <w:sz w:val="24"/>
        </w:rPr>
        <w:t xml:space="preserve"> </w:t>
      </w:r>
      <w:r>
        <w:rPr>
          <w:sz w:val="24"/>
        </w:rPr>
        <w:t>of</w:t>
      </w:r>
      <w:r>
        <w:rPr>
          <w:spacing w:val="-5"/>
          <w:sz w:val="24"/>
        </w:rPr>
        <w:t xml:space="preserve"> </w:t>
      </w:r>
      <w:r>
        <w:rPr>
          <w:sz w:val="24"/>
        </w:rPr>
        <w:t>Section</w:t>
      </w:r>
      <w:r>
        <w:rPr>
          <w:spacing w:val="-4"/>
          <w:sz w:val="24"/>
        </w:rPr>
        <w:t xml:space="preserve"> </w:t>
      </w:r>
      <w:r>
        <w:rPr>
          <w:sz w:val="24"/>
        </w:rPr>
        <w:t>VIII</w:t>
      </w:r>
      <w:r>
        <w:rPr>
          <w:spacing w:val="-4"/>
          <w:sz w:val="24"/>
        </w:rPr>
        <w:t xml:space="preserve"> </w:t>
      </w:r>
      <w:r>
        <w:rPr>
          <w:sz w:val="24"/>
        </w:rPr>
        <w:t>on</w:t>
      </w:r>
      <w:r>
        <w:rPr>
          <w:spacing w:val="-4"/>
          <w:sz w:val="24"/>
        </w:rPr>
        <w:t xml:space="preserve"> </w:t>
      </w:r>
      <w:r>
        <w:rPr>
          <w:sz w:val="24"/>
        </w:rPr>
        <w:t>Worksheet</w:t>
      </w:r>
      <w:r>
        <w:rPr>
          <w:spacing w:val="-4"/>
          <w:sz w:val="24"/>
        </w:rPr>
        <w:t xml:space="preserve"> </w:t>
      </w:r>
      <w:r>
        <w:rPr>
          <w:sz w:val="24"/>
        </w:rPr>
        <w:t>1</w:t>
      </w:r>
      <w:r>
        <w:rPr>
          <w:spacing w:val="-2"/>
          <w:sz w:val="24"/>
        </w:rPr>
        <w:t xml:space="preserve"> </w:t>
      </w:r>
      <w:r>
        <w:rPr>
          <w:sz w:val="24"/>
        </w:rPr>
        <w:t>and</w:t>
      </w:r>
      <w:r>
        <w:rPr>
          <w:spacing w:val="-4"/>
          <w:sz w:val="24"/>
        </w:rPr>
        <w:t xml:space="preserve"> </w:t>
      </w:r>
      <w:r>
        <w:rPr>
          <w:sz w:val="24"/>
        </w:rPr>
        <w:t>Worksheet</w:t>
      </w:r>
      <w:r>
        <w:rPr>
          <w:spacing w:val="-4"/>
          <w:sz w:val="24"/>
        </w:rPr>
        <w:t xml:space="preserve"> </w:t>
      </w:r>
      <w:r>
        <w:rPr>
          <w:sz w:val="24"/>
        </w:rPr>
        <w:t>2</w:t>
      </w:r>
      <w:r>
        <w:rPr>
          <w:spacing w:val="-2"/>
          <w:sz w:val="24"/>
        </w:rPr>
        <w:t xml:space="preserve"> </w:t>
      </w:r>
      <w:r>
        <w:rPr>
          <w:sz w:val="24"/>
        </w:rPr>
        <w:t>to</w:t>
      </w:r>
      <w:r>
        <w:rPr>
          <w:spacing w:val="-4"/>
          <w:sz w:val="24"/>
        </w:rPr>
        <w:t xml:space="preserve"> </w:t>
      </w:r>
      <w:r>
        <w:rPr>
          <w:sz w:val="24"/>
        </w:rPr>
        <w:t>reflect</w:t>
      </w:r>
      <w:r>
        <w:rPr>
          <w:spacing w:val="-4"/>
          <w:sz w:val="24"/>
        </w:rPr>
        <w:t xml:space="preserve"> </w:t>
      </w:r>
      <w:r>
        <w:rPr>
          <w:sz w:val="24"/>
        </w:rPr>
        <w:t>the</w:t>
      </w:r>
      <w:r>
        <w:rPr>
          <w:spacing w:val="-5"/>
          <w:sz w:val="24"/>
        </w:rPr>
        <w:t xml:space="preserve"> </w:t>
      </w:r>
      <w:r>
        <w:rPr>
          <w:sz w:val="24"/>
        </w:rPr>
        <w:t>dollars associated with DIR #10 in the base and projected period.</w:t>
      </w:r>
    </w:p>
    <w:p>
      <w:pPr>
        <w:pStyle w:val="ListParagraph"/>
        <w:numPr>
          <w:ilvl w:val="0"/>
          <w:numId w:val="16"/>
        </w:numPr>
        <w:tabs>
          <w:tab w:val="left" w:pos="944"/>
        </w:tabs>
        <w:spacing w:before="41" w:after="0" w:line="240" w:lineRule="auto"/>
        <w:ind w:left="944" w:right="0" w:hanging="360"/>
        <w:jc w:val="left"/>
        <w:rPr>
          <w:sz w:val="24"/>
        </w:rPr>
      </w:pPr>
      <w:r>
        <w:rPr>
          <w:sz w:val="24"/>
        </w:rPr>
        <w:t>Activation</w:t>
      </w:r>
      <w:r>
        <w:rPr>
          <w:spacing w:val="-1"/>
          <w:sz w:val="24"/>
        </w:rPr>
        <w:t xml:space="preserve"> </w:t>
      </w:r>
      <w:r>
        <w:rPr>
          <w:sz w:val="24"/>
        </w:rPr>
        <w:t>of</w:t>
      </w:r>
      <w:r>
        <w:rPr>
          <w:spacing w:val="-2"/>
          <w:sz w:val="24"/>
        </w:rPr>
        <w:t xml:space="preserve"> </w:t>
      </w:r>
      <w:r>
        <w:rPr>
          <w:sz w:val="24"/>
        </w:rPr>
        <w:t>cells</w:t>
      </w:r>
      <w:r>
        <w:rPr>
          <w:spacing w:val="-1"/>
          <w:sz w:val="24"/>
        </w:rPr>
        <w:t xml:space="preserve"> </w:t>
      </w:r>
      <w:r>
        <w:rPr>
          <w:sz w:val="24"/>
        </w:rPr>
        <w:t>on</w:t>
      </w:r>
      <w:r>
        <w:rPr>
          <w:spacing w:val="-1"/>
          <w:sz w:val="24"/>
        </w:rPr>
        <w:t xml:space="preserve"> </w:t>
      </w:r>
      <w:r>
        <w:rPr>
          <w:sz w:val="24"/>
        </w:rPr>
        <w:t>Worksheet 2</w:t>
      </w:r>
      <w:r>
        <w:rPr>
          <w:spacing w:val="-1"/>
          <w:sz w:val="24"/>
        </w:rPr>
        <w:t xml:space="preserve"> </w:t>
      </w:r>
      <w:r>
        <w:rPr>
          <w:sz w:val="24"/>
        </w:rPr>
        <w:t>for</w:t>
      </w:r>
      <w:r>
        <w:rPr>
          <w:spacing w:val="-2"/>
          <w:sz w:val="24"/>
        </w:rPr>
        <w:t xml:space="preserve"> </w:t>
      </w:r>
      <w:r>
        <w:rPr>
          <w:sz w:val="24"/>
        </w:rPr>
        <w:t>Maximum</w:t>
      </w:r>
      <w:r>
        <w:rPr>
          <w:spacing w:val="-1"/>
          <w:sz w:val="24"/>
        </w:rPr>
        <w:t xml:space="preserve"> </w:t>
      </w:r>
      <w:r>
        <w:rPr>
          <w:sz w:val="24"/>
        </w:rPr>
        <w:t>Fair</w:t>
      </w:r>
      <w:r>
        <w:rPr>
          <w:spacing w:val="-1"/>
          <w:sz w:val="24"/>
        </w:rPr>
        <w:t xml:space="preserve"> </w:t>
      </w:r>
      <w:r>
        <w:rPr>
          <w:sz w:val="24"/>
        </w:rPr>
        <w:t>Price</w:t>
      </w:r>
      <w:r>
        <w:rPr>
          <w:spacing w:val="-1"/>
          <w:sz w:val="24"/>
        </w:rPr>
        <w:t xml:space="preserve"> </w:t>
      </w:r>
      <w:r>
        <w:rPr>
          <w:spacing w:val="-2"/>
          <w:sz w:val="24"/>
        </w:rPr>
        <w:t>Drugs.</w:t>
      </w:r>
    </w:p>
    <w:p>
      <w:pPr>
        <w:pStyle w:val="ListParagraph"/>
        <w:numPr>
          <w:ilvl w:val="0"/>
          <w:numId w:val="16"/>
        </w:numPr>
        <w:tabs>
          <w:tab w:val="left" w:pos="944"/>
        </w:tabs>
        <w:spacing w:before="41" w:after="0" w:line="240" w:lineRule="auto"/>
        <w:ind w:left="944" w:right="1060" w:hanging="360"/>
        <w:jc w:val="left"/>
        <w:rPr>
          <w:sz w:val="24"/>
        </w:rPr>
      </w:pPr>
      <w:r>
        <w:rPr>
          <w:sz w:val="24"/>
        </w:rPr>
        <w:t>Activation</w:t>
      </w:r>
      <w:r>
        <w:rPr>
          <w:spacing w:val="-4"/>
          <w:sz w:val="24"/>
        </w:rPr>
        <w:t xml:space="preserve"> </w:t>
      </w:r>
      <w:r>
        <w:rPr>
          <w:sz w:val="24"/>
        </w:rPr>
        <w:t>of</w:t>
      </w:r>
      <w:r>
        <w:rPr>
          <w:spacing w:val="-5"/>
          <w:sz w:val="24"/>
        </w:rPr>
        <w:t xml:space="preserve"> </w:t>
      </w:r>
      <w:r>
        <w:rPr>
          <w:sz w:val="24"/>
        </w:rPr>
        <w:t>Maximum</w:t>
      </w:r>
      <w:r>
        <w:rPr>
          <w:spacing w:val="-4"/>
          <w:sz w:val="24"/>
        </w:rPr>
        <w:t xml:space="preserve"> </w:t>
      </w:r>
      <w:r>
        <w:rPr>
          <w:sz w:val="24"/>
        </w:rPr>
        <w:t>Fair</w:t>
      </w:r>
      <w:r>
        <w:rPr>
          <w:spacing w:val="-4"/>
          <w:sz w:val="24"/>
        </w:rPr>
        <w:t xml:space="preserve"> </w:t>
      </w:r>
      <w:r>
        <w:rPr>
          <w:sz w:val="24"/>
        </w:rPr>
        <w:t>Price</w:t>
      </w:r>
      <w:r>
        <w:rPr>
          <w:spacing w:val="-5"/>
          <w:sz w:val="24"/>
        </w:rPr>
        <w:t xml:space="preserve"> </w:t>
      </w:r>
      <w:r>
        <w:rPr>
          <w:sz w:val="24"/>
        </w:rPr>
        <w:t>Drug</w:t>
      </w:r>
      <w:r>
        <w:rPr>
          <w:spacing w:val="-2"/>
          <w:sz w:val="24"/>
        </w:rPr>
        <w:t xml:space="preserve"> </w:t>
      </w:r>
      <w:r>
        <w:rPr>
          <w:sz w:val="24"/>
        </w:rPr>
        <w:t>inputs</w:t>
      </w:r>
      <w:r>
        <w:rPr>
          <w:spacing w:val="-4"/>
          <w:sz w:val="24"/>
        </w:rPr>
        <w:t xml:space="preserve"> </w:t>
      </w:r>
      <w:r>
        <w:rPr>
          <w:sz w:val="24"/>
        </w:rPr>
        <w:t>on</w:t>
      </w:r>
      <w:r>
        <w:rPr>
          <w:spacing w:val="-2"/>
          <w:sz w:val="24"/>
        </w:rPr>
        <w:t xml:space="preserve"> </w:t>
      </w:r>
      <w:r>
        <w:rPr>
          <w:sz w:val="24"/>
        </w:rPr>
        <w:t>Section</w:t>
      </w:r>
      <w:r>
        <w:rPr>
          <w:spacing w:val="-4"/>
          <w:sz w:val="24"/>
        </w:rPr>
        <w:t xml:space="preserve"> </w:t>
      </w:r>
      <w:r>
        <w:rPr>
          <w:sz w:val="24"/>
        </w:rPr>
        <w:t>IV</w:t>
      </w:r>
      <w:r>
        <w:rPr>
          <w:spacing w:val="-4"/>
          <w:sz w:val="24"/>
        </w:rPr>
        <w:t xml:space="preserve"> </w:t>
      </w:r>
      <w:r>
        <w:rPr>
          <w:sz w:val="24"/>
        </w:rPr>
        <w:t>of</w:t>
      </w:r>
      <w:r>
        <w:rPr>
          <w:spacing w:val="-4"/>
          <w:sz w:val="24"/>
        </w:rPr>
        <w:t xml:space="preserve"> </w:t>
      </w:r>
      <w:r>
        <w:rPr>
          <w:sz w:val="24"/>
        </w:rPr>
        <w:t>Worksheet</w:t>
      </w:r>
      <w:r>
        <w:rPr>
          <w:spacing w:val="-2"/>
          <w:sz w:val="24"/>
        </w:rPr>
        <w:t xml:space="preserve"> </w:t>
      </w:r>
      <w:r>
        <w:rPr>
          <w:sz w:val="24"/>
        </w:rPr>
        <w:t>3</w:t>
      </w:r>
      <w:r>
        <w:rPr>
          <w:spacing w:val="-3"/>
          <w:sz w:val="24"/>
        </w:rPr>
        <w:t xml:space="preserve"> </w:t>
      </w:r>
      <w:r>
        <w:rPr>
          <w:sz w:val="24"/>
        </w:rPr>
        <w:t>and removal of the insulins and vaccines lines from this section.</w:t>
      </w:r>
    </w:p>
    <w:p>
      <w:pPr>
        <w:pStyle w:val="ListParagraph"/>
        <w:numPr>
          <w:ilvl w:val="0"/>
          <w:numId w:val="16"/>
        </w:numPr>
        <w:tabs>
          <w:tab w:val="left" w:pos="944"/>
        </w:tabs>
        <w:spacing w:before="38" w:after="0" w:line="240" w:lineRule="auto"/>
        <w:ind w:left="944" w:right="0" w:hanging="360"/>
        <w:jc w:val="left"/>
        <w:rPr>
          <w:sz w:val="24"/>
        </w:rPr>
      </w:pPr>
      <w:r>
        <w:rPr>
          <w:sz w:val="24"/>
        </w:rPr>
        <w:t>Activation</w:t>
      </w:r>
      <w:r>
        <w:rPr>
          <w:spacing w:val="-2"/>
          <w:sz w:val="24"/>
        </w:rPr>
        <w:t xml:space="preserve"> </w:t>
      </w:r>
      <w:r>
        <w:rPr>
          <w:sz w:val="24"/>
        </w:rPr>
        <w:t>and</w:t>
      </w:r>
      <w:r>
        <w:rPr>
          <w:spacing w:val="-1"/>
          <w:sz w:val="24"/>
        </w:rPr>
        <w:t xml:space="preserve"> </w:t>
      </w:r>
      <w:r>
        <w:rPr>
          <w:sz w:val="24"/>
        </w:rPr>
        <w:t>relocation of</w:t>
      </w:r>
      <w:r>
        <w:rPr>
          <w:spacing w:val="-2"/>
          <w:sz w:val="24"/>
        </w:rPr>
        <w:t xml:space="preserve"> </w:t>
      </w:r>
      <w:r>
        <w:rPr>
          <w:sz w:val="24"/>
        </w:rPr>
        <w:t>inputs</w:t>
      </w:r>
      <w:r>
        <w:rPr>
          <w:spacing w:val="-1"/>
          <w:sz w:val="24"/>
        </w:rPr>
        <w:t xml:space="preserve"> </w:t>
      </w:r>
      <w:r>
        <w:rPr>
          <w:sz w:val="24"/>
        </w:rPr>
        <w:t>on</w:t>
      </w:r>
      <w:r>
        <w:rPr>
          <w:spacing w:val="-1"/>
          <w:sz w:val="24"/>
        </w:rPr>
        <w:t xml:space="preserve"> </w:t>
      </w:r>
      <w:r>
        <w:rPr>
          <w:sz w:val="24"/>
        </w:rPr>
        <w:t>Worksheet</w:t>
      </w:r>
      <w:r>
        <w:rPr>
          <w:spacing w:val="1"/>
          <w:sz w:val="24"/>
        </w:rPr>
        <w:t xml:space="preserve"> </w:t>
      </w:r>
      <w:r>
        <w:rPr>
          <w:sz w:val="24"/>
        </w:rPr>
        <w:t>6</w:t>
      </w:r>
      <w:r>
        <w:rPr>
          <w:spacing w:val="-1"/>
          <w:sz w:val="24"/>
        </w:rPr>
        <w:t xml:space="preserve"> </w:t>
      </w:r>
      <w:r>
        <w:rPr>
          <w:sz w:val="24"/>
        </w:rPr>
        <w:t>for</w:t>
      </w:r>
      <w:r>
        <w:rPr>
          <w:spacing w:val="-2"/>
          <w:sz w:val="24"/>
        </w:rPr>
        <w:t xml:space="preserve"> </w:t>
      </w:r>
      <w:r>
        <w:rPr>
          <w:sz w:val="24"/>
        </w:rPr>
        <w:t>Subsidy</w:t>
      </w:r>
      <w:r>
        <w:rPr>
          <w:spacing w:val="-1"/>
          <w:sz w:val="24"/>
        </w:rPr>
        <w:t xml:space="preserve"> </w:t>
      </w:r>
      <w:r>
        <w:rPr>
          <w:sz w:val="24"/>
        </w:rPr>
        <w:t>for</w:t>
      </w:r>
      <w:r>
        <w:rPr>
          <w:spacing w:val="-1"/>
          <w:sz w:val="24"/>
        </w:rPr>
        <w:t xml:space="preserve"> </w:t>
      </w:r>
      <w:r>
        <w:rPr>
          <w:sz w:val="24"/>
        </w:rPr>
        <w:t xml:space="preserve">Selected </w:t>
      </w:r>
      <w:r>
        <w:rPr>
          <w:spacing w:val="-2"/>
          <w:sz w:val="24"/>
        </w:rPr>
        <w:t>Drugs.</w:t>
      </w:r>
    </w:p>
    <w:p>
      <w:pPr>
        <w:pStyle w:val="BodyText"/>
        <w:spacing w:before="48"/>
        <w:ind w:left="0"/>
      </w:pPr>
    </w:p>
    <w:p>
      <w:pPr>
        <w:pStyle w:val="Heading2"/>
        <w:ind w:left="224"/>
      </w:pPr>
      <w:bookmarkStart w:id="11" w:name="Bidding Resources"/>
      <w:bookmarkEnd w:id="11"/>
      <w:bookmarkStart w:id="12" w:name="_bookmark5"/>
      <w:bookmarkEnd w:id="12"/>
      <w:r>
        <w:rPr>
          <w:smallCaps/>
        </w:rPr>
        <w:t>Bidding</w:t>
      </w:r>
      <w:r>
        <w:rPr>
          <w:smallCaps/>
          <w:spacing w:val="-10"/>
        </w:rPr>
        <w:t xml:space="preserve"> </w:t>
      </w:r>
      <w:r>
        <w:rPr>
          <w:smallCaps/>
          <w:spacing w:val="-2"/>
        </w:rPr>
        <w:t>Resources</w:t>
      </w:r>
    </w:p>
    <w:p>
      <w:pPr>
        <w:pStyle w:val="BodyText"/>
        <w:spacing w:before="177"/>
        <w:ind w:left="224"/>
      </w:pPr>
      <w:r>
        <w:t>The</w:t>
      </w:r>
      <w:r>
        <w:rPr>
          <w:spacing w:val="-3"/>
        </w:rPr>
        <w:t xml:space="preserve"> </w:t>
      </w:r>
      <w:r>
        <w:t>following</w:t>
      </w:r>
      <w:r>
        <w:rPr>
          <w:spacing w:val="-1"/>
        </w:rPr>
        <w:t xml:space="preserve"> </w:t>
      </w:r>
      <w:r>
        <w:t>resources</w:t>
      </w:r>
      <w:r>
        <w:rPr>
          <w:spacing w:val="2"/>
        </w:rPr>
        <w:t xml:space="preserve"> </w:t>
      </w:r>
      <w:r>
        <w:t>provide</w:t>
      </w:r>
      <w:r>
        <w:rPr>
          <w:spacing w:val="-1"/>
        </w:rPr>
        <w:t xml:space="preserve"> </w:t>
      </w:r>
      <w:r>
        <w:t>information on</w:t>
      </w:r>
      <w:r>
        <w:rPr>
          <w:spacing w:val="-1"/>
        </w:rPr>
        <w:t xml:space="preserve"> </w:t>
      </w:r>
      <w:r>
        <w:t xml:space="preserve">CY2026 </w:t>
      </w:r>
      <w:r>
        <w:rPr>
          <w:spacing w:val="-2"/>
        </w:rPr>
        <w:t>bidding:</w:t>
      </w:r>
    </w:p>
    <w:p>
      <w:pPr>
        <w:pStyle w:val="ListParagraph"/>
        <w:numPr>
          <w:ilvl w:val="0"/>
          <w:numId w:val="16"/>
        </w:numPr>
        <w:tabs>
          <w:tab w:val="left" w:pos="944"/>
        </w:tabs>
        <w:spacing w:before="120" w:after="0" w:line="240" w:lineRule="auto"/>
        <w:ind w:left="944" w:right="1532" w:hanging="360"/>
        <w:jc w:val="left"/>
        <w:rPr>
          <w:sz w:val="24"/>
        </w:rPr>
      </w:pPr>
      <w:r>
        <w:rPr>
          <w:sz w:val="24"/>
        </w:rPr>
        <w:t xml:space="preserve">The CY2026 Advance Notice and Announcement are available at </w:t>
      </w:r>
      <w:hyperlink r:id="rId8">
        <w:r>
          <w:rPr>
            <w:color w:val="0000FF"/>
            <w:spacing w:val="-2"/>
            <w:sz w:val="24"/>
            <w:u w:val="single" w:color="0000FF"/>
          </w:rPr>
          <w:t>https://www.cms.gov/medicare/payment/medicare-advantage-rates-statistics/</w:t>
        </w:r>
      </w:hyperlink>
      <w:r>
        <w:rPr>
          <w:color w:val="0000FF"/>
          <w:spacing w:val="-2"/>
          <w:sz w:val="24"/>
          <w:u w:val="none"/>
        </w:rPr>
        <w:t xml:space="preserve"> </w:t>
      </w:r>
      <w:hyperlink r:id="rId8">
        <w:r>
          <w:rPr>
            <w:color w:val="0000FF"/>
            <w:spacing w:val="-2"/>
            <w:sz w:val="24"/>
            <w:u w:val="single" w:color="0000FF"/>
          </w:rPr>
          <w:t>announcements-and-documents</w:t>
        </w:r>
      </w:hyperlink>
      <w:r>
        <w:rPr>
          <w:spacing w:val="-2"/>
          <w:sz w:val="24"/>
          <w:u w:val="none"/>
        </w:rPr>
        <w:t>.</w:t>
      </w:r>
    </w:p>
    <w:p>
      <w:pPr>
        <w:pStyle w:val="ListParagraph"/>
        <w:numPr>
          <w:ilvl w:val="0"/>
          <w:numId w:val="16"/>
        </w:numPr>
        <w:tabs>
          <w:tab w:val="left" w:pos="944"/>
        </w:tabs>
        <w:spacing w:before="41" w:after="0" w:line="240" w:lineRule="auto"/>
        <w:ind w:left="944" w:right="917" w:hanging="360"/>
        <w:jc w:val="left"/>
        <w:rPr>
          <w:sz w:val="24"/>
        </w:rPr>
      </w:pPr>
      <w:r>
        <w:rPr>
          <w:sz w:val="24"/>
        </w:rPr>
        <w:t>The</w:t>
      </w:r>
      <w:r>
        <w:rPr>
          <w:spacing w:val="-8"/>
          <w:sz w:val="24"/>
        </w:rPr>
        <w:t xml:space="preserve"> </w:t>
      </w:r>
      <w:r>
        <w:rPr>
          <w:sz w:val="24"/>
        </w:rPr>
        <w:t>Actuarial</w:t>
      </w:r>
      <w:r>
        <w:rPr>
          <w:spacing w:val="-6"/>
          <w:sz w:val="24"/>
        </w:rPr>
        <w:t xml:space="preserve"> </w:t>
      </w:r>
      <w:r>
        <w:rPr>
          <w:sz w:val="24"/>
        </w:rPr>
        <w:t>Bid</w:t>
      </w:r>
      <w:r>
        <w:rPr>
          <w:spacing w:val="-6"/>
          <w:sz w:val="24"/>
        </w:rPr>
        <w:t xml:space="preserve"> </w:t>
      </w:r>
      <w:r>
        <w:rPr>
          <w:sz w:val="24"/>
        </w:rPr>
        <w:t>Training</w:t>
      </w:r>
      <w:r>
        <w:rPr>
          <w:spacing w:val="-6"/>
          <w:sz w:val="24"/>
        </w:rPr>
        <w:t xml:space="preserve"> </w:t>
      </w:r>
      <w:r>
        <w:rPr>
          <w:sz w:val="24"/>
        </w:rPr>
        <w:t>is</w:t>
      </w:r>
      <w:r>
        <w:rPr>
          <w:spacing w:val="-6"/>
          <w:sz w:val="24"/>
        </w:rPr>
        <w:t xml:space="preserve"> </w:t>
      </w:r>
      <w:r>
        <w:rPr>
          <w:sz w:val="24"/>
        </w:rPr>
        <w:t>available</w:t>
      </w:r>
      <w:r>
        <w:rPr>
          <w:spacing w:val="-6"/>
          <w:sz w:val="24"/>
        </w:rPr>
        <w:t xml:space="preserve"> </w:t>
      </w:r>
      <w:r>
        <w:rPr>
          <w:sz w:val="24"/>
        </w:rPr>
        <w:t>at</w:t>
      </w:r>
      <w:r>
        <w:rPr>
          <w:spacing w:val="-3"/>
          <w:sz w:val="24"/>
        </w:rPr>
        <w:t xml:space="preserve"> </w:t>
      </w:r>
      <w:hyperlink r:id="rId9">
        <w:r>
          <w:rPr>
            <w:color w:val="0000FF"/>
            <w:sz w:val="24"/>
            <w:u w:val="single" w:color="0000FF"/>
          </w:rPr>
          <w:t>https://www.cms.gov/medicare/payment/</w:t>
        </w:r>
      </w:hyperlink>
      <w:r>
        <w:rPr>
          <w:color w:val="0000FF"/>
          <w:sz w:val="24"/>
          <w:u w:val="none"/>
        </w:rPr>
        <w:t xml:space="preserve"> </w:t>
      </w:r>
      <w:hyperlink r:id="rId9">
        <w:r>
          <w:rPr>
            <w:color w:val="0000FF"/>
            <w:spacing w:val="-2"/>
            <w:sz w:val="24"/>
            <w:u w:val="single" w:color="0000FF"/>
          </w:rPr>
          <w:t>medicare-advantage-rates-statistics/actuarial-bid-training</w:t>
        </w:r>
      </w:hyperlink>
      <w:r>
        <w:rPr>
          <w:spacing w:val="-2"/>
          <w:sz w:val="24"/>
          <w:u w:val="none"/>
        </w:rPr>
        <w:t>.</w:t>
      </w:r>
    </w:p>
    <w:p>
      <w:pPr>
        <w:pStyle w:val="ListParagraph"/>
        <w:numPr>
          <w:ilvl w:val="0"/>
          <w:numId w:val="16"/>
        </w:numPr>
        <w:tabs>
          <w:tab w:val="left" w:pos="944"/>
        </w:tabs>
        <w:spacing w:before="38" w:after="0" w:line="240" w:lineRule="auto"/>
        <w:ind w:left="944" w:right="1310" w:hanging="360"/>
        <w:jc w:val="left"/>
        <w:rPr>
          <w:sz w:val="24"/>
        </w:rPr>
      </w:pPr>
      <w:r>
        <w:rPr>
          <w:sz w:val="24"/>
        </w:rPr>
        <w:t>For</w:t>
      </w:r>
      <w:r>
        <w:rPr>
          <w:spacing w:val="-4"/>
          <w:sz w:val="24"/>
        </w:rPr>
        <w:t xml:space="preserve"> </w:t>
      </w:r>
      <w:r>
        <w:rPr>
          <w:sz w:val="24"/>
        </w:rPr>
        <w:t>questions</w:t>
      </w:r>
      <w:r>
        <w:rPr>
          <w:spacing w:val="-4"/>
          <w:sz w:val="24"/>
        </w:rPr>
        <w:t xml:space="preserve"> </w:t>
      </w:r>
      <w:r>
        <w:rPr>
          <w:sz w:val="24"/>
        </w:rPr>
        <w:t>about</w:t>
      </w:r>
      <w:r>
        <w:rPr>
          <w:spacing w:val="-4"/>
          <w:sz w:val="24"/>
        </w:rPr>
        <w:t xml:space="preserve"> </w:t>
      </w:r>
      <w:r>
        <w:rPr>
          <w:sz w:val="24"/>
        </w:rPr>
        <w:t>the</w:t>
      </w:r>
      <w:r>
        <w:rPr>
          <w:spacing w:val="-2"/>
          <w:sz w:val="24"/>
        </w:rPr>
        <w:t xml:space="preserve"> </w:t>
      </w:r>
      <w:r>
        <w:rPr>
          <w:sz w:val="24"/>
        </w:rPr>
        <w:t>BPT,</w:t>
      </w:r>
      <w:r>
        <w:rPr>
          <w:spacing w:val="-4"/>
          <w:sz w:val="24"/>
        </w:rPr>
        <w:t xml:space="preserve"> </w:t>
      </w:r>
      <w:r>
        <w:rPr>
          <w:sz w:val="24"/>
        </w:rPr>
        <w:t>e-mail</w:t>
      </w:r>
      <w:r>
        <w:rPr>
          <w:spacing w:val="-4"/>
          <w:sz w:val="24"/>
        </w:rPr>
        <w:t xml:space="preserve"> </w:t>
      </w:r>
      <w:r>
        <w:rPr>
          <w:sz w:val="24"/>
        </w:rPr>
        <w:t>the</w:t>
      </w:r>
      <w:r>
        <w:rPr>
          <w:spacing w:val="-5"/>
          <w:sz w:val="24"/>
        </w:rPr>
        <w:t xml:space="preserve"> </w:t>
      </w:r>
      <w:r>
        <w:rPr>
          <w:sz w:val="24"/>
        </w:rPr>
        <w:t>CMS</w:t>
      </w:r>
      <w:r>
        <w:rPr>
          <w:spacing w:val="-4"/>
          <w:sz w:val="24"/>
        </w:rPr>
        <w:t xml:space="preserve"> </w:t>
      </w:r>
      <w:r>
        <w:rPr>
          <w:sz w:val="24"/>
        </w:rPr>
        <w:t>Office</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Actuary</w:t>
      </w:r>
      <w:r>
        <w:rPr>
          <w:spacing w:val="-2"/>
          <w:sz w:val="24"/>
        </w:rPr>
        <w:t xml:space="preserve"> </w:t>
      </w:r>
      <w:r>
        <w:rPr>
          <w:sz w:val="24"/>
        </w:rPr>
        <w:t>(OACT)</w:t>
      </w:r>
      <w:r>
        <w:rPr>
          <w:spacing w:val="-5"/>
          <w:sz w:val="24"/>
        </w:rPr>
        <w:t xml:space="preserve"> </w:t>
      </w:r>
      <w:r>
        <w:rPr>
          <w:sz w:val="24"/>
        </w:rPr>
        <w:t xml:space="preserve">at </w:t>
      </w:r>
      <w:hyperlink r:id="rId10">
        <w:r>
          <w:rPr>
            <w:color w:val="0000FF"/>
            <w:spacing w:val="-2"/>
            <w:sz w:val="24"/>
            <w:u w:val="single" w:color="0000FF"/>
          </w:rPr>
          <w:t>actuarial-bids@cms.hhs.gov</w:t>
        </w:r>
      </w:hyperlink>
      <w:r>
        <w:rPr>
          <w:spacing w:val="-2"/>
          <w:sz w:val="24"/>
          <w:u w:val="none"/>
        </w:rPr>
        <w:t>.</w:t>
      </w:r>
    </w:p>
    <w:p>
      <w:pPr>
        <w:pStyle w:val="ListParagraph"/>
        <w:numPr>
          <w:ilvl w:val="0"/>
          <w:numId w:val="16"/>
        </w:numPr>
        <w:tabs>
          <w:tab w:val="left" w:pos="944"/>
        </w:tabs>
        <w:spacing w:before="41" w:after="0" w:line="240" w:lineRule="auto"/>
        <w:ind w:left="944" w:right="488" w:hanging="360"/>
        <w:jc w:val="left"/>
        <w:rPr>
          <w:sz w:val="24"/>
        </w:rPr>
      </w:pPr>
      <w:r>
        <w:rPr>
          <w:sz w:val="24"/>
        </w:rPr>
        <w:t>OACT will host weekly technical user group calls regarding actuarial aspects of the CY2026 bidding process. The conference calls will include live Question and Answer sessions</w:t>
      </w:r>
      <w:r>
        <w:rPr>
          <w:spacing w:val="-4"/>
          <w:sz w:val="24"/>
        </w:rPr>
        <w:t xml:space="preserve"> </w:t>
      </w:r>
      <w:r>
        <w:rPr>
          <w:sz w:val="24"/>
        </w:rPr>
        <w:t>with</w:t>
      </w:r>
      <w:r>
        <w:rPr>
          <w:spacing w:val="-4"/>
          <w:sz w:val="24"/>
        </w:rPr>
        <w:t xml:space="preserve"> </w:t>
      </w:r>
      <w:r>
        <w:rPr>
          <w:sz w:val="24"/>
        </w:rPr>
        <w:t>CMS</w:t>
      </w:r>
      <w:r>
        <w:rPr>
          <w:spacing w:val="-4"/>
          <w:sz w:val="24"/>
        </w:rPr>
        <w:t xml:space="preserve"> </w:t>
      </w:r>
      <w:r>
        <w:rPr>
          <w:sz w:val="24"/>
        </w:rPr>
        <w:t>actuaries.</w:t>
      </w:r>
      <w:r>
        <w:rPr>
          <w:spacing w:val="-3"/>
          <w:sz w:val="24"/>
        </w:rPr>
        <w:t xml:space="preserve"> </w:t>
      </w:r>
      <w:r>
        <w:rPr>
          <w:sz w:val="24"/>
        </w:rPr>
        <w:t>For</w:t>
      </w:r>
      <w:r>
        <w:rPr>
          <w:spacing w:val="-3"/>
          <w:sz w:val="24"/>
        </w:rPr>
        <w:t xml:space="preserve"> </w:t>
      </w:r>
      <w:r>
        <w:rPr>
          <w:sz w:val="24"/>
        </w:rPr>
        <w:t>call-in</w:t>
      </w:r>
      <w:r>
        <w:rPr>
          <w:spacing w:val="-4"/>
          <w:sz w:val="24"/>
        </w:rPr>
        <w:t xml:space="preserve"> </w:t>
      </w:r>
      <w:r>
        <w:rPr>
          <w:sz w:val="24"/>
        </w:rPr>
        <w:t>information,</w:t>
      </w:r>
      <w:r>
        <w:rPr>
          <w:spacing w:val="-4"/>
          <w:sz w:val="24"/>
        </w:rPr>
        <w:t xml:space="preserve"> </w:t>
      </w:r>
      <w:r>
        <w:rPr>
          <w:sz w:val="24"/>
        </w:rPr>
        <w:t>see</w:t>
      </w:r>
      <w:r>
        <w:rPr>
          <w:spacing w:val="-5"/>
          <w:sz w:val="24"/>
        </w:rPr>
        <w:t xml:space="preserve"> </w:t>
      </w:r>
      <w:r>
        <w:rPr>
          <w:sz w:val="24"/>
        </w:rPr>
        <w:t>the</w:t>
      </w:r>
      <w:r>
        <w:rPr>
          <w:spacing w:val="-4"/>
          <w:sz w:val="24"/>
        </w:rPr>
        <w:t xml:space="preserve"> </w:t>
      </w:r>
      <w:r>
        <w:rPr>
          <w:sz w:val="24"/>
        </w:rPr>
        <w:t>OACT</w:t>
      </w:r>
      <w:r>
        <w:rPr>
          <w:spacing w:val="-4"/>
          <w:sz w:val="24"/>
        </w:rPr>
        <w:t xml:space="preserve"> </w:t>
      </w:r>
      <w:r>
        <w:rPr>
          <w:sz w:val="24"/>
        </w:rPr>
        <w:t>memorandum</w:t>
      </w:r>
      <w:r>
        <w:rPr>
          <w:spacing w:val="-4"/>
          <w:sz w:val="24"/>
        </w:rPr>
        <w:t xml:space="preserve"> </w:t>
      </w:r>
      <w:r>
        <w:rPr>
          <w:sz w:val="24"/>
        </w:rPr>
        <w:t>with the subject line “Actuarial User Group Calls” released via HPMS.</w:t>
      </w:r>
    </w:p>
    <w:p>
      <w:pPr>
        <w:pStyle w:val="ListParagraph"/>
        <w:numPr>
          <w:ilvl w:val="0"/>
          <w:numId w:val="16"/>
        </w:numPr>
        <w:tabs>
          <w:tab w:val="left" w:pos="944"/>
        </w:tabs>
        <w:spacing w:before="42" w:after="0" w:line="240" w:lineRule="auto"/>
        <w:ind w:left="944" w:right="475" w:hanging="360"/>
        <w:jc w:val="left"/>
        <w:rPr>
          <w:sz w:val="24"/>
        </w:rPr>
      </w:pPr>
      <w:r>
        <w:rPr>
          <w:sz w:val="24"/>
        </w:rPr>
        <w:t>For</w:t>
      </w:r>
      <w:r>
        <w:rPr>
          <w:spacing w:val="-4"/>
          <w:sz w:val="24"/>
        </w:rPr>
        <w:t xml:space="preserve"> </w:t>
      </w:r>
      <w:r>
        <w:rPr>
          <w:sz w:val="24"/>
        </w:rPr>
        <w:t>technical</w:t>
      </w:r>
      <w:r>
        <w:rPr>
          <w:spacing w:val="-3"/>
          <w:sz w:val="24"/>
        </w:rPr>
        <w:t xml:space="preserve"> </w:t>
      </w:r>
      <w:r>
        <w:rPr>
          <w:sz w:val="24"/>
        </w:rPr>
        <w:t>questions</w:t>
      </w:r>
      <w:r>
        <w:rPr>
          <w:spacing w:val="-2"/>
          <w:sz w:val="24"/>
        </w:rPr>
        <w:t xml:space="preserve"> </w:t>
      </w:r>
      <w:r>
        <w:rPr>
          <w:sz w:val="24"/>
        </w:rPr>
        <w:t>about</w:t>
      </w:r>
      <w:r>
        <w:rPr>
          <w:spacing w:val="-3"/>
          <w:sz w:val="24"/>
        </w:rPr>
        <w:t xml:space="preserve"> </w:t>
      </w:r>
      <w:r>
        <w:rPr>
          <w:sz w:val="24"/>
        </w:rPr>
        <w:t>the</w:t>
      </w:r>
      <w:r>
        <w:rPr>
          <w:spacing w:val="-3"/>
          <w:sz w:val="24"/>
        </w:rPr>
        <w:t xml:space="preserve"> </w:t>
      </w:r>
      <w:r>
        <w:rPr>
          <w:sz w:val="24"/>
        </w:rPr>
        <w:t>BPT,</w:t>
      </w:r>
      <w:r>
        <w:rPr>
          <w:spacing w:val="-3"/>
          <w:sz w:val="24"/>
        </w:rPr>
        <w:t xml:space="preserve"> </w:t>
      </w:r>
      <w:r>
        <w:rPr>
          <w:sz w:val="24"/>
        </w:rPr>
        <w:t>BPT</w:t>
      </w:r>
      <w:r>
        <w:rPr>
          <w:spacing w:val="-3"/>
          <w:sz w:val="24"/>
        </w:rPr>
        <w:t xml:space="preserve"> </w:t>
      </w:r>
      <w:r>
        <w:rPr>
          <w:sz w:val="24"/>
        </w:rPr>
        <w:t>Batch</w:t>
      </w:r>
      <w:r>
        <w:rPr>
          <w:spacing w:val="-3"/>
          <w:sz w:val="24"/>
        </w:rPr>
        <w:t xml:space="preserve"> </w:t>
      </w:r>
      <w:r>
        <w:rPr>
          <w:sz w:val="24"/>
        </w:rPr>
        <w:t>Tools,</w:t>
      </w:r>
      <w:r>
        <w:rPr>
          <w:spacing w:val="-2"/>
          <w:sz w:val="24"/>
        </w:rPr>
        <w:t xml:space="preserve"> </w:t>
      </w:r>
      <w:r>
        <w:rPr>
          <w:sz w:val="24"/>
        </w:rPr>
        <w:t>HPMS,</w:t>
      </w:r>
      <w:r>
        <w:rPr>
          <w:spacing w:val="-3"/>
          <w:sz w:val="24"/>
        </w:rPr>
        <w:t xml:space="preserve"> </w:t>
      </w:r>
      <w:r>
        <w:rPr>
          <w:sz w:val="24"/>
        </w:rPr>
        <w:t>or</w:t>
      </w:r>
      <w:r>
        <w:rPr>
          <w:spacing w:val="-3"/>
          <w:sz w:val="24"/>
        </w:rPr>
        <w:t xml:space="preserve"> </w:t>
      </w:r>
      <w:r>
        <w:rPr>
          <w:sz w:val="24"/>
        </w:rPr>
        <w:t>the</w:t>
      </w:r>
      <w:r>
        <w:rPr>
          <w:spacing w:val="-5"/>
          <w:sz w:val="24"/>
        </w:rPr>
        <w:t xml:space="preserve"> </w:t>
      </w:r>
      <w:r>
        <w:rPr>
          <w:sz w:val="24"/>
        </w:rPr>
        <w:t>upload</w:t>
      </w:r>
      <w:r>
        <w:rPr>
          <w:spacing w:val="-3"/>
          <w:sz w:val="24"/>
        </w:rPr>
        <w:t xml:space="preserve"> </w:t>
      </w:r>
      <w:r>
        <w:rPr>
          <w:sz w:val="24"/>
        </w:rPr>
        <w:t>process, refer to the following resources:</w:t>
      </w:r>
    </w:p>
    <w:p>
      <w:pPr>
        <w:pStyle w:val="ListParagraph"/>
        <w:numPr>
          <w:ilvl w:val="1"/>
          <w:numId w:val="16"/>
        </w:numPr>
        <w:tabs>
          <w:tab w:val="left" w:pos="1304"/>
        </w:tabs>
        <w:spacing w:before="38" w:after="0" w:line="240" w:lineRule="auto"/>
        <w:ind w:left="1304" w:right="0" w:hanging="360"/>
        <w:jc w:val="left"/>
        <w:rPr>
          <w:sz w:val="24"/>
        </w:rPr>
      </w:pPr>
      <w:r>
        <w:rPr>
          <w:sz w:val="24"/>
        </w:rPr>
        <w:t>The</w:t>
      </w:r>
      <w:r>
        <w:rPr>
          <w:spacing w:val="-3"/>
          <w:sz w:val="24"/>
        </w:rPr>
        <w:t xml:space="preserve"> </w:t>
      </w:r>
      <w:r>
        <w:rPr>
          <w:sz w:val="24"/>
        </w:rPr>
        <w:t>BPT</w:t>
      </w:r>
      <w:r>
        <w:rPr>
          <w:spacing w:val="-1"/>
          <w:sz w:val="24"/>
        </w:rPr>
        <w:t xml:space="preserve"> </w:t>
      </w:r>
      <w:r>
        <w:rPr>
          <w:sz w:val="24"/>
        </w:rPr>
        <w:t>Technical</w:t>
      </w:r>
      <w:r>
        <w:rPr>
          <w:spacing w:val="1"/>
          <w:sz w:val="24"/>
        </w:rPr>
        <w:t xml:space="preserve"> </w:t>
      </w:r>
      <w:r>
        <w:rPr>
          <w:sz w:val="24"/>
        </w:rPr>
        <w:t>Instructions,</w:t>
      </w:r>
      <w:r>
        <w:rPr>
          <w:spacing w:val="-1"/>
          <w:sz w:val="24"/>
        </w:rPr>
        <w:t xml:space="preserve"> </w:t>
      </w:r>
      <w:r>
        <w:rPr>
          <w:sz w:val="24"/>
        </w:rPr>
        <w:t>located</w:t>
      </w:r>
      <w:r>
        <w:rPr>
          <w:spacing w:val="-1"/>
          <w:sz w:val="24"/>
        </w:rPr>
        <w:t xml:space="preserve"> </w:t>
      </w:r>
      <w:r>
        <w:rPr>
          <w:sz w:val="24"/>
        </w:rPr>
        <w:t>in</w:t>
      </w:r>
      <w:r>
        <w:rPr>
          <w:spacing w:val="-1"/>
          <w:sz w:val="24"/>
        </w:rPr>
        <w:t xml:space="preserve"> </w:t>
      </w:r>
      <w:r>
        <w:rPr>
          <w:sz w:val="24"/>
        </w:rPr>
        <w:t>HPMS,</w:t>
      </w:r>
      <w:r>
        <w:rPr>
          <w:spacing w:val="-1"/>
          <w:sz w:val="24"/>
        </w:rPr>
        <w:t xml:space="preserve"> </w:t>
      </w:r>
      <w:r>
        <w:rPr>
          <w:sz w:val="24"/>
        </w:rPr>
        <w:t>under</w:t>
      </w:r>
      <w:r>
        <w:rPr>
          <w:spacing w:val="-1"/>
          <w:sz w:val="24"/>
        </w:rPr>
        <w:t xml:space="preserve"> </w:t>
      </w:r>
      <w:r>
        <w:rPr>
          <w:sz w:val="24"/>
        </w:rPr>
        <w:t>HPMS</w:t>
      </w:r>
      <w:r>
        <w:rPr>
          <w:spacing w:val="-1"/>
          <w:sz w:val="24"/>
        </w:rPr>
        <w:t xml:space="preserve"> </w:t>
      </w:r>
      <w:r>
        <w:rPr>
          <w:sz w:val="24"/>
        </w:rPr>
        <w:t>Home</w:t>
      </w:r>
      <w:r>
        <w:rPr>
          <w:spacing w:val="-2"/>
          <w:sz w:val="24"/>
        </w:rPr>
        <w:t xml:space="preserve"> </w:t>
      </w:r>
      <w:r>
        <w:rPr>
          <w:sz w:val="24"/>
        </w:rPr>
        <w:t>&gt; Plan</w:t>
      </w:r>
      <w:r>
        <w:rPr>
          <w:spacing w:val="-1"/>
          <w:sz w:val="24"/>
        </w:rPr>
        <w:t xml:space="preserve"> </w:t>
      </w:r>
      <w:r>
        <w:rPr>
          <w:spacing w:val="-4"/>
          <w:sz w:val="24"/>
        </w:rPr>
        <w:t>Bids</w:t>
      </w:r>
    </w:p>
    <w:p>
      <w:pPr>
        <w:pStyle w:val="BodyText"/>
        <w:spacing w:before="0"/>
        <w:ind w:left="1304"/>
      </w:pPr>
      <w:r>
        <w:t>&gt;</w:t>
      </w:r>
      <w:r>
        <w:rPr>
          <w:spacing w:val="-4"/>
        </w:rPr>
        <w:t xml:space="preserve"> </w:t>
      </w:r>
      <w:r>
        <w:t>Bid</w:t>
      </w:r>
      <w:r>
        <w:rPr>
          <w:spacing w:val="-1"/>
        </w:rPr>
        <w:t xml:space="preserve"> </w:t>
      </w:r>
      <w:r>
        <w:t>Submission</w:t>
      </w:r>
      <w:r>
        <w:rPr>
          <w:spacing w:val="-1"/>
        </w:rPr>
        <w:t xml:space="preserve"> </w:t>
      </w:r>
      <w:r>
        <w:t>&gt;</w:t>
      </w:r>
      <w:r>
        <w:rPr>
          <w:spacing w:val="-2"/>
        </w:rPr>
        <w:t xml:space="preserve"> </w:t>
      </w:r>
      <w:r>
        <w:t>CY2026</w:t>
      </w:r>
      <w:r>
        <w:rPr>
          <w:spacing w:val="-1"/>
        </w:rPr>
        <w:t xml:space="preserve"> </w:t>
      </w:r>
      <w:r>
        <w:t>&gt;</w:t>
      </w:r>
      <w:r>
        <w:rPr>
          <w:spacing w:val="-2"/>
        </w:rPr>
        <w:t xml:space="preserve"> </w:t>
      </w:r>
      <w:r>
        <w:t>Documentation</w:t>
      </w:r>
      <w:r>
        <w:rPr>
          <w:spacing w:val="-1"/>
        </w:rPr>
        <w:t xml:space="preserve"> </w:t>
      </w:r>
      <w:r>
        <w:t>&gt; BPT</w:t>
      </w:r>
      <w:r>
        <w:rPr>
          <w:spacing w:val="-1"/>
        </w:rPr>
        <w:t xml:space="preserve"> </w:t>
      </w:r>
      <w:r>
        <w:t>Technical</w:t>
      </w:r>
      <w:r>
        <w:rPr>
          <w:spacing w:val="2"/>
        </w:rPr>
        <w:t xml:space="preserve"> </w:t>
      </w:r>
      <w:r>
        <w:rPr>
          <w:spacing w:val="-2"/>
        </w:rPr>
        <w:t>Instructions.</w:t>
      </w:r>
    </w:p>
    <w:p>
      <w:pPr>
        <w:pStyle w:val="ListParagraph"/>
        <w:numPr>
          <w:ilvl w:val="1"/>
          <w:numId w:val="16"/>
        </w:numPr>
        <w:tabs>
          <w:tab w:val="left" w:pos="359"/>
        </w:tabs>
        <w:spacing w:before="41" w:after="0" w:line="240" w:lineRule="auto"/>
        <w:ind w:left="359" w:right="727" w:hanging="359"/>
        <w:jc w:val="right"/>
        <w:rPr>
          <w:sz w:val="24"/>
        </w:rPr>
      </w:pPr>
      <w:r>
        <w:rPr>
          <w:sz w:val="24"/>
        </w:rPr>
        <w:t>The</w:t>
      </w:r>
      <w:r>
        <w:rPr>
          <w:spacing w:val="-4"/>
          <w:sz w:val="24"/>
        </w:rPr>
        <w:t xml:space="preserve"> </w:t>
      </w:r>
      <w:r>
        <w:rPr>
          <w:i/>
          <w:sz w:val="24"/>
        </w:rPr>
        <w:t>Bid</w:t>
      </w:r>
      <w:r>
        <w:rPr>
          <w:i/>
          <w:spacing w:val="-1"/>
          <w:sz w:val="24"/>
        </w:rPr>
        <w:t xml:space="preserve"> </w:t>
      </w:r>
      <w:r>
        <w:rPr>
          <w:i/>
          <w:sz w:val="24"/>
        </w:rPr>
        <w:t>Submission</w:t>
      </w:r>
      <w:r>
        <w:rPr>
          <w:i/>
          <w:spacing w:val="-1"/>
          <w:sz w:val="24"/>
        </w:rPr>
        <w:t xml:space="preserve"> </w:t>
      </w:r>
      <w:r>
        <w:rPr>
          <w:i/>
          <w:sz w:val="24"/>
        </w:rPr>
        <w:t>User’s</w:t>
      </w:r>
      <w:r>
        <w:rPr>
          <w:i/>
          <w:spacing w:val="-2"/>
          <w:sz w:val="24"/>
        </w:rPr>
        <w:t xml:space="preserve"> </w:t>
      </w:r>
      <w:r>
        <w:rPr>
          <w:i/>
          <w:sz w:val="24"/>
        </w:rPr>
        <w:t>Manual</w:t>
      </w:r>
      <w:r>
        <w:rPr>
          <w:sz w:val="24"/>
        </w:rPr>
        <w:t>,</w:t>
      </w:r>
      <w:r>
        <w:rPr>
          <w:spacing w:val="-1"/>
          <w:sz w:val="24"/>
        </w:rPr>
        <w:t xml:space="preserve"> </w:t>
      </w:r>
      <w:r>
        <w:rPr>
          <w:sz w:val="24"/>
        </w:rPr>
        <w:t>also available in</w:t>
      </w:r>
      <w:r>
        <w:rPr>
          <w:spacing w:val="-1"/>
          <w:sz w:val="24"/>
        </w:rPr>
        <w:t xml:space="preserve"> </w:t>
      </w:r>
      <w:r>
        <w:rPr>
          <w:sz w:val="24"/>
        </w:rPr>
        <w:t>HPMS,</w:t>
      </w:r>
      <w:r>
        <w:rPr>
          <w:spacing w:val="-1"/>
          <w:sz w:val="24"/>
        </w:rPr>
        <w:t xml:space="preserve"> </w:t>
      </w:r>
      <w:r>
        <w:rPr>
          <w:sz w:val="24"/>
        </w:rPr>
        <w:t>under</w:t>
      </w:r>
      <w:r>
        <w:rPr>
          <w:spacing w:val="-1"/>
          <w:sz w:val="24"/>
        </w:rPr>
        <w:t xml:space="preserve"> </w:t>
      </w:r>
      <w:r>
        <w:rPr>
          <w:sz w:val="24"/>
        </w:rPr>
        <w:t>HPMS</w:t>
      </w:r>
      <w:r>
        <w:rPr>
          <w:spacing w:val="-1"/>
          <w:sz w:val="24"/>
        </w:rPr>
        <w:t xml:space="preserve"> </w:t>
      </w:r>
      <w:r>
        <w:rPr>
          <w:spacing w:val="-4"/>
          <w:sz w:val="24"/>
        </w:rPr>
        <w:t>Home</w:t>
      </w:r>
    </w:p>
    <w:p>
      <w:pPr>
        <w:pStyle w:val="BodyText"/>
        <w:spacing w:before="0"/>
        <w:ind w:left="0" w:right="721"/>
        <w:jc w:val="right"/>
      </w:pPr>
      <w:r>
        <w:t>&gt;</w:t>
      </w:r>
      <w:r>
        <w:rPr>
          <w:spacing w:val="-4"/>
        </w:rPr>
        <w:t xml:space="preserve"> </w:t>
      </w:r>
      <w:r>
        <w:t>Plan Bids</w:t>
      </w:r>
      <w:r>
        <w:rPr>
          <w:spacing w:val="-1"/>
        </w:rPr>
        <w:t xml:space="preserve"> </w:t>
      </w:r>
      <w:r>
        <w:t>&gt; Bid</w:t>
      </w:r>
      <w:r>
        <w:rPr>
          <w:spacing w:val="-1"/>
        </w:rPr>
        <w:t xml:space="preserve"> </w:t>
      </w:r>
      <w:r>
        <w:t>Submission &gt;</w:t>
      </w:r>
      <w:r>
        <w:rPr>
          <w:spacing w:val="-1"/>
        </w:rPr>
        <w:t xml:space="preserve"> </w:t>
      </w:r>
      <w:r>
        <w:t>CY2026 &gt;</w:t>
      </w:r>
      <w:r>
        <w:rPr>
          <w:spacing w:val="-2"/>
        </w:rPr>
        <w:t xml:space="preserve"> </w:t>
      </w:r>
      <w:r>
        <w:t>Documentation &gt;</w:t>
      </w:r>
      <w:r>
        <w:rPr>
          <w:spacing w:val="-2"/>
        </w:rPr>
        <w:t xml:space="preserve"> </w:t>
      </w:r>
      <w:r>
        <w:t>Bid User’s</w:t>
      </w:r>
      <w:r>
        <w:rPr>
          <w:spacing w:val="2"/>
        </w:rPr>
        <w:t xml:space="preserve"> </w:t>
      </w:r>
      <w:r>
        <w:rPr>
          <w:spacing w:val="-2"/>
        </w:rPr>
        <w:t>Manual.</w:t>
      </w:r>
    </w:p>
    <w:p>
      <w:pPr>
        <w:pStyle w:val="ListParagraph"/>
        <w:numPr>
          <w:ilvl w:val="1"/>
          <w:numId w:val="16"/>
        </w:numPr>
        <w:tabs>
          <w:tab w:val="left" w:pos="1304"/>
        </w:tabs>
        <w:spacing w:before="41" w:after="0" w:line="240" w:lineRule="auto"/>
        <w:ind w:left="1304" w:right="0" w:hanging="360"/>
        <w:jc w:val="left"/>
        <w:rPr>
          <w:sz w:val="24"/>
        </w:rPr>
      </w:pPr>
      <w:r>
        <w:rPr>
          <w:sz w:val="24"/>
        </w:rPr>
        <w:t>HPMS</w:t>
      </w:r>
      <w:r>
        <w:rPr>
          <w:spacing w:val="-3"/>
          <w:sz w:val="24"/>
        </w:rPr>
        <w:t xml:space="preserve"> </w:t>
      </w:r>
      <w:r>
        <w:rPr>
          <w:sz w:val="24"/>
        </w:rPr>
        <w:t>Help</w:t>
      </w:r>
      <w:r>
        <w:rPr>
          <w:spacing w:val="-1"/>
          <w:sz w:val="24"/>
        </w:rPr>
        <w:t xml:space="preserve"> </w:t>
      </w:r>
      <w:r>
        <w:rPr>
          <w:sz w:val="24"/>
        </w:rPr>
        <w:t>Desk:</w:t>
      </w:r>
      <w:r>
        <w:rPr>
          <w:spacing w:val="-1"/>
          <w:sz w:val="24"/>
        </w:rPr>
        <w:t xml:space="preserve"> </w:t>
      </w:r>
      <w:r>
        <w:rPr>
          <w:sz w:val="24"/>
        </w:rPr>
        <w:t>1-800-220-2028</w:t>
      </w:r>
      <w:r>
        <w:rPr>
          <w:spacing w:val="-1"/>
          <w:sz w:val="24"/>
        </w:rPr>
        <w:t xml:space="preserve"> </w:t>
      </w:r>
      <w:r>
        <w:rPr>
          <w:sz w:val="24"/>
        </w:rPr>
        <w:t>or</w:t>
      </w:r>
      <w:r>
        <w:rPr>
          <w:spacing w:val="-1"/>
          <w:sz w:val="24"/>
        </w:rPr>
        <w:t xml:space="preserve"> </w:t>
      </w:r>
      <w:hyperlink r:id="rId11">
        <w:r>
          <w:rPr>
            <w:color w:val="0000FF"/>
            <w:spacing w:val="-2"/>
            <w:sz w:val="24"/>
            <w:u w:val="single" w:color="0000FF"/>
          </w:rPr>
          <w:t>hpms@cms.hhs.gov</w:t>
        </w:r>
      </w:hyperlink>
      <w:r>
        <w:rPr>
          <w:color w:val="0000FF"/>
          <w:spacing w:val="-2"/>
          <w:sz w:val="24"/>
          <w:u w:val="single" w:color="0000FF"/>
        </w:rPr>
        <w:t>.</w:t>
      </w:r>
    </w:p>
    <w:p>
      <w:pPr>
        <w:pStyle w:val="ListParagraph"/>
        <w:numPr>
          <w:ilvl w:val="0"/>
          <w:numId w:val="16"/>
        </w:numPr>
        <w:tabs>
          <w:tab w:val="left" w:pos="944"/>
        </w:tabs>
        <w:spacing w:before="38" w:after="0" w:line="240" w:lineRule="auto"/>
        <w:ind w:left="944" w:right="483" w:hanging="360"/>
        <w:jc w:val="left"/>
        <w:rPr>
          <w:sz w:val="24"/>
        </w:rPr>
      </w:pPr>
      <w:r>
        <w:rPr>
          <w:sz w:val="24"/>
        </w:rPr>
        <w:t xml:space="preserve">For information about benefits, see the </w:t>
      </w:r>
      <w:r>
        <w:rPr>
          <w:i/>
          <w:sz w:val="24"/>
        </w:rPr>
        <w:t>Medicare Prescription Drug Benefit Manual</w:t>
      </w:r>
      <w:r>
        <w:rPr>
          <w:i/>
          <w:sz w:val="24"/>
        </w:rPr>
        <w:t xml:space="preserve"> </w:t>
      </w:r>
      <w:r>
        <w:rPr>
          <w:sz w:val="24"/>
        </w:rPr>
        <w:t>located</w:t>
      </w:r>
      <w:r>
        <w:rPr>
          <w:spacing w:val="-15"/>
          <w:sz w:val="24"/>
        </w:rPr>
        <w:t xml:space="preserve"> </w:t>
      </w:r>
      <w:r>
        <w:rPr>
          <w:sz w:val="24"/>
        </w:rPr>
        <w:t>at</w:t>
      </w:r>
      <w:r>
        <w:rPr>
          <w:spacing w:val="-15"/>
          <w:sz w:val="24"/>
        </w:rPr>
        <w:t xml:space="preserve"> </w:t>
      </w:r>
      <w:hyperlink r:id="rId12">
        <w:r>
          <w:rPr>
            <w:color w:val="0000FF"/>
            <w:sz w:val="24"/>
            <w:u w:val="single" w:color="0000FF"/>
          </w:rPr>
          <w:t>https://www.cms.gov/Regulations-and-Guidance/Guidance/Manuals/Internet-</w:t>
        </w:r>
      </w:hyperlink>
      <w:r>
        <w:rPr>
          <w:color w:val="0000FF"/>
          <w:sz w:val="24"/>
          <w:u w:val="none"/>
        </w:rPr>
        <w:t xml:space="preserve"> </w:t>
      </w:r>
      <w:hyperlink r:id="rId12">
        <w:r>
          <w:rPr>
            <w:color w:val="0000FF"/>
            <w:spacing w:val="-2"/>
            <w:sz w:val="24"/>
            <w:u w:val="single" w:color="0000FF"/>
          </w:rPr>
          <w:t>Only-Manuals-IOMs-Items/CMS050485</w:t>
        </w:r>
      </w:hyperlink>
      <w:r>
        <w:rPr>
          <w:spacing w:val="-2"/>
          <w:sz w:val="24"/>
          <w:u w:val="none"/>
        </w:rPr>
        <w:t>.</w:t>
      </w:r>
    </w:p>
    <w:p>
      <w:pPr>
        <w:spacing w:after="0" w:line="240" w:lineRule="auto"/>
        <w:jc w:val="left"/>
        <w:rPr>
          <w:sz w:val="24"/>
        </w:rPr>
        <w:sectPr>
          <w:pgSz w:w="12240" w:h="15840"/>
          <w:pgMar w:top="1340" w:right="1000" w:bottom="940" w:left="1360" w:header="727" w:footer="747"/>
          <w:cols w:space="720"/>
        </w:sectPr>
      </w:pPr>
    </w:p>
    <w:p>
      <w:pPr>
        <w:pStyle w:val="Heading1"/>
        <w:numPr>
          <w:ilvl w:val="0"/>
          <w:numId w:val="17"/>
        </w:numPr>
        <w:tabs>
          <w:tab w:val="left" w:pos="427"/>
          <w:tab w:val="left" w:pos="9470"/>
        </w:tabs>
        <w:spacing w:before="286" w:after="0" w:line="240" w:lineRule="auto"/>
        <w:ind w:left="427" w:right="0" w:hanging="232"/>
        <w:jc w:val="left"/>
        <w:rPr>
          <w:u w:val="single"/>
        </w:rPr>
      </w:pPr>
      <w:bookmarkStart w:id="13" w:name="II. Pricing Considerations"/>
      <w:bookmarkEnd w:id="13"/>
      <w:bookmarkStart w:id="14" w:name="_bookmark6"/>
      <w:bookmarkEnd w:id="14"/>
      <w:r>
        <w:rPr>
          <w:spacing w:val="-4"/>
          <w:u w:val="single"/>
        </w:rPr>
        <w:t xml:space="preserve"> </w:t>
      </w:r>
      <w:r>
        <w:rPr>
          <w:u w:val="single"/>
        </w:rPr>
        <w:t>PRICING</w:t>
      </w:r>
      <w:r>
        <w:rPr>
          <w:spacing w:val="-4"/>
          <w:u w:val="single"/>
        </w:rPr>
        <w:t xml:space="preserve"> </w:t>
      </w:r>
      <w:r>
        <w:rPr>
          <w:spacing w:val="-2"/>
          <w:u w:val="single"/>
        </w:rPr>
        <w:t>CONSIDERATIONS</w:t>
      </w:r>
      <w:r>
        <w:rPr>
          <w:u w:val="single"/>
        </w:rPr>
        <w:tab/>
      </w:r>
    </w:p>
    <w:p>
      <w:pPr>
        <w:pStyle w:val="BodyText"/>
        <w:spacing w:before="110"/>
        <w:ind w:left="0"/>
        <w:rPr>
          <w:rFonts w:ascii="Arial"/>
          <w:b/>
          <w:sz w:val="21"/>
        </w:rPr>
      </w:pPr>
    </w:p>
    <w:p>
      <w:pPr>
        <w:pStyle w:val="Heading2"/>
        <w:ind w:left="224"/>
      </w:pPr>
      <w:bookmarkStart w:id="15" w:name="Bidding/Pricing Approach"/>
      <w:bookmarkEnd w:id="15"/>
      <w:bookmarkStart w:id="16" w:name="_bookmark7"/>
      <w:bookmarkEnd w:id="16"/>
      <w:r>
        <w:rPr>
          <w:smallCaps/>
          <w:spacing w:val="-2"/>
        </w:rPr>
        <w:t>Bidding/Pricing</w:t>
      </w:r>
      <w:r>
        <w:rPr>
          <w:smallCaps/>
          <w:spacing w:val="8"/>
        </w:rPr>
        <w:t xml:space="preserve"> </w:t>
      </w:r>
      <w:r>
        <w:rPr>
          <w:smallCaps/>
          <w:spacing w:val="-2"/>
        </w:rPr>
        <w:t>Approach</w:t>
      </w:r>
    </w:p>
    <w:p>
      <w:pPr>
        <w:pStyle w:val="BodyText"/>
        <w:spacing w:before="179"/>
        <w:ind w:left="224" w:right="425"/>
      </w:pPr>
      <w:r>
        <w:t>By statute, the bid must represent the revenue requirement of the expected population. Therefore,</w:t>
      </w:r>
      <w:r>
        <w:rPr>
          <w:spacing w:val="-4"/>
        </w:rPr>
        <w:t xml:space="preserve"> </w:t>
      </w:r>
      <w:r>
        <w:t>in</w:t>
      </w:r>
      <w:r>
        <w:rPr>
          <w:spacing w:val="-4"/>
        </w:rPr>
        <w:t xml:space="preserve"> </w:t>
      </w:r>
      <w:r>
        <w:t>most</w:t>
      </w:r>
      <w:r>
        <w:rPr>
          <w:spacing w:val="-4"/>
        </w:rPr>
        <w:t xml:space="preserve"> </w:t>
      </w:r>
      <w:r>
        <w:t>circumstances,</w:t>
      </w:r>
      <w:r>
        <w:rPr>
          <w:spacing w:val="-3"/>
        </w:rPr>
        <w:t xml:space="preserve"> </w:t>
      </w:r>
      <w:r>
        <w:t>Part</w:t>
      </w:r>
      <w:r>
        <w:rPr>
          <w:spacing w:val="-4"/>
        </w:rPr>
        <w:t xml:space="preserve"> </w:t>
      </w:r>
      <w:r>
        <w:t>D</w:t>
      </w:r>
      <w:r>
        <w:rPr>
          <w:spacing w:val="-5"/>
        </w:rPr>
        <w:t xml:space="preserve"> </w:t>
      </w:r>
      <w:r>
        <w:t>sponsors</w:t>
      </w:r>
      <w:r>
        <w:rPr>
          <w:spacing w:val="-4"/>
        </w:rPr>
        <w:t xml:space="preserve"> </w:t>
      </w:r>
      <w:r>
        <w:t>must</w:t>
      </w:r>
      <w:r>
        <w:rPr>
          <w:spacing w:val="-4"/>
        </w:rPr>
        <w:t xml:space="preserve"> </w:t>
      </w:r>
      <w:r>
        <w:t>use</w:t>
      </w:r>
      <w:r>
        <w:rPr>
          <w:spacing w:val="-4"/>
        </w:rPr>
        <w:t xml:space="preserve"> </w:t>
      </w:r>
      <w:r>
        <w:t>credible</w:t>
      </w:r>
      <w:r>
        <w:rPr>
          <w:spacing w:val="-5"/>
        </w:rPr>
        <w:t xml:space="preserve"> </w:t>
      </w:r>
      <w:r>
        <w:t>bid-specific</w:t>
      </w:r>
      <w:r>
        <w:rPr>
          <w:spacing w:val="-5"/>
        </w:rPr>
        <w:t xml:space="preserve"> </w:t>
      </w:r>
      <w:r>
        <w:t>experience</w:t>
      </w:r>
      <w:r>
        <w:rPr>
          <w:spacing w:val="-5"/>
        </w:rPr>
        <w:t xml:space="preserve"> </w:t>
      </w:r>
      <w:r>
        <w:t>in the development of projected allowed costs. This approach does not preclude Part D sponsors from reaching specific benefit and premium goals; the gain/loss margin guidance allows sufficient</w:t>
      </w:r>
      <w:r>
        <w:rPr>
          <w:spacing w:val="-1"/>
        </w:rPr>
        <w:t xml:space="preserve"> </w:t>
      </w:r>
      <w:r>
        <w:t>flexibility</w:t>
      </w:r>
      <w:r>
        <w:rPr>
          <w:spacing w:val="-1"/>
        </w:rPr>
        <w:t xml:space="preserve"> </w:t>
      </w:r>
      <w:r>
        <w:t>to</w:t>
      </w:r>
      <w:r>
        <w:rPr>
          <w:spacing w:val="-1"/>
        </w:rPr>
        <w:t xml:space="preserve"> </w:t>
      </w:r>
      <w:r>
        <w:t>achieve</w:t>
      </w:r>
      <w:r>
        <w:rPr>
          <w:spacing w:val="-3"/>
        </w:rPr>
        <w:t xml:space="preserve"> </w:t>
      </w:r>
      <w:r>
        <w:t>pricing</w:t>
      </w:r>
      <w:r>
        <w:rPr>
          <w:spacing w:val="-1"/>
        </w:rPr>
        <w:t xml:space="preserve"> </w:t>
      </w:r>
      <w:r>
        <w:t>targets</w:t>
      </w:r>
      <w:r>
        <w:rPr>
          <w:spacing w:val="-1"/>
        </w:rPr>
        <w:t xml:space="preserve"> </w:t>
      </w:r>
      <w:r>
        <w:t>provided that</w:t>
      </w:r>
      <w:r>
        <w:rPr>
          <w:spacing w:val="-1"/>
        </w:rPr>
        <w:t xml:space="preserve"> </w:t>
      </w:r>
      <w:r>
        <w:t>the</w:t>
      </w:r>
      <w:r>
        <w:rPr>
          <w:spacing w:val="-1"/>
        </w:rPr>
        <w:t xml:space="preserve"> </w:t>
      </w:r>
      <w:r>
        <w:t>overall gain/loss margin</w:t>
      </w:r>
      <w:r>
        <w:rPr>
          <w:spacing w:val="-1"/>
        </w:rPr>
        <w:t xml:space="preserve"> </w:t>
      </w:r>
      <w:r>
        <w:t>meets the requirements in the guidance and that anti-competitive practices are not used.</w:t>
      </w:r>
    </w:p>
    <w:p>
      <w:pPr>
        <w:pStyle w:val="BodyText"/>
        <w:spacing w:before="121"/>
        <w:ind w:left="224" w:right="478"/>
      </w:pPr>
      <w:r>
        <w:t>It is important to note the distinction between reporting base period experience data in Worksheet</w:t>
      </w:r>
      <w:r>
        <w:rPr>
          <w:spacing w:val="-2"/>
        </w:rPr>
        <w:t xml:space="preserve"> </w:t>
      </w:r>
      <w:r>
        <w:t>1 and</w:t>
      </w:r>
      <w:r>
        <w:rPr>
          <w:spacing w:val="-2"/>
        </w:rPr>
        <w:t xml:space="preserve"> </w:t>
      </w:r>
      <w:r>
        <w:t>projecting</w:t>
      </w:r>
      <w:r>
        <w:rPr>
          <w:spacing w:val="-2"/>
        </w:rPr>
        <w:t xml:space="preserve"> </w:t>
      </w:r>
      <w:r>
        <w:t>credible</w:t>
      </w:r>
      <w:r>
        <w:rPr>
          <w:spacing w:val="-3"/>
        </w:rPr>
        <w:t xml:space="preserve"> </w:t>
      </w:r>
      <w:r>
        <w:t>data</w:t>
      </w:r>
      <w:r>
        <w:rPr>
          <w:spacing w:val="-3"/>
        </w:rPr>
        <w:t xml:space="preserve"> </w:t>
      </w:r>
      <w:r>
        <w:t>for</w:t>
      </w:r>
      <w:r>
        <w:rPr>
          <w:spacing w:val="-4"/>
        </w:rPr>
        <w:t xml:space="preserve"> </w:t>
      </w:r>
      <w:r>
        <w:t>pricing. Base</w:t>
      </w:r>
      <w:r>
        <w:rPr>
          <w:spacing w:val="-3"/>
        </w:rPr>
        <w:t xml:space="preserve"> </w:t>
      </w:r>
      <w:r>
        <w:t>period</w:t>
      </w:r>
      <w:r>
        <w:rPr>
          <w:spacing w:val="-2"/>
        </w:rPr>
        <w:t xml:space="preserve"> </w:t>
      </w:r>
      <w:r>
        <w:t>experience</w:t>
      </w:r>
      <w:r>
        <w:rPr>
          <w:spacing w:val="-3"/>
        </w:rPr>
        <w:t xml:space="preserve"> </w:t>
      </w:r>
      <w:r>
        <w:t>must</w:t>
      </w:r>
      <w:r>
        <w:rPr>
          <w:spacing w:val="-2"/>
        </w:rPr>
        <w:t xml:space="preserve"> </w:t>
      </w:r>
      <w:r>
        <w:t>be</w:t>
      </w:r>
      <w:r>
        <w:rPr>
          <w:spacing w:val="-3"/>
        </w:rPr>
        <w:t xml:space="preserve"> </w:t>
      </w:r>
      <w:r>
        <w:t>reported at the plan level if the plan existed in CY2024, regardless of the level of enrollment. This experience must also be projected in Worksheet 2 and assigned an appropriate level of credibility by the certifying actuary. Data may be aggregated for determining manual rates to blend</w:t>
      </w:r>
      <w:r>
        <w:rPr>
          <w:spacing w:val="-5"/>
        </w:rPr>
        <w:t xml:space="preserve"> </w:t>
      </w:r>
      <w:r>
        <w:t>with</w:t>
      </w:r>
      <w:r>
        <w:rPr>
          <w:spacing w:val="-4"/>
        </w:rPr>
        <w:t xml:space="preserve"> </w:t>
      </w:r>
      <w:r>
        <w:t>partially</w:t>
      </w:r>
      <w:r>
        <w:rPr>
          <w:spacing w:val="-4"/>
        </w:rPr>
        <w:t xml:space="preserve"> </w:t>
      </w:r>
      <w:r>
        <w:t>credible</w:t>
      </w:r>
      <w:r>
        <w:rPr>
          <w:spacing w:val="-4"/>
        </w:rPr>
        <w:t xml:space="preserve"> </w:t>
      </w:r>
      <w:r>
        <w:t>projected</w:t>
      </w:r>
      <w:r>
        <w:rPr>
          <w:spacing w:val="-3"/>
        </w:rPr>
        <w:t xml:space="preserve"> </w:t>
      </w:r>
      <w:r>
        <w:t>experience</w:t>
      </w:r>
      <w:r>
        <w:rPr>
          <w:spacing w:val="-3"/>
        </w:rPr>
        <w:t xml:space="preserve"> </w:t>
      </w:r>
      <w:r>
        <w:t>rates</w:t>
      </w:r>
      <w:r>
        <w:rPr>
          <w:spacing w:val="-4"/>
        </w:rPr>
        <w:t xml:space="preserve"> </w:t>
      </w:r>
      <w:r>
        <w:t>or</w:t>
      </w:r>
      <w:r>
        <w:rPr>
          <w:spacing w:val="-5"/>
        </w:rPr>
        <w:t xml:space="preserve"> </w:t>
      </w:r>
      <w:r>
        <w:t>to</w:t>
      </w:r>
      <w:r>
        <w:rPr>
          <w:spacing w:val="-4"/>
        </w:rPr>
        <w:t xml:space="preserve"> </w:t>
      </w:r>
      <w:r>
        <w:t>account</w:t>
      </w:r>
      <w:r>
        <w:rPr>
          <w:spacing w:val="-4"/>
        </w:rPr>
        <w:t xml:space="preserve"> </w:t>
      </w:r>
      <w:r>
        <w:t>for</w:t>
      </w:r>
      <w:r>
        <w:rPr>
          <w:spacing w:val="-5"/>
        </w:rPr>
        <w:t xml:space="preserve"> </w:t>
      </w:r>
      <w:r>
        <w:t>significant</w:t>
      </w:r>
      <w:r>
        <w:rPr>
          <w:spacing w:val="-4"/>
        </w:rPr>
        <w:t xml:space="preserve"> </w:t>
      </w:r>
      <w:r>
        <w:t>changes</w:t>
      </w:r>
      <w:r>
        <w:rPr>
          <w:spacing w:val="-4"/>
        </w:rPr>
        <w:t xml:space="preserve"> </w:t>
      </w:r>
      <w:r>
        <w:t>in enrollment from the base period to the contract year.</w:t>
      </w:r>
    </w:p>
    <w:p>
      <w:pPr>
        <w:pStyle w:val="BodyText"/>
        <w:spacing w:before="45"/>
        <w:ind w:left="0"/>
      </w:pPr>
    </w:p>
    <w:p>
      <w:pPr>
        <w:pStyle w:val="Heading2"/>
        <w:ind w:left="224"/>
      </w:pPr>
      <w:bookmarkStart w:id="17" w:name="Specific Topics"/>
      <w:bookmarkEnd w:id="17"/>
      <w:bookmarkStart w:id="18" w:name="_bookmark8"/>
      <w:bookmarkEnd w:id="18"/>
      <w:r>
        <w:rPr>
          <w:smallCaps/>
        </w:rPr>
        <w:t>Specific</w:t>
      </w:r>
      <w:r>
        <w:rPr>
          <w:smallCaps/>
          <w:spacing w:val="-10"/>
        </w:rPr>
        <w:t xml:space="preserve"> </w:t>
      </w:r>
      <w:r>
        <w:rPr>
          <w:smallCaps/>
          <w:spacing w:val="-2"/>
        </w:rPr>
        <w:t>Topics</w:t>
      </w:r>
    </w:p>
    <w:p>
      <w:pPr>
        <w:pStyle w:val="BodyText"/>
        <w:spacing w:before="8"/>
        <w:ind w:left="0"/>
        <w:rPr>
          <w:rFonts w:ascii="Arial"/>
          <w:b/>
          <w:sz w:val="15"/>
        </w:rPr>
      </w:pPr>
    </w:p>
    <w:tbl>
      <w:tblPr>
        <w:tblStyle w:val="TableNormal"/>
        <w:tblW w:w="0" w:type="auto"/>
        <w:jc w:val="left"/>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7"/>
        <w:gridCol w:w="720"/>
        <w:gridCol w:w="3111"/>
        <w:gridCol w:w="721"/>
      </w:tblGrid>
      <w:tr>
        <w:tblPrEx>
          <w:tblW w:w="0" w:type="auto"/>
          <w:jc w:val="left"/>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3"/>
          <w:jc w:val="left"/>
        </w:trPr>
        <w:tc>
          <w:tcPr>
            <w:tcW w:w="3217" w:type="dxa"/>
          </w:tcPr>
          <w:p>
            <w:pPr>
              <w:pStyle w:val="TableParagraph"/>
              <w:spacing w:before="1" w:line="252" w:lineRule="exact"/>
              <w:rPr>
                <w:b/>
                <w:sz w:val="22"/>
              </w:rPr>
            </w:pPr>
            <w:r>
              <w:rPr>
                <w:b/>
                <w:spacing w:val="-2"/>
                <w:sz w:val="22"/>
              </w:rPr>
              <w:t>Topic</w:t>
            </w:r>
          </w:p>
        </w:tc>
        <w:tc>
          <w:tcPr>
            <w:tcW w:w="720" w:type="dxa"/>
          </w:tcPr>
          <w:p>
            <w:pPr>
              <w:pStyle w:val="TableParagraph"/>
              <w:spacing w:before="1" w:line="252" w:lineRule="exact"/>
              <w:rPr>
                <w:b/>
                <w:sz w:val="22"/>
              </w:rPr>
            </w:pPr>
            <w:r>
              <w:rPr>
                <w:b/>
                <w:spacing w:val="-4"/>
                <w:sz w:val="22"/>
              </w:rPr>
              <w:t>Page</w:t>
            </w:r>
          </w:p>
        </w:tc>
        <w:tc>
          <w:tcPr>
            <w:tcW w:w="3111" w:type="dxa"/>
          </w:tcPr>
          <w:p>
            <w:pPr>
              <w:pStyle w:val="TableParagraph"/>
              <w:spacing w:before="1" w:line="252" w:lineRule="exact"/>
              <w:rPr>
                <w:b/>
                <w:sz w:val="22"/>
              </w:rPr>
            </w:pPr>
            <w:r>
              <w:rPr>
                <w:b/>
                <w:spacing w:val="-2"/>
                <w:sz w:val="22"/>
              </w:rPr>
              <w:t>Topic</w:t>
            </w:r>
          </w:p>
        </w:tc>
        <w:tc>
          <w:tcPr>
            <w:tcW w:w="721" w:type="dxa"/>
          </w:tcPr>
          <w:p>
            <w:pPr>
              <w:pStyle w:val="TableParagraph"/>
              <w:spacing w:before="1" w:line="252" w:lineRule="exact"/>
              <w:rPr>
                <w:b/>
                <w:sz w:val="22"/>
              </w:rPr>
            </w:pPr>
            <w:r>
              <w:rPr>
                <w:b/>
                <w:spacing w:val="-4"/>
                <w:sz w:val="22"/>
              </w:rPr>
              <w:t>Page</w:t>
            </w:r>
          </w:p>
        </w:tc>
      </w:tr>
      <w:tr>
        <w:tblPrEx>
          <w:tblW w:w="0" w:type="auto"/>
          <w:jc w:val="left"/>
          <w:tblInd w:w="433" w:type="dxa"/>
          <w:tblLayout w:type="fixed"/>
          <w:tblCellMar>
            <w:top w:w="0" w:type="dxa"/>
            <w:left w:w="0" w:type="dxa"/>
            <w:bottom w:w="0" w:type="dxa"/>
            <w:right w:w="0" w:type="dxa"/>
          </w:tblCellMar>
          <w:tblLook w:val="01E0"/>
        </w:tblPrEx>
        <w:trPr>
          <w:trHeight w:val="251"/>
          <w:jc w:val="left"/>
        </w:trPr>
        <w:tc>
          <w:tcPr>
            <w:tcW w:w="3217" w:type="dxa"/>
          </w:tcPr>
          <w:p>
            <w:pPr>
              <w:pStyle w:val="TableParagraph"/>
              <w:spacing w:line="232" w:lineRule="exact"/>
              <w:rPr>
                <w:sz w:val="22"/>
              </w:rPr>
            </w:pPr>
            <w:r>
              <w:rPr>
                <w:sz w:val="22"/>
              </w:rPr>
              <w:t>Actuarial</w:t>
            </w:r>
            <w:r>
              <w:rPr>
                <w:spacing w:val="-4"/>
                <w:sz w:val="22"/>
              </w:rPr>
              <w:t xml:space="preserve"> </w:t>
            </w:r>
            <w:r>
              <w:rPr>
                <w:spacing w:val="-2"/>
                <w:sz w:val="22"/>
              </w:rPr>
              <w:t>Equivalence</w:t>
            </w:r>
          </w:p>
        </w:tc>
        <w:tc>
          <w:tcPr>
            <w:tcW w:w="720" w:type="dxa"/>
          </w:tcPr>
          <w:p>
            <w:pPr>
              <w:pStyle w:val="TableParagraph"/>
              <w:spacing w:line="232" w:lineRule="exact"/>
              <w:rPr>
                <w:sz w:val="22"/>
              </w:rPr>
            </w:pPr>
            <w:hyperlink w:anchor="_bookmark9" w:history="1">
              <w:r>
                <w:rPr>
                  <w:spacing w:val="-10"/>
                  <w:sz w:val="22"/>
                </w:rPr>
                <w:t>6</w:t>
              </w:r>
            </w:hyperlink>
          </w:p>
        </w:tc>
        <w:tc>
          <w:tcPr>
            <w:tcW w:w="3111" w:type="dxa"/>
          </w:tcPr>
          <w:p>
            <w:pPr>
              <w:pStyle w:val="TableParagraph"/>
              <w:spacing w:line="232" w:lineRule="exact"/>
              <w:rPr>
                <w:sz w:val="22"/>
              </w:rPr>
            </w:pPr>
            <w:r>
              <w:rPr>
                <w:sz w:val="22"/>
              </w:rPr>
              <w:t>PBM</w:t>
            </w:r>
            <w:r>
              <w:rPr>
                <w:spacing w:val="-4"/>
                <w:sz w:val="22"/>
              </w:rPr>
              <w:t xml:space="preserve"> </w:t>
            </w:r>
            <w:r>
              <w:rPr>
                <w:spacing w:val="-2"/>
                <w:sz w:val="22"/>
              </w:rPr>
              <w:t>Pricing</w:t>
            </w:r>
          </w:p>
        </w:tc>
        <w:tc>
          <w:tcPr>
            <w:tcW w:w="721" w:type="dxa"/>
          </w:tcPr>
          <w:p>
            <w:pPr>
              <w:pStyle w:val="TableParagraph"/>
              <w:spacing w:line="232" w:lineRule="exact"/>
              <w:rPr>
                <w:sz w:val="22"/>
              </w:rPr>
            </w:pPr>
            <w:hyperlink w:anchor="_bookmark16" w:history="1">
              <w:r>
                <w:rPr>
                  <w:spacing w:val="-5"/>
                  <w:sz w:val="22"/>
                </w:rPr>
                <w:t>17</w:t>
              </w:r>
            </w:hyperlink>
          </w:p>
        </w:tc>
      </w:tr>
      <w:tr>
        <w:tblPrEx>
          <w:tblW w:w="0" w:type="auto"/>
          <w:jc w:val="left"/>
          <w:tblInd w:w="433" w:type="dxa"/>
          <w:tblLayout w:type="fixed"/>
          <w:tblCellMar>
            <w:top w:w="0" w:type="dxa"/>
            <w:left w:w="0" w:type="dxa"/>
            <w:bottom w:w="0" w:type="dxa"/>
            <w:right w:w="0" w:type="dxa"/>
          </w:tblCellMar>
          <w:tblLook w:val="01E0"/>
        </w:tblPrEx>
        <w:trPr>
          <w:trHeight w:val="253"/>
          <w:jc w:val="left"/>
        </w:trPr>
        <w:tc>
          <w:tcPr>
            <w:tcW w:w="3217" w:type="dxa"/>
          </w:tcPr>
          <w:p>
            <w:pPr>
              <w:pStyle w:val="TableParagraph"/>
              <w:spacing w:line="234" w:lineRule="exact"/>
              <w:rPr>
                <w:sz w:val="22"/>
              </w:rPr>
            </w:pPr>
            <w:r>
              <w:rPr>
                <w:sz w:val="22"/>
              </w:rPr>
              <w:t>Base</w:t>
            </w:r>
            <w:r>
              <w:rPr>
                <w:spacing w:val="-3"/>
                <w:sz w:val="22"/>
              </w:rPr>
              <w:t xml:space="preserve"> </w:t>
            </w:r>
            <w:r>
              <w:rPr>
                <w:sz w:val="22"/>
              </w:rPr>
              <w:t>Period</w:t>
            </w:r>
            <w:r>
              <w:rPr>
                <w:spacing w:val="-3"/>
                <w:sz w:val="22"/>
              </w:rPr>
              <w:t xml:space="preserve"> </w:t>
            </w:r>
            <w:r>
              <w:rPr>
                <w:spacing w:val="-2"/>
                <w:sz w:val="22"/>
              </w:rPr>
              <w:t>Experience</w:t>
            </w:r>
          </w:p>
        </w:tc>
        <w:tc>
          <w:tcPr>
            <w:tcW w:w="720" w:type="dxa"/>
          </w:tcPr>
          <w:p>
            <w:pPr>
              <w:pStyle w:val="TableParagraph"/>
              <w:spacing w:line="234" w:lineRule="exact"/>
              <w:rPr>
                <w:sz w:val="22"/>
              </w:rPr>
            </w:pPr>
            <w:hyperlink w:anchor="_bookmark10" w:history="1">
              <w:r>
                <w:rPr>
                  <w:spacing w:val="-10"/>
                  <w:sz w:val="22"/>
                </w:rPr>
                <w:t>7</w:t>
              </w:r>
            </w:hyperlink>
          </w:p>
        </w:tc>
        <w:tc>
          <w:tcPr>
            <w:tcW w:w="3111" w:type="dxa"/>
          </w:tcPr>
          <w:p>
            <w:pPr>
              <w:pStyle w:val="TableParagraph"/>
              <w:spacing w:line="234" w:lineRule="exact"/>
              <w:rPr>
                <w:sz w:val="22"/>
              </w:rPr>
            </w:pPr>
            <w:r>
              <w:rPr>
                <w:sz w:val="22"/>
              </w:rPr>
              <w:t>Related-Party</w:t>
            </w:r>
            <w:r>
              <w:rPr>
                <w:spacing w:val="-6"/>
                <w:sz w:val="22"/>
              </w:rPr>
              <w:t xml:space="preserve"> </w:t>
            </w:r>
            <w:r>
              <w:rPr>
                <w:spacing w:val="-2"/>
                <w:sz w:val="22"/>
              </w:rPr>
              <w:t>Arrangements</w:t>
            </w:r>
          </w:p>
        </w:tc>
        <w:tc>
          <w:tcPr>
            <w:tcW w:w="721" w:type="dxa"/>
          </w:tcPr>
          <w:p>
            <w:pPr>
              <w:pStyle w:val="TableParagraph"/>
              <w:spacing w:line="234" w:lineRule="exact"/>
              <w:rPr>
                <w:sz w:val="22"/>
              </w:rPr>
            </w:pPr>
            <w:hyperlink w:anchor="_bookmark17" w:history="1">
              <w:r>
                <w:rPr>
                  <w:spacing w:val="-5"/>
                  <w:sz w:val="22"/>
                </w:rPr>
                <w:t>17</w:t>
              </w:r>
            </w:hyperlink>
          </w:p>
        </w:tc>
      </w:tr>
      <w:tr>
        <w:tblPrEx>
          <w:tblW w:w="0" w:type="auto"/>
          <w:jc w:val="left"/>
          <w:tblInd w:w="433" w:type="dxa"/>
          <w:tblLayout w:type="fixed"/>
          <w:tblCellMar>
            <w:top w:w="0" w:type="dxa"/>
            <w:left w:w="0" w:type="dxa"/>
            <w:bottom w:w="0" w:type="dxa"/>
            <w:right w:w="0" w:type="dxa"/>
          </w:tblCellMar>
          <w:tblLook w:val="01E0"/>
        </w:tblPrEx>
        <w:trPr>
          <w:trHeight w:val="506"/>
          <w:jc w:val="left"/>
        </w:trPr>
        <w:tc>
          <w:tcPr>
            <w:tcW w:w="3217" w:type="dxa"/>
          </w:tcPr>
          <w:p>
            <w:pPr>
              <w:pStyle w:val="TableParagraph"/>
              <w:spacing w:before="125"/>
              <w:rPr>
                <w:sz w:val="22"/>
              </w:rPr>
            </w:pPr>
            <w:r>
              <w:rPr>
                <w:spacing w:val="-2"/>
                <w:sz w:val="22"/>
              </w:rPr>
              <w:t>Credibility</w:t>
            </w:r>
          </w:p>
        </w:tc>
        <w:tc>
          <w:tcPr>
            <w:tcW w:w="720" w:type="dxa"/>
          </w:tcPr>
          <w:p>
            <w:pPr>
              <w:pStyle w:val="TableParagraph"/>
              <w:spacing w:before="125"/>
              <w:rPr>
                <w:sz w:val="22"/>
              </w:rPr>
            </w:pPr>
            <w:hyperlink w:anchor="_bookmark11" w:history="1">
              <w:r>
                <w:rPr>
                  <w:spacing w:val="-5"/>
                  <w:sz w:val="22"/>
                </w:rPr>
                <w:t>10</w:t>
              </w:r>
            </w:hyperlink>
          </w:p>
        </w:tc>
        <w:tc>
          <w:tcPr>
            <w:tcW w:w="3111" w:type="dxa"/>
          </w:tcPr>
          <w:p>
            <w:pPr>
              <w:pStyle w:val="TableParagraph"/>
              <w:spacing w:line="252" w:lineRule="exact"/>
              <w:rPr>
                <w:sz w:val="22"/>
              </w:rPr>
            </w:pPr>
            <w:r>
              <w:rPr>
                <w:sz w:val="22"/>
              </w:rPr>
              <w:t>Risk</w:t>
            </w:r>
            <w:r>
              <w:rPr>
                <w:spacing w:val="-13"/>
                <w:sz w:val="22"/>
              </w:rPr>
              <w:t xml:space="preserve"> </w:t>
            </w:r>
            <w:r>
              <w:rPr>
                <w:sz w:val="22"/>
              </w:rPr>
              <w:t>Score</w:t>
            </w:r>
            <w:r>
              <w:rPr>
                <w:spacing w:val="-13"/>
                <w:sz w:val="22"/>
              </w:rPr>
              <w:t xml:space="preserve"> </w:t>
            </w:r>
            <w:r>
              <w:rPr>
                <w:sz w:val="22"/>
              </w:rPr>
              <w:t>Development</w:t>
            </w:r>
            <w:r>
              <w:rPr>
                <w:spacing w:val="-13"/>
                <w:sz w:val="22"/>
              </w:rPr>
              <w:t xml:space="preserve"> </w:t>
            </w:r>
            <w:r>
              <w:rPr>
                <w:sz w:val="22"/>
              </w:rPr>
              <w:t xml:space="preserve">for </w:t>
            </w:r>
            <w:r>
              <w:rPr>
                <w:spacing w:val="-2"/>
                <w:sz w:val="22"/>
              </w:rPr>
              <w:t>CY2026</w:t>
            </w:r>
          </w:p>
        </w:tc>
        <w:tc>
          <w:tcPr>
            <w:tcW w:w="721" w:type="dxa"/>
          </w:tcPr>
          <w:p>
            <w:pPr>
              <w:pStyle w:val="TableParagraph"/>
              <w:spacing w:before="125"/>
              <w:rPr>
                <w:sz w:val="22"/>
              </w:rPr>
            </w:pPr>
            <w:hyperlink w:anchor="_bookmark18" w:history="1">
              <w:r>
                <w:rPr>
                  <w:spacing w:val="-5"/>
                  <w:sz w:val="22"/>
                </w:rPr>
                <w:t>17</w:t>
              </w:r>
            </w:hyperlink>
          </w:p>
        </w:tc>
      </w:tr>
      <w:tr>
        <w:tblPrEx>
          <w:tblW w:w="0" w:type="auto"/>
          <w:jc w:val="left"/>
          <w:tblInd w:w="433" w:type="dxa"/>
          <w:tblLayout w:type="fixed"/>
          <w:tblCellMar>
            <w:top w:w="0" w:type="dxa"/>
            <w:left w:w="0" w:type="dxa"/>
            <w:bottom w:w="0" w:type="dxa"/>
            <w:right w:w="0" w:type="dxa"/>
          </w:tblCellMar>
          <w:tblLook w:val="01E0"/>
        </w:tblPrEx>
        <w:trPr>
          <w:trHeight w:val="506"/>
          <w:jc w:val="left"/>
        </w:trPr>
        <w:tc>
          <w:tcPr>
            <w:tcW w:w="3217" w:type="dxa"/>
          </w:tcPr>
          <w:p>
            <w:pPr>
              <w:pStyle w:val="TableParagraph"/>
              <w:spacing w:line="252" w:lineRule="exact"/>
              <w:rPr>
                <w:sz w:val="22"/>
              </w:rPr>
            </w:pPr>
            <w:r>
              <w:rPr>
                <w:sz w:val="22"/>
              </w:rPr>
              <w:t>Direct</w:t>
            </w:r>
            <w:r>
              <w:rPr>
                <w:spacing w:val="-12"/>
                <w:sz w:val="22"/>
              </w:rPr>
              <w:t xml:space="preserve"> </w:t>
            </w:r>
            <w:r>
              <w:rPr>
                <w:sz w:val="22"/>
              </w:rPr>
              <w:t>and</w:t>
            </w:r>
            <w:r>
              <w:rPr>
                <w:spacing w:val="-13"/>
                <w:sz w:val="22"/>
              </w:rPr>
              <w:t xml:space="preserve"> </w:t>
            </w:r>
            <w:r>
              <w:rPr>
                <w:sz w:val="22"/>
              </w:rPr>
              <w:t>Indirect</w:t>
            </w:r>
            <w:r>
              <w:rPr>
                <w:spacing w:val="-12"/>
                <w:sz w:val="22"/>
              </w:rPr>
              <w:t xml:space="preserve"> </w:t>
            </w:r>
            <w:r>
              <w:rPr>
                <w:sz w:val="22"/>
              </w:rPr>
              <w:t xml:space="preserve">Remuneration </w:t>
            </w:r>
            <w:r>
              <w:rPr>
                <w:spacing w:val="-2"/>
                <w:sz w:val="22"/>
              </w:rPr>
              <w:t>(DIR)</w:t>
            </w:r>
          </w:p>
        </w:tc>
        <w:tc>
          <w:tcPr>
            <w:tcW w:w="720" w:type="dxa"/>
          </w:tcPr>
          <w:p>
            <w:pPr>
              <w:pStyle w:val="TableParagraph"/>
              <w:spacing w:before="125"/>
              <w:rPr>
                <w:sz w:val="22"/>
              </w:rPr>
            </w:pPr>
            <w:hyperlink w:anchor="_bookmark12" w:history="1">
              <w:r>
                <w:rPr>
                  <w:spacing w:val="-5"/>
                  <w:sz w:val="22"/>
                </w:rPr>
                <w:t>12</w:t>
              </w:r>
            </w:hyperlink>
          </w:p>
        </w:tc>
        <w:tc>
          <w:tcPr>
            <w:tcW w:w="3111" w:type="dxa"/>
          </w:tcPr>
          <w:p>
            <w:pPr>
              <w:pStyle w:val="TableParagraph"/>
              <w:spacing w:before="125"/>
              <w:rPr>
                <w:sz w:val="22"/>
              </w:rPr>
            </w:pPr>
            <w:r>
              <w:rPr>
                <w:spacing w:val="-2"/>
                <w:sz w:val="22"/>
              </w:rPr>
              <w:t>Sequestration</w:t>
            </w:r>
          </w:p>
        </w:tc>
        <w:tc>
          <w:tcPr>
            <w:tcW w:w="721" w:type="dxa"/>
          </w:tcPr>
          <w:p>
            <w:pPr>
              <w:pStyle w:val="TableParagraph"/>
              <w:spacing w:before="125"/>
              <w:rPr>
                <w:sz w:val="22"/>
              </w:rPr>
            </w:pPr>
            <w:hyperlink w:anchor="_bookmark19" w:history="1">
              <w:r>
                <w:rPr>
                  <w:spacing w:val="-5"/>
                  <w:sz w:val="22"/>
                </w:rPr>
                <w:t>19</w:t>
              </w:r>
            </w:hyperlink>
          </w:p>
        </w:tc>
      </w:tr>
      <w:tr>
        <w:tblPrEx>
          <w:tblW w:w="0" w:type="auto"/>
          <w:jc w:val="left"/>
          <w:tblInd w:w="433" w:type="dxa"/>
          <w:tblLayout w:type="fixed"/>
          <w:tblCellMar>
            <w:top w:w="0" w:type="dxa"/>
            <w:left w:w="0" w:type="dxa"/>
            <w:bottom w:w="0" w:type="dxa"/>
            <w:right w:w="0" w:type="dxa"/>
          </w:tblCellMar>
          <w:tblLook w:val="01E0"/>
        </w:tblPrEx>
        <w:trPr>
          <w:trHeight w:val="251"/>
          <w:jc w:val="left"/>
        </w:trPr>
        <w:tc>
          <w:tcPr>
            <w:tcW w:w="3217" w:type="dxa"/>
          </w:tcPr>
          <w:p>
            <w:pPr>
              <w:pStyle w:val="TableParagraph"/>
              <w:spacing w:line="232" w:lineRule="exact"/>
              <w:rPr>
                <w:sz w:val="22"/>
              </w:rPr>
            </w:pPr>
            <w:r>
              <w:rPr>
                <w:spacing w:val="-2"/>
                <w:sz w:val="22"/>
              </w:rPr>
              <w:t>Enrollment</w:t>
            </w:r>
          </w:p>
        </w:tc>
        <w:tc>
          <w:tcPr>
            <w:tcW w:w="720" w:type="dxa"/>
          </w:tcPr>
          <w:p>
            <w:pPr>
              <w:pStyle w:val="TableParagraph"/>
              <w:spacing w:line="232" w:lineRule="exact"/>
              <w:rPr>
                <w:sz w:val="22"/>
              </w:rPr>
            </w:pPr>
            <w:hyperlink w:anchor="_bookmark13" w:history="1">
              <w:r>
                <w:rPr>
                  <w:spacing w:val="-5"/>
                  <w:sz w:val="22"/>
                </w:rPr>
                <w:t>12</w:t>
              </w:r>
            </w:hyperlink>
          </w:p>
        </w:tc>
        <w:tc>
          <w:tcPr>
            <w:tcW w:w="3111" w:type="dxa"/>
          </w:tcPr>
          <w:p>
            <w:pPr>
              <w:pStyle w:val="TableParagraph"/>
              <w:spacing w:line="232" w:lineRule="exact"/>
              <w:rPr>
                <w:sz w:val="22"/>
              </w:rPr>
            </w:pPr>
            <w:r>
              <w:rPr>
                <w:sz w:val="22"/>
              </w:rPr>
              <w:t>Supporting</w:t>
            </w:r>
            <w:r>
              <w:rPr>
                <w:spacing w:val="-5"/>
                <w:sz w:val="22"/>
              </w:rPr>
              <w:t xml:space="preserve"> </w:t>
            </w:r>
            <w:r>
              <w:rPr>
                <w:spacing w:val="-2"/>
                <w:sz w:val="22"/>
              </w:rPr>
              <w:t>Documentation</w:t>
            </w:r>
          </w:p>
        </w:tc>
        <w:tc>
          <w:tcPr>
            <w:tcW w:w="721" w:type="dxa"/>
          </w:tcPr>
          <w:p>
            <w:pPr>
              <w:pStyle w:val="TableParagraph"/>
              <w:spacing w:line="232" w:lineRule="exact"/>
              <w:rPr>
                <w:sz w:val="22"/>
              </w:rPr>
            </w:pPr>
            <w:hyperlink w:anchor="_bookmark20" w:history="1">
              <w:r>
                <w:rPr>
                  <w:spacing w:val="-5"/>
                  <w:sz w:val="22"/>
                </w:rPr>
                <w:t>19</w:t>
              </w:r>
            </w:hyperlink>
          </w:p>
        </w:tc>
      </w:tr>
      <w:tr>
        <w:tblPrEx>
          <w:tblW w:w="0" w:type="auto"/>
          <w:jc w:val="left"/>
          <w:tblInd w:w="433" w:type="dxa"/>
          <w:tblLayout w:type="fixed"/>
          <w:tblCellMar>
            <w:top w:w="0" w:type="dxa"/>
            <w:left w:w="0" w:type="dxa"/>
            <w:bottom w:w="0" w:type="dxa"/>
            <w:right w:w="0" w:type="dxa"/>
          </w:tblCellMar>
          <w:tblLook w:val="01E0"/>
        </w:tblPrEx>
        <w:trPr>
          <w:trHeight w:val="254"/>
          <w:jc w:val="left"/>
        </w:trPr>
        <w:tc>
          <w:tcPr>
            <w:tcW w:w="3217" w:type="dxa"/>
          </w:tcPr>
          <w:p>
            <w:pPr>
              <w:pStyle w:val="TableParagraph"/>
              <w:spacing w:line="234" w:lineRule="exact"/>
              <w:rPr>
                <w:sz w:val="22"/>
              </w:rPr>
            </w:pPr>
            <w:r>
              <w:rPr>
                <w:sz w:val="22"/>
              </w:rPr>
              <w:t>Gain/Loss</w:t>
            </w:r>
            <w:r>
              <w:rPr>
                <w:spacing w:val="-6"/>
                <w:sz w:val="22"/>
              </w:rPr>
              <w:t xml:space="preserve"> </w:t>
            </w:r>
            <w:r>
              <w:rPr>
                <w:spacing w:val="-2"/>
                <w:sz w:val="22"/>
              </w:rPr>
              <w:t>Margin</w:t>
            </w:r>
          </w:p>
        </w:tc>
        <w:tc>
          <w:tcPr>
            <w:tcW w:w="720" w:type="dxa"/>
          </w:tcPr>
          <w:p>
            <w:pPr>
              <w:pStyle w:val="TableParagraph"/>
              <w:spacing w:line="234" w:lineRule="exact"/>
              <w:rPr>
                <w:sz w:val="22"/>
              </w:rPr>
            </w:pPr>
            <w:hyperlink w:anchor="_bookmark14" w:history="1">
              <w:r>
                <w:rPr>
                  <w:spacing w:val="-5"/>
                  <w:sz w:val="22"/>
                </w:rPr>
                <w:t>13</w:t>
              </w:r>
            </w:hyperlink>
          </w:p>
        </w:tc>
        <w:tc>
          <w:tcPr>
            <w:tcW w:w="3111" w:type="dxa"/>
          </w:tcPr>
          <w:p>
            <w:pPr>
              <w:pStyle w:val="TableParagraph"/>
              <w:spacing w:line="234" w:lineRule="exact"/>
              <w:rPr>
                <w:sz w:val="22"/>
              </w:rPr>
            </w:pPr>
            <w:r>
              <w:rPr>
                <w:sz w:val="22"/>
              </w:rPr>
              <w:t>Types</w:t>
            </w:r>
            <w:r>
              <w:rPr>
                <w:spacing w:val="-3"/>
                <w:sz w:val="22"/>
              </w:rPr>
              <w:t xml:space="preserve"> </w:t>
            </w:r>
            <w:r>
              <w:rPr>
                <w:sz w:val="22"/>
              </w:rPr>
              <w:t>of</w:t>
            </w:r>
            <w:r>
              <w:rPr>
                <w:spacing w:val="-3"/>
                <w:sz w:val="22"/>
              </w:rPr>
              <w:t xml:space="preserve"> </w:t>
            </w:r>
            <w:r>
              <w:rPr>
                <w:sz w:val="22"/>
              </w:rPr>
              <w:t>Part</w:t>
            </w:r>
            <w:r>
              <w:rPr>
                <w:spacing w:val="-2"/>
                <w:sz w:val="22"/>
              </w:rPr>
              <w:t xml:space="preserve"> </w:t>
            </w:r>
            <w:r>
              <w:rPr>
                <w:sz w:val="22"/>
              </w:rPr>
              <w:t>D-Covered</w:t>
            </w:r>
            <w:r>
              <w:rPr>
                <w:spacing w:val="-2"/>
                <w:sz w:val="22"/>
              </w:rPr>
              <w:t xml:space="preserve"> Drugs</w:t>
            </w:r>
          </w:p>
        </w:tc>
        <w:tc>
          <w:tcPr>
            <w:tcW w:w="721" w:type="dxa"/>
          </w:tcPr>
          <w:p>
            <w:pPr>
              <w:pStyle w:val="TableParagraph"/>
              <w:spacing w:line="234" w:lineRule="exact"/>
              <w:rPr>
                <w:sz w:val="22"/>
              </w:rPr>
            </w:pPr>
            <w:hyperlink w:anchor="_bookmark21" w:history="1">
              <w:r>
                <w:rPr>
                  <w:spacing w:val="-5"/>
                  <w:sz w:val="22"/>
                </w:rPr>
                <w:t>20</w:t>
              </w:r>
            </w:hyperlink>
          </w:p>
        </w:tc>
      </w:tr>
      <w:tr>
        <w:tblPrEx>
          <w:tblW w:w="0" w:type="auto"/>
          <w:jc w:val="left"/>
          <w:tblInd w:w="433" w:type="dxa"/>
          <w:tblLayout w:type="fixed"/>
          <w:tblCellMar>
            <w:top w:w="0" w:type="dxa"/>
            <w:left w:w="0" w:type="dxa"/>
            <w:bottom w:w="0" w:type="dxa"/>
            <w:right w:w="0" w:type="dxa"/>
          </w:tblCellMar>
          <w:tblLook w:val="01E0"/>
        </w:tblPrEx>
        <w:trPr>
          <w:trHeight w:val="253"/>
          <w:jc w:val="left"/>
        </w:trPr>
        <w:tc>
          <w:tcPr>
            <w:tcW w:w="3217" w:type="dxa"/>
          </w:tcPr>
          <w:p>
            <w:pPr>
              <w:pStyle w:val="TableParagraph"/>
              <w:spacing w:line="234" w:lineRule="exact"/>
              <w:rPr>
                <w:sz w:val="22"/>
              </w:rPr>
            </w:pPr>
            <w:r>
              <w:rPr>
                <w:sz w:val="22"/>
              </w:rPr>
              <w:t>Non-Benefit</w:t>
            </w:r>
            <w:r>
              <w:rPr>
                <w:spacing w:val="-7"/>
                <w:sz w:val="22"/>
              </w:rPr>
              <w:t xml:space="preserve"> </w:t>
            </w:r>
            <w:r>
              <w:rPr>
                <w:spacing w:val="-2"/>
                <w:sz w:val="22"/>
              </w:rPr>
              <w:t>Expenses</w:t>
            </w:r>
          </w:p>
        </w:tc>
        <w:tc>
          <w:tcPr>
            <w:tcW w:w="720" w:type="dxa"/>
          </w:tcPr>
          <w:p>
            <w:pPr>
              <w:pStyle w:val="TableParagraph"/>
              <w:spacing w:line="234" w:lineRule="exact"/>
              <w:rPr>
                <w:sz w:val="22"/>
              </w:rPr>
            </w:pPr>
            <w:hyperlink w:anchor="_bookmark15" w:history="1">
              <w:r>
                <w:rPr>
                  <w:spacing w:val="-5"/>
                  <w:sz w:val="22"/>
                </w:rPr>
                <w:t>15</w:t>
              </w:r>
            </w:hyperlink>
          </w:p>
        </w:tc>
        <w:tc>
          <w:tcPr>
            <w:tcW w:w="3111" w:type="dxa"/>
          </w:tcPr>
          <w:p>
            <w:pPr>
              <w:pStyle w:val="TableParagraph"/>
              <w:ind w:left="0"/>
              <w:rPr>
                <w:sz w:val="18"/>
              </w:rPr>
            </w:pPr>
          </w:p>
        </w:tc>
        <w:tc>
          <w:tcPr>
            <w:tcW w:w="721" w:type="dxa"/>
          </w:tcPr>
          <w:p>
            <w:pPr>
              <w:pStyle w:val="TableParagraph"/>
              <w:ind w:left="0"/>
              <w:rPr>
                <w:sz w:val="18"/>
              </w:rPr>
            </w:pPr>
          </w:p>
        </w:tc>
      </w:tr>
    </w:tbl>
    <w:p>
      <w:pPr>
        <w:pStyle w:val="BodyText"/>
        <w:spacing w:before="1"/>
        <w:ind w:left="0"/>
        <w:rPr>
          <w:rFonts w:ascii="Arial"/>
          <w:b/>
          <w:sz w:val="21"/>
        </w:rPr>
      </w:pPr>
    </w:p>
    <w:p>
      <w:pPr>
        <w:spacing w:before="0"/>
        <w:ind w:left="224" w:right="0" w:firstLine="0"/>
        <w:jc w:val="left"/>
        <w:rPr>
          <w:rFonts w:ascii="Arial"/>
          <w:b/>
          <w:sz w:val="21"/>
        </w:rPr>
      </w:pPr>
      <w:bookmarkStart w:id="19" w:name="Actuarial Equivalence"/>
      <w:bookmarkEnd w:id="19"/>
      <w:bookmarkStart w:id="20" w:name="_bookmark9"/>
      <w:bookmarkEnd w:id="20"/>
      <w:r>
        <w:rPr>
          <w:rFonts w:ascii="Arial"/>
          <w:b/>
          <w:sz w:val="21"/>
        </w:rPr>
        <w:t>Actuarial</w:t>
      </w:r>
      <w:r>
        <w:rPr>
          <w:rFonts w:ascii="Arial"/>
          <w:b/>
          <w:spacing w:val="-8"/>
          <w:sz w:val="21"/>
        </w:rPr>
        <w:t xml:space="preserve"> </w:t>
      </w:r>
      <w:r>
        <w:rPr>
          <w:rFonts w:ascii="Arial"/>
          <w:b/>
          <w:spacing w:val="-2"/>
          <w:sz w:val="21"/>
        </w:rPr>
        <w:t>Equivalence</w:t>
      </w:r>
    </w:p>
    <w:p>
      <w:pPr>
        <w:pStyle w:val="BodyText"/>
        <w:spacing w:before="118"/>
        <w:ind w:left="224" w:right="425"/>
      </w:pPr>
      <w:r>
        <w:t>Actuarial</w:t>
      </w:r>
      <w:r>
        <w:rPr>
          <w:spacing w:val="-4"/>
        </w:rPr>
        <w:t xml:space="preserve"> </w:t>
      </w:r>
      <w:r>
        <w:t>equivalence</w:t>
      </w:r>
      <w:r>
        <w:rPr>
          <w:spacing w:val="-5"/>
        </w:rPr>
        <w:t xml:space="preserve"> </w:t>
      </w:r>
      <w:r>
        <w:t>must</w:t>
      </w:r>
      <w:r>
        <w:rPr>
          <w:spacing w:val="-4"/>
        </w:rPr>
        <w:t xml:space="preserve"> </w:t>
      </w:r>
      <w:r>
        <w:t>be</w:t>
      </w:r>
      <w:r>
        <w:rPr>
          <w:spacing w:val="-5"/>
        </w:rPr>
        <w:t xml:space="preserve"> </w:t>
      </w:r>
      <w:r>
        <w:t>demonstrated</w:t>
      </w:r>
      <w:r>
        <w:rPr>
          <w:spacing w:val="-4"/>
        </w:rPr>
        <w:t xml:space="preserve"> </w:t>
      </w:r>
      <w:r>
        <w:t>for</w:t>
      </w:r>
      <w:r>
        <w:rPr>
          <w:spacing w:val="-4"/>
        </w:rPr>
        <w:t xml:space="preserve"> </w:t>
      </w:r>
      <w:r>
        <w:t>plan</w:t>
      </w:r>
      <w:r>
        <w:rPr>
          <w:spacing w:val="-2"/>
        </w:rPr>
        <w:t xml:space="preserve"> </w:t>
      </w:r>
      <w:r>
        <w:t>benefit</w:t>
      </w:r>
      <w:r>
        <w:rPr>
          <w:spacing w:val="-4"/>
        </w:rPr>
        <w:t xml:space="preserve"> </w:t>
      </w:r>
      <w:r>
        <w:t>types</w:t>
      </w:r>
      <w:r>
        <w:rPr>
          <w:spacing w:val="-4"/>
        </w:rPr>
        <w:t xml:space="preserve"> </w:t>
      </w:r>
      <w:r>
        <w:t>other</w:t>
      </w:r>
      <w:r>
        <w:rPr>
          <w:spacing w:val="-4"/>
        </w:rPr>
        <w:t xml:space="preserve"> </w:t>
      </w:r>
      <w:r>
        <w:t>than</w:t>
      </w:r>
      <w:r>
        <w:rPr>
          <w:spacing w:val="-4"/>
        </w:rPr>
        <w:t xml:space="preserve"> </w:t>
      </w:r>
      <w:r>
        <w:t>Defined</w:t>
      </w:r>
      <w:r>
        <w:rPr>
          <w:spacing w:val="-4"/>
        </w:rPr>
        <w:t xml:space="preserve"> </w:t>
      </w:r>
      <w:r>
        <w:t xml:space="preserve">Standard </w:t>
      </w:r>
      <w:r>
        <w:rPr>
          <w:spacing w:val="-2"/>
        </w:rPr>
        <w:t>(DS).</w:t>
      </w:r>
    </w:p>
    <w:p>
      <w:pPr>
        <w:pStyle w:val="BodyText"/>
        <w:ind w:left="224" w:right="478"/>
      </w:pPr>
      <w:r>
        <w:t>When</w:t>
      </w:r>
      <w:r>
        <w:rPr>
          <w:spacing w:val="-3"/>
        </w:rPr>
        <w:t xml:space="preserve"> </w:t>
      </w:r>
      <w:r>
        <w:t>the</w:t>
      </w:r>
      <w:r>
        <w:rPr>
          <w:spacing w:val="-3"/>
        </w:rPr>
        <w:t xml:space="preserve"> </w:t>
      </w:r>
      <w:r>
        <w:t>plan</w:t>
      </w:r>
      <w:r>
        <w:rPr>
          <w:spacing w:val="-3"/>
        </w:rPr>
        <w:t xml:space="preserve"> </w:t>
      </w:r>
      <w:r>
        <w:t>benefit</w:t>
      </w:r>
      <w:r>
        <w:rPr>
          <w:spacing w:val="-3"/>
        </w:rPr>
        <w:t xml:space="preserve"> </w:t>
      </w:r>
      <w:r>
        <w:t>type</w:t>
      </w:r>
      <w:r>
        <w:rPr>
          <w:spacing w:val="-4"/>
        </w:rPr>
        <w:t xml:space="preserve"> </w:t>
      </w:r>
      <w:r>
        <w:t>is</w:t>
      </w:r>
      <w:r>
        <w:rPr>
          <w:spacing w:val="-3"/>
        </w:rPr>
        <w:t xml:space="preserve"> </w:t>
      </w:r>
      <w:r>
        <w:t>Actuarially</w:t>
      </w:r>
      <w:r>
        <w:rPr>
          <w:spacing w:val="-3"/>
        </w:rPr>
        <w:t xml:space="preserve"> </w:t>
      </w:r>
      <w:r>
        <w:t>Equivalent</w:t>
      </w:r>
      <w:r>
        <w:rPr>
          <w:spacing w:val="-3"/>
        </w:rPr>
        <w:t xml:space="preserve"> </w:t>
      </w:r>
      <w:r>
        <w:t>(AE), one</w:t>
      </w:r>
      <w:r>
        <w:rPr>
          <w:spacing w:val="-4"/>
        </w:rPr>
        <w:t xml:space="preserve"> </w:t>
      </w:r>
      <w:r>
        <w:t>test</w:t>
      </w:r>
      <w:r>
        <w:rPr>
          <w:spacing w:val="-3"/>
        </w:rPr>
        <w:t xml:space="preserve"> </w:t>
      </w:r>
      <w:r>
        <w:t>must</w:t>
      </w:r>
      <w:r>
        <w:rPr>
          <w:spacing w:val="-3"/>
        </w:rPr>
        <w:t xml:space="preserve"> </w:t>
      </w:r>
      <w:r>
        <w:t>be</w:t>
      </w:r>
      <w:r>
        <w:rPr>
          <w:spacing w:val="-3"/>
        </w:rPr>
        <w:t xml:space="preserve"> </w:t>
      </w:r>
      <w:r>
        <w:t>satisfied</w:t>
      </w:r>
      <w:r>
        <w:rPr>
          <w:spacing w:val="-3"/>
        </w:rPr>
        <w:t xml:space="preserve"> </w:t>
      </w:r>
      <w:r>
        <w:t>on Worksheet 4, Section IV, line 16 to demonstrate actuarial equivalence:</w:t>
      </w:r>
    </w:p>
    <w:p>
      <w:pPr>
        <w:pStyle w:val="ListParagraph"/>
        <w:numPr>
          <w:ilvl w:val="0"/>
          <w:numId w:val="15"/>
        </w:numPr>
        <w:tabs>
          <w:tab w:val="left" w:pos="944"/>
        </w:tabs>
        <w:spacing w:before="121" w:after="0" w:line="240" w:lineRule="auto"/>
        <w:ind w:left="944" w:right="1561" w:hanging="360"/>
        <w:jc w:val="left"/>
        <w:rPr>
          <w:sz w:val="24"/>
        </w:rPr>
      </w:pPr>
      <w:r>
        <w:rPr>
          <w:sz w:val="24"/>
        </w:rPr>
        <w:t>The</w:t>
      </w:r>
      <w:r>
        <w:rPr>
          <w:spacing w:val="-7"/>
          <w:sz w:val="24"/>
        </w:rPr>
        <w:t xml:space="preserve"> </w:t>
      </w:r>
      <w:r>
        <w:rPr>
          <w:sz w:val="24"/>
        </w:rPr>
        <w:t>average</w:t>
      </w:r>
      <w:r>
        <w:rPr>
          <w:spacing w:val="-4"/>
          <w:sz w:val="24"/>
        </w:rPr>
        <w:t xml:space="preserve"> </w:t>
      </w:r>
      <w:r>
        <w:rPr>
          <w:sz w:val="24"/>
        </w:rPr>
        <w:t>coinsurance</w:t>
      </w:r>
      <w:r>
        <w:rPr>
          <w:spacing w:val="-4"/>
          <w:sz w:val="24"/>
        </w:rPr>
        <w:t xml:space="preserve"> </w:t>
      </w:r>
      <w:r>
        <w:rPr>
          <w:sz w:val="24"/>
        </w:rPr>
        <w:t>percentage</w:t>
      </w:r>
      <w:r>
        <w:rPr>
          <w:spacing w:val="-6"/>
          <w:sz w:val="24"/>
        </w:rPr>
        <w:t xml:space="preserve"> </w:t>
      </w:r>
      <w:r>
        <w:rPr>
          <w:sz w:val="24"/>
        </w:rPr>
        <w:t>for</w:t>
      </w:r>
      <w:r>
        <w:rPr>
          <w:spacing w:val="-5"/>
          <w:sz w:val="24"/>
        </w:rPr>
        <w:t xml:space="preserve"> </w:t>
      </w:r>
      <w:r>
        <w:rPr>
          <w:sz w:val="24"/>
        </w:rPr>
        <w:t>amounts</w:t>
      </w:r>
      <w:r>
        <w:rPr>
          <w:spacing w:val="-5"/>
          <w:sz w:val="24"/>
        </w:rPr>
        <w:t xml:space="preserve"> </w:t>
      </w:r>
      <w:r>
        <w:rPr>
          <w:sz w:val="24"/>
        </w:rPr>
        <w:t>between</w:t>
      </w:r>
      <w:r>
        <w:rPr>
          <w:spacing w:val="-5"/>
          <w:sz w:val="24"/>
        </w:rPr>
        <w:t xml:space="preserve"> </w:t>
      </w:r>
      <w:r>
        <w:rPr>
          <w:sz w:val="24"/>
        </w:rPr>
        <w:t>the</w:t>
      </w:r>
      <w:r>
        <w:rPr>
          <w:spacing w:val="-5"/>
          <w:sz w:val="24"/>
        </w:rPr>
        <w:t xml:space="preserve"> </w:t>
      </w:r>
      <w:r>
        <w:rPr>
          <w:sz w:val="24"/>
        </w:rPr>
        <w:t>deductible</w:t>
      </w:r>
      <w:r>
        <w:rPr>
          <w:spacing w:val="-5"/>
          <w:sz w:val="24"/>
        </w:rPr>
        <w:t xml:space="preserve"> </w:t>
      </w:r>
      <w:r>
        <w:rPr>
          <w:sz w:val="24"/>
        </w:rPr>
        <w:t>and catastrophic threshold must be actuarially equivalent to 25 percent.</w:t>
      </w:r>
    </w:p>
    <w:p>
      <w:pPr>
        <w:pStyle w:val="BodyText"/>
        <w:ind w:left="224" w:right="478"/>
      </w:pPr>
      <w:r>
        <w:t>When</w:t>
      </w:r>
      <w:r>
        <w:rPr>
          <w:spacing w:val="-3"/>
        </w:rPr>
        <w:t xml:space="preserve"> </w:t>
      </w:r>
      <w:r>
        <w:t>the</w:t>
      </w:r>
      <w:r>
        <w:rPr>
          <w:spacing w:val="-3"/>
        </w:rPr>
        <w:t xml:space="preserve"> </w:t>
      </w:r>
      <w:r>
        <w:t>plan</w:t>
      </w:r>
      <w:r>
        <w:rPr>
          <w:spacing w:val="-3"/>
        </w:rPr>
        <w:t xml:space="preserve"> </w:t>
      </w:r>
      <w:r>
        <w:t>benefit</w:t>
      </w:r>
      <w:r>
        <w:rPr>
          <w:spacing w:val="-3"/>
        </w:rPr>
        <w:t xml:space="preserve"> </w:t>
      </w:r>
      <w:r>
        <w:t>type</w:t>
      </w:r>
      <w:r>
        <w:rPr>
          <w:spacing w:val="-4"/>
        </w:rPr>
        <w:t xml:space="preserve"> </w:t>
      </w:r>
      <w:r>
        <w:t>is</w:t>
      </w:r>
      <w:r>
        <w:rPr>
          <w:spacing w:val="-3"/>
        </w:rPr>
        <w:t xml:space="preserve"> </w:t>
      </w:r>
      <w:r>
        <w:t>Basic</w:t>
      </w:r>
      <w:r>
        <w:rPr>
          <w:spacing w:val="-3"/>
        </w:rPr>
        <w:t xml:space="preserve"> </w:t>
      </w:r>
      <w:r>
        <w:t>Alternative</w:t>
      </w:r>
      <w:r>
        <w:rPr>
          <w:spacing w:val="-4"/>
        </w:rPr>
        <w:t xml:space="preserve"> </w:t>
      </w:r>
      <w:r>
        <w:t>(BA)</w:t>
      </w:r>
      <w:r>
        <w:rPr>
          <w:spacing w:val="-5"/>
        </w:rPr>
        <w:t xml:space="preserve"> </w:t>
      </w:r>
      <w:r>
        <w:t>or</w:t>
      </w:r>
      <w:r>
        <w:rPr>
          <w:spacing w:val="-3"/>
        </w:rPr>
        <w:t xml:space="preserve"> </w:t>
      </w:r>
      <w:r>
        <w:t>Enhanced</w:t>
      </w:r>
      <w:r>
        <w:rPr>
          <w:spacing w:val="-3"/>
        </w:rPr>
        <w:t xml:space="preserve"> </w:t>
      </w:r>
      <w:r>
        <w:t>Alternative</w:t>
      </w:r>
      <w:r>
        <w:rPr>
          <w:spacing w:val="-4"/>
        </w:rPr>
        <w:t xml:space="preserve"> </w:t>
      </w:r>
      <w:r>
        <w:t>(EA), four</w:t>
      </w:r>
      <w:r>
        <w:rPr>
          <w:spacing w:val="-5"/>
        </w:rPr>
        <w:t xml:space="preserve"> </w:t>
      </w:r>
      <w:r>
        <w:t>tests must be satisfied to demonstrate actuarial equivalence on Worksheet 5, Section VI, lines 1 through 4:</w:t>
      </w:r>
    </w:p>
    <w:p>
      <w:pPr>
        <w:pStyle w:val="ListParagraph"/>
        <w:numPr>
          <w:ilvl w:val="0"/>
          <w:numId w:val="15"/>
        </w:numPr>
        <w:tabs>
          <w:tab w:val="left" w:pos="944"/>
        </w:tabs>
        <w:spacing w:before="120" w:after="0" w:line="240" w:lineRule="auto"/>
        <w:ind w:left="944" w:right="0" w:hanging="360"/>
        <w:jc w:val="left"/>
        <w:rPr>
          <w:sz w:val="24"/>
        </w:rPr>
      </w:pPr>
      <w:r>
        <w:rPr>
          <w:sz w:val="24"/>
        </w:rPr>
        <w:t>The</w:t>
      </w:r>
      <w:r>
        <w:rPr>
          <w:spacing w:val="-3"/>
          <w:sz w:val="24"/>
        </w:rPr>
        <w:t xml:space="preserve"> </w:t>
      </w:r>
      <w:r>
        <w:rPr>
          <w:sz w:val="24"/>
        </w:rPr>
        <w:t>value</w:t>
      </w:r>
      <w:r>
        <w:rPr>
          <w:spacing w:val="-1"/>
          <w:sz w:val="24"/>
        </w:rPr>
        <w:t xml:space="preserve"> </w:t>
      </w:r>
      <w:r>
        <w:rPr>
          <w:sz w:val="24"/>
        </w:rPr>
        <w:t>of</w:t>
      </w:r>
      <w:r>
        <w:rPr>
          <w:spacing w:val="-2"/>
          <w:sz w:val="24"/>
        </w:rPr>
        <w:t xml:space="preserve"> </w:t>
      </w:r>
      <w:r>
        <w:rPr>
          <w:sz w:val="24"/>
        </w:rPr>
        <w:t>total</w:t>
      </w:r>
      <w:r>
        <w:rPr>
          <w:spacing w:val="1"/>
          <w:sz w:val="24"/>
        </w:rPr>
        <w:t xml:space="preserve"> </w:t>
      </w:r>
      <w:r>
        <w:rPr>
          <w:sz w:val="24"/>
        </w:rPr>
        <w:t>coverage</w:t>
      </w:r>
      <w:r>
        <w:rPr>
          <w:spacing w:val="-2"/>
          <w:sz w:val="24"/>
        </w:rPr>
        <w:t xml:space="preserve"> </w:t>
      </w:r>
      <w:r>
        <w:rPr>
          <w:sz w:val="24"/>
        </w:rPr>
        <w:t>is at</w:t>
      </w:r>
      <w:r>
        <w:rPr>
          <w:spacing w:val="-1"/>
          <w:sz w:val="24"/>
        </w:rPr>
        <w:t xml:space="preserve"> </w:t>
      </w:r>
      <w:r>
        <w:rPr>
          <w:sz w:val="24"/>
        </w:rPr>
        <w:t>least</w:t>
      </w:r>
      <w:r>
        <w:rPr>
          <w:spacing w:val="-1"/>
          <w:sz w:val="24"/>
        </w:rPr>
        <w:t xml:space="preserve"> </w:t>
      </w:r>
      <w:r>
        <w:rPr>
          <w:sz w:val="24"/>
        </w:rPr>
        <w:t>actuarially equivalent</w:t>
      </w:r>
      <w:r>
        <w:rPr>
          <w:spacing w:val="-1"/>
          <w:sz w:val="24"/>
        </w:rPr>
        <w:t xml:space="preserve"> </w:t>
      </w:r>
      <w:r>
        <w:rPr>
          <w:sz w:val="24"/>
        </w:rPr>
        <w:t>to</w:t>
      </w:r>
      <w:r>
        <w:rPr>
          <w:spacing w:val="3"/>
          <w:sz w:val="24"/>
        </w:rPr>
        <w:t xml:space="preserve"> </w:t>
      </w:r>
      <w:r>
        <w:rPr>
          <w:sz w:val="24"/>
        </w:rPr>
        <w:t xml:space="preserve">DS </w:t>
      </w:r>
      <w:r>
        <w:rPr>
          <w:spacing w:val="-2"/>
          <w:sz w:val="24"/>
        </w:rPr>
        <w:t>coverage.</w:t>
      </w:r>
    </w:p>
    <w:p>
      <w:pPr>
        <w:pStyle w:val="ListParagraph"/>
        <w:numPr>
          <w:ilvl w:val="0"/>
          <w:numId w:val="15"/>
        </w:numPr>
        <w:tabs>
          <w:tab w:val="left" w:pos="944"/>
        </w:tabs>
        <w:spacing w:before="41" w:after="0" w:line="240" w:lineRule="auto"/>
        <w:ind w:left="944" w:right="962" w:hanging="360"/>
        <w:jc w:val="left"/>
        <w:rPr>
          <w:sz w:val="24"/>
        </w:rPr>
      </w:pPr>
      <w:r>
        <w:rPr>
          <w:sz w:val="24"/>
        </w:rPr>
        <w:t>The</w:t>
      </w:r>
      <w:r>
        <w:rPr>
          <w:spacing w:val="-5"/>
          <w:sz w:val="24"/>
        </w:rPr>
        <w:t xml:space="preserve"> </w:t>
      </w:r>
      <w:r>
        <w:rPr>
          <w:sz w:val="24"/>
        </w:rPr>
        <w:t>alternative</w:t>
      </w:r>
      <w:r>
        <w:rPr>
          <w:spacing w:val="-4"/>
          <w:sz w:val="24"/>
        </w:rPr>
        <w:t xml:space="preserve"> </w:t>
      </w:r>
      <w:r>
        <w:rPr>
          <w:sz w:val="24"/>
        </w:rPr>
        <w:t>unsubsidized</w:t>
      </w:r>
      <w:r>
        <w:rPr>
          <w:spacing w:val="-3"/>
          <w:sz w:val="24"/>
        </w:rPr>
        <w:t xml:space="preserve"> </w:t>
      </w:r>
      <w:r>
        <w:rPr>
          <w:sz w:val="24"/>
        </w:rPr>
        <w:t>value</w:t>
      </w:r>
      <w:r>
        <w:rPr>
          <w:spacing w:val="-3"/>
          <w:sz w:val="24"/>
        </w:rPr>
        <w:t xml:space="preserve"> </w:t>
      </w:r>
      <w:r>
        <w:rPr>
          <w:sz w:val="24"/>
        </w:rPr>
        <w:t>of</w:t>
      </w:r>
      <w:r>
        <w:rPr>
          <w:spacing w:val="-3"/>
          <w:sz w:val="24"/>
        </w:rPr>
        <w:t xml:space="preserve"> </w:t>
      </w:r>
      <w:r>
        <w:rPr>
          <w:sz w:val="24"/>
        </w:rPr>
        <w:t>coverage</w:t>
      </w:r>
      <w:r>
        <w:rPr>
          <w:spacing w:val="-4"/>
          <w:sz w:val="24"/>
        </w:rPr>
        <w:t xml:space="preserve"> </w:t>
      </w:r>
      <w:r>
        <w:rPr>
          <w:sz w:val="24"/>
        </w:rPr>
        <w:t>is</w:t>
      </w:r>
      <w:r>
        <w:rPr>
          <w:spacing w:val="-3"/>
          <w:sz w:val="24"/>
        </w:rPr>
        <w:t xml:space="preserve"> </w:t>
      </w:r>
      <w:r>
        <w:rPr>
          <w:sz w:val="24"/>
        </w:rPr>
        <w:t>no</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the</w:t>
      </w:r>
      <w:r>
        <w:rPr>
          <w:spacing w:val="-4"/>
          <w:sz w:val="24"/>
        </w:rPr>
        <w:t xml:space="preserve"> </w:t>
      </w:r>
      <w:r>
        <w:rPr>
          <w:sz w:val="24"/>
        </w:rPr>
        <w:t>DS</w:t>
      </w:r>
      <w:r>
        <w:rPr>
          <w:spacing w:val="-3"/>
          <w:sz w:val="24"/>
        </w:rPr>
        <w:t xml:space="preserve"> </w:t>
      </w:r>
      <w:r>
        <w:rPr>
          <w:sz w:val="24"/>
        </w:rPr>
        <w:t>unsubsidized value of coverage.</w:t>
      </w:r>
    </w:p>
    <w:p>
      <w:pPr>
        <w:spacing w:after="0" w:line="240" w:lineRule="auto"/>
        <w:jc w:val="left"/>
        <w:rPr>
          <w:sz w:val="24"/>
        </w:rPr>
        <w:sectPr>
          <w:headerReference w:type="default" r:id="rId13"/>
          <w:footerReference w:type="default" r:id="rId14"/>
          <w:pgSz w:w="12240" w:h="15840"/>
          <w:pgMar w:top="1340" w:right="1000" w:bottom="940" w:left="1360" w:header="727" w:footer="747"/>
          <w:cols w:space="720"/>
        </w:sectPr>
      </w:pPr>
    </w:p>
    <w:p>
      <w:pPr>
        <w:pStyle w:val="ListParagraph"/>
        <w:numPr>
          <w:ilvl w:val="0"/>
          <w:numId w:val="15"/>
        </w:numPr>
        <w:tabs>
          <w:tab w:val="left" w:pos="944"/>
        </w:tabs>
        <w:spacing w:before="87" w:after="0" w:line="240" w:lineRule="auto"/>
        <w:ind w:left="944" w:right="1055" w:hanging="360"/>
        <w:jc w:val="left"/>
        <w:rPr>
          <w:sz w:val="24"/>
        </w:rPr>
      </w:pPr>
      <w:r>
        <w:rPr>
          <w:sz w:val="24"/>
        </w:rPr>
        <w:t>The average alternative benefits for beneficiaries with allowed drug costs at the catastrophic</w:t>
      </w:r>
      <w:r>
        <w:rPr>
          <w:spacing w:val="-5"/>
          <w:sz w:val="24"/>
        </w:rPr>
        <w:t xml:space="preserve"> </w:t>
      </w:r>
      <w:r>
        <w:rPr>
          <w:sz w:val="24"/>
        </w:rPr>
        <w:t>threshold</w:t>
      </w:r>
      <w:r>
        <w:rPr>
          <w:spacing w:val="-3"/>
          <w:sz w:val="24"/>
        </w:rPr>
        <w:t xml:space="preserve"> </w:t>
      </w:r>
      <w:r>
        <w:rPr>
          <w:sz w:val="24"/>
        </w:rPr>
        <w:t>are</w:t>
      </w:r>
      <w:r>
        <w:rPr>
          <w:spacing w:val="-5"/>
          <w:sz w:val="24"/>
        </w:rPr>
        <w:t xml:space="preserve"> </w:t>
      </w:r>
      <w:r>
        <w:rPr>
          <w:sz w:val="24"/>
        </w:rPr>
        <w:t>not</w:t>
      </w:r>
      <w:r>
        <w:rPr>
          <w:spacing w:val="-4"/>
          <w:sz w:val="24"/>
        </w:rPr>
        <w:t xml:space="preserve"> </w:t>
      </w:r>
      <w:r>
        <w:rPr>
          <w:sz w:val="24"/>
        </w:rPr>
        <w:t>less</w:t>
      </w:r>
      <w:r>
        <w:rPr>
          <w:spacing w:val="-4"/>
          <w:sz w:val="24"/>
        </w:rPr>
        <w:t xml:space="preserve"> </w:t>
      </w:r>
      <w:r>
        <w:rPr>
          <w:sz w:val="24"/>
        </w:rPr>
        <w:t>than</w:t>
      </w:r>
      <w:r>
        <w:rPr>
          <w:spacing w:val="-4"/>
          <w:sz w:val="24"/>
        </w:rPr>
        <w:t xml:space="preserve"> </w:t>
      </w:r>
      <w:r>
        <w:rPr>
          <w:sz w:val="24"/>
        </w:rPr>
        <w:t>the</w:t>
      </w:r>
      <w:r>
        <w:rPr>
          <w:spacing w:val="-4"/>
          <w:sz w:val="24"/>
        </w:rPr>
        <w:t xml:space="preserve"> </w:t>
      </w:r>
      <w:r>
        <w:rPr>
          <w:sz w:val="24"/>
        </w:rPr>
        <w:t>average</w:t>
      </w:r>
      <w:r>
        <w:rPr>
          <w:spacing w:val="-3"/>
          <w:sz w:val="24"/>
        </w:rPr>
        <w:t xml:space="preserve"> </w:t>
      </w:r>
      <w:r>
        <w:rPr>
          <w:sz w:val="24"/>
        </w:rPr>
        <w:t>DS</w:t>
      </w:r>
      <w:r>
        <w:rPr>
          <w:spacing w:val="-4"/>
          <w:sz w:val="24"/>
        </w:rPr>
        <w:t xml:space="preserve"> </w:t>
      </w:r>
      <w:r>
        <w:rPr>
          <w:sz w:val="24"/>
        </w:rPr>
        <w:t>benefits</w:t>
      </w:r>
      <w:r>
        <w:rPr>
          <w:spacing w:val="-4"/>
          <w:sz w:val="24"/>
        </w:rPr>
        <w:t xml:space="preserve"> </w:t>
      </w:r>
      <w:r>
        <w:rPr>
          <w:sz w:val="24"/>
        </w:rPr>
        <w:t>at</w:t>
      </w:r>
      <w:r>
        <w:rPr>
          <w:spacing w:val="-4"/>
          <w:sz w:val="24"/>
        </w:rPr>
        <w:t xml:space="preserve"> </w:t>
      </w:r>
      <w:r>
        <w:rPr>
          <w:sz w:val="24"/>
        </w:rPr>
        <w:t>the</w:t>
      </w:r>
      <w:r>
        <w:rPr>
          <w:spacing w:val="-2"/>
          <w:sz w:val="24"/>
        </w:rPr>
        <w:t xml:space="preserve"> </w:t>
      </w:r>
      <w:r>
        <w:rPr>
          <w:sz w:val="24"/>
        </w:rPr>
        <w:t xml:space="preserve">catastrophic </w:t>
      </w:r>
      <w:r>
        <w:rPr>
          <w:spacing w:val="-2"/>
          <w:sz w:val="24"/>
        </w:rPr>
        <w:t>threshold.</w:t>
      </w:r>
    </w:p>
    <w:p>
      <w:pPr>
        <w:pStyle w:val="ListParagraph"/>
        <w:numPr>
          <w:ilvl w:val="0"/>
          <w:numId w:val="15"/>
        </w:numPr>
        <w:tabs>
          <w:tab w:val="left" w:pos="944"/>
        </w:tabs>
        <w:spacing w:before="41" w:after="0" w:line="240" w:lineRule="auto"/>
        <w:ind w:left="944" w:right="0" w:hanging="360"/>
        <w:jc w:val="left"/>
        <w:rPr>
          <w:sz w:val="24"/>
        </w:rPr>
      </w:pPr>
      <w:r>
        <w:rPr>
          <w:sz w:val="24"/>
        </w:rPr>
        <w:t>The</w:t>
      </w:r>
      <w:r>
        <w:rPr>
          <w:spacing w:val="-3"/>
          <w:sz w:val="24"/>
        </w:rPr>
        <w:t xml:space="preserve"> </w:t>
      </w:r>
      <w:r>
        <w:rPr>
          <w:sz w:val="24"/>
        </w:rPr>
        <w:t>deductible is</w:t>
      </w:r>
      <w:r>
        <w:rPr>
          <w:spacing w:val="-1"/>
          <w:sz w:val="24"/>
        </w:rPr>
        <w:t xml:space="preserve"> </w:t>
      </w:r>
      <w:r>
        <w:rPr>
          <w:sz w:val="24"/>
        </w:rPr>
        <w:t>not greater</w:t>
      </w:r>
      <w:r>
        <w:rPr>
          <w:spacing w:val="-3"/>
          <w:sz w:val="24"/>
        </w:rPr>
        <w:t xml:space="preserve"> </w:t>
      </w:r>
      <w:r>
        <w:rPr>
          <w:sz w:val="24"/>
        </w:rPr>
        <w:t xml:space="preserve">than the DS </w:t>
      </w:r>
      <w:r>
        <w:rPr>
          <w:spacing w:val="-2"/>
          <w:sz w:val="24"/>
        </w:rPr>
        <w:t>deductible.</w:t>
      </w:r>
    </w:p>
    <w:p>
      <w:pPr>
        <w:spacing w:before="238"/>
        <w:ind w:left="0" w:right="7259" w:firstLine="0"/>
        <w:jc w:val="right"/>
        <w:rPr>
          <w:rFonts w:ascii="Arial"/>
          <w:b/>
          <w:sz w:val="21"/>
        </w:rPr>
      </w:pPr>
      <w:bookmarkStart w:id="21" w:name="Base Period Experience"/>
      <w:bookmarkEnd w:id="21"/>
      <w:bookmarkStart w:id="22" w:name="_bookmark10"/>
      <w:bookmarkEnd w:id="22"/>
      <w:r>
        <w:rPr>
          <w:rFonts w:ascii="Arial"/>
          <w:b/>
          <w:sz w:val="21"/>
        </w:rPr>
        <w:t>Base</w:t>
      </w:r>
      <w:r>
        <w:rPr>
          <w:rFonts w:ascii="Arial"/>
          <w:b/>
          <w:spacing w:val="-6"/>
          <w:sz w:val="21"/>
        </w:rPr>
        <w:t xml:space="preserve"> </w:t>
      </w:r>
      <w:r>
        <w:rPr>
          <w:rFonts w:ascii="Arial"/>
          <w:b/>
          <w:sz w:val="21"/>
        </w:rPr>
        <w:t>Period</w:t>
      </w:r>
      <w:r>
        <w:rPr>
          <w:rFonts w:ascii="Arial"/>
          <w:b/>
          <w:spacing w:val="-6"/>
          <w:sz w:val="21"/>
        </w:rPr>
        <w:t xml:space="preserve"> </w:t>
      </w:r>
      <w:r>
        <w:rPr>
          <w:rFonts w:ascii="Arial"/>
          <w:b/>
          <w:spacing w:val="-2"/>
          <w:sz w:val="21"/>
        </w:rPr>
        <w:t>Experience</w:t>
      </w:r>
    </w:p>
    <w:p>
      <w:pPr>
        <w:pStyle w:val="BodyText"/>
        <w:ind w:left="224" w:right="979"/>
      </w:pPr>
      <w:r>
        <w:t>The experience data must be based on a calendar year 2024 incurred period with at least 30</w:t>
      </w:r>
      <w:r>
        <w:rPr>
          <w:spacing w:val="-3"/>
        </w:rPr>
        <w:t xml:space="preserve"> </w:t>
      </w:r>
      <w:r>
        <w:t>days</w:t>
      </w:r>
      <w:r>
        <w:rPr>
          <w:spacing w:val="-3"/>
        </w:rPr>
        <w:t xml:space="preserve"> </w:t>
      </w:r>
      <w:r>
        <w:t>of</w:t>
      </w:r>
      <w:r>
        <w:rPr>
          <w:spacing w:val="-3"/>
        </w:rPr>
        <w:t xml:space="preserve"> </w:t>
      </w:r>
      <w:r>
        <w:t>paid</w:t>
      </w:r>
      <w:r>
        <w:rPr>
          <w:spacing w:val="-3"/>
        </w:rPr>
        <w:t xml:space="preserve"> </w:t>
      </w:r>
      <w:r>
        <w:t>claim</w:t>
      </w:r>
      <w:r>
        <w:rPr>
          <w:spacing w:val="-3"/>
        </w:rPr>
        <w:t xml:space="preserve"> </w:t>
      </w:r>
      <w:r>
        <w:t>run-out;</w:t>
      </w:r>
      <w:r>
        <w:rPr>
          <w:spacing w:val="-3"/>
        </w:rPr>
        <w:t xml:space="preserve"> </w:t>
      </w:r>
      <w:r>
        <w:t>2-3</w:t>
      </w:r>
      <w:r>
        <w:rPr>
          <w:spacing w:val="-3"/>
        </w:rPr>
        <w:t xml:space="preserve"> </w:t>
      </w:r>
      <w:r>
        <w:t>months</w:t>
      </w:r>
      <w:r>
        <w:rPr>
          <w:spacing w:val="-3"/>
        </w:rPr>
        <w:t xml:space="preserve"> </w:t>
      </w:r>
      <w:r>
        <w:t>of</w:t>
      </w:r>
      <w:r>
        <w:rPr>
          <w:spacing w:val="-3"/>
        </w:rPr>
        <w:t xml:space="preserve"> </w:t>
      </w:r>
      <w:r>
        <w:t>paid</w:t>
      </w:r>
      <w:r>
        <w:rPr>
          <w:spacing w:val="-3"/>
        </w:rPr>
        <w:t xml:space="preserve"> </w:t>
      </w:r>
      <w:r>
        <w:t>claim</w:t>
      </w:r>
      <w:r>
        <w:rPr>
          <w:spacing w:val="-3"/>
        </w:rPr>
        <w:t xml:space="preserve"> </w:t>
      </w:r>
      <w:r>
        <w:t>run-out</w:t>
      </w:r>
      <w:r>
        <w:rPr>
          <w:spacing w:val="-3"/>
        </w:rPr>
        <w:t xml:space="preserve"> </w:t>
      </w:r>
      <w:r>
        <w:t>is</w:t>
      </w:r>
      <w:r>
        <w:rPr>
          <w:spacing w:val="-3"/>
        </w:rPr>
        <w:t xml:space="preserve"> </w:t>
      </w:r>
      <w:r>
        <w:t>preferable.</w:t>
      </w:r>
      <w:r>
        <w:rPr>
          <w:spacing w:val="-3"/>
        </w:rPr>
        <w:t xml:space="preserve"> </w:t>
      </w:r>
      <w:r>
        <w:t>Further,</w:t>
      </w:r>
      <w:r>
        <w:rPr>
          <w:spacing w:val="-3"/>
        </w:rPr>
        <w:t xml:space="preserve"> </w:t>
      </w:r>
      <w:r>
        <w:t>the enrollment data for the Part D bid in an MA-PD plan must reflect the same underlying population as that for the corresponding MA bid.</w:t>
      </w:r>
    </w:p>
    <w:p>
      <w:pPr>
        <w:pStyle w:val="BodyText"/>
        <w:ind w:left="224"/>
      </w:pPr>
      <w:r>
        <w:t>Worksheet</w:t>
      </w:r>
      <w:r>
        <w:rPr>
          <w:spacing w:val="-3"/>
        </w:rPr>
        <w:t xml:space="preserve"> </w:t>
      </w:r>
      <w:r>
        <w:t>1</w:t>
      </w:r>
      <w:r>
        <w:rPr>
          <w:spacing w:val="-1"/>
        </w:rPr>
        <w:t xml:space="preserve"> </w:t>
      </w:r>
      <w:r>
        <w:t>must</w:t>
      </w:r>
      <w:r>
        <w:rPr>
          <w:spacing w:val="-1"/>
        </w:rPr>
        <w:t xml:space="preserve"> </w:t>
      </w:r>
      <w:r>
        <w:t>be completed</w:t>
      </w:r>
      <w:r>
        <w:rPr>
          <w:spacing w:val="-1"/>
        </w:rPr>
        <w:t xml:space="preserve"> </w:t>
      </w:r>
      <w:r>
        <w:t>with</w:t>
      </w:r>
      <w:r>
        <w:rPr>
          <w:spacing w:val="-1"/>
        </w:rPr>
        <w:t xml:space="preserve"> </w:t>
      </w:r>
      <w:r>
        <w:t>data for</w:t>
      </w:r>
      <w:r>
        <w:rPr>
          <w:spacing w:val="-1"/>
        </w:rPr>
        <w:t xml:space="preserve"> </w:t>
      </w:r>
      <w:r>
        <w:t>the</w:t>
      </w:r>
      <w:r>
        <w:rPr>
          <w:spacing w:val="-1"/>
        </w:rPr>
        <w:t xml:space="preserve"> </w:t>
      </w:r>
      <w:r>
        <w:t>plan</w:t>
      </w:r>
      <w:r>
        <w:rPr>
          <w:spacing w:val="-1"/>
        </w:rPr>
        <w:t xml:space="preserve"> </w:t>
      </w:r>
      <w:r>
        <w:t>ID.</w:t>
      </w:r>
      <w:r>
        <w:rPr>
          <w:spacing w:val="2"/>
        </w:rPr>
        <w:t xml:space="preserve"> </w:t>
      </w:r>
      <w:r>
        <w:t>Note</w:t>
      </w:r>
      <w:r>
        <w:rPr>
          <w:spacing w:val="-2"/>
        </w:rPr>
        <w:t xml:space="preserve"> </w:t>
      </w:r>
      <w:r>
        <w:t>that</w:t>
      </w:r>
      <w:r>
        <w:rPr>
          <w:spacing w:val="-1"/>
        </w:rPr>
        <w:t xml:space="preserve"> </w:t>
      </w:r>
      <w:r>
        <w:t>these</w:t>
      </w:r>
      <w:r>
        <w:rPr>
          <w:spacing w:val="1"/>
        </w:rPr>
        <w:t xml:space="preserve"> </w:t>
      </w:r>
      <w:r>
        <w:rPr>
          <w:spacing w:val="-2"/>
        </w:rPr>
        <w:t>data—</w:t>
      </w:r>
    </w:p>
    <w:p>
      <w:pPr>
        <w:pStyle w:val="ListParagraph"/>
        <w:numPr>
          <w:ilvl w:val="0"/>
          <w:numId w:val="15"/>
        </w:numPr>
        <w:tabs>
          <w:tab w:val="left" w:pos="944"/>
        </w:tabs>
        <w:spacing w:before="120" w:after="0" w:line="240" w:lineRule="auto"/>
        <w:ind w:left="944" w:right="1319" w:hanging="360"/>
        <w:jc w:val="left"/>
        <w:rPr>
          <w:sz w:val="24"/>
        </w:rPr>
      </w:pPr>
      <w:r>
        <w:rPr>
          <w:sz w:val="24"/>
        </w:rPr>
        <w:t>Must</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in</w:t>
      </w:r>
      <w:r>
        <w:rPr>
          <w:spacing w:val="-3"/>
          <w:sz w:val="24"/>
        </w:rPr>
        <w:t xml:space="preserve"> </w:t>
      </w:r>
      <w:r>
        <w:rPr>
          <w:sz w:val="24"/>
        </w:rPr>
        <w:t>Worksheet</w:t>
      </w:r>
      <w:r>
        <w:rPr>
          <w:spacing w:val="-3"/>
          <w:sz w:val="24"/>
        </w:rPr>
        <w:t xml:space="preserve"> </w:t>
      </w:r>
      <w:r>
        <w:rPr>
          <w:sz w:val="24"/>
        </w:rPr>
        <w:t>1</w:t>
      </w:r>
      <w:r>
        <w:rPr>
          <w:spacing w:val="-3"/>
          <w:sz w:val="24"/>
        </w:rPr>
        <w:t xml:space="preserve"> </w:t>
      </w:r>
      <w:r>
        <w:rPr>
          <w:sz w:val="24"/>
        </w:rPr>
        <w:t>for any</w:t>
      </w:r>
      <w:r>
        <w:rPr>
          <w:spacing w:val="-3"/>
          <w:sz w:val="24"/>
        </w:rPr>
        <w:t xml:space="preserve"> </w:t>
      </w:r>
      <w:r>
        <w:rPr>
          <w:sz w:val="24"/>
        </w:rPr>
        <w:t>plans</w:t>
      </w:r>
      <w:r>
        <w:rPr>
          <w:spacing w:val="-3"/>
          <w:sz w:val="24"/>
        </w:rPr>
        <w:t xml:space="preserve"> </w:t>
      </w:r>
      <w:r>
        <w:rPr>
          <w:sz w:val="24"/>
        </w:rPr>
        <w:t>with</w:t>
      </w:r>
      <w:r>
        <w:rPr>
          <w:spacing w:val="-3"/>
          <w:sz w:val="24"/>
        </w:rPr>
        <w:t xml:space="preserve"> </w:t>
      </w:r>
      <w:r>
        <w:rPr>
          <w:sz w:val="24"/>
        </w:rPr>
        <w:t>experience</w:t>
      </w:r>
      <w:r>
        <w:rPr>
          <w:spacing w:val="-4"/>
          <w:sz w:val="24"/>
        </w:rPr>
        <w:t xml:space="preserve"> </w:t>
      </w:r>
      <w:r>
        <w:rPr>
          <w:sz w:val="24"/>
        </w:rPr>
        <w:t>data</w:t>
      </w:r>
      <w:r>
        <w:rPr>
          <w:spacing w:val="-3"/>
          <w:sz w:val="24"/>
        </w:rPr>
        <w:t xml:space="preserve"> </w:t>
      </w:r>
      <w:r>
        <w:rPr>
          <w:sz w:val="24"/>
        </w:rPr>
        <w:t>for</w:t>
      </w:r>
      <w:r>
        <w:rPr>
          <w:spacing w:val="-2"/>
          <w:sz w:val="24"/>
        </w:rPr>
        <w:t xml:space="preserve"> </w:t>
      </w:r>
      <w:r>
        <w:rPr>
          <w:sz w:val="24"/>
        </w:rPr>
        <w:t>2024, regardless of the level of enrollment.</w:t>
      </w:r>
    </w:p>
    <w:p>
      <w:pPr>
        <w:pStyle w:val="ListParagraph"/>
        <w:numPr>
          <w:ilvl w:val="0"/>
          <w:numId w:val="15"/>
        </w:numPr>
        <w:tabs>
          <w:tab w:val="left" w:pos="944"/>
        </w:tabs>
        <w:spacing w:before="42" w:after="0" w:line="240" w:lineRule="auto"/>
        <w:ind w:left="944" w:right="515" w:hanging="360"/>
        <w:jc w:val="both"/>
        <w:rPr>
          <w:sz w:val="24"/>
        </w:rPr>
      </w:pPr>
      <w:r>
        <w:rPr>
          <w:sz w:val="24"/>
        </w:rPr>
        <w:t>Must reconcile</w:t>
      </w:r>
      <w:r>
        <w:rPr>
          <w:spacing w:val="-1"/>
          <w:sz w:val="24"/>
        </w:rPr>
        <w:t xml:space="preserve"> </w:t>
      </w:r>
      <w:r>
        <w:rPr>
          <w:sz w:val="24"/>
        </w:rPr>
        <w:t>in an auditable manner to the</w:t>
      </w:r>
      <w:r>
        <w:rPr>
          <w:spacing w:val="-1"/>
          <w:sz w:val="24"/>
        </w:rPr>
        <w:t xml:space="preserve"> </w:t>
      </w:r>
      <w:r>
        <w:rPr>
          <w:sz w:val="24"/>
        </w:rPr>
        <w:t>plan-level Prescription Drug Event (PDE) data</w:t>
      </w:r>
      <w:r>
        <w:rPr>
          <w:spacing w:val="-3"/>
          <w:sz w:val="24"/>
        </w:rPr>
        <w:t xml:space="preserve"> </w:t>
      </w:r>
      <w:r>
        <w:rPr>
          <w:sz w:val="24"/>
        </w:rPr>
        <w:t>submitted</w:t>
      </w:r>
      <w:r>
        <w:rPr>
          <w:spacing w:val="-3"/>
          <w:sz w:val="24"/>
        </w:rPr>
        <w:t xml:space="preserve"> </w:t>
      </w:r>
      <w:r>
        <w:rPr>
          <w:sz w:val="24"/>
        </w:rPr>
        <w:t>to</w:t>
      </w:r>
      <w:r>
        <w:rPr>
          <w:spacing w:val="-3"/>
          <w:sz w:val="24"/>
        </w:rPr>
        <w:t xml:space="preserve"> </w:t>
      </w:r>
      <w:r>
        <w:rPr>
          <w:sz w:val="24"/>
        </w:rPr>
        <w:t>CMS</w:t>
      </w:r>
      <w:r>
        <w:rPr>
          <w:spacing w:val="-3"/>
          <w:sz w:val="24"/>
        </w:rPr>
        <w:t xml:space="preserve"> </w:t>
      </w:r>
      <w:r>
        <w:rPr>
          <w:sz w:val="24"/>
        </w:rPr>
        <w:t>for</w:t>
      </w:r>
      <w:r>
        <w:rPr>
          <w:spacing w:val="-3"/>
          <w:sz w:val="24"/>
        </w:rPr>
        <w:t xml:space="preserve"> </w:t>
      </w:r>
      <w:r>
        <w:rPr>
          <w:sz w:val="24"/>
        </w:rPr>
        <w:t>payment</w:t>
      </w:r>
      <w:r>
        <w:rPr>
          <w:spacing w:val="-3"/>
          <w:sz w:val="24"/>
        </w:rPr>
        <w:t xml:space="preserve"> </w:t>
      </w:r>
      <w:r>
        <w:rPr>
          <w:sz w:val="24"/>
        </w:rPr>
        <w:t>and</w:t>
      </w:r>
      <w:r>
        <w:rPr>
          <w:spacing w:val="-3"/>
          <w:sz w:val="24"/>
        </w:rPr>
        <w:t xml:space="preserve"> </w:t>
      </w:r>
      <w:r>
        <w:rPr>
          <w:sz w:val="24"/>
        </w:rPr>
        <w:t>reconciliation</w:t>
      </w:r>
      <w:r>
        <w:rPr>
          <w:spacing w:val="-1"/>
          <w:sz w:val="24"/>
        </w:rPr>
        <w:t xml:space="preserve"> </w:t>
      </w:r>
      <w:r>
        <w:rPr>
          <w:sz w:val="24"/>
        </w:rPr>
        <w:t>and</w:t>
      </w:r>
      <w:r>
        <w:rPr>
          <w:spacing w:val="-3"/>
          <w:sz w:val="24"/>
        </w:rPr>
        <w:t xml:space="preserve"> </w:t>
      </w:r>
      <w:r>
        <w:rPr>
          <w:sz w:val="24"/>
        </w:rPr>
        <w:t>the</w:t>
      </w:r>
      <w:r>
        <w:rPr>
          <w:spacing w:val="-4"/>
          <w:sz w:val="24"/>
        </w:rPr>
        <w:t xml:space="preserve"> </w:t>
      </w:r>
      <w:r>
        <w:rPr>
          <w:sz w:val="24"/>
        </w:rPr>
        <w:t>Part</w:t>
      </w:r>
      <w:r>
        <w:rPr>
          <w:spacing w:val="-3"/>
          <w:sz w:val="24"/>
        </w:rPr>
        <w:t xml:space="preserve"> </w:t>
      </w:r>
      <w:r>
        <w:rPr>
          <w:sz w:val="24"/>
        </w:rPr>
        <w:t>D</w:t>
      </w:r>
      <w:r>
        <w:rPr>
          <w:spacing w:val="-4"/>
          <w:sz w:val="24"/>
        </w:rPr>
        <w:t xml:space="preserve"> </w:t>
      </w:r>
      <w:r>
        <w:rPr>
          <w:sz w:val="24"/>
        </w:rPr>
        <w:t>sponsor’s</w:t>
      </w:r>
      <w:r>
        <w:rPr>
          <w:spacing w:val="-4"/>
          <w:sz w:val="24"/>
        </w:rPr>
        <w:t xml:space="preserve"> </w:t>
      </w:r>
      <w:r>
        <w:rPr>
          <w:sz w:val="24"/>
        </w:rPr>
        <w:t>audited financial statements.</w:t>
      </w:r>
    </w:p>
    <w:p>
      <w:pPr>
        <w:pStyle w:val="ListParagraph"/>
        <w:numPr>
          <w:ilvl w:val="0"/>
          <w:numId w:val="15"/>
        </w:numPr>
        <w:tabs>
          <w:tab w:val="left" w:pos="944"/>
        </w:tabs>
        <w:spacing w:before="38" w:after="0" w:line="240" w:lineRule="auto"/>
        <w:ind w:left="944" w:right="562" w:hanging="360"/>
        <w:jc w:val="left"/>
        <w:rPr>
          <w:sz w:val="24"/>
        </w:rPr>
      </w:pPr>
      <w:r>
        <w:rPr>
          <w:sz w:val="24"/>
        </w:rPr>
        <w:t>Must include accepted PDEs, rejected PDEs that are expected to be accepted by CMS upon</w:t>
      </w:r>
      <w:r>
        <w:rPr>
          <w:spacing w:val="-5"/>
          <w:sz w:val="24"/>
        </w:rPr>
        <w:t xml:space="preserve"> </w:t>
      </w:r>
      <w:r>
        <w:rPr>
          <w:sz w:val="24"/>
        </w:rPr>
        <w:t>resubmission,</w:t>
      </w:r>
      <w:r>
        <w:rPr>
          <w:spacing w:val="-5"/>
          <w:sz w:val="24"/>
        </w:rPr>
        <w:t xml:space="preserve"> </w:t>
      </w:r>
      <w:r>
        <w:rPr>
          <w:sz w:val="24"/>
        </w:rPr>
        <w:t>adjustments</w:t>
      </w:r>
      <w:r>
        <w:rPr>
          <w:spacing w:val="-5"/>
          <w:sz w:val="24"/>
        </w:rPr>
        <w:t xml:space="preserve"> </w:t>
      </w:r>
      <w:r>
        <w:rPr>
          <w:sz w:val="24"/>
        </w:rPr>
        <w:t>for</w:t>
      </w:r>
      <w:r>
        <w:rPr>
          <w:spacing w:val="-6"/>
          <w:sz w:val="24"/>
        </w:rPr>
        <w:t xml:space="preserve"> </w:t>
      </w:r>
      <w:r>
        <w:rPr>
          <w:sz w:val="24"/>
        </w:rPr>
        <w:t>Plan-to-Plan</w:t>
      </w:r>
      <w:r>
        <w:rPr>
          <w:spacing w:val="-5"/>
          <w:sz w:val="24"/>
        </w:rPr>
        <w:t xml:space="preserve"> </w:t>
      </w:r>
      <w:r>
        <w:rPr>
          <w:sz w:val="24"/>
        </w:rPr>
        <w:t>(P2P)</w:t>
      </w:r>
      <w:r>
        <w:rPr>
          <w:spacing w:val="-5"/>
          <w:sz w:val="24"/>
        </w:rPr>
        <w:t xml:space="preserve"> </w:t>
      </w:r>
      <w:r>
        <w:rPr>
          <w:sz w:val="24"/>
        </w:rPr>
        <w:t>transactions</w:t>
      </w:r>
      <w:r>
        <w:rPr>
          <w:spacing w:val="-5"/>
          <w:sz w:val="24"/>
        </w:rPr>
        <w:t xml:space="preserve"> </w:t>
      </w:r>
      <w:r>
        <w:rPr>
          <w:sz w:val="24"/>
        </w:rPr>
        <w:t>and,</w:t>
      </w:r>
      <w:r>
        <w:rPr>
          <w:spacing w:val="-5"/>
          <w:sz w:val="24"/>
        </w:rPr>
        <w:t xml:space="preserve"> </w:t>
      </w:r>
      <w:r>
        <w:rPr>
          <w:sz w:val="24"/>
        </w:rPr>
        <w:t>if</w:t>
      </w:r>
      <w:r>
        <w:rPr>
          <w:spacing w:val="-4"/>
          <w:sz w:val="24"/>
        </w:rPr>
        <w:t xml:space="preserve"> </w:t>
      </w:r>
      <w:r>
        <w:rPr>
          <w:sz w:val="24"/>
        </w:rPr>
        <w:t>appropriate, transfer of over-the-counter (OTC) drug data from the base period experience to the non-benefit expense component. The impacts of each of these considerations must be quantifiable and must not be included in the completion factor.</w:t>
      </w:r>
    </w:p>
    <w:p>
      <w:pPr>
        <w:pStyle w:val="ListParagraph"/>
        <w:numPr>
          <w:ilvl w:val="0"/>
          <w:numId w:val="15"/>
        </w:numPr>
        <w:tabs>
          <w:tab w:val="left" w:pos="944"/>
        </w:tabs>
        <w:spacing w:before="41" w:after="0" w:line="240" w:lineRule="auto"/>
        <w:ind w:left="944" w:right="473" w:hanging="360"/>
        <w:jc w:val="left"/>
        <w:rPr>
          <w:sz w:val="24"/>
        </w:rPr>
      </w:pPr>
      <w:r>
        <w:rPr>
          <w:sz w:val="24"/>
        </w:rPr>
        <w:t>Must be reported without adjustment. Adjustments may be made in Worksheet 2, Sections</w:t>
      </w:r>
      <w:r>
        <w:rPr>
          <w:spacing w:val="-4"/>
          <w:sz w:val="24"/>
        </w:rPr>
        <w:t xml:space="preserve"> </w:t>
      </w:r>
      <w:r>
        <w:rPr>
          <w:sz w:val="24"/>
        </w:rPr>
        <w:t>II</w:t>
      </w:r>
      <w:r>
        <w:rPr>
          <w:spacing w:val="-6"/>
          <w:sz w:val="24"/>
        </w:rPr>
        <w:t xml:space="preserve"> </w:t>
      </w:r>
      <w:r>
        <w:rPr>
          <w:sz w:val="24"/>
        </w:rPr>
        <w:t>and</w:t>
      </w:r>
      <w:r>
        <w:rPr>
          <w:spacing w:val="-2"/>
          <w:sz w:val="24"/>
        </w:rPr>
        <w:t xml:space="preserve"> </w:t>
      </w:r>
      <w:r>
        <w:rPr>
          <w:sz w:val="24"/>
        </w:rPr>
        <w:t>III</w:t>
      </w:r>
      <w:r>
        <w:rPr>
          <w:spacing w:val="-4"/>
          <w:sz w:val="24"/>
        </w:rPr>
        <w:t xml:space="preserve"> </w:t>
      </w:r>
      <w:r>
        <w:rPr>
          <w:sz w:val="24"/>
        </w:rPr>
        <w:t>to</w:t>
      </w:r>
      <w:r>
        <w:rPr>
          <w:spacing w:val="-4"/>
          <w:sz w:val="24"/>
        </w:rPr>
        <w:t xml:space="preserve"> </w:t>
      </w:r>
      <w:r>
        <w:rPr>
          <w:sz w:val="24"/>
        </w:rPr>
        <w:t>accommodate</w:t>
      </w:r>
      <w:r>
        <w:rPr>
          <w:spacing w:val="-4"/>
          <w:sz w:val="24"/>
        </w:rPr>
        <w:t xml:space="preserve"> </w:t>
      </w:r>
      <w:r>
        <w:rPr>
          <w:sz w:val="24"/>
        </w:rPr>
        <w:t>population,</w:t>
      </w:r>
      <w:r>
        <w:rPr>
          <w:spacing w:val="-4"/>
          <w:sz w:val="24"/>
        </w:rPr>
        <w:t xml:space="preserve"> </w:t>
      </w:r>
      <w:r>
        <w:rPr>
          <w:sz w:val="24"/>
        </w:rPr>
        <w:t>benefit</w:t>
      </w:r>
      <w:r>
        <w:rPr>
          <w:spacing w:val="-4"/>
          <w:sz w:val="24"/>
        </w:rPr>
        <w:t xml:space="preserve"> </w:t>
      </w:r>
      <w:r>
        <w:rPr>
          <w:sz w:val="24"/>
        </w:rPr>
        <w:t>design</w:t>
      </w:r>
      <w:r>
        <w:rPr>
          <w:spacing w:val="-4"/>
          <w:sz w:val="24"/>
        </w:rPr>
        <w:t xml:space="preserve"> </w:t>
      </w:r>
      <w:r>
        <w:rPr>
          <w:sz w:val="24"/>
        </w:rPr>
        <w:t>or</w:t>
      </w:r>
      <w:r>
        <w:rPr>
          <w:spacing w:val="-4"/>
          <w:sz w:val="24"/>
        </w:rPr>
        <w:t xml:space="preserve"> </w:t>
      </w:r>
      <w:r>
        <w:rPr>
          <w:sz w:val="24"/>
        </w:rPr>
        <w:t>other</w:t>
      </w:r>
      <w:r>
        <w:rPr>
          <w:spacing w:val="-3"/>
          <w:sz w:val="24"/>
        </w:rPr>
        <w:t xml:space="preserve"> </w:t>
      </w:r>
      <w:r>
        <w:rPr>
          <w:sz w:val="24"/>
        </w:rPr>
        <w:t>changes</w:t>
      </w:r>
      <w:r>
        <w:rPr>
          <w:spacing w:val="-4"/>
          <w:sz w:val="24"/>
        </w:rPr>
        <w:t xml:space="preserve"> </w:t>
      </w:r>
      <w:r>
        <w:rPr>
          <w:sz w:val="24"/>
        </w:rPr>
        <w:t>from</w:t>
      </w:r>
      <w:r>
        <w:rPr>
          <w:spacing w:val="-4"/>
          <w:sz w:val="24"/>
        </w:rPr>
        <w:t xml:space="preserve"> </w:t>
      </w:r>
      <w:r>
        <w:rPr>
          <w:sz w:val="24"/>
        </w:rPr>
        <w:t>the base period to the contract period.</w:t>
      </w:r>
    </w:p>
    <w:p>
      <w:pPr>
        <w:pStyle w:val="ListParagraph"/>
        <w:numPr>
          <w:ilvl w:val="0"/>
          <w:numId w:val="15"/>
        </w:numPr>
        <w:tabs>
          <w:tab w:val="left" w:pos="944"/>
        </w:tabs>
        <w:spacing w:before="41" w:after="0" w:line="240" w:lineRule="auto"/>
        <w:ind w:left="944" w:right="923" w:hanging="360"/>
        <w:jc w:val="left"/>
        <w:rPr>
          <w:sz w:val="24"/>
        </w:rPr>
      </w:pPr>
      <w:r>
        <w:rPr>
          <w:sz w:val="24"/>
        </w:rPr>
        <w:t>May</w:t>
      </w:r>
      <w:r>
        <w:rPr>
          <w:spacing w:val="-3"/>
          <w:sz w:val="24"/>
        </w:rPr>
        <w:t xml:space="preserve"> </w:t>
      </w:r>
      <w:r>
        <w:rPr>
          <w:sz w:val="24"/>
        </w:rPr>
        <w:t>be</w:t>
      </w:r>
      <w:r>
        <w:rPr>
          <w:spacing w:val="-4"/>
          <w:sz w:val="24"/>
        </w:rPr>
        <w:t xml:space="preserve"> </w:t>
      </w:r>
      <w:r>
        <w:rPr>
          <w:sz w:val="24"/>
        </w:rPr>
        <w:t>reported</w:t>
      </w:r>
      <w:r>
        <w:rPr>
          <w:spacing w:val="-3"/>
          <w:sz w:val="24"/>
        </w:rPr>
        <w:t xml:space="preserve"> </w:t>
      </w:r>
      <w:r>
        <w:rPr>
          <w:sz w:val="24"/>
        </w:rPr>
        <w:t>in</w:t>
      </w:r>
      <w:r>
        <w:rPr>
          <w:spacing w:val="-3"/>
          <w:sz w:val="24"/>
        </w:rPr>
        <w:t xml:space="preserve"> </w:t>
      </w:r>
      <w:r>
        <w:rPr>
          <w:sz w:val="24"/>
        </w:rPr>
        <w:t>aggregate</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number</w:t>
      </w:r>
      <w:r>
        <w:rPr>
          <w:spacing w:val="-5"/>
          <w:sz w:val="24"/>
        </w:rPr>
        <w:t xml:space="preserve"> </w:t>
      </w:r>
      <w:r>
        <w:rPr>
          <w:sz w:val="24"/>
        </w:rPr>
        <w:t>of</w:t>
      </w:r>
      <w:r>
        <w:rPr>
          <w:spacing w:val="-3"/>
          <w:sz w:val="24"/>
        </w:rPr>
        <w:t xml:space="preserve"> </w:t>
      </w:r>
      <w:r>
        <w:rPr>
          <w:sz w:val="24"/>
        </w:rPr>
        <w:t>plans</w:t>
      </w:r>
      <w:r>
        <w:rPr>
          <w:spacing w:val="-3"/>
          <w:sz w:val="24"/>
        </w:rPr>
        <w:t xml:space="preserve"> </w:t>
      </w:r>
      <w:r>
        <w:rPr>
          <w:sz w:val="24"/>
        </w:rPr>
        <w:t>only</w:t>
      </w:r>
      <w:r>
        <w:rPr>
          <w:spacing w:val="-3"/>
          <w:sz w:val="24"/>
        </w:rPr>
        <w:t xml:space="preserve"> </w:t>
      </w:r>
      <w:r>
        <w:rPr>
          <w:sz w:val="24"/>
        </w:rPr>
        <w:t>when</w:t>
      </w:r>
      <w:r>
        <w:rPr>
          <w:spacing w:val="-3"/>
          <w:sz w:val="24"/>
        </w:rPr>
        <w:t xml:space="preserve"> </w:t>
      </w:r>
      <w:r>
        <w:rPr>
          <w:sz w:val="24"/>
        </w:rPr>
        <w:t>there</w:t>
      </w:r>
      <w:r>
        <w:rPr>
          <w:spacing w:val="-2"/>
          <w:sz w:val="24"/>
        </w:rPr>
        <w:t xml:space="preserve"> </w:t>
      </w:r>
      <w:r>
        <w:rPr>
          <w:sz w:val="24"/>
        </w:rPr>
        <w:t>are</w:t>
      </w:r>
      <w:r>
        <w:rPr>
          <w:spacing w:val="-3"/>
          <w:sz w:val="24"/>
        </w:rPr>
        <w:t xml:space="preserve"> </w:t>
      </w:r>
      <w:r>
        <w:rPr>
          <w:sz w:val="24"/>
        </w:rPr>
        <w:t>enrollment changes associated with the dissolution of a plan and the retained members are crosswalked into existing plans in the same contract or across contracts. Each contract-plan-segment ID must be identified in Worksheet 1, Section II, line 5.</w:t>
      </w:r>
    </w:p>
    <w:p>
      <w:pPr>
        <w:pStyle w:val="ListParagraph"/>
        <w:numPr>
          <w:ilvl w:val="0"/>
          <w:numId w:val="15"/>
        </w:numPr>
        <w:tabs>
          <w:tab w:val="left" w:pos="944"/>
        </w:tabs>
        <w:spacing w:before="39" w:after="0" w:line="240" w:lineRule="auto"/>
        <w:ind w:left="944" w:right="0" w:hanging="360"/>
        <w:jc w:val="left"/>
        <w:rPr>
          <w:sz w:val="24"/>
        </w:rPr>
      </w:pPr>
      <w:r>
        <w:rPr>
          <w:sz w:val="24"/>
        </w:rPr>
        <w:t>Must</w:t>
      </w:r>
      <w:r>
        <w:rPr>
          <w:spacing w:val="-1"/>
          <w:sz w:val="24"/>
        </w:rPr>
        <w:t xml:space="preserve"> </w:t>
      </w:r>
      <w:r>
        <w:rPr>
          <w:sz w:val="24"/>
        </w:rPr>
        <w:t>be</w:t>
      </w:r>
      <w:r>
        <w:rPr>
          <w:spacing w:val="-2"/>
          <w:sz w:val="24"/>
        </w:rPr>
        <w:t xml:space="preserve"> </w:t>
      </w:r>
      <w:r>
        <w:rPr>
          <w:sz w:val="24"/>
        </w:rPr>
        <w:t>provided for</w:t>
      </w:r>
      <w:r>
        <w:rPr>
          <w:spacing w:val="-1"/>
          <w:sz w:val="24"/>
        </w:rPr>
        <w:t xml:space="preserve"> </w:t>
      </w:r>
      <w:r>
        <w:rPr>
          <w:sz w:val="24"/>
        </w:rPr>
        <w:t>plans acquired</w:t>
      </w:r>
      <w:r>
        <w:rPr>
          <w:spacing w:val="-1"/>
          <w:sz w:val="24"/>
        </w:rPr>
        <w:t xml:space="preserve"> </w:t>
      </w:r>
      <w:r>
        <w:rPr>
          <w:sz w:val="24"/>
        </w:rPr>
        <w:t>by</w:t>
      </w:r>
      <w:r>
        <w:rPr>
          <w:spacing w:val="-1"/>
          <w:sz w:val="24"/>
        </w:rPr>
        <w:t xml:space="preserve"> </w:t>
      </w:r>
      <w:r>
        <w:rPr>
          <w:sz w:val="24"/>
        </w:rPr>
        <w:t>the Part</w:t>
      </w:r>
      <w:r>
        <w:rPr>
          <w:spacing w:val="-1"/>
          <w:sz w:val="24"/>
        </w:rPr>
        <w:t xml:space="preserve"> </w:t>
      </w:r>
      <w:r>
        <w:rPr>
          <w:sz w:val="24"/>
        </w:rPr>
        <w:t>D</w:t>
      </w:r>
      <w:r>
        <w:rPr>
          <w:spacing w:val="1"/>
          <w:sz w:val="24"/>
        </w:rPr>
        <w:t xml:space="preserve"> </w:t>
      </w:r>
      <w:r>
        <w:rPr>
          <w:spacing w:val="-2"/>
          <w:sz w:val="24"/>
        </w:rPr>
        <w:t>sponsor.</w:t>
      </w:r>
    </w:p>
    <w:p>
      <w:pPr>
        <w:pStyle w:val="ListParagraph"/>
        <w:numPr>
          <w:ilvl w:val="0"/>
          <w:numId w:val="15"/>
        </w:numPr>
        <w:tabs>
          <w:tab w:val="left" w:pos="944"/>
        </w:tabs>
        <w:spacing w:before="41" w:after="0" w:line="240" w:lineRule="auto"/>
        <w:ind w:left="944" w:right="1478" w:hanging="360"/>
        <w:jc w:val="left"/>
        <w:rPr>
          <w:sz w:val="24"/>
        </w:rPr>
      </w:pPr>
      <w:r>
        <w:rPr>
          <w:sz w:val="24"/>
        </w:rPr>
        <w:t>May</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to</w:t>
      </w:r>
      <w:r>
        <w:rPr>
          <w:spacing w:val="-3"/>
          <w:sz w:val="24"/>
        </w:rPr>
        <w:t xml:space="preserve"> </w:t>
      </w:r>
      <w:r>
        <w:rPr>
          <w:sz w:val="24"/>
        </w:rPr>
        <w:t>aggregate</w:t>
      </w:r>
      <w:r>
        <w:rPr>
          <w:spacing w:val="-3"/>
          <w:sz w:val="24"/>
        </w:rPr>
        <w:t xml:space="preserve"> </w:t>
      </w:r>
      <w:r>
        <w:rPr>
          <w:sz w:val="24"/>
        </w:rPr>
        <w:t>data</w:t>
      </w:r>
      <w:r>
        <w:rPr>
          <w:spacing w:val="-3"/>
          <w:sz w:val="24"/>
        </w:rPr>
        <w:t xml:space="preserve"> </w:t>
      </w:r>
      <w:r>
        <w:rPr>
          <w:sz w:val="24"/>
        </w:rPr>
        <w:t>from</w:t>
      </w:r>
      <w:r>
        <w:rPr>
          <w:spacing w:val="-3"/>
          <w:sz w:val="24"/>
        </w:rPr>
        <w:t xml:space="preserve"> </w:t>
      </w:r>
      <w:r>
        <w:rPr>
          <w:sz w:val="24"/>
        </w:rPr>
        <w:t>a</w:t>
      </w:r>
      <w:r>
        <w:rPr>
          <w:spacing w:val="-5"/>
          <w:sz w:val="24"/>
        </w:rPr>
        <w:t xml:space="preserve"> </w:t>
      </w:r>
      <w:r>
        <w:rPr>
          <w:sz w:val="24"/>
        </w:rPr>
        <w:t>number</w:t>
      </w:r>
      <w:r>
        <w:rPr>
          <w:spacing w:val="-3"/>
          <w:sz w:val="24"/>
        </w:rPr>
        <w:t xml:space="preserve"> </w:t>
      </w:r>
      <w:r>
        <w:rPr>
          <w:sz w:val="24"/>
        </w:rPr>
        <w:t>of</w:t>
      </w:r>
      <w:r>
        <w:rPr>
          <w:spacing w:val="-3"/>
          <w:sz w:val="24"/>
        </w:rPr>
        <w:t xml:space="preserve"> </w:t>
      </w:r>
      <w:r>
        <w:rPr>
          <w:sz w:val="24"/>
        </w:rPr>
        <w:t>plans</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 xml:space="preserve">achieve </w:t>
      </w:r>
      <w:r>
        <w:rPr>
          <w:spacing w:val="-2"/>
          <w:sz w:val="24"/>
        </w:rPr>
        <w:t>credibility.</w:t>
      </w:r>
    </w:p>
    <w:p>
      <w:pPr>
        <w:pStyle w:val="ListParagraph"/>
        <w:numPr>
          <w:ilvl w:val="0"/>
          <w:numId w:val="15"/>
        </w:numPr>
        <w:tabs>
          <w:tab w:val="left" w:pos="944"/>
        </w:tabs>
        <w:spacing w:before="41" w:after="0" w:line="240" w:lineRule="auto"/>
        <w:ind w:left="944" w:right="901" w:hanging="360"/>
        <w:jc w:val="left"/>
        <w:rPr>
          <w:sz w:val="24"/>
        </w:rPr>
      </w:pPr>
      <w:r>
        <w:rPr>
          <w:sz w:val="24"/>
        </w:rPr>
        <w:t>Must</w:t>
      </w:r>
      <w:r>
        <w:rPr>
          <w:spacing w:val="-3"/>
          <w:sz w:val="24"/>
        </w:rPr>
        <w:t xml:space="preserve"> </w:t>
      </w:r>
      <w:r>
        <w:rPr>
          <w:sz w:val="24"/>
        </w:rPr>
        <w:t>be</w:t>
      </w:r>
      <w:r>
        <w:rPr>
          <w:spacing w:val="-4"/>
          <w:sz w:val="24"/>
        </w:rPr>
        <w:t xml:space="preserve"> </w:t>
      </w:r>
      <w:r>
        <w:rPr>
          <w:sz w:val="24"/>
        </w:rPr>
        <w:t>reported</w:t>
      </w:r>
      <w:r>
        <w:rPr>
          <w:spacing w:val="-3"/>
          <w:sz w:val="24"/>
        </w:rPr>
        <w:t xml:space="preserve"> </w:t>
      </w:r>
      <w:r>
        <w:rPr>
          <w:sz w:val="24"/>
        </w:rPr>
        <w:t>in</w:t>
      </w:r>
      <w:r>
        <w:rPr>
          <w:spacing w:val="-3"/>
          <w:sz w:val="24"/>
        </w:rPr>
        <w:t xml:space="preserve"> </w:t>
      </w:r>
      <w:r>
        <w:rPr>
          <w:sz w:val="24"/>
        </w:rPr>
        <w:t>total</w:t>
      </w:r>
      <w:r>
        <w:rPr>
          <w:spacing w:val="-1"/>
          <w:sz w:val="24"/>
        </w:rPr>
        <w:t xml:space="preserve"> </w:t>
      </w:r>
      <w:r>
        <w:rPr>
          <w:sz w:val="24"/>
        </w:rPr>
        <w:t>at</w:t>
      </w:r>
      <w:r>
        <w:rPr>
          <w:spacing w:val="-3"/>
          <w:sz w:val="24"/>
        </w:rPr>
        <w:t xml:space="preserve"> </w:t>
      </w:r>
      <w:r>
        <w:rPr>
          <w:sz w:val="24"/>
        </w:rPr>
        <w:t>the</w:t>
      </w:r>
      <w:r>
        <w:rPr>
          <w:spacing w:val="-4"/>
          <w:sz w:val="24"/>
        </w:rPr>
        <w:t xml:space="preserve"> </w:t>
      </w:r>
      <w:r>
        <w:rPr>
          <w:sz w:val="24"/>
        </w:rPr>
        <w:t>plan</w:t>
      </w:r>
      <w:r>
        <w:rPr>
          <w:spacing w:val="-3"/>
          <w:sz w:val="24"/>
        </w:rPr>
        <w:t xml:space="preserve"> </w:t>
      </w:r>
      <w:r>
        <w:rPr>
          <w:sz w:val="24"/>
        </w:rPr>
        <w:t>level</w:t>
      </w:r>
      <w:r>
        <w:rPr>
          <w:spacing w:val="-3"/>
          <w:sz w:val="24"/>
        </w:rPr>
        <w:t xml:space="preserve"> </w:t>
      </w:r>
      <w:r>
        <w:rPr>
          <w:sz w:val="24"/>
        </w:rPr>
        <w:t>for</w:t>
      </w:r>
      <w:r>
        <w:rPr>
          <w:spacing w:val="-3"/>
          <w:sz w:val="24"/>
        </w:rPr>
        <w:t xml:space="preserve"> </w:t>
      </w:r>
      <w:r>
        <w:rPr>
          <w:sz w:val="24"/>
        </w:rPr>
        <w:t>every</w:t>
      </w:r>
      <w:r>
        <w:rPr>
          <w:spacing w:val="-3"/>
          <w:sz w:val="24"/>
        </w:rPr>
        <w:t xml:space="preserve"> </w:t>
      </w:r>
      <w:r>
        <w:rPr>
          <w:sz w:val="24"/>
        </w:rPr>
        <w:t>contract-plan</w:t>
      </w:r>
      <w:r>
        <w:rPr>
          <w:spacing w:val="-1"/>
          <w:sz w:val="24"/>
        </w:rPr>
        <w:t xml:space="preserve"> </w:t>
      </w:r>
      <w:r>
        <w:rPr>
          <w:sz w:val="24"/>
        </w:rPr>
        <w:t>ID</w:t>
      </w:r>
      <w:r>
        <w:rPr>
          <w:spacing w:val="-3"/>
          <w:sz w:val="24"/>
        </w:rPr>
        <w:t xml:space="preserve"> </w:t>
      </w:r>
      <w:r>
        <w:rPr>
          <w:sz w:val="24"/>
        </w:rPr>
        <w:t>when</w:t>
      </w:r>
      <w:r>
        <w:rPr>
          <w:spacing w:val="-1"/>
          <w:sz w:val="24"/>
        </w:rPr>
        <w:t xml:space="preserve"> </w:t>
      </w:r>
      <w:r>
        <w:rPr>
          <w:sz w:val="24"/>
        </w:rPr>
        <w:t>plans</w:t>
      </w:r>
      <w:r>
        <w:rPr>
          <w:spacing w:val="-3"/>
          <w:sz w:val="24"/>
        </w:rPr>
        <w:t xml:space="preserve"> </w:t>
      </w:r>
      <w:r>
        <w:rPr>
          <w:sz w:val="24"/>
        </w:rPr>
        <w:t>are aggregated; do not include partial plan experience on Worksheet 1.</w:t>
      </w:r>
    </w:p>
    <w:p>
      <w:pPr>
        <w:pStyle w:val="ListParagraph"/>
        <w:numPr>
          <w:ilvl w:val="0"/>
          <w:numId w:val="15"/>
        </w:numPr>
        <w:tabs>
          <w:tab w:val="left" w:pos="944"/>
        </w:tabs>
        <w:spacing w:before="38" w:after="0" w:line="240" w:lineRule="auto"/>
        <w:ind w:left="944" w:right="502" w:hanging="360"/>
        <w:jc w:val="left"/>
        <w:rPr>
          <w:sz w:val="24"/>
        </w:rPr>
      </w:pPr>
      <w:r>
        <w:rPr>
          <w:sz w:val="24"/>
        </w:rPr>
        <w:t>May</w:t>
      </w:r>
      <w:r>
        <w:rPr>
          <w:spacing w:val="-3"/>
          <w:sz w:val="24"/>
        </w:rPr>
        <w:t xml:space="preserve"> </w:t>
      </w:r>
      <w:r>
        <w:rPr>
          <w:sz w:val="24"/>
        </w:rPr>
        <w:t>be</w:t>
      </w:r>
      <w:r>
        <w:rPr>
          <w:spacing w:val="-4"/>
          <w:sz w:val="24"/>
        </w:rPr>
        <w:t xml:space="preserve"> </w:t>
      </w:r>
      <w:r>
        <w:rPr>
          <w:sz w:val="24"/>
        </w:rPr>
        <w:t>reported</w:t>
      </w:r>
      <w:r>
        <w:rPr>
          <w:spacing w:val="-3"/>
          <w:sz w:val="24"/>
        </w:rPr>
        <w:t xml:space="preserve"> </w:t>
      </w:r>
      <w:r>
        <w:rPr>
          <w:sz w:val="24"/>
        </w:rPr>
        <w:t>on</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one</w:t>
      </w:r>
      <w:r>
        <w:rPr>
          <w:spacing w:val="-5"/>
          <w:sz w:val="24"/>
        </w:rPr>
        <w:t xml:space="preserve"> </w:t>
      </w:r>
      <w:r>
        <w:rPr>
          <w:sz w:val="24"/>
        </w:rPr>
        <w:t>bid</w:t>
      </w:r>
      <w:r>
        <w:rPr>
          <w:spacing w:val="-3"/>
          <w:sz w:val="24"/>
        </w:rPr>
        <w:t xml:space="preserve"> </w:t>
      </w:r>
      <w:r>
        <w:rPr>
          <w:sz w:val="24"/>
        </w:rPr>
        <w:t>when</w:t>
      </w:r>
      <w:r>
        <w:rPr>
          <w:spacing w:val="-3"/>
          <w:sz w:val="24"/>
        </w:rPr>
        <w:t xml:space="preserve"> </w:t>
      </w:r>
      <w:r>
        <w:rPr>
          <w:sz w:val="24"/>
        </w:rPr>
        <w:t>plans</w:t>
      </w:r>
      <w:r>
        <w:rPr>
          <w:spacing w:val="-2"/>
          <w:sz w:val="24"/>
        </w:rPr>
        <w:t xml:space="preserve"> </w:t>
      </w:r>
      <w:r>
        <w:rPr>
          <w:sz w:val="24"/>
        </w:rPr>
        <w:t>are</w:t>
      </w:r>
      <w:r>
        <w:rPr>
          <w:spacing w:val="-5"/>
          <w:sz w:val="24"/>
        </w:rPr>
        <w:t xml:space="preserve"> </w:t>
      </w:r>
      <w:r>
        <w:rPr>
          <w:sz w:val="24"/>
        </w:rPr>
        <w:t>aggregated,</w:t>
      </w:r>
      <w:r>
        <w:rPr>
          <w:spacing w:val="-3"/>
          <w:sz w:val="24"/>
        </w:rPr>
        <w:t xml:space="preserve"> </w:t>
      </w:r>
      <w:r>
        <w:rPr>
          <w:sz w:val="24"/>
        </w:rPr>
        <w:t>depending</w:t>
      </w:r>
      <w:r>
        <w:rPr>
          <w:spacing w:val="-3"/>
          <w:sz w:val="24"/>
        </w:rPr>
        <w:t xml:space="preserve"> </w:t>
      </w:r>
      <w:r>
        <w:rPr>
          <w:sz w:val="24"/>
        </w:rPr>
        <w:t xml:space="preserve">upon </w:t>
      </w:r>
      <w:r>
        <w:rPr>
          <w:sz w:val="24"/>
        </w:rPr>
        <w:t>how enrollment changes are processed.</w:t>
      </w:r>
    </w:p>
    <w:p>
      <w:pPr>
        <w:spacing w:before="241"/>
        <w:ind w:left="0" w:right="7183" w:firstLine="0"/>
        <w:jc w:val="right"/>
        <w:rPr>
          <w:rFonts w:ascii="Arial"/>
          <w:b/>
          <w:i/>
          <w:sz w:val="21"/>
        </w:rPr>
      </w:pPr>
      <w:r>
        <w:rPr>
          <w:rFonts w:ascii="Arial"/>
          <w:b/>
          <w:i/>
          <w:sz w:val="21"/>
        </w:rPr>
        <w:t>Data</w:t>
      </w:r>
      <w:r>
        <w:rPr>
          <w:rFonts w:ascii="Arial"/>
          <w:b/>
          <w:i/>
          <w:spacing w:val="-6"/>
          <w:sz w:val="21"/>
        </w:rPr>
        <w:t xml:space="preserve"> </w:t>
      </w:r>
      <w:r>
        <w:rPr>
          <w:rFonts w:ascii="Arial"/>
          <w:b/>
          <w:i/>
          <w:spacing w:val="-2"/>
          <w:sz w:val="21"/>
        </w:rPr>
        <w:t>Aggregation</w:t>
      </w:r>
    </w:p>
    <w:p>
      <w:pPr>
        <w:pStyle w:val="BodyText"/>
        <w:spacing w:before="121"/>
        <w:ind w:right="806"/>
        <w:jc w:val="both"/>
      </w:pPr>
      <w:r>
        <w:t>The</w:t>
      </w:r>
      <w:r>
        <w:rPr>
          <w:spacing w:val="-5"/>
        </w:rPr>
        <w:t xml:space="preserve"> </w:t>
      </w:r>
      <w:r>
        <w:t>requirements</w:t>
      </w:r>
      <w:r>
        <w:rPr>
          <w:spacing w:val="-3"/>
        </w:rPr>
        <w:t xml:space="preserve"> </w:t>
      </w:r>
      <w:r>
        <w:t>for</w:t>
      </w:r>
      <w:r>
        <w:rPr>
          <w:spacing w:val="-5"/>
        </w:rPr>
        <w:t xml:space="preserve"> </w:t>
      </w:r>
      <w:r>
        <w:t>reporting</w:t>
      </w:r>
      <w:r>
        <w:rPr>
          <w:spacing w:val="-3"/>
        </w:rPr>
        <w:t xml:space="preserve"> </w:t>
      </w:r>
      <w:r>
        <w:t>base</w:t>
      </w:r>
      <w:r>
        <w:rPr>
          <w:spacing w:val="-4"/>
        </w:rPr>
        <w:t xml:space="preserve"> </w:t>
      </w:r>
      <w:r>
        <w:t>period</w:t>
      </w:r>
      <w:r>
        <w:rPr>
          <w:spacing w:val="-3"/>
        </w:rPr>
        <w:t xml:space="preserve"> </w:t>
      </w:r>
      <w:r>
        <w:t>data</w:t>
      </w:r>
      <w:r>
        <w:rPr>
          <w:spacing w:val="-4"/>
        </w:rPr>
        <w:t xml:space="preserve"> </w:t>
      </w:r>
      <w:r>
        <w:t>for</w:t>
      </w:r>
      <w:r>
        <w:rPr>
          <w:spacing w:val="-2"/>
        </w:rPr>
        <w:t xml:space="preserve"> </w:t>
      </w:r>
      <w:r>
        <w:t>crosswalks</w:t>
      </w:r>
      <w:r>
        <w:rPr>
          <w:spacing w:val="-2"/>
        </w:rPr>
        <w:t xml:space="preserve"> </w:t>
      </w:r>
      <w:r>
        <w:t>and</w:t>
      </w:r>
      <w:r>
        <w:rPr>
          <w:spacing w:val="-3"/>
        </w:rPr>
        <w:t xml:space="preserve"> </w:t>
      </w:r>
      <w:r>
        <w:t>enrollment</w:t>
      </w:r>
      <w:r>
        <w:rPr>
          <w:spacing w:val="-3"/>
        </w:rPr>
        <w:t xml:space="preserve"> </w:t>
      </w:r>
      <w:r>
        <w:t>shifts depend on—</w:t>
      </w:r>
    </w:p>
    <w:p>
      <w:pPr>
        <w:pStyle w:val="ListParagraph"/>
        <w:numPr>
          <w:ilvl w:val="1"/>
          <w:numId w:val="15"/>
        </w:numPr>
        <w:tabs>
          <w:tab w:val="left" w:pos="1663"/>
        </w:tabs>
        <w:spacing w:before="120" w:after="0" w:line="240" w:lineRule="auto"/>
        <w:ind w:left="1663" w:right="0" w:hanging="359"/>
        <w:jc w:val="both"/>
        <w:rPr>
          <w:sz w:val="24"/>
        </w:rPr>
      </w:pPr>
      <w:r>
        <w:rPr>
          <w:sz w:val="24"/>
        </w:rPr>
        <w:t>How</w:t>
      </w:r>
      <w:r>
        <w:rPr>
          <w:spacing w:val="-3"/>
          <w:sz w:val="24"/>
        </w:rPr>
        <w:t xml:space="preserve"> </w:t>
      </w:r>
      <w:r>
        <w:rPr>
          <w:sz w:val="24"/>
        </w:rPr>
        <w:t>enrollment</w:t>
      </w:r>
      <w:r>
        <w:rPr>
          <w:spacing w:val="-1"/>
          <w:sz w:val="24"/>
        </w:rPr>
        <w:t xml:space="preserve"> </w:t>
      </w:r>
      <w:r>
        <w:rPr>
          <w:sz w:val="24"/>
        </w:rPr>
        <w:t>changes</w:t>
      </w:r>
      <w:r>
        <w:rPr>
          <w:spacing w:val="1"/>
          <w:sz w:val="24"/>
        </w:rPr>
        <w:t xml:space="preserve"> </w:t>
      </w:r>
      <w:r>
        <w:rPr>
          <w:sz w:val="24"/>
        </w:rPr>
        <w:t>are</w:t>
      </w:r>
      <w:r>
        <w:rPr>
          <w:spacing w:val="-3"/>
          <w:sz w:val="24"/>
        </w:rPr>
        <w:t xml:space="preserve"> </w:t>
      </w:r>
      <w:r>
        <w:rPr>
          <w:spacing w:val="-2"/>
          <w:sz w:val="24"/>
        </w:rPr>
        <w:t>processed.</w:t>
      </w:r>
    </w:p>
    <w:p>
      <w:pPr>
        <w:pStyle w:val="ListParagraph"/>
        <w:numPr>
          <w:ilvl w:val="2"/>
          <w:numId w:val="15"/>
        </w:numPr>
        <w:tabs>
          <w:tab w:val="left" w:pos="2024"/>
        </w:tabs>
        <w:spacing w:before="40" w:after="0" w:line="240" w:lineRule="auto"/>
        <w:ind w:left="2024" w:right="835" w:hanging="360"/>
        <w:jc w:val="both"/>
        <w:rPr>
          <w:sz w:val="24"/>
        </w:rPr>
      </w:pPr>
      <w:r>
        <w:rPr>
          <w:sz w:val="24"/>
        </w:rPr>
        <w:t>In</w:t>
      </w:r>
      <w:r>
        <w:rPr>
          <w:spacing w:val="-4"/>
          <w:sz w:val="24"/>
        </w:rPr>
        <w:t xml:space="preserve"> </w:t>
      </w:r>
      <w:r>
        <w:rPr>
          <w:sz w:val="24"/>
        </w:rPr>
        <w:t>these</w:t>
      </w:r>
      <w:r>
        <w:rPr>
          <w:spacing w:val="-4"/>
          <w:sz w:val="24"/>
        </w:rPr>
        <w:t xml:space="preserve"> </w:t>
      </w:r>
      <w:r>
        <w:rPr>
          <w:sz w:val="24"/>
        </w:rPr>
        <w:t>Instructions,</w:t>
      </w:r>
      <w:r>
        <w:rPr>
          <w:spacing w:val="-4"/>
          <w:sz w:val="24"/>
        </w:rPr>
        <w:t xml:space="preserve"> </w:t>
      </w:r>
      <w:r>
        <w:rPr>
          <w:sz w:val="24"/>
        </w:rPr>
        <w:t>the</w:t>
      </w:r>
      <w:r>
        <w:rPr>
          <w:spacing w:val="-5"/>
          <w:sz w:val="24"/>
        </w:rPr>
        <w:t xml:space="preserve"> </w:t>
      </w:r>
      <w:r>
        <w:rPr>
          <w:sz w:val="24"/>
        </w:rPr>
        <w:t>term</w:t>
      </w:r>
      <w:r>
        <w:rPr>
          <w:spacing w:val="-4"/>
          <w:sz w:val="24"/>
        </w:rPr>
        <w:t xml:space="preserve"> </w:t>
      </w:r>
      <w:r>
        <w:rPr>
          <w:sz w:val="24"/>
        </w:rPr>
        <w:t>“formal</w:t>
      </w:r>
      <w:r>
        <w:rPr>
          <w:spacing w:val="-2"/>
          <w:sz w:val="24"/>
        </w:rPr>
        <w:t xml:space="preserve"> </w:t>
      </w:r>
      <w:r>
        <w:rPr>
          <w:sz w:val="24"/>
        </w:rPr>
        <w:t>crosswalk”</w:t>
      </w:r>
      <w:r>
        <w:rPr>
          <w:spacing w:val="-4"/>
          <w:sz w:val="24"/>
        </w:rPr>
        <w:t xml:space="preserve"> </w:t>
      </w:r>
      <w:r>
        <w:rPr>
          <w:sz w:val="24"/>
        </w:rPr>
        <w:t>refers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crosswalk process</w:t>
      </w:r>
      <w:r>
        <w:rPr>
          <w:spacing w:val="-3"/>
          <w:sz w:val="24"/>
        </w:rPr>
        <w:t xml:space="preserve"> </w:t>
      </w:r>
      <w:r>
        <w:rPr>
          <w:sz w:val="24"/>
        </w:rPr>
        <w:t>submitted</w:t>
      </w:r>
      <w:r>
        <w:rPr>
          <w:spacing w:val="-3"/>
          <w:sz w:val="24"/>
        </w:rPr>
        <w:t xml:space="preserve"> </w:t>
      </w:r>
      <w:r>
        <w:rPr>
          <w:sz w:val="24"/>
        </w:rPr>
        <w:t>in</w:t>
      </w:r>
      <w:r>
        <w:rPr>
          <w:spacing w:val="-3"/>
          <w:sz w:val="24"/>
        </w:rPr>
        <w:t xml:space="preserve"> </w:t>
      </w:r>
      <w:r>
        <w:rPr>
          <w:sz w:val="24"/>
        </w:rPr>
        <w:t>HPMS</w:t>
      </w:r>
      <w:r>
        <w:rPr>
          <w:spacing w:val="-1"/>
          <w:sz w:val="24"/>
        </w:rPr>
        <w:t xml:space="preserve"> </w:t>
      </w:r>
      <w:r>
        <w:rPr>
          <w:sz w:val="24"/>
        </w:rPr>
        <w:t>for</w:t>
      </w:r>
      <w:r>
        <w:rPr>
          <w:spacing w:val="-4"/>
          <w:sz w:val="24"/>
        </w:rPr>
        <w:t xml:space="preserve"> </w:t>
      </w:r>
      <w:r>
        <w:rPr>
          <w:sz w:val="24"/>
        </w:rPr>
        <w:t>plan</w:t>
      </w:r>
      <w:r>
        <w:rPr>
          <w:spacing w:val="-3"/>
          <w:sz w:val="24"/>
        </w:rPr>
        <w:t xml:space="preserve"> </w:t>
      </w:r>
      <w:r>
        <w:rPr>
          <w:sz w:val="24"/>
        </w:rPr>
        <w:t>consolidations</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consolidated renewals), whereby members are automatically moved from one plan to</w:t>
      </w:r>
    </w:p>
    <w:p>
      <w:pPr>
        <w:spacing w:after="0" w:line="240" w:lineRule="auto"/>
        <w:jc w:val="both"/>
        <w:rPr>
          <w:sz w:val="24"/>
        </w:rPr>
        <w:sectPr>
          <w:pgSz w:w="12240" w:h="15840"/>
          <w:pgMar w:top="1340" w:right="1000" w:bottom="940" w:left="1360" w:header="727" w:footer="747"/>
          <w:cols w:space="720"/>
        </w:sectPr>
      </w:pPr>
    </w:p>
    <w:p>
      <w:pPr>
        <w:pStyle w:val="BodyText"/>
        <w:spacing w:before="87"/>
        <w:ind w:left="2024" w:right="478"/>
      </w:pPr>
      <w:r>
        <w:t>another (that is, to one plan only). Without an HPMS crosswalk in place, members</w:t>
      </w:r>
      <w:r>
        <w:rPr>
          <w:spacing w:val="-4"/>
        </w:rPr>
        <w:t xml:space="preserve"> </w:t>
      </w:r>
      <w:r>
        <w:t>are</w:t>
      </w:r>
      <w:r>
        <w:rPr>
          <w:spacing w:val="-5"/>
        </w:rPr>
        <w:t xml:space="preserve"> </w:t>
      </w:r>
      <w:r>
        <w:t>dis-enrolled</w:t>
      </w:r>
      <w:r>
        <w:rPr>
          <w:spacing w:val="-3"/>
        </w:rPr>
        <w:t xml:space="preserve"> </w:t>
      </w:r>
      <w:r>
        <w:t>from</w:t>
      </w:r>
      <w:r>
        <w:rPr>
          <w:spacing w:val="-4"/>
        </w:rPr>
        <w:t xml:space="preserve"> </w:t>
      </w:r>
      <w:r>
        <w:t>the</w:t>
      </w:r>
      <w:r>
        <w:rPr>
          <w:spacing w:val="-5"/>
        </w:rPr>
        <w:t xml:space="preserve"> </w:t>
      </w:r>
      <w:r>
        <w:t>terminating</w:t>
      </w:r>
      <w:r>
        <w:rPr>
          <w:spacing w:val="-4"/>
        </w:rPr>
        <w:t xml:space="preserve"> </w:t>
      </w:r>
      <w:r>
        <w:t>plan</w:t>
      </w:r>
      <w:r>
        <w:rPr>
          <w:spacing w:val="-4"/>
        </w:rPr>
        <w:t xml:space="preserve"> </w:t>
      </w:r>
      <w:r>
        <w:t>and</w:t>
      </w:r>
      <w:r>
        <w:rPr>
          <w:spacing w:val="-4"/>
        </w:rPr>
        <w:t xml:space="preserve"> </w:t>
      </w:r>
      <w:r>
        <w:t>must</w:t>
      </w:r>
      <w:r>
        <w:rPr>
          <w:spacing w:val="-4"/>
        </w:rPr>
        <w:t xml:space="preserve"> </w:t>
      </w:r>
      <w:r>
        <w:t>actively</w:t>
      </w:r>
      <w:r>
        <w:rPr>
          <w:spacing w:val="-4"/>
        </w:rPr>
        <w:t xml:space="preserve"> </w:t>
      </w:r>
      <w:r>
        <w:t>select to enroll in a new plan of their choosing.</w:t>
      </w:r>
    </w:p>
    <w:p>
      <w:pPr>
        <w:pStyle w:val="ListParagraph"/>
        <w:numPr>
          <w:ilvl w:val="2"/>
          <w:numId w:val="15"/>
        </w:numPr>
        <w:tabs>
          <w:tab w:val="left" w:pos="2024"/>
        </w:tabs>
        <w:spacing w:before="41" w:after="0" w:line="240" w:lineRule="auto"/>
        <w:ind w:left="2024" w:right="476" w:hanging="360"/>
        <w:jc w:val="left"/>
        <w:rPr>
          <w:sz w:val="24"/>
        </w:rPr>
      </w:pPr>
      <w:r>
        <w:rPr>
          <w:sz w:val="24"/>
        </w:rPr>
        <w:t>Medicare</w:t>
      </w:r>
      <w:r>
        <w:rPr>
          <w:spacing w:val="-7"/>
          <w:sz w:val="24"/>
        </w:rPr>
        <w:t xml:space="preserve"> </w:t>
      </w:r>
      <w:r>
        <w:rPr>
          <w:sz w:val="24"/>
        </w:rPr>
        <w:t>Advantage</w:t>
      </w:r>
      <w:r>
        <w:rPr>
          <w:spacing w:val="-7"/>
          <w:sz w:val="24"/>
        </w:rPr>
        <w:t xml:space="preserve"> </w:t>
      </w:r>
      <w:r>
        <w:rPr>
          <w:sz w:val="24"/>
        </w:rPr>
        <w:t>and</w:t>
      </w:r>
      <w:r>
        <w:rPr>
          <w:spacing w:val="-3"/>
          <w:sz w:val="24"/>
        </w:rPr>
        <w:t xml:space="preserve"> </w:t>
      </w:r>
      <w:r>
        <w:rPr>
          <w:sz w:val="24"/>
        </w:rPr>
        <w:t>Prescription</w:t>
      </w:r>
      <w:r>
        <w:rPr>
          <w:spacing w:val="-6"/>
          <w:sz w:val="24"/>
        </w:rPr>
        <w:t xml:space="preserve"> </w:t>
      </w:r>
      <w:r>
        <w:rPr>
          <w:sz w:val="24"/>
        </w:rPr>
        <w:t>Drug</w:t>
      </w:r>
      <w:r>
        <w:rPr>
          <w:spacing w:val="-6"/>
          <w:sz w:val="24"/>
        </w:rPr>
        <w:t xml:space="preserve"> </w:t>
      </w:r>
      <w:r>
        <w:rPr>
          <w:sz w:val="24"/>
        </w:rPr>
        <w:t>(MARx)</w:t>
      </w:r>
      <w:r>
        <w:rPr>
          <w:spacing w:val="-7"/>
          <w:sz w:val="24"/>
        </w:rPr>
        <w:t xml:space="preserve"> </w:t>
      </w:r>
      <w:r>
        <w:rPr>
          <w:sz w:val="24"/>
        </w:rPr>
        <w:t>enrollment</w:t>
      </w:r>
      <w:r>
        <w:rPr>
          <w:spacing w:val="-6"/>
          <w:sz w:val="24"/>
        </w:rPr>
        <w:t xml:space="preserve"> </w:t>
      </w:r>
      <w:r>
        <w:rPr>
          <w:sz w:val="24"/>
        </w:rPr>
        <w:t>transactions are used to automatically move members from one plan to more than one plan, for example, when the service area of one or more plans is redefined.</w:t>
      </w:r>
    </w:p>
    <w:p>
      <w:pPr>
        <w:pStyle w:val="ListParagraph"/>
        <w:numPr>
          <w:ilvl w:val="2"/>
          <w:numId w:val="15"/>
        </w:numPr>
        <w:tabs>
          <w:tab w:val="left" w:pos="2024"/>
        </w:tabs>
        <w:spacing w:before="38" w:after="0" w:line="240" w:lineRule="auto"/>
        <w:ind w:left="2024" w:right="698" w:hanging="360"/>
        <w:jc w:val="left"/>
        <w:rPr>
          <w:sz w:val="24"/>
        </w:rPr>
      </w:pPr>
      <w:r>
        <w:rPr>
          <w:sz w:val="24"/>
        </w:rPr>
        <w:t>For</w:t>
      </w:r>
      <w:r>
        <w:rPr>
          <w:spacing w:val="-5"/>
          <w:sz w:val="24"/>
        </w:rPr>
        <w:t xml:space="preserve"> </w:t>
      </w:r>
      <w:r>
        <w:rPr>
          <w:sz w:val="24"/>
        </w:rPr>
        <w:t>more</w:t>
      </w:r>
      <w:r>
        <w:rPr>
          <w:spacing w:val="-6"/>
          <w:sz w:val="24"/>
        </w:rPr>
        <w:t xml:space="preserve"> </w:t>
      </w:r>
      <w:r>
        <w:rPr>
          <w:sz w:val="24"/>
        </w:rPr>
        <w:t>information</w:t>
      </w:r>
      <w:r>
        <w:rPr>
          <w:spacing w:val="-4"/>
          <w:sz w:val="24"/>
        </w:rPr>
        <w:t xml:space="preserve"> </w:t>
      </w:r>
      <w:r>
        <w:rPr>
          <w:sz w:val="24"/>
        </w:rPr>
        <w:t>about</w:t>
      </w:r>
      <w:r>
        <w:rPr>
          <w:spacing w:val="-5"/>
          <w:sz w:val="24"/>
        </w:rPr>
        <w:t xml:space="preserve"> </w:t>
      </w:r>
      <w:r>
        <w:rPr>
          <w:sz w:val="24"/>
        </w:rPr>
        <w:t>crosswalks,</w:t>
      </w:r>
      <w:r>
        <w:rPr>
          <w:spacing w:val="-5"/>
          <w:sz w:val="24"/>
        </w:rPr>
        <w:t xml:space="preserve"> </w:t>
      </w:r>
      <w:r>
        <w:rPr>
          <w:sz w:val="24"/>
        </w:rPr>
        <w:t>see</w:t>
      </w:r>
      <w:r>
        <w:rPr>
          <w:spacing w:val="-7"/>
          <w:sz w:val="24"/>
        </w:rPr>
        <w:t xml:space="preserve"> </w:t>
      </w:r>
      <w:r>
        <w:rPr>
          <w:sz w:val="24"/>
        </w:rPr>
        <w:t>the</w:t>
      </w:r>
      <w:r>
        <w:rPr>
          <w:spacing w:val="-6"/>
          <w:sz w:val="24"/>
        </w:rPr>
        <w:t xml:space="preserve"> </w:t>
      </w:r>
      <w:r>
        <w:rPr>
          <w:sz w:val="24"/>
        </w:rPr>
        <w:t>memorandum</w:t>
      </w:r>
      <w:r>
        <w:rPr>
          <w:spacing w:val="-5"/>
          <w:sz w:val="24"/>
        </w:rPr>
        <w:t xml:space="preserve"> </w:t>
      </w:r>
      <w:r>
        <w:rPr>
          <w:sz w:val="24"/>
        </w:rPr>
        <w:t>released</w:t>
      </w:r>
      <w:r>
        <w:rPr>
          <w:spacing w:val="-5"/>
          <w:sz w:val="24"/>
        </w:rPr>
        <w:t xml:space="preserve"> </w:t>
      </w:r>
      <w:r>
        <w:rPr>
          <w:sz w:val="24"/>
        </w:rPr>
        <w:t>via HPMS titled “Process for Requesting an HPMS Crosswalk Exception for Contract Year 2020.”</w:t>
      </w:r>
    </w:p>
    <w:p>
      <w:pPr>
        <w:pStyle w:val="BodyText"/>
        <w:ind w:right="425"/>
      </w:pPr>
      <w:r>
        <w:t>The</w:t>
      </w:r>
      <w:r>
        <w:rPr>
          <w:spacing w:val="-5"/>
        </w:rPr>
        <w:t xml:space="preserve"> </w:t>
      </w:r>
      <w:r>
        <w:t>requirements</w:t>
      </w:r>
      <w:r>
        <w:rPr>
          <w:spacing w:val="-3"/>
        </w:rPr>
        <w:t xml:space="preserve"> </w:t>
      </w:r>
      <w:r>
        <w:t>for</w:t>
      </w:r>
      <w:r>
        <w:rPr>
          <w:spacing w:val="-5"/>
        </w:rPr>
        <w:t xml:space="preserve"> </w:t>
      </w:r>
      <w:r>
        <w:t>reporting</w:t>
      </w:r>
      <w:r>
        <w:rPr>
          <w:spacing w:val="-3"/>
        </w:rPr>
        <w:t xml:space="preserve"> </w:t>
      </w:r>
      <w:r>
        <w:t>base</w:t>
      </w:r>
      <w:r>
        <w:rPr>
          <w:spacing w:val="-4"/>
        </w:rPr>
        <w:t xml:space="preserve"> </w:t>
      </w:r>
      <w:r>
        <w:t>period</w:t>
      </w:r>
      <w:r>
        <w:rPr>
          <w:spacing w:val="-3"/>
        </w:rPr>
        <w:t xml:space="preserve"> </w:t>
      </w:r>
      <w:r>
        <w:t>data</w:t>
      </w:r>
      <w:r>
        <w:rPr>
          <w:spacing w:val="-4"/>
        </w:rPr>
        <w:t xml:space="preserve"> </w:t>
      </w:r>
      <w:r>
        <w:t>for</w:t>
      </w:r>
      <w:r>
        <w:rPr>
          <w:spacing w:val="-1"/>
        </w:rPr>
        <w:t xml:space="preserve"> </w:t>
      </w:r>
      <w:r>
        <w:t>crosswalks and</w:t>
      </w:r>
      <w:r>
        <w:rPr>
          <w:spacing w:val="-3"/>
        </w:rPr>
        <w:t xml:space="preserve"> </w:t>
      </w:r>
      <w:r>
        <w:t>enrollment</w:t>
      </w:r>
      <w:r>
        <w:rPr>
          <w:spacing w:val="-3"/>
        </w:rPr>
        <w:t xml:space="preserve"> </w:t>
      </w:r>
      <w:r>
        <w:t>shifts</w:t>
      </w:r>
      <w:r>
        <w:rPr>
          <w:spacing w:val="-3"/>
        </w:rPr>
        <w:t xml:space="preserve"> </w:t>
      </w:r>
      <w:r>
        <w:t>are described below.</w:t>
      </w:r>
    </w:p>
    <w:p>
      <w:pPr>
        <w:pStyle w:val="ListParagraph"/>
        <w:numPr>
          <w:ilvl w:val="0"/>
          <w:numId w:val="14"/>
        </w:numPr>
        <w:tabs>
          <w:tab w:val="left" w:pos="1303"/>
        </w:tabs>
        <w:spacing w:before="241" w:after="0" w:line="240" w:lineRule="auto"/>
        <w:ind w:left="1303" w:right="0" w:hanging="359"/>
        <w:jc w:val="left"/>
        <w:rPr>
          <w:rFonts w:ascii="Arial" w:hAnsi="Arial"/>
          <w:b/>
          <w:sz w:val="21"/>
        </w:rPr>
      </w:pPr>
      <w:r>
        <w:rPr>
          <w:rFonts w:ascii="Arial" w:hAnsi="Arial"/>
          <w:b/>
          <w:sz w:val="21"/>
        </w:rPr>
        <w:t>Rule</w:t>
      </w:r>
      <w:r>
        <w:rPr>
          <w:rFonts w:ascii="Arial" w:hAnsi="Arial"/>
          <w:b/>
          <w:spacing w:val="-3"/>
          <w:sz w:val="21"/>
        </w:rPr>
        <w:t xml:space="preserve"> </w:t>
      </w:r>
      <w:r>
        <w:rPr>
          <w:rFonts w:ascii="Arial" w:hAnsi="Arial"/>
          <w:b/>
          <w:sz w:val="21"/>
        </w:rPr>
        <w:t>1</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pacing w:val="-2"/>
          <w:sz w:val="21"/>
        </w:rPr>
        <w:t>Crosswalks</w:t>
      </w:r>
    </w:p>
    <w:p>
      <w:pPr>
        <w:pStyle w:val="BodyText"/>
        <w:spacing w:before="121"/>
        <w:ind w:left="1304" w:right="478"/>
      </w:pPr>
      <w:r>
        <w:t>Base period data for more than one CY2024 contract number-plan ID must be aggregated</w:t>
      </w:r>
      <w:r>
        <w:rPr>
          <w:spacing w:val="-4"/>
        </w:rPr>
        <w:t xml:space="preserve"> </w:t>
      </w:r>
      <w:r>
        <w:t>and</w:t>
      </w:r>
      <w:r>
        <w:rPr>
          <w:spacing w:val="-4"/>
        </w:rPr>
        <w:t xml:space="preserve"> </w:t>
      </w:r>
      <w:r>
        <w:t>reported</w:t>
      </w:r>
      <w:r>
        <w:rPr>
          <w:spacing w:val="-2"/>
        </w:rPr>
        <w:t xml:space="preserve"> </w:t>
      </w:r>
      <w:r>
        <w:t>on</w:t>
      </w:r>
      <w:r>
        <w:rPr>
          <w:spacing w:val="-4"/>
        </w:rPr>
        <w:t xml:space="preserve"> </w:t>
      </w:r>
      <w:r>
        <w:t>Worksheet</w:t>
      </w:r>
      <w:r>
        <w:rPr>
          <w:spacing w:val="-2"/>
        </w:rPr>
        <w:t xml:space="preserve"> </w:t>
      </w:r>
      <w:r>
        <w:t>1</w:t>
      </w:r>
      <w:r>
        <w:rPr>
          <w:spacing w:val="-4"/>
        </w:rPr>
        <w:t xml:space="preserve"> </w:t>
      </w:r>
      <w:r>
        <w:t>of</w:t>
      </w:r>
      <w:r>
        <w:rPr>
          <w:spacing w:val="-4"/>
        </w:rPr>
        <w:t xml:space="preserve"> </w:t>
      </w:r>
      <w:r>
        <w:t>the</w:t>
      </w:r>
      <w:r>
        <w:rPr>
          <w:spacing w:val="-6"/>
        </w:rPr>
        <w:t xml:space="preserve"> </w:t>
      </w:r>
      <w:r>
        <w:t>plan</w:t>
      </w:r>
      <w:r>
        <w:rPr>
          <w:spacing w:val="-4"/>
        </w:rPr>
        <w:t xml:space="preserve"> </w:t>
      </w:r>
      <w:r>
        <w:t>into</w:t>
      </w:r>
      <w:r>
        <w:rPr>
          <w:spacing w:val="-4"/>
        </w:rPr>
        <w:t xml:space="preserve"> </w:t>
      </w:r>
      <w:r>
        <w:t>which</w:t>
      </w:r>
      <w:r>
        <w:rPr>
          <w:spacing w:val="-4"/>
        </w:rPr>
        <w:t xml:space="preserve"> </w:t>
      </w:r>
      <w:r>
        <w:t>the</w:t>
      </w:r>
      <w:r>
        <w:rPr>
          <w:spacing w:val="-5"/>
        </w:rPr>
        <w:t xml:space="preserve"> </w:t>
      </w:r>
      <w:r>
        <w:t>members</w:t>
      </w:r>
      <w:r>
        <w:rPr>
          <w:spacing w:val="-4"/>
        </w:rPr>
        <w:t xml:space="preserve"> </w:t>
      </w:r>
      <w:r>
        <w:t>are crosswalked only in the following circumstances:</w:t>
      </w:r>
    </w:p>
    <w:p>
      <w:pPr>
        <w:pStyle w:val="ListParagraph"/>
        <w:numPr>
          <w:ilvl w:val="1"/>
          <w:numId w:val="14"/>
        </w:numPr>
        <w:tabs>
          <w:tab w:val="left" w:pos="1664"/>
        </w:tabs>
        <w:spacing w:before="120" w:after="0" w:line="240" w:lineRule="auto"/>
        <w:ind w:left="1664" w:right="479" w:hanging="360"/>
        <w:jc w:val="left"/>
        <w:rPr>
          <w:sz w:val="24"/>
        </w:rPr>
      </w:pPr>
      <w:r>
        <w:rPr>
          <w:sz w:val="24"/>
        </w:rPr>
        <w:t>When</w:t>
      </w:r>
      <w:r>
        <w:rPr>
          <w:spacing w:val="-3"/>
          <w:sz w:val="24"/>
        </w:rPr>
        <w:t xml:space="preserve"> </w:t>
      </w:r>
      <w:r>
        <w:rPr>
          <w:sz w:val="24"/>
        </w:rPr>
        <w:t>two</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plans</w:t>
      </w:r>
      <w:r>
        <w:rPr>
          <w:spacing w:val="-2"/>
          <w:sz w:val="24"/>
        </w:rPr>
        <w:t xml:space="preserve"> </w:t>
      </w:r>
      <w:r>
        <w:rPr>
          <w:sz w:val="24"/>
        </w:rPr>
        <w:t>are</w:t>
      </w:r>
      <w:r>
        <w:rPr>
          <w:spacing w:val="-5"/>
          <w:sz w:val="24"/>
        </w:rPr>
        <w:t xml:space="preserve"> </w:t>
      </w:r>
      <w:r>
        <w:rPr>
          <w:sz w:val="24"/>
        </w:rPr>
        <w:t>consolidated</w:t>
      </w:r>
      <w:r>
        <w:rPr>
          <w:spacing w:val="-1"/>
          <w:sz w:val="24"/>
        </w:rPr>
        <w:t xml:space="preserve"> </w:t>
      </w:r>
      <w:r>
        <w:rPr>
          <w:sz w:val="24"/>
        </w:rPr>
        <w:t>and</w:t>
      </w:r>
      <w:r>
        <w:rPr>
          <w:spacing w:val="-3"/>
          <w:sz w:val="24"/>
        </w:rPr>
        <w:t xml:space="preserve"> </w:t>
      </w:r>
      <w:r>
        <w:rPr>
          <w:sz w:val="24"/>
        </w:rPr>
        <w:t>the</w:t>
      </w:r>
      <w:r>
        <w:rPr>
          <w:spacing w:val="-2"/>
          <w:sz w:val="24"/>
        </w:rPr>
        <w:t xml:space="preserve"> </w:t>
      </w:r>
      <w:r>
        <w:rPr>
          <w:sz w:val="24"/>
        </w:rPr>
        <w:t>members</w:t>
      </w:r>
      <w:r>
        <w:rPr>
          <w:spacing w:val="-4"/>
          <w:sz w:val="24"/>
        </w:rPr>
        <w:t xml:space="preserve"> </w:t>
      </w:r>
      <w:r>
        <w:rPr>
          <w:sz w:val="24"/>
        </w:rPr>
        <w:t>are</w:t>
      </w:r>
      <w:r>
        <w:rPr>
          <w:spacing w:val="-4"/>
          <w:sz w:val="24"/>
        </w:rPr>
        <w:t xml:space="preserve"> </w:t>
      </w:r>
      <w:r>
        <w:rPr>
          <w:sz w:val="24"/>
        </w:rPr>
        <w:t>crosswalked</w:t>
      </w:r>
      <w:r>
        <w:rPr>
          <w:spacing w:val="-3"/>
          <w:sz w:val="24"/>
        </w:rPr>
        <w:t xml:space="preserve"> </w:t>
      </w:r>
      <w:r>
        <w:rPr>
          <w:sz w:val="24"/>
        </w:rPr>
        <w:t>into an existing or new plan under a formal crosswalk.</w:t>
      </w:r>
    </w:p>
    <w:p>
      <w:pPr>
        <w:pStyle w:val="BodyText"/>
        <w:ind w:left="1304" w:right="478"/>
      </w:pPr>
      <w:r>
        <w:t>Rule</w:t>
      </w:r>
      <w:r>
        <w:rPr>
          <w:spacing w:val="-4"/>
        </w:rPr>
        <w:t xml:space="preserve"> </w:t>
      </w:r>
      <w:r>
        <w:t>1</w:t>
      </w:r>
      <w:r>
        <w:rPr>
          <w:spacing w:val="-5"/>
        </w:rPr>
        <w:t xml:space="preserve"> </w:t>
      </w:r>
      <w:r>
        <w:t>applies</w:t>
      </w:r>
      <w:r>
        <w:rPr>
          <w:spacing w:val="-4"/>
        </w:rPr>
        <w:t xml:space="preserve"> </w:t>
      </w:r>
      <w:r>
        <w:t>when</w:t>
      </w:r>
      <w:r>
        <w:rPr>
          <w:spacing w:val="-4"/>
        </w:rPr>
        <w:t xml:space="preserve"> </w:t>
      </w:r>
      <w:r>
        <w:t>members</w:t>
      </w:r>
      <w:r>
        <w:rPr>
          <w:spacing w:val="-4"/>
        </w:rPr>
        <w:t xml:space="preserve"> </w:t>
      </w:r>
      <w:r>
        <w:t>are</w:t>
      </w:r>
      <w:r>
        <w:rPr>
          <w:spacing w:val="-2"/>
        </w:rPr>
        <w:t xml:space="preserve"> </w:t>
      </w:r>
      <w:r>
        <w:t>crosswalked</w:t>
      </w:r>
      <w:r>
        <w:rPr>
          <w:spacing w:val="-4"/>
        </w:rPr>
        <w:t xml:space="preserve"> </w:t>
      </w:r>
      <w:r>
        <w:t>within</w:t>
      </w:r>
      <w:r>
        <w:rPr>
          <w:spacing w:val="-4"/>
        </w:rPr>
        <w:t xml:space="preserve"> </w:t>
      </w:r>
      <w:r>
        <w:t>the</w:t>
      </w:r>
      <w:r>
        <w:rPr>
          <w:spacing w:val="-5"/>
        </w:rPr>
        <w:t xml:space="preserve"> </w:t>
      </w:r>
      <w:r>
        <w:t>same</w:t>
      </w:r>
      <w:r>
        <w:rPr>
          <w:spacing w:val="-4"/>
        </w:rPr>
        <w:t xml:space="preserve"> </w:t>
      </w:r>
      <w:r>
        <w:t>contract</w:t>
      </w:r>
      <w:r>
        <w:rPr>
          <w:spacing w:val="-4"/>
        </w:rPr>
        <w:t xml:space="preserve"> </w:t>
      </w:r>
      <w:r>
        <w:t>and</w:t>
      </w:r>
      <w:r>
        <w:rPr>
          <w:spacing w:val="-4"/>
        </w:rPr>
        <w:t xml:space="preserve"> </w:t>
      </w:r>
      <w:r>
        <w:t>when members are crosswalked between contracts in accord with limited exceptions described in CMS annual renewal and non-renewal guidance.</w:t>
      </w:r>
    </w:p>
    <w:p>
      <w:pPr>
        <w:pStyle w:val="ListParagraph"/>
        <w:numPr>
          <w:ilvl w:val="0"/>
          <w:numId w:val="14"/>
        </w:numPr>
        <w:tabs>
          <w:tab w:val="left" w:pos="1303"/>
        </w:tabs>
        <w:spacing w:before="241" w:after="0" w:line="240" w:lineRule="auto"/>
        <w:ind w:left="1303" w:right="0" w:hanging="359"/>
        <w:jc w:val="left"/>
        <w:rPr>
          <w:rFonts w:ascii="Arial" w:hAnsi="Arial"/>
          <w:b/>
          <w:sz w:val="21"/>
        </w:rPr>
      </w:pPr>
      <w:r>
        <w:rPr>
          <w:rFonts w:ascii="Arial" w:hAnsi="Arial"/>
          <w:b/>
          <w:sz w:val="21"/>
        </w:rPr>
        <w:t>Rule</w:t>
      </w:r>
      <w:r>
        <w:rPr>
          <w:rFonts w:ascii="Arial" w:hAnsi="Arial"/>
          <w:b/>
          <w:spacing w:val="-4"/>
          <w:sz w:val="21"/>
        </w:rPr>
        <w:t xml:space="preserve"> </w:t>
      </w:r>
      <w:r>
        <w:rPr>
          <w:rFonts w:ascii="Arial" w:hAnsi="Arial"/>
          <w:b/>
          <w:sz w:val="21"/>
        </w:rPr>
        <w:t>2</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Enrollment</w:t>
      </w:r>
      <w:r>
        <w:rPr>
          <w:rFonts w:ascii="Arial" w:hAnsi="Arial"/>
          <w:b/>
          <w:spacing w:val="-4"/>
          <w:sz w:val="21"/>
        </w:rPr>
        <w:t xml:space="preserve"> </w:t>
      </w:r>
      <w:r>
        <w:rPr>
          <w:rFonts w:ascii="Arial" w:hAnsi="Arial"/>
          <w:b/>
          <w:spacing w:val="-2"/>
          <w:sz w:val="21"/>
        </w:rPr>
        <w:t>Shifts</w:t>
      </w:r>
    </w:p>
    <w:p>
      <w:pPr>
        <w:pStyle w:val="BodyText"/>
        <w:spacing w:before="118"/>
        <w:ind w:left="1304" w:right="478"/>
      </w:pPr>
      <w:r>
        <w:t>Base</w:t>
      </w:r>
      <w:r>
        <w:rPr>
          <w:spacing w:val="-4"/>
        </w:rPr>
        <w:t xml:space="preserve"> </w:t>
      </w:r>
      <w:r>
        <w:t>period</w:t>
      </w:r>
      <w:r>
        <w:rPr>
          <w:spacing w:val="-3"/>
        </w:rPr>
        <w:t xml:space="preserve"> </w:t>
      </w:r>
      <w:r>
        <w:t>data</w:t>
      </w:r>
      <w:r>
        <w:rPr>
          <w:spacing w:val="-3"/>
        </w:rPr>
        <w:t xml:space="preserve"> </w:t>
      </w:r>
      <w:r>
        <w:t>for</w:t>
      </w:r>
      <w:r>
        <w:rPr>
          <w:spacing w:val="-5"/>
        </w:rPr>
        <w:t xml:space="preserve"> </w:t>
      </w:r>
      <w:r>
        <w:t>more</w:t>
      </w:r>
      <w:r>
        <w:rPr>
          <w:spacing w:val="-4"/>
        </w:rPr>
        <w:t xml:space="preserve"> </w:t>
      </w:r>
      <w:r>
        <w:t>than</w:t>
      </w:r>
      <w:r>
        <w:rPr>
          <w:spacing w:val="-3"/>
        </w:rPr>
        <w:t xml:space="preserve"> </w:t>
      </w:r>
      <w:r>
        <w:t>one</w:t>
      </w:r>
      <w:r>
        <w:rPr>
          <w:spacing w:val="-3"/>
        </w:rPr>
        <w:t xml:space="preserve"> </w:t>
      </w:r>
      <w:r>
        <w:t>contract</w:t>
      </w:r>
      <w:r>
        <w:rPr>
          <w:spacing w:val="-3"/>
        </w:rPr>
        <w:t xml:space="preserve"> </w:t>
      </w:r>
      <w:r>
        <w:t>number-plan</w:t>
      </w:r>
      <w:r>
        <w:rPr>
          <w:spacing w:val="-3"/>
        </w:rPr>
        <w:t xml:space="preserve"> </w:t>
      </w:r>
      <w:r>
        <w:t>ID</w:t>
      </w:r>
      <w:r>
        <w:rPr>
          <w:spacing w:val="-4"/>
        </w:rPr>
        <w:t xml:space="preserve"> </w:t>
      </w:r>
      <w:r>
        <w:t>cannot</w:t>
      </w:r>
      <w:r>
        <w:rPr>
          <w:spacing w:val="-3"/>
        </w:rPr>
        <w:t xml:space="preserve"> </w:t>
      </w:r>
      <w:r>
        <w:t>be</w:t>
      </w:r>
      <w:r>
        <w:rPr>
          <w:spacing w:val="-4"/>
        </w:rPr>
        <w:t xml:space="preserve"> </w:t>
      </w:r>
      <w:r>
        <w:t>aggregated and reported on Worksheet 1 in the following circumstances:</w:t>
      </w:r>
    </w:p>
    <w:p>
      <w:pPr>
        <w:pStyle w:val="ListParagraph"/>
        <w:numPr>
          <w:ilvl w:val="1"/>
          <w:numId w:val="14"/>
        </w:numPr>
        <w:tabs>
          <w:tab w:val="left" w:pos="1664"/>
        </w:tabs>
        <w:spacing w:before="120" w:after="0" w:line="240" w:lineRule="auto"/>
        <w:ind w:left="1664" w:right="0" w:hanging="360"/>
        <w:jc w:val="left"/>
        <w:rPr>
          <w:sz w:val="24"/>
        </w:rPr>
      </w:pPr>
      <w:r>
        <w:rPr>
          <w:sz w:val="24"/>
        </w:rPr>
        <w:t>When</w:t>
      </w:r>
      <w:r>
        <w:rPr>
          <w:spacing w:val="-2"/>
          <w:sz w:val="24"/>
        </w:rPr>
        <w:t xml:space="preserve"> </w:t>
      </w:r>
      <w:r>
        <w:rPr>
          <w:sz w:val="24"/>
        </w:rPr>
        <w:t>an</w:t>
      </w:r>
      <w:r>
        <w:rPr>
          <w:spacing w:val="2"/>
          <w:sz w:val="24"/>
        </w:rPr>
        <w:t xml:space="preserve"> </w:t>
      </w:r>
      <w:r>
        <w:rPr>
          <w:sz w:val="24"/>
        </w:rPr>
        <w:t>existing</w:t>
      </w:r>
      <w:r>
        <w:rPr>
          <w:spacing w:val="-1"/>
          <w:sz w:val="24"/>
        </w:rPr>
        <w:t xml:space="preserve"> </w:t>
      </w:r>
      <w:r>
        <w:rPr>
          <w:sz w:val="24"/>
        </w:rPr>
        <w:t>member</w:t>
      </w:r>
      <w:r>
        <w:rPr>
          <w:spacing w:val="-3"/>
          <w:sz w:val="24"/>
        </w:rPr>
        <w:t xml:space="preserve"> </w:t>
      </w:r>
      <w:r>
        <w:rPr>
          <w:sz w:val="24"/>
        </w:rPr>
        <w:t>chooses</w:t>
      </w:r>
      <w:r>
        <w:rPr>
          <w:spacing w:val="-2"/>
          <w:sz w:val="24"/>
        </w:rPr>
        <w:t xml:space="preserve"> </w:t>
      </w:r>
      <w:r>
        <w:rPr>
          <w:sz w:val="24"/>
        </w:rPr>
        <w:t>to</w:t>
      </w:r>
      <w:r>
        <w:rPr>
          <w:spacing w:val="-1"/>
          <w:sz w:val="24"/>
        </w:rPr>
        <w:t xml:space="preserve"> </w:t>
      </w:r>
      <w:r>
        <w:rPr>
          <w:sz w:val="24"/>
        </w:rPr>
        <w:t>enroll</w:t>
      </w:r>
      <w:r>
        <w:rPr>
          <w:spacing w:val="-1"/>
          <w:sz w:val="24"/>
        </w:rPr>
        <w:t xml:space="preserve"> </w:t>
      </w:r>
      <w:r>
        <w:rPr>
          <w:sz w:val="24"/>
        </w:rPr>
        <w:t>in</w:t>
      </w:r>
      <w:r>
        <w:rPr>
          <w:spacing w:val="-1"/>
          <w:sz w:val="24"/>
        </w:rPr>
        <w:t xml:space="preserve"> </w:t>
      </w:r>
      <w:r>
        <w:rPr>
          <w:sz w:val="24"/>
        </w:rPr>
        <w:t>different</w:t>
      </w:r>
      <w:r>
        <w:rPr>
          <w:spacing w:val="-1"/>
          <w:sz w:val="24"/>
        </w:rPr>
        <w:t xml:space="preserve"> </w:t>
      </w:r>
      <w:r>
        <w:rPr>
          <w:spacing w:val="-2"/>
          <w:sz w:val="24"/>
        </w:rPr>
        <w:t>plans.</w:t>
      </w:r>
    </w:p>
    <w:p>
      <w:pPr>
        <w:pStyle w:val="ListParagraph"/>
        <w:numPr>
          <w:ilvl w:val="1"/>
          <w:numId w:val="14"/>
        </w:numPr>
        <w:tabs>
          <w:tab w:val="left" w:pos="1664"/>
        </w:tabs>
        <w:spacing w:before="0" w:after="0" w:line="240" w:lineRule="auto"/>
        <w:ind w:left="1664" w:right="754" w:hanging="360"/>
        <w:jc w:val="left"/>
        <w:rPr>
          <w:sz w:val="24"/>
        </w:rPr>
      </w:pPr>
      <w:r>
        <w:rPr>
          <w:sz w:val="24"/>
        </w:rPr>
        <w:t>When</w:t>
      </w:r>
      <w:r>
        <w:rPr>
          <w:spacing w:val="-3"/>
          <w:sz w:val="24"/>
        </w:rPr>
        <w:t xml:space="preserve"> </w:t>
      </w:r>
      <w:r>
        <w:rPr>
          <w:sz w:val="24"/>
        </w:rPr>
        <w:t>enrollment</w:t>
      </w:r>
      <w:r>
        <w:rPr>
          <w:spacing w:val="-3"/>
          <w:sz w:val="24"/>
        </w:rPr>
        <w:t xml:space="preserve"> </w:t>
      </w:r>
      <w:r>
        <w:rPr>
          <w:sz w:val="24"/>
        </w:rPr>
        <w:t>changes</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involve</w:t>
      </w:r>
      <w:r>
        <w:rPr>
          <w:spacing w:val="-4"/>
          <w:sz w:val="24"/>
        </w:rPr>
        <w:t xml:space="preserve"> </w:t>
      </w:r>
      <w:r>
        <w:rPr>
          <w:sz w:val="24"/>
        </w:rPr>
        <w:t>a</w:t>
      </w:r>
      <w:r>
        <w:rPr>
          <w:spacing w:val="-2"/>
          <w:sz w:val="24"/>
        </w:rPr>
        <w:t xml:space="preserve"> </w:t>
      </w:r>
      <w:r>
        <w:rPr>
          <w:sz w:val="24"/>
        </w:rPr>
        <w:t>crosswalk</w:t>
      </w:r>
      <w:r>
        <w:rPr>
          <w:spacing w:val="-3"/>
          <w:sz w:val="24"/>
        </w:rPr>
        <w:t xml:space="preserve"> </w:t>
      </w:r>
      <w:r>
        <w:rPr>
          <w:sz w:val="24"/>
        </w:rPr>
        <w:t>whether</w:t>
      </w:r>
      <w:r>
        <w:rPr>
          <w:spacing w:val="-5"/>
          <w:sz w:val="24"/>
        </w:rPr>
        <w:t xml:space="preserve"> </w:t>
      </w:r>
      <w:r>
        <w:rPr>
          <w:sz w:val="24"/>
        </w:rPr>
        <w:t>or</w:t>
      </w:r>
      <w:r>
        <w:rPr>
          <w:spacing w:val="-3"/>
          <w:sz w:val="24"/>
        </w:rPr>
        <w:t xml:space="preserve"> </w:t>
      </w:r>
      <w:r>
        <w:rPr>
          <w:sz w:val="24"/>
        </w:rPr>
        <w:t>not</w:t>
      </w:r>
      <w:r>
        <w:rPr>
          <w:spacing w:val="-3"/>
          <w:sz w:val="24"/>
        </w:rPr>
        <w:t xml:space="preserve"> </w:t>
      </w:r>
      <w:r>
        <w:rPr>
          <w:sz w:val="24"/>
        </w:rPr>
        <w:t>a</w:t>
      </w:r>
      <w:r>
        <w:rPr>
          <w:spacing w:val="-5"/>
          <w:sz w:val="24"/>
        </w:rPr>
        <w:t xml:space="preserve"> </w:t>
      </w:r>
      <w:r>
        <w:rPr>
          <w:sz w:val="24"/>
        </w:rPr>
        <w:t>plan</w:t>
      </w:r>
      <w:r>
        <w:rPr>
          <w:spacing w:val="-2"/>
          <w:sz w:val="24"/>
        </w:rPr>
        <w:t xml:space="preserve"> </w:t>
      </w:r>
      <w:r>
        <w:rPr>
          <w:sz w:val="24"/>
        </w:rPr>
        <w:t xml:space="preserve">is </w:t>
      </w:r>
      <w:r>
        <w:rPr>
          <w:spacing w:val="-2"/>
          <w:sz w:val="24"/>
        </w:rPr>
        <w:t>terminated.</w:t>
      </w:r>
    </w:p>
    <w:p>
      <w:pPr>
        <w:pStyle w:val="ListParagraph"/>
        <w:numPr>
          <w:ilvl w:val="0"/>
          <w:numId w:val="14"/>
        </w:numPr>
        <w:tabs>
          <w:tab w:val="left" w:pos="1303"/>
        </w:tabs>
        <w:spacing w:before="241" w:after="0" w:line="240" w:lineRule="auto"/>
        <w:ind w:left="1303" w:right="0" w:hanging="359"/>
        <w:jc w:val="left"/>
        <w:rPr>
          <w:rFonts w:ascii="Arial" w:hAnsi="Arial"/>
          <w:b/>
          <w:sz w:val="21"/>
        </w:rPr>
      </w:pPr>
      <w:r>
        <w:rPr>
          <w:rFonts w:ascii="Arial" w:hAnsi="Arial"/>
          <w:b/>
          <w:sz w:val="21"/>
        </w:rPr>
        <w:t>Rule</w:t>
      </w:r>
      <w:r>
        <w:rPr>
          <w:rFonts w:ascii="Arial" w:hAnsi="Arial"/>
          <w:b/>
          <w:spacing w:val="-4"/>
          <w:sz w:val="21"/>
        </w:rPr>
        <w:t xml:space="preserve"> </w:t>
      </w:r>
      <w:r>
        <w:rPr>
          <w:rFonts w:ascii="Arial" w:hAnsi="Arial"/>
          <w:b/>
          <w:sz w:val="21"/>
        </w:rPr>
        <w:t>3</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Partial</w:t>
      </w:r>
      <w:r>
        <w:rPr>
          <w:rFonts w:ascii="Arial" w:hAnsi="Arial"/>
          <w:b/>
          <w:spacing w:val="-3"/>
          <w:sz w:val="21"/>
        </w:rPr>
        <w:t xml:space="preserve"> </w:t>
      </w:r>
      <w:r>
        <w:rPr>
          <w:rFonts w:ascii="Arial" w:hAnsi="Arial"/>
          <w:b/>
          <w:spacing w:val="-2"/>
          <w:sz w:val="21"/>
        </w:rPr>
        <w:t>Experience</w:t>
      </w:r>
    </w:p>
    <w:p>
      <w:pPr>
        <w:pStyle w:val="BodyText"/>
        <w:ind w:left="1304" w:right="1411"/>
      </w:pPr>
      <w:r>
        <w:t>Base</w:t>
      </w:r>
      <w:r>
        <w:rPr>
          <w:spacing w:val="-4"/>
        </w:rPr>
        <w:t xml:space="preserve"> </w:t>
      </w:r>
      <w:r>
        <w:t>period</w:t>
      </w:r>
      <w:r>
        <w:rPr>
          <w:spacing w:val="-3"/>
        </w:rPr>
        <w:t xml:space="preserve"> </w:t>
      </w:r>
      <w:r>
        <w:t>experience</w:t>
      </w:r>
      <w:r>
        <w:rPr>
          <w:spacing w:val="-3"/>
        </w:rPr>
        <w:t xml:space="preserve"> </w:t>
      </w:r>
      <w:r>
        <w:t>must</w:t>
      </w:r>
      <w:r>
        <w:rPr>
          <w:spacing w:val="-3"/>
        </w:rPr>
        <w:t xml:space="preserve"> </w:t>
      </w:r>
      <w:r>
        <w:t>be</w:t>
      </w:r>
      <w:r>
        <w:rPr>
          <w:spacing w:val="-4"/>
        </w:rPr>
        <w:t xml:space="preserve"> </w:t>
      </w:r>
      <w:r>
        <w:t>reported</w:t>
      </w:r>
      <w:r>
        <w:rPr>
          <w:spacing w:val="-3"/>
        </w:rPr>
        <w:t xml:space="preserve"> </w:t>
      </w:r>
      <w:r>
        <w:t>in</w:t>
      </w:r>
      <w:r>
        <w:rPr>
          <w:spacing w:val="-3"/>
        </w:rPr>
        <w:t xml:space="preserve"> </w:t>
      </w:r>
      <w:r>
        <w:t>total</w:t>
      </w:r>
      <w:r>
        <w:rPr>
          <w:spacing w:val="-2"/>
        </w:rPr>
        <w:t xml:space="preserve"> </w:t>
      </w:r>
      <w:r>
        <w:t>at</w:t>
      </w:r>
      <w:r>
        <w:rPr>
          <w:spacing w:val="-3"/>
        </w:rPr>
        <w:t xml:space="preserve"> </w:t>
      </w:r>
      <w:r>
        <w:t>the</w:t>
      </w:r>
      <w:r>
        <w:rPr>
          <w:spacing w:val="-4"/>
        </w:rPr>
        <w:t xml:space="preserve"> </w:t>
      </w:r>
      <w:r>
        <w:t>plan</w:t>
      </w:r>
      <w:r>
        <w:rPr>
          <w:spacing w:val="-3"/>
        </w:rPr>
        <w:t xml:space="preserve"> </w:t>
      </w:r>
      <w:r>
        <w:t>level</w:t>
      </w:r>
      <w:r>
        <w:rPr>
          <w:spacing w:val="-3"/>
        </w:rPr>
        <w:t xml:space="preserve"> </w:t>
      </w:r>
      <w:r>
        <w:t>for</w:t>
      </w:r>
      <w:r>
        <w:rPr>
          <w:spacing w:val="-3"/>
        </w:rPr>
        <w:t xml:space="preserve"> </w:t>
      </w:r>
      <w:r>
        <w:t>every contract-plan ID; do not include partial plan experience on Worksheet 1.</w:t>
      </w:r>
    </w:p>
    <w:p>
      <w:pPr>
        <w:pStyle w:val="ListParagraph"/>
        <w:numPr>
          <w:ilvl w:val="0"/>
          <w:numId w:val="14"/>
        </w:numPr>
        <w:tabs>
          <w:tab w:val="left" w:pos="1303"/>
        </w:tabs>
        <w:spacing w:before="241" w:after="0" w:line="240" w:lineRule="auto"/>
        <w:ind w:left="1303" w:right="0" w:hanging="359"/>
        <w:jc w:val="left"/>
        <w:rPr>
          <w:rFonts w:ascii="Arial" w:hAnsi="Arial"/>
          <w:b/>
          <w:sz w:val="21"/>
        </w:rPr>
      </w:pPr>
      <w:r>
        <w:rPr>
          <w:rFonts w:ascii="Arial" w:hAnsi="Arial"/>
          <w:b/>
          <w:sz w:val="21"/>
        </w:rPr>
        <w:t>Rule</w:t>
      </w:r>
      <w:r>
        <w:rPr>
          <w:rFonts w:ascii="Arial" w:hAnsi="Arial"/>
          <w:b/>
          <w:spacing w:val="-5"/>
          <w:sz w:val="21"/>
        </w:rPr>
        <w:t xml:space="preserve"> </w:t>
      </w:r>
      <w:r>
        <w:rPr>
          <w:rFonts w:ascii="Arial" w:hAnsi="Arial"/>
          <w:b/>
          <w:sz w:val="21"/>
        </w:rPr>
        <w:t>4</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Two-Year</w:t>
      </w:r>
      <w:r>
        <w:rPr>
          <w:rFonts w:ascii="Arial" w:hAnsi="Arial"/>
          <w:b/>
          <w:spacing w:val="-5"/>
          <w:sz w:val="21"/>
        </w:rPr>
        <w:t xml:space="preserve"> </w:t>
      </w:r>
      <w:r>
        <w:rPr>
          <w:rFonts w:ascii="Arial" w:hAnsi="Arial"/>
          <w:b/>
          <w:spacing w:val="-2"/>
          <w:sz w:val="21"/>
        </w:rPr>
        <w:t>Perspective</w:t>
      </w:r>
    </w:p>
    <w:p>
      <w:pPr>
        <w:pStyle w:val="BodyText"/>
        <w:ind w:left="1304" w:right="425"/>
      </w:pPr>
      <w:r>
        <w:t>Members may be crosswalked each contract year. For BPT reporting purposes, the actuary</w:t>
      </w:r>
      <w:r>
        <w:rPr>
          <w:spacing w:val="-4"/>
        </w:rPr>
        <w:t xml:space="preserve"> </w:t>
      </w:r>
      <w:r>
        <w:t>must</w:t>
      </w:r>
      <w:r>
        <w:rPr>
          <w:spacing w:val="-4"/>
        </w:rPr>
        <w:t xml:space="preserve"> </w:t>
      </w:r>
      <w:r>
        <w:t>consider</w:t>
      </w:r>
      <w:r>
        <w:rPr>
          <w:spacing w:val="-4"/>
        </w:rPr>
        <w:t xml:space="preserve"> </w:t>
      </w:r>
      <w:r>
        <w:t>the</w:t>
      </w:r>
      <w:r>
        <w:rPr>
          <w:spacing w:val="-4"/>
        </w:rPr>
        <w:t xml:space="preserve"> </w:t>
      </w:r>
      <w:r>
        <w:t>crosswalks</w:t>
      </w:r>
      <w:r>
        <w:rPr>
          <w:spacing w:val="-4"/>
        </w:rPr>
        <w:t xml:space="preserve"> </w:t>
      </w:r>
      <w:r>
        <w:t>from</w:t>
      </w:r>
      <w:r>
        <w:rPr>
          <w:spacing w:val="-4"/>
        </w:rPr>
        <w:t xml:space="preserve"> </w:t>
      </w:r>
      <w:r>
        <w:t>the</w:t>
      </w:r>
      <w:r>
        <w:rPr>
          <w:spacing w:val="-4"/>
        </w:rPr>
        <w:t xml:space="preserve"> </w:t>
      </w:r>
      <w:r>
        <w:t>base</w:t>
      </w:r>
      <w:r>
        <w:rPr>
          <w:spacing w:val="-4"/>
        </w:rPr>
        <w:t xml:space="preserve"> </w:t>
      </w:r>
      <w:r>
        <w:t>period</w:t>
      </w:r>
      <w:r>
        <w:rPr>
          <w:spacing w:val="-4"/>
        </w:rPr>
        <w:t xml:space="preserve"> </w:t>
      </w:r>
      <w:r>
        <w:t>to</w:t>
      </w:r>
      <w:r>
        <w:rPr>
          <w:spacing w:val="-4"/>
        </w:rPr>
        <w:t xml:space="preserve"> </w:t>
      </w:r>
      <w:r>
        <w:t>the</w:t>
      </w:r>
      <w:r>
        <w:rPr>
          <w:spacing w:val="-4"/>
        </w:rPr>
        <w:t xml:space="preserve"> </w:t>
      </w:r>
      <w:r>
        <w:t>contract</w:t>
      </w:r>
      <w:r>
        <w:rPr>
          <w:spacing w:val="-2"/>
        </w:rPr>
        <w:t xml:space="preserve"> </w:t>
      </w:r>
      <w:r>
        <w:t>year</w:t>
      </w:r>
      <w:r>
        <w:rPr>
          <w:spacing w:val="-4"/>
        </w:rPr>
        <w:t xml:space="preserve"> </w:t>
      </w:r>
      <w:r>
        <w:t>(that is, from CY2024 to CY2025 and from CY2025 to CY2026).</w:t>
      </w:r>
    </w:p>
    <w:p>
      <w:pPr>
        <w:spacing w:before="241"/>
        <w:ind w:left="1304" w:right="0" w:firstLine="0"/>
        <w:jc w:val="left"/>
        <w:rPr>
          <w:rFonts w:ascii="Arial"/>
          <w:b/>
          <w:sz w:val="21"/>
        </w:rPr>
      </w:pPr>
      <w:r>
        <w:rPr>
          <w:rFonts w:ascii="Arial"/>
          <w:b/>
          <w:sz w:val="21"/>
        </w:rPr>
        <w:t>Example</w:t>
      </w:r>
      <w:r>
        <w:rPr>
          <w:rFonts w:ascii="Arial"/>
          <w:b/>
          <w:spacing w:val="-5"/>
          <w:sz w:val="21"/>
        </w:rPr>
        <w:t xml:space="preserve"> </w:t>
      </w:r>
      <w:r>
        <w:rPr>
          <w:rFonts w:ascii="Arial"/>
          <w:b/>
          <w:sz w:val="21"/>
        </w:rPr>
        <w:t>1:</w:t>
      </w:r>
      <w:r>
        <w:rPr>
          <w:rFonts w:ascii="Arial"/>
          <w:b/>
          <w:spacing w:val="-5"/>
          <w:sz w:val="21"/>
        </w:rPr>
        <w:t xml:space="preserve"> </w:t>
      </w:r>
      <w:r>
        <w:rPr>
          <w:rFonts w:ascii="Arial"/>
          <w:b/>
          <w:sz w:val="21"/>
        </w:rPr>
        <w:t>Formal</w:t>
      </w:r>
      <w:r>
        <w:rPr>
          <w:rFonts w:ascii="Arial"/>
          <w:b/>
          <w:spacing w:val="-4"/>
          <w:sz w:val="21"/>
        </w:rPr>
        <w:t xml:space="preserve"> </w:t>
      </w:r>
      <w:r>
        <w:rPr>
          <w:rFonts w:ascii="Arial"/>
          <w:b/>
          <w:spacing w:val="-2"/>
          <w:sz w:val="21"/>
        </w:rPr>
        <w:t>Crosswalk</w:t>
      </w:r>
    </w:p>
    <w:p>
      <w:pPr>
        <w:pStyle w:val="BodyText"/>
        <w:spacing w:before="118"/>
        <w:ind w:left="1304" w:right="515"/>
      </w:pPr>
      <w:r>
        <w:t>A Part D sponsor offers plans 001, 002 and 003 in CY2024 and CY2025 and offers plans 002 and 003 in CY2026. Plan 001 is consolidated and the membership is formally crosswalked into plan 003 for CY2026 in accord with the limited exceptions described in CMS annual renewal and non-renewal guidance. Base period</w:t>
      </w:r>
      <w:r>
        <w:rPr>
          <w:spacing w:val="-3"/>
        </w:rPr>
        <w:t xml:space="preserve"> </w:t>
      </w:r>
      <w:r>
        <w:t>experience</w:t>
      </w:r>
      <w:r>
        <w:rPr>
          <w:spacing w:val="-4"/>
        </w:rPr>
        <w:t xml:space="preserve"> </w:t>
      </w:r>
      <w:r>
        <w:t>must</w:t>
      </w:r>
      <w:r>
        <w:rPr>
          <w:spacing w:val="-3"/>
        </w:rPr>
        <w:t xml:space="preserve"> </w:t>
      </w:r>
      <w:r>
        <w:t>be</w:t>
      </w:r>
      <w:r>
        <w:rPr>
          <w:spacing w:val="-4"/>
        </w:rPr>
        <w:t xml:space="preserve"> </w:t>
      </w:r>
      <w:r>
        <w:t>reported</w:t>
      </w:r>
      <w:r>
        <w:rPr>
          <w:spacing w:val="-3"/>
        </w:rPr>
        <w:t xml:space="preserve"> </w:t>
      </w:r>
      <w:r>
        <w:t>on</w:t>
      </w:r>
      <w:r>
        <w:rPr>
          <w:spacing w:val="-3"/>
        </w:rPr>
        <w:t xml:space="preserve"> </w:t>
      </w:r>
      <w:r>
        <w:t>Worksheet</w:t>
      </w:r>
      <w:r>
        <w:rPr>
          <w:spacing w:val="-1"/>
        </w:rPr>
        <w:t xml:space="preserve"> </w:t>
      </w:r>
      <w:r>
        <w:t>1</w:t>
      </w:r>
      <w:r>
        <w:rPr>
          <w:spacing w:val="-3"/>
        </w:rPr>
        <w:t xml:space="preserve"> </w:t>
      </w:r>
      <w:r>
        <w:t>of</w:t>
      </w:r>
      <w:r>
        <w:rPr>
          <w:spacing w:val="-3"/>
        </w:rPr>
        <w:t xml:space="preserve"> </w:t>
      </w:r>
      <w:r>
        <w:t>the</w:t>
      </w:r>
      <w:r>
        <w:rPr>
          <w:spacing w:val="-5"/>
        </w:rPr>
        <w:t xml:space="preserve"> </w:t>
      </w:r>
      <w:r>
        <w:t>CY2026</w:t>
      </w:r>
      <w:r>
        <w:rPr>
          <w:spacing w:val="-3"/>
        </w:rPr>
        <w:t xml:space="preserve"> </w:t>
      </w:r>
      <w:r>
        <w:t>BPT</w:t>
      </w:r>
      <w:r>
        <w:rPr>
          <w:spacing w:val="-3"/>
        </w:rPr>
        <w:t xml:space="preserve"> </w:t>
      </w:r>
      <w:r>
        <w:t>as</w:t>
      </w:r>
      <w:r>
        <w:rPr>
          <w:spacing w:val="-3"/>
        </w:rPr>
        <w:t xml:space="preserve"> </w:t>
      </w:r>
      <w:r>
        <w:t>follows:</w:t>
      </w:r>
    </w:p>
    <w:p>
      <w:pPr>
        <w:spacing w:after="0"/>
        <w:sectPr>
          <w:pgSz w:w="12240" w:h="15840"/>
          <w:pgMar w:top="1340" w:right="1000" w:bottom="940" w:left="1360" w:header="727" w:footer="747"/>
          <w:cols w:space="720"/>
        </w:sectPr>
      </w:pPr>
    </w:p>
    <w:p>
      <w:pPr>
        <w:pStyle w:val="ListParagraph"/>
        <w:numPr>
          <w:ilvl w:val="1"/>
          <w:numId w:val="14"/>
        </w:numPr>
        <w:tabs>
          <w:tab w:val="left" w:pos="1664"/>
        </w:tabs>
        <w:spacing w:before="87" w:after="0" w:line="240" w:lineRule="auto"/>
        <w:ind w:left="1664" w:right="628" w:hanging="360"/>
        <w:jc w:val="left"/>
        <w:rPr>
          <w:sz w:val="24"/>
        </w:rPr>
      </w:pPr>
      <w:r>
        <w:rPr>
          <w:sz w:val="24"/>
        </w:rPr>
        <w:t>For</w:t>
      </w:r>
      <w:r>
        <w:rPr>
          <w:spacing w:val="-3"/>
          <w:sz w:val="24"/>
        </w:rPr>
        <w:t xml:space="preserve"> </w:t>
      </w:r>
      <w:r>
        <w:rPr>
          <w:sz w:val="24"/>
        </w:rPr>
        <w:t>plan</w:t>
      </w:r>
      <w:r>
        <w:rPr>
          <w:spacing w:val="-3"/>
          <w:sz w:val="24"/>
        </w:rPr>
        <w:t xml:space="preserve"> </w:t>
      </w:r>
      <w:r>
        <w:rPr>
          <w:sz w:val="24"/>
        </w:rPr>
        <w:t>002,</w:t>
      </w:r>
      <w:r>
        <w:rPr>
          <w:spacing w:val="-3"/>
          <w:sz w:val="24"/>
        </w:rPr>
        <w:t xml:space="preserve"> </w:t>
      </w:r>
      <w:r>
        <w:rPr>
          <w:sz w:val="24"/>
        </w:rPr>
        <w:t>report</w:t>
      </w:r>
      <w:r>
        <w:rPr>
          <w:spacing w:val="-3"/>
          <w:sz w:val="24"/>
        </w:rPr>
        <w:t xml:space="preserve"> </w:t>
      </w:r>
      <w:r>
        <w:rPr>
          <w:sz w:val="24"/>
        </w:rPr>
        <w:t>aggregate</w:t>
      </w:r>
      <w:r>
        <w:rPr>
          <w:spacing w:val="-3"/>
          <w:sz w:val="24"/>
        </w:rPr>
        <w:t xml:space="preserve"> </w:t>
      </w:r>
      <w:r>
        <w:rPr>
          <w:sz w:val="24"/>
        </w:rPr>
        <w:t>base</w:t>
      </w:r>
      <w:r>
        <w:rPr>
          <w:spacing w:val="-4"/>
          <w:sz w:val="24"/>
        </w:rPr>
        <w:t xml:space="preserve"> </w:t>
      </w:r>
      <w:r>
        <w:rPr>
          <w:sz w:val="24"/>
        </w:rPr>
        <w:t>period</w:t>
      </w:r>
      <w:r>
        <w:rPr>
          <w:spacing w:val="-2"/>
          <w:sz w:val="24"/>
        </w:rPr>
        <w:t xml:space="preserve"> </w:t>
      </w:r>
      <w:r>
        <w:rPr>
          <w:sz w:val="24"/>
        </w:rPr>
        <w:t>experience</w:t>
      </w:r>
      <w:r>
        <w:rPr>
          <w:spacing w:val="-4"/>
          <w:sz w:val="24"/>
        </w:rPr>
        <w:t xml:space="preserve"> </w:t>
      </w:r>
      <w:r>
        <w:rPr>
          <w:sz w:val="24"/>
        </w:rPr>
        <w:t>for</w:t>
      </w:r>
      <w:r>
        <w:rPr>
          <w:spacing w:val="-2"/>
          <w:sz w:val="24"/>
        </w:rPr>
        <w:t xml:space="preserve"> </w:t>
      </w:r>
      <w:r>
        <w:rPr>
          <w:sz w:val="24"/>
        </w:rPr>
        <w:t>plan</w:t>
      </w:r>
      <w:r>
        <w:rPr>
          <w:spacing w:val="-3"/>
          <w:sz w:val="24"/>
        </w:rPr>
        <w:t xml:space="preserve"> </w:t>
      </w:r>
      <w:r>
        <w:rPr>
          <w:sz w:val="24"/>
        </w:rPr>
        <w:t>002</w:t>
      </w:r>
      <w:r>
        <w:rPr>
          <w:spacing w:val="-3"/>
          <w:sz w:val="24"/>
        </w:rPr>
        <w:t xml:space="preserve"> </w:t>
      </w:r>
      <w:r>
        <w:rPr>
          <w:sz w:val="24"/>
        </w:rPr>
        <w:t>(Rule</w:t>
      </w:r>
      <w:r>
        <w:rPr>
          <w:spacing w:val="-3"/>
          <w:sz w:val="24"/>
        </w:rPr>
        <w:t xml:space="preserve"> </w:t>
      </w:r>
      <w:r>
        <w:rPr>
          <w:sz w:val="24"/>
        </w:rPr>
        <w:t>1</w:t>
      </w:r>
      <w:r>
        <w:rPr>
          <w:spacing w:val="-2"/>
          <w:sz w:val="24"/>
        </w:rPr>
        <w:t xml:space="preserve"> </w:t>
      </w:r>
      <w:r>
        <w:rPr>
          <w:sz w:val="24"/>
        </w:rPr>
        <w:t>and Rule 3).</w:t>
      </w:r>
    </w:p>
    <w:p>
      <w:pPr>
        <w:pStyle w:val="ListParagraph"/>
        <w:numPr>
          <w:ilvl w:val="1"/>
          <w:numId w:val="14"/>
        </w:numPr>
        <w:tabs>
          <w:tab w:val="left" w:pos="1664"/>
        </w:tabs>
        <w:spacing w:before="0" w:after="0" w:line="240" w:lineRule="auto"/>
        <w:ind w:left="1664" w:right="700" w:hanging="360"/>
        <w:jc w:val="left"/>
        <w:rPr>
          <w:sz w:val="24"/>
        </w:rPr>
      </w:pPr>
      <w:r>
        <w:rPr>
          <w:sz w:val="24"/>
        </w:rPr>
        <w:t>For</w:t>
      </w:r>
      <w:r>
        <w:rPr>
          <w:spacing w:val="-3"/>
          <w:sz w:val="24"/>
        </w:rPr>
        <w:t xml:space="preserve"> </w:t>
      </w:r>
      <w:r>
        <w:rPr>
          <w:sz w:val="24"/>
        </w:rPr>
        <w:t>plan</w:t>
      </w:r>
      <w:r>
        <w:rPr>
          <w:spacing w:val="-3"/>
          <w:sz w:val="24"/>
        </w:rPr>
        <w:t xml:space="preserve"> </w:t>
      </w:r>
      <w:r>
        <w:rPr>
          <w:sz w:val="24"/>
        </w:rPr>
        <w:t>003,</w:t>
      </w:r>
      <w:r>
        <w:rPr>
          <w:spacing w:val="-3"/>
          <w:sz w:val="24"/>
        </w:rPr>
        <w:t xml:space="preserve"> </w:t>
      </w:r>
      <w:r>
        <w:rPr>
          <w:sz w:val="24"/>
        </w:rPr>
        <w:t>report</w:t>
      </w:r>
      <w:r>
        <w:rPr>
          <w:spacing w:val="-3"/>
          <w:sz w:val="24"/>
        </w:rPr>
        <w:t xml:space="preserve"> </w:t>
      </w:r>
      <w:r>
        <w:rPr>
          <w:sz w:val="24"/>
        </w:rPr>
        <w:t>base</w:t>
      </w:r>
      <w:r>
        <w:rPr>
          <w:spacing w:val="-2"/>
          <w:sz w:val="24"/>
        </w:rPr>
        <w:t xml:space="preserve"> </w:t>
      </w:r>
      <w:r>
        <w:rPr>
          <w:sz w:val="24"/>
        </w:rPr>
        <w:t>period</w:t>
      </w:r>
      <w:r>
        <w:rPr>
          <w:spacing w:val="-3"/>
          <w:sz w:val="24"/>
        </w:rPr>
        <w:t xml:space="preserve"> </w:t>
      </w:r>
      <w:r>
        <w:rPr>
          <w:sz w:val="24"/>
        </w:rPr>
        <w:t>experience</w:t>
      </w:r>
      <w:r>
        <w:rPr>
          <w:spacing w:val="-4"/>
          <w:sz w:val="24"/>
        </w:rPr>
        <w:t xml:space="preserve"> </w:t>
      </w:r>
      <w:r>
        <w:rPr>
          <w:sz w:val="24"/>
        </w:rPr>
        <w:t>for</w:t>
      </w:r>
      <w:r>
        <w:rPr>
          <w:spacing w:val="-5"/>
          <w:sz w:val="24"/>
        </w:rPr>
        <w:t xml:space="preserve"> </w:t>
      </w:r>
      <w:r>
        <w:rPr>
          <w:sz w:val="24"/>
        </w:rPr>
        <w:t>plans</w:t>
      </w:r>
      <w:r>
        <w:rPr>
          <w:spacing w:val="-3"/>
          <w:sz w:val="24"/>
        </w:rPr>
        <w:t xml:space="preserve"> </w:t>
      </w:r>
      <w:r>
        <w:rPr>
          <w:sz w:val="24"/>
        </w:rPr>
        <w:t>001</w:t>
      </w:r>
      <w:r>
        <w:rPr>
          <w:spacing w:val="-3"/>
          <w:sz w:val="24"/>
        </w:rPr>
        <w:t xml:space="preserve"> </w:t>
      </w:r>
      <w:r>
        <w:rPr>
          <w:sz w:val="24"/>
        </w:rPr>
        <w:t>and</w:t>
      </w:r>
      <w:r>
        <w:rPr>
          <w:spacing w:val="-3"/>
          <w:sz w:val="24"/>
        </w:rPr>
        <w:t xml:space="preserve"> </w:t>
      </w:r>
      <w:r>
        <w:rPr>
          <w:sz w:val="24"/>
        </w:rPr>
        <w:t>003</w:t>
      </w:r>
      <w:r>
        <w:rPr>
          <w:spacing w:val="-3"/>
          <w:sz w:val="24"/>
        </w:rPr>
        <w:t xml:space="preserve"> </w:t>
      </w:r>
      <w:r>
        <w:rPr>
          <w:sz w:val="24"/>
        </w:rPr>
        <w:t>(Rule</w:t>
      </w:r>
      <w:r>
        <w:rPr>
          <w:spacing w:val="-3"/>
          <w:sz w:val="24"/>
        </w:rPr>
        <w:t xml:space="preserve"> </w:t>
      </w:r>
      <w:r>
        <w:rPr>
          <w:sz w:val="24"/>
        </w:rPr>
        <w:t>1</w:t>
      </w:r>
      <w:r>
        <w:rPr>
          <w:spacing w:val="-2"/>
          <w:sz w:val="24"/>
        </w:rPr>
        <w:t xml:space="preserve"> </w:t>
      </w:r>
      <w:r>
        <w:rPr>
          <w:sz w:val="24"/>
        </w:rPr>
        <w:t>and Rule 3).</w:t>
      </w:r>
    </w:p>
    <w:p>
      <w:pPr>
        <w:spacing w:before="240"/>
        <w:ind w:left="1304" w:right="0" w:firstLine="0"/>
        <w:jc w:val="left"/>
        <w:rPr>
          <w:rFonts w:ascii="Arial"/>
          <w:b/>
          <w:sz w:val="21"/>
        </w:rPr>
      </w:pPr>
      <w:r>
        <w:rPr>
          <w:rFonts w:ascii="Arial"/>
          <w:b/>
          <w:sz w:val="21"/>
        </w:rPr>
        <w:t>Example</w:t>
      </w:r>
      <w:r>
        <w:rPr>
          <w:rFonts w:ascii="Arial"/>
          <w:b/>
          <w:spacing w:val="-7"/>
          <w:sz w:val="21"/>
        </w:rPr>
        <w:t xml:space="preserve"> </w:t>
      </w:r>
      <w:r>
        <w:rPr>
          <w:rFonts w:ascii="Arial"/>
          <w:b/>
          <w:sz w:val="21"/>
        </w:rPr>
        <w:t>2:</w:t>
      </w:r>
      <w:r>
        <w:rPr>
          <w:rFonts w:ascii="Arial"/>
          <w:b/>
          <w:spacing w:val="-7"/>
          <w:sz w:val="21"/>
        </w:rPr>
        <w:t xml:space="preserve"> </w:t>
      </w:r>
      <w:r>
        <w:rPr>
          <w:rFonts w:ascii="Arial"/>
          <w:b/>
          <w:sz w:val="21"/>
        </w:rPr>
        <w:t>Formal</w:t>
      </w:r>
      <w:r>
        <w:rPr>
          <w:rFonts w:ascii="Arial"/>
          <w:b/>
          <w:spacing w:val="-6"/>
          <w:sz w:val="21"/>
        </w:rPr>
        <w:t xml:space="preserve"> </w:t>
      </w:r>
      <w:r>
        <w:rPr>
          <w:rFonts w:ascii="Arial"/>
          <w:b/>
          <w:sz w:val="21"/>
        </w:rPr>
        <w:t>Crosswalk</w:t>
      </w:r>
      <w:r>
        <w:rPr>
          <w:rFonts w:ascii="Arial"/>
          <w:b/>
          <w:spacing w:val="-6"/>
          <w:sz w:val="21"/>
        </w:rPr>
        <w:t xml:space="preserve"> </w:t>
      </w:r>
      <w:r>
        <w:rPr>
          <w:rFonts w:ascii="Arial"/>
          <w:b/>
          <w:sz w:val="21"/>
        </w:rPr>
        <w:t>and</w:t>
      </w:r>
      <w:r>
        <w:rPr>
          <w:rFonts w:ascii="Arial"/>
          <w:b/>
          <w:spacing w:val="-5"/>
          <w:sz w:val="21"/>
        </w:rPr>
        <w:t xml:space="preserve"> </w:t>
      </w:r>
      <w:r>
        <w:rPr>
          <w:rFonts w:ascii="Arial"/>
          <w:b/>
          <w:sz w:val="21"/>
        </w:rPr>
        <w:t>Enrollment</w:t>
      </w:r>
      <w:r>
        <w:rPr>
          <w:rFonts w:ascii="Arial"/>
          <w:b/>
          <w:spacing w:val="-5"/>
          <w:sz w:val="21"/>
        </w:rPr>
        <w:t xml:space="preserve"> </w:t>
      </w:r>
      <w:r>
        <w:rPr>
          <w:rFonts w:ascii="Arial"/>
          <w:b/>
          <w:spacing w:val="-4"/>
          <w:sz w:val="21"/>
        </w:rPr>
        <w:t>Shift</w:t>
      </w:r>
    </w:p>
    <w:p>
      <w:pPr>
        <w:pStyle w:val="BodyText"/>
        <w:spacing w:before="121"/>
        <w:ind w:left="1304" w:right="465"/>
      </w:pPr>
      <w:r>
        <w:t>A Part D sponsor offers plans 001, 002 and 003 in CY2024 and CY2025 and offers plan 003 and new plan 004 in CY2026. Plan 001 is consolidated and the membership is formally crosswalked into plan 003 for CY2026 as submitted in HPMS. Plan 002 is terminated for CY2026 and the certifying actuary expects the membership</w:t>
      </w:r>
      <w:r>
        <w:rPr>
          <w:spacing w:val="-4"/>
        </w:rPr>
        <w:t xml:space="preserve"> </w:t>
      </w:r>
      <w:r>
        <w:t>in</w:t>
      </w:r>
      <w:r>
        <w:rPr>
          <w:spacing w:val="-4"/>
        </w:rPr>
        <w:t xml:space="preserve"> </w:t>
      </w:r>
      <w:r>
        <w:t>plan</w:t>
      </w:r>
      <w:r>
        <w:rPr>
          <w:spacing w:val="-4"/>
        </w:rPr>
        <w:t xml:space="preserve"> </w:t>
      </w:r>
      <w:r>
        <w:t>002</w:t>
      </w:r>
      <w:r>
        <w:rPr>
          <w:spacing w:val="-4"/>
        </w:rPr>
        <w:t xml:space="preserve"> </w:t>
      </w:r>
      <w:r>
        <w:t>to</w:t>
      </w:r>
      <w:r>
        <w:rPr>
          <w:spacing w:val="-4"/>
        </w:rPr>
        <w:t xml:space="preserve"> </w:t>
      </w:r>
      <w:r>
        <w:t>enroll</w:t>
      </w:r>
      <w:r>
        <w:rPr>
          <w:spacing w:val="-4"/>
        </w:rPr>
        <w:t xml:space="preserve"> </w:t>
      </w:r>
      <w:r>
        <w:t>evenly</w:t>
      </w:r>
      <w:r>
        <w:rPr>
          <w:spacing w:val="-4"/>
        </w:rPr>
        <w:t xml:space="preserve"> </w:t>
      </w:r>
      <w:r>
        <w:t>between</w:t>
      </w:r>
      <w:r>
        <w:rPr>
          <w:spacing w:val="-2"/>
        </w:rPr>
        <w:t xml:space="preserve"> </w:t>
      </w:r>
      <w:r>
        <w:t>plans</w:t>
      </w:r>
      <w:r>
        <w:rPr>
          <w:spacing w:val="-4"/>
        </w:rPr>
        <w:t xml:space="preserve"> </w:t>
      </w:r>
      <w:r>
        <w:t>003</w:t>
      </w:r>
      <w:r>
        <w:rPr>
          <w:spacing w:val="-4"/>
        </w:rPr>
        <w:t xml:space="preserve"> </w:t>
      </w:r>
      <w:r>
        <w:t>and</w:t>
      </w:r>
      <w:r>
        <w:rPr>
          <w:spacing w:val="-4"/>
        </w:rPr>
        <w:t xml:space="preserve"> </w:t>
      </w:r>
      <w:r>
        <w:t>004;</w:t>
      </w:r>
      <w:r>
        <w:rPr>
          <w:spacing w:val="-4"/>
        </w:rPr>
        <w:t xml:space="preserve"> </w:t>
      </w:r>
      <w:r>
        <w:t>however,</w:t>
      </w:r>
      <w:r>
        <w:rPr>
          <w:spacing w:val="-4"/>
        </w:rPr>
        <w:t xml:space="preserve"> </w:t>
      </w:r>
      <w:r>
        <w:t>there is no formal crosswalk or approved crosswalk exception in place. Base period experience must be reported on Worksheet 1 of the CY2026 BPT as follows:</w:t>
      </w:r>
    </w:p>
    <w:p>
      <w:pPr>
        <w:pStyle w:val="ListParagraph"/>
        <w:numPr>
          <w:ilvl w:val="1"/>
          <w:numId w:val="14"/>
        </w:numPr>
        <w:tabs>
          <w:tab w:val="left" w:pos="1664"/>
        </w:tabs>
        <w:spacing w:before="118" w:after="0" w:line="240" w:lineRule="auto"/>
        <w:ind w:left="1664" w:right="704" w:hanging="360"/>
        <w:jc w:val="left"/>
        <w:rPr>
          <w:sz w:val="24"/>
        </w:rPr>
      </w:pPr>
      <w:r>
        <w:rPr>
          <w:sz w:val="24"/>
        </w:rPr>
        <w:t>For</w:t>
      </w:r>
      <w:r>
        <w:rPr>
          <w:spacing w:val="-3"/>
          <w:sz w:val="24"/>
        </w:rPr>
        <w:t xml:space="preserve"> </w:t>
      </w:r>
      <w:r>
        <w:rPr>
          <w:sz w:val="24"/>
        </w:rPr>
        <w:t>plan</w:t>
      </w:r>
      <w:r>
        <w:rPr>
          <w:spacing w:val="-3"/>
          <w:sz w:val="24"/>
        </w:rPr>
        <w:t xml:space="preserve"> </w:t>
      </w:r>
      <w:r>
        <w:rPr>
          <w:sz w:val="24"/>
        </w:rPr>
        <w:t>003,</w:t>
      </w:r>
      <w:r>
        <w:rPr>
          <w:spacing w:val="-3"/>
          <w:sz w:val="24"/>
        </w:rPr>
        <w:t xml:space="preserve"> </w:t>
      </w:r>
      <w:r>
        <w:rPr>
          <w:sz w:val="24"/>
        </w:rPr>
        <w:t>report</w:t>
      </w:r>
      <w:r>
        <w:rPr>
          <w:spacing w:val="-3"/>
          <w:sz w:val="24"/>
        </w:rPr>
        <w:t xml:space="preserve"> </w:t>
      </w:r>
      <w:r>
        <w:rPr>
          <w:sz w:val="24"/>
        </w:rPr>
        <w:t>base</w:t>
      </w:r>
      <w:r>
        <w:rPr>
          <w:spacing w:val="-2"/>
          <w:sz w:val="24"/>
        </w:rPr>
        <w:t xml:space="preserve"> </w:t>
      </w:r>
      <w:r>
        <w:rPr>
          <w:sz w:val="24"/>
        </w:rPr>
        <w:t>period</w:t>
      </w:r>
      <w:r>
        <w:rPr>
          <w:spacing w:val="-3"/>
          <w:sz w:val="24"/>
        </w:rPr>
        <w:t xml:space="preserve"> </w:t>
      </w:r>
      <w:r>
        <w:rPr>
          <w:sz w:val="24"/>
        </w:rPr>
        <w:t>experience</w:t>
      </w:r>
      <w:r>
        <w:rPr>
          <w:spacing w:val="-4"/>
          <w:sz w:val="24"/>
        </w:rPr>
        <w:t xml:space="preserve"> </w:t>
      </w:r>
      <w:r>
        <w:rPr>
          <w:sz w:val="24"/>
        </w:rPr>
        <w:t>for</w:t>
      </w:r>
      <w:r>
        <w:rPr>
          <w:spacing w:val="-5"/>
          <w:sz w:val="24"/>
        </w:rPr>
        <w:t xml:space="preserve"> </w:t>
      </w:r>
      <w:r>
        <w:rPr>
          <w:sz w:val="24"/>
        </w:rPr>
        <w:t>plans</w:t>
      </w:r>
      <w:r>
        <w:rPr>
          <w:spacing w:val="-3"/>
          <w:sz w:val="24"/>
        </w:rPr>
        <w:t xml:space="preserve"> </w:t>
      </w:r>
      <w:r>
        <w:rPr>
          <w:sz w:val="24"/>
        </w:rPr>
        <w:t>001</w:t>
      </w:r>
      <w:r>
        <w:rPr>
          <w:spacing w:val="-3"/>
          <w:sz w:val="24"/>
        </w:rPr>
        <w:t xml:space="preserve"> </w:t>
      </w:r>
      <w:r>
        <w:rPr>
          <w:sz w:val="24"/>
        </w:rPr>
        <w:t>and</w:t>
      </w:r>
      <w:r>
        <w:rPr>
          <w:spacing w:val="-3"/>
          <w:sz w:val="24"/>
        </w:rPr>
        <w:t xml:space="preserve"> </w:t>
      </w:r>
      <w:r>
        <w:rPr>
          <w:sz w:val="24"/>
        </w:rPr>
        <w:t>003</w:t>
      </w:r>
      <w:r>
        <w:rPr>
          <w:spacing w:val="-3"/>
          <w:sz w:val="24"/>
        </w:rPr>
        <w:t xml:space="preserve"> </w:t>
      </w:r>
      <w:r>
        <w:rPr>
          <w:sz w:val="24"/>
        </w:rPr>
        <w:t>(Rule</w:t>
      </w:r>
      <w:r>
        <w:rPr>
          <w:spacing w:val="-3"/>
          <w:sz w:val="24"/>
        </w:rPr>
        <w:t xml:space="preserve"> </w:t>
      </w:r>
      <w:r>
        <w:rPr>
          <w:sz w:val="24"/>
        </w:rPr>
        <w:t>1</w:t>
      </w:r>
      <w:r>
        <w:rPr>
          <w:spacing w:val="-2"/>
          <w:sz w:val="24"/>
        </w:rPr>
        <w:t xml:space="preserve"> </w:t>
      </w:r>
      <w:r>
        <w:rPr>
          <w:sz w:val="24"/>
        </w:rPr>
        <w:t>and Rule 3).</w:t>
      </w:r>
    </w:p>
    <w:p>
      <w:pPr>
        <w:pStyle w:val="ListParagraph"/>
        <w:numPr>
          <w:ilvl w:val="1"/>
          <w:numId w:val="14"/>
        </w:numPr>
        <w:tabs>
          <w:tab w:val="left" w:pos="1664"/>
        </w:tabs>
        <w:spacing w:before="0" w:after="0" w:line="240" w:lineRule="auto"/>
        <w:ind w:left="1664" w:right="529" w:hanging="360"/>
        <w:jc w:val="left"/>
        <w:rPr>
          <w:sz w:val="24"/>
        </w:rPr>
      </w:pPr>
      <w:r>
        <w:rPr>
          <w:sz w:val="24"/>
        </w:rPr>
        <w:t>For</w:t>
      </w:r>
      <w:r>
        <w:rPr>
          <w:spacing w:val="-4"/>
          <w:sz w:val="24"/>
        </w:rPr>
        <w:t xml:space="preserve"> </w:t>
      </w:r>
      <w:r>
        <w:rPr>
          <w:sz w:val="24"/>
        </w:rPr>
        <w:t>plan</w:t>
      </w:r>
      <w:r>
        <w:rPr>
          <w:spacing w:val="-4"/>
          <w:sz w:val="24"/>
        </w:rPr>
        <w:t xml:space="preserve"> </w:t>
      </w:r>
      <w:r>
        <w:rPr>
          <w:sz w:val="24"/>
        </w:rPr>
        <w:t>004,</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report</w:t>
      </w:r>
      <w:r>
        <w:rPr>
          <w:spacing w:val="-4"/>
          <w:sz w:val="24"/>
        </w:rPr>
        <w:t xml:space="preserve"> </w:t>
      </w:r>
      <w:r>
        <w:rPr>
          <w:sz w:val="24"/>
        </w:rPr>
        <w:t>base</w:t>
      </w:r>
      <w:r>
        <w:rPr>
          <w:spacing w:val="-5"/>
          <w:sz w:val="24"/>
        </w:rPr>
        <w:t xml:space="preserve"> </w:t>
      </w:r>
      <w:r>
        <w:rPr>
          <w:sz w:val="24"/>
        </w:rPr>
        <w:t>period</w:t>
      </w:r>
      <w:r>
        <w:rPr>
          <w:spacing w:val="-3"/>
          <w:sz w:val="24"/>
        </w:rPr>
        <w:t xml:space="preserve"> </w:t>
      </w:r>
      <w:r>
        <w:rPr>
          <w:sz w:val="24"/>
        </w:rPr>
        <w:t>experience</w:t>
      </w:r>
      <w:r>
        <w:rPr>
          <w:spacing w:val="-3"/>
          <w:sz w:val="24"/>
        </w:rPr>
        <w:t xml:space="preserve"> </w:t>
      </w:r>
      <w:r>
        <w:rPr>
          <w:sz w:val="24"/>
        </w:rPr>
        <w:t>(Rule</w:t>
      </w:r>
      <w:r>
        <w:rPr>
          <w:spacing w:val="-4"/>
          <w:sz w:val="24"/>
        </w:rPr>
        <w:t xml:space="preserve"> </w:t>
      </w:r>
      <w:r>
        <w:rPr>
          <w:sz w:val="24"/>
        </w:rPr>
        <w:t>2).</w:t>
      </w:r>
      <w:r>
        <w:rPr>
          <w:spacing w:val="-2"/>
          <w:sz w:val="24"/>
        </w:rPr>
        <w:t xml:space="preserve"> </w:t>
      </w:r>
      <w:r>
        <w:rPr>
          <w:sz w:val="24"/>
        </w:rPr>
        <w:t>Data</w:t>
      </w:r>
      <w:r>
        <w:rPr>
          <w:spacing w:val="-3"/>
          <w:sz w:val="24"/>
        </w:rPr>
        <w:t xml:space="preserve"> </w:t>
      </w:r>
      <w:r>
        <w:rPr>
          <w:sz w:val="24"/>
        </w:rPr>
        <w:t>aggregation</w:t>
      </w:r>
      <w:r>
        <w:rPr>
          <w:spacing w:val="-4"/>
          <w:sz w:val="24"/>
        </w:rPr>
        <w:t xml:space="preserve"> </w:t>
      </w:r>
      <w:r>
        <w:rPr>
          <w:sz w:val="24"/>
        </w:rPr>
        <w:t>is not allowed.</w:t>
      </w:r>
    </w:p>
    <w:p>
      <w:pPr>
        <w:spacing w:before="241"/>
        <w:ind w:left="1304" w:right="0" w:firstLine="0"/>
        <w:jc w:val="left"/>
        <w:rPr>
          <w:rFonts w:ascii="Arial"/>
          <w:b/>
          <w:sz w:val="21"/>
        </w:rPr>
      </w:pPr>
      <w:r>
        <w:rPr>
          <w:rFonts w:ascii="Arial"/>
          <w:b/>
          <w:sz w:val="21"/>
        </w:rPr>
        <w:t>Example</w:t>
      </w:r>
      <w:r>
        <w:rPr>
          <w:rFonts w:ascii="Arial"/>
          <w:b/>
          <w:spacing w:val="-8"/>
          <w:sz w:val="21"/>
        </w:rPr>
        <w:t xml:space="preserve"> </w:t>
      </w:r>
      <w:r>
        <w:rPr>
          <w:rFonts w:ascii="Arial"/>
          <w:b/>
          <w:sz w:val="21"/>
        </w:rPr>
        <w:t>3:</w:t>
      </w:r>
      <w:r>
        <w:rPr>
          <w:rFonts w:ascii="Arial"/>
          <w:b/>
          <w:spacing w:val="-7"/>
          <w:sz w:val="21"/>
        </w:rPr>
        <w:t xml:space="preserve"> </w:t>
      </w:r>
      <w:r>
        <w:rPr>
          <w:rFonts w:ascii="Arial"/>
          <w:b/>
          <w:sz w:val="21"/>
        </w:rPr>
        <w:t>Crosswalks</w:t>
      </w:r>
      <w:r>
        <w:rPr>
          <w:rFonts w:ascii="Arial"/>
          <w:b/>
          <w:spacing w:val="-7"/>
          <w:sz w:val="21"/>
        </w:rPr>
        <w:t xml:space="preserve"> </w:t>
      </w:r>
      <w:r>
        <w:rPr>
          <w:rFonts w:ascii="Arial"/>
          <w:b/>
          <w:sz w:val="21"/>
        </w:rPr>
        <w:t>in</w:t>
      </w:r>
      <w:r>
        <w:rPr>
          <w:rFonts w:ascii="Arial"/>
          <w:b/>
          <w:spacing w:val="-5"/>
          <w:sz w:val="21"/>
        </w:rPr>
        <w:t xml:space="preserve"> </w:t>
      </w:r>
      <w:r>
        <w:rPr>
          <w:rFonts w:ascii="Arial"/>
          <w:b/>
          <w:sz w:val="21"/>
        </w:rPr>
        <w:t>Successive</w:t>
      </w:r>
      <w:r>
        <w:rPr>
          <w:rFonts w:ascii="Arial"/>
          <w:b/>
          <w:spacing w:val="-8"/>
          <w:sz w:val="21"/>
        </w:rPr>
        <w:t xml:space="preserve"> </w:t>
      </w:r>
      <w:r>
        <w:rPr>
          <w:rFonts w:ascii="Arial"/>
          <w:b/>
          <w:spacing w:val="-4"/>
          <w:sz w:val="21"/>
        </w:rPr>
        <w:t>Years</w:t>
      </w:r>
    </w:p>
    <w:p>
      <w:pPr>
        <w:pStyle w:val="BodyText"/>
        <w:ind w:left="1304" w:right="459"/>
      </w:pPr>
      <w:r>
        <w:t>A</w:t>
      </w:r>
      <w:r>
        <w:rPr>
          <w:spacing w:val="-3"/>
        </w:rPr>
        <w:t xml:space="preserve"> </w:t>
      </w:r>
      <w:r>
        <w:t>Part</w:t>
      </w:r>
      <w:r>
        <w:rPr>
          <w:spacing w:val="-2"/>
        </w:rPr>
        <w:t xml:space="preserve"> </w:t>
      </w:r>
      <w:r>
        <w:t>D</w:t>
      </w:r>
      <w:r>
        <w:rPr>
          <w:spacing w:val="-3"/>
        </w:rPr>
        <w:t xml:space="preserve"> </w:t>
      </w:r>
      <w:r>
        <w:t>sponsor</w:t>
      </w:r>
      <w:r>
        <w:rPr>
          <w:spacing w:val="-2"/>
        </w:rPr>
        <w:t xml:space="preserve"> </w:t>
      </w:r>
      <w:r>
        <w:t>offers</w:t>
      </w:r>
      <w:r>
        <w:rPr>
          <w:spacing w:val="-1"/>
        </w:rPr>
        <w:t xml:space="preserve"> </w:t>
      </w:r>
      <w:r>
        <w:t>plan</w:t>
      </w:r>
      <w:r>
        <w:rPr>
          <w:spacing w:val="-2"/>
        </w:rPr>
        <w:t xml:space="preserve"> </w:t>
      </w:r>
      <w:r>
        <w:t>001</w:t>
      </w:r>
      <w:r>
        <w:rPr>
          <w:spacing w:val="-2"/>
        </w:rPr>
        <w:t xml:space="preserve"> </w:t>
      </w:r>
      <w:r>
        <w:t>with</w:t>
      </w:r>
      <w:r>
        <w:rPr>
          <w:spacing w:val="-2"/>
        </w:rPr>
        <w:t xml:space="preserve"> </w:t>
      </w:r>
      <w:r>
        <w:t>100</w:t>
      </w:r>
      <w:r>
        <w:rPr>
          <w:spacing w:val="-2"/>
        </w:rPr>
        <w:t xml:space="preserve"> </w:t>
      </w:r>
      <w:r>
        <w:t>beneficiaries</w:t>
      </w:r>
      <w:r>
        <w:rPr>
          <w:spacing w:val="-2"/>
        </w:rPr>
        <w:t xml:space="preserve"> </w:t>
      </w:r>
      <w:r>
        <w:t>and</w:t>
      </w:r>
      <w:r>
        <w:rPr>
          <w:spacing w:val="-2"/>
        </w:rPr>
        <w:t xml:space="preserve"> </w:t>
      </w:r>
      <w:r>
        <w:t>plan</w:t>
      </w:r>
      <w:r>
        <w:rPr>
          <w:spacing w:val="-2"/>
        </w:rPr>
        <w:t xml:space="preserve"> </w:t>
      </w:r>
      <w:r>
        <w:t>002</w:t>
      </w:r>
      <w:r>
        <w:rPr>
          <w:spacing w:val="-2"/>
        </w:rPr>
        <w:t xml:space="preserve"> </w:t>
      </w:r>
      <w:r>
        <w:t>in</w:t>
      </w:r>
      <w:r>
        <w:rPr>
          <w:spacing w:val="-2"/>
        </w:rPr>
        <w:t xml:space="preserve"> </w:t>
      </w:r>
      <w:r>
        <w:t>CY2024. In CY2025, 50 beneficiaries stayed in plan 001 and 50 beneficiaries were crosswalked into plan 002 via MARx enrollment transactions. In CY2026, 25 beneficiaries stayed in plan 001 and 25 beneficiaries were crosswalked into plan 002 via MARx enrollment</w:t>
      </w:r>
      <w:r>
        <w:rPr>
          <w:spacing w:val="-4"/>
        </w:rPr>
        <w:t xml:space="preserve"> </w:t>
      </w:r>
      <w:r>
        <w:t>transactions.</w:t>
      </w:r>
      <w:r>
        <w:rPr>
          <w:spacing w:val="-1"/>
        </w:rPr>
        <w:t xml:space="preserve"> </w:t>
      </w:r>
      <w:r>
        <w:t>Base</w:t>
      </w:r>
      <w:r>
        <w:rPr>
          <w:spacing w:val="-5"/>
        </w:rPr>
        <w:t xml:space="preserve"> </w:t>
      </w:r>
      <w:r>
        <w:t>period</w:t>
      </w:r>
      <w:r>
        <w:rPr>
          <w:spacing w:val="-4"/>
        </w:rPr>
        <w:t xml:space="preserve"> </w:t>
      </w:r>
      <w:r>
        <w:t>experience</w:t>
      </w:r>
      <w:r>
        <w:rPr>
          <w:spacing w:val="-3"/>
        </w:rPr>
        <w:t xml:space="preserve"> </w:t>
      </w:r>
      <w:r>
        <w:t>must</w:t>
      </w:r>
      <w:r>
        <w:rPr>
          <w:spacing w:val="-4"/>
        </w:rPr>
        <w:t xml:space="preserve"> </w:t>
      </w:r>
      <w:r>
        <w:t>be</w:t>
      </w:r>
      <w:r>
        <w:rPr>
          <w:spacing w:val="-5"/>
        </w:rPr>
        <w:t xml:space="preserve"> </w:t>
      </w:r>
      <w:r>
        <w:t>reported</w:t>
      </w:r>
      <w:r>
        <w:rPr>
          <w:spacing w:val="-4"/>
        </w:rPr>
        <w:t xml:space="preserve"> </w:t>
      </w:r>
      <w:r>
        <w:t>on</w:t>
      </w:r>
      <w:r>
        <w:rPr>
          <w:spacing w:val="-4"/>
        </w:rPr>
        <w:t xml:space="preserve"> </w:t>
      </w:r>
      <w:r>
        <w:t>Worksheet</w:t>
      </w:r>
      <w:r>
        <w:rPr>
          <w:spacing w:val="-4"/>
        </w:rPr>
        <w:t xml:space="preserve"> </w:t>
      </w:r>
      <w:r>
        <w:t>1</w:t>
      </w:r>
      <w:r>
        <w:rPr>
          <w:spacing w:val="-4"/>
        </w:rPr>
        <w:t xml:space="preserve"> </w:t>
      </w:r>
      <w:r>
        <w:t>of the CY2026 BPT as follows:</w:t>
      </w:r>
    </w:p>
    <w:p>
      <w:pPr>
        <w:pStyle w:val="ListParagraph"/>
        <w:numPr>
          <w:ilvl w:val="1"/>
          <w:numId w:val="14"/>
        </w:numPr>
        <w:tabs>
          <w:tab w:val="left" w:pos="1664"/>
        </w:tabs>
        <w:spacing w:before="121" w:after="0" w:line="240" w:lineRule="auto"/>
        <w:ind w:left="1664" w:right="0" w:hanging="360"/>
        <w:jc w:val="left"/>
        <w:rPr>
          <w:sz w:val="24"/>
        </w:rPr>
      </w:pPr>
      <w:r>
        <w:rPr>
          <w:sz w:val="24"/>
        </w:rPr>
        <w:t>For</w:t>
      </w:r>
      <w:r>
        <w:rPr>
          <w:spacing w:val="-1"/>
          <w:sz w:val="24"/>
        </w:rPr>
        <w:t xml:space="preserve"> </w:t>
      </w:r>
      <w:r>
        <w:rPr>
          <w:sz w:val="24"/>
        </w:rPr>
        <w:t>plan</w:t>
      </w:r>
      <w:r>
        <w:rPr>
          <w:spacing w:val="-1"/>
          <w:sz w:val="24"/>
        </w:rPr>
        <w:t xml:space="preserve"> </w:t>
      </w:r>
      <w:r>
        <w:rPr>
          <w:sz w:val="24"/>
        </w:rPr>
        <w:t>001, report</w:t>
      </w:r>
      <w:r>
        <w:rPr>
          <w:spacing w:val="-1"/>
          <w:sz w:val="24"/>
        </w:rPr>
        <w:t xml:space="preserve"> </w:t>
      </w:r>
      <w:r>
        <w:rPr>
          <w:sz w:val="24"/>
        </w:rPr>
        <w:t>base</w:t>
      </w:r>
      <w:r>
        <w:rPr>
          <w:spacing w:val="1"/>
          <w:sz w:val="24"/>
        </w:rPr>
        <w:t xml:space="preserve"> </w:t>
      </w:r>
      <w:r>
        <w:rPr>
          <w:sz w:val="24"/>
        </w:rPr>
        <w:t>period</w:t>
      </w:r>
      <w:r>
        <w:rPr>
          <w:spacing w:val="-1"/>
          <w:sz w:val="24"/>
        </w:rPr>
        <w:t xml:space="preserve"> </w:t>
      </w:r>
      <w:r>
        <w:rPr>
          <w:sz w:val="24"/>
        </w:rPr>
        <w:t>experience</w:t>
      </w:r>
      <w:r>
        <w:rPr>
          <w:spacing w:val="-1"/>
          <w:sz w:val="24"/>
        </w:rPr>
        <w:t xml:space="preserve"> </w:t>
      </w:r>
      <w:r>
        <w:rPr>
          <w:sz w:val="24"/>
        </w:rPr>
        <w:t>for</w:t>
      </w:r>
      <w:r>
        <w:rPr>
          <w:spacing w:val="-3"/>
          <w:sz w:val="24"/>
        </w:rPr>
        <w:t xml:space="preserve"> </w:t>
      </w:r>
      <w:r>
        <w:rPr>
          <w:sz w:val="24"/>
        </w:rPr>
        <w:t>plan</w:t>
      </w:r>
      <w:r>
        <w:rPr>
          <w:spacing w:val="1"/>
          <w:sz w:val="24"/>
        </w:rPr>
        <w:t xml:space="preserve"> </w:t>
      </w:r>
      <w:r>
        <w:rPr>
          <w:sz w:val="24"/>
        </w:rPr>
        <w:t>001</w:t>
      </w:r>
      <w:r>
        <w:rPr>
          <w:spacing w:val="-1"/>
          <w:sz w:val="24"/>
        </w:rPr>
        <w:t xml:space="preserve"> </w:t>
      </w:r>
      <w:r>
        <w:rPr>
          <w:sz w:val="24"/>
        </w:rPr>
        <w:t xml:space="preserve">(Rule </w:t>
      </w:r>
      <w:r>
        <w:rPr>
          <w:spacing w:val="-5"/>
          <w:sz w:val="24"/>
        </w:rPr>
        <w:t>3).</w:t>
      </w:r>
    </w:p>
    <w:p>
      <w:pPr>
        <w:pStyle w:val="ListParagraph"/>
        <w:numPr>
          <w:ilvl w:val="1"/>
          <w:numId w:val="14"/>
        </w:numPr>
        <w:tabs>
          <w:tab w:val="left" w:pos="1664"/>
        </w:tabs>
        <w:spacing w:before="0" w:after="0" w:line="240" w:lineRule="auto"/>
        <w:ind w:left="1664" w:right="1048" w:hanging="360"/>
        <w:jc w:val="left"/>
        <w:rPr>
          <w:sz w:val="24"/>
        </w:rPr>
      </w:pPr>
      <w:r>
        <w:rPr>
          <w:sz w:val="24"/>
        </w:rPr>
        <w:t>For</w:t>
      </w:r>
      <w:r>
        <w:rPr>
          <w:spacing w:val="-3"/>
          <w:sz w:val="24"/>
        </w:rPr>
        <w:t xml:space="preserve"> </w:t>
      </w:r>
      <w:r>
        <w:rPr>
          <w:sz w:val="24"/>
        </w:rPr>
        <w:t>plan</w:t>
      </w:r>
      <w:r>
        <w:rPr>
          <w:spacing w:val="-3"/>
          <w:sz w:val="24"/>
        </w:rPr>
        <w:t xml:space="preserve"> </w:t>
      </w:r>
      <w:r>
        <w:rPr>
          <w:sz w:val="24"/>
        </w:rPr>
        <w:t>002,</w:t>
      </w:r>
      <w:r>
        <w:rPr>
          <w:spacing w:val="-3"/>
          <w:sz w:val="24"/>
        </w:rPr>
        <w:t xml:space="preserve"> </w:t>
      </w:r>
      <w:r>
        <w:rPr>
          <w:sz w:val="24"/>
        </w:rPr>
        <w:t>report</w:t>
      </w:r>
      <w:r>
        <w:rPr>
          <w:spacing w:val="-3"/>
          <w:sz w:val="24"/>
        </w:rPr>
        <w:t xml:space="preserve"> </w:t>
      </w:r>
      <w:r>
        <w:rPr>
          <w:sz w:val="24"/>
        </w:rPr>
        <w:t>base</w:t>
      </w:r>
      <w:r>
        <w:rPr>
          <w:spacing w:val="-2"/>
          <w:sz w:val="24"/>
        </w:rPr>
        <w:t xml:space="preserve"> </w:t>
      </w:r>
      <w:r>
        <w:rPr>
          <w:sz w:val="24"/>
        </w:rPr>
        <w:t>period</w:t>
      </w:r>
      <w:r>
        <w:rPr>
          <w:spacing w:val="-3"/>
          <w:sz w:val="24"/>
        </w:rPr>
        <w:t xml:space="preserve"> </w:t>
      </w:r>
      <w:r>
        <w:rPr>
          <w:sz w:val="24"/>
        </w:rPr>
        <w:t>experience</w:t>
      </w:r>
      <w:r>
        <w:rPr>
          <w:spacing w:val="-4"/>
          <w:sz w:val="24"/>
        </w:rPr>
        <w:t xml:space="preserve"> </w:t>
      </w:r>
      <w:r>
        <w:rPr>
          <w:sz w:val="24"/>
        </w:rPr>
        <w:t>for</w:t>
      </w:r>
      <w:r>
        <w:rPr>
          <w:spacing w:val="-5"/>
          <w:sz w:val="24"/>
        </w:rPr>
        <w:t xml:space="preserve"> </w:t>
      </w:r>
      <w:r>
        <w:rPr>
          <w:sz w:val="24"/>
        </w:rPr>
        <w:t>plans</w:t>
      </w:r>
      <w:r>
        <w:rPr>
          <w:spacing w:val="-3"/>
          <w:sz w:val="24"/>
        </w:rPr>
        <w:t xml:space="preserve"> </w:t>
      </w:r>
      <w:r>
        <w:rPr>
          <w:sz w:val="24"/>
        </w:rPr>
        <w:t>001</w:t>
      </w:r>
      <w:r>
        <w:rPr>
          <w:spacing w:val="-3"/>
          <w:sz w:val="24"/>
        </w:rPr>
        <w:t xml:space="preserve"> </w:t>
      </w:r>
      <w:r>
        <w:rPr>
          <w:sz w:val="24"/>
        </w:rPr>
        <w:t>and</w:t>
      </w:r>
      <w:r>
        <w:rPr>
          <w:spacing w:val="-3"/>
          <w:sz w:val="24"/>
        </w:rPr>
        <w:t xml:space="preserve"> </w:t>
      </w:r>
      <w:r>
        <w:rPr>
          <w:sz w:val="24"/>
        </w:rPr>
        <w:t>002</w:t>
      </w:r>
      <w:r>
        <w:rPr>
          <w:spacing w:val="-3"/>
          <w:sz w:val="24"/>
        </w:rPr>
        <w:t xml:space="preserve"> </w:t>
      </w:r>
      <w:r>
        <w:rPr>
          <w:sz w:val="24"/>
        </w:rPr>
        <w:t>(Rule</w:t>
      </w:r>
      <w:r>
        <w:rPr>
          <w:spacing w:val="-3"/>
          <w:sz w:val="24"/>
        </w:rPr>
        <w:t xml:space="preserve"> </w:t>
      </w:r>
      <w:r>
        <w:rPr>
          <w:sz w:val="24"/>
        </w:rPr>
        <w:t>1, Rule 3, and Rule 4).</w:t>
      </w:r>
    </w:p>
    <w:p>
      <w:pPr>
        <w:spacing w:after="0" w:line="240" w:lineRule="auto"/>
        <w:jc w:val="left"/>
        <w:rPr>
          <w:sz w:val="24"/>
        </w:rPr>
        <w:sectPr>
          <w:pgSz w:w="12240" w:h="15840"/>
          <w:pgMar w:top="1340" w:right="1000" w:bottom="940" w:left="1360" w:header="727" w:footer="747"/>
          <w:cols w:space="720"/>
        </w:sectPr>
      </w:pPr>
    </w:p>
    <w:p>
      <w:pPr>
        <w:spacing w:before="87"/>
        <w:ind w:left="944" w:right="0" w:firstLine="0"/>
        <w:jc w:val="left"/>
        <w:rPr>
          <w:rFonts w:ascii="Arial"/>
          <w:b/>
          <w:i/>
          <w:sz w:val="21"/>
        </w:rPr>
      </w:pPr>
      <w:r>
        <w:rPr>
          <w:rFonts w:ascii="Arial"/>
          <w:b/>
          <w:i/>
          <w:sz w:val="21"/>
        </w:rPr>
        <w:t>PDE</w:t>
      </w:r>
      <w:r>
        <w:rPr>
          <w:rFonts w:ascii="Arial"/>
          <w:b/>
          <w:i/>
          <w:spacing w:val="-5"/>
          <w:sz w:val="21"/>
        </w:rPr>
        <w:t xml:space="preserve"> </w:t>
      </w:r>
      <w:r>
        <w:rPr>
          <w:rFonts w:ascii="Arial"/>
          <w:b/>
          <w:i/>
          <w:spacing w:val="-2"/>
          <w:sz w:val="21"/>
        </w:rPr>
        <w:t>Mapping</w:t>
      </w:r>
    </w:p>
    <w:p>
      <w:pPr>
        <w:pStyle w:val="BodyText"/>
        <w:spacing w:before="121"/>
      </w:pPr>
      <w:r>
        <w:t>A</w:t>
      </w:r>
      <w:r>
        <w:rPr>
          <w:spacing w:val="-1"/>
        </w:rPr>
        <w:t xml:space="preserve"> </w:t>
      </w:r>
      <w:r>
        <w:t>mapping</w:t>
      </w:r>
      <w:r>
        <w:rPr>
          <w:spacing w:val="-1"/>
        </w:rPr>
        <w:t xml:space="preserve"> </w:t>
      </w:r>
      <w:r>
        <w:t>of</w:t>
      </w:r>
      <w:r>
        <w:rPr>
          <w:spacing w:val="-1"/>
        </w:rPr>
        <w:t xml:space="preserve"> </w:t>
      </w:r>
      <w:r>
        <w:t>PDE</w:t>
      </w:r>
      <w:r>
        <w:rPr>
          <w:spacing w:val="-1"/>
        </w:rPr>
        <w:t xml:space="preserve"> </w:t>
      </w:r>
      <w:r>
        <w:t>fields</w:t>
      </w:r>
      <w:r>
        <w:rPr>
          <w:spacing w:val="1"/>
        </w:rPr>
        <w:t xml:space="preserve"> </w:t>
      </w:r>
      <w:r>
        <w:t>to</w:t>
      </w:r>
      <w:r>
        <w:rPr>
          <w:spacing w:val="-1"/>
        </w:rPr>
        <w:t xml:space="preserve"> </w:t>
      </w:r>
      <w:r>
        <w:t>required BPT inputs</w:t>
      </w:r>
      <w:r>
        <w:rPr>
          <w:spacing w:val="-1"/>
        </w:rPr>
        <w:t xml:space="preserve"> </w:t>
      </w:r>
      <w:r>
        <w:t>is</w:t>
      </w:r>
      <w:r>
        <w:rPr>
          <w:spacing w:val="-1"/>
        </w:rPr>
        <w:t xml:space="preserve"> </w:t>
      </w:r>
      <w:r>
        <w:t>provided in</w:t>
      </w:r>
      <w:r>
        <w:rPr>
          <w:spacing w:val="-1"/>
        </w:rPr>
        <w:t xml:space="preserve"> </w:t>
      </w:r>
      <w:r>
        <w:t>the</w:t>
      </w:r>
      <w:r>
        <w:rPr>
          <w:spacing w:val="-1"/>
        </w:rPr>
        <w:t xml:space="preserve"> </w:t>
      </w:r>
      <w:r>
        <w:t xml:space="preserve">following </w:t>
      </w:r>
      <w:r>
        <w:rPr>
          <w:spacing w:val="-2"/>
        </w:rPr>
        <w:t>table.</w:t>
      </w:r>
    </w:p>
    <w:p>
      <w:pPr>
        <w:spacing w:before="239"/>
        <w:ind w:left="3563" w:right="1781" w:hanging="1875"/>
        <w:jc w:val="left"/>
        <w:rPr>
          <w:b/>
          <w:sz w:val="22"/>
        </w:rPr>
      </w:pPr>
      <w:r>
        <w:rPr>
          <w:b/>
          <w:sz w:val="22"/>
        </w:rPr>
        <w:t>Mapping</w:t>
      </w:r>
      <w:r>
        <w:rPr>
          <w:b/>
          <w:spacing w:val="-6"/>
          <w:sz w:val="22"/>
        </w:rPr>
        <w:t xml:space="preserve"> </w:t>
      </w:r>
      <w:r>
        <w:rPr>
          <w:b/>
          <w:sz w:val="22"/>
        </w:rPr>
        <w:t>of</w:t>
      </w:r>
      <w:r>
        <w:rPr>
          <w:b/>
          <w:spacing w:val="-4"/>
          <w:sz w:val="22"/>
        </w:rPr>
        <w:t xml:space="preserve"> </w:t>
      </w:r>
      <w:r>
        <w:rPr>
          <w:b/>
          <w:sz w:val="22"/>
        </w:rPr>
        <w:t>Prescription</w:t>
      </w:r>
      <w:r>
        <w:rPr>
          <w:b/>
          <w:spacing w:val="-10"/>
          <w:sz w:val="22"/>
        </w:rPr>
        <w:t xml:space="preserve"> </w:t>
      </w:r>
      <w:r>
        <w:rPr>
          <w:b/>
          <w:sz w:val="22"/>
        </w:rPr>
        <w:t>Drug</w:t>
      </w:r>
      <w:r>
        <w:rPr>
          <w:b/>
          <w:spacing w:val="-4"/>
          <w:sz w:val="22"/>
        </w:rPr>
        <w:t xml:space="preserve"> </w:t>
      </w:r>
      <w:r>
        <w:rPr>
          <w:b/>
          <w:sz w:val="22"/>
        </w:rPr>
        <w:t>Events</w:t>
      </w:r>
      <w:r>
        <w:rPr>
          <w:b/>
          <w:spacing w:val="-4"/>
          <w:sz w:val="22"/>
        </w:rPr>
        <w:t xml:space="preserve"> </w:t>
      </w:r>
      <w:r>
        <w:rPr>
          <w:b/>
          <w:sz w:val="22"/>
        </w:rPr>
        <w:t>to</w:t>
      </w:r>
      <w:r>
        <w:rPr>
          <w:b/>
          <w:spacing w:val="-1"/>
          <w:sz w:val="22"/>
        </w:rPr>
        <w:t xml:space="preserve"> </w:t>
      </w:r>
      <w:r>
        <w:rPr>
          <w:b/>
          <w:sz w:val="22"/>
        </w:rPr>
        <w:t>Part</w:t>
      </w:r>
      <w:r>
        <w:rPr>
          <w:b/>
          <w:spacing w:val="-3"/>
          <w:sz w:val="22"/>
        </w:rPr>
        <w:t xml:space="preserve"> </w:t>
      </w:r>
      <w:r>
        <w:rPr>
          <w:b/>
          <w:sz w:val="22"/>
        </w:rPr>
        <w:t>D</w:t>
      </w:r>
      <w:r>
        <w:rPr>
          <w:b/>
          <w:spacing w:val="-5"/>
          <w:sz w:val="22"/>
        </w:rPr>
        <w:t xml:space="preserve"> </w:t>
      </w:r>
      <w:r>
        <w:rPr>
          <w:b/>
          <w:sz w:val="22"/>
        </w:rPr>
        <w:t>Claims</w:t>
      </w:r>
      <w:r>
        <w:rPr>
          <w:b/>
          <w:spacing w:val="-4"/>
          <w:sz w:val="22"/>
        </w:rPr>
        <w:t xml:space="preserve"> </w:t>
      </w:r>
      <w:r>
        <w:rPr>
          <w:b/>
          <w:sz w:val="22"/>
        </w:rPr>
        <w:t>Experience in Worksheet 1, Section III</w:t>
      </w:r>
    </w:p>
    <w:p>
      <w:pPr>
        <w:pStyle w:val="BodyText"/>
        <w:spacing w:before="4" w:after="1"/>
        <w:ind w:left="0"/>
        <w:rPr>
          <w:b/>
          <w:sz w:val="10"/>
        </w:rPr>
      </w:pPr>
    </w:p>
    <w:tbl>
      <w:tblPr>
        <w:tblStyle w:val="TableNormal"/>
        <w:tblW w:w="0" w:type="auto"/>
        <w:jc w:val="left"/>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3450"/>
        <w:gridCol w:w="3646"/>
      </w:tblGrid>
      <w:tr>
        <w:tblPrEx>
          <w:tblW w:w="0" w:type="auto"/>
          <w:jc w:val="left"/>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21"/>
          <w:jc w:val="left"/>
        </w:trPr>
        <w:tc>
          <w:tcPr>
            <w:tcW w:w="991" w:type="dxa"/>
          </w:tcPr>
          <w:p>
            <w:pPr>
              <w:pStyle w:val="TableParagraph"/>
              <w:spacing w:before="49" w:line="252" w:lineRule="exact"/>
              <w:ind w:left="9"/>
              <w:jc w:val="center"/>
              <w:rPr>
                <w:b/>
                <w:sz w:val="22"/>
              </w:rPr>
            </w:pPr>
            <w:r>
              <w:rPr>
                <w:b/>
                <w:spacing w:val="-2"/>
                <w:sz w:val="22"/>
              </w:rPr>
              <w:t>Column</w:t>
            </w:r>
          </w:p>
        </w:tc>
        <w:tc>
          <w:tcPr>
            <w:tcW w:w="3450" w:type="dxa"/>
          </w:tcPr>
          <w:p>
            <w:pPr>
              <w:pStyle w:val="TableParagraph"/>
              <w:spacing w:before="49" w:line="252" w:lineRule="exact"/>
              <w:ind w:left="6"/>
              <w:jc w:val="center"/>
              <w:rPr>
                <w:b/>
                <w:sz w:val="22"/>
              </w:rPr>
            </w:pPr>
            <w:r>
              <w:rPr>
                <w:b/>
                <w:sz w:val="22"/>
              </w:rPr>
              <w:t>Field</w:t>
            </w:r>
            <w:r>
              <w:rPr>
                <w:b/>
                <w:spacing w:val="-2"/>
                <w:sz w:val="22"/>
              </w:rPr>
              <w:t xml:space="preserve"> </w:t>
            </w:r>
            <w:r>
              <w:rPr>
                <w:b/>
                <w:spacing w:val="-4"/>
                <w:sz w:val="22"/>
              </w:rPr>
              <w:t>Name</w:t>
            </w:r>
          </w:p>
        </w:tc>
        <w:tc>
          <w:tcPr>
            <w:tcW w:w="3646" w:type="dxa"/>
          </w:tcPr>
          <w:p>
            <w:pPr>
              <w:pStyle w:val="TableParagraph"/>
              <w:spacing w:before="49" w:line="252" w:lineRule="exact"/>
              <w:ind w:left="503"/>
              <w:rPr>
                <w:b/>
                <w:sz w:val="22"/>
              </w:rPr>
            </w:pPr>
            <w:r>
              <w:rPr>
                <w:b/>
                <w:sz w:val="22"/>
              </w:rPr>
              <w:t>PDE</w:t>
            </w:r>
            <w:r>
              <w:rPr>
                <w:b/>
                <w:spacing w:val="-5"/>
                <w:sz w:val="22"/>
              </w:rPr>
              <w:t xml:space="preserve"> </w:t>
            </w:r>
            <w:r>
              <w:rPr>
                <w:b/>
                <w:sz w:val="22"/>
              </w:rPr>
              <w:t>Reference</w:t>
            </w:r>
            <w:r>
              <w:rPr>
                <w:b/>
                <w:spacing w:val="-4"/>
                <w:sz w:val="22"/>
              </w:rPr>
              <w:t xml:space="preserve"> </w:t>
            </w:r>
            <w:r>
              <w:rPr>
                <w:b/>
                <w:spacing w:val="-2"/>
                <w:sz w:val="22"/>
              </w:rPr>
              <w:t>Information</w:t>
            </w:r>
          </w:p>
        </w:tc>
      </w:tr>
      <w:tr>
        <w:tblPrEx>
          <w:tblW w:w="0" w:type="auto"/>
          <w:jc w:val="left"/>
          <w:tblInd w:w="949" w:type="dxa"/>
          <w:tblLayout w:type="fixed"/>
          <w:tblCellMar>
            <w:top w:w="0" w:type="dxa"/>
            <w:left w:w="0" w:type="dxa"/>
            <w:bottom w:w="0" w:type="dxa"/>
            <w:right w:w="0" w:type="dxa"/>
          </w:tblCellMar>
          <w:tblLook w:val="01E0"/>
        </w:tblPrEx>
        <w:trPr>
          <w:trHeight w:val="798"/>
          <w:jc w:val="left"/>
        </w:trPr>
        <w:tc>
          <w:tcPr>
            <w:tcW w:w="991" w:type="dxa"/>
          </w:tcPr>
          <w:p>
            <w:pPr>
              <w:pStyle w:val="TableParagraph"/>
              <w:spacing w:line="251" w:lineRule="exact"/>
              <w:ind w:left="9"/>
              <w:jc w:val="center"/>
              <w:rPr>
                <w:sz w:val="22"/>
              </w:rPr>
            </w:pPr>
            <w:r>
              <w:rPr>
                <w:spacing w:val="-5"/>
                <w:sz w:val="22"/>
              </w:rPr>
              <w:t>(f)</w:t>
            </w:r>
          </w:p>
        </w:tc>
        <w:tc>
          <w:tcPr>
            <w:tcW w:w="3450" w:type="dxa"/>
          </w:tcPr>
          <w:p>
            <w:pPr>
              <w:pStyle w:val="TableParagraph"/>
              <w:spacing w:before="1"/>
              <w:ind w:left="105"/>
              <w:rPr>
                <w:sz w:val="22"/>
              </w:rPr>
            </w:pPr>
            <w:r>
              <w:rPr>
                <w:sz w:val="22"/>
              </w:rPr>
              <w:t>Total</w:t>
            </w:r>
            <w:r>
              <w:rPr>
                <w:spacing w:val="-3"/>
                <w:sz w:val="22"/>
              </w:rPr>
              <w:t xml:space="preserve"> </w:t>
            </w:r>
            <w:r>
              <w:rPr>
                <w:sz w:val="22"/>
              </w:rPr>
              <w:t>Number</w:t>
            </w:r>
            <w:r>
              <w:rPr>
                <w:spacing w:val="-2"/>
                <w:sz w:val="22"/>
              </w:rPr>
              <w:t xml:space="preserve"> </w:t>
            </w:r>
            <w:r>
              <w:rPr>
                <w:sz w:val="22"/>
              </w:rPr>
              <w:t>of</w:t>
            </w:r>
            <w:r>
              <w:rPr>
                <w:spacing w:val="-1"/>
                <w:sz w:val="22"/>
              </w:rPr>
              <w:t xml:space="preserve"> </w:t>
            </w:r>
            <w:r>
              <w:rPr>
                <w:spacing w:val="-2"/>
                <w:sz w:val="22"/>
              </w:rPr>
              <w:t>Scripts</w:t>
            </w:r>
          </w:p>
        </w:tc>
        <w:tc>
          <w:tcPr>
            <w:tcW w:w="3646" w:type="dxa"/>
          </w:tcPr>
          <w:p>
            <w:pPr>
              <w:pStyle w:val="TableParagraph"/>
              <w:spacing w:before="23" w:line="252" w:lineRule="exact"/>
              <w:ind w:right="137"/>
              <w:rPr>
                <w:sz w:val="22"/>
              </w:rPr>
            </w:pPr>
            <w:r>
              <w:rPr>
                <w:sz w:val="22"/>
              </w:rPr>
              <w:t>Count # of PDEs where (Ingredient Cost + Dispensing Fee + Sales Tax + Vaccine</w:t>
            </w:r>
            <w:r>
              <w:rPr>
                <w:spacing w:val="-8"/>
                <w:sz w:val="22"/>
              </w:rPr>
              <w:t xml:space="preserve"> </w:t>
            </w:r>
            <w:r>
              <w:rPr>
                <w:sz w:val="22"/>
              </w:rPr>
              <w:t>Administration</w:t>
            </w:r>
            <w:r>
              <w:rPr>
                <w:spacing w:val="-8"/>
                <w:sz w:val="22"/>
              </w:rPr>
              <w:t xml:space="preserve"> </w:t>
            </w:r>
            <w:r>
              <w:rPr>
                <w:sz w:val="22"/>
              </w:rPr>
              <w:t>Fee)</w:t>
            </w:r>
            <w:r>
              <w:rPr>
                <w:spacing w:val="-8"/>
                <w:sz w:val="22"/>
              </w:rPr>
              <w:t xml:space="preserve"> </w:t>
            </w:r>
            <w:r>
              <w:rPr>
                <w:sz w:val="22"/>
              </w:rPr>
              <w:t>&gt;=</w:t>
            </w:r>
            <w:r>
              <w:rPr>
                <w:spacing w:val="-10"/>
                <w:sz w:val="22"/>
              </w:rPr>
              <w:t xml:space="preserve"> </w:t>
            </w:r>
            <w:r>
              <w:rPr>
                <w:sz w:val="22"/>
              </w:rPr>
              <w:t>Zero</w:t>
            </w:r>
          </w:p>
        </w:tc>
      </w:tr>
      <w:tr>
        <w:tblPrEx>
          <w:tblW w:w="0" w:type="auto"/>
          <w:jc w:val="left"/>
          <w:tblInd w:w="949" w:type="dxa"/>
          <w:tblLayout w:type="fixed"/>
          <w:tblCellMar>
            <w:top w:w="0" w:type="dxa"/>
            <w:left w:w="0" w:type="dxa"/>
            <w:bottom w:w="0" w:type="dxa"/>
            <w:right w:w="0" w:type="dxa"/>
          </w:tblCellMar>
          <w:tblLook w:val="01E0"/>
        </w:tblPrEx>
        <w:trPr>
          <w:trHeight w:val="798"/>
          <w:jc w:val="left"/>
        </w:trPr>
        <w:tc>
          <w:tcPr>
            <w:tcW w:w="991" w:type="dxa"/>
          </w:tcPr>
          <w:p>
            <w:pPr>
              <w:pStyle w:val="TableParagraph"/>
              <w:spacing w:line="251" w:lineRule="exact"/>
              <w:ind w:left="9" w:right="3"/>
              <w:jc w:val="center"/>
              <w:rPr>
                <w:sz w:val="22"/>
              </w:rPr>
            </w:pPr>
            <w:r>
              <w:rPr>
                <w:spacing w:val="-5"/>
                <w:sz w:val="22"/>
              </w:rPr>
              <w:t>(g)</w:t>
            </w:r>
          </w:p>
        </w:tc>
        <w:tc>
          <w:tcPr>
            <w:tcW w:w="3450" w:type="dxa"/>
          </w:tcPr>
          <w:p>
            <w:pPr>
              <w:pStyle w:val="TableParagraph"/>
              <w:spacing w:before="1"/>
              <w:ind w:left="105"/>
              <w:rPr>
                <w:sz w:val="22"/>
              </w:rPr>
            </w:pPr>
            <w:r>
              <w:rPr>
                <w:sz w:val="22"/>
              </w:rPr>
              <w:t>Total</w:t>
            </w:r>
            <w:r>
              <w:rPr>
                <w:spacing w:val="-4"/>
                <w:sz w:val="22"/>
              </w:rPr>
              <w:t xml:space="preserve"> </w:t>
            </w:r>
            <w:r>
              <w:rPr>
                <w:sz w:val="22"/>
              </w:rPr>
              <w:t>Allowed</w:t>
            </w:r>
            <w:r>
              <w:rPr>
                <w:spacing w:val="-3"/>
                <w:sz w:val="22"/>
              </w:rPr>
              <w:t xml:space="preserve"> </w:t>
            </w:r>
            <w:r>
              <w:rPr>
                <w:spacing w:val="-2"/>
                <w:sz w:val="22"/>
              </w:rPr>
              <w:t>Dollars</w:t>
            </w:r>
          </w:p>
        </w:tc>
        <w:tc>
          <w:tcPr>
            <w:tcW w:w="3646" w:type="dxa"/>
          </w:tcPr>
          <w:p>
            <w:pPr>
              <w:pStyle w:val="TableParagraph"/>
              <w:spacing w:before="23" w:line="252" w:lineRule="exact"/>
              <w:rPr>
                <w:sz w:val="22"/>
              </w:rPr>
            </w:pPr>
            <w:r>
              <w:rPr>
                <w:sz w:val="22"/>
              </w:rPr>
              <w:t>Σ</w:t>
            </w:r>
            <w:r>
              <w:rPr>
                <w:spacing w:val="-5"/>
                <w:sz w:val="22"/>
              </w:rPr>
              <w:t xml:space="preserve"> </w:t>
            </w:r>
            <w:r>
              <w:rPr>
                <w:sz w:val="22"/>
              </w:rPr>
              <w:t>(Ingredient</w:t>
            </w:r>
            <w:r>
              <w:rPr>
                <w:spacing w:val="-7"/>
                <w:sz w:val="22"/>
              </w:rPr>
              <w:t xml:space="preserve"> </w:t>
            </w:r>
            <w:r>
              <w:rPr>
                <w:sz w:val="22"/>
              </w:rPr>
              <w:t>Cost</w:t>
            </w:r>
            <w:r>
              <w:rPr>
                <w:spacing w:val="-7"/>
                <w:sz w:val="22"/>
              </w:rPr>
              <w:t xml:space="preserve"> </w:t>
            </w:r>
            <w:r>
              <w:rPr>
                <w:sz w:val="22"/>
              </w:rPr>
              <w:t>+</w:t>
            </w:r>
            <w:r>
              <w:rPr>
                <w:spacing w:val="-6"/>
                <w:sz w:val="22"/>
              </w:rPr>
              <w:t xml:space="preserve"> </w:t>
            </w:r>
            <w:r>
              <w:rPr>
                <w:sz w:val="22"/>
              </w:rPr>
              <w:t>Dispensing</w:t>
            </w:r>
            <w:r>
              <w:rPr>
                <w:spacing w:val="-6"/>
                <w:sz w:val="22"/>
              </w:rPr>
              <w:t xml:space="preserve"> </w:t>
            </w:r>
            <w:r>
              <w:rPr>
                <w:sz w:val="22"/>
              </w:rPr>
              <w:t>Fee</w:t>
            </w:r>
            <w:r>
              <w:rPr>
                <w:spacing w:val="-6"/>
                <w:sz w:val="22"/>
              </w:rPr>
              <w:t xml:space="preserve"> </w:t>
            </w:r>
            <w:r>
              <w:rPr>
                <w:sz w:val="22"/>
              </w:rPr>
              <w:t xml:space="preserve">+ Sales Tax + Vaccine Administration </w:t>
            </w:r>
            <w:r>
              <w:rPr>
                <w:spacing w:val="-4"/>
                <w:sz w:val="22"/>
              </w:rPr>
              <w:t>Fee)</w:t>
            </w:r>
          </w:p>
        </w:tc>
      </w:tr>
      <w:tr>
        <w:tblPrEx>
          <w:tblW w:w="0" w:type="auto"/>
          <w:jc w:val="left"/>
          <w:tblInd w:w="949" w:type="dxa"/>
          <w:tblLayout w:type="fixed"/>
          <w:tblCellMar>
            <w:top w:w="0" w:type="dxa"/>
            <w:left w:w="0" w:type="dxa"/>
            <w:bottom w:w="0" w:type="dxa"/>
            <w:right w:w="0" w:type="dxa"/>
          </w:tblCellMar>
          <w:tblLook w:val="01E0"/>
        </w:tblPrEx>
        <w:trPr>
          <w:trHeight w:val="1051"/>
          <w:jc w:val="left"/>
        </w:trPr>
        <w:tc>
          <w:tcPr>
            <w:tcW w:w="991" w:type="dxa"/>
          </w:tcPr>
          <w:p>
            <w:pPr>
              <w:pStyle w:val="TableParagraph"/>
              <w:spacing w:line="252" w:lineRule="exact"/>
              <w:ind w:left="9" w:right="2"/>
              <w:jc w:val="center"/>
              <w:rPr>
                <w:sz w:val="22"/>
              </w:rPr>
            </w:pPr>
            <w:r>
              <w:rPr>
                <w:spacing w:val="-5"/>
                <w:sz w:val="22"/>
              </w:rPr>
              <w:t>(i)</w:t>
            </w:r>
          </w:p>
        </w:tc>
        <w:tc>
          <w:tcPr>
            <w:tcW w:w="3450" w:type="dxa"/>
          </w:tcPr>
          <w:p>
            <w:pPr>
              <w:pStyle w:val="TableParagraph"/>
              <w:spacing w:before="1"/>
              <w:ind w:left="105"/>
              <w:rPr>
                <w:sz w:val="22"/>
              </w:rPr>
            </w:pPr>
            <w:r>
              <w:rPr>
                <w:sz w:val="22"/>
              </w:rPr>
              <w:t>Average</w:t>
            </w:r>
            <w:r>
              <w:rPr>
                <w:spacing w:val="-4"/>
                <w:sz w:val="22"/>
              </w:rPr>
              <w:t xml:space="preserve"> </w:t>
            </w:r>
            <w:r>
              <w:rPr>
                <w:sz w:val="22"/>
              </w:rPr>
              <w:t>Paid</w:t>
            </w:r>
            <w:r>
              <w:rPr>
                <w:spacing w:val="-3"/>
                <w:sz w:val="22"/>
              </w:rPr>
              <w:t xml:space="preserve"> </w:t>
            </w:r>
            <w:r>
              <w:rPr>
                <w:sz w:val="22"/>
              </w:rPr>
              <w:t>Amount</w:t>
            </w:r>
            <w:r>
              <w:rPr>
                <w:spacing w:val="-2"/>
                <w:sz w:val="22"/>
              </w:rPr>
              <w:t xml:space="preserve"> </w:t>
            </w:r>
            <w:r>
              <w:rPr>
                <w:sz w:val="22"/>
              </w:rPr>
              <w:t>per</w:t>
            </w:r>
            <w:r>
              <w:rPr>
                <w:spacing w:val="-3"/>
                <w:sz w:val="22"/>
              </w:rPr>
              <w:t xml:space="preserve"> </w:t>
            </w:r>
            <w:r>
              <w:rPr>
                <w:spacing w:val="-2"/>
                <w:sz w:val="22"/>
              </w:rPr>
              <w:t>Member</w:t>
            </w:r>
          </w:p>
        </w:tc>
        <w:tc>
          <w:tcPr>
            <w:tcW w:w="3646" w:type="dxa"/>
          </w:tcPr>
          <w:p>
            <w:pPr>
              <w:pStyle w:val="TableParagraph"/>
              <w:spacing w:before="40" w:line="252" w:lineRule="exact"/>
              <w:rPr>
                <w:sz w:val="22"/>
              </w:rPr>
            </w:pPr>
            <w:r>
              <w:rPr>
                <w:sz w:val="22"/>
              </w:rPr>
              <w:t>Σ</w:t>
            </w:r>
            <w:r>
              <w:rPr>
                <w:spacing w:val="-3"/>
                <w:sz w:val="22"/>
              </w:rPr>
              <w:t xml:space="preserve"> </w:t>
            </w:r>
            <w:r>
              <w:rPr>
                <w:sz w:val="22"/>
              </w:rPr>
              <w:t>[Covered</w:t>
            </w:r>
            <w:r>
              <w:rPr>
                <w:spacing w:val="-3"/>
                <w:sz w:val="22"/>
              </w:rPr>
              <w:t xml:space="preserve"> </w:t>
            </w:r>
            <w:r>
              <w:rPr>
                <w:sz w:val="22"/>
              </w:rPr>
              <w:t>Plan</w:t>
            </w:r>
            <w:r>
              <w:rPr>
                <w:spacing w:val="-3"/>
                <w:sz w:val="22"/>
              </w:rPr>
              <w:t xml:space="preserve"> </w:t>
            </w:r>
            <w:r>
              <w:rPr>
                <w:sz w:val="22"/>
              </w:rPr>
              <w:t>Paid</w:t>
            </w:r>
            <w:r>
              <w:rPr>
                <w:spacing w:val="-3"/>
                <w:sz w:val="22"/>
              </w:rPr>
              <w:t xml:space="preserve"> </w:t>
            </w:r>
            <w:r>
              <w:rPr>
                <w:sz w:val="22"/>
              </w:rPr>
              <w:t>Amount</w:t>
            </w:r>
            <w:r>
              <w:rPr>
                <w:spacing w:val="-2"/>
                <w:sz w:val="22"/>
              </w:rPr>
              <w:t xml:space="preserve"> </w:t>
            </w:r>
            <w:r>
              <w:rPr>
                <w:spacing w:val="-4"/>
                <w:sz w:val="22"/>
              </w:rPr>
              <w:t>(CPP)</w:t>
            </w:r>
          </w:p>
          <w:p>
            <w:pPr>
              <w:pStyle w:val="TableParagraph"/>
              <w:rPr>
                <w:sz w:val="22"/>
              </w:rPr>
            </w:pPr>
            <w:r>
              <w:rPr>
                <w:sz w:val="22"/>
              </w:rPr>
              <w:t>+ Non-Covered Plan Paid Amount (NPP)</w:t>
            </w:r>
            <w:r>
              <w:rPr>
                <w:spacing w:val="-8"/>
                <w:sz w:val="22"/>
              </w:rPr>
              <w:t xml:space="preserve"> </w:t>
            </w:r>
            <w:r>
              <w:rPr>
                <w:sz w:val="22"/>
              </w:rPr>
              <w:t>+</w:t>
            </w:r>
            <w:r>
              <w:rPr>
                <w:spacing w:val="-9"/>
                <w:sz w:val="22"/>
              </w:rPr>
              <w:t xml:space="preserve"> </w:t>
            </w:r>
            <w:r>
              <w:rPr>
                <w:sz w:val="22"/>
              </w:rPr>
              <w:t>Low-Income</w:t>
            </w:r>
            <w:r>
              <w:rPr>
                <w:spacing w:val="-9"/>
                <w:sz w:val="22"/>
              </w:rPr>
              <w:t xml:space="preserve"> </w:t>
            </w:r>
            <w:r>
              <w:rPr>
                <w:sz w:val="22"/>
              </w:rPr>
              <w:t>Cost</w:t>
            </w:r>
            <w:r>
              <w:rPr>
                <w:spacing w:val="-11"/>
                <w:sz w:val="22"/>
              </w:rPr>
              <w:t xml:space="preserve"> </w:t>
            </w:r>
            <w:r>
              <w:rPr>
                <w:sz w:val="22"/>
              </w:rPr>
              <w:t>Sharing</w:t>
            </w:r>
          </w:p>
          <w:p>
            <w:pPr>
              <w:pStyle w:val="TableParagraph"/>
              <w:spacing w:line="233" w:lineRule="exact"/>
              <w:rPr>
                <w:sz w:val="22"/>
              </w:rPr>
            </w:pPr>
            <w:r>
              <w:rPr>
                <w:sz w:val="22"/>
              </w:rPr>
              <w:t>(LICS)]</w:t>
            </w:r>
            <w:r>
              <w:rPr>
                <w:spacing w:val="-4"/>
                <w:sz w:val="22"/>
              </w:rPr>
              <w:t xml:space="preserve"> </w:t>
            </w:r>
            <w:r>
              <w:rPr>
                <w:sz w:val="22"/>
              </w:rPr>
              <w:t xml:space="preserve">÷ </w:t>
            </w:r>
            <w:r>
              <w:rPr>
                <w:spacing w:val="-2"/>
                <w:sz w:val="22"/>
              </w:rPr>
              <w:t>Members</w:t>
            </w:r>
          </w:p>
        </w:tc>
      </w:tr>
      <w:tr>
        <w:tblPrEx>
          <w:tblW w:w="0" w:type="auto"/>
          <w:jc w:val="left"/>
          <w:tblInd w:w="949" w:type="dxa"/>
          <w:tblLayout w:type="fixed"/>
          <w:tblCellMar>
            <w:top w:w="0" w:type="dxa"/>
            <w:left w:w="0" w:type="dxa"/>
            <w:bottom w:w="0" w:type="dxa"/>
            <w:right w:w="0" w:type="dxa"/>
          </w:tblCellMar>
          <w:tblLook w:val="01E0"/>
        </w:tblPrEx>
        <w:trPr>
          <w:trHeight w:val="1053"/>
          <w:jc w:val="left"/>
        </w:trPr>
        <w:tc>
          <w:tcPr>
            <w:tcW w:w="991" w:type="dxa"/>
          </w:tcPr>
          <w:p>
            <w:pPr>
              <w:pStyle w:val="TableParagraph"/>
              <w:spacing w:line="251" w:lineRule="exact"/>
              <w:ind w:left="9" w:right="2"/>
              <w:jc w:val="center"/>
              <w:rPr>
                <w:sz w:val="22"/>
              </w:rPr>
            </w:pPr>
            <w:r>
              <w:rPr>
                <w:spacing w:val="-5"/>
                <w:sz w:val="22"/>
              </w:rPr>
              <w:t>(j)</w:t>
            </w:r>
          </w:p>
        </w:tc>
        <w:tc>
          <w:tcPr>
            <w:tcW w:w="3450" w:type="dxa"/>
          </w:tcPr>
          <w:p>
            <w:pPr>
              <w:pStyle w:val="TableParagraph"/>
              <w:spacing w:before="1"/>
              <w:ind w:left="105"/>
              <w:rPr>
                <w:sz w:val="22"/>
              </w:rPr>
            </w:pPr>
            <w:r>
              <w:rPr>
                <w:sz w:val="22"/>
              </w:rPr>
              <w:t>Average</w:t>
            </w:r>
            <w:r>
              <w:rPr>
                <w:spacing w:val="-2"/>
                <w:sz w:val="22"/>
              </w:rPr>
              <w:t xml:space="preserve"> </w:t>
            </w:r>
            <w:r>
              <w:rPr>
                <w:sz w:val="22"/>
              </w:rPr>
              <w:t>Cost</w:t>
            </w:r>
            <w:r>
              <w:rPr>
                <w:spacing w:val="-4"/>
                <w:sz w:val="22"/>
              </w:rPr>
              <w:t xml:space="preserve"> </w:t>
            </w:r>
            <w:r>
              <w:rPr>
                <w:sz w:val="22"/>
              </w:rPr>
              <w:t>Sharing</w:t>
            </w:r>
            <w:r>
              <w:rPr>
                <w:spacing w:val="-4"/>
                <w:sz w:val="22"/>
              </w:rPr>
              <w:t xml:space="preserve"> </w:t>
            </w:r>
            <w:r>
              <w:rPr>
                <w:sz w:val="22"/>
              </w:rPr>
              <w:t>per</w:t>
            </w:r>
            <w:r>
              <w:rPr>
                <w:spacing w:val="-3"/>
                <w:sz w:val="22"/>
              </w:rPr>
              <w:t xml:space="preserve"> </w:t>
            </w:r>
            <w:r>
              <w:rPr>
                <w:spacing w:val="-2"/>
                <w:sz w:val="22"/>
              </w:rPr>
              <w:t>Member</w:t>
            </w:r>
          </w:p>
        </w:tc>
        <w:tc>
          <w:tcPr>
            <w:tcW w:w="3646" w:type="dxa"/>
          </w:tcPr>
          <w:p>
            <w:pPr>
              <w:pStyle w:val="TableParagraph"/>
              <w:spacing w:before="39"/>
              <w:ind w:right="137"/>
              <w:rPr>
                <w:sz w:val="22"/>
              </w:rPr>
            </w:pPr>
            <w:r>
              <w:rPr>
                <w:sz w:val="22"/>
              </w:rPr>
              <w:t>Σ [Patient Pay Amount + Other TrOOP Amount + Patient Liability Reduction</w:t>
            </w:r>
            <w:r>
              <w:rPr>
                <w:spacing w:val="-8"/>
                <w:sz w:val="22"/>
              </w:rPr>
              <w:t xml:space="preserve"> </w:t>
            </w:r>
            <w:r>
              <w:rPr>
                <w:sz w:val="22"/>
              </w:rPr>
              <w:t>due</w:t>
            </w:r>
            <w:r>
              <w:rPr>
                <w:spacing w:val="-9"/>
                <w:sz w:val="22"/>
              </w:rPr>
              <w:t xml:space="preserve"> </w:t>
            </w:r>
            <w:r>
              <w:rPr>
                <w:sz w:val="22"/>
              </w:rPr>
              <w:t>to</w:t>
            </w:r>
            <w:r>
              <w:rPr>
                <w:spacing w:val="-8"/>
                <w:sz w:val="22"/>
              </w:rPr>
              <w:t xml:space="preserve"> </w:t>
            </w:r>
            <w:r>
              <w:rPr>
                <w:sz w:val="22"/>
              </w:rPr>
              <w:t>other</w:t>
            </w:r>
            <w:r>
              <w:rPr>
                <w:spacing w:val="-7"/>
                <w:sz w:val="22"/>
              </w:rPr>
              <w:t xml:space="preserve"> </w:t>
            </w:r>
            <w:r>
              <w:rPr>
                <w:sz w:val="22"/>
              </w:rPr>
              <w:t>Payer</w:t>
            </w:r>
            <w:r>
              <w:rPr>
                <w:spacing w:val="-6"/>
                <w:sz w:val="22"/>
              </w:rPr>
              <w:t xml:space="preserve"> </w:t>
            </w:r>
            <w:r>
              <w:rPr>
                <w:sz w:val="22"/>
              </w:rPr>
              <w:t>Amount</w:t>
            </w:r>
          </w:p>
          <w:p>
            <w:pPr>
              <w:pStyle w:val="TableParagraph"/>
              <w:spacing w:line="235" w:lineRule="exact"/>
              <w:rPr>
                <w:sz w:val="22"/>
              </w:rPr>
            </w:pPr>
            <w:r>
              <w:rPr>
                <w:sz w:val="22"/>
              </w:rPr>
              <w:t>(PLRO)]</w:t>
            </w:r>
            <w:r>
              <w:rPr>
                <w:spacing w:val="-4"/>
                <w:sz w:val="22"/>
              </w:rPr>
              <w:t xml:space="preserve"> </w:t>
            </w:r>
            <w:r>
              <w:rPr>
                <w:sz w:val="22"/>
              </w:rPr>
              <w:t>/</w:t>
            </w:r>
            <w:r>
              <w:rPr>
                <w:spacing w:val="-1"/>
                <w:sz w:val="22"/>
              </w:rPr>
              <w:t xml:space="preserve"> </w:t>
            </w:r>
            <w:r>
              <w:rPr>
                <w:spacing w:val="-2"/>
                <w:sz w:val="22"/>
              </w:rPr>
              <w:t>Members</w:t>
            </w:r>
          </w:p>
        </w:tc>
      </w:tr>
      <w:tr>
        <w:tblPrEx>
          <w:tblW w:w="0" w:type="auto"/>
          <w:jc w:val="left"/>
          <w:tblInd w:w="949" w:type="dxa"/>
          <w:tblLayout w:type="fixed"/>
          <w:tblCellMar>
            <w:top w:w="0" w:type="dxa"/>
            <w:left w:w="0" w:type="dxa"/>
            <w:bottom w:w="0" w:type="dxa"/>
            <w:right w:w="0" w:type="dxa"/>
          </w:tblCellMar>
          <w:tblLook w:val="01E0"/>
        </w:tblPrEx>
        <w:trPr>
          <w:trHeight w:val="544"/>
          <w:jc w:val="left"/>
        </w:trPr>
        <w:tc>
          <w:tcPr>
            <w:tcW w:w="991" w:type="dxa"/>
          </w:tcPr>
          <w:p>
            <w:pPr>
              <w:pStyle w:val="TableParagraph"/>
              <w:spacing w:line="251" w:lineRule="exact"/>
              <w:ind w:left="9" w:right="3"/>
              <w:jc w:val="center"/>
              <w:rPr>
                <w:sz w:val="22"/>
              </w:rPr>
            </w:pPr>
            <w:r>
              <w:rPr>
                <w:spacing w:val="-5"/>
                <w:sz w:val="22"/>
              </w:rPr>
              <w:t>(k)</w:t>
            </w:r>
          </w:p>
        </w:tc>
        <w:tc>
          <w:tcPr>
            <w:tcW w:w="3450" w:type="dxa"/>
          </w:tcPr>
          <w:p>
            <w:pPr>
              <w:pStyle w:val="TableParagraph"/>
              <w:ind w:left="105"/>
              <w:rPr>
                <w:sz w:val="22"/>
              </w:rPr>
            </w:pPr>
            <w:r>
              <w:rPr>
                <w:sz w:val="22"/>
              </w:rPr>
              <w:t>Supplemental</w:t>
            </w:r>
            <w:r>
              <w:rPr>
                <w:spacing w:val="-12"/>
                <w:sz w:val="22"/>
              </w:rPr>
              <w:t xml:space="preserve"> </w:t>
            </w:r>
            <w:r>
              <w:rPr>
                <w:sz w:val="22"/>
              </w:rPr>
              <w:t>Cost</w:t>
            </w:r>
            <w:r>
              <w:rPr>
                <w:spacing w:val="-11"/>
                <w:sz w:val="22"/>
              </w:rPr>
              <w:t xml:space="preserve"> </w:t>
            </w:r>
            <w:r>
              <w:rPr>
                <w:sz w:val="22"/>
              </w:rPr>
              <w:t>Share</w:t>
            </w:r>
            <w:r>
              <w:rPr>
                <w:spacing w:val="-12"/>
                <w:sz w:val="22"/>
              </w:rPr>
              <w:t xml:space="preserve"> </w:t>
            </w:r>
            <w:r>
              <w:rPr>
                <w:sz w:val="22"/>
              </w:rPr>
              <w:t>Reduction per Member</w:t>
            </w:r>
          </w:p>
        </w:tc>
        <w:tc>
          <w:tcPr>
            <w:tcW w:w="3646" w:type="dxa"/>
          </w:tcPr>
          <w:p>
            <w:pPr>
              <w:pStyle w:val="TableParagraph"/>
              <w:spacing w:before="20" w:line="252" w:lineRule="exact"/>
              <w:rPr>
                <w:sz w:val="22"/>
              </w:rPr>
            </w:pPr>
            <w:r>
              <w:rPr>
                <w:sz w:val="22"/>
              </w:rPr>
              <w:t>Σ</w:t>
            </w:r>
            <w:r>
              <w:rPr>
                <w:spacing w:val="-8"/>
                <w:sz w:val="22"/>
              </w:rPr>
              <w:t xml:space="preserve"> </w:t>
            </w:r>
            <w:r>
              <w:rPr>
                <w:sz w:val="22"/>
              </w:rPr>
              <w:t>[Non-Covered</w:t>
            </w:r>
            <w:r>
              <w:rPr>
                <w:spacing w:val="-9"/>
                <w:sz w:val="22"/>
              </w:rPr>
              <w:t xml:space="preserve"> </w:t>
            </w:r>
            <w:r>
              <w:rPr>
                <w:sz w:val="22"/>
              </w:rPr>
              <w:t>Plan</w:t>
            </w:r>
            <w:r>
              <w:rPr>
                <w:spacing w:val="-9"/>
                <w:sz w:val="22"/>
              </w:rPr>
              <w:t xml:space="preserve"> </w:t>
            </w:r>
            <w:r>
              <w:rPr>
                <w:sz w:val="22"/>
              </w:rPr>
              <w:t>Paid</w:t>
            </w:r>
            <w:r>
              <w:rPr>
                <w:spacing w:val="-13"/>
                <w:sz w:val="22"/>
              </w:rPr>
              <w:t xml:space="preserve"> </w:t>
            </w:r>
            <w:r>
              <w:rPr>
                <w:sz w:val="22"/>
              </w:rPr>
              <w:t>Amount (NPP)] ÷ Members</w:t>
            </w:r>
          </w:p>
        </w:tc>
      </w:tr>
      <w:tr>
        <w:tblPrEx>
          <w:tblW w:w="0" w:type="auto"/>
          <w:jc w:val="left"/>
          <w:tblInd w:w="949" w:type="dxa"/>
          <w:tblLayout w:type="fixed"/>
          <w:tblCellMar>
            <w:top w:w="0" w:type="dxa"/>
            <w:left w:w="0" w:type="dxa"/>
            <w:bottom w:w="0" w:type="dxa"/>
            <w:right w:w="0" w:type="dxa"/>
          </w:tblCellMar>
          <w:tblLook w:val="01E0"/>
        </w:tblPrEx>
        <w:trPr>
          <w:trHeight w:val="546"/>
          <w:jc w:val="left"/>
        </w:trPr>
        <w:tc>
          <w:tcPr>
            <w:tcW w:w="991" w:type="dxa"/>
          </w:tcPr>
          <w:p>
            <w:pPr>
              <w:pStyle w:val="TableParagraph"/>
              <w:spacing w:line="251" w:lineRule="exact"/>
              <w:ind w:left="9" w:right="3"/>
              <w:jc w:val="center"/>
              <w:rPr>
                <w:sz w:val="22"/>
              </w:rPr>
            </w:pPr>
            <w:r>
              <w:rPr>
                <w:spacing w:val="-5"/>
                <w:sz w:val="22"/>
              </w:rPr>
              <w:t>(l)</w:t>
            </w:r>
          </w:p>
        </w:tc>
        <w:tc>
          <w:tcPr>
            <w:tcW w:w="3450" w:type="dxa"/>
          </w:tcPr>
          <w:p>
            <w:pPr>
              <w:pStyle w:val="TableParagraph"/>
              <w:spacing w:before="1"/>
              <w:ind w:left="105"/>
              <w:rPr>
                <w:sz w:val="22"/>
              </w:rPr>
            </w:pPr>
            <w:r>
              <w:rPr>
                <w:sz w:val="22"/>
              </w:rPr>
              <w:t>Reimbursement</w:t>
            </w:r>
            <w:r>
              <w:rPr>
                <w:spacing w:val="-3"/>
                <w:sz w:val="22"/>
              </w:rPr>
              <w:t xml:space="preserve"> </w:t>
            </w:r>
            <w:r>
              <w:rPr>
                <w:sz w:val="22"/>
              </w:rPr>
              <w:t>for</w:t>
            </w:r>
            <w:r>
              <w:rPr>
                <w:spacing w:val="-3"/>
                <w:sz w:val="22"/>
              </w:rPr>
              <w:t xml:space="preserve"> </w:t>
            </w:r>
            <w:r>
              <w:rPr>
                <w:sz w:val="22"/>
              </w:rPr>
              <w:t>LIS</w:t>
            </w:r>
            <w:r>
              <w:rPr>
                <w:spacing w:val="-3"/>
                <w:sz w:val="22"/>
              </w:rPr>
              <w:t xml:space="preserve"> </w:t>
            </w:r>
            <w:r>
              <w:rPr>
                <w:sz w:val="22"/>
              </w:rPr>
              <w:t>per</w:t>
            </w:r>
            <w:r>
              <w:rPr>
                <w:spacing w:val="-5"/>
                <w:sz w:val="22"/>
              </w:rPr>
              <w:t xml:space="preserve"> </w:t>
            </w:r>
            <w:r>
              <w:rPr>
                <w:spacing w:val="-2"/>
                <w:sz w:val="22"/>
              </w:rPr>
              <w:t>Member</w:t>
            </w:r>
          </w:p>
        </w:tc>
        <w:tc>
          <w:tcPr>
            <w:tcW w:w="3646" w:type="dxa"/>
          </w:tcPr>
          <w:p>
            <w:pPr>
              <w:pStyle w:val="TableParagraph"/>
              <w:spacing w:before="23" w:line="252" w:lineRule="exact"/>
              <w:rPr>
                <w:sz w:val="22"/>
              </w:rPr>
            </w:pPr>
            <w:r>
              <w:rPr>
                <w:sz w:val="22"/>
              </w:rPr>
              <w:t>Σ</w:t>
            </w:r>
            <w:r>
              <w:rPr>
                <w:spacing w:val="-7"/>
                <w:sz w:val="22"/>
              </w:rPr>
              <w:t xml:space="preserve"> </w:t>
            </w:r>
            <w:r>
              <w:rPr>
                <w:sz w:val="22"/>
              </w:rPr>
              <w:t>[Low-Income</w:t>
            </w:r>
            <w:r>
              <w:rPr>
                <w:spacing w:val="-8"/>
                <w:sz w:val="22"/>
              </w:rPr>
              <w:t xml:space="preserve"> </w:t>
            </w:r>
            <w:r>
              <w:rPr>
                <w:sz w:val="22"/>
              </w:rPr>
              <w:t>Cost</w:t>
            </w:r>
            <w:r>
              <w:rPr>
                <w:spacing w:val="-7"/>
                <w:sz w:val="22"/>
              </w:rPr>
              <w:t xml:space="preserve"> </w:t>
            </w:r>
            <w:r>
              <w:rPr>
                <w:sz w:val="22"/>
              </w:rPr>
              <w:t>Share</w:t>
            </w:r>
            <w:r>
              <w:rPr>
                <w:spacing w:val="-9"/>
                <w:sz w:val="22"/>
              </w:rPr>
              <w:t xml:space="preserve"> </w:t>
            </w:r>
            <w:r>
              <w:rPr>
                <w:sz w:val="22"/>
              </w:rPr>
              <w:t>(LICS)]</w:t>
            </w:r>
            <w:r>
              <w:rPr>
                <w:spacing w:val="-7"/>
                <w:sz w:val="22"/>
              </w:rPr>
              <w:t xml:space="preserve"> </w:t>
            </w:r>
            <w:r>
              <w:rPr>
                <w:sz w:val="22"/>
              </w:rPr>
              <w:t xml:space="preserve">/ </w:t>
            </w:r>
            <w:r>
              <w:rPr>
                <w:spacing w:val="-2"/>
                <w:sz w:val="22"/>
              </w:rPr>
              <w:t>Members</w:t>
            </w:r>
          </w:p>
        </w:tc>
      </w:tr>
      <w:tr>
        <w:tblPrEx>
          <w:tblW w:w="0" w:type="auto"/>
          <w:jc w:val="left"/>
          <w:tblInd w:w="949" w:type="dxa"/>
          <w:tblLayout w:type="fixed"/>
          <w:tblCellMar>
            <w:top w:w="0" w:type="dxa"/>
            <w:left w:w="0" w:type="dxa"/>
            <w:bottom w:w="0" w:type="dxa"/>
            <w:right w:w="0" w:type="dxa"/>
          </w:tblCellMar>
          <w:tblLook w:val="01E0"/>
        </w:tblPrEx>
        <w:trPr>
          <w:trHeight w:val="1051"/>
          <w:jc w:val="left"/>
        </w:trPr>
        <w:tc>
          <w:tcPr>
            <w:tcW w:w="991" w:type="dxa"/>
          </w:tcPr>
          <w:p>
            <w:pPr>
              <w:pStyle w:val="TableParagraph"/>
              <w:spacing w:line="251" w:lineRule="exact"/>
              <w:ind w:left="9" w:right="1"/>
              <w:jc w:val="center"/>
              <w:rPr>
                <w:sz w:val="22"/>
              </w:rPr>
            </w:pPr>
            <w:r>
              <w:rPr>
                <w:spacing w:val="-5"/>
                <w:sz w:val="22"/>
              </w:rPr>
              <w:t>(m)</w:t>
            </w:r>
          </w:p>
        </w:tc>
        <w:tc>
          <w:tcPr>
            <w:tcW w:w="3450" w:type="dxa"/>
          </w:tcPr>
          <w:p>
            <w:pPr>
              <w:pStyle w:val="TableParagraph"/>
              <w:ind w:left="105"/>
              <w:rPr>
                <w:sz w:val="22"/>
              </w:rPr>
            </w:pPr>
            <w:r>
              <w:rPr>
                <w:sz w:val="22"/>
              </w:rPr>
              <w:t>Reimbursement</w:t>
            </w:r>
            <w:r>
              <w:rPr>
                <w:spacing w:val="-14"/>
                <w:sz w:val="22"/>
              </w:rPr>
              <w:t xml:space="preserve"> </w:t>
            </w:r>
            <w:r>
              <w:rPr>
                <w:sz w:val="22"/>
              </w:rPr>
              <w:t>for</w:t>
            </w:r>
            <w:r>
              <w:rPr>
                <w:spacing w:val="-14"/>
                <w:sz w:val="22"/>
              </w:rPr>
              <w:t xml:space="preserve"> </w:t>
            </w:r>
            <w:r>
              <w:rPr>
                <w:sz w:val="22"/>
              </w:rPr>
              <w:t>Federal Reinsurance per Member</w:t>
            </w:r>
          </w:p>
        </w:tc>
        <w:tc>
          <w:tcPr>
            <w:tcW w:w="3646" w:type="dxa"/>
          </w:tcPr>
          <w:p>
            <w:pPr>
              <w:pStyle w:val="TableParagraph"/>
              <w:spacing w:before="39"/>
              <w:rPr>
                <w:sz w:val="22"/>
              </w:rPr>
            </w:pPr>
            <w:r>
              <w:rPr>
                <w:sz w:val="22"/>
              </w:rPr>
              <w:t>Σ</w:t>
            </w:r>
            <w:r>
              <w:rPr>
                <w:spacing w:val="-7"/>
                <w:sz w:val="22"/>
              </w:rPr>
              <w:t xml:space="preserve"> </w:t>
            </w:r>
            <w:r>
              <w:rPr>
                <w:sz w:val="22"/>
              </w:rPr>
              <w:t>{[Gross</w:t>
            </w:r>
            <w:r>
              <w:rPr>
                <w:spacing w:val="-7"/>
                <w:sz w:val="22"/>
              </w:rPr>
              <w:t xml:space="preserve"> </w:t>
            </w:r>
            <w:r>
              <w:rPr>
                <w:sz w:val="22"/>
              </w:rPr>
              <w:t>Drug</w:t>
            </w:r>
            <w:r>
              <w:rPr>
                <w:spacing w:val="-7"/>
                <w:sz w:val="22"/>
              </w:rPr>
              <w:t xml:space="preserve"> </w:t>
            </w:r>
            <w:r>
              <w:rPr>
                <w:sz w:val="22"/>
              </w:rPr>
              <w:t>Cost</w:t>
            </w:r>
            <w:r>
              <w:rPr>
                <w:spacing w:val="-7"/>
                <w:sz w:val="22"/>
              </w:rPr>
              <w:t xml:space="preserve"> </w:t>
            </w:r>
            <w:r>
              <w:rPr>
                <w:sz w:val="22"/>
              </w:rPr>
              <w:t>above</w:t>
            </w:r>
            <w:r>
              <w:rPr>
                <w:spacing w:val="-9"/>
                <w:sz w:val="22"/>
              </w:rPr>
              <w:t xml:space="preserve"> </w:t>
            </w:r>
            <w:r>
              <w:rPr>
                <w:sz w:val="22"/>
              </w:rPr>
              <w:t>Out-of- Pocket Threshold (GDCA) with Catastrophic Coverage Codes A or</w:t>
            </w:r>
          </w:p>
          <w:p>
            <w:pPr>
              <w:pStyle w:val="TableParagraph"/>
              <w:spacing w:line="233" w:lineRule="exact"/>
              <w:rPr>
                <w:sz w:val="22"/>
              </w:rPr>
            </w:pPr>
            <w:r>
              <w:rPr>
                <w:sz w:val="22"/>
              </w:rPr>
              <w:t>C]×</w:t>
            </w:r>
            <w:r>
              <w:rPr>
                <w:spacing w:val="-1"/>
                <w:sz w:val="22"/>
              </w:rPr>
              <w:t xml:space="preserve"> </w:t>
            </w:r>
            <w:r>
              <w:rPr>
                <w:sz w:val="22"/>
              </w:rPr>
              <w:t>0.8}</w:t>
            </w:r>
            <w:r>
              <w:rPr>
                <w:spacing w:val="-3"/>
                <w:sz w:val="22"/>
              </w:rPr>
              <w:t xml:space="preserve"> </w:t>
            </w:r>
            <w:r>
              <w:rPr>
                <w:sz w:val="22"/>
              </w:rPr>
              <w:t>÷</w:t>
            </w:r>
            <w:r>
              <w:rPr>
                <w:spacing w:val="1"/>
                <w:sz w:val="22"/>
              </w:rPr>
              <w:t xml:space="preserve"> </w:t>
            </w:r>
            <w:r>
              <w:rPr>
                <w:spacing w:val="-2"/>
                <w:sz w:val="22"/>
              </w:rPr>
              <w:t>Members</w:t>
            </w:r>
          </w:p>
        </w:tc>
      </w:tr>
    </w:tbl>
    <w:p>
      <w:pPr>
        <w:pStyle w:val="BodyText"/>
        <w:spacing w:before="122"/>
        <w:ind w:left="1304" w:right="566"/>
      </w:pPr>
      <w:r>
        <w:t>When using PDE data, actuaries must be familiar with the process by which the PDE transactions are developed from claims data and with the timing of the adjustment and deletion processes to ensure that the final transaction is accurately summarized. This process includes, but is not limited to, consideration of rejected PDEs</w:t>
      </w:r>
      <w:r>
        <w:rPr>
          <w:spacing w:val="-4"/>
        </w:rPr>
        <w:t xml:space="preserve"> </w:t>
      </w:r>
      <w:r>
        <w:t>that</w:t>
      </w:r>
      <w:r>
        <w:rPr>
          <w:spacing w:val="-4"/>
        </w:rPr>
        <w:t xml:space="preserve"> </w:t>
      </w:r>
      <w:r>
        <w:t>are</w:t>
      </w:r>
      <w:r>
        <w:rPr>
          <w:spacing w:val="-5"/>
        </w:rPr>
        <w:t xml:space="preserve"> </w:t>
      </w:r>
      <w:r>
        <w:t>expected</w:t>
      </w:r>
      <w:r>
        <w:rPr>
          <w:spacing w:val="-4"/>
        </w:rPr>
        <w:t xml:space="preserve"> </w:t>
      </w:r>
      <w:r>
        <w:t>to</w:t>
      </w:r>
      <w:r>
        <w:rPr>
          <w:spacing w:val="-4"/>
        </w:rPr>
        <w:t xml:space="preserve"> </w:t>
      </w:r>
      <w:r>
        <w:t>be</w:t>
      </w:r>
      <w:r>
        <w:rPr>
          <w:spacing w:val="-5"/>
        </w:rPr>
        <w:t xml:space="preserve"> </w:t>
      </w:r>
      <w:r>
        <w:t>accepted</w:t>
      </w:r>
      <w:r>
        <w:rPr>
          <w:spacing w:val="-4"/>
        </w:rPr>
        <w:t xml:space="preserve"> </w:t>
      </w:r>
      <w:r>
        <w:t>by</w:t>
      </w:r>
      <w:r>
        <w:rPr>
          <w:spacing w:val="-4"/>
        </w:rPr>
        <w:t xml:space="preserve"> </w:t>
      </w:r>
      <w:r>
        <w:t>CMS</w:t>
      </w:r>
      <w:r>
        <w:rPr>
          <w:spacing w:val="-3"/>
        </w:rPr>
        <w:t xml:space="preserve"> </w:t>
      </w:r>
      <w:r>
        <w:t>upon</w:t>
      </w:r>
      <w:r>
        <w:rPr>
          <w:spacing w:val="-4"/>
        </w:rPr>
        <w:t xml:space="preserve"> </w:t>
      </w:r>
      <w:r>
        <w:t>resubmission,</w:t>
      </w:r>
      <w:r>
        <w:rPr>
          <w:spacing w:val="-4"/>
        </w:rPr>
        <w:t xml:space="preserve"> </w:t>
      </w:r>
      <w:r>
        <w:t xml:space="preserve">adjustments </w:t>
      </w:r>
      <w:r>
        <w:t>for Plan-to-Plan transactions and, if appropriate, transfer of</w:t>
      </w:r>
      <w:r>
        <w:rPr>
          <w:spacing w:val="-2"/>
        </w:rPr>
        <w:t xml:space="preserve"> </w:t>
      </w:r>
      <w:r>
        <w:t>over-the-counter drug data from the base period experience to the non-benefit expense component. It is important to note that a PDE maps to one script throughout the BPT regardless of the number of days for which the prescription is dispensed.</w:t>
      </w:r>
    </w:p>
    <w:p>
      <w:pPr>
        <w:spacing w:before="242"/>
        <w:ind w:left="224" w:right="0" w:firstLine="0"/>
        <w:jc w:val="left"/>
        <w:rPr>
          <w:rFonts w:ascii="Arial"/>
          <w:b/>
          <w:sz w:val="21"/>
        </w:rPr>
      </w:pPr>
      <w:bookmarkStart w:id="23" w:name="Credibility"/>
      <w:bookmarkEnd w:id="23"/>
      <w:bookmarkStart w:id="24" w:name="_bookmark11"/>
      <w:bookmarkEnd w:id="24"/>
      <w:r>
        <w:rPr>
          <w:rFonts w:ascii="Arial"/>
          <w:b/>
          <w:spacing w:val="-2"/>
          <w:sz w:val="21"/>
        </w:rPr>
        <w:t>Credibility</w:t>
      </w:r>
    </w:p>
    <w:p>
      <w:pPr>
        <w:pStyle w:val="BodyText"/>
        <w:ind w:left="224" w:right="445"/>
      </w:pPr>
      <w:r>
        <w:t>CMS</w:t>
      </w:r>
      <w:r>
        <w:rPr>
          <w:spacing w:val="-3"/>
        </w:rPr>
        <w:t xml:space="preserve"> </w:t>
      </w:r>
      <w:r>
        <w:t>does</w:t>
      </w:r>
      <w:r>
        <w:rPr>
          <w:spacing w:val="-3"/>
        </w:rPr>
        <w:t xml:space="preserve"> </w:t>
      </w:r>
      <w:r>
        <w:t>not</w:t>
      </w:r>
      <w:r>
        <w:rPr>
          <w:spacing w:val="-3"/>
        </w:rPr>
        <w:t xml:space="preserve"> </w:t>
      </w:r>
      <w:r>
        <w:t>permit</w:t>
      </w:r>
      <w:r>
        <w:rPr>
          <w:spacing w:val="-3"/>
        </w:rPr>
        <w:t xml:space="preserve"> </w:t>
      </w:r>
      <w:r>
        <w:t>adjustments</w:t>
      </w:r>
      <w:r>
        <w:rPr>
          <w:spacing w:val="-3"/>
        </w:rPr>
        <w:t xml:space="preserve"> </w:t>
      </w:r>
      <w:r>
        <w:t>to</w:t>
      </w:r>
      <w:r>
        <w:rPr>
          <w:spacing w:val="-3"/>
        </w:rPr>
        <w:t xml:space="preserve"> </w:t>
      </w:r>
      <w:r>
        <w:t>the</w:t>
      </w:r>
      <w:r>
        <w:rPr>
          <w:spacing w:val="-3"/>
        </w:rPr>
        <w:t xml:space="preserve"> </w:t>
      </w:r>
      <w:r>
        <w:t>credibility</w:t>
      </w:r>
      <w:r>
        <w:rPr>
          <w:spacing w:val="-3"/>
        </w:rPr>
        <w:t xml:space="preserve"> </w:t>
      </w:r>
      <w:r>
        <w:t>percentages</w:t>
      </w:r>
      <w:r>
        <w:rPr>
          <w:spacing w:val="-3"/>
        </w:rPr>
        <w:t xml:space="preserve"> </w:t>
      </w:r>
      <w:r>
        <w:t>on</w:t>
      </w:r>
      <w:r>
        <w:rPr>
          <w:spacing w:val="-3"/>
        </w:rPr>
        <w:t xml:space="preserve"> </w:t>
      </w:r>
      <w:r>
        <w:t>Worksheet</w:t>
      </w:r>
      <w:r>
        <w:rPr>
          <w:spacing w:val="-3"/>
        </w:rPr>
        <w:t xml:space="preserve"> </w:t>
      </w:r>
      <w:r>
        <w:t>2</w:t>
      </w:r>
      <w:r>
        <w:rPr>
          <w:spacing w:val="-3"/>
        </w:rPr>
        <w:t xml:space="preserve"> </w:t>
      </w:r>
      <w:r>
        <w:t>for</w:t>
      </w:r>
      <w:r>
        <w:rPr>
          <w:spacing w:val="-4"/>
        </w:rPr>
        <w:t xml:space="preserve"> </w:t>
      </w:r>
      <w:r>
        <w:t>the</w:t>
      </w:r>
      <w:r>
        <w:rPr>
          <w:spacing w:val="-3"/>
        </w:rPr>
        <w:t xml:space="preserve"> </w:t>
      </w:r>
      <w:r>
        <w:t>purpose of</w:t>
      </w:r>
      <w:r>
        <w:rPr>
          <w:spacing w:val="-2"/>
        </w:rPr>
        <w:t xml:space="preserve"> </w:t>
      </w:r>
      <w:r>
        <w:t>modifying</w:t>
      </w:r>
      <w:r>
        <w:rPr>
          <w:spacing w:val="-2"/>
        </w:rPr>
        <w:t xml:space="preserve"> </w:t>
      </w:r>
      <w:r>
        <w:t>the</w:t>
      </w:r>
      <w:r>
        <w:rPr>
          <w:spacing w:val="-2"/>
        </w:rPr>
        <w:t xml:space="preserve"> </w:t>
      </w:r>
      <w:r>
        <w:t>manual rate.</w:t>
      </w:r>
      <w:r>
        <w:rPr>
          <w:spacing w:val="-2"/>
        </w:rPr>
        <w:t xml:space="preserve"> </w:t>
      </w:r>
      <w:r>
        <w:t>For</w:t>
      </w:r>
      <w:r>
        <w:rPr>
          <w:spacing w:val="-2"/>
        </w:rPr>
        <w:t xml:space="preserve"> </w:t>
      </w:r>
      <w:r>
        <w:t>example,</w:t>
      </w:r>
      <w:r>
        <w:rPr>
          <w:spacing w:val="-2"/>
        </w:rPr>
        <w:t xml:space="preserve"> </w:t>
      </w:r>
      <w:r>
        <w:t>do</w:t>
      </w:r>
      <w:r>
        <w:rPr>
          <w:spacing w:val="-2"/>
        </w:rPr>
        <w:t xml:space="preserve"> </w:t>
      </w:r>
      <w:r>
        <w:t>not</w:t>
      </w:r>
      <w:r>
        <w:rPr>
          <w:spacing w:val="-2"/>
        </w:rPr>
        <w:t xml:space="preserve"> </w:t>
      </w:r>
      <w:r>
        <w:t>adjust</w:t>
      </w:r>
      <w:r>
        <w:rPr>
          <w:spacing w:val="-2"/>
        </w:rPr>
        <w:t xml:space="preserve"> </w:t>
      </w:r>
      <w:r>
        <w:t>the</w:t>
      </w:r>
      <w:r>
        <w:rPr>
          <w:spacing w:val="-2"/>
        </w:rPr>
        <w:t xml:space="preserve"> </w:t>
      </w:r>
      <w:r>
        <w:t>credibility</w:t>
      </w:r>
      <w:r>
        <w:rPr>
          <w:spacing w:val="-2"/>
        </w:rPr>
        <w:t xml:space="preserve"> </w:t>
      </w:r>
      <w:r>
        <w:t>percentages</w:t>
      </w:r>
      <w:r>
        <w:rPr>
          <w:spacing w:val="-2"/>
        </w:rPr>
        <w:t xml:space="preserve"> </w:t>
      </w:r>
      <w:r>
        <w:t>in</w:t>
      </w:r>
      <w:r>
        <w:rPr>
          <w:spacing w:val="-2"/>
        </w:rPr>
        <w:t xml:space="preserve"> </w:t>
      </w:r>
      <w:r>
        <w:t>the</w:t>
      </w:r>
      <w:r>
        <w:rPr>
          <w:spacing w:val="-3"/>
        </w:rPr>
        <w:t xml:space="preserve"> </w:t>
      </w:r>
      <w:r>
        <w:t xml:space="preserve">BPT as an equivalent alternative to removing the base period experience from the manual rate </w:t>
      </w:r>
      <w:r>
        <w:rPr>
          <w:spacing w:val="-2"/>
        </w:rPr>
        <w:t>development.</w:t>
      </w:r>
    </w:p>
    <w:p>
      <w:pPr>
        <w:pStyle w:val="BodyText"/>
        <w:ind w:left="224" w:right="478"/>
      </w:pPr>
      <w:r>
        <w:t>The</w:t>
      </w:r>
      <w:r>
        <w:rPr>
          <w:spacing w:val="-5"/>
        </w:rPr>
        <w:t xml:space="preserve"> </w:t>
      </w:r>
      <w:r>
        <w:t>following</w:t>
      </w:r>
      <w:r>
        <w:rPr>
          <w:spacing w:val="-3"/>
        </w:rPr>
        <w:t xml:space="preserve"> </w:t>
      </w:r>
      <w:r>
        <w:t>credibility</w:t>
      </w:r>
      <w:r>
        <w:rPr>
          <w:spacing w:val="-3"/>
        </w:rPr>
        <w:t xml:space="preserve"> </w:t>
      </w:r>
      <w:r>
        <w:t>guidance</w:t>
      </w:r>
      <w:r>
        <w:rPr>
          <w:spacing w:val="-4"/>
        </w:rPr>
        <w:t xml:space="preserve"> </w:t>
      </w:r>
      <w:r>
        <w:t>in</w:t>
      </w:r>
      <w:r>
        <w:rPr>
          <w:spacing w:val="-3"/>
        </w:rPr>
        <w:t xml:space="preserve"> </w:t>
      </w:r>
      <w:r>
        <w:t>this</w:t>
      </w:r>
      <w:r>
        <w:rPr>
          <w:spacing w:val="-3"/>
        </w:rPr>
        <w:t xml:space="preserve"> </w:t>
      </w:r>
      <w:r>
        <w:t>section</w:t>
      </w:r>
      <w:r>
        <w:rPr>
          <w:spacing w:val="-3"/>
        </w:rPr>
        <w:t xml:space="preserve"> </w:t>
      </w:r>
      <w:r>
        <w:t>is</w:t>
      </w:r>
      <w:r>
        <w:rPr>
          <w:spacing w:val="-3"/>
        </w:rPr>
        <w:t xml:space="preserve"> </w:t>
      </w:r>
      <w:r>
        <w:t>provided</w:t>
      </w:r>
      <w:r>
        <w:rPr>
          <w:spacing w:val="-3"/>
        </w:rPr>
        <w:t xml:space="preserve"> </w:t>
      </w:r>
      <w:r>
        <w:t>as</w:t>
      </w:r>
      <w:r>
        <w:rPr>
          <w:spacing w:val="-3"/>
        </w:rPr>
        <w:t xml:space="preserve"> </w:t>
      </w:r>
      <w:r>
        <w:t>a</w:t>
      </w:r>
      <w:r>
        <w:rPr>
          <w:spacing w:val="-4"/>
        </w:rPr>
        <w:t xml:space="preserve"> </w:t>
      </w:r>
      <w:r>
        <w:t>resource</w:t>
      </w:r>
      <w:r>
        <w:rPr>
          <w:spacing w:val="-4"/>
        </w:rPr>
        <w:t xml:space="preserve"> </w:t>
      </w:r>
      <w:r>
        <w:t>to</w:t>
      </w:r>
      <w:r>
        <w:rPr>
          <w:spacing w:val="-3"/>
        </w:rPr>
        <w:t xml:space="preserve"> </w:t>
      </w:r>
      <w:r>
        <w:t>certifying actuaries, not as a requirement.</w:t>
      </w:r>
    </w:p>
    <w:p>
      <w:pPr>
        <w:spacing w:after="0"/>
        <w:sectPr>
          <w:pgSz w:w="12240" w:h="15840"/>
          <w:pgMar w:top="1340" w:right="1000" w:bottom="940" w:left="1360" w:header="727" w:footer="747"/>
          <w:cols w:space="720"/>
        </w:sectPr>
      </w:pPr>
    </w:p>
    <w:p>
      <w:pPr>
        <w:pStyle w:val="BodyText"/>
        <w:spacing w:before="87"/>
        <w:ind w:left="224" w:right="478"/>
      </w:pPr>
      <w:r>
        <w:t xml:space="preserve">Information on the development of the CMS guidelines for full credibility can be found at </w:t>
      </w:r>
      <w:hyperlink r:id="rId15">
        <w:r>
          <w:rPr>
            <w:color w:val="0000FF"/>
            <w:spacing w:val="-2"/>
            <w:u w:val="single" w:color="0000FF"/>
          </w:rPr>
          <w:t>https://www.cms.gov/Medicare/Health-Plans/MedicareAdvtgSpecRateStats/Bid-Pricing-Tools-</w:t>
        </w:r>
      </w:hyperlink>
      <w:r>
        <w:rPr>
          <w:color w:val="0000FF"/>
          <w:spacing w:val="-2"/>
          <w:u w:val="none"/>
        </w:rPr>
        <w:t xml:space="preserve"> </w:t>
      </w:r>
      <w:hyperlink r:id="rId15">
        <w:r>
          <w:rPr>
            <w:color w:val="0000FF"/>
            <w:spacing w:val="-2"/>
            <w:u w:val="single" w:color="0000FF"/>
          </w:rPr>
          <w:t>and-Instructions-Items/BidGuidance</w:t>
        </w:r>
        <w:r>
          <w:rPr>
            <w:spacing w:val="-2"/>
            <w:u w:val="none"/>
          </w:rPr>
          <w:t>.</w:t>
        </w:r>
      </w:hyperlink>
    </w:p>
    <w:p>
      <w:pPr>
        <w:spacing w:before="240"/>
        <w:ind w:left="944" w:right="0" w:firstLine="0"/>
        <w:jc w:val="left"/>
        <w:rPr>
          <w:rFonts w:ascii="Arial"/>
          <w:b/>
          <w:i/>
          <w:sz w:val="21"/>
        </w:rPr>
      </w:pPr>
      <w:r>
        <w:rPr>
          <w:rFonts w:ascii="Arial"/>
          <w:b/>
          <w:i/>
          <w:sz w:val="21"/>
        </w:rPr>
        <w:t>Claims</w:t>
      </w:r>
      <w:r>
        <w:rPr>
          <w:rFonts w:ascii="Arial"/>
          <w:b/>
          <w:i/>
          <w:spacing w:val="-8"/>
          <w:sz w:val="21"/>
        </w:rPr>
        <w:t xml:space="preserve"> </w:t>
      </w:r>
      <w:r>
        <w:rPr>
          <w:rFonts w:ascii="Arial"/>
          <w:b/>
          <w:i/>
          <w:spacing w:val="-2"/>
          <w:sz w:val="21"/>
        </w:rPr>
        <w:t>Credibility</w:t>
      </w:r>
    </w:p>
    <w:p>
      <w:pPr>
        <w:pStyle w:val="BodyText"/>
        <w:spacing w:before="121"/>
      </w:pPr>
      <w:r>
        <w:t>This</w:t>
      </w:r>
      <w:r>
        <w:rPr>
          <w:spacing w:val="-2"/>
        </w:rPr>
        <w:t xml:space="preserve"> </w:t>
      </w:r>
      <w:r>
        <w:t>section</w:t>
      </w:r>
      <w:r>
        <w:rPr>
          <w:spacing w:val="-2"/>
        </w:rPr>
        <w:t xml:space="preserve"> </w:t>
      </w:r>
      <w:r>
        <w:t>pertains</w:t>
      </w:r>
      <w:r>
        <w:rPr>
          <w:spacing w:val="-1"/>
        </w:rPr>
        <w:t xml:space="preserve"> </w:t>
      </w:r>
      <w:r>
        <w:t>to</w:t>
      </w:r>
      <w:r>
        <w:rPr>
          <w:spacing w:val="-2"/>
        </w:rPr>
        <w:t xml:space="preserve"> </w:t>
      </w:r>
      <w:r>
        <w:t>the credibility</w:t>
      </w:r>
      <w:r>
        <w:rPr>
          <w:spacing w:val="-2"/>
        </w:rPr>
        <w:t xml:space="preserve"> </w:t>
      </w:r>
      <w:r>
        <w:t>percentages</w:t>
      </w:r>
      <w:r>
        <w:rPr>
          <w:spacing w:val="-1"/>
        </w:rPr>
        <w:t xml:space="preserve"> </w:t>
      </w:r>
      <w:r>
        <w:t>on</w:t>
      </w:r>
      <w:r>
        <w:rPr>
          <w:spacing w:val="-2"/>
        </w:rPr>
        <w:t xml:space="preserve"> </w:t>
      </w:r>
      <w:r>
        <w:t>Worksheet</w:t>
      </w:r>
      <w:r>
        <w:rPr>
          <w:spacing w:val="-1"/>
        </w:rPr>
        <w:t xml:space="preserve"> </w:t>
      </w:r>
      <w:r>
        <w:rPr>
          <w:spacing w:val="-5"/>
        </w:rPr>
        <w:t>2.</w:t>
      </w:r>
    </w:p>
    <w:p>
      <w:pPr>
        <w:pStyle w:val="BodyText"/>
      </w:pPr>
      <w:r>
        <w:t>CMS</w:t>
      </w:r>
      <w:r>
        <w:rPr>
          <w:spacing w:val="-1"/>
        </w:rPr>
        <w:t xml:space="preserve"> </w:t>
      </w:r>
      <w:r>
        <w:t>has</w:t>
      </w:r>
      <w:r>
        <w:rPr>
          <w:spacing w:val="-1"/>
        </w:rPr>
        <w:t xml:space="preserve"> </w:t>
      </w:r>
      <w:r>
        <w:t>established</w:t>
      </w:r>
      <w:r>
        <w:rPr>
          <w:spacing w:val="-1"/>
        </w:rPr>
        <w:t xml:space="preserve"> </w:t>
      </w:r>
      <w:r>
        <w:t>Part</w:t>
      </w:r>
      <w:r>
        <w:rPr>
          <w:spacing w:val="-1"/>
        </w:rPr>
        <w:t xml:space="preserve"> </w:t>
      </w:r>
      <w:r>
        <w:t>D</w:t>
      </w:r>
      <w:r>
        <w:rPr>
          <w:spacing w:val="-1"/>
        </w:rPr>
        <w:t xml:space="preserve"> </w:t>
      </w:r>
      <w:r>
        <w:t>credibility</w:t>
      </w:r>
      <w:r>
        <w:rPr>
          <w:spacing w:val="-1"/>
        </w:rPr>
        <w:t xml:space="preserve"> </w:t>
      </w:r>
      <w:r>
        <w:t>guidelines</w:t>
      </w:r>
      <w:r>
        <w:rPr>
          <w:spacing w:val="-1"/>
        </w:rPr>
        <w:t xml:space="preserve"> </w:t>
      </w:r>
      <w:r>
        <w:t>as</w:t>
      </w:r>
      <w:r>
        <w:rPr>
          <w:spacing w:val="-2"/>
        </w:rPr>
        <w:t xml:space="preserve"> </w:t>
      </w:r>
      <w:r>
        <w:t>summarized</w:t>
      </w:r>
      <w:r>
        <w:rPr>
          <w:spacing w:val="-1"/>
        </w:rPr>
        <w:t xml:space="preserve"> </w:t>
      </w:r>
      <w:r>
        <w:t>in</w:t>
      </w:r>
      <w:r>
        <w:rPr>
          <w:spacing w:val="-1"/>
        </w:rPr>
        <w:t xml:space="preserve"> </w:t>
      </w:r>
      <w:r>
        <w:t>the</w:t>
      </w:r>
      <w:r>
        <w:rPr>
          <w:spacing w:val="-1"/>
        </w:rPr>
        <w:t xml:space="preserve"> </w:t>
      </w:r>
      <w:r>
        <w:t>following</w:t>
      </w:r>
      <w:r>
        <w:rPr>
          <w:spacing w:val="-1"/>
        </w:rPr>
        <w:t xml:space="preserve"> </w:t>
      </w:r>
      <w:r>
        <w:rPr>
          <w:spacing w:val="-2"/>
        </w:rPr>
        <w:t>table:</w:t>
      </w:r>
    </w:p>
    <w:p>
      <w:pPr>
        <w:pStyle w:val="BodyText"/>
        <w:spacing w:before="5" w:after="1"/>
        <w:ind w:left="0"/>
        <w:rPr>
          <w:sz w:val="10"/>
        </w:rPr>
      </w:pPr>
    </w:p>
    <w:tbl>
      <w:tblPr>
        <w:tblStyle w:val="TableNormal"/>
        <w:tblW w:w="0" w:type="auto"/>
        <w:jc w:val="left"/>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9"/>
        <w:gridCol w:w="3240"/>
        <w:gridCol w:w="2609"/>
      </w:tblGrid>
      <w:tr>
        <w:tblPrEx>
          <w:tblW w:w="0" w:type="auto"/>
          <w:jc w:val="left"/>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91"/>
          <w:jc w:val="left"/>
        </w:trPr>
        <w:tc>
          <w:tcPr>
            <w:tcW w:w="2439" w:type="dxa"/>
          </w:tcPr>
          <w:p>
            <w:pPr>
              <w:pStyle w:val="TableParagraph"/>
              <w:spacing w:before="118"/>
              <w:ind w:left="0"/>
              <w:rPr>
                <w:sz w:val="24"/>
              </w:rPr>
            </w:pPr>
          </w:p>
          <w:p>
            <w:pPr>
              <w:pStyle w:val="TableParagraph"/>
              <w:spacing w:before="1"/>
              <w:ind w:left="115"/>
              <w:rPr>
                <w:sz w:val="24"/>
              </w:rPr>
            </w:pPr>
            <w:r>
              <w:rPr>
                <w:sz w:val="24"/>
              </w:rPr>
              <w:t>Subject</w:t>
            </w:r>
            <w:r>
              <w:rPr>
                <w:spacing w:val="-2"/>
                <w:sz w:val="24"/>
              </w:rPr>
              <w:t xml:space="preserve"> Experience</w:t>
            </w:r>
          </w:p>
        </w:tc>
        <w:tc>
          <w:tcPr>
            <w:tcW w:w="3240" w:type="dxa"/>
          </w:tcPr>
          <w:p>
            <w:pPr>
              <w:pStyle w:val="TableParagraph"/>
              <w:spacing w:before="119"/>
              <w:ind w:left="1096" w:hanging="797"/>
              <w:rPr>
                <w:sz w:val="24"/>
              </w:rPr>
            </w:pPr>
            <w:r>
              <w:rPr>
                <w:sz w:val="24"/>
              </w:rPr>
              <w:t>Exposure</w:t>
            </w:r>
            <w:r>
              <w:rPr>
                <w:spacing w:val="-14"/>
                <w:sz w:val="24"/>
              </w:rPr>
              <w:t xml:space="preserve"> </w:t>
            </w:r>
            <w:r>
              <w:rPr>
                <w:sz w:val="24"/>
              </w:rPr>
              <w:t>Required</w:t>
            </w:r>
            <w:r>
              <w:rPr>
                <w:spacing w:val="-12"/>
                <w:sz w:val="24"/>
              </w:rPr>
              <w:t xml:space="preserve"> </w:t>
            </w:r>
            <w:r>
              <w:rPr>
                <w:sz w:val="24"/>
              </w:rPr>
              <w:t>for</w:t>
            </w:r>
            <w:r>
              <w:rPr>
                <w:spacing w:val="-13"/>
                <w:sz w:val="24"/>
              </w:rPr>
              <w:t xml:space="preserve"> </w:t>
            </w:r>
            <w:r>
              <w:rPr>
                <w:sz w:val="24"/>
              </w:rPr>
              <w:t xml:space="preserve">Full </w:t>
            </w:r>
            <w:r>
              <w:rPr>
                <w:spacing w:val="-2"/>
                <w:sz w:val="24"/>
              </w:rPr>
              <w:t>Credibility</w:t>
            </w:r>
          </w:p>
        </w:tc>
        <w:tc>
          <w:tcPr>
            <w:tcW w:w="2609" w:type="dxa"/>
          </w:tcPr>
          <w:p>
            <w:pPr>
              <w:pStyle w:val="TableParagraph"/>
              <w:spacing w:before="119"/>
              <w:ind w:left="439" w:firstLine="4"/>
              <w:rPr>
                <w:sz w:val="24"/>
              </w:rPr>
            </w:pPr>
            <w:r>
              <w:rPr>
                <w:sz w:val="24"/>
              </w:rPr>
              <w:t>CMS</w:t>
            </w:r>
            <w:r>
              <w:rPr>
                <w:spacing w:val="-15"/>
                <w:sz w:val="24"/>
              </w:rPr>
              <w:t xml:space="preserve"> </w:t>
            </w:r>
            <w:r>
              <w:rPr>
                <w:sz w:val="24"/>
              </w:rPr>
              <w:t>Formula</w:t>
            </w:r>
            <w:r>
              <w:rPr>
                <w:spacing w:val="-15"/>
                <w:sz w:val="24"/>
              </w:rPr>
              <w:t xml:space="preserve"> </w:t>
            </w:r>
            <w:r>
              <w:rPr>
                <w:sz w:val="24"/>
              </w:rPr>
              <w:t>for Partial</w:t>
            </w:r>
            <w:r>
              <w:rPr>
                <w:spacing w:val="-1"/>
                <w:sz w:val="24"/>
              </w:rPr>
              <w:t xml:space="preserve"> </w:t>
            </w:r>
            <w:r>
              <w:rPr>
                <w:spacing w:val="-2"/>
                <w:sz w:val="24"/>
              </w:rPr>
              <w:t>Credibility</w:t>
            </w:r>
          </w:p>
        </w:tc>
      </w:tr>
      <w:tr>
        <w:tblPrEx>
          <w:tblW w:w="0" w:type="auto"/>
          <w:jc w:val="left"/>
          <w:tblInd w:w="1062" w:type="dxa"/>
          <w:tblLayout w:type="fixed"/>
          <w:tblCellMar>
            <w:top w:w="0" w:type="dxa"/>
            <w:left w:w="0" w:type="dxa"/>
            <w:bottom w:w="0" w:type="dxa"/>
            <w:right w:w="0" w:type="dxa"/>
          </w:tblCellMar>
          <w:tblLook w:val="01E0"/>
        </w:tblPrEx>
        <w:trPr>
          <w:trHeight w:val="1092"/>
          <w:jc w:val="left"/>
        </w:trPr>
        <w:tc>
          <w:tcPr>
            <w:tcW w:w="2439" w:type="dxa"/>
          </w:tcPr>
          <w:p>
            <w:pPr>
              <w:pStyle w:val="TableParagraph"/>
              <w:spacing w:before="131"/>
              <w:ind w:left="0"/>
              <w:rPr>
                <w:sz w:val="24"/>
              </w:rPr>
            </w:pPr>
          </w:p>
          <w:p>
            <w:pPr>
              <w:pStyle w:val="TableParagraph"/>
              <w:ind w:left="115"/>
              <w:rPr>
                <w:sz w:val="24"/>
              </w:rPr>
            </w:pPr>
            <w:r>
              <w:rPr>
                <w:sz w:val="24"/>
              </w:rPr>
              <w:t>Allowed</w:t>
            </w:r>
            <w:r>
              <w:rPr>
                <w:spacing w:val="-3"/>
                <w:sz w:val="24"/>
              </w:rPr>
              <w:t xml:space="preserve"> </w:t>
            </w:r>
            <w:r>
              <w:rPr>
                <w:spacing w:val="-2"/>
                <w:sz w:val="24"/>
              </w:rPr>
              <w:t>Costs</w:t>
            </w:r>
          </w:p>
        </w:tc>
        <w:tc>
          <w:tcPr>
            <w:tcW w:w="3240" w:type="dxa"/>
          </w:tcPr>
          <w:p>
            <w:pPr>
              <w:pStyle w:val="TableParagraph"/>
              <w:spacing w:before="131"/>
              <w:ind w:left="0"/>
              <w:rPr>
                <w:sz w:val="24"/>
              </w:rPr>
            </w:pPr>
          </w:p>
          <w:p>
            <w:pPr>
              <w:pStyle w:val="TableParagraph"/>
              <w:ind w:left="479"/>
              <w:rPr>
                <w:sz w:val="24"/>
              </w:rPr>
            </w:pPr>
            <w:r>
              <w:rPr>
                <w:sz w:val="24"/>
              </w:rPr>
              <w:t>60,000</w:t>
            </w:r>
            <w:r>
              <w:rPr>
                <w:spacing w:val="-1"/>
                <w:sz w:val="24"/>
              </w:rPr>
              <w:t xml:space="preserve"> </w:t>
            </w:r>
            <w:r>
              <w:rPr>
                <w:sz w:val="24"/>
              </w:rPr>
              <w:t xml:space="preserve">member </w:t>
            </w:r>
            <w:r>
              <w:rPr>
                <w:spacing w:val="-2"/>
                <w:sz w:val="24"/>
              </w:rPr>
              <w:t>months</w:t>
            </w:r>
          </w:p>
        </w:tc>
        <w:tc>
          <w:tcPr>
            <w:tcW w:w="2609" w:type="dxa"/>
          </w:tcPr>
          <w:p>
            <w:pPr>
              <w:pStyle w:val="TableParagraph"/>
              <w:spacing w:before="9"/>
              <w:ind w:left="0"/>
              <w:rPr>
                <w:sz w:val="14"/>
              </w:rPr>
            </w:pPr>
          </w:p>
          <w:p>
            <w:pPr>
              <w:pStyle w:val="TableParagraph"/>
              <w:spacing w:line="20" w:lineRule="exact"/>
              <w:ind w:left="523"/>
              <w:rPr>
                <w:sz w:val="2"/>
              </w:rPr>
            </w:pPr>
            <w:r>
              <w:rPr>
                <w:sz w:val="2"/>
              </w:rPr>
              <mc:AlternateContent>
                <mc:Choice Requires="wpg">
                  <w:drawing>
                    <wp:inline distT="0" distB="0" distL="0" distR="0">
                      <wp:extent cx="1109980" cy="10795"/>
                      <wp:effectExtent l="0" t="0" r="0" b="0"/>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1109980" cy="10795"/>
                                <a:chOff x="0" y="0"/>
                                <a:chExt cx="1109980" cy="10795"/>
                              </a:xfrm>
                            </wpg:grpSpPr>
                            <wps:wsp xmlns:wps="http://schemas.microsoft.com/office/word/2010/wordprocessingShape">
                              <wps:cNvPr id="13" name="Graphic 13"/>
                              <wps:cNvSpPr/>
                              <wps:spPr>
                                <a:xfrm>
                                  <a:off x="0" y="0"/>
                                  <a:ext cx="1109980" cy="10795"/>
                                </a:xfrm>
                                <a:custGeom>
                                  <a:avLst/>
                                  <a:gdLst/>
                                  <a:rect l="l" t="t" r="r" b="b"/>
                                  <a:pathLst>
                                    <a:path fill="norm" h="10795" w="1109980" stroke="1">
                                      <a:moveTo>
                                        <a:pt x="1109776" y="0"/>
                                      </a:moveTo>
                                      <a:lnTo>
                                        <a:pt x="0" y="0"/>
                                      </a:lnTo>
                                      <a:lnTo>
                                        <a:pt x="0" y="10668"/>
                                      </a:lnTo>
                                      <a:lnTo>
                                        <a:pt x="1109776" y="10668"/>
                                      </a:lnTo>
                                      <a:lnTo>
                                        <a:pt x="1109776"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27" style="width:87.4pt;height:0.85pt;mso-position-horizontal-relative:char;mso-position-vertical-relative:line" coordorigin="0,0" coordsize="1748,17">
                      <v:rect id="_x0000_s1028" style="width:1748;height:17;position:absolute" filled="t" fillcolor="black" stroked="f">
                        <v:fill type="solid"/>
                      </v:rect>
                      <w10:wrap type="none"/>
                    </v:group>
                  </w:pict>
                </mc:Fallback>
              </mc:AlternateContent>
            </w:r>
          </w:p>
          <w:p>
            <w:pPr>
              <w:pStyle w:val="TableParagraph"/>
              <w:spacing w:before="64" w:line="224" w:lineRule="exact"/>
              <w:ind w:left="576"/>
              <w:rPr>
                <w:rFonts w:ascii="Cambria Math"/>
                <w:sz w:val="24"/>
              </w:rPr>
            </w:pPr>
            <w:r>
              <w:rPr>
                <w:rFonts w:ascii="Cambria Math"/>
                <w:sz w:val="24"/>
              </w:rPr>
              <w:t>member</w:t>
            </w:r>
            <w:r>
              <w:rPr>
                <w:rFonts w:ascii="Cambria Math"/>
                <w:spacing w:val="-1"/>
                <w:sz w:val="24"/>
              </w:rPr>
              <w:t xml:space="preserve"> </w:t>
            </w:r>
            <w:r>
              <w:rPr>
                <w:rFonts w:ascii="Cambria Math"/>
                <w:spacing w:val="-2"/>
                <w:sz w:val="24"/>
              </w:rPr>
              <w:t>months</w:t>
            </w:r>
          </w:p>
          <w:p>
            <w:pPr>
              <w:pStyle w:val="TableParagraph"/>
              <w:spacing w:line="172" w:lineRule="exact"/>
              <w:ind w:left="338"/>
              <w:rPr>
                <w:rFonts w:ascii="Cambria Math" w:hAnsi="Cambria Math"/>
                <w:sz w:val="24"/>
              </w:rPr>
            </w:pPr>
            <w:r>
              <mc:AlternateContent>
                <mc:Choice Requires="wpg">
                  <w:drawing>
                    <wp:anchor distT="0" distB="0" distL="0" distR="0" simplePos="0" relativeHeight="251658240" behindDoc="1" locked="0" layoutInCell="1" allowOverlap="1">
                      <wp:simplePos x="0" y="0"/>
                      <wp:positionH relativeFrom="column">
                        <wp:posOffset>332232</wp:posOffset>
                      </wp:positionH>
                      <wp:positionV relativeFrom="paragraph">
                        <wp:posOffset>69763</wp:posOffset>
                      </wp:positionV>
                      <wp:extent cx="1109980" cy="10795"/>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109980" cy="10795"/>
                                <a:chOff x="0" y="0"/>
                                <a:chExt cx="1109980" cy="10795"/>
                              </a:xfrm>
                            </wpg:grpSpPr>
                            <wps:wsp xmlns:wps="http://schemas.microsoft.com/office/word/2010/wordprocessingShape">
                              <wps:cNvPr id="15" name="Graphic 15"/>
                              <wps:cNvSpPr/>
                              <wps:spPr>
                                <a:xfrm>
                                  <a:off x="0" y="0"/>
                                  <a:ext cx="1109980" cy="10795"/>
                                </a:xfrm>
                                <a:custGeom>
                                  <a:avLst/>
                                  <a:gdLst/>
                                  <a:rect l="l" t="t" r="r" b="b"/>
                                  <a:pathLst>
                                    <a:path fill="norm" h="10795" w="1109980" stroke="1">
                                      <a:moveTo>
                                        <a:pt x="1109776" y="0"/>
                                      </a:moveTo>
                                      <a:lnTo>
                                        <a:pt x="0" y="0"/>
                                      </a:lnTo>
                                      <a:lnTo>
                                        <a:pt x="0" y="10668"/>
                                      </a:lnTo>
                                      <a:lnTo>
                                        <a:pt x="1109776" y="10668"/>
                                      </a:lnTo>
                                      <a:lnTo>
                                        <a:pt x="1109776"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_x0000_s1029" style="width:87.4pt;height:0.85pt;margin-top:5.49pt;margin-left:26.16pt;position:absolute;z-index:-251657216" coordorigin="523,110" coordsize="1748,17">
                      <v:rect id="_x0000_s1030" style="width:1748;height:17;left:523;position:absolute;top:109" filled="t" fillcolor="black" stroked="f">
                        <v:fill type="solid"/>
                      </v:rect>
                    </v:group>
                  </w:pict>
                </mc:Fallback>
              </mc:AlternateContent>
            </w:r>
            <w:r>
              <w:rPr>
                <w:rFonts w:ascii="Cambria Math" w:hAnsi="Cambria Math"/>
                <w:spacing w:val="-10"/>
                <w:w w:val="115"/>
                <w:sz w:val="24"/>
              </w:rPr>
              <w:t>√</w:t>
            </w:r>
          </w:p>
          <w:p>
            <w:pPr>
              <w:pStyle w:val="TableParagraph"/>
              <w:spacing w:line="229" w:lineRule="exact"/>
              <w:ind w:left="1039"/>
              <w:rPr>
                <w:rFonts w:ascii="Cambria Math"/>
                <w:sz w:val="24"/>
              </w:rPr>
            </w:pPr>
            <w:r>
              <w:rPr>
                <w:rFonts w:ascii="Cambria Math"/>
                <w:spacing w:val="-2"/>
                <w:sz w:val="24"/>
              </w:rPr>
              <w:t>60,000</w:t>
            </w:r>
          </w:p>
        </w:tc>
      </w:tr>
    </w:tbl>
    <w:p>
      <w:pPr>
        <w:spacing w:before="240"/>
        <w:ind w:left="944" w:right="0" w:firstLine="0"/>
        <w:jc w:val="left"/>
        <w:rPr>
          <w:rFonts w:ascii="Arial"/>
          <w:b/>
          <w:i/>
          <w:sz w:val="21"/>
        </w:rPr>
      </w:pPr>
      <w:r>
        <w:rPr>
          <w:rFonts w:ascii="Arial"/>
          <w:b/>
          <w:i/>
          <w:sz w:val="21"/>
        </w:rPr>
        <w:t>Risk</w:t>
      </w:r>
      <w:r>
        <w:rPr>
          <w:rFonts w:ascii="Arial"/>
          <w:b/>
          <w:i/>
          <w:spacing w:val="-5"/>
          <w:sz w:val="21"/>
        </w:rPr>
        <w:t xml:space="preserve"> </w:t>
      </w:r>
      <w:r>
        <w:rPr>
          <w:rFonts w:ascii="Arial"/>
          <w:b/>
          <w:i/>
          <w:sz w:val="21"/>
        </w:rPr>
        <w:t>Score</w:t>
      </w:r>
      <w:r>
        <w:rPr>
          <w:rFonts w:ascii="Arial"/>
          <w:b/>
          <w:i/>
          <w:spacing w:val="-5"/>
          <w:sz w:val="21"/>
        </w:rPr>
        <w:t xml:space="preserve"> </w:t>
      </w:r>
      <w:r>
        <w:rPr>
          <w:rFonts w:ascii="Arial"/>
          <w:b/>
          <w:i/>
          <w:spacing w:val="-2"/>
          <w:sz w:val="21"/>
        </w:rPr>
        <w:t>Credibility</w:t>
      </w:r>
    </w:p>
    <w:p>
      <w:pPr>
        <w:pStyle w:val="BodyText"/>
        <w:spacing w:before="118"/>
        <w:ind w:right="478"/>
      </w:pPr>
      <w:r>
        <w:t>This section pertains to the credibility of risk scores based on the CMS preferred methodology.</w:t>
      </w:r>
      <w:r>
        <w:rPr>
          <w:spacing w:val="-4"/>
        </w:rPr>
        <w:t xml:space="preserve"> </w:t>
      </w:r>
      <w:r>
        <w:t>CMS</w:t>
      </w:r>
      <w:r>
        <w:rPr>
          <w:spacing w:val="-4"/>
        </w:rPr>
        <w:t xml:space="preserve"> </w:t>
      </w:r>
      <w:r>
        <w:t>has</w:t>
      </w:r>
      <w:r>
        <w:rPr>
          <w:spacing w:val="-4"/>
        </w:rPr>
        <w:t xml:space="preserve"> </w:t>
      </w:r>
      <w:r>
        <w:t>not</w:t>
      </w:r>
      <w:r>
        <w:rPr>
          <w:spacing w:val="-4"/>
        </w:rPr>
        <w:t xml:space="preserve"> </w:t>
      </w:r>
      <w:r>
        <w:t>developed</w:t>
      </w:r>
      <w:r>
        <w:rPr>
          <w:spacing w:val="-4"/>
        </w:rPr>
        <w:t xml:space="preserve"> </w:t>
      </w:r>
      <w:r>
        <w:t>credibility</w:t>
      </w:r>
      <w:r>
        <w:rPr>
          <w:spacing w:val="-4"/>
        </w:rPr>
        <w:t xml:space="preserve"> </w:t>
      </w:r>
      <w:r>
        <w:t>guidelines</w:t>
      </w:r>
      <w:r>
        <w:rPr>
          <w:spacing w:val="-4"/>
        </w:rPr>
        <w:t xml:space="preserve"> </w:t>
      </w:r>
      <w:r>
        <w:t>for</w:t>
      </w:r>
      <w:r>
        <w:rPr>
          <w:spacing w:val="-6"/>
        </w:rPr>
        <w:t xml:space="preserve"> </w:t>
      </w:r>
      <w:r>
        <w:t>risk</w:t>
      </w:r>
      <w:r>
        <w:rPr>
          <w:spacing w:val="-4"/>
        </w:rPr>
        <w:t xml:space="preserve"> </w:t>
      </w:r>
      <w:r>
        <w:t>scores</w:t>
      </w:r>
      <w:r>
        <w:rPr>
          <w:spacing w:val="-2"/>
        </w:rPr>
        <w:t xml:space="preserve"> </w:t>
      </w:r>
      <w:r>
        <w:t>based</w:t>
      </w:r>
      <w:r>
        <w:rPr>
          <w:spacing w:val="-4"/>
        </w:rPr>
        <w:t xml:space="preserve"> </w:t>
      </w:r>
      <w:r>
        <w:t>on alternate approaches.</w:t>
      </w:r>
    </w:p>
    <w:p>
      <w:pPr>
        <w:pStyle w:val="BodyText"/>
      </w:pPr>
      <w:r>
        <w:t>CMS</w:t>
      </w:r>
      <w:r>
        <w:rPr>
          <w:spacing w:val="-1"/>
        </w:rPr>
        <w:t xml:space="preserve"> </w:t>
      </w:r>
      <w:r>
        <w:t>has</w:t>
      </w:r>
      <w:r>
        <w:rPr>
          <w:spacing w:val="-1"/>
        </w:rPr>
        <w:t xml:space="preserve"> </w:t>
      </w:r>
      <w:r>
        <w:t>established</w:t>
      </w:r>
      <w:r>
        <w:rPr>
          <w:spacing w:val="-1"/>
        </w:rPr>
        <w:t xml:space="preserve"> </w:t>
      </w:r>
      <w:r>
        <w:t>Part</w:t>
      </w:r>
      <w:r>
        <w:rPr>
          <w:spacing w:val="-1"/>
        </w:rPr>
        <w:t xml:space="preserve"> </w:t>
      </w:r>
      <w:r>
        <w:t>D</w:t>
      </w:r>
      <w:r>
        <w:rPr>
          <w:spacing w:val="-1"/>
        </w:rPr>
        <w:t xml:space="preserve"> </w:t>
      </w:r>
      <w:r>
        <w:t>credibility</w:t>
      </w:r>
      <w:r>
        <w:rPr>
          <w:spacing w:val="-1"/>
        </w:rPr>
        <w:t xml:space="preserve"> </w:t>
      </w:r>
      <w:r>
        <w:t>guidelines</w:t>
      </w:r>
      <w:r>
        <w:rPr>
          <w:spacing w:val="-1"/>
        </w:rPr>
        <w:t xml:space="preserve"> </w:t>
      </w:r>
      <w:r>
        <w:t>as</w:t>
      </w:r>
      <w:r>
        <w:rPr>
          <w:spacing w:val="-2"/>
        </w:rPr>
        <w:t xml:space="preserve"> </w:t>
      </w:r>
      <w:r>
        <w:t>summarized</w:t>
      </w:r>
      <w:r>
        <w:rPr>
          <w:spacing w:val="-1"/>
        </w:rPr>
        <w:t xml:space="preserve"> </w:t>
      </w:r>
      <w:r>
        <w:t>in</w:t>
      </w:r>
      <w:r>
        <w:rPr>
          <w:spacing w:val="-1"/>
        </w:rPr>
        <w:t xml:space="preserve"> </w:t>
      </w:r>
      <w:r>
        <w:t>the</w:t>
      </w:r>
      <w:r>
        <w:rPr>
          <w:spacing w:val="-1"/>
        </w:rPr>
        <w:t xml:space="preserve"> </w:t>
      </w:r>
      <w:r>
        <w:t>following</w:t>
      </w:r>
      <w:r>
        <w:rPr>
          <w:spacing w:val="-1"/>
        </w:rPr>
        <w:t xml:space="preserve"> </w:t>
      </w:r>
      <w:r>
        <w:rPr>
          <w:spacing w:val="-2"/>
        </w:rPr>
        <w:t>table:</w:t>
      </w:r>
    </w:p>
    <w:p>
      <w:pPr>
        <w:pStyle w:val="BodyText"/>
        <w:spacing w:before="6"/>
        <w:ind w:left="0"/>
        <w:rPr>
          <w:sz w:val="10"/>
        </w:rPr>
      </w:pPr>
    </w:p>
    <w:tbl>
      <w:tblPr>
        <w:tblStyle w:val="TableNormal"/>
        <w:tblW w:w="0" w:type="auto"/>
        <w:jc w:val="left"/>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1"/>
        <w:gridCol w:w="2432"/>
        <w:gridCol w:w="2850"/>
      </w:tblGrid>
      <w:tr>
        <w:tblPrEx>
          <w:tblW w:w="0" w:type="auto"/>
          <w:jc w:val="left"/>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91"/>
          <w:jc w:val="left"/>
        </w:trPr>
        <w:tc>
          <w:tcPr>
            <w:tcW w:w="2881" w:type="dxa"/>
          </w:tcPr>
          <w:p>
            <w:pPr>
              <w:pStyle w:val="TableParagraph"/>
              <w:spacing w:before="118"/>
              <w:ind w:left="0"/>
              <w:rPr>
                <w:sz w:val="24"/>
              </w:rPr>
            </w:pPr>
          </w:p>
          <w:p>
            <w:pPr>
              <w:pStyle w:val="TableParagraph"/>
              <w:spacing w:before="1"/>
              <w:ind w:left="115"/>
              <w:rPr>
                <w:sz w:val="24"/>
              </w:rPr>
            </w:pPr>
            <w:r>
              <w:rPr>
                <w:sz w:val="24"/>
              </w:rPr>
              <w:t>Subject</w:t>
            </w:r>
            <w:r>
              <w:rPr>
                <w:spacing w:val="-2"/>
                <w:sz w:val="24"/>
              </w:rPr>
              <w:t xml:space="preserve"> Experience</w:t>
            </w:r>
          </w:p>
        </w:tc>
        <w:tc>
          <w:tcPr>
            <w:tcW w:w="2432" w:type="dxa"/>
          </w:tcPr>
          <w:p>
            <w:pPr>
              <w:pStyle w:val="TableParagraph"/>
              <w:spacing w:before="119"/>
              <w:ind w:left="469" w:hanging="348"/>
              <w:rPr>
                <w:sz w:val="24"/>
              </w:rPr>
            </w:pPr>
            <w:r>
              <w:rPr>
                <w:sz w:val="24"/>
              </w:rPr>
              <w:t>Exposure</w:t>
            </w:r>
            <w:r>
              <w:rPr>
                <w:spacing w:val="-15"/>
                <w:sz w:val="24"/>
              </w:rPr>
              <w:t xml:space="preserve"> </w:t>
            </w:r>
            <w:r>
              <w:rPr>
                <w:sz w:val="24"/>
              </w:rPr>
              <w:t>Required</w:t>
            </w:r>
            <w:r>
              <w:rPr>
                <w:spacing w:val="-15"/>
                <w:sz w:val="24"/>
              </w:rPr>
              <w:t xml:space="preserve"> </w:t>
            </w:r>
            <w:r>
              <w:rPr>
                <w:sz w:val="24"/>
              </w:rPr>
              <w:t>for Full Credibility</w:t>
            </w:r>
          </w:p>
        </w:tc>
        <w:tc>
          <w:tcPr>
            <w:tcW w:w="2850" w:type="dxa"/>
          </w:tcPr>
          <w:p>
            <w:pPr>
              <w:pStyle w:val="TableParagraph"/>
              <w:spacing w:before="119"/>
              <w:ind w:left="558" w:firstLine="4"/>
              <w:rPr>
                <w:sz w:val="24"/>
              </w:rPr>
            </w:pPr>
            <w:r>
              <w:rPr>
                <w:sz w:val="24"/>
              </w:rPr>
              <w:t>CMS</w:t>
            </w:r>
            <w:r>
              <w:rPr>
                <w:spacing w:val="-15"/>
                <w:sz w:val="24"/>
              </w:rPr>
              <w:t xml:space="preserve"> </w:t>
            </w:r>
            <w:r>
              <w:rPr>
                <w:sz w:val="24"/>
              </w:rPr>
              <w:t>Formula</w:t>
            </w:r>
            <w:r>
              <w:rPr>
                <w:spacing w:val="-15"/>
                <w:sz w:val="24"/>
              </w:rPr>
              <w:t xml:space="preserve"> </w:t>
            </w:r>
            <w:r>
              <w:rPr>
                <w:sz w:val="24"/>
              </w:rPr>
              <w:t>for Partial</w:t>
            </w:r>
            <w:r>
              <w:rPr>
                <w:spacing w:val="-2"/>
                <w:sz w:val="24"/>
              </w:rPr>
              <w:t xml:space="preserve"> Credibility</w:t>
            </w:r>
          </w:p>
        </w:tc>
      </w:tr>
      <w:tr>
        <w:tblPrEx>
          <w:tblW w:w="0" w:type="auto"/>
          <w:jc w:val="left"/>
          <w:tblInd w:w="949" w:type="dxa"/>
          <w:tblLayout w:type="fixed"/>
          <w:tblCellMar>
            <w:top w:w="0" w:type="dxa"/>
            <w:left w:w="0" w:type="dxa"/>
            <w:bottom w:w="0" w:type="dxa"/>
            <w:right w:w="0" w:type="dxa"/>
          </w:tblCellMar>
          <w:tblLook w:val="01E0"/>
        </w:tblPrEx>
        <w:trPr>
          <w:trHeight w:val="1092"/>
          <w:jc w:val="left"/>
        </w:trPr>
        <w:tc>
          <w:tcPr>
            <w:tcW w:w="2881" w:type="dxa"/>
          </w:tcPr>
          <w:p>
            <w:pPr>
              <w:pStyle w:val="TableParagraph"/>
              <w:spacing w:before="148"/>
              <w:ind w:left="115" w:right="112"/>
              <w:rPr>
                <w:sz w:val="23"/>
              </w:rPr>
            </w:pPr>
            <w:r>
              <w:rPr>
                <w:sz w:val="23"/>
              </w:rPr>
              <w:t>Estimated</w:t>
            </w:r>
            <w:r>
              <w:rPr>
                <w:spacing w:val="-9"/>
                <w:sz w:val="23"/>
              </w:rPr>
              <w:t xml:space="preserve"> </w:t>
            </w:r>
            <w:r>
              <w:rPr>
                <w:sz w:val="23"/>
              </w:rPr>
              <w:t>Part</w:t>
            </w:r>
            <w:r>
              <w:rPr>
                <w:spacing w:val="-9"/>
                <w:sz w:val="23"/>
              </w:rPr>
              <w:t xml:space="preserve"> </w:t>
            </w:r>
            <w:r>
              <w:rPr>
                <w:sz w:val="23"/>
              </w:rPr>
              <w:t>D</w:t>
            </w:r>
            <w:r>
              <w:rPr>
                <w:spacing w:val="-11"/>
                <w:sz w:val="23"/>
              </w:rPr>
              <w:t xml:space="preserve"> </w:t>
            </w:r>
            <w:r>
              <w:rPr>
                <w:sz w:val="23"/>
              </w:rPr>
              <w:t>risk</w:t>
            </w:r>
            <w:r>
              <w:rPr>
                <w:spacing w:val="-10"/>
                <w:sz w:val="23"/>
              </w:rPr>
              <w:t xml:space="preserve"> </w:t>
            </w:r>
            <w:r>
              <w:rPr>
                <w:sz w:val="23"/>
              </w:rPr>
              <w:t>scores for development of 2026 bids as posted on HPMS</w:t>
            </w:r>
          </w:p>
        </w:tc>
        <w:tc>
          <w:tcPr>
            <w:tcW w:w="2432" w:type="dxa"/>
          </w:tcPr>
          <w:p>
            <w:pPr>
              <w:pStyle w:val="TableParagraph"/>
              <w:spacing w:before="131"/>
              <w:ind w:left="0"/>
              <w:rPr>
                <w:sz w:val="24"/>
              </w:rPr>
            </w:pPr>
          </w:p>
          <w:p>
            <w:pPr>
              <w:pStyle w:val="TableParagraph"/>
              <w:ind w:left="7" w:right="5"/>
              <w:jc w:val="center"/>
              <w:rPr>
                <w:sz w:val="24"/>
              </w:rPr>
            </w:pPr>
            <w:r>
              <w:rPr>
                <w:sz w:val="24"/>
              </w:rPr>
              <w:t xml:space="preserve">125 </w:t>
            </w:r>
            <w:r>
              <w:rPr>
                <w:spacing w:val="-2"/>
                <w:sz w:val="24"/>
              </w:rPr>
              <w:t>beneficiaries</w:t>
            </w:r>
          </w:p>
        </w:tc>
        <w:tc>
          <w:tcPr>
            <w:tcW w:w="2850" w:type="dxa"/>
          </w:tcPr>
          <w:p>
            <w:pPr>
              <w:pStyle w:val="TableParagraph"/>
              <w:ind w:left="0"/>
              <w:rPr>
                <w:sz w:val="15"/>
              </w:rPr>
            </w:pPr>
          </w:p>
          <w:p>
            <w:pPr>
              <w:pStyle w:val="TableParagraph"/>
              <w:spacing w:line="20" w:lineRule="exact"/>
              <w:ind w:left="296"/>
              <w:rPr>
                <w:sz w:val="2"/>
              </w:rPr>
            </w:pPr>
            <w:r>
              <w:rPr>
                <w:sz w:val="2"/>
              </w:rPr>
              <mc:AlternateContent>
                <mc:Choice Requires="wpg">
                  <w:drawing>
                    <wp:inline distT="0" distB="0" distL="0" distR="0">
                      <wp:extent cx="1579245" cy="10795"/>
                      <wp:effectExtent l="0" t="0" r="0" b="0"/>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1579245" cy="10795"/>
                                <a:chOff x="0" y="0"/>
                                <a:chExt cx="1579245" cy="10795"/>
                              </a:xfrm>
                            </wpg:grpSpPr>
                            <wps:wsp xmlns:wps="http://schemas.microsoft.com/office/word/2010/wordprocessingShape">
                              <wps:cNvPr id="17" name="Graphic 17"/>
                              <wps:cNvSpPr/>
                              <wps:spPr>
                                <a:xfrm>
                                  <a:off x="0" y="0"/>
                                  <a:ext cx="1579245" cy="10795"/>
                                </a:xfrm>
                                <a:custGeom>
                                  <a:avLst/>
                                  <a:gdLst/>
                                  <a:rect l="l" t="t" r="r" b="b"/>
                                  <a:pathLst>
                                    <a:path fill="norm" h="10795" w="1579245" stroke="1">
                                      <a:moveTo>
                                        <a:pt x="1579117" y="0"/>
                                      </a:moveTo>
                                      <a:lnTo>
                                        <a:pt x="0" y="0"/>
                                      </a:lnTo>
                                      <a:lnTo>
                                        <a:pt x="0" y="10667"/>
                                      </a:lnTo>
                                      <a:lnTo>
                                        <a:pt x="1579117" y="10667"/>
                                      </a:lnTo>
                                      <a:lnTo>
                                        <a:pt x="157911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31" style="width:124.35pt;height:0.85pt;mso-position-horizontal-relative:char;mso-position-vertical-relative:line" coordorigin="0,0" coordsize="2487,17">
                      <v:rect id="_x0000_s1032" style="width:2487;height:17;position:absolute" filled="t" fillcolor="black" stroked="f">
                        <v:fill type="solid"/>
                      </v:rect>
                      <w10:wrap type="none"/>
                    </v:group>
                  </w:pict>
                </mc:Fallback>
              </mc:AlternateContent>
            </w:r>
          </w:p>
          <w:p>
            <w:pPr>
              <w:pStyle w:val="TableParagraph"/>
              <w:spacing w:before="94" w:line="192" w:lineRule="auto"/>
              <w:ind w:left="1340" w:hanging="1229"/>
              <w:rPr>
                <w:rFonts w:ascii="Cambria Math" w:hAnsi="Cambria Math"/>
                <w:sz w:val="24"/>
              </w:rPr>
            </w:pPr>
            <w:r>
              <mc:AlternateContent>
                <mc:Choice Requires="wpg">
                  <w:drawing>
                    <wp:anchor distT="0" distB="0" distL="0" distR="0" simplePos="0" relativeHeight="251660288" behindDoc="1" locked="0" layoutInCell="1" allowOverlap="1">
                      <wp:simplePos x="0" y="0"/>
                      <wp:positionH relativeFrom="column">
                        <wp:posOffset>188976</wp:posOffset>
                      </wp:positionH>
                      <wp:positionV relativeFrom="paragraph">
                        <wp:posOffset>261643</wp:posOffset>
                      </wp:positionV>
                      <wp:extent cx="1579245" cy="10795"/>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1579245" cy="10795"/>
                                <a:chOff x="0" y="0"/>
                                <a:chExt cx="1579245" cy="10795"/>
                              </a:xfrm>
                            </wpg:grpSpPr>
                            <wps:wsp xmlns:wps="http://schemas.microsoft.com/office/word/2010/wordprocessingShape">
                              <wps:cNvPr id="19" name="Graphic 19"/>
                              <wps:cNvSpPr/>
                              <wps:spPr>
                                <a:xfrm>
                                  <a:off x="0" y="0"/>
                                  <a:ext cx="1579245" cy="10795"/>
                                </a:xfrm>
                                <a:custGeom>
                                  <a:avLst/>
                                  <a:gdLst/>
                                  <a:rect l="l" t="t" r="r" b="b"/>
                                  <a:pathLst>
                                    <a:path fill="norm" h="10795" w="1579245" stroke="1">
                                      <a:moveTo>
                                        <a:pt x="1579117" y="0"/>
                                      </a:moveTo>
                                      <a:lnTo>
                                        <a:pt x="0" y="0"/>
                                      </a:lnTo>
                                      <a:lnTo>
                                        <a:pt x="0" y="10667"/>
                                      </a:lnTo>
                                      <a:lnTo>
                                        <a:pt x="1579117" y="10667"/>
                                      </a:lnTo>
                                      <a:lnTo>
                                        <a:pt x="1579117"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_x0000_s1033" style="width:124.35pt;height:0.85pt;margin-top:20.6pt;margin-left:14.88pt;position:absolute;z-index:-251655168" coordorigin="298,412" coordsize="2487,17">
                      <v:rect id="_x0000_s1034" style="width:2487;height:17;left:297;position:absolute;top:412" filled="t" fillcolor="black" stroked="f">
                        <v:fill type="solid"/>
                      </v:rect>
                    </v:group>
                  </w:pict>
                </mc:Fallback>
              </mc:AlternateContent>
            </w:r>
            <w:r>
              <w:rPr>
                <w:rFonts w:ascii="Cambria Math" w:hAnsi="Cambria Math"/>
                <w:position w:val="-14"/>
                <w:sz w:val="24"/>
              </w:rPr>
              <w:t>√</w:t>
            </w:r>
            <w:r>
              <w:rPr>
                <w:rFonts w:ascii="Cambria Math" w:hAnsi="Cambria Math"/>
                <w:spacing w:val="-2"/>
                <w:position w:val="-14"/>
                <w:sz w:val="24"/>
              </w:rPr>
              <w:t xml:space="preserve"> </w:t>
            </w:r>
            <w:r>
              <w:rPr>
                <w:rFonts w:ascii="Cambria Math" w:hAnsi="Cambria Math"/>
                <w:sz w:val="24"/>
              </w:rPr>
              <w:t>number</w:t>
            </w:r>
            <w:r>
              <w:rPr>
                <w:rFonts w:ascii="Cambria Math" w:hAnsi="Cambria Math"/>
                <w:spacing w:val="-5"/>
                <w:sz w:val="24"/>
              </w:rPr>
              <w:t xml:space="preserve"> </w:t>
            </w:r>
            <w:r>
              <w:rPr>
                <w:rFonts w:ascii="Cambria Math" w:hAnsi="Cambria Math"/>
                <w:sz w:val="24"/>
              </w:rPr>
              <w:t>of</w:t>
            </w:r>
            <w:r>
              <w:rPr>
                <w:rFonts w:ascii="Cambria Math" w:hAnsi="Cambria Math"/>
                <w:spacing w:val="-4"/>
                <w:sz w:val="24"/>
              </w:rPr>
              <w:t xml:space="preserve"> </w:t>
            </w:r>
            <w:r>
              <w:rPr>
                <w:rFonts w:ascii="Cambria Math" w:hAnsi="Cambria Math"/>
                <w:sz w:val="24"/>
              </w:rPr>
              <w:t xml:space="preserve">beneficiaries </w:t>
            </w:r>
            <w:r>
              <w:rPr>
                <w:rFonts w:ascii="Cambria Math" w:hAnsi="Cambria Math"/>
                <w:spacing w:val="-4"/>
                <w:sz w:val="24"/>
              </w:rPr>
              <w:t>125</w:t>
            </w:r>
          </w:p>
        </w:tc>
      </w:tr>
      <w:tr>
        <w:tblPrEx>
          <w:tblW w:w="0" w:type="auto"/>
          <w:jc w:val="left"/>
          <w:tblInd w:w="949" w:type="dxa"/>
          <w:tblLayout w:type="fixed"/>
          <w:tblCellMar>
            <w:top w:w="0" w:type="dxa"/>
            <w:left w:w="0" w:type="dxa"/>
            <w:bottom w:w="0" w:type="dxa"/>
            <w:right w:w="0" w:type="dxa"/>
          </w:tblCellMar>
          <w:tblLook w:val="01E0"/>
        </w:tblPrEx>
        <w:trPr>
          <w:trHeight w:val="1091"/>
          <w:jc w:val="left"/>
        </w:trPr>
        <w:tc>
          <w:tcPr>
            <w:tcW w:w="2881" w:type="dxa"/>
          </w:tcPr>
          <w:p>
            <w:pPr>
              <w:pStyle w:val="TableParagraph"/>
              <w:spacing w:before="147"/>
              <w:ind w:left="115"/>
              <w:rPr>
                <w:sz w:val="23"/>
              </w:rPr>
            </w:pPr>
            <w:r>
              <w:rPr>
                <w:sz w:val="23"/>
              </w:rPr>
              <w:t>Beneficiary-level file to support</w:t>
            </w:r>
            <w:r>
              <w:rPr>
                <w:spacing w:val="-6"/>
                <w:sz w:val="23"/>
              </w:rPr>
              <w:t xml:space="preserve"> </w:t>
            </w:r>
            <w:r>
              <w:rPr>
                <w:sz w:val="23"/>
              </w:rPr>
              <w:t>2026</w:t>
            </w:r>
            <w:r>
              <w:rPr>
                <w:spacing w:val="-7"/>
                <w:sz w:val="23"/>
              </w:rPr>
              <w:t xml:space="preserve"> </w:t>
            </w:r>
            <w:r>
              <w:rPr>
                <w:sz w:val="23"/>
              </w:rPr>
              <w:t>Part</w:t>
            </w:r>
            <w:r>
              <w:rPr>
                <w:spacing w:val="-8"/>
                <w:sz w:val="23"/>
              </w:rPr>
              <w:t xml:space="preserve"> </w:t>
            </w:r>
            <w:r>
              <w:rPr>
                <w:sz w:val="23"/>
              </w:rPr>
              <w:t>D</w:t>
            </w:r>
            <w:r>
              <w:rPr>
                <w:spacing w:val="-8"/>
                <w:sz w:val="23"/>
              </w:rPr>
              <w:t xml:space="preserve"> </w:t>
            </w:r>
            <w:r>
              <w:rPr>
                <w:sz w:val="23"/>
              </w:rPr>
              <w:t>bids</w:t>
            </w:r>
            <w:r>
              <w:rPr>
                <w:spacing w:val="-11"/>
                <w:sz w:val="23"/>
              </w:rPr>
              <w:t xml:space="preserve"> </w:t>
            </w:r>
            <w:r>
              <w:rPr>
                <w:sz w:val="23"/>
              </w:rPr>
              <w:t>as distributed by CMS</w:t>
            </w:r>
          </w:p>
        </w:tc>
        <w:tc>
          <w:tcPr>
            <w:tcW w:w="2432" w:type="dxa"/>
          </w:tcPr>
          <w:p>
            <w:pPr>
              <w:pStyle w:val="TableParagraph"/>
              <w:spacing w:before="130"/>
              <w:ind w:left="0"/>
              <w:rPr>
                <w:sz w:val="24"/>
              </w:rPr>
            </w:pPr>
          </w:p>
          <w:p>
            <w:pPr>
              <w:pStyle w:val="TableParagraph"/>
              <w:spacing w:before="1"/>
              <w:ind w:left="7"/>
              <w:jc w:val="center"/>
              <w:rPr>
                <w:sz w:val="24"/>
              </w:rPr>
            </w:pPr>
            <w:r>
              <w:rPr>
                <w:sz w:val="24"/>
              </w:rPr>
              <w:t>1,500</w:t>
            </w:r>
            <w:r>
              <w:rPr>
                <w:spacing w:val="-1"/>
                <w:sz w:val="24"/>
              </w:rPr>
              <w:t xml:space="preserve"> </w:t>
            </w:r>
            <w:r>
              <w:rPr>
                <w:sz w:val="24"/>
              </w:rPr>
              <w:t xml:space="preserve">member </w:t>
            </w:r>
            <w:r>
              <w:rPr>
                <w:spacing w:val="-2"/>
                <w:sz w:val="24"/>
              </w:rPr>
              <w:t>months</w:t>
            </w:r>
          </w:p>
        </w:tc>
        <w:tc>
          <w:tcPr>
            <w:tcW w:w="2850" w:type="dxa"/>
          </w:tcPr>
          <w:p>
            <w:pPr>
              <w:pStyle w:val="TableParagraph"/>
              <w:spacing w:before="9"/>
              <w:ind w:left="0"/>
              <w:rPr>
                <w:sz w:val="14"/>
              </w:rPr>
            </w:pPr>
          </w:p>
          <w:p>
            <w:pPr>
              <w:pStyle w:val="TableParagraph"/>
              <w:spacing w:line="20" w:lineRule="exact"/>
              <w:ind w:left="642"/>
              <w:rPr>
                <w:sz w:val="2"/>
              </w:rPr>
            </w:pPr>
            <w:r>
              <w:rPr>
                <w:sz w:val="2"/>
              </w:rPr>
              <mc:AlternateContent>
                <mc:Choice Requires="wpg">
                  <w:drawing>
                    <wp:inline distT="0" distB="0" distL="0" distR="0">
                      <wp:extent cx="1109980" cy="10795"/>
                      <wp:effectExtent l="0" t="0" r="0" b="0"/>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1109980" cy="10795"/>
                                <a:chOff x="0" y="0"/>
                                <a:chExt cx="1109980" cy="10795"/>
                              </a:xfrm>
                            </wpg:grpSpPr>
                            <wps:wsp xmlns:wps="http://schemas.microsoft.com/office/word/2010/wordprocessingShape">
                              <wps:cNvPr id="21" name="Graphic 21"/>
                              <wps:cNvSpPr/>
                              <wps:spPr>
                                <a:xfrm>
                                  <a:off x="0" y="0"/>
                                  <a:ext cx="1109980" cy="10795"/>
                                </a:xfrm>
                                <a:custGeom>
                                  <a:avLst/>
                                  <a:gdLst/>
                                  <a:rect l="l" t="t" r="r" b="b"/>
                                  <a:pathLst>
                                    <a:path fill="norm" h="10795" w="1109980" stroke="1">
                                      <a:moveTo>
                                        <a:pt x="1109776" y="0"/>
                                      </a:moveTo>
                                      <a:lnTo>
                                        <a:pt x="0" y="0"/>
                                      </a:lnTo>
                                      <a:lnTo>
                                        <a:pt x="0" y="10667"/>
                                      </a:lnTo>
                                      <a:lnTo>
                                        <a:pt x="1109776" y="10667"/>
                                      </a:lnTo>
                                      <a:lnTo>
                                        <a:pt x="1109776"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35" style="width:87.4pt;height:0.85pt;mso-position-horizontal-relative:char;mso-position-vertical-relative:line" coordorigin="0,0" coordsize="1748,17">
                      <v:rect id="_x0000_s1036" style="width:1748;height:17;position:absolute" filled="t" fillcolor="black" stroked="f">
                        <v:fill type="solid"/>
                      </v:rect>
                      <w10:wrap type="none"/>
                    </v:group>
                  </w:pict>
                </mc:Fallback>
              </mc:AlternateContent>
            </w:r>
          </w:p>
          <w:p>
            <w:pPr>
              <w:pStyle w:val="TableParagraph"/>
              <w:spacing w:before="64" w:line="223" w:lineRule="exact"/>
              <w:ind w:left="695"/>
              <w:rPr>
                <w:rFonts w:ascii="Cambria Math"/>
                <w:sz w:val="24"/>
              </w:rPr>
            </w:pPr>
            <w:r>
              <w:rPr>
                <w:rFonts w:ascii="Cambria Math"/>
                <w:sz w:val="24"/>
              </w:rPr>
              <w:t>member</w:t>
            </w:r>
            <w:r>
              <w:rPr>
                <w:rFonts w:ascii="Cambria Math"/>
                <w:spacing w:val="-1"/>
                <w:sz w:val="24"/>
              </w:rPr>
              <w:t xml:space="preserve"> </w:t>
            </w:r>
            <w:r>
              <w:rPr>
                <w:rFonts w:ascii="Cambria Math"/>
                <w:spacing w:val="-2"/>
                <w:sz w:val="24"/>
              </w:rPr>
              <w:t>months</w:t>
            </w:r>
          </w:p>
          <w:p>
            <w:pPr>
              <w:pStyle w:val="TableParagraph"/>
              <w:spacing w:line="172" w:lineRule="exact"/>
              <w:ind w:left="457"/>
              <w:rPr>
                <w:rFonts w:ascii="Cambria Math" w:hAnsi="Cambria Math"/>
                <w:sz w:val="24"/>
              </w:rPr>
            </w:pPr>
            <w:r>
              <mc:AlternateContent>
                <mc:Choice Requires="wpg">
                  <w:drawing>
                    <wp:anchor distT="0" distB="0" distL="0" distR="0" simplePos="0" relativeHeight="251662336" behindDoc="1" locked="0" layoutInCell="1" allowOverlap="1">
                      <wp:simplePos x="0" y="0"/>
                      <wp:positionH relativeFrom="column">
                        <wp:posOffset>408432</wp:posOffset>
                      </wp:positionH>
                      <wp:positionV relativeFrom="paragraph">
                        <wp:posOffset>69953</wp:posOffset>
                      </wp:positionV>
                      <wp:extent cx="1109980" cy="10795"/>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1109980" cy="10795"/>
                                <a:chOff x="0" y="0"/>
                                <a:chExt cx="1109980" cy="10795"/>
                              </a:xfrm>
                            </wpg:grpSpPr>
                            <wps:wsp xmlns:wps="http://schemas.microsoft.com/office/word/2010/wordprocessingShape">
                              <wps:cNvPr id="23" name="Graphic 23"/>
                              <wps:cNvSpPr/>
                              <wps:spPr>
                                <a:xfrm>
                                  <a:off x="0" y="0"/>
                                  <a:ext cx="1109980" cy="10795"/>
                                </a:xfrm>
                                <a:custGeom>
                                  <a:avLst/>
                                  <a:gdLst/>
                                  <a:rect l="l" t="t" r="r" b="b"/>
                                  <a:pathLst>
                                    <a:path fill="norm" h="10795" w="1109980" stroke="1">
                                      <a:moveTo>
                                        <a:pt x="1109776" y="0"/>
                                      </a:moveTo>
                                      <a:lnTo>
                                        <a:pt x="0" y="0"/>
                                      </a:lnTo>
                                      <a:lnTo>
                                        <a:pt x="0" y="10668"/>
                                      </a:lnTo>
                                      <a:lnTo>
                                        <a:pt x="1109776" y="10668"/>
                                      </a:lnTo>
                                      <a:lnTo>
                                        <a:pt x="1109776"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_x0000_s1037" style="width:87.4pt;height:0.85pt;margin-top:5.51pt;margin-left:32.16pt;position:absolute;z-index:-251653120" coordorigin="643,110" coordsize="1748,17">
                      <v:rect id="_x0000_s1038" style="width:1748;height:17;left:643;position:absolute;top:110" filled="t" fillcolor="black" stroked="f">
                        <v:fill type="solid"/>
                      </v:rect>
                    </v:group>
                  </w:pict>
                </mc:Fallback>
              </mc:AlternateContent>
            </w:r>
            <w:r>
              <w:rPr>
                <w:rFonts w:ascii="Cambria Math" w:hAnsi="Cambria Math"/>
                <w:spacing w:val="-10"/>
                <w:w w:val="115"/>
                <w:sz w:val="24"/>
              </w:rPr>
              <w:t>√</w:t>
            </w:r>
          </w:p>
          <w:p>
            <w:pPr>
              <w:pStyle w:val="TableParagraph"/>
              <w:spacing w:line="229" w:lineRule="exact"/>
              <w:ind w:left="1225"/>
              <w:rPr>
                <w:rFonts w:ascii="Cambria Math"/>
                <w:sz w:val="24"/>
              </w:rPr>
            </w:pPr>
            <w:r>
              <w:rPr>
                <w:rFonts w:ascii="Cambria Math"/>
                <w:spacing w:val="-4"/>
                <w:sz w:val="24"/>
              </w:rPr>
              <w:t>1,500</w:t>
            </w:r>
          </w:p>
        </w:tc>
      </w:tr>
    </w:tbl>
    <w:p>
      <w:pPr>
        <w:spacing w:before="240"/>
        <w:ind w:left="944" w:right="0" w:firstLine="0"/>
        <w:jc w:val="left"/>
        <w:rPr>
          <w:rFonts w:ascii="Arial"/>
          <w:b/>
          <w:i/>
          <w:sz w:val="21"/>
        </w:rPr>
      </w:pPr>
      <w:r>
        <w:rPr>
          <w:rFonts w:ascii="Arial"/>
          <w:b/>
          <w:i/>
          <w:sz w:val="21"/>
        </w:rPr>
        <w:t>Overriding</w:t>
      </w:r>
      <w:r>
        <w:rPr>
          <w:rFonts w:ascii="Arial"/>
          <w:b/>
          <w:i/>
          <w:spacing w:val="-6"/>
          <w:sz w:val="21"/>
        </w:rPr>
        <w:t xml:space="preserve"> </w:t>
      </w:r>
      <w:r>
        <w:rPr>
          <w:rFonts w:ascii="Arial"/>
          <w:b/>
          <w:i/>
          <w:sz w:val="21"/>
        </w:rPr>
        <w:t>the</w:t>
      </w:r>
      <w:r>
        <w:rPr>
          <w:rFonts w:ascii="Arial"/>
          <w:b/>
          <w:i/>
          <w:spacing w:val="-7"/>
          <w:sz w:val="21"/>
        </w:rPr>
        <w:t xml:space="preserve"> </w:t>
      </w:r>
      <w:r>
        <w:rPr>
          <w:rFonts w:ascii="Arial"/>
          <w:b/>
          <w:i/>
          <w:sz w:val="21"/>
        </w:rPr>
        <w:t>CMS</w:t>
      </w:r>
      <w:r>
        <w:rPr>
          <w:rFonts w:ascii="Arial"/>
          <w:b/>
          <w:i/>
          <w:spacing w:val="-6"/>
          <w:sz w:val="21"/>
        </w:rPr>
        <w:t xml:space="preserve"> </w:t>
      </w:r>
      <w:r>
        <w:rPr>
          <w:rFonts w:ascii="Arial"/>
          <w:b/>
          <w:i/>
          <w:sz w:val="21"/>
        </w:rPr>
        <w:t>Formulas</w:t>
      </w:r>
      <w:r>
        <w:rPr>
          <w:rFonts w:ascii="Arial"/>
          <w:b/>
          <w:i/>
          <w:spacing w:val="-7"/>
          <w:sz w:val="21"/>
        </w:rPr>
        <w:t xml:space="preserve"> </w:t>
      </w:r>
      <w:r>
        <w:rPr>
          <w:rFonts w:ascii="Arial"/>
          <w:b/>
          <w:i/>
          <w:sz w:val="21"/>
        </w:rPr>
        <w:t>for</w:t>
      </w:r>
      <w:r>
        <w:rPr>
          <w:rFonts w:ascii="Arial"/>
          <w:b/>
          <w:i/>
          <w:spacing w:val="-6"/>
          <w:sz w:val="21"/>
        </w:rPr>
        <w:t xml:space="preserve"> </w:t>
      </w:r>
      <w:r>
        <w:rPr>
          <w:rFonts w:ascii="Arial"/>
          <w:b/>
          <w:i/>
          <w:sz w:val="21"/>
        </w:rPr>
        <w:t>Partial</w:t>
      </w:r>
      <w:r>
        <w:rPr>
          <w:rFonts w:ascii="Arial"/>
          <w:b/>
          <w:i/>
          <w:spacing w:val="-7"/>
          <w:sz w:val="21"/>
        </w:rPr>
        <w:t xml:space="preserve"> </w:t>
      </w:r>
      <w:r>
        <w:rPr>
          <w:rFonts w:ascii="Arial"/>
          <w:b/>
          <w:i/>
          <w:spacing w:val="-2"/>
          <w:sz w:val="21"/>
        </w:rPr>
        <w:t>Credibility</w:t>
      </w:r>
    </w:p>
    <w:p>
      <w:pPr>
        <w:pStyle w:val="BodyText"/>
        <w:spacing w:before="121"/>
        <w:ind w:right="515"/>
      </w:pPr>
      <w:r>
        <w:t>The</w:t>
      </w:r>
      <w:r>
        <w:rPr>
          <w:spacing w:val="-5"/>
        </w:rPr>
        <w:t xml:space="preserve"> </w:t>
      </w:r>
      <w:r>
        <w:t>following</w:t>
      </w:r>
      <w:r>
        <w:rPr>
          <w:spacing w:val="-3"/>
        </w:rPr>
        <w:t xml:space="preserve"> </w:t>
      </w:r>
      <w:r>
        <w:t>guideline</w:t>
      </w:r>
      <w:r>
        <w:rPr>
          <w:spacing w:val="-4"/>
        </w:rPr>
        <w:t xml:space="preserve"> </w:t>
      </w:r>
      <w:r>
        <w:t>is</w:t>
      </w:r>
      <w:r>
        <w:rPr>
          <w:spacing w:val="-3"/>
        </w:rPr>
        <w:t xml:space="preserve"> </w:t>
      </w:r>
      <w:r>
        <w:t>applicable</w:t>
      </w:r>
      <w:r>
        <w:rPr>
          <w:spacing w:val="-4"/>
        </w:rPr>
        <w:t xml:space="preserve"> </w:t>
      </w:r>
      <w:r>
        <w:t>only</w:t>
      </w:r>
      <w:r>
        <w:rPr>
          <w:spacing w:val="-3"/>
        </w:rPr>
        <w:t xml:space="preserve"> </w:t>
      </w:r>
      <w:r>
        <w:t>to</w:t>
      </w:r>
      <w:r>
        <w:rPr>
          <w:spacing w:val="-4"/>
        </w:rPr>
        <w:t xml:space="preserve"> </w:t>
      </w:r>
      <w:r>
        <w:t>the</w:t>
      </w:r>
      <w:r>
        <w:rPr>
          <w:spacing w:val="-4"/>
        </w:rPr>
        <w:t xml:space="preserve"> </w:t>
      </w:r>
      <w:r>
        <w:t>CMS claims</w:t>
      </w:r>
      <w:r>
        <w:rPr>
          <w:spacing w:val="-3"/>
        </w:rPr>
        <w:t xml:space="preserve"> </w:t>
      </w:r>
      <w:r>
        <w:t>and</w:t>
      </w:r>
      <w:r>
        <w:rPr>
          <w:spacing w:val="-4"/>
        </w:rPr>
        <w:t xml:space="preserve"> </w:t>
      </w:r>
      <w:r>
        <w:t>risk</w:t>
      </w:r>
      <w:r>
        <w:rPr>
          <w:spacing w:val="-3"/>
        </w:rPr>
        <w:t xml:space="preserve"> </w:t>
      </w:r>
      <w:r>
        <w:t>score</w:t>
      </w:r>
      <w:r>
        <w:rPr>
          <w:spacing w:val="-3"/>
        </w:rPr>
        <w:t xml:space="preserve"> </w:t>
      </w:r>
      <w:r>
        <w:t>credibility formulas presented above; such guideline may not be suitable for any alternative credibility formula. If the CMS formula for partial credibility is applied and the resulting credibility is—</w:t>
      </w:r>
    </w:p>
    <w:p>
      <w:pPr>
        <w:pStyle w:val="ListParagraph"/>
        <w:numPr>
          <w:ilvl w:val="1"/>
          <w:numId w:val="14"/>
        </w:numPr>
        <w:tabs>
          <w:tab w:val="left" w:pos="1664"/>
        </w:tabs>
        <w:spacing w:before="118" w:after="0" w:line="240" w:lineRule="auto"/>
        <w:ind w:left="1664" w:right="805" w:hanging="360"/>
        <w:jc w:val="left"/>
        <w:rPr>
          <w:sz w:val="24"/>
        </w:rPr>
      </w:pPr>
      <w:r>
        <w:rPr>
          <w:sz w:val="24"/>
        </w:rPr>
        <w:t>Less</w:t>
      </w:r>
      <w:r>
        <w:rPr>
          <w:spacing w:val="-3"/>
          <w:sz w:val="24"/>
        </w:rPr>
        <w:t xml:space="preserve"> </w:t>
      </w:r>
      <w:r>
        <w:rPr>
          <w:sz w:val="24"/>
        </w:rPr>
        <w:t>than</w:t>
      </w:r>
      <w:r>
        <w:rPr>
          <w:spacing w:val="-3"/>
          <w:sz w:val="24"/>
        </w:rPr>
        <w:t xml:space="preserve"> </w:t>
      </w:r>
      <w:r>
        <w:rPr>
          <w:sz w:val="24"/>
        </w:rPr>
        <w:t>or</w:t>
      </w:r>
      <w:r>
        <w:rPr>
          <w:spacing w:val="-3"/>
          <w:sz w:val="24"/>
        </w:rPr>
        <w:t xml:space="preserve"> </w:t>
      </w:r>
      <w:r>
        <w:rPr>
          <w:sz w:val="24"/>
        </w:rPr>
        <w:t>equal</w:t>
      </w:r>
      <w:r>
        <w:rPr>
          <w:spacing w:val="-3"/>
          <w:sz w:val="24"/>
        </w:rPr>
        <w:t xml:space="preserve"> </w:t>
      </w:r>
      <w:r>
        <w:rPr>
          <w:sz w:val="24"/>
        </w:rPr>
        <w:t>to</w:t>
      </w:r>
      <w:r>
        <w:rPr>
          <w:spacing w:val="-3"/>
          <w:sz w:val="24"/>
        </w:rPr>
        <w:t xml:space="preserve"> </w:t>
      </w:r>
      <w:r>
        <w:rPr>
          <w:sz w:val="24"/>
        </w:rPr>
        <w:t>20</w:t>
      </w:r>
      <w:r>
        <w:rPr>
          <w:spacing w:val="-3"/>
          <w:sz w:val="24"/>
        </w:rPr>
        <w:t xml:space="preserve"> </w:t>
      </w:r>
      <w:r>
        <w:rPr>
          <w:sz w:val="24"/>
        </w:rPr>
        <w:t>percent,</w:t>
      </w:r>
      <w:r>
        <w:rPr>
          <w:spacing w:val="-3"/>
          <w:sz w:val="24"/>
        </w:rPr>
        <w:t xml:space="preserve"> </w:t>
      </w:r>
      <w:r>
        <w:rPr>
          <w:sz w:val="24"/>
        </w:rPr>
        <w:t>then</w:t>
      </w:r>
      <w:r>
        <w:rPr>
          <w:spacing w:val="-3"/>
          <w:sz w:val="24"/>
        </w:rPr>
        <w:t xml:space="preserve"> </w:t>
      </w:r>
      <w:r>
        <w:rPr>
          <w:sz w:val="24"/>
        </w:rPr>
        <w:t>the</w:t>
      </w:r>
      <w:r>
        <w:rPr>
          <w:spacing w:val="-4"/>
          <w:sz w:val="24"/>
        </w:rPr>
        <w:t xml:space="preserve"> </w:t>
      </w:r>
      <w:r>
        <w:rPr>
          <w:sz w:val="24"/>
        </w:rPr>
        <w:t>actuary</w:t>
      </w:r>
      <w:r>
        <w:rPr>
          <w:spacing w:val="-3"/>
          <w:sz w:val="24"/>
        </w:rPr>
        <w:t xml:space="preserve"> </w:t>
      </w:r>
      <w:r>
        <w:rPr>
          <w:sz w:val="24"/>
        </w:rPr>
        <w:t>may</w:t>
      </w:r>
      <w:r>
        <w:rPr>
          <w:spacing w:val="-3"/>
          <w:sz w:val="24"/>
        </w:rPr>
        <w:t xml:space="preserve"> </w:t>
      </w:r>
      <w:r>
        <w:rPr>
          <w:sz w:val="24"/>
        </w:rPr>
        <w:t>override</w:t>
      </w:r>
      <w:r>
        <w:rPr>
          <w:spacing w:val="-3"/>
          <w:sz w:val="24"/>
        </w:rPr>
        <w:t xml:space="preserve"> </w:t>
      </w:r>
      <w:r>
        <w:rPr>
          <w:sz w:val="24"/>
        </w:rPr>
        <w:t>the</w:t>
      </w:r>
      <w:r>
        <w:rPr>
          <w:spacing w:val="-4"/>
          <w:sz w:val="24"/>
        </w:rPr>
        <w:t xml:space="preserve"> </w:t>
      </w:r>
      <w:r>
        <w:rPr>
          <w:sz w:val="24"/>
        </w:rPr>
        <w:t>computed credibility with 0 percent credibility.</w:t>
      </w:r>
    </w:p>
    <w:p>
      <w:pPr>
        <w:pStyle w:val="ListParagraph"/>
        <w:numPr>
          <w:ilvl w:val="1"/>
          <w:numId w:val="14"/>
        </w:numPr>
        <w:tabs>
          <w:tab w:val="left" w:pos="1664"/>
        </w:tabs>
        <w:spacing w:before="0" w:after="0" w:line="240" w:lineRule="auto"/>
        <w:ind w:left="1664" w:right="525" w:hanging="360"/>
        <w:jc w:val="left"/>
        <w:rPr>
          <w:sz w:val="24"/>
        </w:rPr>
      </w:pPr>
      <w:r>
        <w:rPr>
          <w:sz w:val="24"/>
        </w:rPr>
        <w:t>Greater</w:t>
      </w:r>
      <w:r>
        <w:rPr>
          <w:spacing w:val="-4"/>
          <w:sz w:val="24"/>
        </w:rPr>
        <w:t xml:space="preserve"> </w:t>
      </w:r>
      <w:r>
        <w:rPr>
          <w:sz w:val="24"/>
        </w:rPr>
        <w:t>than</w:t>
      </w:r>
      <w:r>
        <w:rPr>
          <w:spacing w:val="-4"/>
          <w:sz w:val="24"/>
        </w:rPr>
        <w:t xml:space="preserve"> </w:t>
      </w:r>
      <w:r>
        <w:rPr>
          <w:sz w:val="24"/>
        </w:rPr>
        <w:t>or</w:t>
      </w:r>
      <w:r>
        <w:rPr>
          <w:spacing w:val="-3"/>
          <w:sz w:val="24"/>
        </w:rPr>
        <w:t xml:space="preserve"> </w:t>
      </w:r>
      <w:r>
        <w:rPr>
          <w:sz w:val="24"/>
        </w:rPr>
        <w:t>equal</w:t>
      </w:r>
      <w:r>
        <w:rPr>
          <w:spacing w:val="-4"/>
          <w:sz w:val="24"/>
        </w:rPr>
        <w:t xml:space="preserve"> </w:t>
      </w:r>
      <w:r>
        <w:rPr>
          <w:sz w:val="24"/>
        </w:rPr>
        <w:t>to</w:t>
      </w:r>
      <w:r>
        <w:rPr>
          <w:spacing w:val="-2"/>
          <w:sz w:val="24"/>
        </w:rPr>
        <w:t xml:space="preserve"> </w:t>
      </w:r>
      <w:r>
        <w:rPr>
          <w:sz w:val="24"/>
        </w:rPr>
        <w:t>90</w:t>
      </w:r>
      <w:r>
        <w:rPr>
          <w:spacing w:val="-4"/>
          <w:sz w:val="24"/>
        </w:rPr>
        <w:t xml:space="preserve"> </w:t>
      </w:r>
      <w:r>
        <w:rPr>
          <w:sz w:val="24"/>
        </w:rPr>
        <w:t>percent,</w:t>
      </w:r>
      <w:r>
        <w:rPr>
          <w:spacing w:val="-4"/>
          <w:sz w:val="24"/>
        </w:rPr>
        <w:t xml:space="preserve"> </w:t>
      </w:r>
      <w:r>
        <w:rPr>
          <w:sz w:val="24"/>
        </w:rPr>
        <w:t>then</w:t>
      </w:r>
      <w:r>
        <w:rPr>
          <w:spacing w:val="-4"/>
          <w:sz w:val="24"/>
        </w:rPr>
        <w:t xml:space="preserve"> </w:t>
      </w:r>
      <w:r>
        <w:rPr>
          <w:sz w:val="24"/>
        </w:rPr>
        <w:t>the</w:t>
      </w:r>
      <w:r>
        <w:rPr>
          <w:spacing w:val="-5"/>
          <w:sz w:val="24"/>
        </w:rPr>
        <w:t xml:space="preserve"> </w:t>
      </w:r>
      <w:r>
        <w:rPr>
          <w:sz w:val="24"/>
        </w:rPr>
        <w:t>actuary</w:t>
      </w:r>
      <w:r>
        <w:rPr>
          <w:spacing w:val="-4"/>
          <w:sz w:val="24"/>
        </w:rPr>
        <w:t xml:space="preserve"> </w:t>
      </w:r>
      <w:r>
        <w:rPr>
          <w:sz w:val="24"/>
        </w:rPr>
        <w:t>may</w:t>
      </w:r>
      <w:r>
        <w:rPr>
          <w:spacing w:val="-4"/>
          <w:sz w:val="24"/>
        </w:rPr>
        <w:t xml:space="preserve"> </w:t>
      </w:r>
      <w:r>
        <w:rPr>
          <w:sz w:val="24"/>
        </w:rPr>
        <w:t>override</w:t>
      </w:r>
      <w:r>
        <w:rPr>
          <w:spacing w:val="-4"/>
          <w:sz w:val="24"/>
        </w:rPr>
        <w:t xml:space="preserve"> </w:t>
      </w:r>
      <w:r>
        <w:rPr>
          <w:sz w:val="24"/>
        </w:rPr>
        <w:t>the</w:t>
      </w:r>
      <w:r>
        <w:rPr>
          <w:spacing w:val="-3"/>
          <w:sz w:val="24"/>
        </w:rPr>
        <w:t xml:space="preserve"> </w:t>
      </w:r>
      <w:r>
        <w:rPr>
          <w:sz w:val="24"/>
        </w:rPr>
        <w:t>computed credibility with 100 percent credibility.</w:t>
      </w:r>
    </w:p>
    <w:p>
      <w:pPr>
        <w:spacing w:after="0" w:line="240" w:lineRule="auto"/>
        <w:jc w:val="left"/>
        <w:rPr>
          <w:sz w:val="24"/>
        </w:rPr>
        <w:sectPr>
          <w:pgSz w:w="12240" w:h="15840"/>
          <w:pgMar w:top="1340" w:right="1000" w:bottom="940" w:left="1360" w:header="727" w:footer="747"/>
          <w:cols w:space="720"/>
        </w:sectPr>
      </w:pPr>
    </w:p>
    <w:p>
      <w:pPr>
        <w:pStyle w:val="BodyText"/>
        <w:spacing w:before="87"/>
        <w:ind w:left="224" w:right="1124"/>
      </w:pPr>
      <w:r>
        <w:t>Information</w:t>
      </w:r>
      <w:r>
        <w:rPr>
          <w:spacing w:val="-3"/>
        </w:rPr>
        <w:t xml:space="preserve"> </w:t>
      </w:r>
      <w:r>
        <w:t>on</w:t>
      </w:r>
      <w:r>
        <w:rPr>
          <w:spacing w:val="-3"/>
        </w:rPr>
        <w:t xml:space="preserve"> </w:t>
      </w:r>
      <w:r>
        <w:t>why</w:t>
      </w:r>
      <w:r>
        <w:rPr>
          <w:spacing w:val="-3"/>
        </w:rPr>
        <w:t xml:space="preserve"> </w:t>
      </w:r>
      <w:r>
        <w:t>it</w:t>
      </w:r>
      <w:r>
        <w:rPr>
          <w:spacing w:val="-3"/>
        </w:rPr>
        <w:t xml:space="preserve"> </w:t>
      </w:r>
      <w:r>
        <w:t>is</w:t>
      </w:r>
      <w:r>
        <w:rPr>
          <w:spacing w:val="-3"/>
        </w:rPr>
        <w:t xml:space="preserve"> </w:t>
      </w:r>
      <w:r>
        <w:t>inappropriate</w:t>
      </w:r>
      <w:r>
        <w:rPr>
          <w:spacing w:val="-3"/>
        </w:rPr>
        <w:t xml:space="preserve"> </w:t>
      </w:r>
      <w:r>
        <w:t>to</w:t>
      </w:r>
      <w:r>
        <w:rPr>
          <w:spacing w:val="-3"/>
        </w:rPr>
        <w:t xml:space="preserve"> </w:t>
      </w:r>
      <w:r>
        <w:t>use</w:t>
      </w:r>
      <w:r>
        <w:rPr>
          <w:spacing w:val="-4"/>
        </w:rPr>
        <w:t xml:space="preserve"> </w:t>
      </w:r>
      <w:r>
        <w:t>blended</w:t>
      </w:r>
      <w:r>
        <w:rPr>
          <w:spacing w:val="-3"/>
        </w:rPr>
        <w:t xml:space="preserve"> </w:t>
      </w:r>
      <w:r>
        <w:t>risk</w:t>
      </w:r>
      <w:r>
        <w:rPr>
          <w:spacing w:val="-3"/>
        </w:rPr>
        <w:t xml:space="preserve"> </w:t>
      </w:r>
      <w:r>
        <w:t>scores</w:t>
      </w:r>
      <w:r>
        <w:rPr>
          <w:spacing w:val="-3"/>
        </w:rPr>
        <w:t xml:space="preserve"> </w:t>
      </w:r>
      <w:r>
        <w:t>to</w:t>
      </w:r>
      <w:r>
        <w:rPr>
          <w:spacing w:val="-1"/>
        </w:rPr>
        <w:t xml:space="preserve"> </w:t>
      </w:r>
      <w:r>
        <w:t>adjust</w:t>
      </w:r>
      <w:r>
        <w:rPr>
          <w:spacing w:val="-3"/>
        </w:rPr>
        <w:t xml:space="preserve"> </w:t>
      </w:r>
      <w:r>
        <w:t>manual</w:t>
      </w:r>
      <w:r>
        <w:rPr>
          <w:spacing w:val="-3"/>
        </w:rPr>
        <w:t xml:space="preserve"> </w:t>
      </w:r>
      <w:r>
        <w:t xml:space="preserve">claims experience can be found at </w:t>
      </w:r>
      <w:hyperlink r:id="rId15">
        <w:r>
          <w:rPr>
            <w:color w:val="0000FF"/>
            <w:u w:val="single" w:color="0000FF"/>
          </w:rPr>
          <w:t>https://www.cms.gov/Medicare/Health-Plans/</w:t>
        </w:r>
      </w:hyperlink>
      <w:r>
        <w:rPr>
          <w:color w:val="0000FF"/>
          <w:u w:val="none"/>
        </w:rPr>
        <w:t xml:space="preserve"> </w:t>
      </w:r>
      <w:hyperlink r:id="rId15">
        <w:r>
          <w:rPr>
            <w:color w:val="0000FF"/>
            <w:spacing w:val="-2"/>
            <w:u w:val="single" w:color="0000FF"/>
          </w:rPr>
          <w:t>MedicareAdvtgSpecRateStats/Bid-Pricing-Tools-and-Instructions-Items/BidGuidance</w:t>
        </w:r>
        <w:r>
          <w:rPr>
            <w:spacing w:val="-2"/>
            <w:u w:val="none"/>
          </w:rPr>
          <w:t>.</w:t>
        </w:r>
      </w:hyperlink>
    </w:p>
    <w:p>
      <w:pPr>
        <w:spacing w:before="240"/>
        <w:ind w:left="224" w:right="0" w:firstLine="0"/>
        <w:jc w:val="left"/>
        <w:rPr>
          <w:rFonts w:ascii="Arial"/>
          <w:b/>
          <w:sz w:val="21"/>
        </w:rPr>
      </w:pPr>
      <w:bookmarkStart w:id="25" w:name="Direct and Indirect Remuneration (DIR)"/>
      <w:bookmarkEnd w:id="25"/>
      <w:bookmarkStart w:id="26" w:name="_bookmark12"/>
      <w:bookmarkEnd w:id="26"/>
      <w:r>
        <w:rPr>
          <w:rFonts w:ascii="Arial"/>
          <w:b/>
          <w:sz w:val="21"/>
        </w:rPr>
        <w:t>Direct</w:t>
      </w:r>
      <w:r>
        <w:rPr>
          <w:rFonts w:ascii="Arial"/>
          <w:b/>
          <w:spacing w:val="-9"/>
          <w:sz w:val="21"/>
        </w:rPr>
        <w:t xml:space="preserve"> </w:t>
      </w:r>
      <w:r>
        <w:rPr>
          <w:rFonts w:ascii="Arial"/>
          <w:b/>
          <w:sz w:val="21"/>
        </w:rPr>
        <w:t>and</w:t>
      </w:r>
      <w:r>
        <w:rPr>
          <w:rFonts w:ascii="Arial"/>
          <w:b/>
          <w:spacing w:val="-6"/>
          <w:sz w:val="21"/>
        </w:rPr>
        <w:t xml:space="preserve"> </w:t>
      </w:r>
      <w:r>
        <w:rPr>
          <w:rFonts w:ascii="Arial"/>
          <w:b/>
          <w:sz w:val="21"/>
        </w:rPr>
        <w:t>Indirect</w:t>
      </w:r>
      <w:r>
        <w:rPr>
          <w:rFonts w:ascii="Arial"/>
          <w:b/>
          <w:spacing w:val="-8"/>
          <w:sz w:val="21"/>
        </w:rPr>
        <w:t xml:space="preserve"> </w:t>
      </w:r>
      <w:r>
        <w:rPr>
          <w:rFonts w:ascii="Arial"/>
          <w:b/>
          <w:sz w:val="21"/>
        </w:rPr>
        <w:t>Remuneration</w:t>
      </w:r>
      <w:r>
        <w:rPr>
          <w:rFonts w:ascii="Arial"/>
          <w:b/>
          <w:spacing w:val="-6"/>
          <w:sz w:val="21"/>
        </w:rPr>
        <w:t xml:space="preserve"> </w:t>
      </w:r>
      <w:r>
        <w:rPr>
          <w:rFonts w:ascii="Arial"/>
          <w:b/>
          <w:spacing w:val="-4"/>
          <w:sz w:val="21"/>
        </w:rPr>
        <w:t>(DIR)</w:t>
      </w:r>
    </w:p>
    <w:p>
      <w:pPr>
        <w:pStyle w:val="BodyText"/>
        <w:spacing w:before="121"/>
        <w:ind w:left="224" w:right="478"/>
      </w:pPr>
      <w:r>
        <w:t>Part</w:t>
      </w:r>
      <w:r>
        <w:rPr>
          <w:spacing w:val="-4"/>
        </w:rPr>
        <w:t xml:space="preserve"> </w:t>
      </w:r>
      <w:r>
        <w:t>D</w:t>
      </w:r>
      <w:r>
        <w:rPr>
          <w:spacing w:val="-4"/>
        </w:rPr>
        <w:t xml:space="preserve"> </w:t>
      </w:r>
      <w:r>
        <w:t>sponsors</w:t>
      </w:r>
      <w:r>
        <w:rPr>
          <w:spacing w:val="-4"/>
        </w:rPr>
        <w:t xml:space="preserve"> </w:t>
      </w:r>
      <w:r>
        <w:t>must</w:t>
      </w:r>
      <w:r>
        <w:rPr>
          <w:spacing w:val="-3"/>
        </w:rPr>
        <w:t xml:space="preserve"> </w:t>
      </w:r>
      <w:r>
        <w:t>include</w:t>
      </w:r>
      <w:r>
        <w:rPr>
          <w:spacing w:val="-4"/>
        </w:rPr>
        <w:t xml:space="preserve"> </w:t>
      </w:r>
      <w:r>
        <w:t>all</w:t>
      </w:r>
      <w:r>
        <w:rPr>
          <w:spacing w:val="-3"/>
        </w:rPr>
        <w:t xml:space="preserve"> </w:t>
      </w:r>
      <w:r>
        <w:t>expected</w:t>
      </w:r>
      <w:r>
        <w:rPr>
          <w:spacing w:val="-2"/>
        </w:rPr>
        <w:t xml:space="preserve"> </w:t>
      </w:r>
      <w:r>
        <w:t>amounts</w:t>
      </w:r>
      <w:r>
        <w:rPr>
          <w:spacing w:val="-3"/>
        </w:rPr>
        <w:t xml:space="preserve"> </w:t>
      </w:r>
      <w:r>
        <w:t>that</w:t>
      </w:r>
      <w:r>
        <w:rPr>
          <w:spacing w:val="-3"/>
        </w:rPr>
        <w:t xml:space="preserve"> </w:t>
      </w:r>
      <w:r>
        <w:t>will</w:t>
      </w:r>
      <w:r>
        <w:rPr>
          <w:spacing w:val="-3"/>
        </w:rPr>
        <w:t xml:space="preserve"> </w:t>
      </w:r>
      <w:r>
        <w:t>be</w:t>
      </w:r>
      <w:r>
        <w:rPr>
          <w:spacing w:val="-3"/>
        </w:rPr>
        <w:t xml:space="preserve"> </w:t>
      </w:r>
      <w:r>
        <w:t>reported</w:t>
      </w:r>
      <w:r>
        <w:rPr>
          <w:spacing w:val="-3"/>
        </w:rPr>
        <w:t xml:space="preserve"> </w:t>
      </w:r>
      <w:r>
        <w:t>as</w:t>
      </w:r>
      <w:r>
        <w:rPr>
          <w:spacing w:val="-1"/>
        </w:rPr>
        <w:t xml:space="preserve"> </w:t>
      </w:r>
      <w:r>
        <w:t>DIR</w:t>
      </w:r>
      <w:r>
        <w:rPr>
          <w:spacing w:val="-3"/>
        </w:rPr>
        <w:t xml:space="preserve"> </w:t>
      </w:r>
      <w:r>
        <w:t>under “Rebate” in the BPT. The DIR reported under “Rebate” represents the Part D sponsors’ best estimate of all DIR categories and amounts that they expect to report under the Part D payment reconciliation process for the respective contract year. The development of the DIR amounts must be consistent with the development of projected costs.</w:t>
      </w:r>
    </w:p>
    <w:p>
      <w:pPr>
        <w:spacing w:before="240"/>
        <w:ind w:left="944" w:right="0" w:firstLine="0"/>
        <w:jc w:val="left"/>
        <w:rPr>
          <w:rFonts w:ascii="Arial"/>
          <w:b/>
          <w:i/>
          <w:sz w:val="21"/>
        </w:rPr>
      </w:pPr>
      <w:r>
        <w:rPr>
          <w:rFonts w:ascii="Arial"/>
          <w:b/>
          <w:i/>
          <w:sz w:val="21"/>
        </w:rPr>
        <w:t>Definition</w:t>
      </w:r>
      <w:r>
        <w:rPr>
          <w:rFonts w:ascii="Arial"/>
          <w:b/>
          <w:i/>
          <w:spacing w:val="-4"/>
          <w:sz w:val="21"/>
        </w:rPr>
        <w:t xml:space="preserve"> </w:t>
      </w:r>
      <w:r>
        <w:rPr>
          <w:rFonts w:ascii="Arial"/>
          <w:b/>
          <w:i/>
          <w:sz w:val="21"/>
        </w:rPr>
        <w:t>of</w:t>
      </w:r>
      <w:r>
        <w:rPr>
          <w:rFonts w:ascii="Arial"/>
          <w:b/>
          <w:i/>
          <w:spacing w:val="-6"/>
          <w:sz w:val="21"/>
        </w:rPr>
        <w:t xml:space="preserve"> </w:t>
      </w:r>
      <w:r>
        <w:rPr>
          <w:rFonts w:ascii="Arial"/>
          <w:b/>
          <w:i/>
          <w:sz w:val="21"/>
        </w:rPr>
        <w:t>Direct</w:t>
      </w:r>
      <w:r>
        <w:rPr>
          <w:rFonts w:ascii="Arial"/>
          <w:b/>
          <w:i/>
          <w:spacing w:val="-6"/>
          <w:sz w:val="21"/>
        </w:rPr>
        <w:t xml:space="preserve"> </w:t>
      </w:r>
      <w:r>
        <w:rPr>
          <w:rFonts w:ascii="Arial"/>
          <w:b/>
          <w:i/>
          <w:sz w:val="21"/>
        </w:rPr>
        <w:t>and</w:t>
      </w:r>
      <w:r>
        <w:rPr>
          <w:rFonts w:ascii="Arial"/>
          <w:b/>
          <w:i/>
          <w:spacing w:val="-4"/>
          <w:sz w:val="21"/>
        </w:rPr>
        <w:t xml:space="preserve"> </w:t>
      </w:r>
      <w:r>
        <w:rPr>
          <w:rFonts w:ascii="Arial"/>
          <w:b/>
          <w:i/>
          <w:sz w:val="21"/>
        </w:rPr>
        <w:t>Indirect</w:t>
      </w:r>
      <w:r>
        <w:rPr>
          <w:rFonts w:ascii="Arial"/>
          <w:b/>
          <w:i/>
          <w:spacing w:val="-8"/>
          <w:sz w:val="21"/>
        </w:rPr>
        <w:t xml:space="preserve"> </w:t>
      </w:r>
      <w:r>
        <w:rPr>
          <w:rFonts w:ascii="Arial"/>
          <w:b/>
          <w:i/>
          <w:spacing w:val="-2"/>
          <w:sz w:val="21"/>
        </w:rPr>
        <w:t>Remuneration</w:t>
      </w:r>
    </w:p>
    <w:p>
      <w:pPr>
        <w:pStyle w:val="BodyText"/>
        <w:spacing w:before="118"/>
        <w:ind w:right="478"/>
      </w:pPr>
      <w:r>
        <w:t>Per</w:t>
      </w:r>
      <w:r>
        <w:rPr>
          <w:spacing w:val="-4"/>
        </w:rPr>
        <w:t xml:space="preserve"> </w:t>
      </w:r>
      <w:r>
        <w:t>42</w:t>
      </w:r>
      <w:r>
        <w:rPr>
          <w:spacing w:val="-4"/>
        </w:rPr>
        <w:t xml:space="preserve"> </w:t>
      </w:r>
      <w:r>
        <w:t>CFR</w:t>
      </w:r>
      <w:r>
        <w:rPr>
          <w:spacing w:val="-4"/>
        </w:rPr>
        <w:t xml:space="preserve"> </w:t>
      </w:r>
      <w:r>
        <w:t>Section</w:t>
      </w:r>
      <w:r>
        <w:rPr>
          <w:spacing w:val="-4"/>
        </w:rPr>
        <w:t xml:space="preserve"> </w:t>
      </w:r>
      <w:r>
        <w:t>423.308,</w:t>
      </w:r>
      <w:r>
        <w:rPr>
          <w:spacing w:val="-4"/>
        </w:rPr>
        <w:t xml:space="preserve"> </w:t>
      </w:r>
      <w:r>
        <w:t>direct</w:t>
      </w:r>
      <w:r>
        <w:rPr>
          <w:spacing w:val="-4"/>
        </w:rPr>
        <w:t xml:space="preserve"> </w:t>
      </w:r>
      <w:r>
        <w:t>and</w:t>
      </w:r>
      <w:r>
        <w:rPr>
          <w:spacing w:val="-4"/>
        </w:rPr>
        <w:t xml:space="preserve"> </w:t>
      </w:r>
      <w:r>
        <w:t>indirect</w:t>
      </w:r>
      <w:r>
        <w:rPr>
          <w:spacing w:val="-4"/>
        </w:rPr>
        <w:t xml:space="preserve"> </w:t>
      </w:r>
      <w:r>
        <w:t>remuneration</w:t>
      </w:r>
      <w:r>
        <w:rPr>
          <w:spacing w:val="-4"/>
        </w:rPr>
        <w:t xml:space="preserve"> </w:t>
      </w:r>
      <w:r>
        <w:t>(DIR)</w:t>
      </w:r>
      <w:r>
        <w:rPr>
          <w:spacing w:val="-1"/>
        </w:rPr>
        <w:t xml:space="preserve"> </w:t>
      </w:r>
      <w:r>
        <w:t>comprises</w:t>
      </w:r>
      <w:r>
        <w:rPr>
          <w:spacing w:val="-3"/>
        </w:rPr>
        <w:t xml:space="preserve"> </w:t>
      </w:r>
      <w:r>
        <w:t>any</w:t>
      </w:r>
      <w:r>
        <w:rPr>
          <w:spacing w:val="-4"/>
        </w:rPr>
        <w:t xml:space="preserve"> </w:t>
      </w:r>
      <w:r>
        <w:t>and all rebates, subsidies, or other price concessions from any source (including manufacturers, pharmacies, enrollees, or any other person or entity) that serve to decrease</w:t>
      </w:r>
      <w:r>
        <w:rPr>
          <w:spacing w:val="-4"/>
        </w:rPr>
        <w:t xml:space="preserve"> </w:t>
      </w:r>
      <w:r>
        <w:t>the</w:t>
      </w:r>
      <w:r>
        <w:rPr>
          <w:spacing w:val="-2"/>
        </w:rPr>
        <w:t xml:space="preserve"> </w:t>
      </w:r>
      <w:r>
        <w:t>costs</w:t>
      </w:r>
      <w:r>
        <w:rPr>
          <w:spacing w:val="-3"/>
        </w:rPr>
        <w:t xml:space="preserve"> </w:t>
      </w:r>
      <w:r>
        <w:t>incurred</w:t>
      </w:r>
      <w:r>
        <w:rPr>
          <w:spacing w:val="-3"/>
        </w:rPr>
        <w:t xml:space="preserve"> </w:t>
      </w:r>
      <w:r>
        <w:t>by</w:t>
      </w:r>
      <w:r>
        <w:rPr>
          <w:spacing w:val="-3"/>
        </w:rPr>
        <w:t xml:space="preserve"> </w:t>
      </w:r>
      <w:r>
        <w:t>the</w:t>
      </w:r>
      <w:r>
        <w:rPr>
          <w:spacing w:val="-2"/>
        </w:rPr>
        <w:t xml:space="preserve"> </w:t>
      </w:r>
      <w:r>
        <w:t>Part</w:t>
      </w:r>
      <w:r>
        <w:rPr>
          <w:spacing w:val="-3"/>
        </w:rPr>
        <w:t xml:space="preserve"> </w:t>
      </w:r>
      <w:r>
        <w:t>D</w:t>
      </w:r>
      <w:r>
        <w:rPr>
          <w:spacing w:val="-4"/>
        </w:rPr>
        <w:t xml:space="preserve"> </w:t>
      </w:r>
      <w:r>
        <w:t>sponsor</w:t>
      </w:r>
      <w:r>
        <w:rPr>
          <w:spacing w:val="-2"/>
        </w:rPr>
        <w:t xml:space="preserve"> </w:t>
      </w:r>
      <w:r>
        <w:t>(whether</w:t>
      </w:r>
      <w:r>
        <w:rPr>
          <w:spacing w:val="-5"/>
        </w:rPr>
        <w:t xml:space="preserve"> </w:t>
      </w:r>
      <w:r>
        <w:t>directly</w:t>
      </w:r>
      <w:r>
        <w:rPr>
          <w:spacing w:val="-3"/>
        </w:rPr>
        <w:t xml:space="preserve"> </w:t>
      </w:r>
      <w:r>
        <w:t>or</w:t>
      </w:r>
      <w:r>
        <w:rPr>
          <w:spacing w:val="-3"/>
        </w:rPr>
        <w:t xml:space="preserve"> </w:t>
      </w:r>
      <w:r>
        <w:t>indirectly)</w:t>
      </w:r>
      <w:r>
        <w:rPr>
          <w:spacing w:val="-3"/>
        </w:rPr>
        <w:t xml:space="preserve"> </w:t>
      </w:r>
      <w:r>
        <w:t>for</w:t>
      </w:r>
      <w:r>
        <w:rPr>
          <w:spacing w:val="-3"/>
        </w:rPr>
        <w:t xml:space="preserve"> </w:t>
      </w:r>
      <w:r>
        <w:t>the Part D drug. DIR includes discounts, charge-backs, average percentage rebates, cash discounts,</w:t>
      </w:r>
      <w:r>
        <w:rPr>
          <w:spacing w:val="-2"/>
        </w:rPr>
        <w:t xml:space="preserve"> </w:t>
      </w:r>
      <w:r>
        <w:t>free</w:t>
      </w:r>
      <w:r>
        <w:rPr>
          <w:spacing w:val="-3"/>
        </w:rPr>
        <w:t xml:space="preserve"> </w:t>
      </w:r>
      <w:r>
        <w:t>goods contingent</w:t>
      </w:r>
      <w:r>
        <w:rPr>
          <w:spacing w:val="-2"/>
        </w:rPr>
        <w:t xml:space="preserve"> </w:t>
      </w:r>
      <w:r>
        <w:t>on</w:t>
      </w:r>
      <w:r>
        <w:rPr>
          <w:spacing w:val="-2"/>
        </w:rPr>
        <w:t xml:space="preserve"> </w:t>
      </w:r>
      <w:r>
        <w:t>a</w:t>
      </w:r>
      <w:r>
        <w:rPr>
          <w:spacing w:val="-2"/>
        </w:rPr>
        <w:t xml:space="preserve"> </w:t>
      </w:r>
      <w:r>
        <w:t>purchase</w:t>
      </w:r>
      <w:r>
        <w:rPr>
          <w:spacing w:val="-3"/>
        </w:rPr>
        <w:t xml:space="preserve"> </w:t>
      </w:r>
      <w:r>
        <w:t>agreement,</w:t>
      </w:r>
      <w:r>
        <w:rPr>
          <w:spacing w:val="-2"/>
        </w:rPr>
        <w:t xml:space="preserve"> </w:t>
      </w:r>
      <w:r>
        <w:t>up-front</w:t>
      </w:r>
      <w:r>
        <w:rPr>
          <w:spacing w:val="-2"/>
        </w:rPr>
        <w:t xml:space="preserve"> </w:t>
      </w:r>
      <w:r>
        <w:t>payments,</w:t>
      </w:r>
      <w:r>
        <w:rPr>
          <w:spacing w:val="-2"/>
        </w:rPr>
        <w:t xml:space="preserve"> </w:t>
      </w:r>
      <w:r>
        <w:t>coupons, goods in kind, free or reduced-price services, grants, or other price concessions or similar benefits.</w:t>
      </w:r>
    </w:p>
    <w:p>
      <w:pPr>
        <w:pStyle w:val="BodyText"/>
        <w:spacing w:before="121"/>
        <w:ind w:right="566"/>
      </w:pPr>
      <w:r>
        <w:t>DIR also includes price concessions from pharmaceutical manufacturers for purchases under the Medicare prescription drug benefit that are received by subcontractors of</w:t>
      </w:r>
      <w:r>
        <w:rPr>
          <w:spacing w:val="40"/>
        </w:rPr>
        <w:t xml:space="preserve"> </w:t>
      </w:r>
      <w:r>
        <w:t>Part D sponsors, such as pharmacy benefit managers (PBMs), even if the price concessions</w:t>
      </w:r>
      <w:r>
        <w:rPr>
          <w:spacing w:val="-3"/>
        </w:rPr>
        <w:t xml:space="preserve"> </w:t>
      </w:r>
      <w:r>
        <w:t>are</w:t>
      </w:r>
      <w:r>
        <w:rPr>
          <w:spacing w:val="-4"/>
        </w:rPr>
        <w:t xml:space="preserve"> </w:t>
      </w:r>
      <w:r>
        <w:t>retained</w:t>
      </w:r>
      <w:r>
        <w:rPr>
          <w:spacing w:val="-2"/>
        </w:rPr>
        <w:t xml:space="preserve"> </w:t>
      </w:r>
      <w:r>
        <w:t>in</w:t>
      </w:r>
      <w:r>
        <w:rPr>
          <w:spacing w:val="-3"/>
        </w:rPr>
        <w:t xml:space="preserve"> </w:t>
      </w:r>
      <w:r>
        <w:t>lieu</w:t>
      </w:r>
      <w:r>
        <w:rPr>
          <w:spacing w:val="-3"/>
        </w:rPr>
        <w:t xml:space="preserve"> </w:t>
      </w:r>
      <w:r>
        <w:t>of</w:t>
      </w:r>
      <w:r>
        <w:rPr>
          <w:spacing w:val="-5"/>
        </w:rPr>
        <w:t xml:space="preserve"> </w:t>
      </w:r>
      <w:r>
        <w:t>higher</w:t>
      </w:r>
      <w:r>
        <w:rPr>
          <w:spacing w:val="-5"/>
        </w:rPr>
        <w:t xml:space="preserve"> </w:t>
      </w:r>
      <w:r>
        <w:t>service</w:t>
      </w:r>
      <w:r>
        <w:rPr>
          <w:spacing w:val="-4"/>
        </w:rPr>
        <w:t xml:space="preserve"> </w:t>
      </w:r>
      <w:r>
        <w:t>fees. CMS</w:t>
      </w:r>
      <w:r>
        <w:rPr>
          <w:spacing w:val="-3"/>
        </w:rPr>
        <w:t xml:space="preserve"> </w:t>
      </w:r>
      <w:r>
        <w:t>must</w:t>
      </w:r>
      <w:r>
        <w:rPr>
          <w:spacing w:val="-3"/>
        </w:rPr>
        <w:t xml:space="preserve"> </w:t>
      </w:r>
      <w:r>
        <w:t>assume</w:t>
      </w:r>
      <w:r>
        <w:rPr>
          <w:spacing w:val="-4"/>
        </w:rPr>
        <w:t xml:space="preserve"> </w:t>
      </w:r>
      <w:r>
        <w:t>that</w:t>
      </w:r>
      <w:r>
        <w:rPr>
          <w:spacing w:val="-3"/>
        </w:rPr>
        <w:t xml:space="preserve"> </w:t>
      </w:r>
      <w:r>
        <w:t>if</w:t>
      </w:r>
      <w:r>
        <w:rPr>
          <w:spacing w:val="-3"/>
        </w:rPr>
        <w:t xml:space="preserve"> </w:t>
      </w:r>
      <w:r>
        <w:t>a</w:t>
      </w:r>
      <w:r>
        <w:rPr>
          <w:spacing w:val="-5"/>
        </w:rPr>
        <w:t xml:space="preserve"> </w:t>
      </w:r>
      <w:r>
        <w:t>PBM retains a portion of the manufacturer rebates that it negotiates on behalf of a Part D</w:t>
      </w:r>
    </w:p>
    <w:p>
      <w:pPr>
        <w:pStyle w:val="BodyText"/>
        <w:spacing w:before="1"/>
        <w:ind w:right="478"/>
      </w:pPr>
      <w:r>
        <w:t>sponsor,</w:t>
      </w:r>
      <w:r>
        <w:rPr>
          <w:spacing w:val="-3"/>
        </w:rPr>
        <w:t xml:space="preserve"> </w:t>
      </w:r>
      <w:r>
        <w:t>the</w:t>
      </w:r>
      <w:r>
        <w:rPr>
          <w:spacing w:val="-4"/>
        </w:rPr>
        <w:t xml:space="preserve"> </w:t>
      </w:r>
      <w:r>
        <w:t>direct</w:t>
      </w:r>
      <w:r>
        <w:rPr>
          <w:spacing w:val="-3"/>
        </w:rPr>
        <w:t xml:space="preserve"> </w:t>
      </w:r>
      <w:r>
        <w:t>payment</w:t>
      </w:r>
      <w:r>
        <w:rPr>
          <w:spacing w:val="-2"/>
        </w:rPr>
        <w:t xml:space="preserve"> </w:t>
      </w:r>
      <w:r>
        <w:t>that</w:t>
      </w:r>
      <w:r>
        <w:rPr>
          <w:spacing w:val="-3"/>
        </w:rPr>
        <w:t xml:space="preserve"> </w:t>
      </w:r>
      <w:r>
        <w:t>the</w:t>
      </w:r>
      <w:r>
        <w:rPr>
          <w:spacing w:val="-3"/>
        </w:rPr>
        <w:t xml:space="preserve"> </w:t>
      </w:r>
      <w:r>
        <w:t>PBM</w:t>
      </w:r>
      <w:r>
        <w:rPr>
          <w:spacing w:val="-3"/>
        </w:rPr>
        <w:t xml:space="preserve"> </w:t>
      </w:r>
      <w:r>
        <w:t>receives</w:t>
      </w:r>
      <w:r>
        <w:rPr>
          <w:spacing w:val="-3"/>
        </w:rPr>
        <w:t xml:space="preserve"> </w:t>
      </w:r>
      <w:r>
        <w:t>from</w:t>
      </w:r>
      <w:r>
        <w:rPr>
          <w:spacing w:val="-2"/>
        </w:rPr>
        <w:t xml:space="preserve"> </w:t>
      </w:r>
      <w:r>
        <w:t>the</w:t>
      </w:r>
      <w:r>
        <w:rPr>
          <w:spacing w:val="-3"/>
        </w:rPr>
        <w:t xml:space="preserve"> </w:t>
      </w:r>
      <w:r>
        <w:t>sponsor</w:t>
      </w:r>
      <w:r>
        <w:rPr>
          <w:spacing w:val="-4"/>
        </w:rPr>
        <w:t xml:space="preserve"> </w:t>
      </w:r>
      <w:r>
        <w:t>for</w:t>
      </w:r>
      <w:r>
        <w:rPr>
          <w:spacing w:val="-5"/>
        </w:rPr>
        <w:t xml:space="preserve"> </w:t>
      </w:r>
      <w:r>
        <w:t>its</w:t>
      </w:r>
      <w:r>
        <w:rPr>
          <w:spacing w:val="-1"/>
        </w:rPr>
        <w:t xml:space="preserve"> </w:t>
      </w:r>
      <w:r>
        <w:t>services</w:t>
      </w:r>
      <w:r>
        <w:rPr>
          <w:spacing w:val="-3"/>
        </w:rPr>
        <w:t xml:space="preserve"> </w:t>
      </w:r>
      <w:r>
        <w:t xml:space="preserve">will be less, since the sponsor will have received a price concession from the PBM. This price concession is a retained rebate and thus must be reported as DIR for payment </w:t>
      </w:r>
      <w:r>
        <w:rPr>
          <w:spacing w:val="-2"/>
        </w:rPr>
        <w:t>purposes.</w:t>
      </w:r>
    </w:p>
    <w:p>
      <w:pPr>
        <w:pStyle w:val="BodyText"/>
        <w:ind w:right="566"/>
      </w:pPr>
      <w:r>
        <w:t>In accordance with CMS guidance, Part D sponsors may enter into risk-sharing arrangements with entities other than CMS by sharing risk around the cost of the drug as</w:t>
      </w:r>
      <w:r>
        <w:rPr>
          <w:spacing w:val="-3"/>
        </w:rPr>
        <w:t xml:space="preserve"> </w:t>
      </w:r>
      <w:r>
        <w:t>reflected</w:t>
      </w:r>
      <w:r>
        <w:rPr>
          <w:spacing w:val="-3"/>
        </w:rPr>
        <w:t xml:space="preserve"> </w:t>
      </w:r>
      <w:r>
        <w:t>on</w:t>
      </w:r>
      <w:r>
        <w:rPr>
          <w:spacing w:val="-3"/>
        </w:rPr>
        <w:t xml:space="preserve"> </w:t>
      </w:r>
      <w:r>
        <w:t>claims</w:t>
      </w:r>
      <w:r>
        <w:rPr>
          <w:spacing w:val="-3"/>
        </w:rPr>
        <w:t xml:space="preserve"> </w:t>
      </w:r>
      <w:r>
        <w:t>data.</w:t>
      </w:r>
      <w:r>
        <w:rPr>
          <w:spacing w:val="-3"/>
        </w:rPr>
        <w:t xml:space="preserve"> </w:t>
      </w:r>
      <w:r>
        <w:t>Any</w:t>
      </w:r>
      <w:r>
        <w:rPr>
          <w:spacing w:val="-3"/>
        </w:rPr>
        <w:t xml:space="preserve"> </w:t>
      </w:r>
      <w:r>
        <w:t>gains</w:t>
      </w:r>
      <w:r>
        <w:rPr>
          <w:spacing w:val="-3"/>
        </w:rPr>
        <w:t xml:space="preserve"> </w:t>
      </w:r>
      <w:r>
        <w:t>or</w:t>
      </w:r>
      <w:r>
        <w:rPr>
          <w:spacing w:val="-3"/>
        </w:rPr>
        <w:t xml:space="preserve"> </w:t>
      </w:r>
      <w:r>
        <w:t>losses</w:t>
      </w:r>
      <w:r>
        <w:rPr>
          <w:spacing w:val="-3"/>
        </w:rPr>
        <w:t xml:space="preserve"> </w:t>
      </w:r>
      <w:r>
        <w:t>that</w:t>
      </w:r>
      <w:r>
        <w:rPr>
          <w:spacing w:val="-3"/>
        </w:rPr>
        <w:t xml:space="preserve"> </w:t>
      </w:r>
      <w:r>
        <w:t>the</w:t>
      </w:r>
      <w:r>
        <w:rPr>
          <w:spacing w:val="-1"/>
        </w:rPr>
        <w:t xml:space="preserve"> </w:t>
      </w:r>
      <w:r>
        <w:t>Part</w:t>
      </w:r>
      <w:r>
        <w:rPr>
          <w:spacing w:val="-3"/>
        </w:rPr>
        <w:t xml:space="preserve"> </w:t>
      </w:r>
      <w:r>
        <w:t>D</w:t>
      </w:r>
      <w:r>
        <w:rPr>
          <w:spacing w:val="-4"/>
        </w:rPr>
        <w:t xml:space="preserve"> </w:t>
      </w:r>
      <w:r>
        <w:t>sponsor</w:t>
      </w:r>
      <w:r>
        <w:rPr>
          <w:spacing w:val="-3"/>
        </w:rPr>
        <w:t xml:space="preserve"> </w:t>
      </w:r>
      <w:r>
        <w:t>may experience as</w:t>
      </w:r>
      <w:r>
        <w:rPr>
          <w:spacing w:val="-1"/>
        </w:rPr>
        <w:t xml:space="preserve"> </w:t>
      </w:r>
      <w:r>
        <w:t>a</w:t>
      </w:r>
      <w:r>
        <w:rPr>
          <w:spacing w:val="-2"/>
        </w:rPr>
        <w:t xml:space="preserve"> </w:t>
      </w:r>
      <w:r>
        <w:t>result</w:t>
      </w:r>
      <w:r>
        <w:rPr>
          <w:spacing w:val="-1"/>
        </w:rPr>
        <w:t xml:space="preserve"> </w:t>
      </w:r>
      <w:r>
        <w:t>of</w:t>
      </w:r>
      <w:r>
        <w:rPr>
          <w:spacing w:val="-1"/>
        </w:rPr>
        <w:t xml:space="preserve"> </w:t>
      </w:r>
      <w:r>
        <w:t>these</w:t>
      </w:r>
      <w:r>
        <w:rPr>
          <w:spacing w:val="-2"/>
        </w:rPr>
        <w:t xml:space="preserve"> </w:t>
      </w:r>
      <w:r>
        <w:t>risk-sharing</w:t>
      </w:r>
      <w:r>
        <w:rPr>
          <w:spacing w:val="-1"/>
        </w:rPr>
        <w:t xml:space="preserve"> </w:t>
      </w:r>
      <w:r>
        <w:t>arrangements also</w:t>
      </w:r>
      <w:r>
        <w:rPr>
          <w:spacing w:val="-1"/>
        </w:rPr>
        <w:t xml:space="preserve"> </w:t>
      </w:r>
      <w:r>
        <w:t>constitute</w:t>
      </w:r>
      <w:r>
        <w:rPr>
          <w:spacing w:val="-2"/>
        </w:rPr>
        <w:t xml:space="preserve"> </w:t>
      </w:r>
      <w:r>
        <w:t>DIR</w:t>
      </w:r>
      <w:r>
        <w:rPr>
          <w:spacing w:val="-1"/>
        </w:rPr>
        <w:t xml:space="preserve"> </w:t>
      </w:r>
      <w:r>
        <w:t>that</w:t>
      </w:r>
      <w:r>
        <w:rPr>
          <w:spacing w:val="-1"/>
        </w:rPr>
        <w:t xml:space="preserve"> </w:t>
      </w:r>
      <w:r>
        <w:t>must be</w:t>
      </w:r>
      <w:r>
        <w:rPr>
          <w:spacing w:val="-2"/>
        </w:rPr>
        <w:t xml:space="preserve"> </w:t>
      </w:r>
      <w:r>
        <w:t>reported to CMS. As with other types of DIR, the value can be negative.</w:t>
      </w:r>
    </w:p>
    <w:p>
      <w:pPr>
        <w:pStyle w:val="BodyText"/>
        <w:ind w:right="566"/>
      </w:pPr>
      <w:r>
        <w:t>Generic dispensing incentive payments, and any adjustments to generic dispensing incentive payments made to pharmacies after the point-of-sale dispensing event, are also considered DIR. Please note that generic dispensing incentive payments made to the pharmacy at the point-of-sale are part of the dispensing fee reported on the PDE record</w:t>
      </w:r>
      <w:r>
        <w:rPr>
          <w:spacing w:val="-3"/>
        </w:rPr>
        <w:t xml:space="preserve"> </w:t>
      </w:r>
      <w:r>
        <w:t>and</w:t>
      </w:r>
      <w:r>
        <w:rPr>
          <w:spacing w:val="-4"/>
        </w:rPr>
        <w:t xml:space="preserve"> </w:t>
      </w:r>
      <w:r>
        <w:t>therefore</w:t>
      </w:r>
      <w:r>
        <w:rPr>
          <w:spacing w:val="-5"/>
        </w:rPr>
        <w:t xml:space="preserve"> </w:t>
      </w:r>
      <w:r>
        <w:t>are</w:t>
      </w:r>
      <w:r>
        <w:rPr>
          <w:spacing w:val="-3"/>
        </w:rPr>
        <w:t xml:space="preserve"> </w:t>
      </w:r>
      <w:r>
        <w:t>not</w:t>
      </w:r>
      <w:r>
        <w:rPr>
          <w:spacing w:val="-4"/>
        </w:rPr>
        <w:t xml:space="preserve"> </w:t>
      </w:r>
      <w:r>
        <w:t>included</w:t>
      </w:r>
      <w:r>
        <w:rPr>
          <w:spacing w:val="-4"/>
        </w:rPr>
        <w:t xml:space="preserve"> </w:t>
      </w:r>
      <w:r>
        <w:t>in</w:t>
      </w:r>
      <w:r>
        <w:rPr>
          <w:spacing w:val="-4"/>
        </w:rPr>
        <w:t xml:space="preserve"> </w:t>
      </w:r>
      <w:r>
        <w:t>the</w:t>
      </w:r>
      <w:r>
        <w:rPr>
          <w:spacing w:val="-2"/>
        </w:rPr>
        <w:t xml:space="preserve"> </w:t>
      </w:r>
      <w:r>
        <w:t>“DIR</w:t>
      </w:r>
      <w:r>
        <w:rPr>
          <w:spacing w:val="-2"/>
        </w:rPr>
        <w:t xml:space="preserve"> </w:t>
      </w:r>
      <w:r>
        <w:t>Report</w:t>
      </w:r>
      <w:r>
        <w:rPr>
          <w:spacing w:val="-4"/>
        </w:rPr>
        <w:t xml:space="preserve"> </w:t>
      </w:r>
      <w:r>
        <w:t>for</w:t>
      </w:r>
      <w:r>
        <w:rPr>
          <w:spacing w:val="-4"/>
        </w:rPr>
        <w:t xml:space="preserve"> </w:t>
      </w:r>
      <w:r>
        <w:t>Payment</w:t>
      </w:r>
      <w:r>
        <w:rPr>
          <w:spacing w:val="-4"/>
        </w:rPr>
        <w:t xml:space="preserve"> </w:t>
      </w:r>
      <w:r>
        <w:t>Reconciliation”.</w:t>
      </w:r>
    </w:p>
    <w:p>
      <w:pPr>
        <w:spacing w:before="241"/>
        <w:ind w:left="224" w:right="0" w:firstLine="0"/>
        <w:jc w:val="left"/>
        <w:rPr>
          <w:rFonts w:ascii="Arial"/>
          <w:b/>
          <w:sz w:val="21"/>
        </w:rPr>
      </w:pPr>
      <w:bookmarkStart w:id="27" w:name="Enrollment"/>
      <w:bookmarkEnd w:id="27"/>
      <w:bookmarkStart w:id="28" w:name="_bookmark13"/>
      <w:bookmarkEnd w:id="28"/>
      <w:r>
        <w:rPr>
          <w:rFonts w:ascii="Arial"/>
          <w:b/>
          <w:spacing w:val="-2"/>
          <w:sz w:val="21"/>
        </w:rPr>
        <w:t>Enrollment</w:t>
      </w:r>
    </w:p>
    <w:p>
      <w:pPr>
        <w:pStyle w:val="BodyText"/>
        <w:spacing w:before="118"/>
        <w:ind w:left="224" w:right="478"/>
      </w:pPr>
      <w:r>
        <w:t>The</w:t>
      </w:r>
      <w:r>
        <w:rPr>
          <w:spacing w:val="-4"/>
        </w:rPr>
        <w:t xml:space="preserve"> </w:t>
      </w:r>
      <w:r>
        <w:t>projected</w:t>
      </w:r>
      <w:r>
        <w:rPr>
          <w:spacing w:val="-2"/>
        </w:rPr>
        <w:t xml:space="preserve"> </w:t>
      </w:r>
      <w:r>
        <w:t>enrollment</w:t>
      </w:r>
      <w:r>
        <w:rPr>
          <w:spacing w:val="-1"/>
        </w:rPr>
        <w:t xml:space="preserve"> </w:t>
      </w:r>
      <w:r>
        <w:t>for</w:t>
      </w:r>
      <w:r>
        <w:rPr>
          <w:spacing w:val="-4"/>
        </w:rPr>
        <w:t xml:space="preserve"> </w:t>
      </w:r>
      <w:r>
        <w:t>the</w:t>
      </w:r>
      <w:r>
        <w:rPr>
          <w:spacing w:val="-2"/>
        </w:rPr>
        <w:t xml:space="preserve"> </w:t>
      </w:r>
      <w:r>
        <w:t>Part</w:t>
      </w:r>
      <w:r>
        <w:rPr>
          <w:spacing w:val="-2"/>
        </w:rPr>
        <w:t xml:space="preserve"> </w:t>
      </w:r>
      <w:r>
        <w:t>D</w:t>
      </w:r>
      <w:r>
        <w:rPr>
          <w:spacing w:val="-3"/>
        </w:rPr>
        <w:t xml:space="preserve"> </w:t>
      </w:r>
      <w:r>
        <w:t>bid</w:t>
      </w:r>
      <w:r>
        <w:rPr>
          <w:spacing w:val="-2"/>
        </w:rPr>
        <w:t xml:space="preserve"> </w:t>
      </w:r>
      <w:r>
        <w:t>in</w:t>
      </w:r>
      <w:r>
        <w:rPr>
          <w:spacing w:val="-2"/>
        </w:rPr>
        <w:t xml:space="preserve"> </w:t>
      </w:r>
      <w:r>
        <w:t>an</w:t>
      </w:r>
      <w:r>
        <w:rPr>
          <w:spacing w:val="-1"/>
        </w:rPr>
        <w:t xml:space="preserve"> </w:t>
      </w:r>
      <w:r>
        <w:t>MA-PD</w:t>
      </w:r>
      <w:r>
        <w:rPr>
          <w:spacing w:val="-2"/>
        </w:rPr>
        <w:t xml:space="preserve"> </w:t>
      </w:r>
      <w:r>
        <w:t>plan</w:t>
      </w:r>
      <w:r>
        <w:rPr>
          <w:spacing w:val="-2"/>
        </w:rPr>
        <w:t xml:space="preserve"> </w:t>
      </w:r>
      <w:r>
        <w:t>must</w:t>
      </w:r>
      <w:r>
        <w:rPr>
          <w:spacing w:val="-2"/>
        </w:rPr>
        <w:t xml:space="preserve"> </w:t>
      </w:r>
      <w:r>
        <w:t>be</w:t>
      </w:r>
      <w:r>
        <w:rPr>
          <w:spacing w:val="-2"/>
        </w:rPr>
        <w:t xml:space="preserve"> </w:t>
      </w:r>
      <w:r>
        <w:t>consistent</w:t>
      </w:r>
      <w:r>
        <w:rPr>
          <w:spacing w:val="-2"/>
        </w:rPr>
        <w:t xml:space="preserve"> </w:t>
      </w:r>
      <w:r>
        <w:t>with</w:t>
      </w:r>
      <w:r>
        <w:rPr>
          <w:spacing w:val="-2"/>
        </w:rPr>
        <w:t xml:space="preserve"> </w:t>
      </w:r>
      <w:r>
        <w:t>that</w:t>
      </w:r>
      <w:r>
        <w:rPr>
          <w:spacing w:val="-2"/>
        </w:rPr>
        <w:t xml:space="preserve"> </w:t>
      </w:r>
      <w:r>
        <w:t>for the corresponding MA bid and must reflect the same underlying population.</w:t>
      </w:r>
    </w:p>
    <w:p>
      <w:pPr>
        <w:spacing w:after="0"/>
        <w:sectPr>
          <w:pgSz w:w="12240" w:h="15840"/>
          <w:pgMar w:top="1340" w:right="1000" w:bottom="940" w:left="1360" w:header="727" w:footer="747"/>
          <w:cols w:space="720"/>
        </w:sectPr>
      </w:pPr>
    </w:p>
    <w:p>
      <w:pPr>
        <w:spacing w:before="87"/>
        <w:ind w:left="0" w:right="7889" w:firstLine="0"/>
        <w:jc w:val="right"/>
        <w:rPr>
          <w:rFonts w:ascii="Arial"/>
          <w:b/>
          <w:sz w:val="21"/>
        </w:rPr>
      </w:pPr>
      <w:bookmarkStart w:id="29" w:name="Gain/Loss Margin"/>
      <w:bookmarkEnd w:id="29"/>
      <w:bookmarkStart w:id="30" w:name="_bookmark14"/>
      <w:bookmarkEnd w:id="30"/>
      <w:r>
        <w:rPr>
          <w:rFonts w:ascii="Arial"/>
          <w:b/>
          <w:sz w:val="21"/>
        </w:rPr>
        <w:t>Gain/Loss</w:t>
      </w:r>
      <w:r>
        <w:rPr>
          <w:rFonts w:ascii="Arial"/>
          <w:b/>
          <w:spacing w:val="-7"/>
          <w:sz w:val="21"/>
        </w:rPr>
        <w:t xml:space="preserve"> </w:t>
      </w:r>
      <w:r>
        <w:rPr>
          <w:rFonts w:ascii="Arial"/>
          <w:b/>
          <w:spacing w:val="-2"/>
          <w:sz w:val="21"/>
        </w:rPr>
        <w:t>Margin</w:t>
      </w:r>
    </w:p>
    <w:p>
      <w:pPr>
        <w:pStyle w:val="BodyText"/>
        <w:spacing w:before="121"/>
        <w:ind w:left="224" w:right="918"/>
      </w:pPr>
      <w:r>
        <w:t>Gain/loss</w:t>
      </w:r>
      <w:r>
        <w:rPr>
          <w:spacing w:val="-4"/>
        </w:rPr>
        <w:t xml:space="preserve"> </w:t>
      </w:r>
      <w:r>
        <w:t>margin</w:t>
      </w:r>
      <w:r>
        <w:rPr>
          <w:spacing w:val="-4"/>
        </w:rPr>
        <w:t xml:space="preserve"> </w:t>
      </w:r>
      <w:r>
        <w:t>refers</w:t>
      </w:r>
      <w:r>
        <w:rPr>
          <w:spacing w:val="-4"/>
        </w:rPr>
        <w:t xml:space="preserve"> </w:t>
      </w:r>
      <w:r>
        <w:t>to</w:t>
      </w:r>
      <w:r>
        <w:rPr>
          <w:spacing w:val="-4"/>
        </w:rPr>
        <w:t xml:space="preserve"> </w:t>
      </w:r>
      <w:r>
        <w:t>the</w:t>
      </w:r>
      <w:r>
        <w:rPr>
          <w:spacing w:val="-4"/>
        </w:rPr>
        <w:t xml:space="preserve"> </w:t>
      </w:r>
      <w:r>
        <w:t>additional</w:t>
      </w:r>
      <w:r>
        <w:rPr>
          <w:spacing w:val="-2"/>
        </w:rPr>
        <w:t xml:space="preserve"> </w:t>
      </w:r>
      <w:r>
        <w:t>revenue</w:t>
      </w:r>
      <w:r>
        <w:rPr>
          <w:spacing w:val="-5"/>
        </w:rPr>
        <w:t xml:space="preserve"> </w:t>
      </w:r>
      <w:r>
        <w:t>requirement</w:t>
      </w:r>
      <w:r>
        <w:rPr>
          <w:spacing w:val="-4"/>
        </w:rPr>
        <w:t xml:space="preserve"> </w:t>
      </w:r>
      <w:r>
        <w:t>beyond</w:t>
      </w:r>
      <w:r>
        <w:rPr>
          <w:spacing w:val="-3"/>
        </w:rPr>
        <w:t xml:space="preserve"> </w:t>
      </w:r>
      <w:r>
        <w:t>benefit</w:t>
      </w:r>
      <w:r>
        <w:rPr>
          <w:spacing w:val="-4"/>
        </w:rPr>
        <w:t xml:space="preserve"> </w:t>
      </w:r>
      <w:r>
        <w:t>expenses</w:t>
      </w:r>
      <w:r>
        <w:rPr>
          <w:spacing w:val="-3"/>
        </w:rPr>
        <w:t xml:space="preserve"> </w:t>
      </w:r>
      <w:r>
        <w:t>and non-benefit expenses.</w:t>
      </w:r>
    </w:p>
    <w:p>
      <w:pPr>
        <w:pStyle w:val="BodyText"/>
        <w:ind w:left="224" w:right="478"/>
      </w:pPr>
      <w:r>
        <w:t>By statute, the bid must represent the revenue requirement of the expected population; therefore,</w:t>
      </w:r>
      <w:r>
        <w:rPr>
          <w:spacing w:val="-4"/>
        </w:rPr>
        <w:t xml:space="preserve"> </w:t>
      </w:r>
      <w:r>
        <w:t>the</w:t>
      </w:r>
      <w:r>
        <w:rPr>
          <w:spacing w:val="-5"/>
        </w:rPr>
        <w:t xml:space="preserve"> </w:t>
      </w:r>
      <w:r>
        <w:t>gain/loss</w:t>
      </w:r>
      <w:r>
        <w:rPr>
          <w:spacing w:val="-3"/>
        </w:rPr>
        <w:t xml:space="preserve"> </w:t>
      </w:r>
      <w:r>
        <w:t>margin</w:t>
      </w:r>
      <w:r>
        <w:rPr>
          <w:spacing w:val="-4"/>
        </w:rPr>
        <w:t xml:space="preserve"> </w:t>
      </w:r>
      <w:r>
        <w:t>requirements</w:t>
      </w:r>
      <w:r>
        <w:rPr>
          <w:spacing w:val="-4"/>
        </w:rPr>
        <w:t xml:space="preserve"> </w:t>
      </w:r>
      <w:r>
        <w:t>must</w:t>
      </w:r>
      <w:r>
        <w:rPr>
          <w:spacing w:val="-4"/>
        </w:rPr>
        <w:t xml:space="preserve"> </w:t>
      </w:r>
      <w:r>
        <w:t>be</w:t>
      </w:r>
      <w:r>
        <w:rPr>
          <w:spacing w:val="-4"/>
        </w:rPr>
        <w:t xml:space="preserve"> </w:t>
      </w:r>
      <w:r>
        <w:t>met</w:t>
      </w:r>
      <w:r>
        <w:rPr>
          <w:spacing w:val="-4"/>
        </w:rPr>
        <w:t xml:space="preserve"> </w:t>
      </w:r>
      <w:r>
        <w:t>with</w:t>
      </w:r>
      <w:r>
        <w:rPr>
          <w:spacing w:val="-4"/>
        </w:rPr>
        <w:t xml:space="preserve"> </w:t>
      </w:r>
      <w:r>
        <w:t>the</w:t>
      </w:r>
      <w:r>
        <w:rPr>
          <w:spacing w:val="-4"/>
        </w:rPr>
        <w:t xml:space="preserve"> </w:t>
      </w:r>
      <w:r>
        <w:t>gain/loss</w:t>
      </w:r>
      <w:r>
        <w:rPr>
          <w:spacing w:val="-4"/>
        </w:rPr>
        <w:t xml:space="preserve"> </w:t>
      </w:r>
      <w:r>
        <w:t>margin</w:t>
      </w:r>
      <w:r>
        <w:rPr>
          <w:spacing w:val="-4"/>
        </w:rPr>
        <w:t xml:space="preserve"> </w:t>
      </w:r>
      <w:r>
        <w:t>entered</w:t>
      </w:r>
      <w:r>
        <w:rPr>
          <w:spacing w:val="-4"/>
        </w:rPr>
        <w:t xml:space="preserve"> </w:t>
      </w:r>
      <w:r>
        <w:t>in the BPT.</w:t>
      </w:r>
    </w:p>
    <w:p>
      <w:pPr>
        <w:pStyle w:val="BodyText"/>
        <w:ind w:left="224" w:right="478"/>
      </w:pPr>
      <w:r>
        <w:t>Do</w:t>
      </w:r>
      <w:r>
        <w:rPr>
          <w:spacing w:val="-3"/>
        </w:rPr>
        <w:t xml:space="preserve"> </w:t>
      </w:r>
      <w:r>
        <w:t>not</w:t>
      </w:r>
      <w:r>
        <w:rPr>
          <w:spacing w:val="-3"/>
        </w:rPr>
        <w:t xml:space="preserve"> </w:t>
      </w:r>
      <w:r>
        <w:t>combine</w:t>
      </w:r>
      <w:r>
        <w:rPr>
          <w:spacing w:val="-4"/>
        </w:rPr>
        <w:t xml:space="preserve"> </w:t>
      </w:r>
      <w:r>
        <w:t>the</w:t>
      </w:r>
      <w:r>
        <w:rPr>
          <w:spacing w:val="-3"/>
        </w:rPr>
        <w:t xml:space="preserve"> </w:t>
      </w:r>
      <w:r>
        <w:t>gain/loss</w:t>
      </w:r>
      <w:r>
        <w:rPr>
          <w:spacing w:val="-2"/>
        </w:rPr>
        <w:t xml:space="preserve"> </w:t>
      </w:r>
      <w:r>
        <w:t>margins</w:t>
      </w:r>
      <w:r>
        <w:rPr>
          <w:spacing w:val="-3"/>
        </w:rPr>
        <w:t xml:space="preserve"> </w:t>
      </w:r>
      <w:r>
        <w:t>for</w:t>
      </w:r>
      <w:r>
        <w:rPr>
          <w:spacing w:val="-4"/>
        </w:rPr>
        <w:t xml:space="preserve"> </w:t>
      </w:r>
      <w:r>
        <w:t>the</w:t>
      </w:r>
      <w:r>
        <w:rPr>
          <w:spacing w:val="-3"/>
        </w:rPr>
        <w:t xml:space="preserve"> </w:t>
      </w:r>
      <w:r>
        <w:t>Medicare</w:t>
      </w:r>
      <w:r>
        <w:rPr>
          <w:spacing w:val="-5"/>
        </w:rPr>
        <w:t xml:space="preserve"> </w:t>
      </w:r>
      <w:r>
        <w:t>Advantage</w:t>
      </w:r>
      <w:r>
        <w:rPr>
          <w:spacing w:val="-3"/>
        </w:rPr>
        <w:t xml:space="preserve"> </w:t>
      </w:r>
      <w:r>
        <w:t>(MA)</w:t>
      </w:r>
      <w:r>
        <w:rPr>
          <w:spacing w:val="-2"/>
        </w:rPr>
        <w:t xml:space="preserve"> </w:t>
      </w:r>
      <w:r>
        <w:t>and</w:t>
      </w:r>
      <w:r>
        <w:rPr>
          <w:spacing w:val="-2"/>
        </w:rPr>
        <w:t xml:space="preserve"> </w:t>
      </w:r>
      <w:r>
        <w:t>Part</w:t>
      </w:r>
      <w:r>
        <w:rPr>
          <w:spacing w:val="-3"/>
        </w:rPr>
        <w:t xml:space="preserve"> </w:t>
      </w:r>
      <w:r>
        <w:t>D components of MA-PD bids to satisfy these Instructions.</w:t>
      </w:r>
    </w:p>
    <w:p>
      <w:pPr>
        <w:pStyle w:val="BodyText"/>
        <w:ind w:left="224"/>
      </w:pPr>
      <w:r>
        <w:t>Do</w:t>
      </w:r>
      <w:r>
        <w:rPr>
          <w:spacing w:val="-3"/>
        </w:rPr>
        <w:t xml:space="preserve"> </w:t>
      </w:r>
      <w:r>
        <w:t>not combine</w:t>
      </w:r>
      <w:r>
        <w:rPr>
          <w:spacing w:val="-2"/>
        </w:rPr>
        <w:t xml:space="preserve"> </w:t>
      </w:r>
      <w:r>
        <w:t>the gain/loss</w:t>
      </w:r>
      <w:r>
        <w:rPr>
          <w:spacing w:val="1"/>
        </w:rPr>
        <w:t xml:space="preserve"> </w:t>
      </w:r>
      <w:r>
        <w:t>margins</w:t>
      </w:r>
      <w:r>
        <w:rPr>
          <w:spacing w:val="-1"/>
        </w:rPr>
        <w:t xml:space="preserve"> </w:t>
      </w:r>
      <w:r>
        <w:t>for</w:t>
      </w:r>
      <w:r>
        <w:rPr>
          <w:spacing w:val="-2"/>
        </w:rPr>
        <w:t xml:space="preserve"> </w:t>
      </w:r>
      <w:r>
        <w:t>bids in</w:t>
      </w:r>
      <w:r>
        <w:rPr>
          <w:spacing w:val="-1"/>
        </w:rPr>
        <w:t xml:space="preserve"> </w:t>
      </w:r>
      <w:r>
        <w:t>segmented plans to</w:t>
      </w:r>
      <w:r>
        <w:rPr>
          <w:spacing w:val="-1"/>
        </w:rPr>
        <w:t xml:space="preserve"> </w:t>
      </w:r>
      <w:r>
        <w:t>satisfy</w:t>
      </w:r>
      <w:r>
        <w:rPr>
          <w:spacing w:val="1"/>
        </w:rPr>
        <w:t xml:space="preserve"> </w:t>
      </w:r>
      <w:r>
        <w:t xml:space="preserve">these </w:t>
      </w:r>
      <w:r>
        <w:rPr>
          <w:spacing w:val="-2"/>
        </w:rPr>
        <w:t>Instructions.</w:t>
      </w:r>
    </w:p>
    <w:p>
      <w:pPr>
        <w:pStyle w:val="BodyText"/>
        <w:ind w:left="224" w:right="478"/>
      </w:pPr>
      <w:r>
        <w:t>See</w:t>
      </w:r>
      <w:r>
        <w:rPr>
          <w:spacing w:val="-4"/>
        </w:rPr>
        <w:t xml:space="preserve"> </w:t>
      </w:r>
      <w:r>
        <w:t>the</w:t>
      </w:r>
      <w:r>
        <w:rPr>
          <w:spacing w:val="-4"/>
        </w:rPr>
        <w:t xml:space="preserve"> </w:t>
      </w:r>
      <w:r>
        <w:t>“Instructions</w:t>
      </w:r>
      <w:r>
        <w:rPr>
          <w:spacing w:val="-4"/>
        </w:rPr>
        <w:t xml:space="preserve"> </w:t>
      </w:r>
      <w:r>
        <w:t>for</w:t>
      </w:r>
      <w:r>
        <w:rPr>
          <w:spacing w:val="-4"/>
        </w:rPr>
        <w:t xml:space="preserve"> </w:t>
      </w:r>
      <w:r>
        <w:t>Completing</w:t>
      </w:r>
      <w:r>
        <w:rPr>
          <w:spacing w:val="-4"/>
        </w:rPr>
        <w:t xml:space="preserve"> </w:t>
      </w:r>
      <w:r>
        <w:t>the</w:t>
      </w:r>
      <w:r>
        <w:rPr>
          <w:spacing w:val="-4"/>
        </w:rPr>
        <w:t xml:space="preserve"> </w:t>
      </w:r>
      <w:r>
        <w:t>Medicare</w:t>
      </w:r>
      <w:r>
        <w:rPr>
          <w:spacing w:val="-4"/>
        </w:rPr>
        <w:t xml:space="preserve"> </w:t>
      </w:r>
      <w:r>
        <w:t>Advantage</w:t>
      </w:r>
      <w:r>
        <w:rPr>
          <w:spacing w:val="-5"/>
        </w:rPr>
        <w:t xml:space="preserve"> </w:t>
      </w:r>
      <w:r>
        <w:t>Bid</w:t>
      </w:r>
      <w:r>
        <w:rPr>
          <w:spacing w:val="-4"/>
        </w:rPr>
        <w:t xml:space="preserve"> </w:t>
      </w:r>
      <w:r>
        <w:t>Pricing</w:t>
      </w:r>
      <w:r>
        <w:rPr>
          <w:spacing w:val="-2"/>
        </w:rPr>
        <w:t xml:space="preserve"> </w:t>
      </w:r>
      <w:r>
        <w:t>Tool</w:t>
      </w:r>
      <w:r>
        <w:rPr>
          <w:spacing w:val="-4"/>
        </w:rPr>
        <w:t xml:space="preserve"> </w:t>
      </w:r>
      <w:r>
        <w:t>for</w:t>
      </w:r>
      <w:r>
        <w:rPr>
          <w:spacing w:val="-5"/>
        </w:rPr>
        <w:t xml:space="preserve"> </w:t>
      </w:r>
      <w:r>
        <w:t>Contract Year 2026” for gain/loss margin requirements that are specific to MA bids.</w:t>
      </w:r>
    </w:p>
    <w:p>
      <w:pPr>
        <w:pStyle w:val="BodyText"/>
        <w:ind w:left="224" w:right="478"/>
      </w:pPr>
      <w:r>
        <w:t>The gain/loss margin entered in the BPT must be determined in connection with other CMS instructions such as Total Beneficiary Cost (TBC). If there is a conflict between satisfying gain/loss margin requirements and other CMS instructions, flexibility will be given to the gain/loss</w:t>
      </w:r>
      <w:r>
        <w:rPr>
          <w:spacing w:val="-3"/>
        </w:rPr>
        <w:t xml:space="preserve"> </w:t>
      </w:r>
      <w:r>
        <w:t>margin</w:t>
      </w:r>
      <w:r>
        <w:rPr>
          <w:spacing w:val="-3"/>
        </w:rPr>
        <w:t xml:space="preserve"> </w:t>
      </w:r>
      <w:r>
        <w:t>requirements</w:t>
      </w:r>
      <w:r>
        <w:rPr>
          <w:spacing w:val="-3"/>
        </w:rPr>
        <w:t xml:space="preserve"> </w:t>
      </w:r>
      <w:r>
        <w:t>only</w:t>
      </w:r>
      <w:r>
        <w:rPr>
          <w:spacing w:val="-3"/>
        </w:rPr>
        <w:t xml:space="preserve"> </w:t>
      </w:r>
      <w:r>
        <w:t>to</w:t>
      </w:r>
      <w:r>
        <w:rPr>
          <w:spacing w:val="-3"/>
        </w:rPr>
        <w:t xml:space="preserve"> </w:t>
      </w:r>
      <w:r>
        <w:t>the</w:t>
      </w:r>
      <w:r>
        <w:rPr>
          <w:spacing w:val="-4"/>
        </w:rPr>
        <w:t xml:space="preserve"> </w:t>
      </w:r>
      <w:r>
        <w:t>extent</w:t>
      </w:r>
      <w:r>
        <w:rPr>
          <w:spacing w:val="-3"/>
        </w:rPr>
        <w:t xml:space="preserve"> </w:t>
      </w:r>
      <w:r>
        <w:t>necessary</w:t>
      </w:r>
      <w:r>
        <w:rPr>
          <w:spacing w:val="-3"/>
        </w:rPr>
        <w:t xml:space="preserve"> </w:t>
      </w:r>
      <w:r>
        <w:t>to</w:t>
      </w:r>
      <w:r>
        <w:rPr>
          <w:spacing w:val="-3"/>
        </w:rPr>
        <w:t xml:space="preserve"> </w:t>
      </w:r>
      <w:r>
        <w:t>meet</w:t>
      </w:r>
      <w:r>
        <w:rPr>
          <w:spacing w:val="-3"/>
        </w:rPr>
        <w:t xml:space="preserve"> </w:t>
      </w:r>
      <w:r>
        <w:t>the</w:t>
      </w:r>
      <w:r>
        <w:rPr>
          <w:spacing w:val="-4"/>
        </w:rPr>
        <w:t xml:space="preserve"> </w:t>
      </w:r>
      <w:r>
        <w:t>other</w:t>
      </w:r>
      <w:r>
        <w:rPr>
          <w:spacing w:val="-3"/>
        </w:rPr>
        <w:t xml:space="preserve"> </w:t>
      </w:r>
      <w:r>
        <w:t>CMS instructions. Such conflicts with the gain/loss margin requirements must be disclosed, fully explained and supported. An exception must be approved by CMS.</w:t>
      </w:r>
    </w:p>
    <w:p>
      <w:pPr>
        <w:pStyle w:val="BodyText"/>
        <w:spacing w:before="118"/>
        <w:ind w:left="224" w:right="478"/>
      </w:pPr>
      <w:r>
        <w:t>Gain/loss</w:t>
      </w:r>
      <w:r>
        <w:rPr>
          <w:spacing w:val="-3"/>
        </w:rPr>
        <w:t xml:space="preserve"> </w:t>
      </w:r>
      <w:r>
        <w:t>margin</w:t>
      </w:r>
      <w:r>
        <w:rPr>
          <w:spacing w:val="-3"/>
        </w:rPr>
        <w:t xml:space="preserve"> </w:t>
      </w:r>
      <w:r>
        <w:t>requirements</w:t>
      </w:r>
      <w:r>
        <w:rPr>
          <w:spacing w:val="-3"/>
        </w:rPr>
        <w:t xml:space="preserve"> </w:t>
      </w:r>
      <w:r>
        <w:t>apply</w:t>
      </w:r>
      <w:r>
        <w:rPr>
          <w:spacing w:val="-3"/>
        </w:rPr>
        <w:t xml:space="preserve"> </w:t>
      </w:r>
      <w:r>
        <w:t>at</w:t>
      </w:r>
      <w:r>
        <w:rPr>
          <w:spacing w:val="-3"/>
        </w:rPr>
        <w:t xml:space="preserve"> </w:t>
      </w:r>
      <w:r>
        <w:t>two</w:t>
      </w:r>
      <w:r>
        <w:rPr>
          <w:spacing w:val="-3"/>
        </w:rPr>
        <w:t xml:space="preserve"> </w:t>
      </w:r>
      <w:r>
        <w:t>levels—the</w:t>
      </w:r>
      <w:r>
        <w:rPr>
          <w:spacing w:val="-3"/>
        </w:rPr>
        <w:t xml:space="preserve"> </w:t>
      </w:r>
      <w:r>
        <w:t>bid</w:t>
      </w:r>
      <w:r>
        <w:rPr>
          <w:spacing w:val="-3"/>
        </w:rPr>
        <w:t xml:space="preserve"> </w:t>
      </w:r>
      <w:r>
        <w:t>level</w:t>
      </w:r>
      <w:r>
        <w:rPr>
          <w:spacing w:val="-3"/>
        </w:rPr>
        <w:t xml:space="preserve"> </w:t>
      </w:r>
      <w:r>
        <w:t>and</w:t>
      </w:r>
      <w:r>
        <w:rPr>
          <w:spacing w:val="-4"/>
        </w:rPr>
        <w:t xml:space="preserve"> </w:t>
      </w:r>
      <w:r>
        <w:t>the</w:t>
      </w:r>
      <w:r>
        <w:rPr>
          <w:spacing w:val="-4"/>
        </w:rPr>
        <w:t xml:space="preserve"> </w:t>
      </w:r>
      <w:r>
        <w:t>aggregate</w:t>
      </w:r>
      <w:r>
        <w:rPr>
          <w:spacing w:val="-3"/>
        </w:rPr>
        <w:t xml:space="preserve"> </w:t>
      </w:r>
      <w:r>
        <w:t>level—and both sets of requirements must be met in the initial bid submission and upon bid resubmission or withdrawal.</w:t>
      </w:r>
    </w:p>
    <w:p>
      <w:pPr>
        <w:spacing w:before="241"/>
        <w:ind w:left="0" w:right="7847" w:firstLine="0"/>
        <w:jc w:val="right"/>
        <w:rPr>
          <w:rFonts w:ascii="Arial"/>
          <w:b/>
          <w:i/>
          <w:sz w:val="21"/>
        </w:rPr>
      </w:pPr>
      <w:r>
        <w:rPr>
          <w:rFonts w:ascii="Arial"/>
          <w:b/>
          <w:i/>
          <w:spacing w:val="-2"/>
          <w:sz w:val="21"/>
        </w:rPr>
        <w:t>Definitions</w:t>
      </w:r>
    </w:p>
    <w:p>
      <w:pPr>
        <w:pStyle w:val="BodyText"/>
        <w:spacing w:before="121"/>
      </w:pPr>
      <w:r>
        <w:t>In</w:t>
      </w:r>
      <w:r>
        <w:rPr>
          <w:spacing w:val="-2"/>
        </w:rPr>
        <w:t xml:space="preserve"> </w:t>
      </w:r>
      <w:r>
        <w:t>the</w:t>
      </w:r>
      <w:r>
        <w:rPr>
          <w:spacing w:val="-1"/>
        </w:rPr>
        <w:t xml:space="preserve"> </w:t>
      </w:r>
      <w:r>
        <w:t>BPT</w:t>
      </w:r>
      <w:r>
        <w:rPr>
          <w:spacing w:val="-1"/>
        </w:rPr>
        <w:t xml:space="preserve"> </w:t>
      </w:r>
      <w:r>
        <w:t>and</w:t>
      </w:r>
      <w:r>
        <w:rPr>
          <w:spacing w:val="-2"/>
        </w:rPr>
        <w:t xml:space="preserve"> </w:t>
      </w:r>
      <w:r>
        <w:t>these Instructions,</w:t>
      </w:r>
      <w:r>
        <w:rPr>
          <w:spacing w:val="-1"/>
        </w:rPr>
        <w:t xml:space="preserve"> </w:t>
      </w:r>
      <w:r>
        <w:t>the</w:t>
      </w:r>
      <w:r>
        <w:rPr>
          <w:spacing w:val="-2"/>
        </w:rPr>
        <w:t xml:space="preserve"> </w:t>
      </w:r>
      <w:r>
        <w:rPr>
          <w:spacing w:val="-4"/>
        </w:rPr>
        <w:t>term—</w:t>
      </w:r>
    </w:p>
    <w:p>
      <w:pPr>
        <w:pStyle w:val="ListParagraph"/>
        <w:numPr>
          <w:ilvl w:val="1"/>
          <w:numId w:val="14"/>
        </w:numPr>
        <w:tabs>
          <w:tab w:val="left" w:pos="1664"/>
        </w:tabs>
        <w:spacing w:before="120" w:after="0" w:line="240" w:lineRule="auto"/>
        <w:ind w:left="1664" w:right="447" w:hanging="360"/>
        <w:jc w:val="left"/>
        <w:rPr>
          <w:sz w:val="24"/>
        </w:rPr>
      </w:pPr>
      <w:r>
        <w:rPr>
          <w:sz w:val="24"/>
        </w:rPr>
        <w:t>“Aggregate</w:t>
      </w:r>
      <w:r>
        <w:rPr>
          <w:spacing w:val="-4"/>
          <w:sz w:val="24"/>
        </w:rPr>
        <w:t xml:space="preserve"> </w:t>
      </w:r>
      <w:r>
        <w:rPr>
          <w:sz w:val="24"/>
        </w:rPr>
        <w:t>Part</w:t>
      </w:r>
      <w:r>
        <w:rPr>
          <w:spacing w:val="-4"/>
          <w:sz w:val="24"/>
        </w:rPr>
        <w:t xml:space="preserve"> </w:t>
      </w:r>
      <w:r>
        <w:rPr>
          <w:sz w:val="24"/>
        </w:rPr>
        <w:t>D</w:t>
      </w:r>
      <w:r>
        <w:rPr>
          <w:spacing w:val="-5"/>
          <w:sz w:val="24"/>
        </w:rPr>
        <w:t xml:space="preserve"> </w:t>
      </w:r>
      <w:r>
        <w:rPr>
          <w:sz w:val="24"/>
        </w:rPr>
        <w:t>gain/loss</w:t>
      </w:r>
      <w:r>
        <w:rPr>
          <w:spacing w:val="-3"/>
          <w:sz w:val="24"/>
        </w:rPr>
        <w:t xml:space="preserve"> </w:t>
      </w:r>
      <w:r>
        <w:rPr>
          <w:sz w:val="24"/>
        </w:rPr>
        <w:t>margin”</w:t>
      </w:r>
      <w:r>
        <w:rPr>
          <w:spacing w:val="-4"/>
          <w:sz w:val="24"/>
        </w:rPr>
        <w:t xml:space="preserve"> </w:t>
      </w:r>
      <w:r>
        <w:rPr>
          <w:sz w:val="24"/>
        </w:rPr>
        <w:t>refers</w:t>
      </w:r>
      <w:r>
        <w:rPr>
          <w:spacing w:val="-5"/>
          <w:sz w:val="24"/>
        </w:rPr>
        <w:t xml:space="preserve"> </w:t>
      </w:r>
      <w:r>
        <w:rPr>
          <w:sz w:val="24"/>
        </w:rPr>
        <w:t>to</w:t>
      </w:r>
      <w:r>
        <w:rPr>
          <w:spacing w:val="-4"/>
          <w:sz w:val="24"/>
        </w:rPr>
        <w:t xml:space="preserve"> </w:t>
      </w:r>
      <w:r>
        <w:rPr>
          <w:sz w:val="24"/>
        </w:rPr>
        <w:t>the</w:t>
      </w:r>
      <w:r>
        <w:rPr>
          <w:spacing w:val="-3"/>
          <w:sz w:val="24"/>
        </w:rPr>
        <w:t xml:space="preserve"> </w:t>
      </w:r>
      <w:r>
        <w:rPr>
          <w:sz w:val="24"/>
        </w:rPr>
        <w:t>projected</w:t>
      </w:r>
      <w:r>
        <w:rPr>
          <w:spacing w:val="-4"/>
          <w:sz w:val="24"/>
        </w:rPr>
        <w:t xml:space="preserve"> </w:t>
      </w:r>
      <w:r>
        <w:rPr>
          <w:sz w:val="24"/>
        </w:rPr>
        <w:t>enrollment-weighted average BPT PMPM gain/loss margin applicable to either (i) Part D plans without corresponding MA plans or (ii) MA-PD plans.</w:t>
      </w:r>
    </w:p>
    <w:p>
      <w:pPr>
        <w:spacing w:before="240"/>
        <w:ind w:left="944" w:right="0" w:firstLine="0"/>
        <w:jc w:val="left"/>
        <w:rPr>
          <w:rFonts w:ascii="Arial"/>
          <w:b/>
          <w:i/>
          <w:sz w:val="21"/>
        </w:rPr>
      </w:pPr>
      <w:r>
        <w:rPr>
          <w:rFonts w:ascii="Arial"/>
          <w:b/>
          <w:i/>
          <w:sz w:val="21"/>
        </w:rPr>
        <w:t>Bid-Level</w:t>
      </w:r>
      <w:r>
        <w:rPr>
          <w:rFonts w:ascii="Arial"/>
          <w:b/>
          <w:i/>
          <w:spacing w:val="-9"/>
          <w:sz w:val="21"/>
        </w:rPr>
        <w:t xml:space="preserve"> </w:t>
      </w:r>
      <w:r>
        <w:rPr>
          <w:rFonts w:ascii="Arial"/>
          <w:b/>
          <w:i/>
          <w:spacing w:val="-2"/>
          <w:sz w:val="21"/>
        </w:rPr>
        <w:t>Requirements</w:t>
      </w:r>
    </w:p>
    <w:p>
      <w:pPr>
        <w:pStyle w:val="BodyText"/>
        <w:spacing w:before="121"/>
        <w:ind w:right="465"/>
      </w:pPr>
      <w:r>
        <w:t>The gain/loss margin entered in the BPT is allocated to basic coverage and</w:t>
      </w:r>
      <w:r>
        <w:rPr>
          <w:spacing w:val="40"/>
        </w:rPr>
        <w:t xml:space="preserve"> </w:t>
      </w:r>
      <w:r>
        <w:t>supplemental</w:t>
      </w:r>
      <w:r>
        <w:rPr>
          <w:spacing w:val="-4"/>
        </w:rPr>
        <w:t xml:space="preserve"> </w:t>
      </w:r>
      <w:r>
        <w:t>coverage</w:t>
      </w:r>
      <w:r>
        <w:rPr>
          <w:spacing w:val="-5"/>
        </w:rPr>
        <w:t xml:space="preserve"> </w:t>
      </w:r>
      <w:r>
        <w:t>based</w:t>
      </w:r>
      <w:r>
        <w:rPr>
          <w:spacing w:val="-4"/>
        </w:rPr>
        <w:t xml:space="preserve"> </w:t>
      </w:r>
      <w:r>
        <w:t>on</w:t>
      </w:r>
      <w:r>
        <w:rPr>
          <w:spacing w:val="-4"/>
        </w:rPr>
        <w:t xml:space="preserve"> </w:t>
      </w:r>
      <w:r>
        <w:t>the</w:t>
      </w:r>
      <w:r>
        <w:rPr>
          <w:spacing w:val="-4"/>
        </w:rPr>
        <w:t xml:space="preserve"> </w:t>
      </w:r>
      <w:r>
        <w:t>distribution</w:t>
      </w:r>
      <w:r>
        <w:rPr>
          <w:spacing w:val="-4"/>
        </w:rPr>
        <w:t xml:space="preserve"> </w:t>
      </w:r>
      <w:r>
        <w:t>of</w:t>
      </w:r>
      <w:r>
        <w:rPr>
          <w:spacing w:val="-5"/>
        </w:rPr>
        <w:t xml:space="preserve"> </w:t>
      </w:r>
      <w:r>
        <w:t>total</w:t>
      </w:r>
      <w:r>
        <w:rPr>
          <w:spacing w:val="-4"/>
        </w:rPr>
        <w:t xml:space="preserve"> </w:t>
      </w:r>
      <w:r>
        <w:t>prescription</w:t>
      </w:r>
      <w:r>
        <w:rPr>
          <w:spacing w:val="-4"/>
        </w:rPr>
        <w:t xml:space="preserve"> </w:t>
      </w:r>
      <w:r>
        <w:t>drug</w:t>
      </w:r>
      <w:r>
        <w:rPr>
          <w:spacing w:val="-4"/>
        </w:rPr>
        <w:t xml:space="preserve"> </w:t>
      </w:r>
      <w:r>
        <w:t>costs</w:t>
      </w:r>
      <w:r>
        <w:rPr>
          <w:spacing w:val="-4"/>
        </w:rPr>
        <w:t xml:space="preserve"> </w:t>
      </w:r>
      <w:r>
        <w:t>between these two types of coverage.</w:t>
      </w:r>
    </w:p>
    <w:p>
      <w:pPr>
        <w:pStyle w:val="BodyText"/>
      </w:pPr>
      <w:r>
        <w:t>There</w:t>
      </w:r>
      <w:r>
        <w:rPr>
          <w:spacing w:val="-5"/>
        </w:rPr>
        <w:t xml:space="preserve"> </w:t>
      </w:r>
      <w:r>
        <w:t>is</w:t>
      </w:r>
      <w:r>
        <w:rPr>
          <w:spacing w:val="-1"/>
        </w:rPr>
        <w:t xml:space="preserve"> </w:t>
      </w:r>
      <w:r>
        <w:t>flexibility in</w:t>
      </w:r>
      <w:r>
        <w:rPr>
          <w:spacing w:val="-1"/>
        </w:rPr>
        <w:t xml:space="preserve"> </w:t>
      </w:r>
      <w:r>
        <w:t>setting</w:t>
      </w:r>
      <w:r>
        <w:rPr>
          <w:spacing w:val="-1"/>
        </w:rPr>
        <w:t xml:space="preserve"> </w:t>
      </w:r>
      <w:r>
        <w:t>the</w:t>
      </w:r>
      <w:r>
        <w:rPr>
          <w:spacing w:val="-1"/>
        </w:rPr>
        <w:t xml:space="preserve"> </w:t>
      </w:r>
      <w:r>
        <w:t>gain/loss</w:t>
      </w:r>
      <w:r>
        <w:rPr>
          <w:spacing w:val="-1"/>
        </w:rPr>
        <w:t xml:space="preserve"> </w:t>
      </w:r>
      <w:r>
        <w:t>margin at</w:t>
      </w:r>
      <w:r>
        <w:rPr>
          <w:spacing w:val="-1"/>
        </w:rPr>
        <w:t xml:space="preserve"> </w:t>
      </w:r>
      <w:r>
        <w:t>the</w:t>
      </w:r>
      <w:r>
        <w:rPr>
          <w:spacing w:val="-1"/>
        </w:rPr>
        <w:t xml:space="preserve"> </w:t>
      </w:r>
      <w:r>
        <w:t>bid level</w:t>
      </w:r>
      <w:r>
        <w:rPr>
          <w:spacing w:val="-1"/>
        </w:rPr>
        <w:t xml:space="preserve"> </w:t>
      </w:r>
      <w:r>
        <w:t>provided</w:t>
      </w:r>
      <w:r>
        <w:rPr>
          <w:spacing w:val="1"/>
        </w:rPr>
        <w:t xml:space="preserve"> </w:t>
      </w:r>
      <w:r>
        <w:rPr>
          <w:spacing w:val="-2"/>
        </w:rPr>
        <w:t>that—</w:t>
      </w:r>
    </w:p>
    <w:p>
      <w:pPr>
        <w:pStyle w:val="ListParagraph"/>
        <w:numPr>
          <w:ilvl w:val="1"/>
          <w:numId w:val="14"/>
        </w:numPr>
        <w:tabs>
          <w:tab w:val="left" w:pos="1664"/>
        </w:tabs>
        <w:spacing w:before="120" w:after="0" w:line="240" w:lineRule="auto"/>
        <w:ind w:left="1664" w:right="0" w:hanging="360"/>
        <w:jc w:val="left"/>
        <w:rPr>
          <w:sz w:val="24"/>
        </w:rPr>
      </w:pPr>
      <w:r>
        <w:rPr>
          <w:sz w:val="24"/>
        </w:rPr>
        <w:t>The</w:t>
      </w:r>
      <w:r>
        <w:rPr>
          <w:spacing w:val="-5"/>
          <w:sz w:val="24"/>
        </w:rPr>
        <w:t xml:space="preserve"> </w:t>
      </w:r>
      <w:r>
        <w:rPr>
          <w:sz w:val="24"/>
        </w:rPr>
        <w:t>bid offers</w:t>
      </w:r>
      <w:r>
        <w:rPr>
          <w:spacing w:val="-1"/>
          <w:sz w:val="24"/>
        </w:rPr>
        <w:t xml:space="preserve"> </w:t>
      </w:r>
      <w:r>
        <w:rPr>
          <w:sz w:val="24"/>
        </w:rPr>
        <w:t>benefit value in</w:t>
      </w:r>
      <w:r>
        <w:rPr>
          <w:spacing w:val="-1"/>
          <w:sz w:val="24"/>
        </w:rPr>
        <w:t xml:space="preserve"> </w:t>
      </w:r>
      <w:r>
        <w:rPr>
          <w:sz w:val="24"/>
        </w:rPr>
        <w:t>relation to the gain/loss</w:t>
      </w:r>
      <w:r>
        <w:rPr>
          <w:spacing w:val="1"/>
          <w:sz w:val="24"/>
        </w:rPr>
        <w:t xml:space="preserve"> </w:t>
      </w:r>
      <w:r>
        <w:rPr>
          <w:sz w:val="24"/>
        </w:rPr>
        <w:t xml:space="preserve">margin </w:t>
      </w:r>
      <w:r>
        <w:rPr>
          <w:spacing w:val="-2"/>
          <w:sz w:val="24"/>
        </w:rPr>
        <w:t>level;</w:t>
      </w:r>
    </w:p>
    <w:p>
      <w:pPr>
        <w:pStyle w:val="ListParagraph"/>
        <w:numPr>
          <w:ilvl w:val="1"/>
          <w:numId w:val="14"/>
        </w:numPr>
        <w:tabs>
          <w:tab w:val="left" w:pos="1664"/>
        </w:tabs>
        <w:spacing w:before="0" w:after="0" w:line="240" w:lineRule="auto"/>
        <w:ind w:left="1664" w:right="0" w:hanging="360"/>
        <w:jc w:val="left"/>
        <w:rPr>
          <w:sz w:val="24"/>
        </w:rPr>
      </w:pPr>
      <w:r>
        <w:rPr>
          <w:sz w:val="24"/>
        </w:rPr>
        <w:t>Anti-competitive</w:t>
      </w:r>
      <w:r>
        <w:rPr>
          <w:spacing w:val="-2"/>
          <w:sz w:val="24"/>
        </w:rPr>
        <w:t xml:space="preserve"> </w:t>
      </w:r>
      <w:r>
        <w:rPr>
          <w:sz w:val="24"/>
        </w:rPr>
        <w:t>practices</w:t>
      </w:r>
      <w:r>
        <w:rPr>
          <w:spacing w:val="-1"/>
          <w:sz w:val="24"/>
        </w:rPr>
        <w:t xml:space="preserve"> </w:t>
      </w:r>
      <w:r>
        <w:rPr>
          <w:sz w:val="24"/>
        </w:rPr>
        <w:t>are</w:t>
      </w:r>
      <w:r>
        <w:rPr>
          <w:spacing w:val="-3"/>
          <w:sz w:val="24"/>
        </w:rPr>
        <w:t xml:space="preserve"> </w:t>
      </w:r>
      <w:r>
        <w:rPr>
          <w:sz w:val="24"/>
        </w:rPr>
        <w:t>not</w:t>
      </w:r>
      <w:r>
        <w:rPr>
          <w:spacing w:val="-1"/>
          <w:sz w:val="24"/>
        </w:rPr>
        <w:t xml:space="preserve"> </w:t>
      </w:r>
      <w:r>
        <w:rPr>
          <w:sz w:val="24"/>
        </w:rPr>
        <w:t>used;</w:t>
      </w:r>
      <w:r>
        <w:rPr>
          <w:spacing w:val="2"/>
          <w:sz w:val="24"/>
        </w:rPr>
        <w:t xml:space="preserve"> </w:t>
      </w:r>
      <w:r>
        <w:rPr>
          <w:spacing w:val="-5"/>
          <w:sz w:val="24"/>
        </w:rPr>
        <w:t>and</w:t>
      </w:r>
    </w:p>
    <w:p>
      <w:pPr>
        <w:pStyle w:val="ListParagraph"/>
        <w:numPr>
          <w:ilvl w:val="1"/>
          <w:numId w:val="14"/>
        </w:numPr>
        <w:tabs>
          <w:tab w:val="left" w:pos="1664"/>
        </w:tabs>
        <w:spacing w:before="0" w:after="0" w:line="240" w:lineRule="auto"/>
        <w:ind w:left="1664" w:right="0" w:hanging="360"/>
        <w:jc w:val="left"/>
        <w:rPr>
          <w:sz w:val="24"/>
        </w:rPr>
      </w:pPr>
      <w:r>
        <w:rPr>
          <w:sz w:val="24"/>
        </w:rPr>
        <w:t>All</w:t>
      </w:r>
      <w:r>
        <w:rPr>
          <w:spacing w:val="-2"/>
          <w:sz w:val="24"/>
        </w:rPr>
        <w:t xml:space="preserve"> </w:t>
      </w:r>
      <w:r>
        <w:rPr>
          <w:sz w:val="24"/>
        </w:rPr>
        <w:t>aggregate-level</w:t>
      </w:r>
      <w:r>
        <w:rPr>
          <w:spacing w:val="-2"/>
          <w:sz w:val="24"/>
        </w:rPr>
        <w:t xml:space="preserve"> </w:t>
      </w:r>
      <w:r>
        <w:rPr>
          <w:sz w:val="24"/>
        </w:rPr>
        <w:t>gain/loss margin</w:t>
      </w:r>
      <w:r>
        <w:rPr>
          <w:spacing w:val="-2"/>
          <w:sz w:val="24"/>
        </w:rPr>
        <w:t xml:space="preserve"> </w:t>
      </w:r>
      <w:r>
        <w:rPr>
          <w:sz w:val="24"/>
        </w:rPr>
        <w:t>requirements described</w:t>
      </w:r>
      <w:r>
        <w:rPr>
          <w:spacing w:val="-1"/>
          <w:sz w:val="24"/>
        </w:rPr>
        <w:t xml:space="preserve"> </w:t>
      </w:r>
      <w:r>
        <w:rPr>
          <w:sz w:val="24"/>
        </w:rPr>
        <w:t>below</w:t>
      </w:r>
      <w:r>
        <w:rPr>
          <w:spacing w:val="-2"/>
          <w:sz w:val="24"/>
        </w:rPr>
        <w:t xml:space="preserve"> </w:t>
      </w:r>
      <w:r>
        <w:rPr>
          <w:sz w:val="24"/>
        </w:rPr>
        <w:t>are</w:t>
      </w:r>
      <w:r>
        <w:rPr>
          <w:spacing w:val="-2"/>
          <w:sz w:val="24"/>
        </w:rPr>
        <w:t xml:space="preserve"> </w:t>
      </w:r>
      <w:r>
        <w:rPr>
          <w:spacing w:val="-4"/>
          <w:sz w:val="24"/>
        </w:rPr>
        <w:t>met.</w:t>
      </w:r>
    </w:p>
    <w:p>
      <w:pPr>
        <w:pStyle w:val="BodyText"/>
        <w:ind w:right="478"/>
      </w:pPr>
      <w:r>
        <w:t>The bid-level requirements below do not apply to Part D BPTs that have a corresponding</w:t>
      </w:r>
      <w:r>
        <w:rPr>
          <w:spacing w:val="-3"/>
        </w:rPr>
        <w:t xml:space="preserve"> </w:t>
      </w:r>
      <w:r>
        <w:t>MA</w:t>
      </w:r>
      <w:r>
        <w:rPr>
          <w:spacing w:val="-3"/>
        </w:rPr>
        <w:t xml:space="preserve"> </w:t>
      </w:r>
      <w:r>
        <w:t>BPT;</w:t>
      </w:r>
      <w:r>
        <w:rPr>
          <w:spacing w:val="-3"/>
        </w:rPr>
        <w:t xml:space="preserve"> </w:t>
      </w:r>
      <w:r>
        <w:t>rather,</w:t>
      </w:r>
      <w:r>
        <w:rPr>
          <w:spacing w:val="-3"/>
        </w:rPr>
        <w:t xml:space="preserve"> </w:t>
      </w:r>
      <w:r>
        <w:t>these</w:t>
      </w:r>
      <w:r>
        <w:rPr>
          <w:spacing w:val="-4"/>
        </w:rPr>
        <w:t xml:space="preserve"> </w:t>
      </w:r>
      <w:r>
        <w:t>requirements</w:t>
      </w:r>
      <w:r>
        <w:rPr>
          <w:spacing w:val="-3"/>
        </w:rPr>
        <w:t xml:space="preserve"> </w:t>
      </w:r>
      <w:r>
        <w:t>apply</w:t>
      </w:r>
      <w:r>
        <w:rPr>
          <w:spacing w:val="-2"/>
        </w:rPr>
        <w:t xml:space="preserve"> </w:t>
      </w:r>
      <w:r>
        <w:t>only</w:t>
      </w:r>
      <w:r>
        <w:rPr>
          <w:spacing w:val="-3"/>
        </w:rPr>
        <w:t xml:space="preserve"> </w:t>
      </w:r>
      <w:r>
        <w:t>to</w:t>
      </w:r>
      <w:r>
        <w:rPr>
          <w:spacing w:val="-3"/>
        </w:rPr>
        <w:t xml:space="preserve"> </w:t>
      </w:r>
      <w:r>
        <w:t>Part</w:t>
      </w:r>
      <w:r>
        <w:rPr>
          <w:spacing w:val="-3"/>
        </w:rPr>
        <w:t xml:space="preserve"> </w:t>
      </w:r>
      <w:r>
        <w:t>D</w:t>
      </w:r>
      <w:r>
        <w:rPr>
          <w:spacing w:val="-3"/>
        </w:rPr>
        <w:t xml:space="preserve"> </w:t>
      </w:r>
      <w:r>
        <w:t>BPTs</w:t>
      </w:r>
      <w:r>
        <w:rPr>
          <w:spacing w:val="-3"/>
        </w:rPr>
        <w:t xml:space="preserve"> </w:t>
      </w:r>
      <w:r>
        <w:t>with</w:t>
      </w:r>
      <w:r>
        <w:rPr>
          <w:spacing w:val="-3"/>
        </w:rPr>
        <w:t xml:space="preserve"> </w:t>
      </w:r>
      <w:r>
        <w:t>the following Plan Type Codes: PDP, PACE, 1876 Cost, and 1833 Cost.</w:t>
      </w:r>
    </w:p>
    <w:p>
      <w:pPr>
        <w:pStyle w:val="ListParagraph"/>
        <w:numPr>
          <w:ilvl w:val="0"/>
          <w:numId w:val="14"/>
        </w:numPr>
        <w:tabs>
          <w:tab w:val="left" w:pos="1303"/>
        </w:tabs>
        <w:spacing w:before="241" w:after="0" w:line="240" w:lineRule="auto"/>
        <w:ind w:left="1303" w:right="0" w:hanging="359"/>
        <w:jc w:val="left"/>
        <w:rPr>
          <w:rFonts w:ascii="Arial" w:hAnsi="Arial"/>
          <w:b/>
          <w:sz w:val="21"/>
        </w:rPr>
      </w:pPr>
      <w:r>
        <w:rPr>
          <w:rFonts w:ascii="Arial" w:hAnsi="Arial"/>
          <w:b/>
          <w:sz w:val="21"/>
        </w:rPr>
        <w:t>Benefit</w:t>
      </w:r>
      <w:r>
        <w:rPr>
          <w:rFonts w:ascii="Arial" w:hAnsi="Arial"/>
          <w:b/>
          <w:spacing w:val="-9"/>
          <w:sz w:val="21"/>
        </w:rPr>
        <w:t xml:space="preserve"> </w:t>
      </w:r>
      <w:r>
        <w:rPr>
          <w:rFonts w:ascii="Arial" w:hAnsi="Arial"/>
          <w:b/>
          <w:spacing w:val="-2"/>
          <w:sz w:val="21"/>
        </w:rPr>
        <w:t>Value</w:t>
      </w:r>
    </w:p>
    <w:p>
      <w:pPr>
        <w:pStyle w:val="BodyText"/>
        <w:spacing w:before="118"/>
        <w:ind w:left="193" w:right="213"/>
        <w:jc w:val="center"/>
      </w:pPr>
      <w:r>
        <w:t>The</w:t>
      </w:r>
      <w:r>
        <w:rPr>
          <w:spacing w:val="-5"/>
        </w:rPr>
        <w:t xml:space="preserve"> </w:t>
      </w:r>
      <w:r>
        <w:t>bid must</w:t>
      </w:r>
      <w:r>
        <w:rPr>
          <w:spacing w:val="-1"/>
        </w:rPr>
        <w:t xml:space="preserve"> </w:t>
      </w:r>
      <w:r>
        <w:t>provide benefit</w:t>
      </w:r>
      <w:r>
        <w:rPr>
          <w:spacing w:val="-1"/>
        </w:rPr>
        <w:t xml:space="preserve"> </w:t>
      </w:r>
      <w:r>
        <w:t>value in relation</w:t>
      </w:r>
      <w:r>
        <w:rPr>
          <w:spacing w:val="-1"/>
        </w:rPr>
        <w:t xml:space="preserve"> </w:t>
      </w:r>
      <w:r>
        <w:t>to the gain/loss</w:t>
      </w:r>
      <w:r>
        <w:rPr>
          <w:spacing w:val="1"/>
        </w:rPr>
        <w:t xml:space="preserve"> </w:t>
      </w:r>
      <w:r>
        <w:t xml:space="preserve">margin </w:t>
      </w:r>
      <w:r>
        <w:rPr>
          <w:spacing w:val="-2"/>
        </w:rPr>
        <w:t>level.</w:t>
      </w:r>
    </w:p>
    <w:p>
      <w:pPr>
        <w:spacing w:after="0"/>
        <w:jc w:val="center"/>
        <w:sectPr>
          <w:pgSz w:w="12240" w:h="15840"/>
          <w:pgMar w:top="1340" w:right="1000" w:bottom="940" w:left="1360" w:header="727" w:footer="747"/>
          <w:cols w:space="720"/>
        </w:sectPr>
      </w:pPr>
    </w:p>
    <w:p>
      <w:pPr>
        <w:pStyle w:val="BodyText"/>
        <w:spacing w:before="87"/>
        <w:ind w:left="1304" w:right="425"/>
      </w:pPr>
      <w:r>
        <w:t>For</w:t>
      </w:r>
      <w:r>
        <w:rPr>
          <w:spacing w:val="-3"/>
        </w:rPr>
        <w:t xml:space="preserve"> </w:t>
      </w:r>
      <w:r>
        <w:t>a</w:t>
      </w:r>
      <w:r>
        <w:rPr>
          <w:spacing w:val="-5"/>
        </w:rPr>
        <w:t xml:space="preserve"> </w:t>
      </w:r>
      <w:r>
        <w:t>bid</w:t>
      </w:r>
      <w:r>
        <w:rPr>
          <w:spacing w:val="-3"/>
        </w:rPr>
        <w:t xml:space="preserve"> </w:t>
      </w:r>
      <w:r>
        <w:t>with</w:t>
      </w:r>
      <w:r>
        <w:rPr>
          <w:spacing w:val="-3"/>
        </w:rPr>
        <w:t xml:space="preserve"> </w:t>
      </w:r>
      <w:r>
        <w:t>a</w:t>
      </w:r>
      <w:r>
        <w:rPr>
          <w:spacing w:val="-4"/>
        </w:rPr>
        <w:t xml:space="preserve"> </w:t>
      </w:r>
      <w:r>
        <w:t>high</w:t>
      </w:r>
      <w:r>
        <w:rPr>
          <w:spacing w:val="-3"/>
        </w:rPr>
        <w:t xml:space="preserve"> </w:t>
      </w:r>
      <w:r>
        <w:t>gain/loss</w:t>
      </w:r>
      <w:r>
        <w:rPr>
          <w:spacing w:val="-2"/>
        </w:rPr>
        <w:t xml:space="preserve"> </w:t>
      </w:r>
      <w:r>
        <w:t>margin,</w:t>
      </w:r>
      <w:r>
        <w:rPr>
          <w:spacing w:val="-3"/>
        </w:rPr>
        <w:t xml:space="preserve"> </w:t>
      </w:r>
      <w:r>
        <w:t>consideration</w:t>
      </w:r>
      <w:r>
        <w:rPr>
          <w:spacing w:val="-3"/>
        </w:rPr>
        <w:t xml:space="preserve"> </w:t>
      </w:r>
      <w:r>
        <w:t>must</w:t>
      </w:r>
      <w:r>
        <w:rPr>
          <w:spacing w:val="-3"/>
        </w:rPr>
        <w:t xml:space="preserve"> </w:t>
      </w:r>
      <w:r>
        <w:t>be</w:t>
      </w:r>
      <w:r>
        <w:rPr>
          <w:spacing w:val="-3"/>
        </w:rPr>
        <w:t xml:space="preserve"> </w:t>
      </w:r>
      <w:r>
        <w:t>given</w:t>
      </w:r>
      <w:r>
        <w:rPr>
          <w:spacing w:val="-3"/>
        </w:rPr>
        <w:t xml:space="preserve"> </w:t>
      </w:r>
      <w:r>
        <w:t>to</w:t>
      </w:r>
      <w:r>
        <w:rPr>
          <w:spacing w:val="-1"/>
        </w:rPr>
        <w:t xml:space="preserve"> </w:t>
      </w:r>
      <w:r>
        <w:t>premium changes that can be made in CY2026 to reduce gain/loss margin.</w:t>
      </w:r>
    </w:p>
    <w:p>
      <w:pPr>
        <w:pStyle w:val="ListParagraph"/>
        <w:numPr>
          <w:ilvl w:val="0"/>
          <w:numId w:val="14"/>
        </w:numPr>
        <w:tabs>
          <w:tab w:val="left" w:pos="1303"/>
        </w:tabs>
        <w:spacing w:before="240" w:after="0" w:line="240" w:lineRule="auto"/>
        <w:ind w:left="1303" w:right="0" w:hanging="359"/>
        <w:jc w:val="left"/>
        <w:rPr>
          <w:rFonts w:ascii="Arial" w:hAnsi="Arial"/>
          <w:b/>
          <w:sz w:val="21"/>
        </w:rPr>
      </w:pPr>
      <w:r>
        <w:rPr>
          <w:rFonts w:ascii="Arial" w:hAnsi="Arial"/>
          <w:b/>
          <w:spacing w:val="-2"/>
          <w:sz w:val="21"/>
        </w:rPr>
        <w:t>Anti-Competitive</w:t>
      </w:r>
      <w:r>
        <w:rPr>
          <w:rFonts w:ascii="Arial" w:hAnsi="Arial"/>
          <w:b/>
          <w:spacing w:val="15"/>
          <w:sz w:val="21"/>
        </w:rPr>
        <w:t xml:space="preserve"> </w:t>
      </w:r>
      <w:r>
        <w:rPr>
          <w:rFonts w:ascii="Arial" w:hAnsi="Arial"/>
          <w:b/>
          <w:spacing w:val="-2"/>
          <w:sz w:val="21"/>
        </w:rPr>
        <w:t>Practices</w:t>
      </w:r>
    </w:p>
    <w:p>
      <w:pPr>
        <w:pStyle w:val="BodyText"/>
        <w:spacing w:before="121"/>
        <w:ind w:left="1304" w:right="478"/>
      </w:pPr>
      <w:r>
        <w:t>Anti-competitive</w:t>
      </w:r>
      <w:r>
        <w:rPr>
          <w:spacing w:val="-5"/>
        </w:rPr>
        <w:t xml:space="preserve"> </w:t>
      </w:r>
      <w:r>
        <w:t>practices</w:t>
      </w:r>
      <w:r>
        <w:rPr>
          <w:spacing w:val="-5"/>
        </w:rPr>
        <w:t xml:space="preserve"> </w:t>
      </w:r>
      <w:r>
        <w:t>will</w:t>
      </w:r>
      <w:r>
        <w:rPr>
          <w:spacing w:val="-5"/>
        </w:rPr>
        <w:t xml:space="preserve"> </w:t>
      </w:r>
      <w:r>
        <w:t>not</w:t>
      </w:r>
      <w:r>
        <w:rPr>
          <w:spacing w:val="-5"/>
        </w:rPr>
        <w:t xml:space="preserve"> </w:t>
      </w:r>
      <w:r>
        <w:t>be</w:t>
      </w:r>
      <w:r>
        <w:rPr>
          <w:spacing w:val="-5"/>
        </w:rPr>
        <w:t xml:space="preserve"> </w:t>
      </w:r>
      <w:r>
        <w:t>accepted.</w:t>
      </w:r>
      <w:r>
        <w:rPr>
          <w:spacing w:val="-3"/>
        </w:rPr>
        <w:t xml:space="preserve"> </w:t>
      </w:r>
      <w:r>
        <w:t>For</w:t>
      </w:r>
      <w:r>
        <w:rPr>
          <w:spacing w:val="-5"/>
        </w:rPr>
        <w:t xml:space="preserve"> </w:t>
      </w:r>
      <w:r>
        <w:t>example,</w:t>
      </w:r>
      <w:r>
        <w:rPr>
          <w:spacing w:val="-5"/>
        </w:rPr>
        <w:t xml:space="preserve"> </w:t>
      </w:r>
      <w:r>
        <w:t>significantly</w:t>
      </w:r>
      <w:r>
        <w:rPr>
          <w:spacing w:val="-3"/>
        </w:rPr>
        <w:t xml:space="preserve"> </w:t>
      </w:r>
      <w:r>
        <w:t>low</w:t>
      </w:r>
      <w:r>
        <w:rPr>
          <w:spacing w:val="-5"/>
        </w:rPr>
        <w:t xml:space="preserve"> </w:t>
      </w:r>
      <w:r>
        <w:t>or negative gain/loss margin for plans that have substantial enrollment and stable experience, or “bait and switch” approaches to specific plan gain/loss margin buildup, will be rejected, absent sufficient support that such pricing is consistent with these Instructions.</w:t>
      </w:r>
    </w:p>
    <w:p>
      <w:pPr>
        <w:spacing w:before="240"/>
        <w:ind w:left="944" w:right="0" w:firstLine="0"/>
        <w:jc w:val="left"/>
        <w:rPr>
          <w:rFonts w:ascii="Arial"/>
          <w:b/>
          <w:i/>
          <w:sz w:val="21"/>
        </w:rPr>
      </w:pPr>
      <w:r>
        <w:rPr>
          <w:rFonts w:ascii="Arial"/>
          <w:b/>
          <w:i/>
          <w:spacing w:val="-2"/>
          <w:sz w:val="21"/>
        </w:rPr>
        <w:t>Aggregate-Level</w:t>
      </w:r>
      <w:r>
        <w:rPr>
          <w:rFonts w:ascii="Arial"/>
          <w:b/>
          <w:i/>
          <w:spacing w:val="11"/>
          <w:sz w:val="21"/>
        </w:rPr>
        <w:t xml:space="preserve"> </w:t>
      </w:r>
      <w:r>
        <w:rPr>
          <w:rFonts w:ascii="Arial"/>
          <w:b/>
          <w:i/>
          <w:spacing w:val="-2"/>
          <w:sz w:val="21"/>
        </w:rPr>
        <w:t>Requirements</w:t>
      </w:r>
    </w:p>
    <w:p>
      <w:pPr>
        <w:pStyle w:val="ListParagraph"/>
        <w:numPr>
          <w:ilvl w:val="0"/>
          <w:numId w:val="14"/>
        </w:numPr>
        <w:tabs>
          <w:tab w:val="left" w:pos="1303"/>
        </w:tabs>
        <w:spacing w:before="239" w:after="0" w:line="240" w:lineRule="auto"/>
        <w:ind w:left="1303" w:right="0" w:hanging="359"/>
        <w:jc w:val="left"/>
        <w:rPr>
          <w:rFonts w:ascii="Arial" w:hAnsi="Arial"/>
          <w:b/>
          <w:sz w:val="21"/>
        </w:rPr>
      </w:pPr>
      <w:r>
        <w:rPr>
          <w:rFonts w:ascii="Arial" w:hAnsi="Arial"/>
          <w:b/>
          <w:sz w:val="21"/>
        </w:rPr>
        <w:t>Year-to-Year</w:t>
      </w:r>
      <w:r>
        <w:rPr>
          <w:rFonts w:ascii="Arial" w:hAnsi="Arial"/>
          <w:b/>
          <w:spacing w:val="-14"/>
          <w:sz w:val="21"/>
        </w:rPr>
        <w:t xml:space="preserve"> </w:t>
      </w:r>
      <w:r>
        <w:rPr>
          <w:rFonts w:ascii="Arial" w:hAnsi="Arial"/>
          <w:b/>
          <w:spacing w:val="-2"/>
          <w:sz w:val="21"/>
        </w:rPr>
        <w:t>Consistency</w:t>
      </w:r>
    </w:p>
    <w:p>
      <w:pPr>
        <w:pStyle w:val="BodyText"/>
        <w:spacing w:before="121"/>
        <w:ind w:left="1304" w:right="470"/>
      </w:pPr>
      <w:r>
        <w:t>Although actual gain/loss margin may vary from year to year, CMS expects certifying actuaries to price bids such that actual aggregate Part D gain/loss margin as</w:t>
      </w:r>
      <w:r>
        <w:rPr>
          <w:spacing w:val="-3"/>
        </w:rPr>
        <w:t xml:space="preserve"> </w:t>
      </w:r>
      <w:r>
        <w:t>a</w:t>
      </w:r>
      <w:r>
        <w:rPr>
          <w:spacing w:val="-4"/>
        </w:rPr>
        <w:t xml:space="preserve"> </w:t>
      </w:r>
      <w:r>
        <w:t>percentage</w:t>
      </w:r>
      <w:r>
        <w:rPr>
          <w:spacing w:val="-4"/>
        </w:rPr>
        <w:t xml:space="preserve"> </w:t>
      </w:r>
      <w:r>
        <w:t>of</w:t>
      </w:r>
      <w:r>
        <w:rPr>
          <w:spacing w:val="-3"/>
        </w:rPr>
        <w:t xml:space="preserve"> </w:t>
      </w:r>
      <w:r>
        <w:t>revenue</w:t>
      </w:r>
      <w:r>
        <w:rPr>
          <w:spacing w:val="-3"/>
        </w:rPr>
        <w:t xml:space="preserve"> </w:t>
      </w:r>
      <w:r>
        <w:t>over</w:t>
      </w:r>
      <w:r>
        <w:rPr>
          <w:spacing w:val="-3"/>
        </w:rPr>
        <w:t xml:space="preserve"> </w:t>
      </w:r>
      <w:r>
        <w:t>the</w:t>
      </w:r>
      <w:r>
        <w:rPr>
          <w:spacing w:val="-5"/>
        </w:rPr>
        <w:t xml:space="preserve"> </w:t>
      </w:r>
      <w:r>
        <w:t>long</w:t>
      </w:r>
      <w:r>
        <w:rPr>
          <w:spacing w:val="-3"/>
        </w:rPr>
        <w:t xml:space="preserve"> </w:t>
      </w:r>
      <w:r>
        <w:t>term</w:t>
      </w:r>
      <w:r>
        <w:rPr>
          <w:spacing w:val="-3"/>
        </w:rPr>
        <w:t xml:space="preserve"> </w:t>
      </w:r>
      <w:r>
        <w:t>is</w:t>
      </w:r>
      <w:r>
        <w:rPr>
          <w:spacing w:val="-3"/>
        </w:rPr>
        <w:t xml:space="preserve"> </w:t>
      </w:r>
      <w:r>
        <w:t>consistent</w:t>
      </w:r>
      <w:r>
        <w:rPr>
          <w:spacing w:val="-3"/>
        </w:rPr>
        <w:t xml:space="preserve"> </w:t>
      </w:r>
      <w:r>
        <w:t>with</w:t>
      </w:r>
      <w:r>
        <w:rPr>
          <w:spacing w:val="-3"/>
        </w:rPr>
        <w:t xml:space="preserve"> </w:t>
      </w:r>
      <w:r>
        <w:t>the</w:t>
      </w:r>
      <w:r>
        <w:rPr>
          <w:spacing w:val="-3"/>
        </w:rPr>
        <w:t xml:space="preserve"> </w:t>
      </w:r>
      <w:r>
        <w:t>gain/loss</w:t>
      </w:r>
      <w:r>
        <w:rPr>
          <w:spacing w:val="-2"/>
        </w:rPr>
        <w:t xml:space="preserve"> </w:t>
      </w:r>
      <w:r>
        <w:t>margin assumptions used for pricing. This requirement applies separately for (i) Part D plans without corresponding MA plans and (ii) MA-PD plans.</w:t>
      </w:r>
    </w:p>
    <w:p>
      <w:pPr>
        <w:pStyle w:val="ListParagraph"/>
        <w:numPr>
          <w:ilvl w:val="0"/>
          <w:numId w:val="14"/>
        </w:numPr>
        <w:tabs>
          <w:tab w:val="left" w:pos="1303"/>
        </w:tabs>
        <w:spacing w:before="241" w:after="0" w:line="240" w:lineRule="auto"/>
        <w:ind w:left="1303" w:right="0" w:hanging="359"/>
        <w:jc w:val="left"/>
        <w:rPr>
          <w:rFonts w:ascii="Arial" w:hAnsi="Arial"/>
          <w:b/>
          <w:sz w:val="21"/>
        </w:rPr>
      </w:pPr>
      <w:r>
        <w:rPr>
          <w:rFonts w:ascii="Arial" w:hAnsi="Arial"/>
          <w:b/>
          <w:sz w:val="21"/>
        </w:rPr>
        <w:t>Requirements</w:t>
      </w:r>
      <w:r>
        <w:rPr>
          <w:rFonts w:ascii="Arial" w:hAnsi="Arial"/>
          <w:b/>
          <w:spacing w:val="-9"/>
          <w:sz w:val="21"/>
        </w:rPr>
        <w:t xml:space="preserve"> </w:t>
      </w:r>
      <w:r>
        <w:rPr>
          <w:rFonts w:ascii="Arial" w:hAnsi="Arial"/>
          <w:b/>
          <w:sz w:val="21"/>
        </w:rPr>
        <w:t>for</w:t>
      </w:r>
      <w:r>
        <w:rPr>
          <w:rFonts w:ascii="Arial" w:hAnsi="Arial"/>
          <w:b/>
          <w:spacing w:val="-5"/>
          <w:sz w:val="21"/>
        </w:rPr>
        <w:t xml:space="preserve"> </w:t>
      </w:r>
      <w:r>
        <w:rPr>
          <w:rFonts w:ascii="Arial" w:hAnsi="Arial"/>
          <w:b/>
          <w:sz w:val="21"/>
        </w:rPr>
        <w:t>Part</w:t>
      </w:r>
      <w:r>
        <w:rPr>
          <w:rFonts w:ascii="Arial" w:hAnsi="Arial"/>
          <w:b/>
          <w:spacing w:val="-7"/>
          <w:sz w:val="21"/>
        </w:rPr>
        <w:t xml:space="preserve"> </w:t>
      </w:r>
      <w:r>
        <w:rPr>
          <w:rFonts w:ascii="Arial" w:hAnsi="Arial"/>
          <w:b/>
          <w:sz w:val="21"/>
        </w:rPr>
        <w:t>D</w:t>
      </w:r>
      <w:r>
        <w:rPr>
          <w:rFonts w:ascii="Arial" w:hAnsi="Arial"/>
          <w:b/>
          <w:spacing w:val="-9"/>
          <w:sz w:val="21"/>
        </w:rPr>
        <w:t xml:space="preserve"> </w:t>
      </w:r>
      <w:r>
        <w:rPr>
          <w:rFonts w:ascii="Arial" w:hAnsi="Arial"/>
          <w:b/>
          <w:sz w:val="21"/>
        </w:rPr>
        <w:t>Plans</w:t>
      </w:r>
      <w:r>
        <w:rPr>
          <w:rFonts w:ascii="Arial" w:hAnsi="Arial"/>
          <w:b/>
          <w:spacing w:val="-8"/>
          <w:sz w:val="21"/>
        </w:rPr>
        <w:t xml:space="preserve"> </w:t>
      </w:r>
      <w:r>
        <w:rPr>
          <w:rFonts w:ascii="Arial" w:hAnsi="Arial"/>
          <w:b/>
          <w:sz w:val="21"/>
        </w:rPr>
        <w:t>without</w:t>
      </w:r>
      <w:r>
        <w:rPr>
          <w:rFonts w:ascii="Arial" w:hAnsi="Arial"/>
          <w:b/>
          <w:spacing w:val="-6"/>
          <w:sz w:val="21"/>
        </w:rPr>
        <w:t xml:space="preserve"> </w:t>
      </w:r>
      <w:r>
        <w:rPr>
          <w:rFonts w:ascii="Arial" w:hAnsi="Arial"/>
          <w:b/>
          <w:sz w:val="21"/>
        </w:rPr>
        <w:t>Corresponding</w:t>
      </w:r>
      <w:r>
        <w:rPr>
          <w:rFonts w:ascii="Arial" w:hAnsi="Arial"/>
          <w:b/>
          <w:spacing w:val="-5"/>
          <w:sz w:val="21"/>
        </w:rPr>
        <w:t xml:space="preserve"> </w:t>
      </w:r>
      <w:r>
        <w:rPr>
          <w:rFonts w:ascii="Arial" w:hAnsi="Arial"/>
          <w:b/>
          <w:sz w:val="21"/>
        </w:rPr>
        <w:t>MA</w:t>
      </w:r>
      <w:r>
        <w:rPr>
          <w:rFonts w:ascii="Arial" w:hAnsi="Arial"/>
          <w:b/>
          <w:spacing w:val="-8"/>
          <w:sz w:val="21"/>
        </w:rPr>
        <w:t xml:space="preserve"> </w:t>
      </w:r>
      <w:r>
        <w:rPr>
          <w:rFonts w:ascii="Arial" w:hAnsi="Arial"/>
          <w:b/>
          <w:spacing w:val="-2"/>
          <w:sz w:val="21"/>
        </w:rPr>
        <w:t>Plans</w:t>
      </w:r>
    </w:p>
    <w:p>
      <w:pPr>
        <w:pStyle w:val="BodyText"/>
        <w:spacing w:before="117"/>
        <w:ind w:left="1304" w:right="478"/>
      </w:pPr>
      <w:r>
        <w:t>This</w:t>
      </w:r>
      <w:r>
        <w:rPr>
          <w:spacing w:val="-3"/>
        </w:rPr>
        <w:t xml:space="preserve"> </w:t>
      </w:r>
      <w:r>
        <w:t>requirement</w:t>
      </w:r>
      <w:r>
        <w:rPr>
          <w:spacing w:val="-3"/>
        </w:rPr>
        <w:t xml:space="preserve"> </w:t>
      </w:r>
      <w:r>
        <w:t>applies</w:t>
      </w:r>
      <w:r>
        <w:rPr>
          <w:spacing w:val="-1"/>
        </w:rPr>
        <w:t xml:space="preserve"> </w:t>
      </w:r>
      <w:r>
        <w:t>only</w:t>
      </w:r>
      <w:r>
        <w:rPr>
          <w:spacing w:val="-3"/>
        </w:rPr>
        <w:t xml:space="preserve"> </w:t>
      </w:r>
      <w:r>
        <w:t>to</w:t>
      </w:r>
      <w:r>
        <w:rPr>
          <w:spacing w:val="-3"/>
        </w:rPr>
        <w:t xml:space="preserve"> </w:t>
      </w:r>
      <w:r>
        <w:t>Part</w:t>
      </w:r>
      <w:r>
        <w:rPr>
          <w:spacing w:val="-3"/>
        </w:rPr>
        <w:t xml:space="preserve"> </w:t>
      </w:r>
      <w:r>
        <w:t>D</w:t>
      </w:r>
      <w:r>
        <w:rPr>
          <w:spacing w:val="-4"/>
        </w:rPr>
        <w:t xml:space="preserve"> </w:t>
      </w:r>
      <w:r>
        <w:t>BPTs</w:t>
      </w:r>
      <w:r>
        <w:rPr>
          <w:spacing w:val="-3"/>
        </w:rPr>
        <w:t xml:space="preserve"> </w:t>
      </w:r>
      <w:r>
        <w:t>with</w:t>
      </w:r>
      <w:r>
        <w:rPr>
          <w:spacing w:val="-5"/>
        </w:rPr>
        <w:t xml:space="preserve"> </w:t>
      </w:r>
      <w:r>
        <w:t>the</w:t>
      </w:r>
      <w:r>
        <w:rPr>
          <w:spacing w:val="-3"/>
        </w:rPr>
        <w:t xml:space="preserve"> </w:t>
      </w:r>
      <w:r>
        <w:t>following</w:t>
      </w:r>
      <w:r>
        <w:rPr>
          <w:spacing w:val="-3"/>
        </w:rPr>
        <w:t xml:space="preserve"> </w:t>
      </w:r>
      <w:r>
        <w:t>Plan</w:t>
      </w:r>
      <w:r>
        <w:rPr>
          <w:spacing w:val="-3"/>
        </w:rPr>
        <w:t xml:space="preserve"> </w:t>
      </w:r>
      <w:r>
        <w:t>Type</w:t>
      </w:r>
      <w:r>
        <w:rPr>
          <w:spacing w:val="-4"/>
        </w:rPr>
        <w:t xml:space="preserve"> </w:t>
      </w:r>
      <w:r>
        <w:t>Codes: PDP, PACE, 1876 Cost, and 1833 Cost.</w:t>
      </w:r>
    </w:p>
    <w:p>
      <w:pPr>
        <w:pStyle w:val="BodyText"/>
        <w:spacing w:before="121"/>
        <w:ind w:left="1304" w:right="478"/>
      </w:pPr>
      <w:r>
        <w:t>For Part D bids, the aggregate Part D gain/loss margin as a percentage of revenue must be calculated at the parent organization level and it must be disclosed. If such margin</w:t>
      </w:r>
      <w:r>
        <w:rPr>
          <w:spacing w:val="-3"/>
        </w:rPr>
        <w:t xml:space="preserve"> </w:t>
      </w:r>
      <w:r>
        <w:t>is</w:t>
      </w:r>
      <w:r>
        <w:rPr>
          <w:spacing w:val="-3"/>
        </w:rPr>
        <w:t xml:space="preserve"> </w:t>
      </w:r>
      <w:r>
        <w:t>less</w:t>
      </w:r>
      <w:r>
        <w:rPr>
          <w:spacing w:val="-3"/>
        </w:rPr>
        <w:t xml:space="preserve"> </w:t>
      </w:r>
      <w:r>
        <w:t>than</w:t>
      </w:r>
      <w:r>
        <w:rPr>
          <w:spacing w:val="-3"/>
        </w:rPr>
        <w:t xml:space="preserve"> </w:t>
      </w:r>
      <w:r>
        <w:t>0</w:t>
      </w:r>
      <w:r>
        <w:rPr>
          <w:spacing w:val="-2"/>
        </w:rPr>
        <w:t xml:space="preserve"> </w:t>
      </w:r>
      <w:r>
        <w:t>percent</w:t>
      </w:r>
      <w:r>
        <w:rPr>
          <w:spacing w:val="-3"/>
        </w:rPr>
        <w:t xml:space="preserve"> </w:t>
      </w:r>
      <w:r>
        <w:t>or</w:t>
      </w:r>
      <w:r>
        <w:rPr>
          <w:spacing w:val="-3"/>
        </w:rPr>
        <w:t xml:space="preserve"> </w:t>
      </w:r>
      <w:r>
        <w:t>greater</w:t>
      </w:r>
      <w:r>
        <w:rPr>
          <w:spacing w:val="-5"/>
        </w:rPr>
        <w:t xml:space="preserve"> </w:t>
      </w:r>
      <w:r>
        <w:t>than</w:t>
      </w:r>
      <w:r>
        <w:rPr>
          <w:spacing w:val="-3"/>
        </w:rPr>
        <w:t xml:space="preserve"> </w:t>
      </w:r>
      <w:r>
        <w:t>5.5</w:t>
      </w:r>
      <w:r>
        <w:rPr>
          <w:spacing w:val="-3"/>
        </w:rPr>
        <w:t xml:space="preserve"> </w:t>
      </w:r>
      <w:r>
        <w:t>percent,</w:t>
      </w:r>
      <w:r>
        <w:rPr>
          <w:spacing w:val="-2"/>
        </w:rPr>
        <w:t xml:space="preserve"> </w:t>
      </w:r>
      <w:r>
        <w:t>then</w:t>
      </w:r>
      <w:r>
        <w:rPr>
          <w:spacing w:val="-3"/>
        </w:rPr>
        <w:t xml:space="preserve"> </w:t>
      </w:r>
      <w:r>
        <w:t>this</w:t>
      </w:r>
      <w:r>
        <w:rPr>
          <w:spacing w:val="-3"/>
        </w:rPr>
        <w:t xml:space="preserve"> </w:t>
      </w:r>
      <w:r>
        <w:t>condition</w:t>
      </w:r>
      <w:r>
        <w:rPr>
          <w:spacing w:val="-3"/>
        </w:rPr>
        <w:t xml:space="preserve"> </w:t>
      </w:r>
      <w:r>
        <w:t>must</w:t>
      </w:r>
      <w:r>
        <w:rPr>
          <w:spacing w:val="-3"/>
        </w:rPr>
        <w:t xml:space="preserve"> </w:t>
      </w:r>
      <w:r>
        <w:t>be fully explained and supported, and it must be approved by CMS for CY2026.</w:t>
      </w:r>
    </w:p>
    <w:p>
      <w:pPr>
        <w:pStyle w:val="ListParagraph"/>
        <w:numPr>
          <w:ilvl w:val="0"/>
          <w:numId w:val="14"/>
        </w:numPr>
        <w:tabs>
          <w:tab w:val="left" w:pos="1303"/>
        </w:tabs>
        <w:spacing w:before="241" w:after="0" w:line="240" w:lineRule="auto"/>
        <w:ind w:left="1303" w:right="0" w:hanging="359"/>
        <w:jc w:val="left"/>
        <w:rPr>
          <w:rFonts w:ascii="Arial" w:hAnsi="Arial"/>
          <w:b/>
          <w:sz w:val="21"/>
        </w:rPr>
      </w:pPr>
      <w:r>
        <w:rPr>
          <w:rFonts w:ascii="Arial" w:hAnsi="Arial"/>
          <w:b/>
          <w:sz w:val="21"/>
        </w:rPr>
        <w:t>MA-PD</w:t>
      </w:r>
      <w:r>
        <w:rPr>
          <w:rFonts w:ascii="Arial" w:hAnsi="Arial"/>
          <w:b/>
          <w:spacing w:val="-6"/>
          <w:sz w:val="21"/>
        </w:rPr>
        <w:t xml:space="preserve"> </w:t>
      </w:r>
      <w:r>
        <w:rPr>
          <w:rFonts w:ascii="Arial" w:hAnsi="Arial"/>
          <w:b/>
          <w:sz w:val="21"/>
        </w:rPr>
        <w:t>Gain/Loss</w:t>
      </w:r>
      <w:r>
        <w:rPr>
          <w:rFonts w:ascii="Arial" w:hAnsi="Arial"/>
          <w:b/>
          <w:spacing w:val="-7"/>
          <w:sz w:val="21"/>
        </w:rPr>
        <w:t xml:space="preserve"> </w:t>
      </w:r>
      <w:r>
        <w:rPr>
          <w:rFonts w:ascii="Arial" w:hAnsi="Arial"/>
          <w:b/>
          <w:sz w:val="21"/>
        </w:rPr>
        <w:t>Margin</w:t>
      </w:r>
      <w:r>
        <w:rPr>
          <w:rFonts w:ascii="Arial" w:hAnsi="Arial"/>
          <w:b/>
          <w:spacing w:val="-5"/>
          <w:sz w:val="21"/>
        </w:rPr>
        <w:t xml:space="preserve"> </w:t>
      </w:r>
      <w:r>
        <w:rPr>
          <w:rFonts w:ascii="Arial" w:hAnsi="Arial"/>
          <w:b/>
          <w:spacing w:val="-2"/>
          <w:sz w:val="21"/>
        </w:rPr>
        <w:t>Requirements</w:t>
      </w:r>
    </w:p>
    <w:p>
      <w:pPr>
        <w:pStyle w:val="BodyText"/>
        <w:ind w:left="1304" w:right="593"/>
        <w:jc w:val="both"/>
      </w:pPr>
      <w:r>
        <w:t>This requirement applies only to Part D</w:t>
      </w:r>
      <w:r>
        <w:rPr>
          <w:spacing w:val="-1"/>
        </w:rPr>
        <w:t xml:space="preserve"> </w:t>
      </w:r>
      <w:r>
        <w:t>BPTs that</w:t>
      </w:r>
      <w:r>
        <w:rPr>
          <w:spacing w:val="-3"/>
        </w:rPr>
        <w:t xml:space="preserve"> </w:t>
      </w:r>
      <w:r>
        <w:t>have</w:t>
      </w:r>
      <w:r>
        <w:rPr>
          <w:spacing w:val="-1"/>
        </w:rPr>
        <w:t xml:space="preserve"> </w:t>
      </w:r>
      <w:r>
        <w:t>a corresponding MA BPT. There</w:t>
      </w:r>
      <w:r>
        <w:rPr>
          <w:spacing w:val="-3"/>
        </w:rPr>
        <w:t xml:space="preserve"> </w:t>
      </w:r>
      <w:r>
        <w:t>are</w:t>
      </w:r>
      <w:r>
        <w:rPr>
          <w:spacing w:val="-5"/>
        </w:rPr>
        <w:t xml:space="preserve"> </w:t>
      </w:r>
      <w:r>
        <w:t>two</w:t>
      </w:r>
      <w:r>
        <w:rPr>
          <w:spacing w:val="-3"/>
        </w:rPr>
        <w:t xml:space="preserve"> </w:t>
      </w:r>
      <w:r>
        <w:t>options</w:t>
      </w:r>
      <w:r>
        <w:rPr>
          <w:spacing w:val="-3"/>
        </w:rPr>
        <w:t xml:space="preserve"> </w:t>
      </w:r>
      <w:r>
        <w:t>for</w:t>
      </w:r>
      <w:r>
        <w:rPr>
          <w:spacing w:val="-3"/>
        </w:rPr>
        <w:t xml:space="preserve"> </w:t>
      </w:r>
      <w:r>
        <w:t>setting</w:t>
      </w:r>
      <w:r>
        <w:rPr>
          <w:spacing w:val="-3"/>
        </w:rPr>
        <w:t xml:space="preserve"> </w:t>
      </w:r>
      <w:r>
        <w:t>the</w:t>
      </w:r>
      <w:r>
        <w:rPr>
          <w:spacing w:val="-2"/>
        </w:rPr>
        <w:t xml:space="preserve"> </w:t>
      </w:r>
      <w:r>
        <w:t>Part</w:t>
      </w:r>
      <w:r>
        <w:rPr>
          <w:spacing w:val="-3"/>
        </w:rPr>
        <w:t xml:space="preserve"> </w:t>
      </w:r>
      <w:r>
        <w:t>D</w:t>
      </w:r>
      <w:r>
        <w:rPr>
          <w:spacing w:val="-4"/>
        </w:rPr>
        <w:t xml:space="preserve"> </w:t>
      </w:r>
      <w:r>
        <w:t>gain/loss</w:t>
      </w:r>
      <w:r>
        <w:rPr>
          <w:spacing w:val="-2"/>
        </w:rPr>
        <w:t xml:space="preserve"> </w:t>
      </w:r>
      <w:r>
        <w:t>margin</w:t>
      </w:r>
      <w:r>
        <w:rPr>
          <w:spacing w:val="-3"/>
        </w:rPr>
        <w:t xml:space="preserve"> </w:t>
      </w:r>
      <w:r>
        <w:t>of</w:t>
      </w:r>
      <w:r>
        <w:rPr>
          <w:spacing w:val="-3"/>
        </w:rPr>
        <w:t xml:space="preserve"> </w:t>
      </w:r>
      <w:r>
        <w:t>MA-PD</w:t>
      </w:r>
      <w:r>
        <w:rPr>
          <w:spacing w:val="-3"/>
        </w:rPr>
        <w:t xml:space="preserve"> </w:t>
      </w:r>
      <w:r>
        <w:t>bids.</w:t>
      </w:r>
      <w:r>
        <w:rPr>
          <w:spacing w:val="-3"/>
        </w:rPr>
        <w:t xml:space="preserve"> </w:t>
      </w:r>
      <w:r>
        <w:t>Only one option may be used per parent organization.</w:t>
      </w:r>
    </w:p>
    <w:p>
      <w:pPr>
        <w:pStyle w:val="BodyText"/>
        <w:ind w:left="1304" w:right="543"/>
        <w:jc w:val="both"/>
      </w:pPr>
      <w:r>
        <w:rPr>
          <w:rFonts w:ascii="Arial" w:hAnsi="Arial"/>
          <w:b/>
          <w:sz w:val="21"/>
        </w:rPr>
        <w:t>Option</w:t>
      </w:r>
      <w:r>
        <w:rPr>
          <w:rFonts w:ascii="Arial" w:hAnsi="Arial"/>
          <w:b/>
          <w:spacing w:val="-6"/>
          <w:sz w:val="21"/>
        </w:rPr>
        <w:t xml:space="preserve"> </w:t>
      </w:r>
      <w:r>
        <w:rPr>
          <w:rFonts w:ascii="Arial" w:hAnsi="Arial"/>
          <w:b/>
          <w:sz w:val="21"/>
        </w:rPr>
        <w:t>A:</w:t>
      </w:r>
      <w:r>
        <w:rPr>
          <w:rFonts w:ascii="Arial" w:hAnsi="Arial"/>
          <w:b/>
          <w:spacing w:val="-2"/>
          <w:sz w:val="21"/>
        </w:rPr>
        <w:t xml:space="preserve"> </w:t>
      </w:r>
      <w:r>
        <w:t>Set</w:t>
      </w:r>
      <w:r>
        <w:rPr>
          <w:spacing w:val="-2"/>
        </w:rPr>
        <w:t xml:space="preserve"> </w:t>
      </w:r>
      <w:r>
        <w:t>the</w:t>
      </w:r>
      <w:r>
        <w:rPr>
          <w:spacing w:val="-4"/>
        </w:rPr>
        <w:t xml:space="preserve"> </w:t>
      </w:r>
      <w:r>
        <w:t>Part</w:t>
      </w:r>
      <w:r>
        <w:rPr>
          <w:spacing w:val="-3"/>
        </w:rPr>
        <w:t xml:space="preserve"> </w:t>
      </w:r>
      <w:r>
        <w:t>D</w:t>
      </w:r>
      <w:r>
        <w:rPr>
          <w:spacing w:val="-4"/>
        </w:rPr>
        <w:t xml:space="preserve"> </w:t>
      </w:r>
      <w:r>
        <w:t>gain/loss</w:t>
      </w:r>
      <w:r>
        <w:rPr>
          <w:spacing w:val="-2"/>
        </w:rPr>
        <w:t xml:space="preserve"> </w:t>
      </w:r>
      <w:r>
        <w:t>margins</w:t>
      </w:r>
      <w:r>
        <w:rPr>
          <w:spacing w:val="-3"/>
        </w:rPr>
        <w:t xml:space="preserve"> </w:t>
      </w:r>
      <w:r>
        <w:t>at</w:t>
      </w:r>
      <w:r>
        <w:rPr>
          <w:spacing w:val="-3"/>
        </w:rPr>
        <w:t xml:space="preserve"> </w:t>
      </w:r>
      <w:r>
        <w:t>the</w:t>
      </w:r>
      <w:r>
        <w:rPr>
          <w:spacing w:val="-4"/>
        </w:rPr>
        <w:t xml:space="preserve"> </w:t>
      </w:r>
      <w:r>
        <w:t>bid</w:t>
      </w:r>
      <w:r>
        <w:rPr>
          <w:spacing w:val="-3"/>
        </w:rPr>
        <w:t xml:space="preserve"> </w:t>
      </w:r>
      <w:r>
        <w:t>level.</w:t>
      </w:r>
      <w:r>
        <w:rPr>
          <w:spacing w:val="-2"/>
        </w:rPr>
        <w:t xml:space="preserve"> </w:t>
      </w:r>
      <w:r>
        <w:t>Specifically,</w:t>
      </w:r>
      <w:r>
        <w:rPr>
          <w:spacing w:val="-3"/>
        </w:rPr>
        <w:t xml:space="preserve"> </w:t>
      </w:r>
      <w:r>
        <w:t>an</w:t>
      </w:r>
      <w:r>
        <w:rPr>
          <w:spacing w:val="-1"/>
        </w:rPr>
        <w:t xml:space="preserve"> </w:t>
      </w:r>
      <w:r>
        <w:t>MA-PD sponsor must—</w:t>
      </w:r>
    </w:p>
    <w:p>
      <w:pPr>
        <w:pStyle w:val="ListParagraph"/>
        <w:numPr>
          <w:ilvl w:val="1"/>
          <w:numId w:val="14"/>
        </w:numPr>
        <w:tabs>
          <w:tab w:val="left" w:pos="1663"/>
        </w:tabs>
        <w:spacing w:before="120" w:after="0" w:line="240" w:lineRule="auto"/>
        <w:ind w:left="1663" w:right="0" w:hanging="359"/>
        <w:jc w:val="both"/>
        <w:rPr>
          <w:sz w:val="24"/>
        </w:rPr>
      </w:pPr>
      <w:r>
        <w:rPr>
          <w:sz w:val="24"/>
        </w:rPr>
        <w:t>Set</w:t>
      </w:r>
      <w:r>
        <w:rPr>
          <w:spacing w:val="-3"/>
          <w:sz w:val="24"/>
        </w:rPr>
        <w:t xml:space="preserve"> </w:t>
      </w:r>
      <w:r>
        <w:rPr>
          <w:sz w:val="24"/>
        </w:rPr>
        <w:t>the</w:t>
      </w:r>
      <w:r>
        <w:rPr>
          <w:spacing w:val="-1"/>
          <w:sz w:val="24"/>
        </w:rPr>
        <w:t xml:space="preserve"> </w:t>
      </w:r>
      <w:r>
        <w:rPr>
          <w:sz w:val="24"/>
        </w:rPr>
        <w:t>Part</w:t>
      </w:r>
      <w:r>
        <w:rPr>
          <w:spacing w:val="-1"/>
          <w:sz w:val="24"/>
        </w:rPr>
        <w:t xml:space="preserve"> </w:t>
      </w:r>
      <w:r>
        <w:rPr>
          <w:sz w:val="24"/>
        </w:rPr>
        <w:t>D</w:t>
      </w:r>
      <w:r>
        <w:rPr>
          <w:spacing w:val="-1"/>
          <w:sz w:val="24"/>
        </w:rPr>
        <w:t xml:space="preserve"> </w:t>
      </w:r>
      <w:r>
        <w:rPr>
          <w:sz w:val="24"/>
        </w:rPr>
        <w:t>gain/loss margin for</w:t>
      </w:r>
      <w:r>
        <w:rPr>
          <w:spacing w:val="-1"/>
          <w:sz w:val="24"/>
        </w:rPr>
        <w:t xml:space="preserve"> </w:t>
      </w:r>
      <w:r>
        <w:rPr>
          <w:sz w:val="24"/>
        </w:rPr>
        <w:t>a</w:t>
      </w:r>
      <w:r>
        <w:rPr>
          <w:spacing w:val="-2"/>
          <w:sz w:val="24"/>
        </w:rPr>
        <w:t xml:space="preserve"> </w:t>
      </w:r>
      <w:r>
        <w:rPr>
          <w:sz w:val="24"/>
        </w:rPr>
        <w:t>plan</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percentage</w:t>
      </w:r>
      <w:r>
        <w:rPr>
          <w:spacing w:val="-3"/>
          <w:sz w:val="24"/>
        </w:rPr>
        <w:t xml:space="preserve"> </w:t>
      </w:r>
      <w:r>
        <w:rPr>
          <w:sz w:val="24"/>
        </w:rPr>
        <w:t>of revenue</w:t>
      </w:r>
      <w:r>
        <w:rPr>
          <w:spacing w:val="-1"/>
          <w:sz w:val="24"/>
        </w:rPr>
        <w:t xml:space="preserve"> </w:t>
      </w:r>
      <w:r>
        <w:rPr>
          <w:spacing w:val="-2"/>
          <w:sz w:val="24"/>
        </w:rPr>
        <w:t>within</w:t>
      </w:r>
    </w:p>
    <w:p>
      <w:pPr>
        <w:pStyle w:val="BodyText"/>
        <w:spacing w:before="0"/>
        <w:ind w:left="1664" w:right="613"/>
        <w:jc w:val="both"/>
      </w:pPr>
      <w:r>
        <w:t>1.5</w:t>
      </w:r>
      <w:r>
        <w:rPr>
          <w:spacing w:val="-3"/>
        </w:rPr>
        <w:t xml:space="preserve"> </w:t>
      </w:r>
      <w:r>
        <w:t>percent</w:t>
      </w:r>
      <w:r>
        <w:rPr>
          <w:spacing w:val="-3"/>
        </w:rPr>
        <w:t xml:space="preserve"> </w:t>
      </w:r>
      <w:r>
        <w:t>of</w:t>
      </w:r>
      <w:r>
        <w:rPr>
          <w:spacing w:val="-3"/>
        </w:rPr>
        <w:t xml:space="preserve"> </w:t>
      </w:r>
      <w:r>
        <w:t>the</w:t>
      </w:r>
      <w:r>
        <w:rPr>
          <w:spacing w:val="-4"/>
        </w:rPr>
        <w:t xml:space="preserve"> </w:t>
      </w:r>
      <w:r>
        <w:t>gain/loss</w:t>
      </w:r>
      <w:r>
        <w:rPr>
          <w:spacing w:val="-2"/>
        </w:rPr>
        <w:t xml:space="preserve"> </w:t>
      </w:r>
      <w:r>
        <w:t>margin</w:t>
      </w:r>
      <w:r>
        <w:rPr>
          <w:spacing w:val="-3"/>
        </w:rPr>
        <w:t xml:space="preserve"> </w:t>
      </w:r>
      <w:r>
        <w:t>for</w:t>
      </w:r>
      <w:r>
        <w:rPr>
          <w:spacing w:val="-4"/>
        </w:rPr>
        <w:t xml:space="preserve"> </w:t>
      </w:r>
      <w:r>
        <w:t>the</w:t>
      </w:r>
      <w:r>
        <w:rPr>
          <w:spacing w:val="-3"/>
        </w:rPr>
        <w:t xml:space="preserve"> </w:t>
      </w:r>
      <w:r>
        <w:t>MA</w:t>
      </w:r>
      <w:r>
        <w:rPr>
          <w:spacing w:val="-4"/>
        </w:rPr>
        <w:t xml:space="preserve"> </w:t>
      </w:r>
      <w:r>
        <w:t>component</w:t>
      </w:r>
      <w:r>
        <w:rPr>
          <w:spacing w:val="-3"/>
        </w:rPr>
        <w:t xml:space="preserve"> </w:t>
      </w:r>
      <w:r>
        <w:t>of</w:t>
      </w:r>
      <w:r>
        <w:rPr>
          <w:spacing w:val="-4"/>
        </w:rPr>
        <w:t xml:space="preserve"> </w:t>
      </w:r>
      <w:r>
        <w:t>the</w:t>
      </w:r>
      <w:r>
        <w:rPr>
          <w:spacing w:val="-3"/>
        </w:rPr>
        <w:t xml:space="preserve"> </w:t>
      </w:r>
      <w:r>
        <w:t>same</w:t>
      </w:r>
      <w:r>
        <w:rPr>
          <w:spacing w:val="-3"/>
        </w:rPr>
        <w:t xml:space="preserve"> </w:t>
      </w:r>
      <w:r>
        <w:t>MA-</w:t>
      </w:r>
      <w:r>
        <w:t>PD bid, and</w:t>
      </w:r>
    </w:p>
    <w:p>
      <w:pPr>
        <w:pStyle w:val="ListParagraph"/>
        <w:numPr>
          <w:ilvl w:val="1"/>
          <w:numId w:val="14"/>
        </w:numPr>
        <w:tabs>
          <w:tab w:val="left" w:pos="1664"/>
        </w:tabs>
        <w:spacing w:before="1" w:after="0" w:line="240" w:lineRule="auto"/>
        <w:ind w:left="1664" w:right="660" w:hanging="360"/>
        <w:jc w:val="both"/>
        <w:rPr>
          <w:sz w:val="24"/>
        </w:rPr>
      </w:pPr>
      <w:r>
        <w:rPr>
          <w:sz w:val="24"/>
        </w:rPr>
        <w:t>Apply</w:t>
      </w:r>
      <w:r>
        <w:rPr>
          <w:spacing w:val="-4"/>
          <w:sz w:val="24"/>
        </w:rPr>
        <w:t xml:space="preserve"> </w:t>
      </w:r>
      <w:r>
        <w:rPr>
          <w:sz w:val="24"/>
        </w:rPr>
        <w:t>this</w:t>
      </w:r>
      <w:r>
        <w:rPr>
          <w:spacing w:val="-4"/>
          <w:sz w:val="24"/>
        </w:rPr>
        <w:t xml:space="preserve"> </w:t>
      </w:r>
      <w:r>
        <w:rPr>
          <w:sz w:val="24"/>
        </w:rPr>
        <w:t>method</w:t>
      </w:r>
      <w:r>
        <w:rPr>
          <w:spacing w:val="-3"/>
          <w:sz w:val="24"/>
        </w:rPr>
        <w:t xml:space="preserve"> </w:t>
      </w:r>
      <w:r>
        <w:rPr>
          <w:sz w:val="24"/>
        </w:rPr>
        <w:t>consistently</w:t>
      </w:r>
      <w:r>
        <w:rPr>
          <w:spacing w:val="-4"/>
          <w:sz w:val="24"/>
        </w:rPr>
        <w:t xml:space="preserve"> </w:t>
      </w:r>
      <w:r>
        <w:rPr>
          <w:sz w:val="24"/>
        </w:rPr>
        <w:t>for</w:t>
      </w:r>
      <w:r>
        <w:rPr>
          <w:spacing w:val="-5"/>
          <w:sz w:val="24"/>
        </w:rPr>
        <w:t xml:space="preserve"> </w:t>
      </w:r>
      <w:r>
        <w:rPr>
          <w:sz w:val="24"/>
        </w:rPr>
        <w:t>all</w:t>
      </w:r>
      <w:r>
        <w:rPr>
          <w:spacing w:val="-4"/>
          <w:sz w:val="24"/>
        </w:rPr>
        <w:t xml:space="preserve"> </w:t>
      </w:r>
      <w:r>
        <w:rPr>
          <w:sz w:val="24"/>
        </w:rPr>
        <w:t>MA-PD</w:t>
      </w:r>
      <w:r>
        <w:rPr>
          <w:spacing w:val="-4"/>
          <w:sz w:val="24"/>
        </w:rPr>
        <w:t xml:space="preserve"> </w:t>
      </w:r>
      <w:r>
        <w:rPr>
          <w:sz w:val="24"/>
        </w:rPr>
        <w:t>bids</w:t>
      </w:r>
      <w:r>
        <w:rPr>
          <w:spacing w:val="-4"/>
          <w:sz w:val="24"/>
        </w:rPr>
        <w:t xml:space="preserve"> </w:t>
      </w:r>
      <w:r>
        <w:rPr>
          <w:sz w:val="24"/>
        </w:rPr>
        <w:t>submitted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Medicare Advantage Organization.</w:t>
      </w:r>
    </w:p>
    <w:p>
      <w:pPr>
        <w:pStyle w:val="BodyText"/>
        <w:ind w:left="1304" w:right="750"/>
        <w:jc w:val="both"/>
      </w:pPr>
      <w:r>
        <w:rPr>
          <w:rFonts w:ascii="Arial" w:hAnsi="Arial"/>
          <w:b/>
          <w:sz w:val="21"/>
        </w:rPr>
        <w:t>Option</w:t>
      </w:r>
      <w:r>
        <w:rPr>
          <w:rFonts w:ascii="Arial" w:hAnsi="Arial"/>
          <w:b/>
          <w:spacing w:val="-6"/>
          <w:sz w:val="21"/>
        </w:rPr>
        <w:t xml:space="preserve"> </w:t>
      </w:r>
      <w:r>
        <w:rPr>
          <w:rFonts w:ascii="Arial" w:hAnsi="Arial"/>
          <w:b/>
          <w:sz w:val="21"/>
        </w:rPr>
        <w:t>B:</w:t>
      </w:r>
      <w:r>
        <w:rPr>
          <w:rFonts w:ascii="Arial" w:hAnsi="Arial"/>
          <w:b/>
          <w:spacing w:val="-2"/>
          <w:sz w:val="21"/>
        </w:rPr>
        <w:t xml:space="preserve"> </w:t>
      </w:r>
      <w:r>
        <w:t>Set</w:t>
      </w:r>
      <w:r>
        <w:rPr>
          <w:spacing w:val="-2"/>
        </w:rPr>
        <w:t xml:space="preserve"> </w:t>
      </w:r>
      <w:r>
        <w:t>the</w:t>
      </w:r>
      <w:r>
        <w:rPr>
          <w:spacing w:val="-4"/>
        </w:rPr>
        <w:t xml:space="preserve"> </w:t>
      </w:r>
      <w:r>
        <w:t>Part</w:t>
      </w:r>
      <w:r>
        <w:rPr>
          <w:spacing w:val="-3"/>
        </w:rPr>
        <w:t xml:space="preserve"> </w:t>
      </w:r>
      <w:r>
        <w:t>D</w:t>
      </w:r>
      <w:r>
        <w:rPr>
          <w:spacing w:val="-4"/>
        </w:rPr>
        <w:t xml:space="preserve"> </w:t>
      </w:r>
      <w:r>
        <w:t>gain/loss</w:t>
      </w:r>
      <w:r>
        <w:rPr>
          <w:spacing w:val="-2"/>
        </w:rPr>
        <w:t xml:space="preserve"> </w:t>
      </w:r>
      <w:r>
        <w:t>margins</w:t>
      </w:r>
      <w:r>
        <w:rPr>
          <w:spacing w:val="-2"/>
        </w:rPr>
        <w:t xml:space="preserve"> </w:t>
      </w:r>
      <w:r>
        <w:t>at</w:t>
      </w:r>
      <w:r>
        <w:rPr>
          <w:spacing w:val="-3"/>
        </w:rPr>
        <w:t xml:space="preserve"> </w:t>
      </w:r>
      <w:r>
        <w:t>the</w:t>
      </w:r>
      <w:r>
        <w:rPr>
          <w:spacing w:val="-4"/>
        </w:rPr>
        <w:t xml:space="preserve"> </w:t>
      </w:r>
      <w:r>
        <w:t>aggregate</w:t>
      </w:r>
      <w:r>
        <w:rPr>
          <w:spacing w:val="-4"/>
        </w:rPr>
        <w:t xml:space="preserve"> </w:t>
      </w:r>
      <w:r>
        <w:t>level.</w:t>
      </w:r>
      <w:r>
        <w:rPr>
          <w:spacing w:val="-3"/>
        </w:rPr>
        <w:t xml:space="preserve"> </w:t>
      </w:r>
      <w:r>
        <w:t>Specifically,</w:t>
      </w:r>
      <w:r>
        <w:rPr>
          <w:spacing w:val="-2"/>
        </w:rPr>
        <w:t xml:space="preserve"> </w:t>
      </w:r>
      <w:r>
        <w:t>an MA-PD sponsor must—</w:t>
      </w:r>
    </w:p>
    <w:p>
      <w:pPr>
        <w:pStyle w:val="ListParagraph"/>
        <w:numPr>
          <w:ilvl w:val="1"/>
          <w:numId w:val="14"/>
        </w:numPr>
        <w:tabs>
          <w:tab w:val="left" w:pos="1664"/>
        </w:tabs>
        <w:spacing w:before="120" w:after="0" w:line="240" w:lineRule="auto"/>
        <w:ind w:left="1664" w:right="673" w:hanging="360"/>
        <w:jc w:val="both"/>
        <w:rPr>
          <w:sz w:val="24"/>
        </w:rPr>
      </w:pPr>
      <w:r>
        <w:rPr>
          <w:sz w:val="24"/>
        </w:rPr>
        <w:t>Set</w:t>
      </w:r>
      <w:r>
        <w:rPr>
          <w:spacing w:val="-3"/>
          <w:sz w:val="24"/>
        </w:rPr>
        <w:t xml:space="preserve"> </w:t>
      </w:r>
      <w:r>
        <w:rPr>
          <w:sz w:val="24"/>
        </w:rPr>
        <w:t>the</w:t>
      </w:r>
      <w:r>
        <w:rPr>
          <w:spacing w:val="-4"/>
          <w:sz w:val="24"/>
        </w:rPr>
        <w:t xml:space="preserve"> </w:t>
      </w:r>
      <w:r>
        <w:rPr>
          <w:sz w:val="24"/>
        </w:rPr>
        <w:t>Part</w:t>
      </w:r>
      <w:r>
        <w:rPr>
          <w:spacing w:val="-3"/>
          <w:sz w:val="24"/>
        </w:rPr>
        <w:t xml:space="preserve"> </w:t>
      </w:r>
      <w:r>
        <w:rPr>
          <w:sz w:val="24"/>
        </w:rPr>
        <w:t>D</w:t>
      </w:r>
      <w:r>
        <w:rPr>
          <w:spacing w:val="-4"/>
          <w:sz w:val="24"/>
        </w:rPr>
        <w:t xml:space="preserve"> </w:t>
      </w:r>
      <w:r>
        <w:rPr>
          <w:sz w:val="24"/>
        </w:rPr>
        <w:t>gain/loss</w:t>
      </w:r>
      <w:r>
        <w:rPr>
          <w:spacing w:val="-2"/>
          <w:sz w:val="24"/>
        </w:rPr>
        <w:t xml:space="preserve"> </w:t>
      </w:r>
      <w:r>
        <w:rPr>
          <w:sz w:val="24"/>
        </w:rPr>
        <w:t>margins</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percentage</w:t>
      </w:r>
      <w:r>
        <w:rPr>
          <w:spacing w:val="-2"/>
          <w:sz w:val="24"/>
        </w:rPr>
        <w:t xml:space="preserve"> </w:t>
      </w:r>
      <w:r>
        <w:rPr>
          <w:sz w:val="24"/>
        </w:rPr>
        <w:t>of</w:t>
      </w:r>
      <w:r>
        <w:rPr>
          <w:spacing w:val="-3"/>
          <w:sz w:val="24"/>
        </w:rPr>
        <w:t xml:space="preserve"> </w:t>
      </w:r>
      <w:r>
        <w:rPr>
          <w:sz w:val="24"/>
        </w:rPr>
        <w:t>revenue</w:t>
      </w:r>
      <w:r>
        <w:rPr>
          <w:spacing w:val="-3"/>
          <w:sz w:val="24"/>
        </w:rPr>
        <w:t xml:space="preserve"> </w:t>
      </w:r>
      <w:r>
        <w:rPr>
          <w:sz w:val="24"/>
        </w:rPr>
        <w:t>equal</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z w:val="24"/>
        </w:rPr>
        <w:t xml:space="preserve">plans, </w:t>
      </w:r>
      <w:r>
        <w:rPr>
          <w:spacing w:val="-4"/>
          <w:sz w:val="24"/>
        </w:rPr>
        <w:t>and</w:t>
      </w:r>
    </w:p>
    <w:p>
      <w:pPr>
        <w:spacing w:after="0" w:line="240" w:lineRule="auto"/>
        <w:jc w:val="both"/>
        <w:rPr>
          <w:sz w:val="24"/>
        </w:rPr>
        <w:sectPr>
          <w:pgSz w:w="12240" w:h="15840"/>
          <w:pgMar w:top="1340" w:right="1000" w:bottom="940" w:left="1360" w:header="727" w:footer="747"/>
          <w:cols w:space="720"/>
        </w:sectPr>
      </w:pPr>
    </w:p>
    <w:p>
      <w:pPr>
        <w:pStyle w:val="ListParagraph"/>
        <w:numPr>
          <w:ilvl w:val="1"/>
          <w:numId w:val="14"/>
        </w:numPr>
        <w:tabs>
          <w:tab w:val="left" w:pos="1664"/>
        </w:tabs>
        <w:spacing w:before="87" w:after="0" w:line="240" w:lineRule="auto"/>
        <w:ind w:left="1664" w:right="0" w:hanging="360"/>
        <w:jc w:val="left"/>
        <w:rPr>
          <w:sz w:val="24"/>
        </w:rPr>
      </w:pPr>
      <w:r>
        <w:rPr>
          <w:sz w:val="24"/>
        </w:rPr>
        <w:t>Set</w:t>
      </w:r>
      <w:r>
        <w:rPr>
          <w:spacing w:val="-1"/>
          <w:sz w:val="24"/>
        </w:rPr>
        <w:t xml:space="preserve"> </w:t>
      </w:r>
      <w:r>
        <w:rPr>
          <w:sz w:val="24"/>
        </w:rPr>
        <w:t>the</w:t>
      </w:r>
      <w:r>
        <w:rPr>
          <w:spacing w:val="-2"/>
          <w:sz w:val="24"/>
        </w:rPr>
        <w:t xml:space="preserve"> </w:t>
      </w:r>
      <w:r>
        <w:rPr>
          <w:sz w:val="24"/>
        </w:rPr>
        <w:t>aggregate Part</w:t>
      </w:r>
      <w:r>
        <w:rPr>
          <w:spacing w:val="-1"/>
          <w:sz w:val="24"/>
        </w:rPr>
        <w:t xml:space="preserve"> </w:t>
      </w:r>
      <w:r>
        <w:rPr>
          <w:sz w:val="24"/>
        </w:rPr>
        <w:t>D</w:t>
      </w:r>
      <w:r>
        <w:rPr>
          <w:spacing w:val="1"/>
          <w:sz w:val="24"/>
        </w:rPr>
        <w:t xml:space="preserve"> </w:t>
      </w:r>
      <w:r>
        <w:rPr>
          <w:sz w:val="24"/>
        </w:rPr>
        <w:t>gain/loss margin</w:t>
      </w:r>
      <w:r>
        <w:rPr>
          <w:spacing w:val="-1"/>
          <w:sz w:val="24"/>
        </w:rPr>
        <w:t xml:space="preserve"> </w:t>
      </w:r>
      <w:r>
        <w:rPr>
          <w:sz w:val="24"/>
        </w:rPr>
        <w:t>as a</w:t>
      </w:r>
      <w:r>
        <w:rPr>
          <w:spacing w:val="-3"/>
          <w:sz w:val="24"/>
        </w:rPr>
        <w:t xml:space="preserve"> </w:t>
      </w:r>
      <w:r>
        <w:rPr>
          <w:sz w:val="24"/>
        </w:rPr>
        <w:t>percentage</w:t>
      </w:r>
      <w:r>
        <w:rPr>
          <w:spacing w:val="-2"/>
          <w:sz w:val="24"/>
        </w:rPr>
        <w:t xml:space="preserve"> </w:t>
      </w:r>
      <w:r>
        <w:rPr>
          <w:sz w:val="24"/>
        </w:rPr>
        <w:t>of</w:t>
      </w:r>
      <w:r>
        <w:rPr>
          <w:spacing w:val="-1"/>
          <w:sz w:val="24"/>
        </w:rPr>
        <w:t xml:space="preserve"> </w:t>
      </w:r>
      <w:r>
        <w:rPr>
          <w:sz w:val="24"/>
        </w:rPr>
        <w:t>revenue</w:t>
      </w:r>
      <w:r>
        <w:rPr>
          <w:spacing w:val="-1"/>
          <w:sz w:val="24"/>
        </w:rPr>
        <w:t xml:space="preserve"> </w:t>
      </w:r>
      <w:r>
        <w:rPr>
          <w:spacing w:val="-2"/>
          <w:sz w:val="24"/>
        </w:rPr>
        <w:t>within</w:t>
      </w:r>
    </w:p>
    <w:p>
      <w:pPr>
        <w:pStyle w:val="BodyText"/>
        <w:spacing w:before="0"/>
        <w:ind w:left="1664" w:right="425"/>
      </w:pPr>
      <w:r>
        <w:t>1.5</w:t>
      </w:r>
      <w:r>
        <w:rPr>
          <w:spacing w:val="-3"/>
        </w:rPr>
        <w:t xml:space="preserve"> </w:t>
      </w:r>
      <w:r>
        <w:t>percent</w:t>
      </w:r>
      <w:r>
        <w:rPr>
          <w:spacing w:val="-3"/>
        </w:rPr>
        <w:t xml:space="preserve"> </w:t>
      </w:r>
      <w:r>
        <w:t>of</w:t>
      </w:r>
      <w:r>
        <w:rPr>
          <w:spacing w:val="-3"/>
        </w:rPr>
        <w:t xml:space="preserve"> </w:t>
      </w:r>
      <w:r>
        <w:t>the</w:t>
      </w:r>
      <w:r>
        <w:rPr>
          <w:spacing w:val="-5"/>
        </w:rPr>
        <w:t xml:space="preserve"> </w:t>
      </w:r>
      <w:r>
        <w:t>aggregate</w:t>
      </w:r>
      <w:r>
        <w:rPr>
          <w:spacing w:val="-3"/>
        </w:rPr>
        <w:t xml:space="preserve"> </w:t>
      </w:r>
      <w:r>
        <w:t>MA</w:t>
      </w:r>
      <w:r>
        <w:rPr>
          <w:spacing w:val="-3"/>
        </w:rPr>
        <w:t xml:space="preserve"> </w:t>
      </w:r>
      <w:r>
        <w:t>gain/loss</w:t>
      </w:r>
      <w:r>
        <w:rPr>
          <w:spacing w:val="-2"/>
        </w:rPr>
        <w:t xml:space="preserve"> </w:t>
      </w:r>
      <w:r>
        <w:t>margin</w:t>
      </w:r>
      <w:r>
        <w:rPr>
          <w:spacing w:val="-1"/>
        </w:rPr>
        <w:t xml:space="preserve"> </w:t>
      </w:r>
      <w:r>
        <w:t>for</w:t>
      </w:r>
      <w:r>
        <w:rPr>
          <w:spacing w:val="-5"/>
        </w:rPr>
        <w:t xml:space="preserve"> </w:t>
      </w:r>
      <w:r>
        <w:t>all</w:t>
      </w:r>
      <w:r>
        <w:rPr>
          <w:spacing w:val="-3"/>
        </w:rPr>
        <w:t xml:space="preserve"> </w:t>
      </w:r>
      <w:r>
        <w:t>MA-PD</w:t>
      </w:r>
      <w:r>
        <w:rPr>
          <w:spacing w:val="-3"/>
        </w:rPr>
        <w:t xml:space="preserve"> </w:t>
      </w:r>
      <w:r>
        <w:t>bids.</w:t>
      </w:r>
      <w:r>
        <w:rPr>
          <w:spacing w:val="-2"/>
        </w:rPr>
        <w:t xml:space="preserve"> </w:t>
      </w:r>
      <w:r>
        <w:t>Do</w:t>
      </w:r>
      <w:r>
        <w:rPr>
          <w:spacing w:val="-2"/>
        </w:rPr>
        <w:t xml:space="preserve"> </w:t>
      </w:r>
      <w:r>
        <w:t>not include MA-only bids.</w:t>
      </w:r>
    </w:p>
    <w:p>
      <w:pPr>
        <w:spacing w:before="240"/>
        <w:ind w:left="944" w:right="0" w:firstLine="0"/>
        <w:jc w:val="left"/>
        <w:rPr>
          <w:rFonts w:ascii="Arial"/>
          <w:b/>
          <w:i/>
          <w:sz w:val="21"/>
        </w:rPr>
      </w:pPr>
      <w:r>
        <w:rPr>
          <w:rFonts w:ascii="Arial"/>
          <w:b/>
          <w:i/>
          <w:spacing w:val="-2"/>
          <w:sz w:val="21"/>
        </w:rPr>
        <w:t>Exclusions</w:t>
      </w:r>
    </w:p>
    <w:p>
      <w:pPr>
        <w:pStyle w:val="BodyText"/>
        <w:spacing w:before="121"/>
        <w:ind w:right="425"/>
      </w:pPr>
      <w:r>
        <w:t>Non-insurance</w:t>
      </w:r>
      <w:r>
        <w:rPr>
          <w:spacing w:val="-6"/>
        </w:rPr>
        <w:t xml:space="preserve"> </w:t>
      </w:r>
      <w:r>
        <w:t>revenues</w:t>
      </w:r>
      <w:r>
        <w:rPr>
          <w:spacing w:val="-3"/>
        </w:rPr>
        <w:t xml:space="preserve"> </w:t>
      </w:r>
      <w:r>
        <w:t>pertaining</w:t>
      </w:r>
      <w:r>
        <w:rPr>
          <w:spacing w:val="-5"/>
        </w:rPr>
        <w:t xml:space="preserve"> </w:t>
      </w:r>
      <w:r>
        <w:t>to</w:t>
      </w:r>
      <w:r>
        <w:rPr>
          <w:spacing w:val="-5"/>
        </w:rPr>
        <w:t xml:space="preserve"> </w:t>
      </w:r>
      <w:r>
        <w:t>investments</w:t>
      </w:r>
      <w:r>
        <w:rPr>
          <w:spacing w:val="-5"/>
        </w:rPr>
        <w:t xml:space="preserve"> </w:t>
      </w:r>
      <w:r>
        <w:t>and</w:t>
      </w:r>
      <w:r>
        <w:rPr>
          <w:spacing w:val="-5"/>
        </w:rPr>
        <w:t xml:space="preserve"> </w:t>
      </w:r>
      <w:r>
        <w:t>fee-based</w:t>
      </w:r>
      <w:r>
        <w:rPr>
          <w:spacing w:val="-3"/>
        </w:rPr>
        <w:t xml:space="preserve"> </w:t>
      </w:r>
      <w:r>
        <w:t>activities</w:t>
      </w:r>
      <w:r>
        <w:rPr>
          <w:spacing w:val="-4"/>
        </w:rPr>
        <w:t xml:space="preserve"> </w:t>
      </w:r>
      <w:r>
        <w:t>designed</w:t>
      </w:r>
      <w:r>
        <w:rPr>
          <w:spacing w:val="-5"/>
        </w:rPr>
        <w:t xml:space="preserve"> </w:t>
      </w:r>
      <w:r>
        <w:t>to influence state or federal legislation such as the cost of lobbying activities cannot be reflected in the bid. See the announcement about lobbying activities released via an HPMS memorandum dated October 16, 2009.</w:t>
      </w:r>
    </w:p>
    <w:p>
      <w:pPr>
        <w:spacing w:before="240"/>
        <w:ind w:left="224" w:right="0" w:firstLine="0"/>
        <w:jc w:val="left"/>
        <w:rPr>
          <w:rFonts w:ascii="Arial"/>
          <w:b/>
          <w:sz w:val="21"/>
        </w:rPr>
      </w:pPr>
      <w:bookmarkStart w:id="31" w:name="Non-Benefit Expenses"/>
      <w:bookmarkEnd w:id="31"/>
      <w:bookmarkStart w:id="32" w:name="_bookmark15"/>
      <w:bookmarkEnd w:id="32"/>
      <w:r>
        <w:rPr>
          <w:rFonts w:ascii="Arial"/>
          <w:b/>
          <w:sz w:val="21"/>
        </w:rPr>
        <w:t>Non-Benefit</w:t>
      </w:r>
      <w:r>
        <w:rPr>
          <w:rFonts w:ascii="Arial"/>
          <w:b/>
          <w:spacing w:val="-12"/>
          <w:sz w:val="21"/>
        </w:rPr>
        <w:t xml:space="preserve"> </w:t>
      </w:r>
      <w:r>
        <w:rPr>
          <w:rFonts w:ascii="Arial"/>
          <w:b/>
          <w:spacing w:val="-2"/>
          <w:sz w:val="21"/>
        </w:rPr>
        <w:t>Expenses</w:t>
      </w:r>
    </w:p>
    <w:p>
      <w:pPr>
        <w:pStyle w:val="BodyText"/>
        <w:spacing w:before="118"/>
        <w:ind w:left="224" w:right="478"/>
      </w:pPr>
      <w:r>
        <w:t>Non-benefit expenses consist of all of the bid-specific administrative and other non-benefit costs incurred in the operation of the Medicare Prescription Drug Plan. Therefore, any allocation</w:t>
      </w:r>
      <w:r>
        <w:rPr>
          <w:spacing w:val="-3"/>
        </w:rPr>
        <w:t xml:space="preserve"> </w:t>
      </w:r>
      <w:r>
        <w:t>of</w:t>
      </w:r>
      <w:r>
        <w:rPr>
          <w:spacing w:val="-4"/>
        </w:rPr>
        <w:t xml:space="preserve"> </w:t>
      </w:r>
      <w:r>
        <w:t>non-benefit expenses</w:t>
      </w:r>
      <w:r>
        <w:rPr>
          <w:spacing w:val="-3"/>
        </w:rPr>
        <w:t xml:space="preserve"> </w:t>
      </w:r>
      <w:r>
        <w:t>to</w:t>
      </w:r>
      <w:r>
        <w:rPr>
          <w:spacing w:val="-3"/>
        </w:rPr>
        <w:t xml:space="preserve"> </w:t>
      </w:r>
      <w:r>
        <w:t>the</w:t>
      </w:r>
      <w:r>
        <w:rPr>
          <w:spacing w:val="-4"/>
        </w:rPr>
        <w:t xml:space="preserve"> </w:t>
      </w:r>
      <w:r>
        <w:t>Part</w:t>
      </w:r>
      <w:r>
        <w:rPr>
          <w:spacing w:val="-3"/>
        </w:rPr>
        <w:t xml:space="preserve"> </w:t>
      </w:r>
      <w:r>
        <w:t>D</w:t>
      </w:r>
      <w:r>
        <w:rPr>
          <w:spacing w:val="-4"/>
        </w:rPr>
        <w:t xml:space="preserve"> </w:t>
      </w:r>
      <w:r>
        <w:t>bid</w:t>
      </w:r>
      <w:r>
        <w:rPr>
          <w:spacing w:val="-3"/>
        </w:rPr>
        <w:t xml:space="preserve"> </w:t>
      </w:r>
      <w:r>
        <w:t>(whether</w:t>
      </w:r>
      <w:r>
        <w:rPr>
          <w:spacing w:val="-4"/>
        </w:rPr>
        <w:t xml:space="preserve"> </w:t>
      </w:r>
      <w:r>
        <w:t>performed</w:t>
      </w:r>
      <w:r>
        <w:rPr>
          <w:spacing w:val="-3"/>
        </w:rPr>
        <w:t xml:space="preserve"> </w:t>
      </w:r>
      <w:r>
        <w:t>at</w:t>
      </w:r>
      <w:r>
        <w:rPr>
          <w:spacing w:val="-3"/>
        </w:rPr>
        <w:t xml:space="preserve"> </w:t>
      </w:r>
      <w:r>
        <w:t>the</w:t>
      </w:r>
      <w:r>
        <w:rPr>
          <w:spacing w:val="-4"/>
        </w:rPr>
        <w:t xml:space="preserve"> </w:t>
      </w:r>
      <w:r>
        <w:t>bid</w:t>
      </w:r>
      <w:r>
        <w:rPr>
          <w:spacing w:val="-3"/>
        </w:rPr>
        <w:t xml:space="preserve"> </w:t>
      </w:r>
      <w:r>
        <w:t>level</w:t>
      </w:r>
      <w:r>
        <w:rPr>
          <w:spacing w:val="-3"/>
        </w:rPr>
        <w:t xml:space="preserve"> </w:t>
      </w:r>
      <w:r>
        <w:t>or</w:t>
      </w:r>
      <w:r>
        <w:rPr>
          <w:spacing w:val="-1"/>
        </w:rPr>
        <w:t xml:space="preserve"> </w:t>
      </w:r>
      <w:r>
        <w:t>at</w:t>
      </w:r>
      <w:r>
        <w:rPr>
          <w:spacing w:val="-3"/>
        </w:rPr>
        <w:t xml:space="preserve"> </w:t>
      </w:r>
      <w:r>
        <w:t>a broader level) must take into consideration both the differences between the Part D bid and other bids and the impact on the non-benefit costs of the Part D bid.</w:t>
      </w:r>
    </w:p>
    <w:p>
      <w:pPr>
        <w:pStyle w:val="BodyText"/>
        <w:spacing w:before="121"/>
        <w:ind w:left="224"/>
      </w:pPr>
      <w:r>
        <w:t>The</w:t>
      </w:r>
      <w:r>
        <w:rPr>
          <w:spacing w:val="-3"/>
        </w:rPr>
        <w:t xml:space="preserve"> </w:t>
      </w:r>
      <w:r>
        <w:t>non-benefit expenses</w:t>
      </w:r>
      <w:r>
        <w:rPr>
          <w:spacing w:val="-1"/>
        </w:rPr>
        <w:t xml:space="preserve"> </w:t>
      </w:r>
      <w:r>
        <w:t>must be</w:t>
      </w:r>
      <w:r>
        <w:rPr>
          <w:spacing w:val="-1"/>
        </w:rPr>
        <w:t xml:space="preserve"> </w:t>
      </w:r>
      <w:r>
        <w:t>entered separately</w:t>
      </w:r>
      <w:r>
        <w:rPr>
          <w:spacing w:val="-1"/>
        </w:rPr>
        <w:t xml:space="preserve"> </w:t>
      </w:r>
      <w:r>
        <w:t>on the</w:t>
      </w:r>
      <w:r>
        <w:rPr>
          <w:spacing w:val="1"/>
        </w:rPr>
        <w:t xml:space="preserve"> </w:t>
      </w:r>
      <w:r>
        <w:t>BPT for</w:t>
      </w:r>
      <w:r>
        <w:rPr>
          <w:spacing w:val="-3"/>
        </w:rPr>
        <w:t xml:space="preserve"> </w:t>
      </w:r>
      <w:r>
        <w:t xml:space="preserve">the following </w:t>
      </w:r>
      <w:r>
        <w:rPr>
          <w:spacing w:val="-2"/>
        </w:rPr>
        <w:t>categories:</w:t>
      </w:r>
    </w:p>
    <w:p>
      <w:pPr>
        <w:pStyle w:val="ListParagraph"/>
        <w:numPr>
          <w:ilvl w:val="0"/>
          <w:numId w:val="13"/>
        </w:numPr>
        <w:tabs>
          <w:tab w:val="left" w:pos="944"/>
        </w:tabs>
        <w:spacing w:before="120" w:after="0" w:line="240" w:lineRule="auto"/>
        <w:ind w:left="944" w:right="0" w:hanging="360"/>
        <w:jc w:val="left"/>
        <w:rPr>
          <w:sz w:val="24"/>
        </w:rPr>
      </w:pPr>
      <w:r>
        <w:rPr>
          <w:sz w:val="24"/>
        </w:rPr>
        <w:t>Sales</w:t>
      </w:r>
      <w:r>
        <w:rPr>
          <w:spacing w:val="-3"/>
          <w:sz w:val="24"/>
        </w:rPr>
        <w:t xml:space="preserve"> </w:t>
      </w:r>
      <w:r>
        <w:rPr>
          <w:sz w:val="24"/>
        </w:rPr>
        <w:t xml:space="preserve">&amp; </w:t>
      </w:r>
      <w:r>
        <w:rPr>
          <w:spacing w:val="-2"/>
          <w:sz w:val="24"/>
        </w:rPr>
        <w:t>Marketing</w:t>
      </w:r>
    </w:p>
    <w:p>
      <w:pPr>
        <w:pStyle w:val="ListParagraph"/>
        <w:numPr>
          <w:ilvl w:val="1"/>
          <w:numId w:val="13"/>
        </w:numPr>
        <w:tabs>
          <w:tab w:val="left" w:pos="1304"/>
        </w:tabs>
        <w:spacing w:before="41" w:after="0" w:line="240" w:lineRule="auto"/>
        <w:ind w:left="1304" w:right="0" w:hanging="360"/>
        <w:jc w:val="left"/>
        <w:rPr>
          <w:sz w:val="24"/>
        </w:rPr>
      </w:pPr>
      <w:r>
        <w:rPr>
          <w:sz w:val="24"/>
        </w:rPr>
        <w:t>Examples</w:t>
      </w:r>
      <w:r>
        <w:rPr>
          <w:spacing w:val="-1"/>
          <w:sz w:val="24"/>
        </w:rPr>
        <w:t xml:space="preserve"> </w:t>
      </w:r>
      <w:r>
        <w:rPr>
          <w:sz w:val="24"/>
        </w:rPr>
        <w:t>include,</w:t>
      </w:r>
      <w:r>
        <w:rPr>
          <w:spacing w:val="-1"/>
          <w:sz w:val="24"/>
        </w:rPr>
        <w:t xml:space="preserve"> </w:t>
      </w:r>
      <w:r>
        <w:rPr>
          <w:sz w:val="24"/>
        </w:rPr>
        <w:t>but are</w:t>
      </w:r>
      <w:r>
        <w:rPr>
          <w:spacing w:val="-2"/>
          <w:sz w:val="24"/>
        </w:rPr>
        <w:t xml:space="preserve"> </w:t>
      </w:r>
      <w:r>
        <w:rPr>
          <w:sz w:val="24"/>
        </w:rPr>
        <w:t>not limited</w:t>
      </w:r>
      <w:r>
        <w:rPr>
          <w:spacing w:val="-1"/>
          <w:sz w:val="24"/>
        </w:rPr>
        <w:t xml:space="preserve"> </w:t>
      </w:r>
      <w:r>
        <w:rPr>
          <w:sz w:val="24"/>
        </w:rPr>
        <w:t xml:space="preserve">to the cost </w:t>
      </w:r>
      <w:r>
        <w:rPr>
          <w:spacing w:val="-5"/>
          <w:sz w:val="24"/>
        </w:rPr>
        <w:t>of—</w:t>
      </w:r>
    </w:p>
    <w:p>
      <w:pPr>
        <w:pStyle w:val="ListParagraph"/>
        <w:numPr>
          <w:ilvl w:val="2"/>
          <w:numId w:val="13"/>
        </w:numPr>
        <w:tabs>
          <w:tab w:val="left" w:pos="1664"/>
        </w:tabs>
        <w:spacing w:before="31" w:after="0" w:line="240" w:lineRule="auto"/>
        <w:ind w:left="1664" w:right="0" w:hanging="360"/>
        <w:jc w:val="left"/>
        <w:rPr>
          <w:sz w:val="24"/>
        </w:rPr>
      </w:pPr>
      <w:r>
        <w:rPr>
          <w:sz w:val="24"/>
        </w:rPr>
        <w:t>Marketing</w:t>
      </w:r>
      <w:r>
        <w:rPr>
          <w:spacing w:val="-3"/>
          <w:sz w:val="24"/>
        </w:rPr>
        <w:t xml:space="preserve"> </w:t>
      </w:r>
      <w:r>
        <w:rPr>
          <w:spacing w:val="-2"/>
          <w:sz w:val="24"/>
        </w:rPr>
        <w:t>materials.</w:t>
      </w:r>
    </w:p>
    <w:p>
      <w:pPr>
        <w:pStyle w:val="ListParagraph"/>
        <w:numPr>
          <w:ilvl w:val="2"/>
          <w:numId w:val="13"/>
        </w:numPr>
        <w:tabs>
          <w:tab w:val="left" w:pos="1664"/>
        </w:tabs>
        <w:spacing w:before="36" w:after="0" w:line="240" w:lineRule="auto"/>
        <w:ind w:left="1664" w:right="0" w:hanging="360"/>
        <w:jc w:val="left"/>
        <w:rPr>
          <w:sz w:val="24"/>
        </w:rPr>
      </w:pPr>
      <w:r>
        <w:rPr>
          <w:spacing w:val="-2"/>
          <w:sz w:val="24"/>
        </w:rPr>
        <w:t>Commissions.</w:t>
      </w:r>
    </w:p>
    <w:p>
      <w:pPr>
        <w:pStyle w:val="ListParagraph"/>
        <w:numPr>
          <w:ilvl w:val="2"/>
          <w:numId w:val="13"/>
        </w:numPr>
        <w:tabs>
          <w:tab w:val="left" w:pos="1664"/>
        </w:tabs>
        <w:spacing w:before="34" w:after="0" w:line="240" w:lineRule="auto"/>
        <w:ind w:left="1664" w:right="0" w:hanging="360"/>
        <w:jc w:val="left"/>
        <w:rPr>
          <w:sz w:val="24"/>
        </w:rPr>
      </w:pPr>
      <w:r>
        <w:rPr>
          <w:sz w:val="24"/>
        </w:rPr>
        <w:t>Enrollment</w:t>
      </w:r>
      <w:r>
        <w:rPr>
          <w:spacing w:val="-2"/>
          <w:sz w:val="24"/>
        </w:rPr>
        <w:t xml:space="preserve"> packages.</w:t>
      </w:r>
    </w:p>
    <w:p>
      <w:pPr>
        <w:pStyle w:val="ListParagraph"/>
        <w:numPr>
          <w:ilvl w:val="2"/>
          <w:numId w:val="13"/>
        </w:numPr>
        <w:tabs>
          <w:tab w:val="left" w:pos="1664"/>
        </w:tabs>
        <w:spacing w:before="33" w:after="0" w:line="240" w:lineRule="auto"/>
        <w:ind w:left="1664" w:right="0" w:hanging="360"/>
        <w:jc w:val="left"/>
        <w:rPr>
          <w:sz w:val="24"/>
        </w:rPr>
      </w:pPr>
      <w:r>
        <w:rPr>
          <w:sz w:val="24"/>
        </w:rPr>
        <w:t>Identification</w:t>
      </w:r>
      <w:r>
        <w:rPr>
          <w:spacing w:val="-6"/>
          <w:sz w:val="24"/>
        </w:rPr>
        <w:t xml:space="preserve"> </w:t>
      </w:r>
      <w:r>
        <w:rPr>
          <w:spacing w:val="-2"/>
          <w:sz w:val="24"/>
        </w:rPr>
        <w:t>cards.</w:t>
      </w:r>
    </w:p>
    <w:p>
      <w:pPr>
        <w:pStyle w:val="ListParagraph"/>
        <w:numPr>
          <w:ilvl w:val="2"/>
          <w:numId w:val="13"/>
        </w:numPr>
        <w:tabs>
          <w:tab w:val="left" w:pos="1664"/>
        </w:tabs>
        <w:spacing w:before="34" w:after="0" w:line="240" w:lineRule="auto"/>
        <w:ind w:left="1664" w:right="0" w:hanging="360"/>
        <w:jc w:val="left"/>
        <w:rPr>
          <w:sz w:val="24"/>
        </w:rPr>
      </w:pPr>
      <w:r>
        <w:rPr>
          <w:sz w:val="24"/>
        </w:rPr>
        <w:t>Salaries</w:t>
      </w:r>
      <w:r>
        <w:rPr>
          <w:spacing w:val="-5"/>
          <w:sz w:val="24"/>
        </w:rPr>
        <w:t xml:space="preserve"> </w:t>
      </w:r>
      <w:r>
        <w:rPr>
          <w:sz w:val="24"/>
        </w:rPr>
        <w:t>of</w:t>
      </w:r>
      <w:r>
        <w:rPr>
          <w:spacing w:val="-3"/>
          <w:sz w:val="24"/>
        </w:rPr>
        <w:t xml:space="preserve"> </w:t>
      </w:r>
      <w:r>
        <w:rPr>
          <w:sz w:val="24"/>
        </w:rPr>
        <w:t>sales</w:t>
      </w:r>
      <w:r>
        <w:rPr>
          <w:spacing w:val="-1"/>
          <w:sz w:val="24"/>
        </w:rPr>
        <w:t xml:space="preserve"> </w:t>
      </w:r>
      <w:r>
        <w:rPr>
          <w:sz w:val="24"/>
        </w:rPr>
        <w:t>and</w:t>
      </w:r>
      <w:r>
        <w:rPr>
          <w:spacing w:val="-2"/>
          <w:sz w:val="24"/>
        </w:rPr>
        <w:t xml:space="preserve"> </w:t>
      </w:r>
      <w:r>
        <w:rPr>
          <w:sz w:val="24"/>
        </w:rPr>
        <w:t>marketing</w:t>
      </w:r>
      <w:r>
        <w:rPr>
          <w:spacing w:val="-2"/>
          <w:sz w:val="24"/>
        </w:rPr>
        <w:t xml:space="preserve"> staff.</w:t>
      </w:r>
    </w:p>
    <w:p>
      <w:pPr>
        <w:pStyle w:val="ListParagraph"/>
        <w:numPr>
          <w:ilvl w:val="0"/>
          <w:numId w:val="13"/>
        </w:numPr>
        <w:tabs>
          <w:tab w:val="left" w:pos="944"/>
        </w:tabs>
        <w:spacing w:before="41" w:after="0" w:line="240" w:lineRule="auto"/>
        <w:ind w:left="944" w:right="0" w:hanging="360"/>
        <w:jc w:val="left"/>
        <w:rPr>
          <w:sz w:val="24"/>
        </w:rPr>
      </w:pPr>
      <w:r>
        <w:rPr>
          <w:sz w:val="24"/>
        </w:rPr>
        <w:t>Direct</w:t>
      </w:r>
      <w:r>
        <w:rPr>
          <w:spacing w:val="-3"/>
          <w:sz w:val="24"/>
        </w:rPr>
        <w:t xml:space="preserve"> </w:t>
      </w:r>
      <w:r>
        <w:rPr>
          <w:spacing w:val="-2"/>
          <w:sz w:val="24"/>
        </w:rPr>
        <w:t>Administration</w:t>
      </w:r>
    </w:p>
    <w:p>
      <w:pPr>
        <w:pStyle w:val="ListParagraph"/>
        <w:numPr>
          <w:ilvl w:val="1"/>
          <w:numId w:val="13"/>
        </w:numPr>
        <w:tabs>
          <w:tab w:val="left" w:pos="1304"/>
        </w:tabs>
        <w:spacing w:before="41" w:after="0" w:line="240" w:lineRule="auto"/>
        <w:ind w:left="1304" w:right="0" w:hanging="360"/>
        <w:jc w:val="left"/>
        <w:rPr>
          <w:sz w:val="24"/>
        </w:rPr>
      </w:pPr>
      <w:r>
        <w:rPr>
          <w:sz w:val="24"/>
        </w:rPr>
        <w:t>Examples</w:t>
      </w:r>
      <w:r>
        <w:rPr>
          <w:spacing w:val="-1"/>
          <w:sz w:val="24"/>
        </w:rPr>
        <w:t xml:space="preserve"> </w:t>
      </w:r>
      <w:r>
        <w:rPr>
          <w:sz w:val="24"/>
        </w:rPr>
        <w:t>include,</w:t>
      </w:r>
      <w:r>
        <w:rPr>
          <w:spacing w:val="-1"/>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z w:val="24"/>
        </w:rPr>
        <w:t xml:space="preserve">limited </w:t>
      </w:r>
      <w:r>
        <w:rPr>
          <w:spacing w:val="-5"/>
          <w:sz w:val="24"/>
        </w:rPr>
        <w:t>to—</w:t>
      </w:r>
    </w:p>
    <w:p>
      <w:pPr>
        <w:pStyle w:val="ListParagraph"/>
        <w:numPr>
          <w:ilvl w:val="2"/>
          <w:numId w:val="13"/>
        </w:numPr>
        <w:tabs>
          <w:tab w:val="left" w:pos="1664"/>
        </w:tabs>
        <w:spacing w:before="34" w:after="0" w:line="240" w:lineRule="auto"/>
        <w:ind w:left="1664" w:right="0" w:hanging="360"/>
        <w:jc w:val="left"/>
        <w:rPr>
          <w:sz w:val="24"/>
        </w:rPr>
      </w:pPr>
      <w:r>
        <w:rPr>
          <w:sz w:val="24"/>
        </w:rPr>
        <w:t xml:space="preserve">Customer </w:t>
      </w:r>
      <w:r>
        <w:rPr>
          <w:spacing w:val="-2"/>
          <w:sz w:val="24"/>
        </w:rPr>
        <w:t>service.</w:t>
      </w:r>
    </w:p>
    <w:p>
      <w:pPr>
        <w:pStyle w:val="ListParagraph"/>
        <w:numPr>
          <w:ilvl w:val="2"/>
          <w:numId w:val="13"/>
        </w:numPr>
        <w:tabs>
          <w:tab w:val="left" w:pos="1664"/>
        </w:tabs>
        <w:spacing w:before="33" w:after="0" w:line="240" w:lineRule="auto"/>
        <w:ind w:left="1664" w:right="0" w:hanging="360"/>
        <w:jc w:val="left"/>
        <w:rPr>
          <w:sz w:val="24"/>
        </w:rPr>
      </w:pPr>
      <w:r>
        <w:rPr>
          <w:sz w:val="24"/>
        </w:rPr>
        <w:t>Billing</w:t>
      </w:r>
      <w:r>
        <w:rPr>
          <w:spacing w:val="-1"/>
          <w:sz w:val="24"/>
        </w:rPr>
        <w:t xml:space="preserve"> </w:t>
      </w:r>
      <w:r>
        <w:rPr>
          <w:sz w:val="24"/>
        </w:rPr>
        <w:t xml:space="preserve">and </w:t>
      </w:r>
      <w:r>
        <w:rPr>
          <w:spacing w:val="-2"/>
          <w:sz w:val="24"/>
        </w:rPr>
        <w:t>enrollment.</w:t>
      </w:r>
    </w:p>
    <w:p>
      <w:pPr>
        <w:pStyle w:val="ListParagraph"/>
        <w:numPr>
          <w:ilvl w:val="2"/>
          <w:numId w:val="13"/>
        </w:numPr>
        <w:tabs>
          <w:tab w:val="left" w:pos="1664"/>
        </w:tabs>
        <w:spacing w:before="34" w:after="0" w:line="240" w:lineRule="auto"/>
        <w:ind w:left="1664" w:right="0" w:hanging="360"/>
        <w:jc w:val="left"/>
        <w:rPr>
          <w:sz w:val="24"/>
        </w:rPr>
      </w:pPr>
      <w:r>
        <w:rPr>
          <w:sz w:val="24"/>
        </w:rPr>
        <w:t>Claims</w:t>
      </w:r>
      <w:r>
        <w:rPr>
          <w:spacing w:val="-4"/>
          <w:sz w:val="24"/>
        </w:rPr>
        <w:t xml:space="preserve"> </w:t>
      </w:r>
      <w:r>
        <w:rPr>
          <w:spacing w:val="-2"/>
          <w:sz w:val="24"/>
        </w:rPr>
        <w:t>administration.</w:t>
      </w:r>
    </w:p>
    <w:p>
      <w:pPr>
        <w:pStyle w:val="ListParagraph"/>
        <w:numPr>
          <w:ilvl w:val="2"/>
          <w:numId w:val="13"/>
        </w:numPr>
        <w:tabs>
          <w:tab w:val="left" w:pos="1664"/>
        </w:tabs>
        <w:spacing w:before="34" w:after="0" w:line="240" w:lineRule="auto"/>
        <w:ind w:left="1664" w:right="0" w:hanging="360"/>
        <w:jc w:val="left"/>
        <w:rPr>
          <w:sz w:val="24"/>
        </w:rPr>
      </w:pPr>
      <w:r>
        <w:rPr>
          <w:sz w:val="24"/>
        </w:rPr>
        <w:t>True</w:t>
      </w:r>
      <w:r>
        <w:rPr>
          <w:spacing w:val="-3"/>
          <w:sz w:val="24"/>
        </w:rPr>
        <w:t xml:space="preserve"> </w:t>
      </w:r>
      <w:r>
        <w:rPr>
          <w:sz w:val="24"/>
        </w:rPr>
        <w:t>out-of-pocket</w:t>
      </w:r>
      <w:r>
        <w:rPr>
          <w:spacing w:val="-1"/>
          <w:sz w:val="24"/>
        </w:rPr>
        <w:t xml:space="preserve"> </w:t>
      </w:r>
      <w:r>
        <w:rPr>
          <w:sz w:val="24"/>
        </w:rPr>
        <w:t>(TrOOP)</w:t>
      </w:r>
      <w:r>
        <w:rPr>
          <w:spacing w:val="-1"/>
          <w:sz w:val="24"/>
        </w:rPr>
        <w:t xml:space="preserve"> </w:t>
      </w:r>
      <w:r>
        <w:rPr>
          <w:spacing w:val="-2"/>
          <w:sz w:val="24"/>
        </w:rPr>
        <w:t>administration.</w:t>
      </w:r>
    </w:p>
    <w:p>
      <w:pPr>
        <w:pStyle w:val="ListParagraph"/>
        <w:numPr>
          <w:ilvl w:val="2"/>
          <w:numId w:val="13"/>
        </w:numPr>
        <w:tabs>
          <w:tab w:val="left" w:pos="1664"/>
        </w:tabs>
        <w:spacing w:before="40" w:after="0" w:line="235" w:lineRule="auto"/>
        <w:ind w:left="1664" w:right="464" w:hanging="360"/>
        <w:jc w:val="left"/>
        <w:rPr>
          <w:sz w:val="24"/>
        </w:rPr>
      </w:pPr>
      <w:r>
        <w:rPr>
          <w:sz w:val="24"/>
        </w:rPr>
        <w:t>Pharmacy benefit management administration, which includes all of the costs</w:t>
      </w:r>
      <w:r>
        <w:rPr>
          <w:spacing w:val="40"/>
          <w:sz w:val="24"/>
        </w:rPr>
        <w:t xml:space="preserve"> </w:t>
      </w:r>
      <w:r>
        <w:rPr>
          <w:sz w:val="24"/>
        </w:rPr>
        <w:t>for performing call center, claims, formulary management, network</w:t>
      </w:r>
      <w:r>
        <w:rPr>
          <w:spacing w:val="40"/>
          <w:sz w:val="24"/>
        </w:rPr>
        <w:t xml:space="preserve"> </w:t>
      </w:r>
      <w:r>
        <w:rPr>
          <w:sz w:val="24"/>
        </w:rPr>
        <w:t>development</w:t>
      </w:r>
      <w:r>
        <w:rPr>
          <w:spacing w:val="-4"/>
          <w:sz w:val="24"/>
        </w:rPr>
        <w:t xml:space="preserve"> </w:t>
      </w:r>
      <w:r>
        <w:rPr>
          <w:sz w:val="24"/>
        </w:rPr>
        <w:t>and</w:t>
      </w:r>
      <w:r>
        <w:rPr>
          <w:spacing w:val="-4"/>
          <w:sz w:val="24"/>
        </w:rPr>
        <w:t xml:space="preserve"> </w:t>
      </w:r>
      <w:r>
        <w:rPr>
          <w:sz w:val="24"/>
        </w:rPr>
        <w:t>rebate</w:t>
      </w:r>
      <w:r>
        <w:rPr>
          <w:spacing w:val="-3"/>
          <w:sz w:val="24"/>
        </w:rPr>
        <w:t xml:space="preserve"> </w:t>
      </w:r>
      <w:r>
        <w:rPr>
          <w:sz w:val="24"/>
        </w:rPr>
        <w:t>management</w:t>
      </w:r>
      <w:r>
        <w:rPr>
          <w:spacing w:val="-4"/>
          <w:sz w:val="24"/>
        </w:rPr>
        <w:t xml:space="preserve"> </w:t>
      </w:r>
      <w:r>
        <w:rPr>
          <w:sz w:val="24"/>
        </w:rPr>
        <w:t>functions</w:t>
      </w:r>
      <w:r>
        <w:rPr>
          <w:spacing w:val="-5"/>
          <w:sz w:val="24"/>
        </w:rPr>
        <w:t xml:space="preserve"> </w:t>
      </w:r>
      <w:r>
        <w:rPr>
          <w:sz w:val="24"/>
        </w:rPr>
        <w:t>incurred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plan</w:t>
      </w:r>
      <w:r>
        <w:rPr>
          <w:spacing w:val="-4"/>
          <w:sz w:val="24"/>
        </w:rPr>
        <w:t xml:space="preserve"> </w:t>
      </w:r>
      <w:r>
        <w:rPr>
          <w:sz w:val="24"/>
        </w:rPr>
        <w:t>or</w:t>
      </w:r>
      <w:r>
        <w:rPr>
          <w:spacing w:val="-6"/>
          <w:sz w:val="24"/>
        </w:rPr>
        <w:t xml:space="preserve"> </w:t>
      </w:r>
      <w:r>
        <w:rPr>
          <w:sz w:val="24"/>
        </w:rPr>
        <w:t>through</w:t>
      </w:r>
      <w:r>
        <w:rPr>
          <w:spacing w:val="-4"/>
          <w:sz w:val="24"/>
        </w:rPr>
        <w:t xml:space="preserve"> </w:t>
      </w:r>
      <w:r>
        <w:rPr>
          <w:sz w:val="24"/>
        </w:rPr>
        <w:t xml:space="preserve">a </w:t>
      </w:r>
      <w:r>
        <w:rPr>
          <w:spacing w:val="-2"/>
          <w:sz w:val="24"/>
        </w:rPr>
        <w:t>subcontractor.</w:t>
      </w:r>
    </w:p>
    <w:p>
      <w:pPr>
        <w:pStyle w:val="ListParagraph"/>
        <w:numPr>
          <w:ilvl w:val="2"/>
          <w:numId w:val="13"/>
        </w:numPr>
        <w:tabs>
          <w:tab w:val="left" w:pos="1664"/>
        </w:tabs>
        <w:spacing w:before="32" w:after="0" w:line="240" w:lineRule="auto"/>
        <w:ind w:left="1664" w:right="0" w:hanging="360"/>
        <w:jc w:val="left"/>
        <w:rPr>
          <w:sz w:val="24"/>
        </w:rPr>
      </w:pPr>
      <w:r>
        <w:rPr>
          <w:sz w:val="24"/>
        </w:rPr>
        <w:t>Medicare</w:t>
      </w:r>
      <w:r>
        <w:rPr>
          <w:spacing w:val="-5"/>
          <w:sz w:val="24"/>
        </w:rPr>
        <w:t xml:space="preserve"> </w:t>
      </w:r>
      <w:r>
        <w:rPr>
          <w:sz w:val="24"/>
        </w:rPr>
        <w:t>CGDP</w:t>
      </w:r>
      <w:r>
        <w:rPr>
          <w:spacing w:val="-1"/>
          <w:sz w:val="24"/>
        </w:rPr>
        <w:t xml:space="preserve"> </w:t>
      </w:r>
      <w:r>
        <w:rPr>
          <w:sz w:val="24"/>
        </w:rPr>
        <w:t>and</w:t>
      </w:r>
      <w:r>
        <w:rPr>
          <w:spacing w:val="-1"/>
          <w:sz w:val="24"/>
        </w:rPr>
        <w:t xml:space="preserve"> </w:t>
      </w:r>
      <w:r>
        <w:rPr>
          <w:sz w:val="24"/>
        </w:rPr>
        <w:t>Manufacturer</w:t>
      </w:r>
      <w:r>
        <w:rPr>
          <w:spacing w:val="-2"/>
          <w:sz w:val="24"/>
        </w:rPr>
        <w:t xml:space="preserve"> </w:t>
      </w:r>
      <w:r>
        <w:rPr>
          <w:sz w:val="24"/>
        </w:rPr>
        <w:t>Discount</w:t>
      </w:r>
      <w:r>
        <w:rPr>
          <w:spacing w:val="-2"/>
          <w:sz w:val="24"/>
        </w:rPr>
        <w:t xml:space="preserve"> </w:t>
      </w:r>
      <w:r>
        <w:rPr>
          <w:sz w:val="24"/>
        </w:rPr>
        <w:t xml:space="preserve">Program </w:t>
      </w:r>
      <w:r>
        <w:rPr>
          <w:spacing w:val="-2"/>
          <w:sz w:val="24"/>
        </w:rPr>
        <w:t>administration.</w:t>
      </w:r>
    </w:p>
    <w:p>
      <w:pPr>
        <w:pStyle w:val="ListParagraph"/>
        <w:numPr>
          <w:ilvl w:val="2"/>
          <w:numId w:val="13"/>
        </w:numPr>
        <w:tabs>
          <w:tab w:val="left" w:pos="1664"/>
        </w:tabs>
        <w:spacing w:before="37" w:after="0" w:line="272" w:lineRule="exact"/>
        <w:ind w:left="1664" w:right="0" w:hanging="360"/>
        <w:jc w:val="left"/>
        <w:rPr>
          <w:sz w:val="24"/>
        </w:rPr>
      </w:pPr>
      <w:r>
        <w:rPr>
          <w:sz w:val="24"/>
        </w:rPr>
        <w:t>Medicare</w:t>
      </w:r>
      <w:r>
        <w:rPr>
          <w:spacing w:val="-4"/>
          <w:sz w:val="24"/>
        </w:rPr>
        <w:t xml:space="preserve"> </w:t>
      </w:r>
      <w:r>
        <w:rPr>
          <w:sz w:val="24"/>
        </w:rPr>
        <w:t>Part</w:t>
      </w:r>
      <w:r>
        <w:rPr>
          <w:spacing w:val="-1"/>
          <w:sz w:val="24"/>
        </w:rPr>
        <w:t xml:space="preserve"> </w:t>
      </w:r>
      <w:r>
        <w:rPr>
          <w:sz w:val="24"/>
        </w:rPr>
        <w:t>D</w:t>
      </w:r>
      <w:r>
        <w:rPr>
          <w:spacing w:val="-2"/>
          <w:sz w:val="24"/>
        </w:rPr>
        <w:t xml:space="preserve"> </w:t>
      </w:r>
      <w:r>
        <w:rPr>
          <w:sz w:val="24"/>
        </w:rPr>
        <w:t>user</w:t>
      </w:r>
      <w:r>
        <w:rPr>
          <w:spacing w:val="-1"/>
          <w:sz w:val="24"/>
        </w:rPr>
        <w:t xml:space="preserve"> </w:t>
      </w:r>
      <w:r>
        <w:rPr>
          <w:sz w:val="24"/>
        </w:rPr>
        <w:t>fees,</w:t>
      </w:r>
      <w:r>
        <w:rPr>
          <w:spacing w:val="-1"/>
          <w:sz w:val="24"/>
        </w:rPr>
        <w:t xml:space="preserve"> </w:t>
      </w:r>
      <w:r>
        <w:rPr>
          <w:sz w:val="24"/>
        </w:rPr>
        <w:t>which</w:t>
      </w:r>
      <w:r>
        <w:rPr>
          <w:spacing w:val="-1"/>
          <w:sz w:val="24"/>
        </w:rPr>
        <w:t xml:space="preserve"> </w:t>
      </w:r>
      <w:r>
        <w:rPr>
          <w:sz w:val="24"/>
        </w:rPr>
        <w:t>are</w:t>
      </w:r>
      <w:r>
        <w:rPr>
          <w:spacing w:val="-2"/>
          <w:sz w:val="24"/>
        </w:rPr>
        <w:t xml:space="preserve"> </w:t>
      </w:r>
      <w:r>
        <w:rPr>
          <w:sz w:val="24"/>
        </w:rPr>
        <w:t>$TBD</w:t>
      </w:r>
      <w:r>
        <w:rPr>
          <w:spacing w:val="-1"/>
          <w:sz w:val="24"/>
        </w:rPr>
        <w:t xml:space="preserve"> </w:t>
      </w:r>
      <w:r>
        <w:rPr>
          <w:sz w:val="24"/>
        </w:rPr>
        <w:t>per-member</w:t>
      </w:r>
      <w:r>
        <w:rPr>
          <w:spacing w:val="-3"/>
          <w:sz w:val="24"/>
        </w:rPr>
        <w:t xml:space="preserve"> </w:t>
      </w:r>
      <w:r>
        <w:rPr>
          <w:sz w:val="24"/>
        </w:rPr>
        <w:t>per-year</w:t>
      </w:r>
      <w:r>
        <w:rPr>
          <w:spacing w:val="-1"/>
          <w:sz w:val="24"/>
        </w:rPr>
        <w:t xml:space="preserve"> </w:t>
      </w:r>
      <w:r>
        <w:rPr>
          <w:sz w:val="24"/>
        </w:rPr>
        <w:t>(PMPY)</w:t>
      </w:r>
      <w:r>
        <w:rPr>
          <w:spacing w:val="1"/>
          <w:sz w:val="24"/>
        </w:rPr>
        <w:t xml:space="preserve"> </w:t>
      </w:r>
      <w:r>
        <w:rPr>
          <w:spacing w:val="-5"/>
          <w:sz w:val="24"/>
        </w:rPr>
        <w:t>or</w:t>
      </w:r>
    </w:p>
    <w:p>
      <w:pPr>
        <w:pStyle w:val="BodyText"/>
        <w:spacing w:before="1" w:line="235" w:lineRule="auto"/>
        <w:ind w:left="1664" w:right="478"/>
      </w:pPr>
      <w:r>
        <w:t>$TBD</w:t>
      </w:r>
      <w:r>
        <w:rPr>
          <w:spacing w:val="-3"/>
        </w:rPr>
        <w:t xml:space="preserve"> </w:t>
      </w:r>
      <w:r>
        <w:t>(PMPM)</w:t>
      </w:r>
      <w:r>
        <w:rPr>
          <w:spacing w:val="-3"/>
        </w:rPr>
        <w:t xml:space="preserve"> </w:t>
      </w:r>
      <w:r>
        <w:t>on</w:t>
      </w:r>
      <w:r>
        <w:rPr>
          <w:spacing w:val="-3"/>
        </w:rPr>
        <w:t xml:space="preserve"> </w:t>
      </w:r>
      <w:r>
        <w:t>a</w:t>
      </w:r>
      <w:r>
        <w:rPr>
          <w:spacing w:val="-5"/>
        </w:rPr>
        <w:t xml:space="preserve"> </w:t>
      </w:r>
      <w:r>
        <w:t>national</w:t>
      </w:r>
      <w:r>
        <w:rPr>
          <w:spacing w:val="-3"/>
        </w:rPr>
        <w:t xml:space="preserve"> </w:t>
      </w:r>
      <w:r>
        <w:t>basis</w:t>
      </w:r>
      <w:r>
        <w:rPr>
          <w:spacing w:val="-4"/>
        </w:rPr>
        <w:t xml:space="preserve"> </w:t>
      </w:r>
      <w:r>
        <w:t>for</w:t>
      </w:r>
      <w:r>
        <w:rPr>
          <w:spacing w:val="-4"/>
        </w:rPr>
        <w:t xml:space="preserve"> </w:t>
      </w:r>
      <w:r>
        <w:t>CY2026.</w:t>
      </w:r>
      <w:r>
        <w:rPr>
          <w:spacing w:val="-3"/>
        </w:rPr>
        <w:t xml:space="preserve"> </w:t>
      </w:r>
      <w:r>
        <w:t>The</w:t>
      </w:r>
      <w:r>
        <w:rPr>
          <w:spacing w:val="-4"/>
        </w:rPr>
        <w:t xml:space="preserve"> </w:t>
      </w:r>
      <w:r>
        <w:t>COB</w:t>
      </w:r>
      <w:r>
        <w:rPr>
          <w:spacing w:val="-3"/>
        </w:rPr>
        <w:t xml:space="preserve"> </w:t>
      </w:r>
      <w:r>
        <w:t>user</w:t>
      </w:r>
      <w:r>
        <w:rPr>
          <w:spacing w:val="-5"/>
        </w:rPr>
        <w:t xml:space="preserve"> </w:t>
      </w:r>
      <w:r>
        <w:t>fee</w:t>
      </w:r>
      <w:r>
        <w:rPr>
          <w:spacing w:val="-4"/>
        </w:rPr>
        <w:t xml:space="preserve"> </w:t>
      </w:r>
      <w:r>
        <w:t>will</w:t>
      </w:r>
      <w:r>
        <w:rPr>
          <w:spacing w:val="-3"/>
        </w:rPr>
        <w:t xml:space="preserve"> </w:t>
      </w:r>
      <w:r>
        <w:t>be collected at a monthly rate of $TBD PMPM for the first 9 months of the coverage year.</w:t>
      </w:r>
    </w:p>
    <w:p>
      <w:pPr>
        <w:pStyle w:val="ListParagraph"/>
        <w:numPr>
          <w:ilvl w:val="2"/>
          <w:numId w:val="13"/>
        </w:numPr>
        <w:tabs>
          <w:tab w:val="left" w:pos="1664"/>
        </w:tabs>
        <w:spacing w:before="38" w:after="0" w:line="235" w:lineRule="auto"/>
        <w:ind w:left="1664" w:right="507" w:hanging="360"/>
        <w:jc w:val="left"/>
        <w:rPr>
          <w:sz w:val="24"/>
        </w:rPr>
      </w:pPr>
      <w:r>
        <w:rPr>
          <w:sz w:val="24"/>
        </w:rPr>
        <w:t>Part D National Medicare Education Campaign (NMEC) user fees. CMS collects NMEC user fees based on a percentage of revenue; however, the BPT entry is a PMPM equivalent value consistent with the calculation of other BPT values.</w:t>
      </w:r>
      <w:r>
        <w:rPr>
          <w:spacing w:val="-4"/>
          <w:sz w:val="24"/>
        </w:rPr>
        <w:t xml:space="preserve"> </w:t>
      </w:r>
      <w:r>
        <w:rPr>
          <w:sz w:val="24"/>
        </w:rPr>
        <w:t>Part</w:t>
      </w:r>
      <w:r>
        <w:rPr>
          <w:spacing w:val="-3"/>
          <w:sz w:val="24"/>
        </w:rPr>
        <w:t xml:space="preserve"> </w:t>
      </w:r>
      <w:r>
        <w:rPr>
          <w:sz w:val="24"/>
        </w:rPr>
        <w:t>D</w:t>
      </w:r>
      <w:r>
        <w:rPr>
          <w:spacing w:val="-4"/>
          <w:sz w:val="24"/>
        </w:rPr>
        <w:t xml:space="preserve"> </w:t>
      </w:r>
      <w:r>
        <w:rPr>
          <w:sz w:val="24"/>
        </w:rPr>
        <w:t>sponsors</w:t>
      </w:r>
      <w:r>
        <w:rPr>
          <w:spacing w:val="-1"/>
          <w:sz w:val="24"/>
        </w:rPr>
        <w:t xml:space="preserve"> </w:t>
      </w:r>
      <w:r>
        <w:rPr>
          <w:sz w:val="24"/>
        </w:rPr>
        <w:t>may</w:t>
      </w:r>
      <w:r>
        <w:rPr>
          <w:spacing w:val="-3"/>
          <w:sz w:val="24"/>
        </w:rPr>
        <w:t xml:space="preserve"> </w:t>
      </w:r>
      <w:r>
        <w:rPr>
          <w:sz w:val="24"/>
        </w:rPr>
        <w:t>use</w:t>
      </w:r>
      <w:r>
        <w:rPr>
          <w:spacing w:val="-5"/>
          <w:sz w:val="24"/>
        </w:rPr>
        <w:t xml:space="preserve"> </w:t>
      </w:r>
      <w:r>
        <w:rPr>
          <w:sz w:val="24"/>
        </w:rPr>
        <w:t>the</w:t>
      </w:r>
      <w:r>
        <w:rPr>
          <w:spacing w:val="-3"/>
          <w:sz w:val="24"/>
        </w:rPr>
        <w:t xml:space="preserve"> </w:t>
      </w:r>
      <w:r>
        <w:rPr>
          <w:sz w:val="24"/>
        </w:rPr>
        <w:t>CMS</w:t>
      </w:r>
      <w:r>
        <w:rPr>
          <w:spacing w:val="-2"/>
          <w:sz w:val="24"/>
        </w:rPr>
        <w:t xml:space="preserve"> </w:t>
      </w:r>
      <w:r>
        <w:rPr>
          <w:sz w:val="24"/>
        </w:rPr>
        <w:t>estimate,</w:t>
      </w:r>
      <w:r>
        <w:rPr>
          <w:spacing w:val="-3"/>
          <w:sz w:val="24"/>
        </w:rPr>
        <w:t xml:space="preserve"> </w:t>
      </w:r>
      <w:r>
        <w:rPr>
          <w:sz w:val="24"/>
        </w:rPr>
        <w:t>which</w:t>
      </w:r>
      <w:r>
        <w:rPr>
          <w:spacing w:val="-4"/>
          <w:sz w:val="24"/>
        </w:rPr>
        <w:t xml:space="preserve"> </w:t>
      </w:r>
      <w:r>
        <w:rPr>
          <w:sz w:val="24"/>
        </w:rPr>
        <w:t>is</w:t>
      </w:r>
      <w:r>
        <w:rPr>
          <w:spacing w:val="-3"/>
          <w:sz w:val="24"/>
        </w:rPr>
        <w:t xml:space="preserve"> </w:t>
      </w:r>
      <w:r>
        <w:rPr>
          <w:sz w:val="24"/>
        </w:rPr>
        <w:t>the</w:t>
      </w:r>
      <w:r>
        <w:rPr>
          <w:spacing w:val="-3"/>
          <w:sz w:val="24"/>
        </w:rPr>
        <w:t xml:space="preserve"> </w:t>
      </w:r>
      <w:r>
        <w:rPr>
          <w:sz w:val="24"/>
        </w:rPr>
        <w:t>monthly</w:t>
      </w:r>
      <w:r>
        <w:rPr>
          <w:spacing w:val="-3"/>
          <w:sz w:val="24"/>
        </w:rPr>
        <w:t xml:space="preserve"> </w:t>
      </w:r>
      <w:r>
        <w:rPr>
          <w:sz w:val="24"/>
        </w:rPr>
        <w:t>rate</w:t>
      </w:r>
      <w:r>
        <w:rPr>
          <w:spacing w:val="-3"/>
          <w:sz w:val="24"/>
        </w:rPr>
        <w:t xml:space="preserve"> </w:t>
      </w:r>
      <w:r>
        <w:rPr>
          <w:sz w:val="24"/>
        </w:rPr>
        <w:t>of</w:t>
      </w:r>
    </w:p>
    <w:p>
      <w:pPr>
        <w:spacing w:after="0" w:line="235" w:lineRule="auto"/>
        <w:jc w:val="left"/>
        <w:rPr>
          <w:sz w:val="24"/>
        </w:rPr>
        <w:sectPr>
          <w:pgSz w:w="12240" w:h="15840"/>
          <w:pgMar w:top="1340" w:right="1000" w:bottom="940" w:left="1360" w:header="727" w:footer="747"/>
          <w:cols w:space="720"/>
        </w:sectPr>
      </w:pPr>
    </w:p>
    <w:p>
      <w:pPr>
        <w:pStyle w:val="BodyText"/>
        <w:spacing w:before="89" w:line="232" w:lineRule="auto"/>
        <w:ind w:left="1664" w:right="425"/>
      </w:pPr>
      <w:r>
        <w:t>$TBD</w:t>
      </w:r>
      <w:r>
        <w:rPr>
          <w:spacing w:val="-4"/>
        </w:rPr>
        <w:t xml:space="preserve"> </w:t>
      </w:r>
      <w:r>
        <w:t>PMPM</w:t>
      </w:r>
      <w:r>
        <w:rPr>
          <w:spacing w:val="-3"/>
        </w:rPr>
        <w:t xml:space="preserve"> </w:t>
      </w:r>
      <w:r>
        <w:t>on</w:t>
      </w:r>
      <w:r>
        <w:rPr>
          <w:spacing w:val="-4"/>
        </w:rPr>
        <w:t xml:space="preserve"> </w:t>
      </w:r>
      <w:r>
        <w:t>a</w:t>
      </w:r>
      <w:r>
        <w:rPr>
          <w:spacing w:val="-4"/>
        </w:rPr>
        <w:t xml:space="preserve"> </w:t>
      </w:r>
      <w:r>
        <w:t>national</w:t>
      </w:r>
      <w:r>
        <w:rPr>
          <w:spacing w:val="-4"/>
        </w:rPr>
        <w:t xml:space="preserve"> </w:t>
      </w:r>
      <w:r>
        <w:t>basis</w:t>
      </w:r>
      <w:r>
        <w:rPr>
          <w:spacing w:val="-4"/>
        </w:rPr>
        <w:t xml:space="preserve"> </w:t>
      </w:r>
      <w:r>
        <w:t>for</w:t>
      </w:r>
      <w:r>
        <w:rPr>
          <w:spacing w:val="-4"/>
        </w:rPr>
        <w:t xml:space="preserve"> </w:t>
      </w:r>
      <w:r>
        <w:t>CY2026</w:t>
      </w:r>
      <w:r>
        <w:rPr>
          <w:spacing w:val="-4"/>
        </w:rPr>
        <w:t xml:space="preserve"> </w:t>
      </w:r>
      <w:r>
        <w:t>or</w:t>
      </w:r>
      <w:r>
        <w:rPr>
          <w:spacing w:val="-3"/>
        </w:rPr>
        <w:t xml:space="preserve"> </w:t>
      </w:r>
      <w:r>
        <w:t>develop</w:t>
      </w:r>
      <w:r>
        <w:rPr>
          <w:spacing w:val="-4"/>
        </w:rPr>
        <w:t xml:space="preserve"> </w:t>
      </w:r>
      <w:r>
        <w:t>an</w:t>
      </w:r>
      <w:r>
        <w:rPr>
          <w:spacing w:val="-4"/>
        </w:rPr>
        <w:t xml:space="preserve"> </w:t>
      </w:r>
      <w:r>
        <w:t>alternative</w:t>
      </w:r>
      <w:r>
        <w:rPr>
          <w:spacing w:val="-4"/>
        </w:rPr>
        <w:t xml:space="preserve"> </w:t>
      </w:r>
      <w:r>
        <w:t>estimate that is consistently applied to all plans in the contract—for example, the Part D sponsor’s historical amount relative to the CMS annual national estimate.</w:t>
      </w:r>
    </w:p>
    <w:p>
      <w:pPr>
        <w:pStyle w:val="ListParagraph"/>
        <w:numPr>
          <w:ilvl w:val="2"/>
          <w:numId w:val="13"/>
        </w:numPr>
        <w:tabs>
          <w:tab w:val="left" w:pos="1664"/>
        </w:tabs>
        <w:spacing w:before="37" w:after="0" w:line="240" w:lineRule="auto"/>
        <w:ind w:left="1664" w:right="0" w:hanging="360"/>
        <w:jc w:val="left"/>
        <w:rPr>
          <w:sz w:val="24"/>
        </w:rPr>
      </w:pPr>
      <w:r>
        <w:rPr>
          <w:sz w:val="24"/>
        </w:rPr>
        <w:t>Uncollected</w:t>
      </w:r>
      <w:r>
        <w:rPr>
          <w:spacing w:val="-3"/>
          <w:sz w:val="24"/>
        </w:rPr>
        <w:t xml:space="preserve"> </w:t>
      </w:r>
      <w:r>
        <w:rPr>
          <w:sz w:val="24"/>
        </w:rPr>
        <w:t>enrollee</w:t>
      </w:r>
      <w:r>
        <w:rPr>
          <w:spacing w:val="-3"/>
          <w:sz w:val="24"/>
        </w:rPr>
        <w:t xml:space="preserve"> </w:t>
      </w:r>
      <w:r>
        <w:rPr>
          <w:spacing w:val="-2"/>
          <w:sz w:val="24"/>
        </w:rPr>
        <w:t>premium.</w:t>
      </w:r>
    </w:p>
    <w:p>
      <w:pPr>
        <w:pStyle w:val="ListParagraph"/>
        <w:numPr>
          <w:ilvl w:val="2"/>
          <w:numId w:val="13"/>
        </w:numPr>
        <w:tabs>
          <w:tab w:val="left" w:pos="1664"/>
        </w:tabs>
        <w:spacing w:before="43" w:after="0" w:line="232" w:lineRule="auto"/>
        <w:ind w:left="1664" w:right="1121" w:hanging="360"/>
        <w:jc w:val="left"/>
        <w:rPr>
          <w:sz w:val="24"/>
        </w:rPr>
      </w:pPr>
      <w:r>
        <w:rPr>
          <w:sz w:val="24"/>
        </w:rPr>
        <w:t>Uncollected</w:t>
      </w:r>
      <w:r>
        <w:rPr>
          <w:spacing w:val="-4"/>
          <w:sz w:val="24"/>
        </w:rPr>
        <w:t xml:space="preserve"> </w:t>
      </w:r>
      <w:r>
        <w:rPr>
          <w:sz w:val="24"/>
        </w:rPr>
        <w:t>cost</w:t>
      </w:r>
      <w:r>
        <w:rPr>
          <w:spacing w:val="-5"/>
          <w:sz w:val="24"/>
        </w:rPr>
        <w:t xml:space="preserve"> </w:t>
      </w:r>
      <w:r>
        <w:rPr>
          <w:sz w:val="24"/>
        </w:rPr>
        <w:t>sharing,</w:t>
      </w:r>
      <w:r>
        <w:rPr>
          <w:spacing w:val="-4"/>
          <w:sz w:val="24"/>
        </w:rPr>
        <w:t xml:space="preserve"> </w:t>
      </w:r>
      <w:r>
        <w:rPr>
          <w:sz w:val="24"/>
        </w:rPr>
        <w:t>which</w:t>
      </w:r>
      <w:r>
        <w:rPr>
          <w:spacing w:val="-5"/>
          <w:sz w:val="24"/>
        </w:rPr>
        <w:t xml:space="preserve"> </w:t>
      </w:r>
      <w:r>
        <w:rPr>
          <w:sz w:val="24"/>
        </w:rPr>
        <w:t>includes</w:t>
      </w:r>
      <w:r>
        <w:rPr>
          <w:spacing w:val="-6"/>
          <w:sz w:val="24"/>
        </w:rPr>
        <w:t xml:space="preserve"> </w:t>
      </w:r>
      <w:r>
        <w:rPr>
          <w:sz w:val="24"/>
        </w:rPr>
        <w:t>plan</w:t>
      </w:r>
      <w:r>
        <w:rPr>
          <w:spacing w:val="-5"/>
          <w:sz w:val="24"/>
        </w:rPr>
        <w:t xml:space="preserve"> </w:t>
      </w:r>
      <w:r>
        <w:rPr>
          <w:sz w:val="24"/>
        </w:rPr>
        <w:t>liability</w:t>
      </w:r>
      <w:r>
        <w:rPr>
          <w:spacing w:val="-5"/>
          <w:sz w:val="24"/>
        </w:rPr>
        <w:t xml:space="preserve"> </w:t>
      </w:r>
      <w:r>
        <w:rPr>
          <w:sz w:val="24"/>
        </w:rPr>
        <w:t>resulting</w:t>
      </w:r>
      <w:r>
        <w:rPr>
          <w:spacing w:val="-5"/>
          <w:sz w:val="24"/>
        </w:rPr>
        <w:t xml:space="preserve"> </w:t>
      </w:r>
      <w:r>
        <w:rPr>
          <w:sz w:val="24"/>
        </w:rPr>
        <w:t>from</w:t>
      </w:r>
      <w:r>
        <w:rPr>
          <w:spacing w:val="-5"/>
          <w:sz w:val="24"/>
        </w:rPr>
        <w:t xml:space="preserve"> </w:t>
      </w:r>
      <w:r>
        <w:rPr>
          <w:sz w:val="24"/>
        </w:rPr>
        <w:t>cost sharing not recovered in state-to-plan or plan-to-plan transactions.</w:t>
      </w:r>
    </w:p>
    <w:p>
      <w:pPr>
        <w:pStyle w:val="ListParagraph"/>
        <w:numPr>
          <w:ilvl w:val="2"/>
          <w:numId w:val="13"/>
        </w:numPr>
        <w:tabs>
          <w:tab w:val="left" w:pos="1664"/>
        </w:tabs>
        <w:spacing w:before="36" w:after="0" w:line="240" w:lineRule="auto"/>
        <w:ind w:left="1664" w:right="0" w:hanging="360"/>
        <w:jc w:val="left"/>
        <w:rPr>
          <w:sz w:val="24"/>
        </w:rPr>
      </w:pPr>
      <w:r>
        <w:rPr>
          <w:sz w:val="24"/>
        </w:rPr>
        <w:t>Medication</w:t>
      </w:r>
      <w:r>
        <w:rPr>
          <w:spacing w:val="-2"/>
          <w:sz w:val="24"/>
        </w:rPr>
        <w:t xml:space="preserve"> </w:t>
      </w:r>
      <w:r>
        <w:rPr>
          <w:sz w:val="24"/>
        </w:rPr>
        <w:t>therapy</w:t>
      </w:r>
      <w:r>
        <w:rPr>
          <w:spacing w:val="-2"/>
          <w:sz w:val="24"/>
        </w:rPr>
        <w:t xml:space="preserve"> </w:t>
      </w:r>
      <w:r>
        <w:rPr>
          <w:sz w:val="24"/>
        </w:rPr>
        <w:t>management</w:t>
      </w:r>
      <w:r>
        <w:rPr>
          <w:spacing w:val="-1"/>
          <w:sz w:val="24"/>
        </w:rPr>
        <w:t xml:space="preserve"> </w:t>
      </w:r>
      <w:r>
        <w:rPr>
          <w:spacing w:val="-2"/>
          <w:sz w:val="24"/>
        </w:rPr>
        <w:t>programs.</w:t>
      </w:r>
    </w:p>
    <w:p>
      <w:pPr>
        <w:pStyle w:val="ListParagraph"/>
        <w:numPr>
          <w:ilvl w:val="2"/>
          <w:numId w:val="13"/>
        </w:numPr>
        <w:tabs>
          <w:tab w:val="left" w:pos="1664"/>
        </w:tabs>
        <w:spacing w:before="43" w:after="0" w:line="232" w:lineRule="auto"/>
        <w:ind w:left="1664" w:right="1604" w:hanging="360"/>
        <w:jc w:val="left"/>
        <w:rPr>
          <w:sz w:val="24"/>
        </w:rPr>
      </w:pPr>
      <w:r>
        <w:rPr>
          <w:sz w:val="24"/>
        </w:rPr>
        <w:t>Disease</w:t>
      </w:r>
      <w:r>
        <w:rPr>
          <w:spacing w:val="-6"/>
          <w:sz w:val="24"/>
        </w:rPr>
        <w:t xml:space="preserve"> </w:t>
      </w:r>
      <w:r>
        <w:rPr>
          <w:sz w:val="24"/>
        </w:rPr>
        <w:t>management</w:t>
      </w:r>
      <w:r>
        <w:rPr>
          <w:spacing w:val="-5"/>
          <w:sz w:val="24"/>
        </w:rPr>
        <w:t xml:space="preserve"> </w:t>
      </w:r>
      <w:r>
        <w:rPr>
          <w:sz w:val="24"/>
        </w:rPr>
        <w:t>functions</w:t>
      </w:r>
      <w:r>
        <w:rPr>
          <w:spacing w:val="-6"/>
          <w:sz w:val="24"/>
        </w:rPr>
        <w:t xml:space="preserve"> </w:t>
      </w:r>
      <w:r>
        <w:rPr>
          <w:sz w:val="24"/>
        </w:rPr>
        <w:t>such</w:t>
      </w:r>
      <w:r>
        <w:rPr>
          <w:spacing w:val="-5"/>
          <w:sz w:val="24"/>
        </w:rPr>
        <w:t xml:space="preserve"> </w:t>
      </w:r>
      <w:r>
        <w:rPr>
          <w:sz w:val="24"/>
        </w:rPr>
        <w:t>as</w:t>
      </w:r>
      <w:r>
        <w:rPr>
          <w:spacing w:val="-6"/>
          <w:sz w:val="24"/>
        </w:rPr>
        <w:t xml:space="preserve"> </w:t>
      </w:r>
      <w:r>
        <w:rPr>
          <w:sz w:val="24"/>
        </w:rPr>
        <w:t>patient</w:t>
      </w:r>
      <w:r>
        <w:rPr>
          <w:spacing w:val="-5"/>
          <w:sz w:val="24"/>
        </w:rPr>
        <w:t xml:space="preserve"> </w:t>
      </w:r>
      <w:r>
        <w:rPr>
          <w:sz w:val="24"/>
        </w:rPr>
        <w:t>education</w:t>
      </w:r>
      <w:r>
        <w:rPr>
          <w:spacing w:val="-5"/>
          <w:sz w:val="24"/>
        </w:rPr>
        <w:t xml:space="preserve"> </w:t>
      </w:r>
      <w:r>
        <w:rPr>
          <w:sz w:val="24"/>
        </w:rPr>
        <w:t>and</w:t>
      </w:r>
      <w:r>
        <w:rPr>
          <w:spacing w:val="-5"/>
          <w:sz w:val="24"/>
        </w:rPr>
        <w:t xml:space="preserve"> </w:t>
      </w:r>
      <w:r>
        <w:rPr>
          <w:sz w:val="24"/>
        </w:rPr>
        <w:t xml:space="preserve">disease </w:t>
      </w:r>
      <w:r>
        <w:rPr>
          <w:spacing w:val="-2"/>
          <w:sz w:val="24"/>
        </w:rPr>
        <w:t>monitoring.</w:t>
      </w:r>
    </w:p>
    <w:p>
      <w:pPr>
        <w:pStyle w:val="ListParagraph"/>
        <w:numPr>
          <w:ilvl w:val="2"/>
          <w:numId w:val="13"/>
        </w:numPr>
        <w:tabs>
          <w:tab w:val="left" w:pos="1664"/>
        </w:tabs>
        <w:spacing w:before="36" w:after="0" w:line="240" w:lineRule="auto"/>
        <w:ind w:left="1664" w:right="0" w:hanging="360"/>
        <w:jc w:val="left"/>
        <w:rPr>
          <w:sz w:val="24"/>
        </w:rPr>
      </w:pPr>
      <w:r>
        <w:rPr>
          <w:sz w:val="24"/>
        </w:rPr>
        <w:t>Over-the-counter</w:t>
      </w:r>
      <w:r>
        <w:rPr>
          <w:spacing w:val="-4"/>
          <w:sz w:val="24"/>
        </w:rPr>
        <w:t xml:space="preserve"> </w:t>
      </w:r>
      <w:r>
        <w:rPr>
          <w:spacing w:val="-2"/>
          <w:sz w:val="24"/>
        </w:rPr>
        <w:t>drugs.</w:t>
      </w:r>
    </w:p>
    <w:p>
      <w:pPr>
        <w:pStyle w:val="ListParagraph"/>
        <w:numPr>
          <w:ilvl w:val="0"/>
          <w:numId w:val="13"/>
        </w:numPr>
        <w:tabs>
          <w:tab w:val="left" w:pos="944"/>
        </w:tabs>
        <w:spacing w:before="41" w:after="0" w:line="240" w:lineRule="auto"/>
        <w:ind w:left="944" w:right="0" w:hanging="360"/>
        <w:jc w:val="left"/>
        <w:rPr>
          <w:sz w:val="24"/>
        </w:rPr>
      </w:pPr>
      <w:r>
        <w:rPr>
          <w:sz w:val="24"/>
        </w:rPr>
        <w:t>Indirect</w:t>
      </w:r>
      <w:r>
        <w:rPr>
          <w:spacing w:val="-5"/>
          <w:sz w:val="24"/>
        </w:rPr>
        <w:t xml:space="preserve"> </w:t>
      </w:r>
      <w:r>
        <w:rPr>
          <w:spacing w:val="-2"/>
          <w:sz w:val="24"/>
        </w:rPr>
        <w:t>Administration</w:t>
      </w:r>
    </w:p>
    <w:p>
      <w:pPr>
        <w:pStyle w:val="ListParagraph"/>
        <w:numPr>
          <w:ilvl w:val="1"/>
          <w:numId w:val="13"/>
        </w:numPr>
        <w:tabs>
          <w:tab w:val="left" w:pos="1304"/>
        </w:tabs>
        <w:spacing w:before="41" w:after="0" w:line="240" w:lineRule="auto"/>
        <w:ind w:left="1304" w:right="1436" w:hanging="360"/>
        <w:jc w:val="left"/>
        <w:rPr>
          <w:sz w:val="24"/>
        </w:rPr>
      </w:pPr>
      <w:r>
        <w:rPr>
          <w:sz w:val="24"/>
        </w:rPr>
        <w:t>Examples</w:t>
      </w:r>
      <w:r>
        <w:rPr>
          <w:spacing w:val="-4"/>
          <w:sz w:val="24"/>
        </w:rPr>
        <w:t xml:space="preserve"> </w:t>
      </w:r>
      <w:r>
        <w:rPr>
          <w:sz w:val="24"/>
        </w:rPr>
        <w:t>include,</w:t>
      </w:r>
      <w:r>
        <w:rPr>
          <w:spacing w:val="-4"/>
          <w:sz w:val="24"/>
        </w:rPr>
        <w:t xml:space="preserve"> </w:t>
      </w:r>
      <w:r>
        <w:rPr>
          <w:sz w:val="24"/>
        </w:rPr>
        <w:t>but</w:t>
      </w:r>
      <w:r>
        <w:rPr>
          <w:spacing w:val="-4"/>
          <w:sz w:val="24"/>
        </w:rPr>
        <w:t xml:space="preserve"> </w:t>
      </w:r>
      <w:r>
        <w:rPr>
          <w:sz w:val="24"/>
        </w:rPr>
        <w:t>are</w:t>
      </w:r>
      <w:r>
        <w:rPr>
          <w:spacing w:val="-5"/>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2"/>
          <w:sz w:val="24"/>
        </w:rPr>
        <w:t xml:space="preserve"> </w:t>
      </w:r>
      <w:r>
        <w:rPr>
          <w:sz w:val="24"/>
        </w:rPr>
        <w:t>functions</w:t>
      </w:r>
      <w:r>
        <w:rPr>
          <w:spacing w:val="-4"/>
          <w:sz w:val="24"/>
        </w:rPr>
        <w:t xml:space="preserve"> </w:t>
      </w:r>
      <w:r>
        <w:rPr>
          <w:sz w:val="24"/>
        </w:rPr>
        <w:t>that</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considered “corporate services,” such as—</w:t>
      </w:r>
    </w:p>
    <w:p>
      <w:pPr>
        <w:pStyle w:val="ListParagraph"/>
        <w:numPr>
          <w:ilvl w:val="2"/>
          <w:numId w:val="13"/>
        </w:numPr>
        <w:tabs>
          <w:tab w:val="left" w:pos="1664"/>
        </w:tabs>
        <w:spacing w:before="32" w:after="0" w:line="240" w:lineRule="auto"/>
        <w:ind w:left="1664" w:right="0" w:hanging="360"/>
        <w:jc w:val="left"/>
        <w:rPr>
          <w:sz w:val="24"/>
        </w:rPr>
      </w:pPr>
      <w:r>
        <w:rPr>
          <w:sz w:val="24"/>
        </w:rPr>
        <w:t>The</w:t>
      </w:r>
      <w:r>
        <w:rPr>
          <w:spacing w:val="-2"/>
          <w:sz w:val="24"/>
        </w:rPr>
        <w:t xml:space="preserve"> </w:t>
      </w:r>
      <w:r>
        <w:rPr>
          <w:sz w:val="24"/>
        </w:rPr>
        <w:t xml:space="preserve">position of </w:t>
      </w:r>
      <w:r>
        <w:rPr>
          <w:spacing w:val="-4"/>
          <w:sz w:val="24"/>
        </w:rPr>
        <w:t>CEO.</w:t>
      </w:r>
    </w:p>
    <w:p>
      <w:pPr>
        <w:pStyle w:val="ListParagraph"/>
        <w:numPr>
          <w:ilvl w:val="2"/>
          <w:numId w:val="13"/>
        </w:numPr>
        <w:tabs>
          <w:tab w:val="left" w:pos="1664"/>
        </w:tabs>
        <w:spacing w:before="33" w:after="0" w:line="240" w:lineRule="auto"/>
        <w:ind w:left="1664" w:right="0" w:hanging="360"/>
        <w:jc w:val="left"/>
        <w:rPr>
          <w:sz w:val="24"/>
        </w:rPr>
      </w:pPr>
      <w:r>
        <w:rPr>
          <w:sz w:val="24"/>
        </w:rPr>
        <w:t>Accounting</w:t>
      </w:r>
      <w:r>
        <w:rPr>
          <w:spacing w:val="-3"/>
          <w:sz w:val="24"/>
        </w:rPr>
        <w:t xml:space="preserve"> </w:t>
      </w:r>
      <w:r>
        <w:rPr>
          <w:spacing w:val="-2"/>
          <w:sz w:val="24"/>
        </w:rPr>
        <w:t>operations.</w:t>
      </w:r>
    </w:p>
    <w:p>
      <w:pPr>
        <w:pStyle w:val="ListParagraph"/>
        <w:numPr>
          <w:ilvl w:val="2"/>
          <w:numId w:val="13"/>
        </w:numPr>
        <w:tabs>
          <w:tab w:val="left" w:pos="1664"/>
        </w:tabs>
        <w:spacing w:before="36" w:after="0" w:line="240" w:lineRule="auto"/>
        <w:ind w:left="1664" w:right="0" w:hanging="360"/>
        <w:jc w:val="left"/>
        <w:rPr>
          <w:sz w:val="24"/>
        </w:rPr>
      </w:pPr>
      <w:r>
        <w:rPr>
          <w:sz w:val="24"/>
        </w:rPr>
        <w:t>Actuarial</w:t>
      </w:r>
      <w:r>
        <w:rPr>
          <w:spacing w:val="-4"/>
          <w:sz w:val="24"/>
        </w:rPr>
        <w:t xml:space="preserve"> </w:t>
      </w:r>
      <w:r>
        <w:rPr>
          <w:spacing w:val="-2"/>
          <w:sz w:val="24"/>
        </w:rPr>
        <w:t>services.</w:t>
      </w:r>
    </w:p>
    <w:p>
      <w:pPr>
        <w:pStyle w:val="ListParagraph"/>
        <w:numPr>
          <w:ilvl w:val="2"/>
          <w:numId w:val="13"/>
        </w:numPr>
        <w:tabs>
          <w:tab w:val="left" w:pos="1664"/>
        </w:tabs>
        <w:spacing w:before="34" w:after="0" w:line="240" w:lineRule="auto"/>
        <w:ind w:left="1664" w:right="0" w:hanging="360"/>
        <w:jc w:val="left"/>
        <w:rPr>
          <w:sz w:val="24"/>
        </w:rPr>
      </w:pPr>
      <w:r>
        <w:rPr>
          <w:sz w:val="24"/>
        </w:rPr>
        <w:t>Legal</w:t>
      </w:r>
      <w:r>
        <w:rPr>
          <w:spacing w:val="-3"/>
          <w:sz w:val="24"/>
        </w:rPr>
        <w:t xml:space="preserve"> </w:t>
      </w:r>
      <w:r>
        <w:rPr>
          <w:spacing w:val="-2"/>
          <w:sz w:val="24"/>
        </w:rPr>
        <w:t>services.</w:t>
      </w:r>
    </w:p>
    <w:p>
      <w:pPr>
        <w:pStyle w:val="ListParagraph"/>
        <w:numPr>
          <w:ilvl w:val="2"/>
          <w:numId w:val="13"/>
        </w:numPr>
        <w:tabs>
          <w:tab w:val="left" w:pos="1664"/>
        </w:tabs>
        <w:spacing w:before="33" w:after="0" w:line="240" w:lineRule="auto"/>
        <w:ind w:left="1664" w:right="0" w:hanging="360"/>
        <w:jc w:val="left"/>
        <w:rPr>
          <w:sz w:val="24"/>
        </w:rPr>
      </w:pPr>
      <w:r>
        <w:rPr>
          <w:sz w:val="24"/>
        </w:rPr>
        <w:t>Human</w:t>
      </w:r>
      <w:r>
        <w:rPr>
          <w:spacing w:val="-2"/>
          <w:sz w:val="24"/>
        </w:rPr>
        <w:t xml:space="preserve"> resources.</w:t>
      </w:r>
    </w:p>
    <w:p>
      <w:pPr>
        <w:pStyle w:val="ListParagraph"/>
        <w:numPr>
          <w:ilvl w:val="0"/>
          <w:numId w:val="13"/>
        </w:numPr>
        <w:tabs>
          <w:tab w:val="left" w:pos="944"/>
        </w:tabs>
        <w:spacing w:before="41" w:after="0" w:line="240" w:lineRule="auto"/>
        <w:ind w:left="944" w:right="906" w:hanging="360"/>
        <w:jc w:val="left"/>
        <w:rPr>
          <w:sz w:val="24"/>
        </w:rPr>
      </w:pPr>
      <w:r>
        <w:rPr>
          <w:sz w:val="24"/>
        </w:rPr>
        <w:t>Net Cost of Private Reinsurance (that is, reinsurance premium less projected reinsurance</w:t>
      </w:r>
      <w:r>
        <w:rPr>
          <w:spacing w:val="-5"/>
          <w:sz w:val="24"/>
        </w:rPr>
        <w:t xml:space="preserve"> </w:t>
      </w:r>
      <w:r>
        <w:rPr>
          <w:sz w:val="24"/>
        </w:rPr>
        <w:t>recoveries;</w:t>
      </w:r>
      <w:r>
        <w:rPr>
          <w:spacing w:val="-4"/>
          <w:sz w:val="24"/>
        </w:rPr>
        <w:t xml:space="preserve"> </w:t>
      </w:r>
      <w:r>
        <w:rPr>
          <w:sz w:val="24"/>
        </w:rPr>
        <w:t>however,</w:t>
      </w:r>
      <w:r>
        <w:rPr>
          <w:spacing w:val="-3"/>
          <w:sz w:val="24"/>
        </w:rPr>
        <w:t xml:space="preserve"> </w:t>
      </w:r>
      <w:r>
        <w:rPr>
          <w:sz w:val="24"/>
        </w:rPr>
        <w:t>for</w:t>
      </w:r>
      <w:r>
        <w:rPr>
          <w:spacing w:val="-6"/>
          <w:sz w:val="24"/>
        </w:rPr>
        <w:t xml:space="preserve"> </w:t>
      </w:r>
      <w:r>
        <w:rPr>
          <w:sz w:val="24"/>
        </w:rPr>
        <w:t>quota</w:t>
      </w:r>
      <w:r>
        <w:rPr>
          <w:spacing w:val="-4"/>
          <w:sz w:val="24"/>
        </w:rPr>
        <w:t xml:space="preserve"> </w:t>
      </w:r>
      <w:r>
        <w:rPr>
          <w:sz w:val="24"/>
        </w:rPr>
        <w:t>share</w:t>
      </w:r>
      <w:r>
        <w:rPr>
          <w:spacing w:val="-6"/>
          <w:sz w:val="24"/>
        </w:rPr>
        <w:t xml:space="preserve"> </w:t>
      </w:r>
      <w:r>
        <w:rPr>
          <w:sz w:val="24"/>
        </w:rPr>
        <w:t>reinsurance,</w:t>
      </w:r>
      <w:r>
        <w:rPr>
          <w:spacing w:val="-4"/>
          <w:sz w:val="24"/>
        </w:rPr>
        <w:t xml:space="preserve"> </w:t>
      </w:r>
      <w:r>
        <w:rPr>
          <w:sz w:val="24"/>
        </w:rPr>
        <w:t>the</w:t>
      </w:r>
      <w:r>
        <w:rPr>
          <w:spacing w:val="-4"/>
          <w:sz w:val="24"/>
        </w:rPr>
        <w:t xml:space="preserve"> </w:t>
      </w:r>
      <w:r>
        <w:rPr>
          <w:sz w:val="24"/>
        </w:rPr>
        <w:t>net</w:t>
      </w:r>
      <w:r>
        <w:rPr>
          <w:spacing w:val="-4"/>
          <w:sz w:val="24"/>
        </w:rPr>
        <w:t xml:space="preserve"> </w:t>
      </w:r>
      <w:r>
        <w:rPr>
          <w:sz w:val="24"/>
        </w:rPr>
        <w:t>cost</w:t>
      </w:r>
      <w:r>
        <w:rPr>
          <w:spacing w:val="-4"/>
          <w:sz w:val="24"/>
        </w:rPr>
        <w:t xml:space="preserve"> </w:t>
      </w:r>
      <w:r>
        <w:rPr>
          <w:sz w:val="24"/>
        </w:rPr>
        <w:t>of</w:t>
      </w:r>
      <w:r>
        <w:rPr>
          <w:spacing w:val="-4"/>
          <w:sz w:val="24"/>
        </w:rPr>
        <w:t xml:space="preserve"> </w:t>
      </w:r>
      <w:r>
        <w:rPr>
          <w:sz w:val="24"/>
        </w:rPr>
        <w:t>private reinsurance must be entered as $0).</w:t>
      </w:r>
    </w:p>
    <w:p>
      <w:pPr>
        <w:pStyle w:val="ListParagraph"/>
        <w:numPr>
          <w:ilvl w:val="0"/>
          <w:numId w:val="13"/>
        </w:numPr>
        <w:tabs>
          <w:tab w:val="left" w:pos="944"/>
        </w:tabs>
        <w:spacing w:before="41" w:after="0" w:line="240" w:lineRule="auto"/>
        <w:ind w:left="944" w:right="478" w:hanging="360"/>
        <w:jc w:val="left"/>
        <w:rPr>
          <w:sz w:val="24"/>
        </w:rPr>
      </w:pPr>
      <w:r>
        <w:rPr>
          <w:sz w:val="24"/>
        </w:rPr>
        <w:t>Uncollected</w:t>
      </w:r>
      <w:r>
        <w:rPr>
          <w:spacing w:val="-4"/>
          <w:sz w:val="24"/>
        </w:rPr>
        <w:t xml:space="preserve"> </w:t>
      </w:r>
      <w:r>
        <w:rPr>
          <w:sz w:val="24"/>
        </w:rPr>
        <w:t>Cost</w:t>
      </w:r>
      <w:r>
        <w:rPr>
          <w:spacing w:val="-4"/>
          <w:sz w:val="24"/>
        </w:rPr>
        <w:t xml:space="preserve"> </w:t>
      </w:r>
      <w:r>
        <w:rPr>
          <w:sz w:val="24"/>
        </w:rPr>
        <w:t>Sharing</w:t>
      </w:r>
      <w:r>
        <w:rPr>
          <w:spacing w:val="-4"/>
          <w:sz w:val="24"/>
        </w:rPr>
        <w:t xml:space="preserve"> </w:t>
      </w:r>
      <w:r>
        <w:rPr>
          <w:sz w:val="24"/>
        </w:rPr>
        <w:t>Payments</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Medicare</w:t>
      </w:r>
      <w:r>
        <w:rPr>
          <w:spacing w:val="-6"/>
          <w:sz w:val="24"/>
        </w:rPr>
        <w:t xml:space="preserve"> </w:t>
      </w:r>
      <w:r>
        <w:rPr>
          <w:sz w:val="24"/>
        </w:rPr>
        <w:t>Prescription</w:t>
      </w:r>
      <w:r>
        <w:rPr>
          <w:spacing w:val="-4"/>
          <w:sz w:val="24"/>
        </w:rPr>
        <w:t xml:space="preserve"> </w:t>
      </w:r>
      <w:r>
        <w:rPr>
          <w:sz w:val="24"/>
        </w:rPr>
        <w:t>Payment</w:t>
      </w:r>
      <w:r>
        <w:rPr>
          <w:spacing w:val="-4"/>
          <w:sz w:val="24"/>
        </w:rPr>
        <w:t xml:space="preserve"> </w:t>
      </w:r>
      <w:r>
        <w:rPr>
          <w:sz w:val="24"/>
        </w:rPr>
        <w:t>Plan.</w:t>
      </w:r>
      <w:r>
        <w:rPr>
          <w:spacing w:val="-4"/>
          <w:sz w:val="24"/>
        </w:rPr>
        <w:t xml:space="preserve"> </w:t>
      </w:r>
      <w:r>
        <w:rPr>
          <w:sz w:val="24"/>
        </w:rPr>
        <w:t>This entry</w:t>
      </w:r>
      <w:r>
        <w:rPr>
          <w:spacing w:val="-1"/>
          <w:sz w:val="24"/>
        </w:rPr>
        <w:t xml:space="preserve"> </w:t>
      </w:r>
      <w:r>
        <w:rPr>
          <w:sz w:val="24"/>
        </w:rPr>
        <w:t>must</w:t>
      </w:r>
      <w:r>
        <w:rPr>
          <w:spacing w:val="-1"/>
          <w:sz w:val="24"/>
        </w:rPr>
        <w:t xml:space="preserve"> </w:t>
      </w:r>
      <w:r>
        <w:rPr>
          <w:sz w:val="24"/>
        </w:rPr>
        <w:t>not</w:t>
      </w:r>
      <w:r>
        <w:rPr>
          <w:spacing w:val="-1"/>
          <w:sz w:val="24"/>
        </w:rPr>
        <w:t xml:space="preserve"> </w:t>
      </w:r>
      <w:r>
        <w:rPr>
          <w:sz w:val="24"/>
        </w:rPr>
        <w:t>include</w:t>
      </w:r>
      <w:r>
        <w:rPr>
          <w:spacing w:val="-1"/>
          <w:sz w:val="24"/>
        </w:rPr>
        <w:t xml:space="preserve"> </w:t>
      </w:r>
      <w:r>
        <w:rPr>
          <w:sz w:val="24"/>
        </w:rPr>
        <w:t>any</w:t>
      </w:r>
      <w:r>
        <w:rPr>
          <w:spacing w:val="-1"/>
          <w:sz w:val="24"/>
        </w:rPr>
        <w:t xml:space="preserve"> </w:t>
      </w:r>
      <w:r>
        <w:rPr>
          <w:sz w:val="24"/>
        </w:rPr>
        <w:t>other</w:t>
      </w:r>
      <w:r>
        <w:rPr>
          <w:spacing w:val="-3"/>
          <w:sz w:val="24"/>
        </w:rPr>
        <w:t xml:space="preserve"> </w:t>
      </w:r>
      <w:r>
        <w:rPr>
          <w:sz w:val="24"/>
        </w:rPr>
        <w:t>types</w:t>
      </w:r>
      <w:r>
        <w:rPr>
          <w:spacing w:val="-1"/>
          <w:sz w:val="24"/>
        </w:rPr>
        <w:t xml:space="preserve"> </w:t>
      </w:r>
      <w:r>
        <w:rPr>
          <w:sz w:val="24"/>
        </w:rPr>
        <w:t>of</w:t>
      </w:r>
      <w:r>
        <w:rPr>
          <w:spacing w:val="-2"/>
          <w:sz w:val="24"/>
        </w:rPr>
        <w:t xml:space="preserve"> </w:t>
      </w:r>
      <w:r>
        <w:rPr>
          <w:sz w:val="24"/>
        </w:rPr>
        <w:t>bad</w:t>
      </w:r>
      <w:r>
        <w:rPr>
          <w:spacing w:val="-1"/>
          <w:sz w:val="24"/>
        </w:rPr>
        <w:t xml:space="preserve"> </w:t>
      </w:r>
      <w:r>
        <w:rPr>
          <w:sz w:val="24"/>
        </w:rPr>
        <w:t>debt.</w:t>
      </w:r>
      <w:r>
        <w:rPr>
          <w:spacing w:val="-1"/>
          <w:sz w:val="24"/>
        </w:rPr>
        <w:t xml:space="preserve"> </w:t>
      </w:r>
      <w:r>
        <w:rPr>
          <w:sz w:val="24"/>
        </w:rPr>
        <w:t>This</w:t>
      </w:r>
      <w:r>
        <w:rPr>
          <w:spacing w:val="-1"/>
          <w:sz w:val="24"/>
        </w:rPr>
        <w:t xml:space="preserve"> </w:t>
      </w:r>
      <w:r>
        <w:rPr>
          <w:sz w:val="24"/>
        </w:rPr>
        <w:t>entry must also</w:t>
      </w:r>
      <w:r>
        <w:rPr>
          <w:spacing w:val="-1"/>
          <w:sz w:val="24"/>
        </w:rPr>
        <w:t xml:space="preserve"> </w:t>
      </w:r>
      <w:r>
        <w:rPr>
          <w:sz w:val="24"/>
        </w:rPr>
        <w:t>not</w:t>
      </w:r>
      <w:r>
        <w:rPr>
          <w:spacing w:val="-1"/>
          <w:sz w:val="24"/>
        </w:rPr>
        <w:t xml:space="preserve"> </w:t>
      </w:r>
      <w:r>
        <w:rPr>
          <w:sz w:val="24"/>
        </w:rPr>
        <w:t>include</w:t>
      </w:r>
      <w:r>
        <w:rPr>
          <w:spacing w:val="-1"/>
          <w:sz w:val="24"/>
        </w:rPr>
        <w:t xml:space="preserve"> </w:t>
      </w:r>
      <w:r>
        <w:rPr>
          <w:sz w:val="24"/>
        </w:rPr>
        <w:t xml:space="preserve">any administrative costs incurred from administering the Medicare Prescription Payment </w:t>
      </w:r>
      <w:r>
        <w:rPr>
          <w:spacing w:val="-2"/>
          <w:sz w:val="24"/>
        </w:rPr>
        <w:t>Plan.</w:t>
      </w:r>
    </w:p>
    <w:p>
      <w:pPr>
        <w:pStyle w:val="BodyText"/>
        <w:spacing w:before="118"/>
        <w:ind w:left="224" w:right="425"/>
      </w:pPr>
      <w:r>
        <w:t>All non-benefit expenses must be reported using appropriate, generally accepted accounting principles (GAAP). For example, acquisition expenses and capital expenditures must be deferred and amortized according to the relevant GAAP standards (to the extent that is consistent</w:t>
      </w:r>
      <w:r>
        <w:rPr>
          <w:spacing w:val="-4"/>
        </w:rPr>
        <w:t xml:space="preserve"> </w:t>
      </w:r>
      <w:r>
        <w:t>with</w:t>
      </w:r>
      <w:r>
        <w:rPr>
          <w:spacing w:val="-4"/>
        </w:rPr>
        <w:t xml:space="preserve"> </w:t>
      </w:r>
      <w:r>
        <w:t>the</w:t>
      </w:r>
      <w:r>
        <w:rPr>
          <w:spacing w:val="-4"/>
        </w:rPr>
        <w:t xml:space="preserve"> </w:t>
      </w:r>
      <w:r>
        <w:t>organization’s</w:t>
      </w:r>
      <w:r>
        <w:rPr>
          <w:spacing w:val="-5"/>
        </w:rPr>
        <w:t xml:space="preserve"> </w:t>
      </w:r>
      <w:r>
        <w:t>standard</w:t>
      </w:r>
      <w:r>
        <w:rPr>
          <w:spacing w:val="-3"/>
        </w:rPr>
        <w:t xml:space="preserve"> </w:t>
      </w:r>
      <w:r>
        <w:t>accounting</w:t>
      </w:r>
      <w:r>
        <w:rPr>
          <w:spacing w:val="-4"/>
        </w:rPr>
        <w:t xml:space="preserve"> </w:t>
      </w:r>
      <w:r>
        <w:t>practices,</w:t>
      </w:r>
      <w:r>
        <w:rPr>
          <w:spacing w:val="-4"/>
        </w:rPr>
        <w:t xml:space="preserve"> </w:t>
      </w:r>
      <w:r>
        <w:t>if</w:t>
      </w:r>
      <w:r>
        <w:rPr>
          <w:spacing w:val="-4"/>
        </w:rPr>
        <w:t xml:space="preserve"> </w:t>
      </w:r>
      <w:r>
        <w:t>not</w:t>
      </w:r>
      <w:r>
        <w:rPr>
          <w:spacing w:val="-4"/>
        </w:rPr>
        <w:t xml:space="preserve"> </w:t>
      </w:r>
      <w:r>
        <w:t>subject</w:t>
      </w:r>
      <w:r>
        <w:rPr>
          <w:spacing w:val="-4"/>
        </w:rPr>
        <w:t xml:space="preserve"> </w:t>
      </w:r>
      <w:r>
        <w:t>to</w:t>
      </w:r>
      <w:r>
        <w:rPr>
          <w:spacing w:val="-4"/>
        </w:rPr>
        <w:t xml:space="preserve"> </w:t>
      </w:r>
      <w:r>
        <w:t>GAAP).</w:t>
      </w:r>
      <w:r>
        <w:rPr>
          <w:spacing w:val="-1"/>
        </w:rPr>
        <w:t xml:space="preserve"> </w:t>
      </w:r>
      <w:r>
        <w:t>Also, acquisition expenses (sales and marketing) must be deferred and amortized in a manner consistent with the revenue stream anticipated on behalf of the newly enrolled members.</w:t>
      </w:r>
    </w:p>
    <w:p>
      <w:pPr>
        <w:spacing w:before="3"/>
        <w:ind w:left="224" w:right="478" w:firstLine="0"/>
        <w:jc w:val="left"/>
        <w:rPr>
          <w:sz w:val="24"/>
        </w:rPr>
      </w:pPr>
      <w:r>
        <w:rPr>
          <w:sz w:val="24"/>
        </w:rPr>
        <w:t>Guidance</w:t>
      </w:r>
      <w:r>
        <w:rPr>
          <w:spacing w:val="-5"/>
          <w:sz w:val="24"/>
        </w:rPr>
        <w:t xml:space="preserve"> </w:t>
      </w:r>
      <w:r>
        <w:rPr>
          <w:sz w:val="24"/>
        </w:rPr>
        <w:t>on</w:t>
      </w:r>
      <w:r>
        <w:rPr>
          <w:spacing w:val="-4"/>
          <w:sz w:val="24"/>
        </w:rPr>
        <w:t xml:space="preserve"> </w:t>
      </w:r>
      <w:r>
        <w:rPr>
          <w:sz w:val="24"/>
        </w:rPr>
        <w:t>GAAP</w:t>
      </w:r>
      <w:r>
        <w:rPr>
          <w:spacing w:val="-4"/>
          <w:sz w:val="24"/>
        </w:rPr>
        <w:t xml:space="preserve"> </w:t>
      </w:r>
      <w:r>
        <w:rPr>
          <w:sz w:val="24"/>
        </w:rPr>
        <w:t>standards</w:t>
      </w:r>
      <w:r>
        <w:rPr>
          <w:spacing w:val="-4"/>
          <w:sz w:val="24"/>
        </w:rPr>
        <w:t xml:space="preserve"> </w:t>
      </w:r>
      <w:r>
        <w:rPr>
          <w:sz w:val="24"/>
        </w:rPr>
        <w:t>is</w:t>
      </w:r>
      <w:r>
        <w:rPr>
          <w:spacing w:val="-4"/>
          <w:sz w:val="24"/>
        </w:rPr>
        <w:t xml:space="preserve"> </w:t>
      </w:r>
      <w:r>
        <w:rPr>
          <w:sz w:val="24"/>
        </w:rPr>
        <w:t>promulgated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Financial</w:t>
      </w:r>
      <w:r>
        <w:rPr>
          <w:spacing w:val="-4"/>
          <w:sz w:val="24"/>
        </w:rPr>
        <w:t xml:space="preserve"> </w:t>
      </w:r>
      <w:r>
        <w:rPr>
          <w:sz w:val="24"/>
        </w:rPr>
        <w:t>Accounting</w:t>
      </w:r>
      <w:r>
        <w:rPr>
          <w:spacing w:val="-4"/>
          <w:sz w:val="24"/>
        </w:rPr>
        <w:t xml:space="preserve"> </w:t>
      </w:r>
      <w:r>
        <w:rPr>
          <w:sz w:val="24"/>
        </w:rPr>
        <w:t>Standards</w:t>
      </w:r>
      <w:r>
        <w:rPr>
          <w:spacing w:val="-4"/>
          <w:sz w:val="24"/>
        </w:rPr>
        <w:t xml:space="preserve"> </w:t>
      </w:r>
      <w:r>
        <w:rPr>
          <w:sz w:val="24"/>
        </w:rPr>
        <w:t xml:space="preserve">Board (FASB). Of particular applicability is FASB’s Statement of Financial Accounting No. 60, </w:t>
      </w:r>
      <w:r>
        <w:rPr>
          <w:i/>
          <w:sz w:val="24"/>
        </w:rPr>
        <w:t>Accounting and Reporting by Insurance Enterprises</w:t>
      </w:r>
      <w:r>
        <w:rPr>
          <w:sz w:val="24"/>
        </w:rPr>
        <w:t>.</w:t>
      </w:r>
    </w:p>
    <w:p>
      <w:pPr>
        <w:pStyle w:val="BodyText"/>
        <w:ind w:left="224" w:right="445"/>
      </w:pPr>
      <w:r>
        <w:t>Costs not pertaining to administrative activities must be excluded from non-benefit expenses. Such</w:t>
      </w:r>
      <w:r>
        <w:rPr>
          <w:spacing w:val="-4"/>
        </w:rPr>
        <w:t xml:space="preserve"> </w:t>
      </w:r>
      <w:r>
        <w:t>costs</w:t>
      </w:r>
      <w:r>
        <w:rPr>
          <w:spacing w:val="-4"/>
        </w:rPr>
        <w:t xml:space="preserve"> </w:t>
      </w:r>
      <w:r>
        <w:t>include</w:t>
      </w:r>
      <w:r>
        <w:rPr>
          <w:spacing w:val="-5"/>
        </w:rPr>
        <w:t xml:space="preserve"> </w:t>
      </w:r>
      <w:r>
        <w:t>income</w:t>
      </w:r>
      <w:r>
        <w:rPr>
          <w:spacing w:val="-5"/>
        </w:rPr>
        <w:t xml:space="preserve"> </w:t>
      </w:r>
      <w:r>
        <w:t>taxes,</w:t>
      </w:r>
      <w:r>
        <w:rPr>
          <w:spacing w:val="-4"/>
        </w:rPr>
        <w:t xml:space="preserve"> </w:t>
      </w:r>
      <w:r>
        <w:t>changes</w:t>
      </w:r>
      <w:r>
        <w:rPr>
          <w:spacing w:val="-4"/>
        </w:rPr>
        <w:t xml:space="preserve"> </w:t>
      </w:r>
      <w:r>
        <w:t>in</w:t>
      </w:r>
      <w:r>
        <w:rPr>
          <w:spacing w:val="-4"/>
        </w:rPr>
        <w:t xml:space="preserve"> </w:t>
      </w:r>
      <w:r>
        <w:t>statutory</w:t>
      </w:r>
      <w:r>
        <w:rPr>
          <w:spacing w:val="-4"/>
        </w:rPr>
        <w:t xml:space="preserve"> </w:t>
      </w:r>
      <w:r>
        <w:t>surplus,</w:t>
      </w:r>
      <w:r>
        <w:rPr>
          <w:spacing w:val="-4"/>
        </w:rPr>
        <w:t xml:space="preserve"> </w:t>
      </w:r>
      <w:r>
        <w:t>investment</w:t>
      </w:r>
      <w:r>
        <w:rPr>
          <w:spacing w:val="-4"/>
        </w:rPr>
        <w:t xml:space="preserve"> </w:t>
      </w:r>
      <w:r>
        <w:t>expenses</w:t>
      </w:r>
      <w:r>
        <w:rPr>
          <w:spacing w:val="-1"/>
        </w:rPr>
        <w:t xml:space="preserve"> </w:t>
      </w:r>
      <w:r>
        <w:t>and</w:t>
      </w:r>
      <w:r>
        <w:rPr>
          <w:spacing w:val="-4"/>
        </w:rPr>
        <w:t xml:space="preserve"> </w:t>
      </w:r>
      <w:r>
        <w:t>the</w:t>
      </w:r>
      <w:r>
        <w:rPr>
          <w:spacing w:val="-3"/>
        </w:rPr>
        <w:t xml:space="preserve"> </w:t>
      </w:r>
      <w:r>
        <w:t>cost of lobbying activities. See the “Gain/Loss Margin” subsection of Section II, “Pricing Considerations” for more information.</w:t>
      </w:r>
    </w:p>
    <w:p>
      <w:pPr>
        <w:pStyle w:val="BodyText"/>
        <w:spacing w:before="121"/>
        <w:ind w:left="224"/>
      </w:pPr>
      <w:r>
        <w:t>Start-up</w:t>
      </w:r>
      <w:r>
        <w:rPr>
          <w:spacing w:val="-4"/>
        </w:rPr>
        <w:t xml:space="preserve"> </w:t>
      </w:r>
      <w:r>
        <w:t>costs</w:t>
      </w:r>
      <w:r>
        <w:rPr>
          <w:spacing w:val="-2"/>
        </w:rPr>
        <w:t xml:space="preserve"> </w:t>
      </w:r>
      <w:r>
        <w:t>that</w:t>
      </w:r>
      <w:r>
        <w:rPr>
          <w:spacing w:val="-1"/>
        </w:rPr>
        <w:t xml:space="preserve"> </w:t>
      </w:r>
      <w:r>
        <w:t>are</w:t>
      </w:r>
      <w:r>
        <w:rPr>
          <w:spacing w:val="-4"/>
        </w:rPr>
        <w:t xml:space="preserve"> </w:t>
      </w:r>
      <w:r>
        <w:t>not considered</w:t>
      </w:r>
      <w:r>
        <w:rPr>
          <w:spacing w:val="1"/>
        </w:rPr>
        <w:t xml:space="preserve"> </w:t>
      </w:r>
      <w:r>
        <w:t>capital</w:t>
      </w:r>
      <w:r>
        <w:rPr>
          <w:spacing w:val="-2"/>
        </w:rPr>
        <w:t xml:space="preserve"> </w:t>
      </w:r>
      <w:r>
        <w:t>expenditures</w:t>
      </w:r>
      <w:r>
        <w:rPr>
          <w:spacing w:val="-1"/>
        </w:rPr>
        <w:t xml:space="preserve"> </w:t>
      </w:r>
      <w:r>
        <w:t>under</w:t>
      </w:r>
      <w:r>
        <w:rPr>
          <w:spacing w:val="-2"/>
        </w:rPr>
        <w:t xml:space="preserve"> </w:t>
      </w:r>
      <w:r>
        <w:t>GAAP</w:t>
      </w:r>
      <w:r>
        <w:rPr>
          <w:spacing w:val="-2"/>
        </w:rPr>
        <w:t xml:space="preserve"> </w:t>
      </w:r>
      <w:r>
        <w:t>are reported as</w:t>
      </w:r>
      <w:r>
        <w:rPr>
          <w:spacing w:val="-1"/>
        </w:rPr>
        <w:t xml:space="preserve"> </w:t>
      </w:r>
      <w:r>
        <w:rPr>
          <w:spacing w:val="-2"/>
        </w:rPr>
        <w:t>follows:</w:t>
      </w:r>
    </w:p>
    <w:p>
      <w:pPr>
        <w:pStyle w:val="ListParagraph"/>
        <w:numPr>
          <w:ilvl w:val="0"/>
          <w:numId w:val="13"/>
        </w:numPr>
        <w:tabs>
          <w:tab w:val="left" w:pos="944"/>
        </w:tabs>
        <w:spacing w:before="120" w:after="0" w:line="240" w:lineRule="auto"/>
        <w:ind w:left="944" w:right="1307" w:hanging="360"/>
        <w:jc w:val="left"/>
        <w:rPr>
          <w:sz w:val="24"/>
        </w:rPr>
      </w:pPr>
      <w:r>
        <w:rPr>
          <w:sz w:val="24"/>
        </w:rPr>
        <w:t>Expenditures</w:t>
      </w:r>
      <w:r>
        <w:rPr>
          <w:spacing w:val="-4"/>
          <w:sz w:val="24"/>
        </w:rPr>
        <w:t xml:space="preserve"> </w:t>
      </w:r>
      <w:r>
        <w:rPr>
          <w:sz w:val="24"/>
        </w:rPr>
        <w:t>for</w:t>
      </w:r>
      <w:r>
        <w:rPr>
          <w:spacing w:val="-5"/>
          <w:sz w:val="24"/>
        </w:rPr>
        <w:t xml:space="preserve"> </w:t>
      </w:r>
      <w:r>
        <w:rPr>
          <w:sz w:val="24"/>
        </w:rPr>
        <w:t>tangible</w:t>
      </w:r>
      <w:r>
        <w:rPr>
          <w:spacing w:val="-3"/>
          <w:sz w:val="24"/>
        </w:rPr>
        <w:t xml:space="preserve"> </w:t>
      </w:r>
      <w:r>
        <w:rPr>
          <w:sz w:val="24"/>
        </w:rPr>
        <w:t>assets</w:t>
      </w:r>
      <w:r>
        <w:rPr>
          <w:spacing w:val="-3"/>
          <w:sz w:val="24"/>
        </w:rPr>
        <w:t xml:space="preserve"> </w:t>
      </w:r>
      <w:r>
        <w:rPr>
          <w:sz w:val="24"/>
        </w:rPr>
        <w:t>(for</w:t>
      </w:r>
      <w:r>
        <w:rPr>
          <w:spacing w:val="-4"/>
          <w:sz w:val="24"/>
        </w:rPr>
        <w:t xml:space="preserve"> </w:t>
      </w:r>
      <w:r>
        <w:rPr>
          <w:sz w:val="24"/>
        </w:rPr>
        <w:t>example,</w:t>
      </w:r>
      <w:r>
        <w:rPr>
          <w:spacing w:val="-4"/>
          <w:sz w:val="24"/>
        </w:rPr>
        <w:t xml:space="preserve"> </w:t>
      </w:r>
      <w:r>
        <w:rPr>
          <w:sz w:val="24"/>
        </w:rPr>
        <w:t>a</w:t>
      </w:r>
      <w:r>
        <w:rPr>
          <w:spacing w:val="-5"/>
          <w:sz w:val="24"/>
        </w:rPr>
        <w:t xml:space="preserve"> </w:t>
      </w:r>
      <w:r>
        <w:rPr>
          <w:sz w:val="24"/>
        </w:rPr>
        <w:t>new</w:t>
      </w:r>
      <w:r>
        <w:rPr>
          <w:spacing w:val="-4"/>
          <w:sz w:val="24"/>
        </w:rPr>
        <w:t xml:space="preserve"> </w:t>
      </w:r>
      <w:r>
        <w:rPr>
          <w:sz w:val="24"/>
        </w:rPr>
        <w:t>computer</w:t>
      </w:r>
      <w:r>
        <w:rPr>
          <w:spacing w:val="-4"/>
          <w:sz w:val="24"/>
        </w:rPr>
        <w:t xml:space="preserve"> </w:t>
      </w:r>
      <w:r>
        <w:rPr>
          <w:sz w:val="24"/>
        </w:rPr>
        <w:t>system)</w:t>
      </w:r>
      <w:r>
        <w:rPr>
          <w:spacing w:val="-5"/>
          <w:sz w:val="24"/>
        </w:rPr>
        <w:t xml:space="preserve"> </w:t>
      </w:r>
      <w:r>
        <w:rPr>
          <w:sz w:val="24"/>
        </w:rPr>
        <w:t>must</w:t>
      </w:r>
      <w:r>
        <w:rPr>
          <w:spacing w:val="-4"/>
          <w:sz w:val="24"/>
        </w:rPr>
        <w:t xml:space="preserve"> </w:t>
      </w:r>
      <w:r>
        <w:rPr>
          <w:sz w:val="24"/>
        </w:rPr>
        <w:t>be capitalized and amortized according to relevant GAAP principles.</w:t>
      </w:r>
    </w:p>
    <w:p>
      <w:pPr>
        <w:spacing w:after="0" w:line="240" w:lineRule="auto"/>
        <w:jc w:val="left"/>
        <w:rPr>
          <w:sz w:val="24"/>
        </w:rPr>
        <w:sectPr>
          <w:pgSz w:w="12240" w:h="15840"/>
          <w:pgMar w:top="1340" w:right="1000" w:bottom="940" w:left="1360" w:header="727" w:footer="747"/>
          <w:cols w:space="720"/>
        </w:sectPr>
      </w:pPr>
    </w:p>
    <w:p>
      <w:pPr>
        <w:pStyle w:val="ListParagraph"/>
        <w:numPr>
          <w:ilvl w:val="0"/>
          <w:numId w:val="13"/>
        </w:numPr>
        <w:tabs>
          <w:tab w:val="left" w:pos="944"/>
        </w:tabs>
        <w:spacing w:before="87" w:after="0" w:line="240" w:lineRule="auto"/>
        <w:ind w:left="944" w:right="833" w:hanging="360"/>
        <w:jc w:val="left"/>
        <w:rPr>
          <w:sz w:val="24"/>
        </w:rPr>
      </w:pPr>
      <w:r>
        <w:rPr>
          <w:sz w:val="24"/>
        </w:rPr>
        <w:t>Expenditures for non-tangible assets (for example, salaries and benefits) must be reported</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manner</w:t>
      </w:r>
      <w:r>
        <w:rPr>
          <w:spacing w:val="-4"/>
          <w:sz w:val="24"/>
        </w:rPr>
        <w:t xml:space="preserve"> </w:t>
      </w:r>
      <w:r>
        <w:rPr>
          <w:sz w:val="24"/>
        </w:rPr>
        <w:t>consistent</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organization’s</w:t>
      </w:r>
      <w:r>
        <w:rPr>
          <w:spacing w:val="-5"/>
          <w:sz w:val="24"/>
        </w:rPr>
        <w:t xml:space="preserve"> </w:t>
      </w:r>
      <w:r>
        <w:rPr>
          <w:sz w:val="24"/>
        </w:rPr>
        <w:t>internal</w:t>
      </w:r>
      <w:r>
        <w:rPr>
          <w:spacing w:val="-4"/>
          <w:sz w:val="24"/>
        </w:rPr>
        <w:t xml:space="preserve"> </w:t>
      </w:r>
      <w:r>
        <w:rPr>
          <w:sz w:val="24"/>
        </w:rPr>
        <w:t>accounting</w:t>
      </w:r>
      <w:r>
        <w:rPr>
          <w:spacing w:val="-4"/>
          <w:sz w:val="24"/>
        </w:rPr>
        <w:t xml:space="preserve"> </w:t>
      </w:r>
      <w:r>
        <w:rPr>
          <w:sz w:val="24"/>
        </w:rPr>
        <w:t>practices and the reporting of similar expenditures in other lines of business.</w:t>
      </w:r>
    </w:p>
    <w:p>
      <w:pPr>
        <w:pStyle w:val="BodyText"/>
        <w:ind w:left="224"/>
      </w:pPr>
      <w:r>
        <w:t>Non-benefit</w:t>
      </w:r>
      <w:r>
        <w:rPr>
          <w:spacing w:val="-3"/>
        </w:rPr>
        <w:t xml:space="preserve"> </w:t>
      </w:r>
      <w:r>
        <w:t>expenses</w:t>
      </w:r>
      <w:r>
        <w:rPr>
          <w:spacing w:val="-3"/>
        </w:rPr>
        <w:t xml:space="preserve"> </w:t>
      </w:r>
      <w:r>
        <w:t>that</w:t>
      </w:r>
      <w:r>
        <w:rPr>
          <w:spacing w:val="-3"/>
        </w:rPr>
        <w:t xml:space="preserve"> </w:t>
      </w:r>
      <w:r>
        <w:t>are</w:t>
      </w:r>
      <w:r>
        <w:rPr>
          <w:spacing w:val="-4"/>
        </w:rPr>
        <w:t xml:space="preserve"> </w:t>
      </w:r>
      <w:r>
        <w:t>solely</w:t>
      </w:r>
      <w:r>
        <w:rPr>
          <w:spacing w:val="-3"/>
        </w:rPr>
        <w:t xml:space="preserve"> </w:t>
      </w:r>
      <w:r>
        <w:t>attributable</w:t>
      </w:r>
      <w:r>
        <w:rPr>
          <w:spacing w:val="-3"/>
        </w:rPr>
        <w:t xml:space="preserve"> </w:t>
      </w:r>
      <w:r>
        <w:t>to</w:t>
      </w:r>
      <w:r>
        <w:rPr>
          <w:spacing w:val="-1"/>
        </w:rPr>
        <w:t xml:space="preserve"> </w:t>
      </w:r>
      <w:r>
        <w:t>MA</w:t>
      </w:r>
      <w:r>
        <w:rPr>
          <w:spacing w:val="-3"/>
        </w:rPr>
        <w:t xml:space="preserve"> </w:t>
      </w:r>
      <w:r>
        <w:t>or</w:t>
      </w:r>
      <w:r>
        <w:rPr>
          <w:spacing w:val="-2"/>
        </w:rPr>
        <w:t xml:space="preserve"> </w:t>
      </w:r>
      <w:r>
        <w:t>Part</w:t>
      </w:r>
      <w:r>
        <w:rPr>
          <w:spacing w:val="-3"/>
        </w:rPr>
        <w:t xml:space="preserve"> </w:t>
      </w:r>
      <w:r>
        <w:t>D</w:t>
      </w:r>
      <w:r>
        <w:rPr>
          <w:spacing w:val="-4"/>
        </w:rPr>
        <w:t xml:space="preserve"> </w:t>
      </w:r>
      <w:r>
        <w:t>must</w:t>
      </w:r>
      <w:r>
        <w:rPr>
          <w:spacing w:val="-3"/>
        </w:rPr>
        <w:t xml:space="preserve"> </w:t>
      </w:r>
      <w:r>
        <w:t>be</w:t>
      </w:r>
      <w:r>
        <w:rPr>
          <w:spacing w:val="-4"/>
        </w:rPr>
        <w:t xml:space="preserve"> </w:t>
      </w:r>
      <w:r>
        <w:t>reported</w:t>
      </w:r>
      <w:r>
        <w:rPr>
          <w:spacing w:val="-3"/>
        </w:rPr>
        <w:t xml:space="preserve"> </w:t>
      </w:r>
      <w:r>
        <w:t>only</w:t>
      </w:r>
      <w:r>
        <w:rPr>
          <w:spacing w:val="-3"/>
        </w:rPr>
        <w:t xml:space="preserve"> </w:t>
      </w:r>
      <w:r>
        <w:t>on</w:t>
      </w:r>
      <w:r>
        <w:rPr>
          <w:spacing w:val="-3"/>
        </w:rPr>
        <w:t xml:space="preserve"> </w:t>
      </w:r>
      <w:r>
        <w:t>the corresponding MA or Part D BPT.</w:t>
      </w:r>
    </w:p>
    <w:p>
      <w:pPr>
        <w:pStyle w:val="BodyText"/>
        <w:ind w:left="224" w:right="445"/>
      </w:pPr>
      <w:r>
        <w:t>Non-benefit</w:t>
      </w:r>
      <w:r>
        <w:rPr>
          <w:spacing w:val="-3"/>
        </w:rPr>
        <w:t xml:space="preserve"> </w:t>
      </w:r>
      <w:r>
        <w:t>expenses</w:t>
      </w:r>
      <w:r>
        <w:rPr>
          <w:spacing w:val="-3"/>
        </w:rPr>
        <w:t xml:space="preserve"> </w:t>
      </w:r>
      <w:r>
        <w:t>that</w:t>
      </w:r>
      <w:r>
        <w:rPr>
          <w:spacing w:val="-3"/>
        </w:rPr>
        <w:t xml:space="preserve"> </w:t>
      </w:r>
      <w:r>
        <w:t>are</w:t>
      </w:r>
      <w:r>
        <w:rPr>
          <w:spacing w:val="-4"/>
        </w:rPr>
        <w:t xml:space="preserve"> </w:t>
      </w:r>
      <w:r>
        <w:t>common</w:t>
      </w:r>
      <w:r>
        <w:rPr>
          <w:spacing w:val="-3"/>
        </w:rPr>
        <w:t xml:space="preserve"> </w:t>
      </w:r>
      <w:r>
        <w:t>to</w:t>
      </w:r>
      <w:r>
        <w:rPr>
          <w:spacing w:val="-2"/>
        </w:rPr>
        <w:t xml:space="preserve"> </w:t>
      </w:r>
      <w:r>
        <w:t>the</w:t>
      </w:r>
      <w:r>
        <w:rPr>
          <w:spacing w:val="-3"/>
        </w:rPr>
        <w:t xml:space="preserve"> </w:t>
      </w:r>
      <w:r>
        <w:t>MA</w:t>
      </w:r>
      <w:r>
        <w:rPr>
          <w:spacing w:val="-2"/>
        </w:rPr>
        <w:t xml:space="preserve"> </w:t>
      </w:r>
      <w:r>
        <w:t>and</w:t>
      </w:r>
      <w:r>
        <w:rPr>
          <w:spacing w:val="-3"/>
        </w:rPr>
        <w:t xml:space="preserve"> </w:t>
      </w:r>
      <w:r>
        <w:t>Part</w:t>
      </w:r>
      <w:r>
        <w:rPr>
          <w:spacing w:val="-3"/>
        </w:rPr>
        <w:t xml:space="preserve"> </w:t>
      </w:r>
      <w:r>
        <w:t>D</w:t>
      </w:r>
      <w:r>
        <w:rPr>
          <w:spacing w:val="-4"/>
        </w:rPr>
        <w:t xml:space="preserve"> </w:t>
      </w:r>
      <w:r>
        <w:t>components</w:t>
      </w:r>
      <w:r>
        <w:rPr>
          <w:spacing w:val="-3"/>
        </w:rPr>
        <w:t xml:space="preserve"> </w:t>
      </w:r>
      <w:r>
        <w:t>of</w:t>
      </w:r>
      <w:r>
        <w:rPr>
          <w:spacing w:val="-3"/>
        </w:rPr>
        <w:t xml:space="preserve"> </w:t>
      </w:r>
      <w:r>
        <w:t>MA-PD</w:t>
      </w:r>
      <w:r>
        <w:rPr>
          <w:spacing w:val="-4"/>
        </w:rPr>
        <w:t xml:space="preserve"> </w:t>
      </w:r>
      <w:r>
        <w:t>bids</w:t>
      </w:r>
      <w:r>
        <w:rPr>
          <w:spacing w:val="-3"/>
        </w:rPr>
        <w:t xml:space="preserve"> </w:t>
      </w:r>
      <w:r>
        <w:t>must be allocated proportionately between the Medicare Advantage and Part D BPTs.</w:t>
      </w:r>
    </w:p>
    <w:p>
      <w:pPr>
        <w:pStyle w:val="BodyText"/>
        <w:ind w:left="224" w:right="586"/>
      </w:pPr>
      <w:r>
        <w:t>When Medicare benefits are funded by an outside source such as a state Medicaid program, non-benefit</w:t>
      </w:r>
      <w:r>
        <w:rPr>
          <w:spacing w:val="-4"/>
        </w:rPr>
        <w:t xml:space="preserve"> </w:t>
      </w:r>
      <w:r>
        <w:t>expenses</w:t>
      </w:r>
      <w:r>
        <w:rPr>
          <w:spacing w:val="-4"/>
        </w:rPr>
        <w:t xml:space="preserve"> </w:t>
      </w:r>
      <w:r>
        <w:t>must</w:t>
      </w:r>
      <w:r>
        <w:rPr>
          <w:spacing w:val="-4"/>
        </w:rPr>
        <w:t xml:space="preserve"> </w:t>
      </w:r>
      <w:r>
        <w:t>be</w:t>
      </w:r>
      <w:r>
        <w:rPr>
          <w:spacing w:val="-4"/>
        </w:rPr>
        <w:t xml:space="preserve"> </w:t>
      </w:r>
      <w:r>
        <w:t>allocated</w:t>
      </w:r>
      <w:r>
        <w:rPr>
          <w:spacing w:val="-3"/>
        </w:rPr>
        <w:t xml:space="preserve"> </w:t>
      </w:r>
      <w:r>
        <w:t>proportionately</w:t>
      </w:r>
      <w:r>
        <w:rPr>
          <w:spacing w:val="-4"/>
        </w:rPr>
        <w:t xml:space="preserve"> </w:t>
      </w:r>
      <w:r>
        <w:t>between</w:t>
      </w:r>
      <w:r>
        <w:rPr>
          <w:spacing w:val="-4"/>
        </w:rPr>
        <w:t xml:space="preserve"> </w:t>
      </w:r>
      <w:r>
        <w:t>the</w:t>
      </w:r>
      <w:r>
        <w:rPr>
          <w:spacing w:val="-4"/>
        </w:rPr>
        <w:t xml:space="preserve"> </w:t>
      </w:r>
      <w:r>
        <w:t>Medicare</w:t>
      </w:r>
      <w:r>
        <w:rPr>
          <w:spacing w:val="-6"/>
        </w:rPr>
        <w:t xml:space="preserve"> </w:t>
      </w:r>
      <w:r>
        <w:t>revenue</w:t>
      </w:r>
      <w:r>
        <w:rPr>
          <w:spacing w:val="-5"/>
        </w:rPr>
        <w:t xml:space="preserve"> </w:t>
      </w:r>
      <w:r>
        <w:t>and</w:t>
      </w:r>
      <w:r>
        <w:rPr>
          <w:spacing w:val="-4"/>
        </w:rPr>
        <w:t xml:space="preserve"> </w:t>
      </w:r>
      <w:r>
        <w:t>the other revenue source.</w:t>
      </w:r>
    </w:p>
    <w:p>
      <w:pPr>
        <w:spacing w:before="241"/>
        <w:ind w:left="224" w:right="0" w:firstLine="0"/>
        <w:jc w:val="left"/>
        <w:rPr>
          <w:rFonts w:ascii="Arial"/>
          <w:b/>
          <w:sz w:val="21"/>
        </w:rPr>
      </w:pPr>
      <w:bookmarkStart w:id="33" w:name="PBM Pricing"/>
      <w:bookmarkEnd w:id="33"/>
      <w:bookmarkStart w:id="34" w:name="_bookmark16"/>
      <w:bookmarkEnd w:id="34"/>
      <w:r>
        <w:rPr>
          <w:rFonts w:ascii="Arial"/>
          <w:b/>
          <w:sz w:val="21"/>
        </w:rPr>
        <w:t>PBM</w:t>
      </w:r>
      <w:r>
        <w:rPr>
          <w:rFonts w:ascii="Arial"/>
          <w:b/>
          <w:spacing w:val="-6"/>
          <w:sz w:val="21"/>
        </w:rPr>
        <w:t xml:space="preserve"> </w:t>
      </w:r>
      <w:r>
        <w:rPr>
          <w:rFonts w:ascii="Arial"/>
          <w:b/>
          <w:spacing w:val="-2"/>
          <w:sz w:val="21"/>
        </w:rPr>
        <w:t>Pricing</w:t>
      </w:r>
    </w:p>
    <w:p>
      <w:pPr>
        <w:pStyle w:val="BodyText"/>
        <w:ind w:left="224" w:right="515"/>
      </w:pPr>
      <w:r>
        <w:t>For</w:t>
      </w:r>
      <w:r>
        <w:rPr>
          <w:spacing w:val="-4"/>
        </w:rPr>
        <w:t xml:space="preserve"> </w:t>
      </w:r>
      <w:r>
        <w:t>CY2026,</w:t>
      </w:r>
      <w:r>
        <w:rPr>
          <w:spacing w:val="-3"/>
        </w:rPr>
        <w:t xml:space="preserve"> </w:t>
      </w:r>
      <w:r>
        <w:t>Part</w:t>
      </w:r>
      <w:r>
        <w:rPr>
          <w:spacing w:val="-3"/>
        </w:rPr>
        <w:t xml:space="preserve"> </w:t>
      </w:r>
      <w:r>
        <w:t>D</w:t>
      </w:r>
      <w:r>
        <w:rPr>
          <w:spacing w:val="-4"/>
        </w:rPr>
        <w:t xml:space="preserve"> </w:t>
      </w:r>
      <w:r>
        <w:t>sponsors</w:t>
      </w:r>
      <w:r>
        <w:rPr>
          <w:spacing w:val="-3"/>
        </w:rPr>
        <w:t xml:space="preserve"> </w:t>
      </w:r>
      <w:r>
        <w:t>must</w:t>
      </w:r>
      <w:r>
        <w:rPr>
          <w:spacing w:val="-3"/>
        </w:rPr>
        <w:t xml:space="preserve"> </w:t>
      </w:r>
      <w:r>
        <w:t>develop</w:t>
      </w:r>
      <w:r>
        <w:rPr>
          <w:spacing w:val="-3"/>
        </w:rPr>
        <w:t xml:space="preserve"> </w:t>
      </w:r>
      <w:r>
        <w:t>their</w:t>
      </w:r>
      <w:r>
        <w:rPr>
          <w:spacing w:val="-2"/>
        </w:rPr>
        <w:t xml:space="preserve"> </w:t>
      </w:r>
      <w:r>
        <w:t>Part</w:t>
      </w:r>
      <w:r>
        <w:rPr>
          <w:spacing w:val="-3"/>
        </w:rPr>
        <w:t xml:space="preserve"> </w:t>
      </w:r>
      <w:r>
        <w:t>D</w:t>
      </w:r>
      <w:r>
        <w:rPr>
          <w:spacing w:val="-4"/>
        </w:rPr>
        <w:t xml:space="preserve"> </w:t>
      </w:r>
      <w:r>
        <w:t>bids</w:t>
      </w:r>
      <w:r>
        <w:rPr>
          <w:spacing w:val="-3"/>
        </w:rPr>
        <w:t xml:space="preserve"> </w:t>
      </w:r>
      <w:r>
        <w:t>using</w:t>
      </w:r>
      <w:r>
        <w:rPr>
          <w:spacing w:val="-3"/>
        </w:rPr>
        <w:t xml:space="preserve"> </w:t>
      </w:r>
      <w:r>
        <w:t>the</w:t>
      </w:r>
      <w:r>
        <w:rPr>
          <w:spacing w:val="-3"/>
        </w:rPr>
        <w:t xml:space="preserve"> </w:t>
      </w:r>
      <w:r>
        <w:t>pass-through</w:t>
      </w:r>
      <w:r>
        <w:rPr>
          <w:spacing w:val="-3"/>
        </w:rPr>
        <w:t xml:space="preserve"> </w:t>
      </w:r>
      <w:r>
        <w:t>price</w:t>
      </w:r>
      <w:r>
        <w:rPr>
          <w:spacing w:val="-5"/>
        </w:rPr>
        <w:t xml:space="preserve"> </w:t>
      </w:r>
      <w:r>
        <w:t>or negotiated amount paid to the dispensing provider at the point-of-sale as the basis for drug costs. For Part D sponsors that are contracted with a PBM, the following provisions apply:</w:t>
      </w:r>
    </w:p>
    <w:p>
      <w:pPr>
        <w:pStyle w:val="BodyText"/>
        <w:spacing w:before="0"/>
        <w:ind w:left="224" w:right="515"/>
      </w:pPr>
      <w:r>
        <w:t>(i)</w:t>
      </w:r>
      <w:r>
        <w:rPr>
          <w:spacing w:val="-5"/>
        </w:rPr>
        <w:t xml:space="preserve"> </w:t>
      </w:r>
      <w:r>
        <w:t>when</w:t>
      </w:r>
      <w:r>
        <w:rPr>
          <w:spacing w:val="-4"/>
        </w:rPr>
        <w:t xml:space="preserve"> </w:t>
      </w:r>
      <w:r>
        <w:t>contracted</w:t>
      </w:r>
      <w:r>
        <w:rPr>
          <w:spacing w:val="-4"/>
        </w:rPr>
        <w:t xml:space="preserve"> </w:t>
      </w:r>
      <w:r>
        <w:t>under</w:t>
      </w:r>
      <w:r>
        <w:rPr>
          <w:spacing w:val="-4"/>
        </w:rPr>
        <w:t xml:space="preserve"> </w:t>
      </w:r>
      <w:r>
        <w:t>a</w:t>
      </w:r>
      <w:r>
        <w:rPr>
          <w:spacing w:val="-6"/>
        </w:rPr>
        <w:t xml:space="preserve"> </w:t>
      </w:r>
      <w:r>
        <w:t>lock-in</w:t>
      </w:r>
      <w:r>
        <w:rPr>
          <w:spacing w:val="-4"/>
        </w:rPr>
        <w:t xml:space="preserve"> </w:t>
      </w:r>
      <w:r>
        <w:t>pricing</w:t>
      </w:r>
      <w:r>
        <w:rPr>
          <w:spacing w:val="-3"/>
        </w:rPr>
        <w:t xml:space="preserve"> </w:t>
      </w:r>
      <w:r>
        <w:t>approach,</w:t>
      </w:r>
      <w:r>
        <w:rPr>
          <w:spacing w:val="-4"/>
        </w:rPr>
        <w:t xml:space="preserve"> </w:t>
      </w:r>
      <w:r>
        <w:t>the</w:t>
      </w:r>
      <w:r>
        <w:rPr>
          <w:spacing w:val="-4"/>
        </w:rPr>
        <w:t xml:space="preserve"> </w:t>
      </w:r>
      <w:r>
        <w:t>administrative</w:t>
      </w:r>
      <w:r>
        <w:rPr>
          <w:spacing w:val="-5"/>
        </w:rPr>
        <w:t xml:space="preserve"> </w:t>
      </w:r>
      <w:r>
        <w:t>expense</w:t>
      </w:r>
      <w:r>
        <w:rPr>
          <w:spacing w:val="-5"/>
        </w:rPr>
        <w:t xml:space="preserve"> </w:t>
      </w:r>
      <w:r>
        <w:t>component</w:t>
      </w:r>
      <w:r>
        <w:rPr>
          <w:spacing w:val="-4"/>
        </w:rPr>
        <w:t xml:space="preserve"> </w:t>
      </w:r>
      <w:r>
        <w:t>of the bid must reflect the expected difference between the lock-in price, or amount negotiated with the PBM, and the pass-through price (this difference is referred to as the risk premium or PBM spread); and (ii) when the PBM retains a portion of the rebates, the administrative expense component of the bid must include these costs.</w:t>
      </w:r>
    </w:p>
    <w:p>
      <w:pPr>
        <w:spacing w:before="239"/>
        <w:ind w:left="224" w:right="0" w:firstLine="0"/>
        <w:jc w:val="left"/>
        <w:rPr>
          <w:rFonts w:ascii="Arial"/>
          <w:b/>
          <w:sz w:val="21"/>
        </w:rPr>
      </w:pPr>
      <w:bookmarkStart w:id="35" w:name="Related-Party Arrangements"/>
      <w:bookmarkEnd w:id="35"/>
      <w:bookmarkStart w:id="36" w:name="_bookmark17"/>
      <w:bookmarkEnd w:id="36"/>
      <w:r>
        <w:rPr>
          <w:rFonts w:ascii="Arial"/>
          <w:b/>
          <w:sz w:val="21"/>
        </w:rPr>
        <w:t>Related-Party</w:t>
      </w:r>
      <w:r>
        <w:rPr>
          <w:rFonts w:ascii="Arial"/>
          <w:b/>
          <w:spacing w:val="-12"/>
          <w:sz w:val="21"/>
        </w:rPr>
        <w:t xml:space="preserve"> </w:t>
      </w:r>
      <w:r>
        <w:rPr>
          <w:rFonts w:ascii="Arial"/>
          <w:b/>
          <w:spacing w:val="-2"/>
          <w:sz w:val="21"/>
        </w:rPr>
        <w:t>Arrangements</w:t>
      </w:r>
    </w:p>
    <w:p>
      <w:pPr>
        <w:pStyle w:val="BodyText"/>
        <w:ind w:left="224" w:right="445"/>
      </w:pPr>
      <w:r>
        <w:t>The related-party requirements apply to all Part D sponsors entering into any type of arrangement with or receiving services from, an entity that has a different tax identification number</w:t>
      </w:r>
      <w:r>
        <w:rPr>
          <w:spacing w:val="-2"/>
        </w:rPr>
        <w:t xml:space="preserve"> </w:t>
      </w:r>
      <w:r>
        <w:t>than</w:t>
      </w:r>
      <w:r>
        <w:rPr>
          <w:spacing w:val="-1"/>
        </w:rPr>
        <w:t xml:space="preserve"> </w:t>
      </w:r>
      <w:r>
        <w:t>that of</w:t>
      </w:r>
      <w:r>
        <w:rPr>
          <w:spacing w:val="-1"/>
        </w:rPr>
        <w:t xml:space="preserve"> </w:t>
      </w:r>
      <w:r>
        <w:t>the</w:t>
      </w:r>
      <w:r>
        <w:rPr>
          <w:spacing w:val="-1"/>
        </w:rPr>
        <w:t xml:space="preserve"> </w:t>
      </w:r>
      <w:r>
        <w:t>Part D</w:t>
      </w:r>
      <w:r>
        <w:rPr>
          <w:spacing w:val="-1"/>
        </w:rPr>
        <w:t xml:space="preserve"> </w:t>
      </w:r>
      <w:r>
        <w:t>sponsor</w:t>
      </w:r>
      <w:r>
        <w:rPr>
          <w:spacing w:val="-1"/>
        </w:rPr>
        <w:t xml:space="preserve"> </w:t>
      </w:r>
      <w:r>
        <w:t>but is associated with the Part D</w:t>
      </w:r>
      <w:r>
        <w:rPr>
          <w:spacing w:val="-1"/>
        </w:rPr>
        <w:t xml:space="preserve"> </w:t>
      </w:r>
      <w:r>
        <w:t>sponsor by any form of common, privately held ownership, control or investment, including any arrangement in which the</w:t>
      </w:r>
      <w:r>
        <w:rPr>
          <w:spacing w:val="-4"/>
        </w:rPr>
        <w:t xml:space="preserve"> </w:t>
      </w:r>
      <w:r>
        <w:t>Part</w:t>
      </w:r>
      <w:r>
        <w:rPr>
          <w:spacing w:val="-4"/>
        </w:rPr>
        <w:t xml:space="preserve"> </w:t>
      </w:r>
      <w:r>
        <w:t>D</w:t>
      </w:r>
      <w:r>
        <w:rPr>
          <w:spacing w:val="-4"/>
        </w:rPr>
        <w:t xml:space="preserve"> </w:t>
      </w:r>
      <w:r>
        <w:t>sponsor</w:t>
      </w:r>
      <w:r>
        <w:rPr>
          <w:spacing w:val="-3"/>
        </w:rPr>
        <w:t xml:space="preserve"> </w:t>
      </w:r>
      <w:r>
        <w:t>does</w:t>
      </w:r>
      <w:r>
        <w:rPr>
          <w:spacing w:val="-1"/>
        </w:rPr>
        <w:t xml:space="preserve"> </w:t>
      </w:r>
      <w:r>
        <w:t>business</w:t>
      </w:r>
      <w:r>
        <w:rPr>
          <w:spacing w:val="-3"/>
        </w:rPr>
        <w:t xml:space="preserve"> </w:t>
      </w:r>
      <w:r>
        <w:t>with</w:t>
      </w:r>
      <w:r>
        <w:rPr>
          <w:spacing w:val="-3"/>
        </w:rPr>
        <w:t xml:space="preserve"> </w:t>
      </w:r>
      <w:r>
        <w:t>a</w:t>
      </w:r>
      <w:r>
        <w:rPr>
          <w:spacing w:val="-3"/>
        </w:rPr>
        <w:t xml:space="preserve"> </w:t>
      </w:r>
      <w:r>
        <w:t>related-party</w:t>
      </w:r>
      <w:r>
        <w:rPr>
          <w:spacing w:val="-3"/>
        </w:rPr>
        <w:t xml:space="preserve"> </w:t>
      </w:r>
      <w:r>
        <w:t>entity</w:t>
      </w:r>
      <w:r>
        <w:rPr>
          <w:spacing w:val="-3"/>
        </w:rPr>
        <w:t xml:space="preserve"> </w:t>
      </w:r>
      <w:r>
        <w:t>through</w:t>
      </w:r>
      <w:r>
        <w:rPr>
          <w:spacing w:val="-4"/>
        </w:rPr>
        <w:t xml:space="preserve"> </w:t>
      </w:r>
      <w:r>
        <w:t>a</w:t>
      </w:r>
      <w:r>
        <w:rPr>
          <w:spacing w:val="-4"/>
        </w:rPr>
        <w:t xml:space="preserve"> </w:t>
      </w:r>
      <w:r>
        <w:t>contract</w:t>
      </w:r>
      <w:r>
        <w:rPr>
          <w:spacing w:val="-3"/>
        </w:rPr>
        <w:t xml:space="preserve"> </w:t>
      </w:r>
      <w:r>
        <w:t>with</w:t>
      </w:r>
      <w:r>
        <w:rPr>
          <w:spacing w:val="-2"/>
        </w:rPr>
        <w:t xml:space="preserve"> </w:t>
      </w:r>
      <w:r>
        <w:t>one</w:t>
      </w:r>
      <w:r>
        <w:rPr>
          <w:spacing w:val="-4"/>
        </w:rPr>
        <w:t xml:space="preserve"> </w:t>
      </w:r>
      <w:r>
        <w:t>or</w:t>
      </w:r>
      <w:r>
        <w:rPr>
          <w:spacing w:val="-3"/>
        </w:rPr>
        <w:t xml:space="preserve"> </w:t>
      </w:r>
      <w:r>
        <w:t>more unrelated parties, such as a pharmacy benefit manager.</w:t>
      </w:r>
    </w:p>
    <w:p>
      <w:pPr>
        <w:pStyle w:val="BodyText"/>
        <w:spacing w:before="241"/>
        <w:ind w:left="224" w:right="478"/>
      </w:pPr>
      <w:r>
        <w:t>CMS</w:t>
      </w:r>
      <w:r>
        <w:rPr>
          <w:spacing w:val="-3"/>
        </w:rPr>
        <w:t xml:space="preserve"> </w:t>
      </w:r>
      <w:r>
        <w:t>requires</w:t>
      </w:r>
      <w:r>
        <w:rPr>
          <w:spacing w:val="-3"/>
        </w:rPr>
        <w:t xml:space="preserve"> </w:t>
      </w:r>
      <w:r>
        <w:t>all</w:t>
      </w:r>
      <w:r>
        <w:rPr>
          <w:spacing w:val="-2"/>
        </w:rPr>
        <w:t xml:space="preserve"> </w:t>
      </w:r>
      <w:r>
        <w:t>Part</w:t>
      </w:r>
      <w:r>
        <w:rPr>
          <w:spacing w:val="-3"/>
        </w:rPr>
        <w:t xml:space="preserve"> </w:t>
      </w:r>
      <w:r>
        <w:t>D</w:t>
      </w:r>
      <w:r>
        <w:rPr>
          <w:spacing w:val="-1"/>
        </w:rPr>
        <w:t xml:space="preserve"> </w:t>
      </w:r>
      <w:r>
        <w:t>sponsors</w:t>
      </w:r>
      <w:r>
        <w:rPr>
          <w:spacing w:val="-3"/>
        </w:rPr>
        <w:t xml:space="preserve"> </w:t>
      </w:r>
      <w:r>
        <w:t>to</w:t>
      </w:r>
      <w:r>
        <w:rPr>
          <w:spacing w:val="-3"/>
        </w:rPr>
        <w:t xml:space="preserve"> </w:t>
      </w:r>
      <w:r>
        <w:t>disclose</w:t>
      </w:r>
      <w:r>
        <w:rPr>
          <w:spacing w:val="-3"/>
        </w:rPr>
        <w:t xml:space="preserve"> </w:t>
      </w:r>
      <w:r>
        <w:t>whether</w:t>
      </w:r>
      <w:r>
        <w:rPr>
          <w:spacing w:val="-5"/>
        </w:rPr>
        <w:t xml:space="preserve"> </w:t>
      </w:r>
      <w:r>
        <w:t>or</w:t>
      </w:r>
      <w:r>
        <w:rPr>
          <w:spacing w:val="-3"/>
        </w:rPr>
        <w:t xml:space="preserve"> </w:t>
      </w:r>
      <w:r>
        <w:t>not</w:t>
      </w:r>
      <w:r>
        <w:rPr>
          <w:spacing w:val="-3"/>
        </w:rPr>
        <w:t xml:space="preserve"> </w:t>
      </w:r>
      <w:r>
        <w:t>they</w:t>
      </w:r>
      <w:r>
        <w:rPr>
          <w:spacing w:val="-3"/>
        </w:rPr>
        <w:t xml:space="preserve"> </w:t>
      </w:r>
      <w:r>
        <w:t>are</w:t>
      </w:r>
      <w:r>
        <w:rPr>
          <w:spacing w:val="-5"/>
        </w:rPr>
        <w:t xml:space="preserve"> </w:t>
      </w:r>
      <w:r>
        <w:t>in</w:t>
      </w:r>
      <w:r>
        <w:rPr>
          <w:spacing w:val="-3"/>
        </w:rPr>
        <w:t xml:space="preserve"> </w:t>
      </w:r>
      <w:r>
        <w:t>a</w:t>
      </w:r>
      <w:r>
        <w:rPr>
          <w:spacing w:val="-3"/>
        </w:rPr>
        <w:t xml:space="preserve"> </w:t>
      </w:r>
      <w:r>
        <w:t>business</w:t>
      </w:r>
      <w:r>
        <w:rPr>
          <w:spacing w:val="-3"/>
        </w:rPr>
        <w:t xml:space="preserve"> </w:t>
      </w:r>
      <w:r>
        <w:t>arrangement with a related party. Part D sponsors in such an arrangement must (i) enter related-party expenses on lines 1 and 2 of Section VII of Worksheet 2, and (ii) provide additional documentation for each related party in accord with the requirements in Appendix B.</w:t>
      </w:r>
    </w:p>
    <w:p>
      <w:pPr>
        <w:spacing w:before="240"/>
        <w:ind w:left="224" w:right="0" w:firstLine="0"/>
        <w:jc w:val="left"/>
        <w:rPr>
          <w:rFonts w:ascii="Arial"/>
          <w:b/>
          <w:sz w:val="21"/>
        </w:rPr>
      </w:pPr>
      <w:bookmarkStart w:id="37" w:name="Risk Score Development for CY2026"/>
      <w:bookmarkEnd w:id="37"/>
      <w:bookmarkStart w:id="38" w:name="_bookmark18"/>
      <w:bookmarkEnd w:id="38"/>
      <w:r>
        <w:rPr>
          <w:rFonts w:ascii="Arial"/>
          <w:b/>
          <w:sz w:val="21"/>
        </w:rPr>
        <w:t>Risk</w:t>
      </w:r>
      <w:r>
        <w:rPr>
          <w:rFonts w:ascii="Arial"/>
          <w:b/>
          <w:spacing w:val="-7"/>
          <w:sz w:val="21"/>
        </w:rPr>
        <w:t xml:space="preserve"> </w:t>
      </w:r>
      <w:r>
        <w:rPr>
          <w:rFonts w:ascii="Arial"/>
          <w:b/>
          <w:sz w:val="21"/>
        </w:rPr>
        <w:t>Score</w:t>
      </w:r>
      <w:r>
        <w:rPr>
          <w:rFonts w:ascii="Arial"/>
          <w:b/>
          <w:spacing w:val="-7"/>
          <w:sz w:val="21"/>
        </w:rPr>
        <w:t xml:space="preserve"> </w:t>
      </w:r>
      <w:r>
        <w:rPr>
          <w:rFonts w:ascii="Arial"/>
          <w:b/>
          <w:sz w:val="21"/>
        </w:rPr>
        <w:t>Development</w:t>
      </w:r>
      <w:r>
        <w:rPr>
          <w:rFonts w:ascii="Arial"/>
          <w:b/>
          <w:spacing w:val="-8"/>
          <w:sz w:val="21"/>
        </w:rPr>
        <w:t xml:space="preserve"> </w:t>
      </w:r>
      <w:r>
        <w:rPr>
          <w:rFonts w:ascii="Arial"/>
          <w:b/>
          <w:sz w:val="21"/>
        </w:rPr>
        <w:t>for</w:t>
      </w:r>
      <w:r>
        <w:rPr>
          <w:rFonts w:ascii="Arial"/>
          <w:b/>
          <w:spacing w:val="-6"/>
          <w:sz w:val="21"/>
        </w:rPr>
        <w:t xml:space="preserve"> </w:t>
      </w:r>
      <w:r>
        <w:rPr>
          <w:rFonts w:ascii="Arial"/>
          <w:b/>
          <w:spacing w:val="-2"/>
          <w:sz w:val="21"/>
        </w:rPr>
        <w:t>CY2026</w:t>
      </w:r>
    </w:p>
    <w:p>
      <w:pPr>
        <w:pStyle w:val="BodyText"/>
        <w:spacing w:before="121"/>
        <w:ind w:left="224"/>
      </w:pPr>
      <w:r>
        <w:t>The</w:t>
      </w:r>
      <w:r>
        <w:rPr>
          <w:spacing w:val="-3"/>
        </w:rPr>
        <w:t xml:space="preserve"> </w:t>
      </w:r>
      <w:r>
        <w:t>projected</w:t>
      </w:r>
      <w:r>
        <w:rPr>
          <w:spacing w:val="-1"/>
        </w:rPr>
        <w:t xml:space="preserve"> </w:t>
      </w:r>
      <w:r>
        <w:t>CY2026 risk</w:t>
      </w:r>
      <w:r>
        <w:rPr>
          <w:spacing w:val="-1"/>
        </w:rPr>
        <w:t xml:space="preserve"> </w:t>
      </w:r>
      <w:r>
        <w:t>score</w:t>
      </w:r>
      <w:r>
        <w:rPr>
          <w:spacing w:val="-1"/>
        </w:rPr>
        <w:t xml:space="preserve"> </w:t>
      </w:r>
      <w:r>
        <w:rPr>
          <w:spacing w:val="-2"/>
        </w:rPr>
        <w:t>must—</w:t>
      </w:r>
    </w:p>
    <w:p>
      <w:pPr>
        <w:pStyle w:val="ListParagraph"/>
        <w:numPr>
          <w:ilvl w:val="0"/>
          <w:numId w:val="13"/>
        </w:numPr>
        <w:tabs>
          <w:tab w:val="left" w:pos="944"/>
        </w:tabs>
        <w:spacing w:before="140" w:after="0" w:line="240" w:lineRule="auto"/>
        <w:ind w:left="944" w:right="614" w:hanging="360"/>
        <w:jc w:val="left"/>
        <w:rPr>
          <w:sz w:val="24"/>
        </w:rPr>
      </w:pPr>
      <w:r>
        <w:rPr>
          <w:sz w:val="24"/>
        </w:rPr>
        <w:t>Be</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data</w:t>
      </w:r>
      <w:r>
        <w:rPr>
          <w:spacing w:val="-4"/>
          <w:sz w:val="24"/>
        </w:rPr>
        <w:t xml:space="preserve"> </w:t>
      </w:r>
      <w:r>
        <w:rPr>
          <w:sz w:val="24"/>
        </w:rPr>
        <w:t>sources</w:t>
      </w:r>
      <w:r>
        <w:rPr>
          <w:spacing w:val="-3"/>
          <w:sz w:val="24"/>
        </w:rPr>
        <w:t xml:space="preserve"> </w:t>
      </w:r>
      <w:r>
        <w:rPr>
          <w:sz w:val="24"/>
        </w:rPr>
        <w:t>and</w:t>
      </w:r>
      <w:r>
        <w:rPr>
          <w:spacing w:val="-3"/>
          <w:sz w:val="24"/>
        </w:rPr>
        <w:t xml:space="preserve"> </w:t>
      </w:r>
      <w:r>
        <w:rPr>
          <w:sz w:val="24"/>
        </w:rPr>
        <w:t>their</w:t>
      </w:r>
      <w:r>
        <w:rPr>
          <w:spacing w:val="-2"/>
          <w:sz w:val="24"/>
        </w:rPr>
        <w:t xml:space="preserve"> </w:t>
      </w:r>
      <w:r>
        <w:rPr>
          <w:sz w:val="24"/>
        </w:rPr>
        <w:t>respective</w:t>
      </w:r>
      <w:r>
        <w:rPr>
          <w:spacing w:val="-2"/>
          <w:sz w:val="24"/>
        </w:rPr>
        <w:t xml:space="preserve"> </w:t>
      </w:r>
      <w:r>
        <w:rPr>
          <w:sz w:val="24"/>
        </w:rPr>
        <w:t>weights,</w:t>
      </w:r>
      <w:r>
        <w:rPr>
          <w:spacing w:val="-3"/>
          <w:sz w:val="24"/>
        </w:rPr>
        <w:t xml:space="preserve"> </w:t>
      </w:r>
      <w:r>
        <w:rPr>
          <w:sz w:val="24"/>
        </w:rPr>
        <w:t>as</w:t>
      </w:r>
      <w:r>
        <w:rPr>
          <w:spacing w:val="-3"/>
          <w:sz w:val="24"/>
        </w:rPr>
        <w:t xml:space="preserve"> </w:t>
      </w:r>
      <w:r>
        <w:rPr>
          <w:sz w:val="24"/>
        </w:rPr>
        <w:t>specified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resources listed below in the Risk Adjustment Information Sources section.</w:t>
      </w:r>
    </w:p>
    <w:p>
      <w:pPr>
        <w:pStyle w:val="ListParagraph"/>
        <w:numPr>
          <w:ilvl w:val="0"/>
          <w:numId w:val="13"/>
        </w:numPr>
        <w:tabs>
          <w:tab w:val="left" w:pos="944"/>
        </w:tabs>
        <w:spacing w:before="40" w:after="0" w:line="240" w:lineRule="auto"/>
        <w:ind w:left="944" w:right="0" w:hanging="360"/>
        <w:jc w:val="left"/>
        <w:rPr>
          <w:sz w:val="24"/>
        </w:rPr>
      </w:pPr>
      <w:r>
        <w:rPr>
          <w:sz w:val="24"/>
        </w:rPr>
        <w:t>Reflect</w:t>
      </w:r>
      <w:r>
        <w:rPr>
          <w:spacing w:val="-1"/>
          <w:sz w:val="24"/>
        </w:rPr>
        <w:t xml:space="preserve"> </w:t>
      </w:r>
      <w:r>
        <w:rPr>
          <w:sz w:val="24"/>
        </w:rPr>
        <w:t>the</w:t>
      </w:r>
      <w:r>
        <w:rPr>
          <w:spacing w:val="-2"/>
          <w:sz w:val="24"/>
        </w:rPr>
        <w:t xml:space="preserve"> </w:t>
      </w:r>
      <w:r>
        <w:rPr>
          <w:sz w:val="24"/>
        </w:rPr>
        <w:t>expected risk</w:t>
      </w:r>
      <w:r>
        <w:rPr>
          <w:spacing w:val="-1"/>
          <w:sz w:val="24"/>
        </w:rPr>
        <w:t xml:space="preserve"> </w:t>
      </w:r>
      <w:r>
        <w:rPr>
          <w:sz w:val="24"/>
        </w:rPr>
        <w:t>score</w:t>
      </w:r>
      <w:r>
        <w:rPr>
          <w:spacing w:val="-3"/>
          <w:sz w:val="24"/>
        </w:rPr>
        <w:t xml:space="preserve"> </w:t>
      </w:r>
      <w:r>
        <w:rPr>
          <w:sz w:val="24"/>
        </w:rPr>
        <w:t>trend at</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pacing w:val="-2"/>
          <w:sz w:val="24"/>
        </w:rPr>
        <w:t>level.</w:t>
      </w:r>
    </w:p>
    <w:p>
      <w:pPr>
        <w:pStyle w:val="ListParagraph"/>
        <w:numPr>
          <w:ilvl w:val="0"/>
          <w:numId w:val="13"/>
        </w:numPr>
        <w:tabs>
          <w:tab w:val="left" w:pos="944"/>
        </w:tabs>
        <w:spacing w:before="39" w:after="0" w:line="240" w:lineRule="auto"/>
        <w:ind w:left="944" w:right="0" w:hanging="360"/>
        <w:jc w:val="left"/>
        <w:rPr>
          <w:sz w:val="24"/>
        </w:rPr>
      </w:pPr>
      <w:r>
        <w:rPr>
          <w:sz w:val="24"/>
        </w:rPr>
        <w:t>Be</w:t>
      </w:r>
      <w:r>
        <w:rPr>
          <w:spacing w:val="-2"/>
          <w:sz w:val="24"/>
        </w:rPr>
        <w:t xml:space="preserve"> </w:t>
      </w:r>
      <w:r>
        <w:rPr>
          <w:sz w:val="24"/>
        </w:rPr>
        <w:t>appropriate for</w:t>
      </w:r>
      <w:r>
        <w:rPr>
          <w:spacing w:val="-3"/>
          <w:sz w:val="24"/>
        </w:rPr>
        <w:t xml:space="preserve"> </w:t>
      </w:r>
      <w:r>
        <w:rPr>
          <w:sz w:val="24"/>
        </w:rPr>
        <w:t>the expected</w:t>
      </w:r>
      <w:r>
        <w:rPr>
          <w:spacing w:val="-1"/>
          <w:sz w:val="24"/>
        </w:rPr>
        <w:t xml:space="preserve"> </w:t>
      </w:r>
      <w:r>
        <w:rPr>
          <w:spacing w:val="-2"/>
          <w:sz w:val="24"/>
        </w:rPr>
        <w:t>population.</w:t>
      </w:r>
    </w:p>
    <w:p>
      <w:pPr>
        <w:pStyle w:val="ListParagraph"/>
        <w:numPr>
          <w:ilvl w:val="0"/>
          <w:numId w:val="13"/>
        </w:numPr>
        <w:tabs>
          <w:tab w:val="left" w:pos="944"/>
        </w:tabs>
        <w:spacing w:before="41" w:after="0" w:line="240" w:lineRule="auto"/>
        <w:ind w:left="944" w:right="0" w:hanging="360"/>
        <w:jc w:val="left"/>
        <w:rPr>
          <w:sz w:val="24"/>
        </w:rPr>
      </w:pPr>
      <w:r>
        <w:rPr>
          <w:sz w:val="24"/>
        </w:rPr>
        <w:t>Be</w:t>
      </w:r>
      <w:r>
        <w:rPr>
          <w:spacing w:val="-2"/>
          <w:sz w:val="24"/>
        </w:rPr>
        <w:t xml:space="preserve"> </w:t>
      </w:r>
      <w:r>
        <w:rPr>
          <w:sz w:val="24"/>
        </w:rPr>
        <w:t>adjusted for</w:t>
      </w:r>
      <w:r>
        <w:rPr>
          <w:spacing w:val="-2"/>
          <w:sz w:val="24"/>
        </w:rPr>
        <w:t xml:space="preserve"> </w:t>
      </w:r>
      <w:r>
        <w:rPr>
          <w:sz w:val="24"/>
        </w:rPr>
        <w:t>CY2026</w:t>
      </w:r>
      <w:r>
        <w:rPr>
          <w:spacing w:val="2"/>
          <w:sz w:val="24"/>
        </w:rPr>
        <w:t xml:space="preserve"> </w:t>
      </w:r>
      <w:r>
        <w:rPr>
          <w:spacing w:val="-2"/>
          <w:sz w:val="24"/>
        </w:rPr>
        <w:t>normalization.</w:t>
      </w:r>
    </w:p>
    <w:p>
      <w:pPr>
        <w:spacing w:after="0" w:line="240" w:lineRule="auto"/>
        <w:jc w:val="left"/>
        <w:rPr>
          <w:sz w:val="24"/>
        </w:rPr>
        <w:sectPr>
          <w:pgSz w:w="12240" w:h="15840"/>
          <w:pgMar w:top="1340" w:right="1000" w:bottom="940" w:left="1360" w:header="727" w:footer="747"/>
          <w:cols w:space="720"/>
        </w:sectPr>
      </w:pPr>
    </w:p>
    <w:p>
      <w:pPr>
        <w:spacing w:before="87"/>
        <w:ind w:left="944" w:right="0" w:firstLine="0"/>
        <w:jc w:val="left"/>
        <w:rPr>
          <w:rFonts w:ascii="Arial"/>
          <w:b/>
          <w:i/>
          <w:sz w:val="21"/>
        </w:rPr>
      </w:pPr>
      <w:r>
        <w:rPr>
          <w:rFonts w:ascii="Arial"/>
          <w:b/>
          <w:i/>
          <w:sz w:val="21"/>
        </w:rPr>
        <w:t>Risk</w:t>
      </w:r>
      <w:r>
        <w:rPr>
          <w:rFonts w:ascii="Arial"/>
          <w:b/>
          <w:i/>
          <w:spacing w:val="-7"/>
          <w:sz w:val="21"/>
        </w:rPr>
        <w:t xml:space="preserve"> </w:t>
      </w:r>
      <w:r>
        <w:rPr>
          <w:rFonts w:ascii="Arial"/>
          <w:b/>
          <w:i/>
          <w:sz w:val="21"/>
        </w:rPr>
        <w:t>Score</w:t>
      </w:r>
      <w:r>
        <w:rPr>
          <w:rFonts w:ascii="Arial"/>
          <w:b/>
          <w:i/>
          <w:spacing w:val="-7"/>
          <w:sz w:val="21"/>
        </w:rPr>
        <w:t xml:space="preserve"> </w:t>
      </w:r>
      <w:r>
        <w:rPr>
          <w:rFonts w:ascii="Arial"/>
          <w:b/>
          <w:i/>
          <w:sz w:val="21"/>
        </w:rPr>
        <w:t>Calculation</w:t>
      </w:r>
      <w:r>
        <w:rPr>
          <w:rFonts w:ascii="Arial"/>
          <w:b/>
          <w:i/>
          <w:spacing w:val="-6"/>
          <w:sz w:val="21"/>
        </w:rPr>
        <w:t xml:space="preserve"> </w:t>
      </w:r>
      <w:r>
        <w:rPr>
          <w:rFonts w:ascii="Arial"/>
          <w:b/>
          <w:i/>
          <w:spacing w:val="-2"/>
          <w:sz w:val="21"/>
        </w:rPr>
        <w:t>Approaches</w:t>
      </w:r>
    </w:p>
    <w:p>
      <w:pPr>
        <w:pStyle w:val="BodyText"/>
        <w:spacing w:before="121"/>
        <w:ind w:right="478"/>
      </w:pPr>
      <w:r>
        <w:t>There</w:t>
      </w:r>
      <w:r>
        <w:rPr>
          <w:spacing w:val="-4"/>
        </w:rPr>
        <w:t xml:space="preserve"> </w:t>
      </w:r>
      <w:r>
        <w:t>are</w:t>
      </w:r>
      <w:r>
        <w:rPr>
          <w:spacing w:val="-6"/>
        </w:rPr>
        <w:t xml:space="preserve"> </w:t>
      </w:r>
      <w:r>
        <w:t>two</w:t>
      </w:r>
      <w:r>
        <w:rPr>
          <w:spacing w:val="-4"/>
        </w:rPr>
        <w:t xml:space="preserve"> </w:t>
      </w:r>
      <w:r>
        <w:t>methods</w:t>
      </w:r>
      <w:r>
        <w:rPr>
          <w:spacing w:val="-4"/>
        </w:rPr>
        <w:t xml:space="preserve"> </w:t>
      </w:r>
      <w:r>
        <w:t>for</w:t>
      </w:r>
      <w:r>
        <w:rPr>
          <w:spacing w:val="-4"/>
        </w:rPr>
        <w:t xml:space="preserve"> </w:t>
      </w:r>
      <w:r>
        <w:t>calculating</w:t>
      </w:r>
      <w:r>
        <w:rPr>
          <w:spacing w:val="-4"/>
        </w:rPr>
        <w:t xml:space="preserve"> </w:t>
      </w:r>
      <w:r>
        <w:t>the</w:t>
      </w:r>
      <w:r>
        <w:rPr>
          <w:spacing w:val="-4"/>
        </w:rPr>
        <w:t xml:space="preserve"> </w:t>
      </w:r>
      <w:r>
        <w:t>projected</w:t>
      </w:r>
      <w:r>
        <w:rPr>
          <w:spacing w:val="-4"/>
        </w:rPr>
        <w:t xml:space="preserve"> </w:t>
      </w:r>
      <w:r>
        <w:t>risk</w:t>
      </w:r>
      <w:r>
        <w:rPr>
          <w:spacing w:val="-4"/>
        </w:rPr>
        <w:t xml:space="preserve"> </w:t>
      </w:r>
      <w:r>
        <w:t>score:</w:t>
      </w:r>
      <w:r>
        <w:rPr>
          <w:spacing w:val="-4"/>
        </w:rPr>
        <w:t xml:space="preserve"> </w:t>
      </w:r>
      <w:r>
        <w:t>the</w:t>
      </w:r>
      <w:r>
        <w:rPr>
          <w:spacing w:val="-5"/>
        </w:rPr>
        <w:t xml:space="preserve"> </w:t>
      </w:r>
      <w:r>
        <w:t>preferred</w:t>
      </w:r>
      <w:r>
        <w:rPr>
          <w:spacing w:val="-4"/>
        </w:rPr>
        <w:t xml:space="preserve"> </w:t>
      </w:r>
      <w:r>
        <w:t>approach and the alternate approach.</w:t>
      </w:r>
    </w:p>
    <w:p>
      <w:pPr>
        <w:pStyle w:val="ListParagraph"/>
        <w:numPr>
          <w:ilvl w:val="0"/>
          <w:numId w:val="12"/>
        </w:numPr>
        <w:tabs>
          <w:tab w:val="left" w:pos="1664"/>
        </w:tabs>
        <w:spacing w:before="120" w:after="0" w:line="240" w:lineRule="auto"/>
        <w:ind w:left="1664" w:right="695" w:hanging="360"/>
        <w:jc w:val="left"/>
        <w:rPr>
          <w:sz w:val="24"/>
        </w:rPr>
      </w:pPr>
      <w:r>
        <w:rPr>
          <w:sz w:val="24"/>
        </w:rPr>
        <w:t>The</w:t>
      </w:r>
      <w:r>
        <w:rPr>
          <w:spacing w:val="-5"/>
          <w:sz w:val="24"/>
        </w:rPr>
        <w:t xml:space="preserve"> </w:t>
      </w:r>
      <w:r>
        <w:rPr>
          <w:sz w:val="24"/>
        </w:rPr>
        <w:t>preferred</w:t>
      </w:r>
      <w:r>
        <w:rPr>
          <w:spacing w:val="-3"/>
          <w:sz w:val="24"/>
        </w:rPr>
        <w:t xml:space="preserve"> </w:t>
      </w:r>
      <w:r>
        <w:rPr>
          <w:sz w:val="24"/>
        </w:rPr>
        <w:t>approach</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start</w:t>
      </w:r>
      <w:r>
        <w:rPr>
          <w:spacing w:val="-3"/>
          <w:sz w:val="24"/>
        </w:rPr>
        <w:t xml:space="preserve"> </w:t>
      </w:r>
      <w:r>
        <w:rPr>
          <w:sz w:val="24"/>
        </w:rPr>
        <w:t>with</w:t>
      </w:r>
      <w:r>
        <w:rPr>
          <w:spacing w:val="-3"/>
          <w:sz w:val="24"/>
        </w:rPr>
        <w:t xml:space="preserve"> </w:t>
      </w:r>
      <w:r>
        <w:rPr>
          <w:sz w:val="24"/>
        </w:rPr>
        <w:t>either</w:t>
      </w:r>
      <w:r>
        <w:rPr>
          <w:spacing w:val="-3"/>
          <w:sz w:val="24"/>
        </w:rPr>
        <w:t xml:space="preserve"> </w:t>
      </w:r>
      <w:r>
        <w:rPr>
          <w:sz w:val="24"/>
        </w:rPr>
        <w:t>the</w:t>
      </w:r>
      <w:r>
        <w:rPr>
          <w:spacing w:val="-5"/>
          <w:sz w:val="24"/>
        </w:rPr>
        <w:t xml:space="preserve"> </w:t>
      </w:r>
      <w:r>
        <w:rPr>
          <w:sz w:val="24"/>
        </w:rPr>
        <w:t>beneficiary</w:t>
      </w:r>
      <w:r>
        <w:rPr>
          <w:spacing w:val="-3"/>
          <w:sz w:val="24"/>
        </w:rPr>
        <w:t xml:space="preserve"> </w:t>
      </w:r>
      <w:r>
        <w:rPr>
          <w:sz w:val="24"/>
        </w:rPr>
        <w:t>or</w:t>
      </w:r>
      <w:r>
        <w:rPr>
          <w:spacing w:val="-5"/>
          <w:sz w:val="24"/>
        </w:rPr>
        <w:t xml:space="preserve"> </w:t>
      </w:r>
      <w:r>
        <w:rPr>
          <w:sz w:val="24"/>
        </w:rPr>
        <w:t>plan-level</w:t>
      </w:r>
      <w:r>
        <w:rPr>
          <w:spacing w:val="-3"/>
          <w:sz w:val="24"/>
        </w:rPr>
        <w:t xml:space="preserve"> </w:t>
      </w:r>
      <w:r>
        <w:rPr>
          <w:sz w:val="24"/>
        </w:rPr>
        <w:t>data files provided by CMS, which contain the calculated risk scores using the CY2026 payment model on 12 months of 2024 membership or the July 2024 enrollees, respectively.</w:t>
      </w:r>
    </w:p>
    <w:p>
      <w:pPr>
        <w:pStyle w:val="ListParagraph"/>
        <w:numPr>
          <w:ilvl w:val="0"/>
          <w:numId w:val="12"/>
        </w:numPr>
        <w:tabs>
          <w:tab w:val="left" w:pos="1664"/>
        </w:tabs>
        <w:spacing w:before="0" w:after="0" w:line="240" w:lineRule="auto"/>
        <w:ind w:left="1664" w:right="805" w:hanging="360"/>
        <w:jc w:val="both"/>
        <w:rPr>
          <w:sz w:val="24"/>
        </w:rPr>
      </w:pPr>
      <w:r>
        <w:rPr>
          <w:sz w:val="24"/>
        </w:rPr>
        <w:t>The</w:t>
      </w:r>
      <w:r>
        <w:rPr>
          <w:spacing w:val="-4"/>
          <w:sz w:val="24"/>
        </w:rPr>
        <w:t xml:space="preserve"> </w:t>
      </w:r>
      <w:r>
        <w:rPr>
          <w:sz w:val="24"/>
        </w:rPr>
        <w:t>alternate</w:t>
      </w:r>
      <w:r>
        <w:rPr>
          <w:spacing w:val="-2"/>
          <w:sz w:val="24"/>
        </w:rPr>
        <w:t xml:space="preserve"> </w:t>
      </w:r>
      <w:r>
        <w:rPr>
          <w:sz w:val="24"/>
        </w:rPr>
        <w:t>approach allows</w:t>
      </w:r>
      <w:r>
        <w:rPr>
          <w:spacing w:val="-2"/>
          <w:sz w:val="24"/>
        </w:rPr>
        <w:t xml:space="preserve"> </w:t>
      </w:r>
      <w:r>
        <w:rPr>
          <w:sz w:val="24"/>
        </w:rPr>
        <w:t>new</w:t>
      </w:r>
      <w:r>
        <w:rPr>
          <w:spacing w:val="-2"/>
          <w:sz w:val="24"/>
        </w:rPr>
        <w:t xml:space="preserve"> </w:t>
      </w:r>
      <w:r>
        <w:rPr>
          <w:sz w:val="24"/>
        </w:rPr>
        <w:t>plans</w:t>
      </w:r>
      <w:r>
        <w:rPr>
          <w:spacing w:val="-2"/>
          <w:sz w:val="24"/>
        </w:rPr>
        <w:t xml:space="preserve"> </w:t>
      </w:r>
      <w:r>
        <w:rPr>
          <w:sz w:val="24"/>
        </w:rPr>
        <w:t>or</w:t>
      </w:r>
      <w:r>
        <w:rPr>
          <w:spacing w:val="-2"/>
          <w:sz w:val="24"/>
        </w:rPr>
        <w:t xml:space="preserve"> </w:t>
      </w:r>
      <w:r>
        <w:rPr>
          <w:sz w:val="24"/>
        </w:rPr>
        <w:t>plans with</w:t>
      </w:r>
      <w:r>
        <w:rPr>
          <w:spacing w:val="-2"/>
          <w:sz w:val="24"/>
        </w:rPr>
        <w:t xml:space="preserve"> </w:t>
      </w:r>
      <w:r>
        <w:rPr>
          <w:sz w:val="24"/>
        </w:rPr>
        <w:t>significant</w:t>
      </w:r>
      <w:r>
        <w:rPr>
          <w:spacing w:val="-2"/>
          <w:sz w:val="24"/>
        </w:rPr>
        <w:t xml:space="preserve"> </w:t>
      </w:r>
      <w:r>
        <w:rPr>
          <w:sz w:val="24"/>
        </w:rPr>
        <w:t>population changes</w:t>
      </w:r>
      <w:r>
        <w:rPr>
          <w:spacing w:val="-4"/>
          <w:sz w:val="24"/>
        </w:rPr>
        <w:t xml:space="preserve"> </w:t>
      </w:r>
      <w:r>
        <w:rPr>
          <w:sz w:val="24"/>
        </w:rPr>
        <w:t>to</w:t>
      </w:r>
      <w:r>
        <w:rPr>
          <w:spacing w:val="-4"/>
          <w:sz w:val="24"/>
        </w:rPr>
        <w:t xml:space="preserve"> </w:t>
      </w:r>
      <w:r>
        <w:rPr>
          <w:sz w:val="24"/>
        </w:rPr>
        <w:t>use</w:t>
      </w:r>
      <w:r>
        <w:rPr>
          <w:spacing w:val="-3"/>
          <w:sz w:val="24"/>
        </w:rPr>
        <w:t xml:space="preserve"> </w:t>
      </w:r>
      <w:r>
        <w:rPr>
          <w:sz w:val="24"/>
        </w:rPr>
        <w:t>a</w:t>
      </w:r>
      <w:r>
        <w:rPr>
          <w:spacing w:val="-5"/>
          <w:sz w:val="24"/>
        </w:rPr>
        <w:t xml:space="preserve"> </w:t>
      </w:r>
      <w:r>
        <w:rPr>
          <w:sz w:val="24"/>
        </w:rPr>
        <w:t>different</w:t>
      </w:r>
      <w:r>
        <w:rPr>
          <w:spacing w:val="-2"/>
          <w:sz w:val="24"/>
        </w:rPr>
        <w:t xml:space="preserve"> </w:t>
      </w:r>
      <w:r>
        <w:rPr>
          <w:sz w:val="24"/>
        </w:rPr>
        <w:t>starting</w:t>
      </w:r>
      <w:r>
        <w:rPr>
          <w:spacing w:val="-4"/>
          <w:sz w:val="24"/>
        </w:rPr>
        <w:t xml:space="preserve"> </w:t>
      </w:r>
      <w:r>
        <w:rPr>
          <w:sz w:val="24"/>
        </w:rPr>
        <w:t>point</w:t>
      </w:r>
      <w:r>
        <w:rPr>
          <w:spacing w:val="-4"/>
          <w:sz w:val="24"/>
        </w:rPr>
        <w:t xml:space="preserve"> </w:t>
      </w:r>
      <w:r>
        <w:rPr>
          <w:sz w:val="24"/>
        </w:rPr>
        <w:t>for</w:t>
      </w:r>
      <w:r>
        <w:rPr>
          <w:spacing w:val="-6"/>
          <w:sz w:val="24"/>
        </w:rPr>
        <w:t xml:space="preserve"> </w:t>
      </w:r>
      <w:r>
        <w:rPr>
          <w:sz w:val="24"/>
        </w:rPr>
        <w:t>estimating</w:t>
      </w:r>
      <w:r>
        <w:rPr>
          <w:spacing w:val="-4"/>
          <w:sz w:val="24"/>
        </w:rPr>
        <w:t xml:space="preserve"> </w:t>
      </w:r>
      <w:r>
        <w:rPr>
          <w:sz w:val="24"/>
        </w:rPr>
        <w:t>their</w:t>
      </w:r>
      <w:r>
        <w:rPr>
          <w:spacing w:val="-4"/>
          <w:sz w:val="24"/>
        </w:rPr>
        <w:t xml:space="preserve"> </w:t>
      </w:r>
      <w:r>
        <w:rPr>
          <w:sz w:val="24"/>
        </w:rPr>
        <w:t>contract</w:t>
      </w:r>
      <w:r>
        <w:rPr>
          <w:spacing w:val="-4"/>
          <w:sz w:val="24"/>
        </w:rPr>
        <w:t xml:space="preserve"> </w:t>
      </w:r>
      <w:r>
        <w:rPr>
          <w:sz w:val="24"/>
        </w:rPr>
        <w:t>year</w:t>
      </w:r>
      <w:r>
        <w:rPr>
          <w:spacing w:val="-3"/>
          <w:sz w:val="24"/>
        </w:rPr>
        <w:t xml:space="preserve"> </w:t>
      </w:r>
      <w:r>
        <w:rPr>
          <w:sz w:val="24"/>
        </w:rPr>
        <w:t xml:space="preserve">risk </w:t>
      </w:r>
      <w:r>
        <w:rPr>
          <w:spacing w:val="-2"/>
          <w:sz w:val="24"/>
        </w:rPr>
        <w:t>score.</w:t>
      </w:r>
    </w:p>
    <w:p>
      <w:pPr>
        <w:pStyle w:val="BodyText"/>
        <w:jc w:val="both"/>
      </w:pPr>
      <w:r>
        <w:t>For</w:t>
      </w:r>
      <w:r>
        <w:rPr>
          <w:spacing w:val="-3"/>
        </w:rPr>
        <w:t xml:space="preserve"> </w:t>
      </w:r>
      <w:r>
        <w:t>both</w:t>
      </w:r>
      <w:r>
        <w:rPr>
          <w:spacing w:val="-2"/>
        </w:rPr>
        <w:t xml:space="preserve"> </w:t>
      </w:r>
      <w:r>
        <w:t>approaches,</w:t>
      </w:r>
      <w:r>
        <w:rPr>
          <w:spacing w:val="-1"/>
        </w:rPr>
        <w:t xml:space="preserve"> </w:t>
      </w:r>
      <w:r>
        <w:t>explicit</w:t>
      </w:r>
      <w:r>
        <w:rPr>
          <w:spacing w:val="-1"/>
        </w:rPr>
        <w:t xml:space="preserve"> </w:t>
      </w:r>
      <w:r>
        <w:t>adjustments</w:t>
      </w:r>
      <w:r>
        <w:rPr>
          <w:spacing w:val="-1"/>
        </w:rPr>
        <w:t xml:space="preserve"> </w:t>
      </w:r>
      <w:r>
        <w:t>for</w:t>
      </w:r>
      <w:r>
        <w:rPr>
          <w:spacing w:val="-2"/>
        </w:rPr>
        <w:t xml:space="preserve"> </w:t>
      </w:r>
      <w:r>
        <w:t>the</w:t>
      </w:r>
      <w:r>
        <w:rPr>
          <w:spacing w:val="-1"/>
        </w:rPr>
        <w:t xml:space="preserve"> </w:t>
      </w:r>
      <w:r>
        <w:t>following</w:t>
      </w:r>
      <w:r>
        <w:rPr>
          <w:spacing w:val="-1"/>
        </w:rPr>
        <w:t xml:space="preserve"> </w:t>
      </w:r>
      <w:r>
        <w:t>factors</w:t>
      </w:r>
      <w:r>
        <w:rPr>
          <w:spacing w:val="-2"/>
        </w:rPr>
        <w:t xml:space="preserve"> </w:t>
      </w:r>
      <w:r>
        <w:t>are</w:t>
      </w:r>
      <w:r>
        <w:rPr>
          <w:spacing w:val="-1"/>
        </w:rPr>
        <w:t xml:space="preserve"> </w:t>
      </w:r>
      <w:r>
        <w:rPr>
          <w:spacing w:val="-2"/>
        </w:rPr>
        <w:t>required:</w:t>
      </w:r>
    </w:p>
    <w:p>
      <w:pPr>
        <w:pStyle w:val="ListParagraph"/>
        <w:numPr>
          <w:ilvl w:val="0"/>
          <w:numId w:val="12"/>
        </w:numPr>
        <w:tabs>
          <w:tab w:val="left" w:pos="1664"/>
        </w:tabs>
        <w:spacing w:before="123" w:after="0" w:line="237" w:lineRule="auto"/>
        <w:ind w:left="1664" w:right="884" w:hanging="360"/>
        <w:jc w:val="left"/>
        <w:rPr>
          <w:sz w:val="24"/>
        </w:rPr>
      </w:pPr>
      <w:r>
        <w:rPr>
          <w:sz w:val="24"/>
        </w:rPr>
        <w:t>Run-out</w:t>
      </w:r>
      <w:r>
        <w:rPr>
          <w:spacing w:val="-4"/>
          <w:sz w:val="24"/>
        </w:rPr>
        <w:t xml:space="preserve"> </w:t>
      </w:r>
      <w:r>
        <w:rPr>
          <w:sz w:val="24"/>
        </w:rPr>
        <w:t>of</w:t>
      </w:r>
      <w:r>
        <w:rPr>
          <w:spacing w:val="-4"/>
          <w:sz w:val="24"/>
        </w:rPr>
        <w:t xml:space="preserve"> </w:t>
      </w:r>
      <w:r>
        <w:rPr>
          <w:sz w:val="24"/>
        </w:rPr>
        <w:t>diagnosis</w:t>
      </w:r>
      <w:r>
        <w:rPr>
          <w:spacing w:val="-4"/>
          <w:sz w:val="24"/>
        </w:rPr>
        <w:t xml:space="preserve"> </w:t>
      </w:r>
      <w:r>
        <w:rPr>
          <w:sz w:val="24"/>
        </w:rPr>
        <w:t>data</w:t>
      </w:r>
      <w:r>
        <w:rPr>
          <w:spacing w:val="-4"/>
          <w:sz w:val="24"/>
        </w:rPr>
        <w:t xml:space="preserve"> </w:t>
      </w:r>
      <w:r>
        <w:rPr>
          <w:sz w:val="24"/>
        </w:rPr>
        <w:t>from</w:t>
      </w:r>
      <w:r>
        <w:rPr>
          <w:spacing w:val="-4"/>
          <w:sz w:val="24"/>
        </w:rPr>
        <w:t xml:space="preserve"> </w:t>
      </w:r>
      <w:r>
        <w:rPr>
          <w:sz w:val="24"/>
        </w:rPr>
        <w:t>all</w:t>
      </w:r>
      <w:r>
        <w:rPr>
          <w:spacing w:val="-4"/>
          <w:sz w:val="24"/>
        </w:rPr>
        <w:t xml:space="preserve"> </w:t>
      </w:r>
      <w:r>
        <w:rPr>
          <w:sz w:val="24"/>
        </w:rPr>
        <w:t>sources,</w:t>
      </w:r>
      <w:r>
        <w:rPr>
          <w:spacing w:val="-4"/>
          <w:sz w:val="24"/>
        </w:rPr>
        <w:t xml:space="preserve"> </w:t>
      </w:r>
      <w:r>
        <w:rPr>
          <w:sz w:val="24"/>
        </w:rPr>
        <w:t>including</w:t>
      </w:r>
      <w:r>
        <w:rPr>
          <w:spacing w:val="-4"/>
          <w:sz w:val="24"/>
        </w:rPr>
        <w:t xml:space="preserve"> </w:t>
      </w:r>
      <w:r>
        <w:rPr>
          <w:sz w:val="24"/>
        </w:rPr>
        <w:t>differences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final cut-off date for data submission.</w:t>
      </w:r>
    </w:p>
    <w:p>
      <w:pPr>
        <w:pStyle w:val="ListParagraph"/>
        <w:numPr>
          <w:ilvl w:val="0"/>
          <w:numId w:val="12"/>
        </w:numPr>
        <w:tabs>
          <w:tab w:val="left" w:pos="1664"/>
        </w:tabs>
        <w:spacing w:before="1" w:after="0" w:line="240" w:lineRule="auto"/>
        <w:ind w:left="1664" w:right="0" w:hanging="360"/>
        <w:jc w:val="left"/>
        <w:rPr>
          <w:sz w:val="24"/>
        </w:rPr>
      </w:pPr>
      <w:r>
        <w:rPr>
          <w:sz w:val="24"/>
        </w:rPr>
        <w:t>Bid-specific</w:t>
      </w:r>
      <w:r>
        <w:rPr>
          <w:spacing w:val="-3"/>
          <w:sz w:val="24"/>
        </w:rPr>
        <w:t xml:space="preserve"> </w:t>
      </w:r>
      <w:r>
        <w:rPr>
          <w:sz w:val="24"/>
        </w:rPr>
        <w:t>coding</w:t>
      </w:r>
      <w:r>
        <w:rPr>
          <w:spacing w:val="-2"/>
          <w:sz w:val="24"/>
        </w:rPr>
        <w:t xml:space="preserve"> trend.</w:t>
      </w:r>
    </w:p>
    <w:p>
      <w:pPr>
        <w:pStyle w:val="ListParagraph"/>
        <w:numPr>
          <w:ilvl w:val="0"/>
          <w:numId w:val="12"/>
        </w:numPr>
        <w:tabs>
          <w:tab w:val="left" w:pos="1664"/>
        </w:tabs>
        <w:spacing w:before="0" w:after="0" w:line="240" w:lineRule="auto"/>
        <w:ind w:left="1664" w:right="0" w:hanging="360"/>
        <w:jc w:val="left"/>
        <w:rPr>
          <w:sz w:val="24"/>
        </w:rPr>
      </w:pPr>
      <w:r>
        <w:rPr>
          <w:sz w:val="24"/>
        </w:rPr>
        <w:t>Changes</w:t>
      </w:r>
      <w:r>
        <w:rPr>
          <w:spacing w:val="-1"/>
          <w:sz w:val="24"/>
        </w:rPr>
        <w:t xml:space="preserve"> </w:t>
      </w:r>
      <w:r>
        <w:rPr>
          <w:sz w:val="24"/>
        </w:rPr>
        <w:t>in</w:t>
      </w:r>
      <w:r>
        <w:rPr>
          <w:spacing w:val="-1"/>
          <w:sz w:val="24"/>
        </w:rPr>
        <w:t xml:space="preserve"> </w:t>
      </w:r>
      <w:r>
        <w:rPr>
          <w:sz w:val="24"/>
        </w:rPr>
        <w:t xml:space="preserve">bid </w:t>
      </w:r>
      <w:r>
        <w:rPr>
          <w:spacing w:val="-2"/>
          <w:sz w:val="24"/>
        </w:rPr>
        <w:t>population.</w:t>
      </w:r>
    </w:p>
    <w:p>
      <w:pPr>
        <w:pStyle w:val="ListParagraph"/>
        <w:numPr>
          <w:ilvl w:val="0"/>
          <w:numId w:val="12"/>
        </w:numPr>
        <w:tabs>
          <w:tab w:val="left" w:pos="1664"/>
        </w:tabs>
        <w:spacing w:before="0" w:after="0" w:line="240" w:lineRule="auto"/>
        <w:ind w:left="1664" w:right="1399" w:hanging="360"/>
        <w:jc w:val="left"/>
        <w:rPr>
          <w:sz w:val="24"/>
        </w:rPr>
      </w:pPr>
      <w:r>
        <w:rPr>
          <w:sz w:val="24"/>
        </w:rPr>
        <w:t>Impact</w:t>
      </w:r>
      <w:r>
        <w:rPr>
          <w:spacing w:val="-5"/>
          <w:sz w:val="24"/>
        </w:rPr>
        <w:t xml:space="preserve"> </w:t>
      </w:r>
      <w:r>
        <w:rPr>
          <w:sz w:val="24"/>
        </w:rPr>
        <w:t>of</w:t>
      </w:r>
      <w:r>
        <w:rPr>
          <w:spacing w:val="-5"/>
          <w:sz w:val="24"/>
        </w:rPr>
        <w:t xml:space="preserve"> </w:t>
      </w:r>
      <w:r>
        <w:rPr>
          <w:sz w:val="24"/>
        </w:rPr>
        <w:t>any</w:t>
      </w:r>
      <w:r>
        <w:rPr>
          <w:spacing w:val="-5"/>
          <w:sz w:val="24"/>
        </w:rPr>
        <w:t xml:space="preserve"> </w:t>
      </w:r>
      <w:r>
        <w:rPr>
          <w:sz w:val="24"/>
        </w:rPr>
        <w:t>improvements</w:t>
      </w:r>
      <w:r>
        <w:rPr>
          <w:spacing w:val="-5"/>
          <w:sz w:val="24"/>
        </w:rPr>
        <w:t xml:space="preserve"> </w:t>
      </w:r>
      <w:r>
        <w:rPr>
          <w:sz w:val="24"/>
        </w:rPr>
        <w:t>to</w:t>
      </w:r>
      <w:r>
        <w:rPr>
          <w:spacing w:val="-5"/>
          <w:sz w:val="24"/>
        </w:rPr>
        <w:t xml:space="preserve"> </w:t>
      </w:r>
      <w:r>
        <w:rPr>
          <w:sz w:val="24"/>
        </w:rPr>
        <w:t>operational</w:t>
      </w:r>
      <w:r>
        <w:rPr>
          <w:spacing w:val="-5"/>
          <w:sz w:val="24"/>
        </w:rPr>
        <w:t xml:space="preserve"> </w:t>
      </w:r>
      <w:r>
        <w:rPr>
          <w:sz w:val="24"/>
        </w:rPr>
        <w:t>and</w:t>
      </w:r>
      <w:r>
        <w:rPr>
          <w:spacing w:val="-5"/>
          <w:sz w:val="24"/>
        </w:rPr>
        <w:t xml:space="preserve"> </w:t>
      </w:r>
      <w:r>
        <w:rPr>
          <w:sz w:val="24"/>
        </w:rPr>
        <w:t>submission</w:t>
      </w:r>
      <w:r>
        <w:rPr>
          <w:spacing w:val="-5"/>
          <w:sz w:val="24"/>
        </w:rPr>
        <w:t xml:space="preserve"> </w:t>
      </w:r>
      <w:r>
        <w:rPr>
          <w:sz w:val="24"/>
        </w:rPr>
        <w:t>process</w:t>
      </w:r>
      <w:r>
        <w:rPr>
          <w:spacing w:val="-5"/>
          <w:sz w:val="24"/>
        </w:rPr>
        <w:t xml:space="preserve"> </w:t>
      </w:r>
      <w:r>
        <w:rPr>
          <w:sz w:val="24"/>
        </w:rPr>
        <w:t>for diagnosis data sources.</w:t>
      </w:r>
    </w:p>
    <w:p>
      <w:pPr>
        <w:pStyle w:val="ListParagraph"/>
        <w:numPr>
          <w:ilvl w:val="0"/>
          <w:numId w:val="12"/>
        </w:numPr>
        <w:tabs>
          <w:tab w:val="left" w:pos="1664"/>
        </w:tabs>
        <w:spacing w:before="0" w:after="0" w:line="240" w:lineRule="auto"/>
        <w:ind w:left="1664" w:right="0" w:hanging="360"/>
        <w:jc w:val="left"/>
        <w:rPr>
          <w:sz w:val="24"/>
        </w:rPr>
      </w:pPr>
      <w:r>
        <w:rPr>
          <w:sz w:val="24"/>
        </w:rPr>
        <w:t>Other</w:t>
      </w:r>
      <w:r>
        <w:rPr>
          <w:spacing w:val="-2"/>
          <w:sz w:val="24"/>
        </w:rPr>
        <w:t xml:space="preserve"> </w:t>
      </w:r>
      <w:r>
        <w:rPr>
          <w:sz w:val="24"/>
        </w:rPr>
        <w:t>appropriate</w:t>
      </w:r>
      <w:r>
        <w:rPr>
          <w:spacing w:val="-2"/>
          <w:sz w:val="24"/>
        </w:rPr>
        <w:t xml:space="preserve"> factors.</w:t>
      </w:r>
    </w:p>
    <w:p>
      <w:pPr>
        <w:pStyle w:val="BodyText"/>
      </w:pPr>
      <w:r>
        <w:t>For</w:t>
      </w:r>
      <w:r>
        <w:rPr>
          <w:spacing w:val="-4"/>
        </w:rPr>
        <w:t xml:space="preserve"> </w:t>
      </w:r>
      <w:r>
        <w:t>an</w:t>
      </w:r>
      <w:r>
        <w:rPr>
          <w:spacing w:val="-2"/>
        </w:rPr>
        <w:t xml:space="preserve"> </w:t>
      </w:r>
      <w:r>
        <w:t>alternate</w:t>
      </w:r>
      <w:r>
        <w:rPr>
          <w:spacing w:val="-5"/>
        </w:rPr>
        <w:t xml:space="preserve"> </w:t>
      </w:r>
      <w:r>
        <w:t>approach,</w:t>
      </w:r>
      <w:r>
        <w:rPr>
          <w:spacing w:val="-2"/>
        </w:rPr>
        <w:t xml:space="preserve"> </w:t>
      </w:r>
      <w:r>
        <w:t>Part</w:t>
      </w:r>
      <w:r>
        <w:rPr>
          <w:spacing w:val="-4"/>
        </w:rPr>
        <w:t xml:space="preserve"> </w:t>
      </w:r>
      <w:r>
        <w:t>D</w:t>
      </w:r>
      <w:r>
        <w:rPr>
          <w:spacing w:val="-5"/>
        </w:rPr>
        <w:t xml:space="preserve"> </w:t>
      </w:r>
      <w:r>
        <w:t>sponsors</w:t>
      </w:r>
      <w:r>
        <w:rPr>
          <w:spacing w:val="-4"/>
        </w:rPr>
        <w:t xml:space="preserve"> </w:t>
      </w:r>
      <w:r>
        <w:t>must</w:t>
      </w:r>
      <w:r>
        <w:rPr>
          <w:spacing w:val="-4"/>
        </w:rPr>
        <w:t xml:space="preserve"> </w:t>
      </w:r>
      <w:r>
        <w:t>consider</w:t>
      </w:r>
      <w:r>
        <w:rPr>
          <w:spacing w:val="-4"/>
        </w:rPr>
        <w:t xml:space="preserve"> </w:t>
      </w:r>
      <w:r>
        <w:t>the</w:t>
      </w:r>
      <w:r>
        <w:rPr>
          <w:spacing w:val="-6"/>
        </w:rPr>
        <w:t xml:space="preserve"> </w:t>
      </w:r>
      <w:r>
        <w:t>following</w:t>
      </w:r>
      <w:r>
        <w:rPr>
          <w:spacing w:val="-4"/>
        </w:rPr>
        <w:t xml:space="preserve"> </w:t>
      </w:r>
      <w:r>
        <w:t xml:space="preserve">additional </w:t>
      </w:r>
      <w:r>
        <w:rPr>
          <w:spacing w:val="-2"/>
        </w:rPr>
        <w:t>adjustments:</w:t>
      </w:r>
    </w:p>
    <w:p>
      <w:pPr>
        <w:pStyle w:val="ListParagraph"/>
        <w:numPr>
          <w:ilvl w:val="0"/>
          <w:numId w:val="12"/>
        </w:numPr>
        <w:tabs>
          <w:tab w:val="left" w:pos="1664"/>
        </w:tabs>
        <w:spacing w:before="120" w:after="0" w:line="240" w:lineRule="auto"/>
        <w:ind w:left="1664" w:right="0" w:hanging="360"/>
        <w:jc w:val="left"/>
        <w:rPr>
          <w:sz w:val="24"/>
        </w:rPr>
      </w:pPr>
      <w:r>
        <w:rPr>
          <w:sz w:val="24"/>
        </w:rPr>
        <w:t>Conversion</w:t>
      </w:r>
      <w:r>
        <w:rPr>
          <w:spacing w:val="-1"/>
          <w:sz w:val="24"/>
        </w:rPr>
        <w:t xml:space="preserve"> </w:t>
      </w:r>
      <w:r>
        <w:rPr>
          <w:sz w:val="24"/>
        </w:rPr>
        <w:t>to</w:t>
      </w:r>
      <w:r>
        <w:rPr>
          <w:spacing w:val="-1"/>
          <w:sz w:val="24"/>
        </w:rPr>
        <w:t xml:space="preserve"> </w:t>
      </w:r>
      <w:r>
        <w:rPr>
          <w:sz w:val="24"/>
        </w:rPr>
        <w:t>risk model-specific</w:t>
      </w:r>
      <w:r>
        <w:rPr>
          <w:spacing w:val="-2"/>
          <w:sz w:val="24"/>
        </w:rPr>
        <w:t xml:space="preserve"> </w:t>
      </w:r>
      <w:r>
        <w:rPr>
          <w:sz w:val="24"/>
        </w:rPr>
        <w:t>unblended</w:t>
      </w:r>
      <w:r>
        <w:rPr>
          <w:spacing w:val="-1"/>
          <w:sz w:val="24"/>
        </w:rPr>
        <w:t xml:space="preserve"> </w:t>
      </w:r>
      <w:r>
        <w:rPr>
          <w:sz w:val="24"/>
        </w:rPr>
        <w:t>risk</w:t>
      </w:r>
      <w:r>
        <w:rPr>
          <w:spacing w:val="2"/>
          <w:sz w:val="24"/>
        </w:rPr>
        <w:t xml:space="preserve"> </w:t>
      </w:r>
      <w:r>
        <w:rPr>
          <w:spacing w:val="-2"/>
          <w:sz w:val="24"/>
        </w:rPr>
        <w:t>scores.</w:t>
      </w:r>
    </w:p>
    <w:p>
      <w:pPr>
        <w:pStyle w:val="ListParagraph"/>
        <w:numPr>
          <w:ilvl w:val="1"/>
          <w:numId w:val="12"/>
        </w:numPr>
        <w:tabs>
          <w:tab w:val="left" w:pos="2024"/>
        </w:tabs>
        <w:spacing w:before="41" w:after="0" w:line="240" w:lineRule="auto"/>
        <w:ind w:left="2024" w:right="999" w:hanging="360"/>
        <w:jc w:val="left"/>
        <w:rPr>
          <w:sz w:val="24"/>
        </w:rPr>
      </w:pPr>
      <w:r>
        <w:rPr>
          <w:sz w:val="24"/>
        </w:rPr>
        <w:t>If</w:t>
      </w:r>
      <w:r>
        <w:rPr>
          <w:spacing w:val="-5"/>
          <w:sz w:val="24"/>
        </w:rPr>
        <w:t xml:space="preserve"> </w:t>
      </w:r>
      <w:r>
        <w:rPr>
          <w:sz w:val="24"/>
        </w:rPr>
        <w:t>the</w:t>
      </w:r>
      <w:r>
        <w:rPr>
          <w:spacing w:val="-3"/>
          <w:sz w:val="24"/>
        </w:rPr>
        <w:t xml:space="preserve"> </w:t>
      </w:r>
      <w:r>
        <w:rPr>
          <w:sz w:val="24"/>
        </w:rPr>
        <w:t>starting</w:t>
      </w:r>
      <w:r>
        <w:rPr>
          <w:spacing w:val="-3"/>
          <w:sz w:val="24"/>
        </w:rPr>
        <w:t xml:space="preserve"> </w:t>
      </w:r>
      <w:r>
        <w:rPr>
          <w:sz w:val="24"/>
        </w:rPr>
        <w:t>risk</w:t>
      </w:r>
      <w:r>
        <w:rPr>
          <w:spacing w:val="-3"/>
          <w:sz w:val="24"/>
        </w:rPr>
        <w:t xml:space="preserve"> </w:t>
      </w:r>
      <w:r>
        <w:rPr>
          <w:sz w:val="24"/>
        </w:rPr>
        <w:t>scores</w:t>
      </w:r>
      <w:r>
        <w:rPr>
          <w:spacing w:val="-1"/>
          <w:sz w:val="24"/>
        </w:rPr>
        <w:t xml:space="preserve"> </w:t>
      </w:r>
      <w:r>
        <w:rPr>
          <w:sz w:val="24"/>
        </w:rPr>
        <w:t>are</w:t>
      </w:r>
      <w:r>
        <w:rPr>
          <w:spacing w:val="-5"/>
          <w:sz w:val="24"/>
        </w:rPr>
        <w:t xml:space="preserve"> </w:t>
      </w:r>
      <w:r>
        <w:rPr>
          <w:sz w:val="24"/>
        </w:rPr>
        <w:t>blended</w:t>
      </w:r>
      <w:r>
        <w:rPr>
          <w:spacing w:val="-3"/>
          <w:sz w:val="24"/>
        </w:rPr>
        <w:t xml:space="preserve"> </w:t>
      </w:r>
      <w:r>
        <w:rPr>
          <w:sz w:val="24"/>
        </w:rPr>
        <w:t>scores,</w:t>
      </w:r>
      <w:r>
        <w:rPr>
          <w:spacing w:val="-3"/>
          <w:sz w:val="24"/>
        </w:rPr>
        <w:t xml:space="preserve"> </w:t>
      </w:r>
      <w:r>
        <w:rPr>
          <w:sz w:val="24"/>
        </w:rPr>
        <w:t>then Part</w:t>
      </w:r>
      <w:r>
        <w:rPr>
          <w:spacing w:val="-3"/>
          <w:sz w:val="24"/>
        </w:rPr>
        <w:t xml:space="preserve"> </w:t>
      </w:r>
      <w:r>
        <w:rPr>
          <w:sz w:val="24"/>
        </w:rPr>
        <w:t>D</w:t>
      </w:r>
      <w:r>
        <w:rPr>
          <w:spacing w:val="-4"/>
          <w:sz w:val="24"/>
        </w:rPr>
        <w:t xml:space="preserve"> </w:t>
      </w:r>
      <w:r>
        <w:rPr>
          <w:sz w:val="24"/>
        </w:rPr>
        <w:t>sponsors</w:t>
      </w:r>
      <w:r>
        <w:rPr>
          <w:spacing w:val="-3"/>
          <w:sz w:val="24"/>
        </w:rPr>
        <w:t xml:space="preserve"> </w:t>
      </w:r>
      <w:r>
        <w:rPr>
          <w:sz w:val="24"/>
        </w:rPr>
        <w:t>must produce</w:t>
      </w:r>
      <w:r>
        <w:rPr>
          <w:spacing w:val="-5"/>
          <w:sz w:val="24"/>
        </w:rPr>
        <w:t xml:space="preserve"> </w:t>
      </w:r>
      <w:r>
        <w:rPr>
          <w:sz w:val="24"/>
        </w:rPr>
        <w:t>unblended</w:t>
      </w:r>
      <w:r>
        <w:rPr>
          <w:spacing w:val="-4"/>
          <w:sz w:val="24"/>
        </w:rPr>
        <w:t xml:space="preserve"> </w:t>
      </w:r>
      <w:r>
        <w:rPr>
          <w:sz w:val="24"/>
        </w:rPr>
        <w:t>risk</w:t>
      </w:r>
      <w:r>
        <w:rPr>
          <w:spacing w:val="-4"/>
          <w:sz w:val="24"/>
        </w:rPr>
        <w:t xml:space="preserve"> </w:t>
      </w:r>
      <w:r>
        <w:rPr>
          <w:sz w:val="24"/>
        </w:rPr>
        <w:t>scores</w:t>
      </w:r>
      <w:r>
        <w:rPr>
          <w:spacing w:val="-4"/>
          <w:sz w:val="24"/>
        </w:rPr>
        <w:t xml:space="preserve"> </w:t>
      </w:r>
      <w:r>
        <w:rPr>
          <w:sz w:val="24"/>
        </w:rPr>
        <w:t>before</w:t>
      </w:r>
      <w:r>
        <w:rPr>
          <w:spacing w:val="-5"/>
          <w:sz w:val="24"/>
        </w:rPr>
        <w:t xml:space="preserve"> </w:t>
      </w:r>
      <w:r>
        <w:rPr>
          <w:sz w:val="24"/>
        </w:rPr>
        <w:t>the</w:t>
      </w:r>
      <w:r>
        <w:rPr>
          <w:spacing w:val="-5"/>
          <w:sz w:val="24"/>
        </w:rPr>
        <w:t xml:space="preserve"> </w:t>
      </w:r>
      <w:r>
        <w:rPr>
          <w:sz w:val="24"/>
        </w:rPr>
        <w:t>conversion</w:t>
      </w:r>
      <w:r>
        <w:rPr>
          <w:spacing w:val="-4"/>
          <w:sz w:val="24"/>
        </w:rPr>
        <w:t xml:space="preserve"> </w:t>
      </w:r>
      <w:r>
        <w:rPr>
          <w:sz w:val="24"/>
        </w:rPr>
        <w:t>to</w:t>
      </w:r>
      <w:r>
        <w:rPr>
          <w:spacing w:val="-4"/>
          <w:sz w:val="24"/>
        </w:rPr>
        <w:t xml:space="preserve"> </w:t>
      </w:r>
      <w:r>
        <w:rPr>
          <w:sz w:val="24"/>
        </w:rPr>
        <w:t>raw</w:t>
      </w:r>
      <w:r>
        <w:rPr>
          <w:spacing w:val="-4"/>
          <w:sz w:val="24"/>
        </w:rPr>
        <w:t xml:space="preserve"> </w:t>
      </w:r>
      <w:r>
        <w:rPr>
          <w:sz w:val="24"/>
        </w:rPr>
        <w:t>risk</w:t>
      </w:r>
      <w:r>
        <w:rPr>
          <w:spacing w:val="-4"/>
          <w:sz w:val="24"/>
        </w:rPr>
        <w:t xml:space="preserve"> </w:t>
      </w:r>
      <w:r>
        <w:rPr>
          <w:sz w:val="24"/>
        </w:rPr>
        <w:t>scores.</w:t>
      </w:r>
    </w:p>
    <w:p>
      <w:pPr>
        <w:pStyle w:val="ListParagraph"/>
        <w:numPr>
          <w:ilvl w:val="0"/>
          <w:numId w:val="12"/>
        </w:numPr>
        <w:tabs>
          <w:tab w:val="left" w:pos="1664"/>
        </w:tabs>
        <w:spacing w:before="41" w:after="0" w:line="240" w:lineRule="auto"/>
        <w:ind w:left="1664" w:right="0" w:hanging="360"/>
        <w:jc w:val="left"/>
        <w:rPr>
          <w:sz w:val="24"/>
        </w:rPr>
      </w:pPr>
      <w:r>
        <w:rPr>
          <w:sz w:val="24"/>
        </w:rPr>
        <w:t>Conversion</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 xml:space="preserve">raw risk </w:t>
      </w:r>
      <w:r>
        <w:rPr>
          <w:spacing w:val="-2"/>
          <w:sz w:val="24"/>
        </w:rPr>
        <w:t>score.</w:t>
      </w:r>
    </w:p>
    <w:p>
      <w:pPr>
        <w:pStyle w:val="ListParagraph"/>
        <w:numPr>
          <w:ilvl w:val="1"/>
          <w:numId w:val="12"/>
        </w:numPr>
        <w:tabs>
          <w:tab w:val="left" w:pos="2024"/>
        </w:tabs>
        <w:spacing w:before="38" w:after="0" w:line="240" w:lineRule="auto"/>
        <w:ind w:left="2024" w:right="613" w:hanging="360"/>
        <w:jc w:val="left"/>
        <w:rPr>
          <w:sz w:val="24"/>
        </w:rPr>
      </w:pPr>
      <w:r>
        <w:rPr>
          <w:sz w:val="24"/>
        </w:rPr>
        <w:t>When starting from a data source with normalized risk scores, such as the MMR,</w:t>
      </w:r>
      <w:r>
        <w:rPr>
          <w:spacing w:val="-4"/>
          <w:sz w:val="24"/>
        </w:rPr>
        <w:t xml:space="preserve"> </w:t>
      </w:r>
      <w:r>
        <w:rPr>
          <w:sz w:val="24"/>
        </w:rPr>
        <w:t>Part</w:t>
      </w:r>
      <w:r>
        <w:rPr>
          <w:spacing w:val="-4"/>
          <w:sz w:val="24"/>
        </w:rPr>
        <w:t xml:space="preserve"> </w:t>
      </w:r>
      <w:r>
        <w:rPr>
          <w:sz w:val="24"/>
        </w:rPr>
        <w:t>D</w:t>
      </w:r>
      <w:r>
        <w:rPr>
          <w:spacing w:val="-4"/>
          <w:sz w:val="24"/>
        </w:rPr>
        <w:t xml:space="preserve"> </w:t>
      </w:r>
      <w:r>
        <w:rPr>
          <w:sz w:val="24"/>
        </w:rPr>
        <w:t>sponsors</w:t>
      </w:r>
      <w:r>
        <w:rPr>
          <w:spacing w:val="-4"/>
          <w:sz w:val="24"/>
        </w:rPr>
        <w:t xml:space="preserve"> </w:t>
      </w:r>
      <w:r>
        <w:rPr>
          <w:sz w:val="24"/>
        </w:rPr>
        <w:t>must</w:t>
      </w:r>
      <w:r>
        <w:rPr>
          <w:spacing w:val="-4"/>
          <w:sz w:val="24"/>
        </w:rPr>
        <w:t xml:space="preserve"> </w:t>
      </w:r>
      <w:r>
        <w:rPr>
          <w:sz w:val="24"/>
        </w:rPr>
        <w:t>consider</w:t>
      </w:r>
      <w:r>
        <w:rPr>
          <w:spacing w:val="-4"/>
          <w:sz w:val="24"/>
        </w:rPr>
        <w:t xml:space="preserve"> </w:t>
      </w:r>
      <w:r>
        <w:rPr>
          <w:sz w:val="24"/>
        </w:rPr>
        <w:t>a</w:t>
      </w:r>
      <w:r>
        <w:rPr>
          <w:spacing w:val="-5"/>
          <w:sz w:val="24"/>
        </w:rPr>
        <w:t xml:space="preserve"> </w:t>
      </w:r>
      <w:r>
        <w:rPr>
          <w:sz w:val="24"/>
        </w:rPr>
        <w:t>conversion</w:t>
      </w:r>
      <w:r>
        <w:rPr>
          <w:spacing w:val="-4"/>
          <w:sz w:val="24"/>
        </w:rPr>
        <w:t xml:space="preserve"> </w:t>
      </w:r>
      <w:r>
        <w:rPr>
          <w:sz w:val="24"/>
        </w:rPr>
        <w:t>to</w:t>
      </w:r>
      <w:r>
        <w:rPr>
          <w:spacing w:val="-4"/>
          <w:sz w:val="24"/>
        </w:rPr>
        <w:t xml:space="preserve"> </w:t>
      </w:r>
      <w:r>
        <w:rPr>
          <w:sz w:val="24"/>
        </w:rPr>
        <w:t>raw</w:t>
      </w:r>
      <w:r>
        <w:rPr>
          <w:spacing w:val="-4"/>
          <w:sz w:val="24"/>
        </w:rPr>
        <w:t xml:space="preserve"> </w:t>
      </w:r>
      <w:r>
        <w:rPr>
          <w:sz w:val="24"/>
        </w:rPr>
        <w:t>(not</w:t>
      </w:r>
      <w:r>
        <w:rPr>
          <w:spacing w:val="-3"/>
          <w:sz w:val="24"/>
        </w:rPr>
        <w:t xml:space="preserve"> </w:t>
      </w:r>
      <w:r>
        <w:rPr>
          <w:sz w:val="24"/>
        </w:rPr>
        <w:t>normalized) scores before making other adjustments.</w:t>
      </w:r>
    </w:p>
    <w:p>
      <w:pPr>
        <w:pStyle w:val="ListParagraph"/>
        <w:numPr>
          <w:ilvl w:val="0"/>
          <w:numId w:val="12"/>
        </w:numPr>
        <w:tabs>
          <w:tab w:val="left" w:pos="1664"/>
        </w:tabs>
        <w:spacing w:before="41" w:after="0" w:line="240" w:lineRule="auto"/>
        <w:ind w:left="1664" w:right="0" w:hanging="360"/>
        <w:jc w:val="left"/>
        <w:rPr>
          <w:sz w:val="24"/>
        </w:rPr>
      </w:pPr>
      <w:r>
        <w:rPr>
          <w:sz w:val="24"/>
        </w:rPr>
        <w:t>Impact</w:t>
      </w:r>
      <w:r>
        <w:rPr>
          <w:spacing w:val="-1"/>
          <w:sz w:val="24"/>
        </w:rPr>
        <w:t xml:space="preserve"> </w:t>
      </w:r>
      <w:r>
        <w:rPr>
          <w:sz w:val="24"/>
        </w:rPr>
        <w:t>of</w:t>
      </w:r>
      <w:r>
        <w:rPr>
          <w:spacing w:val="-1"/>
          <w:sz w:val="24"/>
        </w:rPr>
        <w:t xml:space="preserve"> </w:t>
      </w:r>
      <w:r>
        <w:rPr>
          <w:sz w:val="24"/>
        </w:rPr>
        <w:t>lagged</w:t>
      </w:r>
      <w:r>
        <w:rPr>
          <w:spacing w:val="-1"/>
          <w:sz w:val="24"/>
        </w:rPr>
        <w:t xml:space="preserve"> </w:t>
      </w:r>
      <w:r>
        <w:rPr>
          <w:sz w:val="24"/>
        </w:rPr>
        <w:t>versus non-lagged</w:t>
      </w:r>
      <w:r>
        <w:rPr>
          <w:spacing w:val="-1"/>
          <w:sz w:val="24"/>
        </w:rPr>
        <w:t xml:space="preserve"> </w:t>
      </w:r>
      <w:r>
        <w:rPr>
          <w:sz w:val="24"/>
        </w:rPr>
        <w:t>diagnosis</w:t>
      </w:r>
      <w:r>
        <w:rPr>
          <w:spacing w:val="-1"/>
          <w:sz w:val="24"/>
        </w:rPr>
        <w:t xml:space="preserve"> </w:t>
      </w:r>
      <w:r>
        <w:rPr>
          <w:spacing w:val="-2"/>
          <w:sz w:val="24"/>
        </w:rPr>
        <w:t>data.</w:t>
      </w:r>
    </w:p>
    <w:p>
      <w:pPr>
        <w:pStyle w:val="ListParagraph"/>
        <w:numPr>
          <w:ilvl w:val="1"/>
          <w:numId w:val="12"/>
        </w:numPr>
        <w:tabs>
          <w:tab w:val="left" w:pos="2024"/>
        </w:tabs>
        <w:spacing w:before="41" w:after="0" w:line="240" w:lineRule="auto"/>
        <w:ind w:left="2024" w:right="502" w:hanging="360"/>
        <w:jc w:val="left"/>
        <w:rPr>
          <w:sz w:val="24"/>
        </w:rPr>
      </w:pPr>
      <w:r>
        <w:rPr>
          <w:sz w:val="24"/>
        </w:rPr>
        <w:t>If the starting risk scores are based on lagged diagnosis data, as is the case for</w:t>
      </w:r>
      <w:r>
        <w:rPr>
          <w:spacing w:val="-6"/>
          <w:sz w:val="24"/>
        </w:rPr>
        <w:t xml:space="preserve"> </w:t>
      </w:r>
      <w:r>
        <w:rPr>
          <w:sz w:val="24"/>
        </w:rPr>
        <w:t>initial</w:t>
      </w:r>
      <w:r>
        <w:rPr>
          <w:spacing w:val="-4"/>
          <w:sz w:val="24"/>
        </w:rPr>
        <w:t xml:space="preserve"> </w:t>
      </w:r>
      <w:r>
        <w:rPr>
          <w:sz w:val="24"/>
        </w:rPr>
        <w:t>risk</w:t>
      </w:r>
      <w:r>
        <w:rPr>
          <w:spacing w:val="-4"/>
          <w:sz w:val="24"/>
        </w:rPr>
        <w:t xml:space="preserve"> </w:t>
      </w:r>
      <w:r>
        <w:rPr>
          <w:sz w:val="24"/>
        </w:rPr>
        <w:t>scores,</w:t>
      </w:r>
      <w:r>
        <w:rPr>
          <w:spacing w:val="-3"/>
          <w:sz w:val="24"/>
        </w:rPr>
        <w:t xml:space="preserve"> </w:t>
      </w:r>
      <w:r>
        <w:rPr>
          <w:sz w:val="24"/>
        </w:rPr>
        <w:t>Part</w:t>
      </w:r>
      <w:r>
        <w:rPr>
          <w:spacing w:val="-3"/>
          <w:sz w:val="24"/>
        </w:rPr>
        <w:t xml:space="preserve"> </w:t>
      </w:r>
      <w:r>
        <w:rPr>
          <w:sz w:val="24"/>
        </w:rPr>
        <w:t>D</w:t>
      </w:r>
      <w:r>
        <w:rPr>
          <w:spacing w:val="-5"/>
          <w:sz w:val="24"/>
        </w:rPr>
        <w:t xml:space="preserve"> </w:t>
      </w:r>
      <w:r>
        <w:rPr>
          <w:sz w:val="24"/>
        </w:rPr>
        <w:t>sponsors</w:t>
      </w:r>
      <w:r>
        <w:rPr>
          <w:spacing w:val="-4"/>
          <w:sz w:val="24"/>
        </w:rPr>
        <w:t xml:space="preserve"> </w:t>
      </w:r>
      <w:r>
        <w:rPr>
          <w:sz w:val="24"/>
        </w:rPr>
        <w:t>must</w:t>
      </w:r>
      <w:r>
        <w:rPr>
          <w:spacing w:val="-3"/>
          <w:sz w:val="24"/>
        </w:rPr>
        <w:t xml:space="preserve"> </w:t>
      </w:r>
      <w:r>
        <w:rPr>
          <w:sz w:val="24"/>
        </w:rPr>
        <w:t>transition</w:t>
      </w:r>
      <w:r>
        <w:rPr>
          <w:spacing w:val="-4"/>
          <w:sz w:val="24"/>
        </w:rPr>
        <w:t xml:space="preserve"> </w:t>
      </w:r>
      <w:r>
        <w:rPr>
          <w:sz w:val="24"/>
        </w:rPr>
        <w:t>the</w:t>
      </w:r>
      <w:r>
        <w:rPr>
          <w:spacing w:val="-4"/>
          <w:sz w:val="24"/>
        </w:rPr>
        <w:t xml:space="preserve"> </w:t>
      </w:r>
      <w:r>
        <w:rPr>
          <w:sz w:val="24"/>
        </w:rPr>
        <w:t>scores</w:t>
      </w:r>
      <w:r>
        <w:rPr>
          <w:spacing w:val="-4"/>
          <w:sz w:val="24"/>
        </w:rPr>
        <w:t xml:space="preserve"> </w:t>
      </w:r>
      <w:r>
        <w:rPr>
          <w:sz w:val="24"/>
        </w:rPr>
        <w:t>from</w:t>
      </w:r>
      <w:r>
        <w:rPr>
          <w:spacing w:val="-4"/>
          <w:sz w:val="24"/>
        </w:rPr>
        <w:t xml:space="preserve"> </w:t>
      </w:r>
      <w:r>
        <w:rPr>
          <w:sz w:val="24"/>
        </w:rPr>
        <w:t>lagged to non-lagged risk scores.</w:t>
      </w:r>
    </w:p>
    <w:p>
      <w:pPr>
        <w:pStyle w:val="ListParagraph"/>
        <w:numPr>
          <w:ilvl w:val="0"/>
          <w:numId w:val="12"/>
        </w:numPr>
        <w:tabs>
          <w:tab w:val="left" w:pos="1664"/>
        </w:tabs>
        <w:spacing w:before="38" w:after="0" w:line="240" w:lineRule="auto"/>
        <w:ind w:left="1664" w:right="0" w:hanging="360"/>
        <w:jc w:val="left"/>
        <w:rPr>
          <w:sz w:val="24"/>
        </w:rPr>
      </w:pPr>
      <w:r>
        <w:rPr>
          <w:spacing w:val="-2"/>
          <w:sz w:val="24"/>
        </w:rPr>
        <w:t>Seasonality.</w:t>
      </w:r>
    </w:p>
    <w:p>
      <w:pPr>
        <w:pStyle w:val="ListParagraph"/>
        <w:numPr>
          <w:ilvl w:val="1"/>
          <w:numId w:val="12"/>
        </w:numPr>
        <w:tabs>
          <w:tab w:val="left" w:pos="2024"/>
        </w:tabs>
        <w:spacing w:before="41" w:after="0" w:line="240" w:lineRule="auto"/>
        <w:ind w:left="2024" w:right="723" w:hanging="360"/>
        <w:jc w:val="left"/>
        <w:rPr>
          <w:sz w:val="24"/>
        </w:rPr>
      </w:pPr>
      <w:r>
        <w:rPr>
          <w:sz w:val="24"/>
        </w:rPr>
        <w:t>If</w:t>
      </w:r>
      <w:r>
        <w:rPr>
          <w:spacing w:val="-5"/>
          <w:sz w:val="24"/>
        </w:rPr>
        <w:t xml:space="preserve"> </w:t>
      </w:r>
      <w:r>
        <w:rPr>
          <w:sz w:val="24"/>
        </w:rPr>
        <w:t>the</w:t>
      </w:r>
      <w:r>
        <w:rPr>
          <w:spacing w:val="-3"/>
          <w:sz w:val="24"/>
        </w:rPr>
        <w:t xml:space="preserve"> </w:t>
      </w:r>
      <w:r>
        <w:rPr>
          <w:sz w:val="24"/>
        </w:rPr>
        <w:t>starting</w:t>
      </w:r>
      <w:r>
        <w:rPr>
          <w:spacing w:val="-3"/>
          <w:sz w:val="24"/>
        </w:rPr>
        <w:t xml:space="preserve"> </w:t>
      </w:r>
      <w:r>
        <w:rPr>
          <w:sz w:val="24"/>
        </w:rPr>
        <w:t>risk</w:t>
      </w:r>
      <w:r>
        <w:rPr>
          <w:spacing w:val="-3"/>
          <w:sz w:val="24"/>
        </w:rPr>
        <w:t xml:space="preserve"> </w:t>
      </w:r>
      <w:r>
        <w:rPr>
          <w:sz w:val="24"/>
        </w:rPr>
        <w:t>score</w:t>
      </w:r>
      <w:r>
        <w:rPr>
          <w:spacing w:val="-4"/>
          <w:sz w:val="24"/>
        </w:rPr>
        <w:t xml:space="preserve"> </w:t>
      </w:r>
      <w:r>
        <w:rPr>
          <w:sz w:val="24"/>
        </w:rPr>
        <w:t>is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membership</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other</w:t>
      </w:r>
      <w:r>
        <w:rPr>
          <w:spacing w:val="-3"/>
          <w:sz w:val="24"/>
        </w:rPr>
        <w:t xml:space="preserve"> </w:t>
      </w:r>
      <w:r>
        <w:rPr>
          <w:sz w:val="24"/>
        </w:rPr>
        <w:t>than</w:t>
      </w:r>
      <w:r>
        <w:rPr>
          <w:spacing w:val="-3"/>
          <w:sz w:val="24"/>
        </w:rPr>
        <w:t xml:space="preserve"> </w:t>
      </w:r>
      <w:r>
        <w:rPr>
          <w:sz w:val="24"/>
        </w:rPr>
        <w:t>the</w:t>
      </w:r>
      <w:r>
        <w:rPr>
          <w:spacing w:val="-3"/>
          <w:sz w:val="24"/>
        </w:rPr>
        <w:t xml:space="preserve"> </w:t>
      </w:r>
      <w:r>
        <w:rPr>
          <w:sz w:val="24"/>
        </w:rPr>
        <w:t>July cohort or a full calendar-year cohort, then Part D sponsors must make an adjustment for enrollment seasonality.</w:t>
      </w:r>
    </w:p>
    <w:p>
      <w:pPr>
        <w:pStyle w:val="ListParagraph"/>
        <w:numPr>
          <w:ilvl w:val="0"/>
          <w:numId w:val="12"/>
        </w:numPr>
        <w:tabs>
          <w:tab w:val="left" w:pos="1664"/>
        </w:tabs>
        <w:spacing w:before="42" w:after="0" w:line="240" w:lineRule="auto"/>
        <w:ind w:left="1664" w:right="0" w:hanging="360"/>
        <w:jc w:val="left"/>
        <w:rPr>
          <w:sz w:val="24"/>
        </w:rPr>
      </w:pPr>
      <w:r>
        <w:rPr>
          <w:sz w:val="24"/>
        </w:rPr>
        <w:t>Risk</w:t>
      </w:r>
      <w:r>
        <w:rPr>
          <w:spacing w:val="-1"/>
          <w:sz w:val="24"/>
        </w:rPr>
        <w:t xml:space="preserve"> </w:t>
      </w:r>
      <w:r>
        <w:rPr>
          <w:sz w:val="24"/>
        </w:rPr>
        <w:t xml:space="preserve">model </w:t>
      </w:r>
      <w:r>
        <w:rPr>
          <w:spacing w:val="-2"/>
          <w:sz w:val="24"/>
        </w:rPr>
        <w:t>change.</w:t>
      </w:r>
    </w:p>
    <w:p>
      <w:pPr>
        <w:pStyle w:val="ListParagraph"/>
        <w:numPr>
          <w:ilvl w:val="1"/>
          <w:numId w:val="12"/>
        </w:numPr>
        <w:tabs>
          <w:tab w:val="left" w:pos="2024"/>
        </w:tabs>
        <w:spacing w:before="38" w:after="0" w:line="240" w:lineRule="auto"/>
        <w:ind w:left="2024" w:right="920" w:hanging="360"/>
        <w:jc w:val="left"/>
        <w:rPr>
          <w:sz w:val="24"/>
        </w:rPr>
      </w:pPr>
      <w:r>
        <w:rPr>
          <w:sz w:val="24"/>
        </w:rPr>
        <w:t>This includes the use of a different model in the data source versus the projection</w:t>
      </w:r>
      <w:r>
        <w:rPr>
          <w:spacing w:val="-5"/>
          <w:sz w:val="24"/>
        </w:rPr>
        <w:t xml:space="preserve"> </w:t>
      </w:r>
      <w:r>
        <w:rPr>
          <w:sz w:val="24"/>
        </w:rPr>
        <w:t>year</w:t>
      </w:r>
      <w:r>
        <w:rPr>
          <w:spacing w:val="-5"/>
          <w:sz w:val="24"/>
        </w:rPr>
        <w:t xml:space="preserve"> </w:t>
      </w:r>
      <w:r>
        <w:rPr>
          <w:sz w:val="24"/>
        </w:rPr>
        <w:t>and</w:t>
      </w:r>
      <w:r>
        <w:rPr>
          <w:spacing w:val="-5"/>
          <w:sz w:val="24"/>
        </w:rPr>
        <w:t xml:space="preserve"> </w:t>
      </w:r>
      <w:r>
        <w:rPr>
          <w:sz w:val="24"/>
        </w:rPr>
        <w:t>differences</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diagnoses</w:t>
      </w:r>
      <w:r>
        <w:rPr>
          <w:spacing w:val="-5"/>
          <w:sz w:val="24"/>
        </w:rPr>
        <w:t xml:space="preserve"> </w:t>
      </w:r>
      <w:r>
        <w:rPr>
          <w:sz w:val="24"/>
        </w:rPr>
        <w:t>included</w:t>
      </w:r>
      <w:r>
        <w:rPr>
          <w:spacing w:val="-5"/>
          <w:sz w:val="24"/>
        </w:rPr>
        <w:t xml:space="preserve"> </w:t>
      </w:r>
      <w:r>
        <w:rPr>
          <w:sz w:val="24"/>
        </w:rPr>
        <w:t>in</w:t>
      </w:r>
      <w:r>
        <w:rPr>
          <w:spacing w:val="-5"/>
          <w:sz w:val="24"/>
        </w:rPr>
        <w:t xml:space="preserve"> </w:t>
      </w:r>
      <w:r>
        <w:rPr>
          <w:sz w:val="24"/>
        </w:rPr>
        <w:t>each</w:t>
      </w:r>
      <w:r>
        <w:rPr>
          <w:spacing w:val="-5"/>
          <w:sz w:val="24"/>
        </w:rPr>
        <w:t xml:space="preserve"> </w:t>
      </w:r>
      <w:r>
        <w:rPr>
          <w:sz w:val="24"/>
        </w:rPr>
        <w:t>model.</w:t>
      </w:r>
    </w:p>
    <w:p>
      <w:pPr>
        <w:pStyle w:val="ListParagraph"/>
        <w:numPr>
          <w:ilvl w:val="0"/>
          <w:numId w:val="12"/>
        </w:numPr>
        <w:tabs>
          <w:tab w:val="left" w:pos="1664"/>
        </w:tabs>
        <w:spacing w:before="41" w:after="0" w:line="240" w:lineRule="auto"/>
        <w:ind w:left="1664" w:right="1052" w:hanging="360"/>
        <w:jc w:val="both"/>
        <w:rPr>
          <w:sz w:val="24"/>
        </w:rPr>
      </w:pPr>
      <w:r>
        <w:rPr>
          <w:sz w:val="24"/>
        </w:rPr>
        <w:t>Impact</w:t>
      </w:r>
      <w:r>
        <w:rPr>
          <w:spacing w:val="-1"/>
          <w:sz w:val="24"/>
        </w:rPr>
        <w:t xml:space="preserve"> </w:t>
      </w:r>
      <w:r>
        <w:rPr>
          <w:sz w:val="24"/>
        </w:rPr>
        <w:t>of</w:t>
      </w:r>
      <w:r>
        <w:rPr>
          <w:spacing w:val="-1"/>
          <w:sz w:val="24"/>
        </w:rPr>
        <w:t xml:space="preserve"> </w:t>
      </w:r>
      <w:r>
        <w:rPr>
          <w:sz w:val="24"/>
        </w:rPr>
        <w:t>changes</w:t>
      </w:r>
      <w:r>
        <w:rPr>
          <w:spacing w:val="-1"/>
          <w:sz w:val="24"/>
        </w:rPr>
        <w:t xml:space="preserve"> </w:t>
      </w:r>
      <w:r>
        <w:rPr>
          <w:sz w:val="24"/>
        </w:rPr>
        <w:t>to</w:t>
      </w:r>
      <w:r>
        <w:rPr>
          <w:spacing w:val="-1"/>
          <w:sz w:val="24"/>
        </w:rPr>
        <w:t xml:space="preserve"> </w:t>
      </w:r>
      <w:r>
        <w:rPr>
          <w:sz w:val="24"/>
        </w:rPr>
        <w:t>diagnosis</w:t>
      </w:r>
      <w:r>
        <w:rPr>
          <w:spacing w:val="-1"/>
          <w:sz w:val="24"/>
        </w:rPr>
        <w:t xml:space="preserve"> </w:t>
      </w:r>
      <w:r>
        <w:rPr>
          <w:sz w:val="24"/>
        </w:rPr>
        <w:t>data</w:t>
      </w:r>
      <w:r>
        <w:rPr>
          <w:spacing w:val="-1"/>
          <w:sz w:val="24"/>
        </w:rPr>
        <w:t xml:space="preserve"> </w:t>
      </w:r>
      <w:r>
        <w:rPr>
          <w:sz w:val="24"/>
        </w:rPr>
        <w:t>sources and weights</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time period</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data</w:t>
      </w:r>
      <w:r>
        <w:rPr>
          <w:spacing w:val="-4"/>
          <w:sz w:val="24"/>
        </w:rPr>
        <w:t xml:space="preserve"> </w:t>
      </w:r>
      <w:r>
        <w:rPr>
          <w:sz w:val="24"/>
        </w:rPr>
        <w:t>source</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contract</w:t>
      </w:r>
      <w:r>
        <w:rPr>
          <w:spacing w:val="-3"/>
          <w:sz w:val="24"/>
        </w:rPr>
        <w:t xml:space="preserve"> </w:t>
      </w:r>
      <w:r>
        <w:rPr>
          <w:sz w:val="24"/>
        </w:rPr>
        <w:t>year.</w:t>
      </w:r>
      <w:r>
        <w:rPr>
          <w:spacing w:val="-3"/>
          <w:sz w:val="24"/>
        </w:rPr>
        <w:t xml:space="preserve"> </w:t>
      </w:r>
      <w:r>
        <w:rPr>
          <w:sz w:val="24"/>
        </w:rPr>
        <w:t>Examples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3"/>
          <w:sz w:val="24"/>
        </w:rPr>
        <w:t xml:space="preserve"> </w:t>
      </w:r>
      <w:r>
        <w:rPr>
          <w:sz w:val="24"/>
        </w:rPr>
        <w:t>this factor include adjustments for—</w:t>
      </w:r>
    </w:p>
    <w:p>
      <w:pPr>
        <w:spacing w:after="0" w:line="240" w:lineRule="auto"/>
        <w:jc w:val="both"/>
        <w:rPr>
          <w:sz w:val="24"/>
        </w:rPr>
        <w:sectPr>
          <w:pgSz w:w="12240" w:h="15840"/>
          <w:pgMar w:top="1340" w:right="1000" w:bottom="940" w:left="1360" w:header="727" w:footer="747"/>
          <w:cols w:space="720"/>
        </w:sectPr>
      </w:pPr>
    </w:p>
    <w:p>
      <w:pPr>
        <w:pStyle w:val="ListParagraph"/>
        <w:numPr>
          <w:ilvl w:val="1"/>
          <w:numId w:val="12"/>
        </w:numPr>
        <w:tabs>
          <w:tab w:val="left" w:pos="2024"/>
        </w:tabs>
        <w:spacing w:before="87" w:after="0" w:line="240" w:lineRule="auto"/>
        <w:ind w:left="2024" w:right="483" w:hanging="360"/>
        <w:jc w:val="left"/>
        <w:rPr>
          <w:sz w:val="24"/>
        </w:rPr>
      </w:pPr>
      <w:r>
        <w:rPr>
          <w:sz w:val="24"/>
        </w:rPr>
        <w:t>The</w:t>
      </w:r>
      <w:r>
        <w:rPr>
          <w:spacing w:val="-5"/>
          <w:sz w:val="24"/>
        </w:rPr>
        <w:t xml:space="preserve"> </w:t>
      </w:r>
      <w:r>
        <w:rPr>
          <w:sz w:val="24"/>
        </w:rPr>
        <w:t>transition</w:t>
      </w:r>
      <w:r>
        <w:rPr>
          <w:spacing w:val="-4"/>
          <w:sz w:val="24"/>
        </w:rPr>
        <w:t xml:space="preserve"> </w:t>
      </w:r>
      <w:r>
        <w:rPr>
          <w:sz w:val="24"/>
        </w:rPr>
        <w:t>of</w:t>
      </w:r>
      <w:r>
        <w:rPr>
          <w:spacing w:val="-4"/>
          <w:sz w:val="24"/>
        </w:rPr>
        <w:t xml:space="preserve"> </w:t>
      </w:r>
      <w:r>
        <w:rPr>
          <w:sz w:val="24"/>
        </w:rPr>
        <w:t>starting</w:t>
      </w:r>
      <w:r>
        <w:rPr>
          <w:spacing w:val="-2"/>
          <w:sz w:val="24"/>
        </w:rPr>
        <w:t xml:space="preserve"> </w:t>
      </w:r>
      <w:r>
        <w:rPr>
          <w:sz w:val="24"/>
        </w:rPr>
        <w:t>risk</w:t>
      </w:r>
      <w:r>
        <w:rPr>
          <w:spacing w:val="-4"/>
          <w:sz w:val="24"/>
        </w:rPr>
        <w:t xml:space="preserve"> </w:t>
      </w:r>
      <w:r>
        <w:rPr>
          <w:sz w:val="24"/>
        </w:rPr>
        <w:t>scores</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MMR</w:t>
      </w:r>
      <w:r>
        <w:rPr>
          <w:spacing w:val="-4"/>
          <w:sz w:val="24"/>
        </w:rPr>
        <w:t xml:space="preserve"> </w:t>
      </w:r>
      <w:r>
        <w:rPr>
          <w:sz w:val="24"/>
        </w:rPr>
        <w:t>data</w:t>
      </w:r>
      <w:r>
        <w:rPr>
          <w:spacing w:val="-4"/>
          <w:sz w:val="24"/>
        </w:rPr>
        <w:t xml:space="preserve"> </w:t>
      </w:r>
      <w:r>
        <w:rPr>
          <w:sz w:val="24"/>
        </w:rPr>
        <w:t>from</w:t>
      </w:r>
      <w:r>
        <w:rPr>
          <w:spacing w:val="-4"/>
          <w:sz w:val="24"/>
        </w:rPr>
        <w:t xml:space="preserve"> </w:t>
      </w:r>
      <w:r>
        <w:rPr>
          <w:sz w:val="24"/>
        </w:rPr>
        <w:t>incomplete</w:t>
      </w:r>
      <w:r>
        <w:rPr>
          <w:spacing w:val="-5"/>
          <w:sz w:val="24"/>
        </w:rPr>
        <w:t xml:space="preserve"> </w:t>
      </w:r>
      <w:r>
        <w:rPr>
          <w:sz w:val="24"/>
        </w:rPr>
        <w:t>to final diagnosis data.</w:t>
      </w:r>
    </w:p>
    <w:p>
      <w:pPr>
        <w:pStyle w:val="ListParagraph"/>
        <w:numPr>
          <w:ilvl w:val="1"/>
          <w:numId w:val="12"/>
        </w:numPr>
        <w:tabs>
          <w:tab w:val="left" w:pos="2024"/>
        </w:tabs>
        <w:spacing w:before="41" w:after="0" w:line="240" w:lineRule="auto"/>
        <w:ind w:left="2024" w:right="0" w:hanging="360"/>
        <w:jc w:val="left"/>
        <w:rPr>
          <w:sz w:val="24"/>
        </w:rPr>
      </w:pPr>
      <w:r>
        <w:rPr>
          <w:sz w:val="24"/>
        </w:rPr>
        <w:t>An</w:t>
      </w:r>
      <w:r>
        <w:rPr>
          <w:spacing w:val="-1"/>
          <w:sz w:val="24"/>
        </w:rPr>
        <w:t xml:space="preserve"> </w:t>
      </w:r>
      <w:r>
        <w:rPr>
          <w:sz w:val="24"/>
        </w:rPr>
        <w:t>estimate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impact of</w:t>
      </w:r>
      <w:r>
        <w:rPr>
          <w:spacing w:val="-1"/>
          <w:sz w:val="24"/>
        </w:rPr>
        <w:t xml:space="preserve"> </w:t>
      </w:r>
      <w:r>
        <w:rPr>
          <w:sz w:val="24"/>
        </w:rPr>
        <w:t>the</w:t>
      </w:r>
      <w:r>
        <w:rPr>
          <w:spacing w:val="-1"/>
          <w:sz w:val="24"/>
        </w:rPr>
        <w:t xml:space="preserve"> </w:t>
      </w:r>
      <w:r>
        <w:rPr>
          <w:sz w:val="24"/>
        </w:rPr>
        <w:t>final</w:t>
      </w:r>
      <w:r>
        <w:rPr>
          <w:spacing w:val="-1"/>
          <w:sz w:val="24"/>
        </w:rPr>
        <w:t xml:space="preserve"> </w:t>
      </w:r>
      <w:r>
        <w:rPr>
          <w:sz w:val="24"/>
        </w:rPr>
        <w:t>risk score</w:t>
      </w:r>
      <w:r>
        <w:rPr>
          <w:spacing w:val="-1"/>
          <w:sz w:val="24"/>
        </w:rPr>
        <w:t xml:space="preserve"> </w:t>
      </w:r>
      <w:r>
        <w:rPr>
          <w:spacing w:val="-2"/>
          <w:sz w:val="24"/>
        </w:rPr>
        <w:t>reconciliation.</w:t>
      </w:r>
    </w:p>
    <w:p>
      <w:pPr>
        <w:pStyle w:val="BodyText"/>
        <w:spacing w:before="117"/>
        <w:ind w:right="478"/>
      </w:pPr>
      <w:r>
        <w:t>Once projected to the contract year, the risk scores must reflect the CY2026 Part D normalization factor. Note that if a raw (not normalized) risk score associated with a different</w:t>
      </w:r>
      <w:r>
        <w:rPr>
          <w:spacing w:val="-4"/>
        </w:rPr>
        <w:t xml:space="preserve"> </w:t>
      </w:r>
      <w:r>
        <w:t>model</w:t>
      </w:r>
      <w:r>
        <w:rPr>
          <w:spacing w:val="-2"/>
        </w:rPr>
        <w:t xml:space="preserve"> </w:t>
      </w:r>
      <w:r>
        <w:t>calibration</w:t>
      </w:r>
      <w:r>
        <w:rPr>
          <w:spacing w:val="-4"/>
        </w:rPr>
        <w:t xml:space="preserve"> </w:t>
      </w:r>
      <w:r>
        <w:t>year</w:t>
      </w:r>
      <w:r>
        <w:rPr>
          <w:spacing w:val="-4"/>
        </w:rPr>
        <w:t xml:space="preserve"> </w:t>
      </w:r>
      <w:r>
        <w:t>is</w:t>
      </w:r>
      <w:r>
        <w:rPr>
          <w:spacing w:val="-4"/>
        </w:rPr>
        <w:t xml:space="preserve"> </w:t>
      </w:r>
      <w:r>
        <w:t>being</w:t>
      </w:r>
      <w:r>
        <w:rPr>
          <w:spacing w:val="-4"/>
        </w:rPr>
        <w:t xml:space="preserve"> </w:t>
      </w:r>
      <w:r>
        <w:t>normalized,</w:t>
      </w:r>
      <w:r>
        <w:rPr>
          <w:spacing w:val="-4"/>
        </w:rPr>
        <w:t xml:space="preserve"> </w:t>
      </w:r>
      <w:r>
        <w:t>the</w:t>
      </w:r>
      <w:r>
        <w:rPr>
          <w:spacing w:val="-1"/>
        </w:rPr>
        <w:t xml:space="preserve"> </w:t>
      </w:r>
      <w:r>
        <w:t>CY2026</w:t>
      </w:r>
      <w:r>
        <w:rPr>
          <w:spacing w:val="-4"/>
        </w:rPr>
        <w:t xml:space="preserve"> </w:t>
      </w:r>
      <w:r>
        <w:t>Part</w:t>
      </w:r>
      <w:r>
        <w:rPr>
          <w:spacing w:val="-4"/>
        </w:rPr>
        <w:t xml:space="preserve"> </w:t>
      </w:r>
      <w:r>
        <w:t>D</w:t>
      </w:r>
      <w:r>
        <w:rPr>
          <w:spacing w:val="-4"/>
        </w:rPr>
        <w:t xml:space="preserve"> </w:t>
      </w:r>
      <w:r>
        <w:t>normalization factor is not the appropriate normalization factor.</w:t>
      </w:r>
    </w:p>
    <w:p>
      <w:pPr>
        <w:spacing w:before="243"/>
        <w:ind w:left="944" w:right="0" w:firstLine="0"/>
        <w:jc w:val="left"/>
        <w:rPr>
          <w:rFonts w:ascii="Arial"/>
          <w:b/>
          <w:i/>
          <w:sz w:val="21"/>
        </w:rPr>
      </w:pPr>
      <w:r>
        <w:rPr>
          <w:rFonts w:ascii="Arial"/>
          <w:b/>
          <w:i/>
          <w:sz w:val="21"/>
        </w:rPr>
        <w:t>Risk</w:t>
      </w:r>
      <w:r>
        <w:rPr>
          <w:rFonts w:ascii="Arial"/>
          <w:b/>
          <w:i/>
          <w:spacing w:val="-12"/>
          <w:sz w:val="21"/>
        </w:rPr>
        <w:t xml:space="preserve"> </w:t>
      </w:r>
      <w:r>
        <w:rPr>
          <w:rFonts w:ascii="Arial"/>
          <w:b/>
          <w:i/>
          <w:sz w:val="21"/>
        </w:rPr>
        <w:t>Adjustment</w:t>
      </w:r>
      <w:r>
        <w:rPr>
          <w:rFonts w:ascii="Arial"/>
          <w:b/>
          <w:i/>
          <w:spacing w:val="-9"/>
          <w:sz w:val="21"/>
        </w:rPr>
        <w:t xml:space="preserve"> </w:t>
      </w:r>
      <w:r>
        <w:rPr>
          <w:rFonts w:ascii="Arial"/>
          <w:b/>
          <w:i/>
          <w:sz w:val="21"/>
        </w:rPr>
        <w:t>Information</w:t>
      </w:r>
      <w:r>
        <w:rPr>
          <w:rFonts w:ascii="Arial"/>
          <w:b/>
          <w:i/>
          <w:spacing w:val="-8"/>
          <w:sz w:val="21"/>
        </w:rPr>
        <w:t xml:space="preserve"> </w:t>
      </w:r>
      <w:r>
        <w:rPr>
          <w:rFonts w:ascii="Arial"/>
          <w:b/>
          <w:i/>
          <w:spacing w:val="-2"/>
          <w:sz w:val="21"/>
        </w:rPr>
        <w:t>Sources</w:t>
      </w:r>
    </w:p>
    <w:p>
      <w:pPr>
        <w:pStyle w:val="BodyText"/>
        <w:spacing w:before="118"/>
        <w:ind w:right="478"/>
      </w:pPr>
      <w:r>
        <w:t>The</w:t>
      </w:r>
      <w:r>
        <w:rPr>
          <w:spacing w:val="-6"/>
        </w:rPr>
        <w:t xml:space="preserve"> </w:t>
      </w:r>
      <w:r>
        <w:t>following</w:t>
      </w:r>
      <w:r>
        <w:rPr>
          <w:spacing w:val="-4"/>
        </w:rPr>
        <w:t xml:space="preserve"> </w:t>
      </w:r>
      <w:r>
        <w:t>resources</w:t>
      </w:r>
      <w:r>
        <w:rPr>
          <w:spacing w:val="-2"/>
        </w:rPr>
        <w:t xml:space="preserve"> </w:t>
      </w:r>
      <w:r>
        <w:t>provide</w:t>
      </w:r>
      <w:r>
        <w:rPr>
          <w:spacing w:val="-6"/>
        </w:rPr>
        <w:t xml:space="preserve"> </w:t>
      </w:r>
      <w:r>
        <w:t>information</w:t>
      </w:r>
      <w:r>
        <w:rPr>
          <w:spacing w:val="-4"/>
        </w:rPr>
        <w:t xml:space="preserve"> </w:t>
      </w:r>
      <w:r>
        <w:t>on</w:t>
      </w:r>
      <w:r>
        <w:rPr>
          <w:spacing w:val="-4"/>
        </w:rPr>
        <w:t xml:space="preserve"> </w:t>
      </w:r>
      <w:r>
        <w:t>the</w:t>
      </w:r>
      <w:r>
        <w:rPr>
          <w:spacing w:val="-3"/>
        </w:rPr>
        <w:t xml:space="preserve"> </w:t>
      </w:r>
      <w:r>
        <w:t>development</w:t>
      </w:r>
      <w:r>
        <w:rPr>
          <w:spacing w:val="-4"/>
        </w:rPr>
        <w:t xml:space="preserve"> </w:t>
      </w:r>
      <w:r>
        <w:t>of</w:t>
      </w:r>
      <w:r>
        <w:rPr>
          <w:spacing w:val="-4"/>
        </w:rPr>
        <w:t xml:space="preserve"> </w:t>
      </w:r>
      <w:r>
        <w:t>projected</w:t>
      </w:r>
      <w:r>
        <w:rPr>
          <w:spacing w:val="-4"/>
        </w:rPr>
        <w:t xml:space="preserve"> </w:t>
      </w:r>
      <w:r>
        <w:t>CY2026 risk scores:</w:t>
      </w:r>
    </w:p>
    <w:p>
      <w:pPr>
        <w:pStyle w:val="ListParagraph"/>
        <w:numPr>
          <w:ilvl w:val="0"/>
          <w:numId w:val="12"/>
        </w:numPr>
        <w:tabs>
          <w:tab w:val="left" w:pos="1664"/>
        </w:tabs>
        <w:spacing w:before="120" w:after="0" w:line="240" w:lineRule="auto"/>
        <w:ind w:left="1664" w:right="812" w:hanging="360"/>
        <w:jc w:val="left"/>
        <w:rPr>
          <w:sz w:val="24"/>
        </w:rPr>
      </w:pPr>
      <w:r>
        <w:rPr>
          <w:sz w:val="24"/>
        </w:rPr>
        <w:t xml:space="preserve">The CY2026 Advance Notice and Announcement found at </w:t>
      </w:r>
      <w:hyperlink r:id="rId8">
        <w:r>
          <w:rPr>
            <w:color w:val="0000FF"/>
            <w:spacing w:val="-2"/>
            <w:sz w:val="24"/>
            <w:u w:val="single" w:color="0000FF"/>
          </w:rPr>
          <w:t>https://www.cms.gov/medicare/payment/medicare-advantage-rates-statistics/</w:t>
        </w:r>
      </w:hyperlink>
      <w:r>
        <w:rPr>
          <w:color w:val="0000FF"/>
          <w:spacing w:val="-2"/>
          <w:sz w:val="24"/>
          <w:u w:val="none"/>
        </w:rPr>
        <w:t xml:space="preserve"> </w:t>
      </w:r>
      <w:hyperlink r:id="rId8">
        <w:r>
          <w:rPr>
            <w:color w:val="0000FF"/>
            <w:spacing w:val="-2"/>
            <w:sz w:val="24"/>
            <w:u w:val="single" w:color="0000FF"/>
          </w:rPr>
          <w:t>announcements-and-documents</w:t>
        </w:r>
      </w:hyperlink>
      <w:r>
        <w:rPr>
          <w:color w:val="0000FF"/>
          <w:spacing w:val="-2"/>
          <w:sz w:val="24"/>
          <w:u w:val="single" w:color="0000FF"/>
        </w:rPr>
        <w:t>.</w:t>
      </w:r>
    </w:p>
    <w:p>
      <w:pPr>
        <w:pStyle w:val="ListParagraph"/>
        <w:numPr>
          <w:ilvl w:val="0"/>
          <w:numId w:val="12"/>
        </w:numPr>
        <w:tabs>
          <w:tab w:val="left" w:pos="1664"/>
        </w:tabs>
        <w:spacing w:before="1" w:after="0" w:line="240" w:lineRule="auto"/>
        <w:ind w:left="1664" w:right="553" w:hanging="360"/>
        <w:jc w:val="left"/>
        <w:rPr>
          <w:sz w:val="24"/>
        </w:rPr>
      </w:pPr>
      <w:r>
        <w:rPr>
          <w:sz w:val="24"/>
        </w:rPr>
        <w:t>Bid-level</w:t>
      </w:r>
      <w:r>
        <w:rPr>
          <w:spacing w:val="-3"/>
          <w:sz w:val="24"/>
        </w:rPr>
        <w:t xml:space="preserve"> </w:t>
      </w:r>
      <w:r>
        <w:rPr>
          <w:sz w:val="24"/>
        </w:rPr>
        <w:t>data</w:t>
      </w:r>
      <w:r>
        <w:rPr>
          <w:spacing w:val="-4"/>
          <w:sz w:val="24"/>
        </w:rPr>
        <w:t xml:space="preserve"> </w:t>
      </w:r>
      <w:r>
        <w:rPr>
          <w:sz w:val="24"/>
        </w:rPr>
        <w:t>and</w:t>
      </w:r>
      <w:r>
        <w:rPr>
          <w:spacing w:val="-3"/>
          <w:sz w:val="24"/>
        </w:rPr>
        <w:t xml:space="preserve"> </w:t>
      </w:r>
      <w:r>
        <w:rPr>
          <w:sz w:val="24"/>
        </w:rPr>
        <w:t>technical</w:t>
      </w:r>
      <w:r>
        <w:rPr>
          <w:spacing w:val="-3"/>
          <w:sz w:val="24"/>
        </w:rPr>
        <w:t xml:space="preserve"> </w:t>
      </w:r>
      <w:r>
        <w:rPr>
          <w:sz w:val="24"/>
        </w:rPr>
        <w:t>notes</w:t>
      </w:r>
      <w:r>
        <w:rPr>
          <w:spacing w:val="-3"/>
          <w:sz w:val="24"/>
        </w:rPr>
        <w:t xml:space="preserve"> </w:t>
      </w:r>
      <w:r>
        <w:rPr>
          <w:sz w:val="24"/>
        </w:rPr>
        <w:t>available</w:t>
      </w:r>
      <w:r>
        <w:rPr>
          <w:spacing w:val="-4"/>
          <w:sz w:val="24"/>
        </w:rPr>
        <w:t xml:space="preserve"> </w:t>
      </w:r>
      <w:r>
        <w:rPr>
          <w:sz w:val="24"/>
        </w:rPr>
        <w:t>after</w:t>
      </w:r>
      <w:r>
        <w:rPr>
          <w:spacing w:val="-3"/>
          <w:sz w:val="24"/>
        </w:rPr>
        <w:t xml:space="preserve"> </w:t>
      </w:r>
      <w:r>
        <w:rPr>
          <w:sz w:val="24"/>
        </w:rPr>
        <w:t>the</w:t>
      </w:r>
      <w:r>
        <w:rPr>
          <w:spacing w:val="-4"/>
          <w:sz w:val="24"/>
        </w:rPr>
        <w:t xml:space="preserve"> </w:t>
      </w:r>
      <w:r>
        <w:rPr>
          <w:sz w:val="24"/>
        </w:rPr>
        <w:t>publication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CY2026 Announcement through the “Risk Adjustment” link on the HPMS Home page.</w:t>
      </w:r>
    </w:p>
    <w:p>
      <w:pPr>
        <w:pStyle w:val="ListParagraph"/>
        <w:numPr>
          <w:ilvl w:val="0"/>
          <w:numId w:val="12"/>
        </w:numPr>
        <w:tabs>
          <w:tab w:val="left" w:pos="1664"/>
        </w:tabs>
        <w:spacing w:before="0" w:after="0" w:line="240" w:lineRule="auto"/>
        <w:ind w:left="1664" w:right="551" w:hanging="360"/>
        <w:jc w:val="left"/>
        <w:rPr>
          <w:sz w:val="24"/>
        </w:rPr>
      </w:pPr>
      <w:r>
        <w:rPr>
          <w:sz w:val="24"/>
        </w:rPr>
        <w:t>Beneficiary-level</w:t>
      </w:r>
      <w:r>
        <w:rPr>
          <w:spacing w:val="-5"/>
          <w:sz w:val="24"/>
        </w:rPr>
        <w:t xml:space="preserve"> </w:t>
      </w:r>
      <w:r>
        <w:rPr>
          <w:sz w:val="24"/>
        </w:rPr>
        <w:t>files</w:t>
      </w:r>
      <w:r>
        <w:rPr>
          <w:spacing w:val="-3"/>
          <w:sz w:val="24"/>
        </w:rPr>
        <w:t xml:space="preserve"> </w:t>
      </w:r>
      <w:r>
        <w:rPr>
          <w:sz w:val="24"/>
        </w:rPr>
        <w:t>and</w:t>
      </w:r>
      <w:r>
        <w:rPr>
          <w:spacing w:val="-5"/>
          <w:sz w:val="24"/>
        </w:rPr>
        <w:t xml:space="preserve"> </w:t>
      </w:r>
      <w:r>
        <w:rPr>
          <w:sz w:val="24"/>
        </w:rPr>
        <w:t>technical</w:t>
      </w:r>
      <w:r>
        <w:rPr>
          <w:spacing w:val="-5"/>
          <w:sz w:val="24"/>
        </w:rPr>
        <w:t xml:space="preserve"> </w:t>
      </w:r>
      <w:r>
        <w:rPr>
          <w:sz w:val="24"/>
        </w:rPr>
        <w:t>notes</w:t>
      </w:r>
      <w:r>
        <w:rPr>
          <w:spacing w:val="-5"/>
          <w:sz w:val="24"/>
        </w:rPr>
        <w:t xml:space="preserve"> </w:t>
      </w:r>
      <w:r>
        <w:rPr>
          <w:sz w:val="24"/>
        </w:rPr>
        <w:t>sent</w:t>
      </w:r>
      <w:r>
        <w:rPr>
          <w:spacing w:val="-5"/>
          <w:sz w:val="24"/>
        </w:rPr>
        <w:t xml:space="preserve"> </w:t>
      </w:r>
      <w:r>
        <w:rPr>
          <w:sz w:val="24"/>
        </w:rPr>
        <w:t>to</w:t>
      </w:r>
      <w:r>
        <w:rPr>
          <w:spacing w:val="-3"/>
          <w:sz w:val="24"/>
        </w:rPr>
        <w:t xml:space="preserve"> </w:t>
      </w:r>
      <w:r>
        <w:rPr>
          <w:sz w:val="24"/>
        </w:rPr>
        <w:t>MAOs</w:t>
      </w:r>
      <w:r>
        <w:rPr>
          <w:spacing w:val="-5"/>
          <w:sz w:val="24"/>
        </w:rPr>
        <w:t xml:space="preserve"> </w:t>
      </w:r>
      <w:r>
        <w:rPr>
          <w:sz w:val="24"/>
        </w:rPr>
        <w:t>electronically</w:t>
      </w:r>
      <w:r>
        <w:rPr>
          <w:spacing w:val="-5"/>
          <w:sz w:val="24"/>
        </w:rPr>
        <w:t xml:space="preserve"> </w:t>
      </w:r>
      <w:r>
        <w:rPr>
          <w:sz w:val="24"/>
        </w:rPr>
        <w:t>after</w:t>
      </w:r>
      <w:r>
        <w:rPr>
          <w:spacing w:val="-5"/>
          <w:sz w:val="24"/>
        </w:rPr>
        <w:t xml:space="preserve"> </w:t>
      </w:r>
      <w:r>
        <w:rPr>
          <w:sz w:val="24"/>
        </w:rPr>
        <w:t>the publication of the CY2026 Announcement.</w:t>
      </w:r>
    </w:p>
    <w:p>
      <w:pPr>
        <w:pStyle w:val="ListParagraph"/>
        <w:numPr>
          <w:ilvl w:val="0"/>
          <w:numId w:val="12"/>
        </w:numPr>
        <w:tabs>
          <w:tab w:val="left" w:pos="1664"/>
        </w:tabs>
        <w:spacing w:before="0" w:after="0" w:line="240" w:lineRule="auto"/>
        <w:ind w:left="1664" w:right="0" w:hanging="360"/>
        <w:jc w:val="left"/>
        <w:rPr>
          <w:sz w:val="24"/>
        </w:rPr>
      </w:pPr>
      <w:r>
        <w:rPr>
          <w:sz w:val="24"/>
        </w:rPr>
        <w:t>Additional</w:t>
      </w:r>
      <w:r>
        <w:rPr>
          <w:spacing w:val="-2"/>
          <w:sz w:val="24"/>
        </w:rPr>
        <w:t xml:space="preserve"> </w:t>
      </w:r>
      <w:r>
        <w:rPr>
          <w:sz w:val="24"/>
        </w:rPr>
        <w:t>information</w:t>
      </w:r>
      <w:r>
        <w:rPr>
          <w:spacing w:val="-1"/>
          <w:sz w:val="24"/>
        </w:rPr>
        <w:t xml:space="preserve"> </w:t>
      </w:r>
      <w:r>
        <w:rPr>
          <w:spacing w:val="-2"/>
          <w:sz w:val="24"/>
        </w:rPr>
        <w:t>found—</w:t>
      </w:r>
    </w:p>
    <w:p>
      <w:pPr>
        <w:pStyle w:val="ListParagraph"/>
        <w:numPr>
          <w:ilvl w:val="1"/>
          <w:numId w:val="12"/>
        </w:numPr>
        <w:tabs>
          <w:tab w:val="left" w:pos="2024"/>
        </w:tabs>
        <w:spacing w:before="41" w:after="0" w:line="240" w:lineRule="auto"/>
        <w:ind w:left="2024" w:right="1347" w:hanging="360"/>
        <w:jc w:val="left"/>
        <w:rPr>
          <w:sz w:val="24"/>
        </w:rPr>
      </w:pPr>
      <w:r>
        <w:rPr>
          <w:sz w:val="24"/>
        </w:rPr>
        <w:t>At the “Risk Adjustment”</w:t>
      </w:r>
      <w:r>
        <w:rPr>
          <w:spacing w:val="40"/>
          <w:sz w:val="24"/>
        </w:rPr>
        <w:t xml:space="preserve"> </w:t>
      </w:r>
      <w:r>
        <w:rPr>
          <w:sz w:val="24"/>
        </w:rPr>
        <w:t xml:space="preserve">link at </w:t>
      </w:r>
      <w:hyperlink r:id="rId16">
        <w:r>
          <w:rPr>
            <w:color w:val="0000FF"/>
            <w:spacing w:val="-2"/>
            <w:sz w:val="24"/>
            <w:u w:val="single" w:color="0000FF"/>
          </w:rPr>
          <w:t>https://www.cms.gov/medicare/payment/medicare-advantage-rates-</w:t>
        </w:r>
      </w:hyperlink>
      <w:r>
        <w:rPr>
          <w:color w:val="0000FF"/>
          <w:spacing w:val="-2"/>
          <w:sz w:val="24"/>
          <w:u w:val="none"/>
        </w:rPr>
        <w:t xml:space="preserve"> </w:t>
      </w:r>
      <w:hyperlink r:id="rId16">
        <w:r>
          <w:rPr>
            <w:color w:val="0000FF"/>
            <w:spacing w:val="-2"/>
            <w:sz w:val="24"/>
            <w:u w:val="single" w:color="0000FF"/>
          </w:rPr>
          <w:t>statistics/risk-adjustment</w:t>
        </w:r>
      </w:hyperlink>
      <w:r>
        <w:rPr>
          <w:spacing w:val="-2"/>
          <w:sz w:val="24"/>
          <w:u w:val="none"/>
        </w:rPr>
        <w:t>.</w:t>
      </w:r>
    </w:p>
    <w:p>
      <w:pPr>
        <w:pStyle w:val="ListParagraph"/>
        <w:numPr>
          <w:ilvl w:val="1"/>
          <w:numId w:val="12"/>
        </w:numPr>
        <w:tabs>
          <w:tab w:val="left" w:pos="2024"/>
        </w:tabs>
        <w:spacing w:before="38" w:after="0" w:line="240" w:lineRule="auto"/>
        <w:ind w:left="2024" w:right="1347" w:hanging="360"/>
        <w:jc w:val="left"/>
        <w:rPr>
          <w:sz w:val="24"/>
        </w:rPr>
      </w:pPr>
      <w:r>
        <w:rPr>
          <w:sz w:val="24"/>
        </w:rPr>
        <w:t xml:space="preserve">At the “Ratebooks &amp; Supporting Data” link at </w:t>
      </w:r>
      <w:hyperlink r:id="rId17">
        <w:r>
          <w:rPr>
            <w:color w:val="0000FF"/>
            <w:spacing w:val="-2"/>
            <w:sz w:val="24"/>
            <w:u w:val="single" w:color="0000FF"/>
          </w:rPr>
          <w:t>https://www.cms.gov/medicare/payment/medicare-advantage-rates-</w:t>
        </w:r>
      </w:hyperlink>
      <w:r>
        <w:rPr>
          <w:color w:val="0000FF"/>
          <w:spacing w:val="-2"/>
          <w:sz w:val="24"/>
          <w:u w:val="none"/>
        </w:rPr>
        <w:t xml:space="preserve"> </w:t>
      </w:r>
      <w:hyperlink r:id="rId17">
        <w:r>
          <w:rPr>
            <w:color w:val="0000FF"/>
            <w:spacing w:val="-2"/>
            <w:sz w:val="24"/>
            <w:u w:val="single" w:color="0000FF"/>
          </w:rPr>
          <w:t>statistics/ratebooks-supporting-data</w:t>
        </w:r>
        <w:r>
          <w:rPr>
            <w:spacing w:val="-2"/>
            <w:sz w:val="24"/>
            <w:u w:val="none"/>
          </w:rPr>
          <w:t>.</w:t>
        </w:r>
      </w:hyperlink>
    </w:p>
    <w:p>
      <w:pPr>
        <w:pStyle w:val="ListParagraph"/>
        <w:numPr>
          <w:ilvl w:val="1"/>
          <w:numId w:val="12"/>
        </w:numPr>
        <w:tabs>
          <w:tab w:val="left" w:pos="2024"/>
        </w:tabs>
        <w:spacing w:before="42" w:after="0" w:line="240" w:lineRule="auto"/>
        <w:ind w:left="2024" w:right="527" w:hanging="360"/>
        <w:jc w:val="left"/>
        <w:rPr>
          <w:sz w:val="24"/>
        </w:rPr>
      </w:pPr>
      <w:r>
        <w:rPr>
          <w:sz w:val="24"/>
        </w:rPr>
        <w:t>At</w:t>
      </w:r>
      <w:r>
        <w:rPr>
          <w:spacing w:val="-7"/>
          <w:sz w:val="24"/>
        </w:rPr>
        <w:t xml:space="preserve"> </w:t>
      </w:r>
      <w:hyperlink r:id="rId18">
        <w:r>
          <w:rPr>
            <w:color w:val="0000FF"/>
            <w:sz w:val="24"/>
            <w:u w:val="single" w:color="0000FF"/>
          </w:rPr>
          <w:t>https://www.csscoperations.com/</w:t>
        </w:r>
      </w:hyperlink>
      <w:r>
        <w:rPr>
          <w:sz w:val="24"/>
          <w:u w:val="none"/>
        </w:rPr>
        <w:t>,</w:t>
      </w:r>
      <w:r>
        <w:rPr>
          <w:spacing w:val="-7"/>
          <w:sz w:val="24"/>
          <w:u w:val="none"/>
        </w:rPr>
        <w:t xml:space="preserve"> </w:t>
      </w:r>
      <w:r>
        <w:rPr>
          <w:sz w:val="24"/>
          <w:u w:val="none"/>
        </w:rPr>
        <w:t>including</w:t>
      </w:r>
      <w:r>
        <w:rPr>
          <w:spacing w:val="-7"/>
          <w:sz w:val="24"/>
          <w:u w:val="none"/>
        </w:rPr>
        <w:t xml:space="preserve"> </w:t>
      </w:r>
      <w:r>
        <w:rPr>
          <w:sz w:val="24"/>
          <w:u w:val="none"/>
        </w:rPr>
        <w:t>slides</w:t>
      </w:r>
      <w:r>
        <w:rPr>
          <w:spacing w:val="-7"/>
          <w:sz w:val="24"/>
          <w:u w:val="none"/>
        </w:rPr>
        <w:t xml:space="preserve"> </w:t>
      </w:r>
      <w:r>
        <w:rPr>
          <w:sz w:val="24"/>
          <w:u w:val="none"/>
        </w:rPr>
        <w:t>from</w:t>
      </w:r>
      <w:r>
        <w:rPr>
          <w:spacing w:val="-7"/>
          <w:sz w:val="24"/>
          <w:u w:val="none"/>
        </w:rPr>
        <w:t xml:space="preserve"> </w:t>
      </w:r>
      <w:r>
        <w:rPr>
          <w:sz w:val="24"/>
          <w:u w:val="none"/>
        </w:rPr>
        <w:t>Risk</w:t>
      </w:r>
      <w:r>
        <w:rPr>
          <w:spacing w:val="-7"/>
          <w:sz w:val="24"/>
          <w:u w:val="none"/>
        </w:rPr>
        <w:t xml:space="preserve"> </w:t>
      </w:r>
      <w:r>
        <w:rPr>
          <w:sz w:val="24"/>
          <w:u w:val="none"/>
        </w:rPr>
        <w:t>Adjustment User Group Calls.</w:t>
      </w:r>
    </w:p>
    <w:p>
      <w:pPr>
        <w:spacing w:before="240"/>
        <w:ind w:left="944" w:right="0" w:firstLine="0"/>
        <w:jc w:val="left"/>
        <w:rPr>
          <w:rFonts w:ascii="Arial"/>
          <w:b/>
          <w:i/>
          <w:sz w:val="21"/>
        </w:rPr>
      </w:pPr>
      <w:r>
        <w:rPr>
          <w:rFonts w:ascii="Arial"/>
          <w:b/>
          <w:i/>
          <w:sz w:val="21"/>
        </w:rPr>
        <w:t>Other</w:t>
      </w:r>
      <w:r>
        <w:rPr>
          <w:rFonts w:ascii="Arial"/>
          <w:b/>
          <w:i/>
          <w:spacing w:val="-8"/>
          <w:sz w:val="21"/>
        </w:rPr>
        <w:t xml:space="preserve"> </w:t>
      </w:r>
      <w:r>
        <w:rPr>
          <w:rFonts w:ascii="Arial"/>
          <w:b/>
          <w:i/>
          <w:spacing w:val="-2"/>
          <w:sz w:val="21"/>
        </w:rPr>
        <w:t>Considerations</w:t>
      </w:r>
    </w:p>
    <w:p>
      <w:pPr>
        <w:pStyle w:val="BodyText"/>
        <w:spacing w:before="121"/>
        <w:ind w:right="478"/>
      </w:pPr>
      <w:r>
        <w:t>See</w:t>
      </w:r>
      <w:r>
        <w:rPr>
          <w:spacing w:val="-5"/>
        </w:rPr>
        <w:t xml:space="preserve"> </w:t>
      </w:r>
      <w:r>
        <w:t>the</w:t>
      </w:r>
      <w:r>
        <w:rPr>
          <w:spacing w:val="-4"/>
        </w:rPr>
        <w:t xml:space="preserve"> </w:t>
      </w:r>
      <w:r>
        <w:t>“Credibility”</w:t>
      </w:r>
      <w:r>
        <w:rPr>
          <w:spacing w:val="-4"/>
        </w:rPr>
        <w:t xml:space="preserve"> </w:t>
      </w:r>
      <w:r>
        <w:t>pricing</w:t>
      </w:r>
      <w:r>
        <w:rPr>
          <w:spacing w:val="-4"/>
        </w:rPr>
        <w:t xml:space="preserve"> </w:t>
      </w:r>
      <w:r>
        <w:t>consideration</w:t>
      </w:r>
      <w:r>
        <w:rPr>
          <w:spacing w:val="-4"/>
        </w:rPr>
        <w:t xml:space="preserve"> </w:t>
      </w:r>
      <w:r>
        <w:t>for</w:t>
      </w:r>
      <w:r>
        <w:rPr>
          <w:spacing w:val="-4"/>
        </w:rPr>
        <w:t xml:space="preserve"> </w:t>
      </w:r>
      <w:r>
        <w:t>more</w:t>
      </w:r>
      <w:r>
        <w:rPr>
          <w:spacing w:val="-5"/>
        </w:rPr>
        <w:t xml:space="preserve"> </w:t>
      </w:r>
      <w:r>
        <w:t>information</w:t>
      </w:r>
      <w:r>
        <w:rPr>
          <w:spacing w:val="-4"/>
        </w:rPr>
        <w:t xml:space="preserve"> </w:t>
      </w:r>
      <w:r>
        <w:t>about</w:t>
      </w:r>
      <w:r>
        <w:rPr>
          <w:spacing w:val="-4"/>
        </w:rPr>
        <w:t xml:space="preserve"> </w:t>
      </w:r>
      <w:r>
        <w:t>the</w:t>
      </w:r>
      <w:r>
        <w:rPr>
          <w:spacing w:val="-4"/>
        </w:rPr>
        <w:t xml:space="preserve"> </w:t>
      </w:r>
      <w:r>
        <w:t>projection</w:t>
      </w:r>
      <w:r>
        <w:rPr>
          <w:spacing w:val="-4"/>
        </w:rPr>
        <w:t xml:space="preserve"> </w:t>
      </w:r>
      <w:r>
        <w:t>of risk scores.</w:t>
      </w:r>
    </w:p>
    <w:p>
      <w:pPr>
        <w:pStyle w:val="BodyText"/>
      </w:pPr>
      <w:r>
        <w:t>See</w:t>
      </w:r>
      <w:r>
        <w:rPr>
          <w:spacing w:val="-4"/>
        </w:rPr>
        <w:t xml:space="preserve"> </w:t>
      </w:r>
      <w:r>
        <w:t>Appendix F for</w:t>
      </w:r>
      <w:r>
        <w:rPr>
          <w:spacing w:val="-2"/>
        </w:rPr>
        <w:t xml:space="preserve"> </w:t>
      </w:r>
      <w:r>
        <w:t>more information about</w:t>
      </w:r>
      <w:r>
        <w:rPr>
          <w:spacing w:val="-1"/>
        </w:rPr>
        <w:t xml:space="preserve"> </w:t>
      </w:r>
      <w:r>
        <w:t>trending MA</w:t>
      </w:r>
      <w:r>
        <w:rPr>
          <w:spacing w:val="-1"/>
        </w:rPr>
        <w:t xml:space="preserve"> </w:t>
      </w:r>
      <w:r>
        <w:t>and</w:t>
      </w:r>
      <w:r>
        <w:rPr>
          <w:spacing w:val="1"/>
        </w:rPr>
        <w:t xml:space="preserve"> </w:t>
      </w:r>
      <w:r>
        <w:t>Part</w:t>
      </w:r>
      <w:r>
        <w:rPr>
          <w:spacing w:val="-1"/>
        </w:rPr>
        <w:t xml:space="preserve"> </w:t>
      </w:r>
      <w:r>
        <w:t>D</w:t>
      </w:r>
      <w:r>
        <w:rPr>
          <w:spacing w:val="-1"/>
        </w:rPr>
        <w:t xml:space="preserve"> </w:t>
      </w:r>
      <w:r>
        <w:t xml:space="preserve">risk </w:t>
      </w:r>
      <w:r>
        <w:rPr>
          <w:spacing w:val="-2"/>
        </w:rPr>
        <w:t>scores.</w:t>
      </w:r>
    </w:p>
    <w:p>
      <w:pPr>
        <w:spacing w:before="240"/>
        <w:ind w:left="224" w:right="0" w:firstLine="0"/>
        <w:jc w:val="left"/>
        <w:rPr>
          <w:rFonts w:ascii="Arial"/>
          <w:b/>
          <w:sz w:val="21"/>
        </w:rPr>
      </w:pPr>
      <w:bookmarkStart w:id="39" w:name="Sequestration"/>
      <w:bookmarkEnd w:id="39"/>
      <w:bookmarkStart w:id="40" w:name="_bookmark19"/>
      <w:bookmarkEnd w:id="40"/>
      <w:r>
        <w:rPr>
          <w:rFonts w:ascii="Arial"/>
          <w:b/>
          <w:spacing w:val="-2"/>
          <w:sz w:val="21"/>
        </w:rPr>
        <w:t>Sequestration</w:t>
      </w:r>
    </w:p>
    <w:p>
      <w:pPr>
        <w:pStyle w:val="BodyText"/>
        <w:spacing w:before="118"/>
        <w:ind w:left="224"/>
      </w:pPr>
      <w:r>
        <w:t>Pricing</w:t>
      </w:r>
      <w:r>
        <w:rPr>
          <w:spacing w:val="-4"/>
        </w:rPr>
        <w:t xml:space="preserve"> </w:t>
      </w:r>
      <w:r>
        <w:t>assumptions</w:t>
      </w:r>
      <w:r>
        <w:rPr>
          <w:spacing w:val="-2"/>
        </w:rPr>
        <w:t xml:space="preserve"> </w:t>
      </w:r>
      <w:r>
        <w:t>must</w:t>
      </w:r>
      <w:r>
        <w:rPr>
          <w:spacing w:val="-2"/>
        </w:rPr>
        <w:t xml:space="preserve"> </w:t>
      </w:r>
      <w:r>
        <w:t>consistently</w:t>
      </w:r>
      <w:r>
        <w:rPr>
          <w:spacing w:val="-1"/>
        </w:rPr>
        <w:t xml:space="preserve"> </w:t>
      </w:r>
      <w:r>
        <w:t>reflect</w:t>
      </w:r>
      <w:r>
        <w:rPr>
          <w:spacing w:val="-2"/>
        </w:rPr>
        <w:t xml:space="preserve"> </w:t>
      </w:r>
      <w:r>
        <w:t>the</w:t>
      </w:r>
      <w:r>
        <w:rPr>
          <w:spacing w:val="1"/>
        </w:rPr>
        <w:t xml:space="preserve"> </w:t>
      </w:r>
      <w:r>
        <w:t>effect</w:t>
      </w:r>
      <w:r>
        <w:rPr>
          <w:spacing w:val="-2"/>
        </w:rPr>
        <w:t xml:space="preserve"> </w:t>
      </w:r>
      <w:r>
        <w:t>of</w:t>
      </w:r>
      <w:r>
        <w:rPr>
          <w:spacing w:val="-1"/>
        </w:rPr>
        <w:t xml:space="preserve"> </w:t>
      </w:r>
      <w:r>
        <w:rPr>
          <w:spacing w:val="-2"/>
        </w:rPr>
        <w:t>sequestration.</w:t>
      </w:r>
    </w:p>
    <w:p>
      <w:pPr>
        <w:spacing w:before="241"/>
        <w:ind w:left="224" w:right="0" w:firstLine="0"/>
        <w:jc w:val="left"/>
        <w:rPr>
          <w:rFonts w:ascii="Arial"/>
          <w:b/>
          <w:sz w:val="21"/>
        </w:rPr>
      </w:pPr>
      <w:bookmarkStart w:id="41" w:name="Supporting Documentation"/>
      <w:bookmarkEnd w:id="41"/>
      <w:bookmarkStart w:id="42" w:name="_bookmark20"/>
      <w:bookmarkEnd w:id="42"/>
      <w:r>
        <w:rPr>
          <w:rFonts w:ascii="Arial"/>
          <w:b/>
          <w:sz w:val="21"/>
        </w:rPr>
        <w:t>Supporting</w:t>
      </w:r>
      <w:r>
        <w:rPr>
          <w:rFonts w:ascii="Arial"/>
          <w:b/>
          <w:spacing w:val="-10"/>
          <w:sz w:val="21"/>
        </w:rPr>
        <w:t xml:space="preserve"> </w:t>
      </w:r>
      <w:r>
        <w:rPr>
          <w:rFonts w:ascii="Arial"/>
          <w:b/>
          <w:spacing w:val="-2"/>
          <w:sz w:val="21"/>
        </w:rPr>
        <w:t>Documentation</w:t>
      </w:r>
    </w:p>
    <w:p>
      <w:pPr>
        <w:pStyle w:val="BodyText"/>
        <w:spacing w:before="121"/>
        <w:ind w:left="224" w:right="979"/>
      </w:pPr>
      <w:r>
        <w:t>In</w:t>
      </w:r>
      <w:r>
        <w:rPr>
          <w:spacing w:val="-2"/>
        </w:rPr>
        <w:t xml:space="preserve"> </w:t>
      </w:r>
      <w:r>
        <w:t>addition</w:t>
      </w:r>
      <w:r>
        <w:rPr>
          <w:spacing w:val="-4"/>
        </w:rPr>
        <w:t xml:space="preserve"> </w:t>
      </w:r>
      <w:r>
        <w:t>to</w:t>
      </w:r>
      <w:r>
        <w:rPr>
          <w:spacing w:val="-4"/>
        </w:rPr>
        <w:t xml:space="preserve"> </w:t>
      </w:r>
      <w:r>
        <w:t>the</w:t>
      </w:r>
      <w:r>
        <w:rPr>
          <w:spacing w:val="-4"/>
        </w:rPr>
        <w:t xml:space="preserve"> </w:t>
      </w:r>
      <w:r>
        <w:t>BPT</w:t>
      </w:r>
      <w:r>
        <w:rPr>
          <w:spacing w:val="-4"/>
        </w:rPr>
        <w:t xml:space="preserve"> </w:t>
      </w:r>
      <w:r>
        <w:t>and</w:t>
      </w:r>
      <w:r>
        <w:rPr>
          <w:spacing w:val="-4"/>
        </w:rPr>
        <w:t xml:space="preserve"> </w:t>
      </w:r>
      <w:r>
        <w:t>actuarial</w:t>
      </w:r>
      <w:r>
        <w:rPr>
          <w:spacing w:val="-2"/>
        </w:rPr>
        <w:t xml:space="preserve"> </w:t>
      </w:r>
      <w:r>
        <w:t>certification,</w:t>
      </w:r>
      <w:r>
        <w:rPr>
          <w:spacing w:val="-4"/>
        </w:rPr>
        <w:t xml:space="preserve"> </w:t>
      </w:r>
      <w:r>
        <w:t>organizations</w:t>
      </w:r>
      <w:r>
        <w:rPr>
          <w:spacing w:val="-4"/>
        </w:rPr>
        <w:t xml:space="preserve"> </w:t>
      </w:r>
      <w:r>
        <w:t>must</w:t>
      </w:r>
      <w:r>
        <w:rPr>
          <w:spacing w:val="-4"/>
        </w:rPr>
        <w:t xml:space="preserve"> </w:t>
      </w:r>
      <w:r>
        <w:t>submit</w:t>
      </w:r>
      <w:r>
        <w:rPr>
          <w:spacing w:val="-4"/>
        </w:rPr>
        <w:t xml:space="preserve"> </w:t>
      </w:r>
      <w:r>
        <w:t>supporting documentation for every bid. See Appendix B for a description of the supporting documentation requirements, including content, quality and timing.</w:t>
      </w:r>
    </w:p>
    <w:p>
      <w:pPr>
        <w:spacing w:after="0"/>
        <w:sectPr>
          <w:pgSz w:w="12240" w:h="15840"/>
          <w:pgMar w:top="1340" w:right="1000" w:bottom="940" w:left="1360" w:header="727" w:footer="747"/>
          <w:cols w:space="720"/>
        </w:sectPr>
      </w:pPr>
    </w:p>
    <w:p>
      <w:pPr>
        <w:spacing w:before="87"/>
        <w:ind w:left="224" w:right="0" w:firstLine="0"/>
        <w:jc w:val="left"/>
        <w:rPr>
          <w:rFonts w:ascii="Arial"/>
          <w:b/>
          <w:sz w:val="21"/>
        </w:rPr>
      </w:pPr>
      <w:bookmarkStart w:id="43" w:name="Types of Part D-Covered Drugs"/>
      <w:bookmarkEnd w:id="43"/>
      <w:bookmarkStart w:id="44" w:name="_bookmark21"/>
      <w:bookmarkEnd w:id="44"/>
      <w:r>
        <w:rPr>
          <w:rFonts w:ascii="Arial"/>
          <w:b/>
          <w:sz w:val="21"/>
        </w:rPr>
        <w:t>Types</w:t>
      </w:r>
      <w:r>
        <w:rPr>
          <w:rFonts w:ascii="Arial"/>
          <w:b/>
          <w:spacing w:val="-5"/>
          <w:sz w:val="21"/>
        </w:rPr>
        <w:t xml:space="preserve"> </w:t>
      </w:r>
      <w:r>
        <w:rPr>
          <w:rFonts w:ascii="Arial"/>
          <w:b/>
          <w:sz w:val="21"/>
        </w:rPr>
        <w:t>of</w:t>
      </w:r>
      <w:r>
        <w:rPr>
          <w:rFonts w:ascii="Arial"/>
          <w:b/>
          <w:spacing w:val="-7"/>
          <w:sz w:val="21"/>
        </w:rPr>
        <w:t xml:space="preserve"> </w:t>
      </w:r>
      <w:r>
        <w:rPr>
          <w:rFonts w:ascii="Arial"/>
          <w:b/>
          <w:sz w:val="21"/>
        </w:rPr>
        <w:t>Part</w:t>
      </w:r>
      <w:r>
        <w:rPr>
          <w:rFonts w:ascii="Arial"/>
          <w:b/>
          <w:spacing w:val="-6"/>
          <w:sz w:val="21"/>
        </w:rPr>
        <w:t xml:space="preserve"> </w:t>
      </w:r>
      <w:r>
        <w:rPr>
          <w:rFonts w:ascii="Arial"/>
          <w:b/>
          <w:sz w:val="21"/>
        </w:rPr>
        <w:t>D-Covered</w:t>
      </w:r>
      <w:r>
        <w:rPr>
          <w:rFonts w:ascii="Arial"/>
          <w:b/>
          <w:spacing w:val="-6"/>
          <w:sz w:val="21"/>
        </w:rPr>
        <w:t xml:space="preserve"> </w:t>
      </w:r>
      <w:r>
        <w:rPr>
          <w:rFonts w:ascii="Arial"/>
          <w:b/>
          <w:spacing w:val="-4"/>
          <w:sz w:val="21"/>
        </w:rPr>
        <w:t>Drugs</w:t>
      </w:r>
    </w:p>
    <w:p>
      <w:pPr>
        <w:pStyle w:val="BodyText"/>
        <w:spacing w:before="0"/>
        <w:ind w:left="0"/>
        <w:rPr>
          <w:rFonts w:ascii="Arial"/>
          <w:b/>
          <w:sz w:val="21"/>
        </w:rPr>
      </w:pPr>
    </w:p>
    <w:p>
      <w:pPr>
        <w:spacing w:before="0"/>
        <w:ind w:left="944" w:right="0" w:firstLine="0"/>
        <w:jc w:val="left"/>
        <w:rPr>
          <w:rFonts w:ascii="Arial"/>
          <w:b/>
          <w:i/>
          <w:sz w:val="21"/>
        </w:rPr>
      </w:pPr>
      <w:r>
        <w:rPr>
          <w:rFonts w:ascii="Arial"/>
          <w:b/>
          <w:i/>
          <w:sz w:val="21"/>
        </w:rPr>
        <w:t>Brand</w:t>
      </w:r>
      <w:r>
        <w:rPr>
          <w:rFonts w:ascii="Arial"/>
          <w:b/>
          <w:i/>
          <w:spacing w:val="-9"/>
          <w:sz w:val="21"/>
        </w:rPr>
        <w:t xml:space="preserve"> </w:t>
      </w:r>
      <w:r>
        <w:rPr>
          <w:rFonts w:ascii="Arial"/>
          <w:b/>
          <w:i/>
          <w:spacing w:val="-2"/>
          <w:sz w:val="21"/>
        </w:rPr>
        <w:t>Drugs</w:t>
      </w:r>
    </w:p>
    <w:p>
      <w:pPr>
        <w:pStyle w:val="BodyText"/>
        <w:spacing w:before="118"/>
        <w:ind w:right="655"/>
      </w:pPr>
      <w:r>
        <w:t>Brand drugs consist of (i) single-source drugs with no generic equivalent that were FDA-approved under an original new drug application (NDA) and (ii) innovator multi-source</w:t>
      </w:r>
      <w:r>
        <w:rPr>
          <w:spacing w:val="-5"/>
        </w:rPr>
        <w:t xml:space="preserve"> </w:t>
      </w:r>
      <w:r>
        <w:t>drugs</w:t>
      </w:r>
      <w:r>
        <w:rPr>
          <w:spacing w:val="-4"/>
        </w:rPr>
        <w:t xml:space="preserve"> </w:t>
      </w:r>
      <w:r>
        <w:t>that</w:t>
      </w:r>
      <w:r>
        <w:rPr>
          <w:spacing w:val="-2"/>
        </w:rPr>
        <w:t xml:space="preserve"> </w:t>
      </w:r>
      <w:r>
        <w:t>were</w:t>
      </w:r>
      <w:r>
        <w:rPr>
          <w:spacing w:val="-6"/>
        </w:rPr>
        <w:t xml:space="preserve"> </w:t>
      </w:r>
      <w:r>
        <w:t>originally</w:t>
      </w:r>
      <w:r>
        <w:rPr>
          <w:spacing w:val="-4"/>
        </w:rPr>
        <w:t xml:space="preserve"> </w:t>
      </w:r>
      <w:r>
        <w:t>marketed</w:t>
      </w:r>
      <w:r>
        <w:rPr>
          <w:spacing w:val="-3"/>
        </w:rPr>
        <w:t xml:space="preserve"> </w:t>
      </w:r>
      <w:r>
        <w:t>under</w:t>
      </w:r>
      <w:r>
        <w:rPr>
          <w:spacing w:val="-4"/>
        </w:rPr>
        <w:t xml:space="preserve"> </w:t>
      </w:r>
      <w:r>
        <w:t>an</w:t>
      </w:r>
      <w:r>
        <w:rPr>
          <w:spacing w:val="-4"/>
        </w:rPr>
        <w:t xml:space="preserve"> </w:t>
      </w:r>
      <w:r>
        <w:t>original</w:t>
      </w:r>
      <w:r>
        <w:rPr>
          <w:spacing w:val="-4"/>
        </w:rPr>
        <w:t xml:space="preserve"> </w:t>
      </w:r>
      <w:r>
        <w:t>NDA</w:t>
      </w:r>
      <w:r>
        <w:rPr>
          <w:spacing w:val="-3"/>
        </w:rPr>
        <w:t xml:space="preserve"> </w:t>
      </w:r>
      <w:r>
        <w:t>and</w:t>
      </w:r>
      <w:r>
        <w:rPr>
          <w:spacing w:val="-4"/>
        </w:rPr>
        <w:t xml:space="preserve"> </w:t>
      </w:r>
      <w:r>
        <w:t>that</w:t>
      </w:r>
      <w:r>
        <w:rPr>
          <w:spacing w:val="-4"/>
        </w:rPr>
        <w:t xml:space="preserve"> </w:t>
      </w:r>
      <w:r>
        <w:t>now have generic equivalents.</w:t>
      </w:r>
    </w:p>
    <w:p>
      <w:pPr>
        <w:spacing w:before="240"/>
        <w:ind w:left="944" w:right="0" w:firstLine="0"/>
        <w:jc w:val="left"/>
        <w:rPr>
          <w:rFonts w:ascii="Arial"/>
          <w:b/>
          <w:i/>
          <w:sz w:val="21"/>
        </w:rPr>
      </w:pPr>
      <w:r>
        <w:rPr>
          <w:rFonts w:ascii="Arial"/>
          <w:b/>
          <w:i/>
          <w:sz w:val="21"/>
        </w:rPr>
        <w:t>Preferred/Non-Preferred</w:t>
      </w:r>
      <w:r>
        <w:rPr>
          <w:rFonts w:ascii="Arial"/>
          <w:b/>
          <w:i/>
          <w:spacing w:val="-15"/>
          <w:sz w:val="21"/>
        </w:rPr>
        <w:t xml:space="preserve"> </w:t>
      </w:r>
      <w:r>
        <w:rPr>
          <w:rFonts w:ascii="Arial"/>
          <w:b/>
          <w:i/>
          <w:sz w:val="21"/>
        </w:rPr>
        <w:t>Brand</w:t>
      </w:r>
      <w:r>
        <w:rPr>
          <w:rFonts w:ascii="Arial"/>
          <w:b/>
          <w:i/>
          <w:spacing w:val="-12"/>
          <w:sz w:val="21"/>
        </w:rPr>
        <w:t xml:space="preserve"> </w:t>
      </w:r>
      <w:r>
        <w:rPr>
          <w:rFonts w:ascii="Arial"/>
          <w:b/>
          <w:i/>
          <w:spacing w:val="-4"/>
          <w:sz w:val="21"/>
        </w:rPr>
        <w:t>Drugs</w:t>
      </w:r>
    </w:p>
    <w:p>
      <w:pPr>
        <w:pStyle w:val="BodyText"/>
        <w:spacing w:before="121"/>
        <w:ind w:right="425"/>
      </w:pPr>
      <w:r>
        <w:t>Brand drugs that are placed in the most favorable position on the formulary in comparison</w:t>
      </w:r>
      <w:r>
        <w:rPr>
          <w:spacing w:val="-4"/>
        </w:rPr>
        <w:t xml:space="preserve"> </w:t>
      </w:r>
      <w:r>
        <w:t>to</w:t>
      </w:r>
      <w:r>
        <w:rPr>
          <w:spacing w:val="-4"/>
        </w:rPr>
        <w:t xml:space="preserve"> </w:t>
      </w:r>
      <w:r>
        <w:t>other</w:t>
      </w:r>
      <w:r>
        <w:rPr>
          <w:spacing w:val="-6"/>
        </w:rPr>
        <w:t xml:space="preserve"> </w:t>
      </w:r>
      <w:r>
        <w:t>similar</w:t>
      </w:r>
      <w:r>
        <w:rPr>
          <w:spacing w:val="-4"/>
        </w:rPr>
        <w:t xml:space="preserve"> </w:t>
      </w:r>
      <w:r>
        <w:t>brand</w:t>
      </w:r>
      <w:r>
        <w:rPr>
          <w:spacing w:val="-4"/>
        </w:rPr>
        <w:t xml:space="preserve"> </w:t>
      </w:r>
      <w:r>
        <w:t>drugs</w:t>
      </w:r>
      <w:r>
        <w:rPr>
          <w:spacing w:val="-4"/>
        </w:rPr>
        <w:t xml:space="preserve"> </w:t>
      </w:r>
      <w:r>
        <w:t>should</w:t>
      </w:r>
      <w:r>
        <w:rPr>
          <w:spacing w:val="-4"/>
        </w:rPr>
        <w:t xml:space="preserve"> </w:t>
      </w:r>
      <w:r>
        <w:t>be</w:t>
      </w:r>
      <w:r>
        <w:rPr>
          <w:spacing w:val="-3"/>
        </w:rPr>
        <w:t xml:space="preserve"> </w:t>
      </w:r>
      <w:r>
        <w:t>allocated</w:t>
      </w:r>
      <w:r>
        <w:rPr>
          <w:spacing w:val="-4"/>
        </w:rPr>
        <w:t xml:space="preserve"> </w:t>
      </w:r>
      <w:r>
        <w:t>to</w:t>
      </w:r>
      <w:r>
        <w:rPr>
          <w:spacing w:val="-4"/>
        </w:rPr>
        <w:t xml:space="preserve"> </w:t>
      </w:r>
      <w:r>
        <w:t>the</w:t>
      </w:r>
      <w:r>
        <w:rPr>
          <w:spacing w:val="-4"/>
        </w:rPr>
        <w:t xml:space="preserve"> </w:t>
      </w:r>
      <w:r>
        <w:t>preferred</w:t>
      </w:r>
      <w:r>
        <w:rPr>
          <w:spacing w:val="-4"/>
        </w:rPr>
        <w:t xml:space="preserve"> </w:t>
      </w:r>
      <w:r>
        <w:t>brand</w:t>
      </w:r>
      <w:r>
        <w:rPr>
          <w:spacing w:val="-4"/>
        </w:rPr>
        <w:t xml:space="preserve"> </w:t>
      </w:r>
      <w:r>
        <w:t>drug category. Brand drugs that are positioned in a less favorable position on the formulary should be allocated to the non-preferred brand category in the BPT.</w:t>
      </w:r>
    </w:p>
    <w:p>
      <w:pPr>
        <w:spacing w:before="241"/>
        <w:ind w:left="944" w:right="0" w:firstLine="0"/>
        <w:jc w:val="left"/>
        <w:rPr>
          <w:rFonts w:ascii="Arial"/>
          <w:b/>
          <w:i/>
          <w:sz w:val="21"/>
        </w:rPr>
      </w:pPr>
      <w:r>
        <w:rPr>
          <w:rFonts w:ascii="Arial"/>
          <w:b/>
          <w:i/>
          <w:sz w:val="21"/>
        </w:rPr>
        <w:t>Generic</w:t>
      </w:r>
      <w:r>
        <w:rPr>
          <w:rFonts w:ascii="Arial"/>
          <w:b/>
          <w:i/>
          <w:spacing w:val="-10"/>
          <w:sz w:val="21"/>
        </w:rPr>
        <w:t xml:space="preserve"> </w:t>
      </w:r>
      <w:r>
        <w:rPr>
          <w:rFonts w:ascii="Arial"/>
          <w:b/>
          <w:i/>
          <w:spacing w:val="-2"/>
          <w:sz w:val="21"/>
        </w:rPr>
        <w:t>Drugs</w:t>
      </w:r>
    </w:p>
    <w:p>
      <w:pPr>
        <w:pStyle w:val="BodyText"/>
        <w:spacing w:before="118"/>
      </w:pPr>
      <w:r>
        <w:t>Non-innovator</w:t>
      </w:r>
      <w:r>
        <w:rPr>
          <w:spacing w:val="-4"/>
        </w:rPr>
        <w:t xml:space="preserve"> </w:t>
      </w:r>
      <w:r>
        <w:t>multi-source</w:t>
      </w:r>
      <w:r>
        <w:rPr>
          <w:spacing w:val="-2"/>
        </w:rPr>
        <w:t xml:space="preserve"> </w:t>
      </w:r>
      <w:r>
        <w:t>drugs</w:t>
      </w:r>
      <w:r>
        <w:rPr>
          <w:spacing w:val="-1"/>
        </w:rPr>
        <w:t xml:space="preserve"> </w:t>
      </w:r>
      <w:r>
        <w:t>are</w:t>
      </w:r>
      <w:r>
        <w:rPr>
          <w:spacing w:val="-2"/>
        </w:rPr>
        <w:t xml:space="preserve"> </w:t>
      </w:r>
      <w:r>
        <w:t>generic</w:t>
      </w:r>
      <w:r>
        <w:rPr>
          <w:spacing w:val="-2"/>
        </w:rPr>
        <w:t xml:space="preserve"> drugs.</w:t>
      </w:r>
    </w:p>
    <w:p>
      <w:pPr>
        <w:spacing w:before="241"/>
        <w:ind w:left="944" w:right="0" w:firstLine="0"/>
        <w:jc w:val="left"/>
        <w:rPr>
          <w:rFonts w:ascii="Arial"/>
          <w:b/>
          <w:i/>
          <w:sz w:val="21"/>
        </w:rPr>
      </w:pPr>
      <w:r>
        <w:rPr>
          <w:rFonts w:ascii="Arial"/>
          <w:b/>
          <w:i/>
          <w:sz w:val="21"/>
        </w:rPr>
        <w:t>Specialty</w:t>
      </w:r>
      <w:r>
        <w:rPr>
          <w:rFonts w:ascii="Arial"/>
          <w:b/>
          <w:i/>
          <w:spacing w:val="-8"/>
          <w:sz w:val="21"/>
        </w:rPr>
        <w:t xml:space="preserve"> </w:t>
      </w:r>
      <w:r>
        <w:rPr>
          <w:rFonts w:ascii="Arial"/>
          <w:b/>
          <w:i/>
          <w:spacing w:val="-4"/>
          <w:sz w:val="21"/>
        </w:rPr>
        <w:t>Drugs</w:t>
      </w:r>
    </w:p>
    <w:p>
      <w:pPr>
        <w:pStyle w:val="BodyText"/>
        <w:ind w:right="425"/>
      </w:pPr>
      <w:r>
        <w:t>Specialty drugs are reported separately only when a plan utilizes designated Specialty tiering in the formulary and PBP in accord with CMS guidelines. The CMS guidelines require that cost sharing associated with that tier be limited to 25 percent in the initial coverage</w:t>
      </w:r>
      <w:r>
        <w:rPr>
          <w:spacing w:val="-4"/>
        </w:rPr>
        <w:t xml:space="preserve"> </w:t>
      </w:r>
      <w:r>
        <w:t>range</w:t>
      </w:r>
      <w:r>
        <w:rPr>
          <w:spacing w:val="-4"/>
        </w:rPr>
        <w:t xml:space="preserve"> </w:t>
      </w:r>
      <w:r>
        <w:t>when</w:t>
      </w:r>
      <w:r>
        <w:rPr>
          <w:spacing w:val="-3"/>
        </w:rPr>
        <w:t xml:space="preserve"> </w:t>
      </w:r>
      <w:r>
        <w:t>the</w:t>
      </w:r>
      <w:r>
        <w:rPr>
          <w:spacing w:val="-2"/>
        </w:rPr>
        <w:t xml:space="preserve"> </w:t>
      </w:r>
      <w:r>
        <w:t>plan</w:t>
      </w:r>
      <w:r>
        <w:rPr>
          <w:spacing w:val="-3"/>
        </w:rPr>
        <w:t xml:space="preserve"> </w:t>
      </w:r>
      <w:r>
        <w:t>has</w:t>
      </w:r>
      <w:r>
        <w:rPr>
          <w:spacing w:val="-2"/>
        </w:rPr>
        <w:t xml:space="preserve"> </w:t>
      </w:r>
      <w:r>
        <w:t>the</w:t>
      </w:r>
      <w:r>
        <w:rPr>
          <w:spacing w:val="-3"/>
        </w:rPr>
        <w:t xml:space="preserve"> </w:t>
      </w:r>
      <w:r>
        <w:t>standard</w:t>
      </w:r>
      <w:r>
        <w:rPr>
          <w:spacing w:val="-4"/>
        </w:rPr>
        <w:t xml:space="preserve"> </w:t>
      </w:r>
      <w:r>
        <w:t>deductible,</w:t>
      </w:r>
      <w:r>
        <w:rPr>
          <w:spacing w:val="-3"/>
        </w:rPr>
        <w:t xml:space="preserve"> </w:t>
      </w:r>
      <w:r>
        <w:t>which</w:t>
      </w:r>
      <w:r>
        <w:rPr>
          <w:spacing w:val="-3"/>
        </w:rPr>
        <w:t xml:space="preserve"> </w:t>
      </w:r>
      <w:r>
        <w:t>is</w:t>
      </w:r>
      <w:r>
        <w:rPr>
          <w:spacing w:val="-3"/>
        </w:rPr>
        <w:t xml:space="preserve"> </w:t>
      </w:r>
      <w:r>
        <w:t>$TBD</w:t>
      </w:r>
      <w:r>
        <w:rPr>
          <w:spacing w:val="-3"/>
        </w:rPr>
        <w:t xml:space="preserve"> </w:t>
      </w:r>
      <w:r>
        <w:t>for</w:t>
      </w:r>
      <w:r>
        <w:rPr>
          <w:spacing w:val="-3"/>
        </w:rPr>
        <w:t xml:space="preserve"> </w:t>
      </w:r>
      <w:r>
        <w:t>CY2026. When the plan has a decreased deductible or no deductible, then actuarially equivalent coinsurance is permitted.</w:t>
      </w:r>
    </w:p>
    <w:p>
      <w:pPr>
        <w:pStyle w:val="BodyText"/>
        <w:ind w:right="425"/>
      </w:pPr>
      <w:r>
        <w:t>When designated Specialty tiering is used, all drugs classified as specialty-tier drugs on the plan formulary must be reported by point-of-sale (retail or mail order as defined by the</w:t>
      </w:r>
      <w:r>
        <w:rPr>
          <w:spacing w:val="-2"/>
        </w:rPr>
        <w:t xml:space="preserve"> </w:t>
      </w:r>
      <w:r>
        <w:t>PBP)</w:t>
      </w:r>
      <w:r>
        <w:rPr>
          <w:spacing w:val="-3"/>
        </w:rPr>
        <w:t xml:space="preserve"> </w:t>
      </w:r>
      <w:r>
        <w:t>in</w:t>
      </w:r>
      <w:r>
        <w:rPr>
          <w:spacing w:val="-2"/>
        </w:rPr>
        <w:t xml:space="preserve"> </w:t>
      </w:r>
      <w:r>
        <w:t>Worksheets</w:t>
      </w:r>
      <w:r>
        <w:rPr>
          <w:spacing w:val="-2"/>
        </w:rPr>
        <w:t xml:space="preserve"> </w:t>
      </w:r>
      <w:r>
        <w:t>2</w:t>
      </w:r>
      <w:r>
        <w:rPr>
          <w:spacing w:val="-2"/>
        </w:rPr>
        <w:t xml:space="preserve"> </w:t>
      </w:r>
      <w:r>
        <w:t>and</w:t>
      </w:r>
      <w:r>
        <w:rPr>
          <w:spacing w:val="-2"/>
        </w:rPr>
        <w:t xml:space="preserve"> </w:t>
      </w:r>
      <w:r>
        <w:t>6</w:t>
      </w:r>
      <w:r>
        <w:rPr>
          <w:spacing w:val="-2"/>
        </w:rPr>
        <w:t xml:space="preserve"> </w:t>
      </w:r>
      <w:r>
        <w:t>of</w:t>
      </w:r>
      <w:r>
        <w:rPr>
          <w:spacing w:val="-2"/>
        </w:rPr>
        <w:t xml:space="preserve"> </w:t>
      </w:r>
      <w:r>
        <w:t>the</w:t>
      </w:r>
      <w:r>
        <w:rPr>
          <w:spacing w:val="-4"/>
        </w:rPr>
        <w:t xml:space="preserve"> </w:t>
      </w:r>
      <w:r>
        <w:t>BPT.</w:t>
      </w:r>
      <w:r>
        <w:rPr>
          <w:spacing w:val="-2"/>
        </w:rPr>
        <w:t xml:space="preserve"> </w:t>
      </w:r>
      <w:r>
        <w:t>The</w:t>
      </w:r>
      <w:r>
        <w:rPr>
          <w:spacing w:val="-1"/>
        </w:rPr>
        <w:t xml:space="preserve"> </w:t>
      </w:r>
      <w:r>
        <w:t>drugs</w:t>
      </w:r>
      <w:r>
        <w:rPr>
          <w:spacing w:val="-2"/>
        </w:rPr>
        <w:t xml:space="preserve"> </w:t>
      </w:r>
      <w:r>
        <w:t>in</w:t>
      </w:r>
      <w:r>
        <w:rPr>
          <w:spacing w:val="-2"/>
        </w:rPr>
        <w:t xml:space="preserve"> </w:t>
      </w:r>
      <w:r>
        <w:t>the</w:t>
      </w:r>
      <w:r>
        <w:rPr>
          <w:spacing w:val="-3"/>
        </w:rPr>
        <w:t xml:space="preserve"> </w:t>
      </w:r>
      <w:r>
        <w:t>Specialty</w:t>
      </w:r>
      <w:r>
        <w:rPr>
          <w:spacing w:val="-2"/>
        </w:rPr>
        <w:t xml:space="preserve"> </w:t>
      </w:r>
      <w:r>
        <w:t>tiers</w:t>
      </w:r>
      <w:r>
        <w:rPr>
          <w:spacing w:val="-2"/>
        </w:rPr>
        <w:t xml:space="preserve"> </w:t>
      </w:r>
      <w:r>
        <w:t>must</w:t>
      </w:r>
      <w:r>
        <w:rPr>
          <w:spacing w:val="-1"/>
        </w:rPr>
        <w:t xml:space="preserve"> </w:t>
      </w:r>
      <w:r>
        <w:t>not</w:t>
      </w:r>
      <w:r>
        <w:rPr>
          <w:spacing w:val="-2"/>
        </w:rPr>
        <w:t xml:space="preserve"> </w:t>
      </w:r>
      <w:r>
        <w:t>be sorted by type of drug status and must not be reported as a component of the generic, preferred brand and non-preferred brand drugs in the non-Specialty tiers.</w:t>
      </w:r>
    </w:p>
    <w:p>
      <w:pPr>
        <w:pStyle w:val="BodyText"/>
        <w:ind w:right="478"/>
      </w:pPr>
      <w:r>
        <w:t>When</w:t>
      </w:r>
      <w:r>
        <w:rPr>
          <w:spacing w:val="-3"/>
        </w:rPr>
        <w:t xml:space="preserve"> </w:t>
      </w:r>
      <w:r>
        <w:t>designated</w:t>
      </w:r>
      <w:r>
        <w:rPr>
          <w:spacing w:val="-3"/>
        </w:rPr>
        <w:t xml:space="preserve"> </w:t>
      </w:r>
      <w:r>
        <w:t>Specialty</w:t>
      </w:r>
      <w:r>
        <w:rPr>
          <w:spacing w:val="-3"/>
        </w:rPr>
        <w:t xml:space="preserve"> </w:t>
      </w:r>
      <w:r>
        <w:t>drug</w:t>
      </w:r>
      <w:r>
        <w:rPr>
          <w:spacing w:val="-3"/>
        </w:rPr>
        <w:t xml:space="preserve"> </w:t>
      </w:r>
      <w:r>
        <w:t>tiering</w:t>
      </w:r>
      <w:r>
        <w:rPr>
          <w:spacing w:val="-3"/>
        </w:rPr>
        <w:t xml:space="preserve"> </w:t>
      </w:r>
      <w:r>
        <w:t>is</w:t>
      </w:r>
      <w:r>
        <w:rPr>
          <w:spacing w:val="-3"/>
        </w:rPr>
        <w:t xml:space="preserve"> </w:t>
      </w:r>
      <w:r>
        <w:t>not</w:t>
      </w:r>
      <w:r>
        <w:rPr>
          <w:spacing w:val="-3"/>
        </w:rPr>
        <w:t xml:space="preserve"> </w:t>
      </w:r>
      <w:r>
        <w:t>used</w:t>
      </w:r>
      <w:r>
        <w:rPr>
          <w:spacing w:val="-3"/>
        </w:rPr>
        <w:t xml:space="preserve"> </w:t>
      </w:r>
      <w:r>
        <w:t>in</w:t>
      </w:r>
      <w:r>
        <w:rPr>
          <w:spacing w:val="-3"/>
        </w:rPr>
        <w:t xml:space="preserve"> </w:t>
      </w:r>
      <w:r>
        <w:t>the</w:t>
      </w:r>
      <w:r>
        <w:rPr>
          <w:spacing w:val="-4"/>
        </w:rPr>
        <w:t xml:space="preserve"> </w:t>
      </w:r>
      <w:r>
        <w:t>formulary</w:t>
      </w:r>
      <w:r>
        <w:rPr>
          <w:spacing w:val="-3"/>
        </w:rPr>
        <w:t xml:space="preserve"> </w:t>
      </w:r>
      <w:r>
        <w:t>and</w:t>
      </w:r>
      <w:r>
        <w:rPr>
          <w:spacing w:val="-2"/>
        </w:rPr>
        <w:t xml:space="preserve"> </w:t>
      </w:r>
      <w:r>
        <w:t>PBP,</w:t>
      </w:r>
      <w:r>
        <w:rPr>
          <w:spacing w:val="-3"/>
        </w:rPr>
        <w:t xml:space="preserve"> </w:t>
      </w:r>
      <w:r>
        <w:t xml:space="preserve">Specialty drugs must be sorted by generic, preferred brand and non-preferred brand status and must be reported in these categories by point-of-sale (retail or mail order as defined by the PBP). In this situation, the Specialty categories in Worksheets 2 and 6 are not </w:t>
      </w:r>
      <w:r>
        <w:rPr>
          <w:spacing w:val="-2"/>
        </w:rPr>
        <w:t>completed.</w:t>
      </w:r>
    </w:p>
    <w:p>
      <w:pPr>
        <w:spacing w:after="0"/>
        <w:sectPr>
          <w:pgSz w:w="12240" w:h="15840"/>
          <w:pgMar w:top="1340" w:right="1000" w:bottom="940" w:left="1360" w:header="727" w:footer="747"/>
          <w:cols w:space="720"/>
        </w:sectPr>
      </w:pPr>
    </w:p>
    <w:p>
      <w:pPr>
        <w:pStyle w:val="Heading1"/>
        <w:numPr>
          <w:ilvl w:val="0"/>
          <w:numId w:val="17"/>
        </w:numPr>
        <w:tabs>
          <w:tab w:val="left" w:pos="505"/>
          <w:tab w:val="left" w:pos="9470"/>
        </w:tabs>
        <w:spacing w:before="207" w:after="0" w:line="240" w:lineRule="auto"/>
        <w:ind w:left="505" w:right="0" w:hanging="310"/>
        <w:jc w:val="left"/>
        <w:rPr>
          <w:u w:val="single"/>
        </w:rPr>
      </w:pPr>
      <w:bookmarkStart w:id="45" w:name="III. Data Entry and Formulas"/>
      <w:bookmarkEnd w:id="45"/>
      <w:bookmarkStart w:id="46" w:name="_bookmark22"/>
      <w:bookmarkEnd w:id="46"/>
      <w:r>
        <w:rPr>
          <w:spacing w:val="-4"/>
          <w:u w:val="single"/>
        </w:rPr>
        <w:t xml:space="preserve"> </w:t>
      </w:r>
      <w:r>
        <w:rPr>
          <w:u w:val="single"/>
        </w:rPr>
        <w:t>DATA</w:t>
      </w:r>
      <w:r>
        <w:rPr>
          <w:spacing w:val="-5"/>
          <w:u w:val="single"/>
        </w:rPr>
        <w:t xml:space="preserve"> </w:t>
      </w:r>
      <w:r>
        <w:rPr>
          <w:u w:val="single"/>
        </w:rPr>
        <w:t>ENTRY</w:t>
      </w:r>
      <w:r>
        <w:rPr>
          <w:spacing w:val="-5"/>
          <w:u w:val="single"/>
        </w:rPr>
        <w:t xml:space="preserve"> </w:t>
      </w:r>
      <w:r>
        <w:rPr>
          <w:u w:val="single"/>
        </w:rPr>
        <w:t>AND</w:t>
      </w:r>
      <w:r>
        <w:rPr>
          <w:spacing w:val="-3"/>
          <w:u w:val="single"/>
        </w:rPr>
        <w:t xml:space="preserve"> </w:t>
      </w:r>
      <w:r>
        <w:rPr>
          <w:spacing w:val="-2"/>
          <w:u w:val="single"/>
        </w:rPr>
        <w:t>FORMULAS</w:t>
      </w:r>
      <w:r>
        <w:rPr>
          <w:u w:val="single"/>
        </w:rPr>
        <w:tab/>
      </w:r>
    </w:p>
    <w:p>
      <w:pPr>
        <w:pStyle w:val="BodyText"/>
        <w:spacing w:before="271"/>
        <w:ind w:left="224" w:right="593"/>
        <w:jc w:val="both"/>
      </w:pPr>
      <w:r>
        <w:t>This</w:t>
      </w:r>
      <w:r>
        <w:rPr>
          <w:spacing w:val="-4"/>
        </w:rPr>
        <w:t xml:space="preserve"> </w:t>
      </w:r>
      <w:r>
        <w:t>section</w:t>
      </w:r>
      <w:r>
        <w:rPr>
          <w:spacing w:val="-4"/>
        </w:rPr>
        <w:t xml:space="preserve"> </w:t>
      </w:r>
      <w:r>
        <w:t>includes</w:t>
      </w:r>
      <w:r>
        <w:rPr>
          <w:spacing w:val="-4"/>
        </w:rPr>
        <w:t xml:space="preserve"> </w:t>
      </w:r>
      <w:r>
        <w:t>line-by-line</w:t>
      </w:r>
      <w:r>
        <w:rPr>
          <w:spacing w:val="-4"/>
        </w:rPr>
        <w:t xml:space="preserve"> </w:t>
      </w:r>
      <w:r>
        <w:t>instructions</w:t>
      </w:r>
      <w:r>
        <w:rPr>
          <w:spacing w:val="-4"/>
        </w:rPr>
        <w:t xml:space="preserve"> </w:t>
      </w:r>
      <w:r>
        <w:t>for</w:t>
      </w:r>
      <w:r>
        <w:rPr>
          <w:spacing w:val="-5"/>
        </w:rPr>
        <w:t xml:space="preserve"> </w:t>
      </w:r>
      <w:r>
        <w:t>completing</w:t>
      </w:r>
      <w:r>
        <w:rPr>
          <w:spacing w:val="-4"/>
        </w:rPr>
        <w:t xml:space="preserve"> </w:t>
      </w:r>
      <w:r>
        <w:t>the</w:t>
      </w:r>
      <w:r>
        <w:rPr>
          <w:spacing w:val="-4"/>
        </w:rPr>
        <w:t xml:space="preserve"> </w:t>
      </w:r>
      <w:r>
        <w:t>Part</w:t>
      </w:r>
      <w:r>
        <w:rPr>
          <w:spacing w:val="-4"/>
        </w:rPr>
        <w:t xml:space="preserve"> </w:t>
      </w:r>
      <w:r>
        <w:t>D</w:t>
      </w:r>
      <w:r>
        <w:rPr>
          <w:spacing w:val="-4"/>
        </w:rPr>
        <w:t xml:space="preserve"> </w:t>
      </w:r>
      <w:r>
        <w:t>BPT.</w:t>
      </w:r>
      <w:r>
        <w:rPr>
          <w:spacing w:val="-4"/>
        </w:rPr>
        <w:t xml:space="preserve"> </w:t>
      </w:r>
      <w:r>
        <w:t>It</w:t>
      </w:r>
      <w:r>
        <w:rPr>
          <w:spacing w:val="-2"/>
        </w:rPr>
        <w:t xml:space="preserve"> </w:t>
      </w:r>
      <w:r>
        <w:t>also</w:t>
      </w:r>
      <w:r>
        <w:rPr>
          <w:spacing w:val="-4"/>
        </w:rPr>
        <w:t xml:space="preserve"> </w:t>
      </w:r>
      <w:r>
        <w:t>describes the formulas for calculated cells.</w:t>
      </w:r>
    </w:p>
    <w:p>
      <w:pPr>
        <w:pStyle w:val="BodyText"/>
        <w:spacing w:before="44"/>
        <w:ind w:left="0"/>
      </w:pPr>
    </w:p>
    <w:p>
      <w:pPr>
        <w:pStyle w:val="Heading2"/>
        <w:spacing w:before="1"/>
        <w:ind w:left="224"/>
        <w:jc w:val="both"/>
      </w:pPr>
      <w:bookmarkStart w:id="47" w:name="Prescription Drug"/>
      <w:bookmarkEnd w:id="47"/>
      <w:bookmarkStart w:id="48" w:name="_bookmark23"/>
      <w:bookmarkEnd w:id="48"/>
      <w:r>
        <w:rPr>
          <w:smallCaps/>
          <w:spacing w:val="-2"/>
        </w:rPr>
        <w:t>Prescription</w:t>
      </w:r>
      <w:r>
        <w:rPr>
          <w:smallCaps/>
          <w:spacing w:val="8"/>
        </w:rPr>
        <w:t xml:space="preserve"> </w:t>
      </w:r>
      <w:r>
        <w:rPr>
          <w:smallCaps/>
          <w:spacing w:val="-4"/>
        </w:rPr>
        <w:t>Drug</w:t>
      </w:r>
    </w:p>
    <w:p>
      <w:pPr>
        <w:pStyle w:val="BodyText"/>
        <w:spacing w:before="179"/>
        <w:ind w:left="224" w:right="676"/>
        <w:jc w:val="both"/>
      </w:pPr>
      <w:r>
        <w:t>To complete the</w:t>
      </w:r>
      <w:r>
        <w:rPr>
          <w:spacing w:val="-1"/>
        </w:rPr>
        <w:t xml:space="preserve"> </w:t>
      </w:r>
      <w:r>
        <w:t>Part D</w:t>
      </w:r>
      <w:r>
        <w:rPr>
          <w:spacing w:val="-1"/>
        </w:rPr>
        <w:t xml:space="preserve"> </w:t>
      </w:r>
      <w:r>
        <w:t>bid form, Part D</w:t>
      </w:r>
      <w:r>
        <w:rPr>
          <w:spacing w:val="-1"/>
        </w:rPr>
        <w:t xml:space="preserve"> </w:t>
      </w:r>
      <w:r>
        <w:t>sponsors must provide a</w:t>
      </w:r>
      <w:r>
        <w:rPr>
          <w:spacing w:val="-2"/>
        </w:rPr>
        <w:t xml:space="preserve"> </w:t>
      </w:r>
      <w:r>
        <w:t>series of data entries on the appropriate</w:t>
      </w:r>
      <w:r>
        <w:rPr>
          <w:spacing w:val="-4"/>
        </w:rPr>
        <w:t xml:space="preserve"> </w:t>
      </w:r>
      <w:r>
        <w:t>BPT</w:t>
      </w:r>
      <w:r>
        <w:rPr>
          <w:spacing w:val="-3"/>
        </w:rPr>
        <w:t xml:space="preserve"> </w:t>
      </w:r>
      <w:r>
        <w:t>worksheets.</w:t>
      </w:r>
      <w:r>
        <w:rPr>
          <w:spacing w:val="-3"/>
        </w:rPr>
        <w:t xml:space="preserve"> </w:t>
      </w:r>
      <w:r>
        <w:t>The</w:t>
      </w:r>
      <w:r>
        <w:rPr>
          <w:spacing w:val="-5"/>
        </w:rPr>
        <w:t xml:space="preserve"> </w:t>
      </w:r>
      <w:r>
        <w:t>number</w:t>
      </w:r>
      <w:r>
        <w:rPr>
          <w:spacing w:val="-5"/>
        </w:rPr>
        <w:t xml:space="preserve"> </w:t>
      </w:r>
      <w:r>
        <w:t>of</w:t>
      </w:r>
      <w:r>
        <w:rPr>
          <w:spacing w:val="-3"/>
        </w:rPr>
        <w:t xml:space="preserve"> </w:t>
      </w:r>
      <w:r>
        <w:t>inputs</w:t>
      </w:r>
      <w:r>
        <w:rPr>
          <w:spacing w:val="-3"/>
        </w:rPr>
        <w:t xml:space="preserve"> </w:t>
      </w:r>
      <w:r>
        <w:t>depends</w:t>
      </w:r>
      <w:r>
        <w:rPr>
          <w:spacing w:val="-3"/>
        </w:rPr>
        <w:t xml:space="preserve"> </w:t>
      </w:r>
      <w:r>
        <w:t>on</w:t>
      </w:r>
      <w:r>
        <w:rPr>
          <w:spacing w:val="-3"/>
        </w:rPr>
        <w:t xml:space="preserve"> </w:t>
      </w:r>
      <w:r>
        <w:t>the</w:t>
      </w:r>
      <w:r>
        <w:rPr>
          <w:spacing w:val="-4"/>
        </w:rPr>
        <w:t xml:space="preserve"> </w:t>
      </w:r>
      <w:r>
        <w:t>type</w:t>
      </w:r>
      <w:r>
        <w:rPr>
          <w:spacing w:val="-3"/>
        </w:rPr>
        <w:t xml:space="preserve"> </w:t>
      </w:r>
      <w:r>
        <w:t>of</w:t>
      </w:r>
      <w:r>
        <w:rPr>
          <w:spacing w:val="-3"/>
        </w:rPr>
        <w:t xml:space="preserve"> </w:t>
      </w:r>
      <w:r>
        <w:t>plan</w:t>
      </w:r>
      <w:r>
        <w:rPr>
          <w:spacing w:val="-2"/>
        </w:rPr>
        <w:t xml:space="preserve"> </w:t>
      </w:r>
      <w:r>
        <w:t>being</w:t>
      </w:r>
      <w:r>
        <w:rPr>
          <w:spacing w:val="-3"/>
        </w:rPr>
        <w:t xml:space="preserve"> </w:t>
      </w:r>
      <w:r>
        <w:t>offered and the length of time it has had a contract with CMS, among other factors.</w:t>
      </w:r>
    </w:p>
    <w:p>
      <w:pPr>
        <w:pStyle w:val="BodyText"/>
        <w:ind w:left="224"/>
        <w:jc w:val="both"/>
      </w:pPr>
      <w:r>
        <w:t>The</w:t>
      </w:r>
      <w:r>
        <w:rPr>
          <w:spacing w:val="-3"/>
        </w:rPr>
        <w:t xml:space="preserve"> </w:t>
      </w:r>
      <w:r>
        <w:t>Part</w:t>
      </w:r>
      <w:r>
        <w:rPr>
          <w:spacing w:val="-1"/>
        </w:rPr>
        <w:t xml:space="preserve"> </w:t>
      </w:r>
      <w:r>
        <w:t>D</w:t>
      </w:r>
      <w:r>
        <w:rPr>
          <w:spacing w:val="-1"/>
        </w:rPr>
        <w:t xml:space="preserve"> </w:t>
      </w:r>
      <w:r>
        <w:t>bid</w:t>
      </w:r>
      <w:r>
        <w:rPr>
          <w:spacing w:val="-1"/>
        </w:rPr>
        <w:t xml:space="preserve"> </w:t>
      </w:r>
      <w:r>
        <w:t>form</w:t>
      </w:r>
      <w:r>
        <w:rPr>
          <w:spacing w:val="-1"/>
        </w:rPr>
        <w:t xml:space="preserve"> </w:t>
      </w:r>
      <w:r>
        <w:t>is organized</w:t>
      </w:r>
      <w:r>
        <w:rPr>
          <w:spacing w:val="-1"/>
        </w:rPr>
        <w:t xml:space="preserve"> </w:t>
      </w:r>
      <w:r>
        <w:t>as</w:t>
      </w:r>
      <w:r>
        <w:rPr>
          <w:spacing w:val="-1"/>
        </w:rPr>
        <w:t xml:space="preserve"> </w:t>
      </w:r>
      <w:r>
        <w:t xml:space="preserve">outlined </w:t>
      </w:r>
      <w:r>
        <w:rPr>
          <w:spacing w:val="-2"/>
        </w:rPr>
        <w:t>below:</w:t>
      </w:r>
    </w:p>
    <w:p>
      <w:pPr>
        <w:pStyle w:val="ListParagraph"/>
        <w:numPr>
          <w:ilvl w:val="1"/>
          <w:numId w:val="17"/>
        </w:numPr>
        <w:tabs>
          <w:tab w:val="left" w:pos="944"/>
        </w:tabs>
        <w:spacing w:before="120" w:after="0" w:line="240" w:lineRule="auto"/>
        <w:ind w:left="944" w:right="0" w:hanging="360"/>
        <w:jc w:val="left"/>
        <w:rPr>
          <w:sz w:val="24"/>
        </w:rPr>
      </w:pPr>
      <w:r>
        <w:rPr>
          <w:sz w:val="24"/>
        </w:rPr>
        <w:t>Worksheet</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Rx</w:t>
      </w:r>
      <w:r>
        <w:rPr>
          <w:spacing w:val="-1"/>
          <w:sz w:val="24"/>
        </w:rPr>
        <w:t xml:space="preserve"> </w:t>
      </w:r>
      <w:r>
        <w:rPr>
          <w:sz w:val="24"/>
        </w:rPr>
        <w:t>Base Period</w:t>
      </w:r>
      <w:r>
        <w:rPr>
          <w:spacing w:val="-1"/>
          <w:sz w:val="24"/>
        </w:rPr>
        <w:t xml:space="preserve"> </w:t>
      </w:r>
      <w:r>
        <w:rPr>
          <w:spacing w:val="-2"/>
          <w:sz w:val="24"/>
        </w:rPr>
        <w:t>Experience</w:t>
      </w:r>
    </w:p>
    <w:p>
      <w:pPr>
        <w:pStyle w:val="ListParagraph"/>
        <w:numPr>
          <w:ilvl w:val="1"/>
          <w:numId w:val="17"/>
        </w:numPr>
        <w:tabs>
          <w:tab w:val="left" w:pos="944"/>
        </w:tabs>
        <w:spacing w:before="39" w:after="0" w:line="240" w:lineRule="auto"/>
        <w:ind w:left="944" w:right="0" w:hanging="360"/>
        <w:jc w:val="left"/>
        <w:rPr>
          <w:sz w:val="24"/>
        </w:rPr>
      </w:pPr>
      <w:r>
        <w:rPr>
          <w:sz w:val="24"/>
        </w:rPr>
        <w:t>Worksheet</w:t>
      </w:r>
      <w:r>
        <w:rPr>
          <w:spacing w:val="-3"/>
          <w:sz w:val="24"/>
        </w:rPr>
        <w:t xml:space="preserve"> </w:t>
      </w:r>
      <w:r>
        <w:rPr>
          <w:sz w:val="24"/>
        </w:rPr>
        <w:t>2</w:t>
      </w:r>
      <w:r>
        <w:rPr>
          <w:spacing w:val="-1"/>
          <w:sz w:val="24"/>
        </w:rPr>
        <w:t xml:space="preserve"> </w:t>
      </w:r>
      <w:r>
        <w:rPr>
          <w:sz w:val="24"/>
        </w:rPr>
        <w:t>–</w:t>
      </w:r>
      <w:r>
        <w:rPr>
          <w:spacing w:val="-1"/>
          <w:sz w:val="24"/>
        </w:rPr>
        <w:t xml:space="preserve"> </w:t>
      </w:r>
      <w:r>
        <w:rPr>
          <w:sz w:val="24"/>
        </w:rPr>
        <w:t>Rx</w:t>
      </w:r>
      <w:r>
        <w:rPr>
          <w:spacing w:val="-1"/>
          <w:sz w:val="24"/>
        </w:rPr>
        <w:t xml:space="preserve"> </w:t>
      </w:r>
      <w:r>
        <w:rPr>
          <w:sz w:val="24"/>
        </w:rPr>
        <w:t>PDP</w:t>
      </w:r>
      <w:r>
        <w:rPr>
          <w:spacing w:val="-1"/>
          <w:sz w:val="24"/>
        </w:rPr>
        <w:t xml:space="preserve"> </w:t>
      </w:r>
      <w:r>
        <w:rPr>
          <w:sz w:val="24"/>
        </w:rPr>
        <w:t>Projection</w:t>
      </w:r>
      <w:r>
        <w:rPr>
          <w:spacing w:val="-1"/>
          <w:sz w:val="24"/>
        </w:rPr>
        <w:t xml:space="preserve"> </w:t>
      </w:r>
      <w:r>
        <w:rPr>
          <w:sz w:val="24"/>
        </w:rPr>
        <w:t>of</w:t>
      </w:r>
      <w:r>
        <w:rPr>
          <w:spacing w:val="-1"/>
          <w:sz w:val="24"/>
        </w:rPr>
        <w:t xml:space="preserve"> </w:t>
      </w:r>
      <w:r>
        <w:rPr>
          <w:sz w:val="24"/>
        </w:rPr>
        <w:t>Allowed/Non-</w:t>
      </w:r>
      <w:r>
        <w:rPr>
          <w:spacing w:val="-2"/>
          <w:sz w:val="24"/>
        </w:rPr>
        <w:t>Benefit</w:t>
      </w:r>
    </w:p>
    <w:p>
      <w:pPr>
        <w:pStyle w:val="ListParagraph"/>
        <w:numPr>
          <w:ilvl w:val="1"/>
          <w:numId w:val="17"/>
        </w:numPr>
        <w:tabs>
          <w:tab w:val="left" w:pos="944"/>
        </w:tabs>
        <w:spacing w:before="41" w:after="0" w:line="240" w:lineRule="auto"/>
        <w:ind w:left="944" w:right="0" w:hanging="360"/>
        <w:jc w:val="left"/>
        <w:rPr>
          <w:sz w:val="24"/>
        </w:rPr>
      </w:pPr>
      <w:r>
        <w:rPr>
          <w:sz w:val="24"/>
        </w:rPr>
        <w:t>Worksheet</w:t>
      </w:r>
      <w:r>
        <w:rPr>
          <w:spacing w:val="-2"/>
          <w:sz w:val="24"/>
        </w:rPr>
        <w:t xml:space="preserve"> </w:t>
      </w:r>
      <w:r>
        <w:rPr>
          <w:sz w:val="24"/>
        </w:rPr>
        <w:t>3</w:t>
      </w:r>
      <w:r>
        <w:rPr>
          <w:spacing w:val="-1"/>
          <w:sz w:val="24"/>
        </w:rPr>
        <w:t xml:space="preserve"> </w:t>
      </w:r>
      <w:r>
        <w:rPr>
          <w:sz w:val="24"/>
        </w:rPr>
        <w:t>–</w:t>
      </w:r>
      <w:r>
        <w:rPr>
          <w:spacing w:val="-1"/>
          <w:sz w:val="24"/>
        </w:rPr>
        <w:t xml:space="preserve"> </w:t>
      </w:r>
      <w:r>
        <w:rPr>
          <w:sz w:val="24"/>
        </w:rPr>
        <w:t>Rx</w:t>
      </w:r>
      <w:r>
        <w:rPr>
          <w:spacing w:val="-2"/>
          <w:sz w:val="24"/>
        </w:rPr>
        <w:t xml:space="preserve"> </w:t>
      </w:r>
      <w:r>
        <w:rPr>
          <w:sz w:val="24"/>
        </w:rPr>
        <w:t>Contract</w:t>
      </w:r>
      <w:r>
        <w:rPr>
          <w:spacing w:val="-1"/>
          <w:sz w:val="24"/>
        </w:rPr>
        <w:t xml:space="preserve"> </w:t>
      </w:r>
      <w:r>
        <w:rPr>
          <w:sz w:val="24"/>
        </w:rPr>
        <w:t>Period</w:t>
      </w:r>
      <w:r>
        <w:rPr>
          <w:spacing w:val="-1"/>
          <w:sz w:val="24"/>
        </w:rPr>
        <w:t xml:space="preserve"> </w:t>
      </w:r>
      <w:r>
        <w:rPr>
          <w:sz w:val="24"/>
        </w:rPr>
        <w:t>Projection</w:t>
      </w:r>
      <w:r>
        <w:rPr>
          <w:spacing w:val="-2"/>
          <w:sz w:val="24"/>
        </w:rPr>
        <w:t xml:space="preserve"> </w:t>
      </w:r>
      <w:r>
        <w:rPr>
          <w:sz w:val="24"/>
        </w:rPr>
        <w:t>for Defined</w:t>
      </w:r>
      <w:r>
        <w:rPr>
          <w:spacing w:val="-1"/>
          <w:sz w:val="24"/>
        </w:rPr>
        <w:t xml:space="preserve"> </w:t>
      </w:r>
      <w:r>
        <w:rPr>
          <w:sz w:val="24"/>
        </w:rPr>
        <w:t>Standard</w:t>
      </w:r>
      <w:r>
        <w:rPr>
          <w:spacing w:val="-1"/>
          <w:sz w:val="24"/>
        </w:rPr>
        <w:t xml:space="preserve"> </w:t>
      </w:r>
      <w:r>
        <w:rPr>
          <w:spacing w:val="-2"/>
          <w:sz w:val="24"/>
        </w:rPr>
        <w:t>Coverage</w:t>
      </w:r>
    </w:p>
    <w:p>
      <w:pPr>
        <w:pStyle w:val="ListParagraph"/>
        <w:numPr>
          <w:ilvl w:val="1"/>
          <w:numId w:val="17"/>
        </w:numPr>
        <w:tabs>
          <w:tab w:val="left" w:pos="944"/>
        </w:tabs>
        <w:spacing w:before="38" w:after="0" w:line="240" w:lineRule="auto"/>
        <w:ind w:left="944" w:right="0" w:hanging="360"/>
        <w:jc w:val="left"/>
        <w:rPr>
          <w:sz w:val="24"/>
        </w:rPr>
      </w:pPr>
      <w:r>
        <w:rPr>
          <w:sz w:val="24"/>
        </w:rPr>
        <w:t>Worksheet</w:t>
      </w:r>
      <w:r>
        <w:rPr>
          <w:spacing w:val="-2"/>
          <w:sz w:val="24"/>
        </w:rPr>
        <w:t xml:space="preserve"> </w:t>
      </w:r>
      <w:r>
        <w:rPr>
          <w:sz w:val="24"/>
        </w:rPr>
        <w:t>4</w:t>
      </w:r>
      <w:r>
        <w:rPr>
          <w:spacing w:val="-1"/>
          <w:sz w:val="24"/>
        </w:rPr>
        <w:t xml:space="preserve"> </w:t>
      </w:r>
      <w:r>
        <w:rPr>
          <w:sz w:val="24"/>
        </w:rPr>
        <w:t>–</w:t>
      </w:r>
      <w:r>
        <w:rPr>
          <w:spacing w:val="-1"/>
          <w:sz w:val="24"/>
        </w:rPr>
        <w:t xml:space="preserve"> </w:t>
      </w:r>
      <w:r>
        <w:rPr>
          <w:sz w:val="24"/>
        </w:rPr>
        <w:t>Rx</w:t>
      </w:r>
      <w:r>
        <w:rPr>
          <w:spacing w:val="-1"/>
          <w:sz w:val="24"/>
        </w:rPr>
        <w:t xml:space="preserve"> </w:t>
      </w:r>
      <w:r>
        <w:rPr>
          <w:sz w:val="24"/>
        </w:rPr>
        <w:t>Standard</w:t>
      </w:r>
      <w:r>
        <w:rPr>
          <w:spacing w:val="-1"/>
          <w:sz w:val="24"/>
        </w:rPr>
        <w:t xml:space="preserve"> </w:t>
      </w:r>
      <w:r>
        <w:rPr>
          <w:sz w:val="24"/>
        </w:rPr>
        <w:t>Coverage with</w:t>
      </w:r>
      <w:r>
        <w:rPr>
          <w:spacing w:val="-1"/>
          <w:sz w:val="24"/>
        </w:rPr>
        <w:t xml:space="preserve"> </w:t>
      </w:r>
      <w:r>
        <w:rPr>
          <w:sz w:val="24"/>
        </w:rPr>
        <w:t>Actuarially</w:t>
      </w:r>
      <w:r>
        <w:rPr>
          <w:spacing w:val="-1"/>
          <w:sz w:val="24"/>
        </w:rPr>
        <w:t xml:space="preserve"> </w:t>
      </w:r>
      <w:r>
        <w:rPr>
          <w:sz w:val="24"/>
        </w:rPr>
        <w:t>Equivalent</w:t>
      </w:r>
      <w:r>
        <w:rPr>
          <w:spacing w:val="-1"/>
          <w:sz w:val="24"/>
        </w:rPr>
        <w:t xml:space="preserve"> </w:t>
      </w:r>
      <w:r>
        <w:rPr>
          <w:sz w:val="24"/>
        </w:rPr>
        <w:t>Cost</w:t>
      </w:r>
      <w:r>
        <w:rPr>
          <w:spacing w:val="-1"/>
          <w:sz w:val="24"/>
        </w:rPr>
        <w:t xml:space="preserve"> </w:t>
      </w:r>
      <w:r>
        <w:rPr>
          <w:spacing w:val="-2"/>
          <w:sz w:val="24"/>
        </w:rPr>
        <w:t>Sharing</w:t>
      </w:r>
    </w:p>
    <w:p>
      <w:pPr>
        <w:pStyle w:val="ListParagraph"/>
        <w:numPr>
          <w:ilvl w:val="1"/>
          <w:numId w:val="17"/>
        </w:numPr>
        <w:tabs>
          <w:tab w:val="left" w:pos="944"/>
        </w:tabs>
        <w:spacing w:before="41" w:after="0" w:line="240" w:lineRule="auto"/>
        <w:ind w:left="944" w:right="0" w:hanging="360"/>
        <w:jc w:val="left"/>
        <w:rPr>
          <w:sz w:val="24"/>
        </w:rPr>
      </w:pPr>
      <w:r>
        <w:rPr>
          <w:sz w:val="24"/>
        </w:rPr>
        <w:t>Worksheet</w:t>
      </w:r>
      <w:r>
        <w:rPr>
          <w:spacing w:val="-1"/>
          <w:sz w:val="24"/>
        </w:rPr>
        <w:t xml:space="preserve"> </w:t>
      </w:r>
      <w:r>
        <w:rPr>
          <w:sz w:val="24"/>
        </w:rPr>
        <w:t>5</w:t>
      </w:r>
      <w:r>
        <w:rPr>
          <w:spacing w:val="-1"/>
          <w:sz w:val="24"/>
        </w:rPr>
        <w:t xml:space="preserve"> </w:t>
      </w:r>
      <w:r>
        <w:rPr>
          <w:sz w:val="24"/>
        </w:rPr>
        <w:t>–</w:t>
      </w:r>
      <w:r>
        <w:rPr>
          <w:spacing w:val="-2"/>
          <w:sz w:val="24"/>
        </w:rPr>
        <w:t xml:space="preserve"> </w:t>
      </w:r>
      <w:r>
        <w:rPr>
          <w:sz w:val="24"/>
        </w:rPr>
        <w:t>Rx</w:t>
      </w:r>
      <w:r>
        <w:rPr>
          <w:spacing w:val="-1"/>
          <w:sz w:val="24"/>
        </w:rPr>
        <w:t xml:space="preserve"> </w:t>
      </w:r>
      <w:r>
        <w:rPr>
          <w:sz w:val="24"/>
        </w:rPr>
        <w:t>Alternative</w:t>
      </w:r>
      <w:r>
        <w:rPr>
          <w:spacing w:val="-1"/>
          <w:sz w:val="24"/>
        </w:rPr>
        <w:t xml:space="preserve"> </w:t>
      </w:r>
      <w:r>
        <w:rPr>
          <w:spacing w:val="-2"/>
          <w:sz w:val="24"/>
        </w:rPr>
        <w:t>Coverage</w:t>
      </w:r>
    </w:p>
    <w:p>
      <w:pPr>
        <w:pStyle w:val="ListParagraph"/>
        <w:numPr>
          <w:ilvl w:val="1"/>
          <w:numId w:val="17"/>
        </w:numPr>
        <w:tabs>
          <w:tab w:val="left" w:pos="944"/>
        </w:tabs>
        <w:spacing w:before="41" w:after="0" w:line="240" w:lineRule="auto"/>
        <w:ind w:left="944" w:right="778" w:hanging="360"/>
        <w:jc w:val="left"/>
        <w:rPr>
          <w:sz w:val="24"/>
        </w:rPr>
      </w:pPr>
      <w:r>
        <w:rPr>
          <w:sz w:val="24"/>
        </w:rPr>
        <w:t>Worksheet</w:t>
      </w:r>
      <w:r>
        <w:rPr>
          <w:spacing w:val="-4"/>
          <w:sz w:val="24"/>
        </w:rPr>
        <w:t xml:space="preserve"> </w:t>
      </w:r>
      <w:r>
        <w:rPr>
          <w:sz w:val="24"/>
        </w:rPr>
        <w:t>6</w:t>
      </w:r>
      <w:r>
        <w:rPr>
          <w:spacing w:val="-4"/>
          <w:sz w:val="24"/>
        </w:rPr>
        <w:t xml:space="preserve"> </w:t>
      </w:r>
      <w:r>
        <w:rPr>
          <w:sz w:val="24"/>
        </w:rPr>
        <w:t>–</w:t>
      </w:r>
      <w:r>
        <w:rPr>
          <w:spacing w:val="-4"/>
          <w:sz w:val="24"/>
        </w:rPr>
        <w:t xml:space="preserve"> </w:t>
      </w:r>
      <w:r>
        <w:rPr>
          <w:sz w:val="24"/>
        </w:rPr>
        <w:t>Rx</w:t>
      </w:r>
      <w:r>
        <w:rPr>
          <w:spacing w:val="-4"/>
          <w:sz w:val="24"/>
        </w:rPr>
        <w:t xml:space="preserve"> </w:t>
      </w:r>
      <w:r>
        <w:rPr>
          <w:sz w:val="24"/>
        </w:rPr>
        <w:t>Script</w:t>
      </w:r>
      <w:r>
        <w:rPr>
          <w:spacing w:val="-2"/>
          <w:sz w:val="24"/>
        </w:rPr>
        <w:t xml:space="preserve"> </w:t>
      </w:r>
      <w:r>
        <w:rPr>
          <w:sz w:val="24"/>
        </w:rPr>
        <w:t>Projections</w:t>
      </w:r>
      <w:r>
        <w:rPr>
          <w:spacing w:val="-4"/>
          <w:sz w:val="24"/>
        </w:rPr>
        <w:t xml:space="preserve"> </w:t>
      </w:r>
      <w:r>
        <w:rPr>
          <w:sz w:val="24"/>
        </w:rPr>
        <w:t>for</w:t>
      </w:r>
      <w:r>
        <w:rPr>
          <w:spacing w:val="-6"/>
          <w:sz w:val="24"/>
        </w:rPr>
        <w:t xml:space="preserve"> </w:t>
      </w:r>
      <w:r>
        <w:rPr>
          <w:sz w:val="24"/>
        </w:rPr>
        <w:t>Defined</w:t>
      </w:r>
      <w:r>
        <w:rPr>
          <w:spacing w:val="-4"/>
          <w:sz w:val="24"/>
        </w:rPr>
        <w:t xml:space="preserve"> </w:t>
      </w:r>
      <w:r>
        <w:rPr>
          <w:sz w:val="24"/>
        </w:rPr>
        <w:t>Standard,</w:t>
      </w:r>
      <w:r>
        <w:rPr>
          <w:spacing w:val="-4"/>
          <w:sz w:val="24"/>
        </w:rPr>
        <w:t xml:space="preserve"> </w:t>
      </w:r>
      <w:r>
        <w:rPr>
          <w:sz w:val="24"/>
        </w:rPr>
        <w:t>Actuarially</w:t>
      </w:r>
      <w:r>
        <w:rPr>
          <w:spacing w:val="-4"/>
          <w:sz w:val="24"/>
        </w:rPr>
        <w:t xml:space="preserve"> </w:t>
      </w:r>
      <w:r>
        <w:rPr>
          <w:sz w:val="24"/>
        </w:rPr>
        <w:t>Equivalent</w:t>
      </w:r>
      <w:r>
        <w:rPr>
          <w:spacing w:val="-4"/>
          <w:sz w:val="24"/>
        </w:rPr>
        <w:t xml:space="preserve"> </w:t>
      </w:r>
      <w:r>
        <w:rPr>
          <w:sz w:val="24"/>
        </w:rPr>
        <w:t>or Alternative Coverage</w:t>
      </w:r>
    </w:p>
    <w:p>
      <w:pPr>
        <w:pStyle w:val="ListParagraph"/>
        <w:numPr>
          <w:ilvl w:val="1"/>
          <w:numId w:val="17"/>
        </w:numPr>
        <w:tabs>
          <w:tab w:val="left" w:pos="944"/>
        </w:tabs>
        <w:spacing w:before="38" w:after="0" w:line="240" w:lineRule="auto"/>
        <w:ind w:left="944" w:right="0" w:hanging="360"/>
        <w:jc w:val="left"/>
        <w:rPr>
          <w:sz w:val="24"/>
        </w:rPr>
      </w:pPr>
      <w:r>
        <w:rPr>
          <w:sz w:val="24"/>
        </w:rPr>
        <w:t>Worksheet</w:t>
      </w:r>
      <w:r>
        <w:rPr>
          <w:spacing w:val="-2"/>
          <w:sz w:val="24"/>
        </w:rPr>
        <w:t xml:space="preserve"> </w:t>
      </w:r>
      <w:r>
        <w:rPr>
          <w:sz w:val="24"/>
        </w:rPr>
        <w:t>7</w:t>
      </w:r>
      <w:r>
        <w:rPr>
          <w:spacing w:val="-1"/>
          <w:sz w:val="24"/>
        </w:rPr>
        <w:t xml:space="preserve"> </w:t>
      </w:r>
      <w:r>
        <w:rPr>
          <w:sz w:val="24"/>
        </w:rPr>
        <w:t>–</w:t>
      </w:r>
      <w:r>
        <w:rPr>
          <w:spacing w:val="-1"/>
          <w:sz w:val="24"/>
        </w:rPr>
        <w:t xml:space="preserve"> </w:t>
      </w:r>
      <w:r>
        <w:rPr>
          <w:sz w:val="24"/>
        </w:rPr>
        <w:t>Summary of</w:t>
      </w:r>
      <w:r>
        <w:rPr>
          <w:spacing w:val="-1"/>
          <w:sz w:val="24"/>
        </w:rPr>
        <w:t xml:space="preserve"> </w:t>
      </w:r>
      <w:r>
        <w:rPr>
          <w:sz w:val="24"/>
        </w:rPr>
        <w:t>Key</w:t>
      </w:r>
      <w:r>
        <w:rPr>
          <w:spacing w:val="-1"/>
          <w:sz w:val="24"/>
        </w:rPr>
        <w:t xml:space="preserve"> </w:t>
      </w:r>
      <w:r>
        <w:rPr>
          <w:sz w:val="24"/>
        </w:rPr>
        <w:t>Bid</w:t>
      </w:r>
      <w:r>
        <w:rPr>
          <w:spacing w:val="-1"/>
          <w:sz w:val="24"/>
        </w:rPr>
        <w:t xml:space="preserve"> </w:t>
      </w:r>
      <w:r>
        <w:rPr>
          <w:spacing w:val="-2"/>
          <w:sz w:val="24"/>
        </w:rPr>
        <w:t>Elements</w:t>
      </w:r>
    </w:p>
    <w:p>
      <w:pPr>
        <w:pStyle w:val="BodyText"/>
        <w:ind w:left="224" w:right="1231"/>
        <w:jc w:val="both"/>
      </w:pPr>
      <w:r>
        <w:t>All</w:t>
      </w:r>
      <w:r>
        <w:rPr>
          <w:spacing w:val="-2"/>
        </w:rPr>
        <w:t xml:space="preserve"> </w:t>
      </w:r>
      <w:r>
        <w:t>Part</w:t>
      </w:r>
      <w:r>
        <w:rPr>
          <w:spacing w:val="-3"/>
        </w:rPr>
        <w:t xml:space="preserve"> </w:t>
      </w:r>
      <w:r>
        <w:t>D</w:t>
      </w:r>
      <w:r>
        <w:rPr>
          <w:spacing w:val="-3"/>
        </w:rPr>
        <w:t xml:space="preserve"> </w:t>
      </w:r>
      <w:r>
        <w:t>sponsors</w:t>
      </w:r>
      <w:r>
        <w:rPr>
          <w:spacing w:val="-2"/>
        </w:rPr>
        <w:t xml:space="preserve"> </w:t>
      </w:r>
      <w:r>
        <w:t>must</w:t>
      </w:r>
      <w:r>
        <w:rPr>
          <w:spacing w:val="-2"/>
        </w:rPr>
        <w:t xml:space="preserve"> </w:t>
      </w:r>
      <w:r>
        <w:t>complete</w:t>
      </w:r>
      <w:r>
        <w:rPr>
          <w:spacing w:val="-2"/>
        </w:rPr>
        <w:t xml:space="preserve"> </w:t>
      </w:r>
      <w:r>
        <w:t>Section I</w:t>
      </w:r>
      <w:r>
        <w:rPr>
          <w:spacing w:val="-6"/>
        </w:rPr>
        <w:t xml:space="preserve"> </w:t>
      </w:r>
      <w:r>
        <w:t>of</w:t>
      </w:r>
      <w:r>
        <w:rPr>
          <w:spacing w:val="-1"/>
        </w:rPr>
        <w:t xml:space="preserve"> </w:t>
      </w:r>
      <w:r>
        <w:t>Worksheet</w:t>
      </w:r>
      <w:r>
        <w:rPr>
          <w:spacing w:val="-2"/>
        </w:rPr>
        <w:t xml:space="preserve"> </w:t>
      </w:r>
      <w:r>
        <w:t>1;</w:t>
      </w:r>
      <w:r>
        <w:rPr>
          <w:spacing w:val="-2"/>
        </w:rPr>
        <w:t xml:space="preserve"> </w:t>
      </w:r>
      <w:r>
        <w:t>completion</w:t>
      </w:r>
      <w:r>
        <w:rPr>
          <w:spacing w:val="-2"/>
        </w:rPr>
        <w:t xml:space="preserve"> </w:t>
      </w:r>
      <w:r>
        <w:t>of</w:t>
      </w:r>
      <w:r>
        <w:rPr>
          <w:spacing w:val="-2"/>
        </w:rPr>
        <w:t xml:space="preserve"> </w:t>
      </w:r>
      <w:r>
        <w:t>subsequent sections</w:t>
      </w:r>
      <w:r>
        <w:rPr>
          <w:spacing w:val="-3"/>
        </w:rPr>
        <w:t xml:space="preserve"> </w:t>
      </w:r>
      <w:r>
        <w:t>of</w:t>
      </w:r>
      <w:r>
        <w:rPr>
          <w:spacing w:val="-3"/>
        </w:rPr>
        <w:t xml:space="preserve"> </w:t>
      </w:r>
      <w:r>
        <w:t>the</w:t>
      </w:r>
      <w:r>
        <w:rPr>
          <w:spacing w:val="-4"/>
        </w:rPr>
        <w:t xml:space="preserve"> </w:t>
      </w:r>
      <w:r>
        <w:t>BPT</w:t>
      </w:r>
      <w:r>
        <w:rPr>
          <w:spacing w:val="-3"/>
        </w:rPr>
        <w:t xml:space="preserve"> </w:t>
      </w:r>
      <w:r>
        <w:t>is</w:t>
      </w:r>
      <w:r>
        <w:rPr>
          <w:spacing w:val="-3"/>
        </w:rPr>
        <w:t xml:space="preserve"> </w:t>
      </w:r>
      <w:r>
        <w:t>based</w:t>
      </w:r>
      <w:r>
        <w:rPr>
          <w:spacing w:val="-3"/>
        </w:rPr>
        <w:t xml:space="preserve"> </w:t>
      </w:r>
      <w:r>
        <w:t>on</w:t>
      </w:r>
      <w:r>
        <w:rPr>
          <w:spacing w:val="-3"/>
        </w:rPr>
        <w:t xml:space="preserve"> </w:t>
      </w:r>
      <w:r>
        <w:t>the</w:t>
      </w:r>
      <w:r>
        <w:rPr>
          <w:spacing w:val="-3"/>
        </w:rPr>
        <w:t xml:space="preserve"> </w:t>
      </w:r>
      <w:r>
        <w:t>plan</w:t>
      </w:r>
      <w:r>
        <w:rPr>
          <w:spacing w:val="-3"/>
        </w:rPr>
        <w:t xml:space="preserve"> </w:t>
      </w:r>
      <w:r>
        <w:t>benefit</w:t>
      </w:r>
      <w:r>
        <w:rPr>
          <w:spacing w:val="-3"/>
        </w:rPr>
        <w:t xml:space="preserve"> </w:t>
      </w:r>
      <w:r>
        <w:t>type</w:t>
      </w:r>
      <w:r>
        <w:rPr>
          <w:spacing w:val="-4"/>
        </w:rPr>
        <w:t xml:space="preserve"> </w:t>
      </w:r>
      <w:r>
        <w:t>being</w:t>
      </w:r>
      <w:r>
        <w:rPr>
          <w:spacing w:val="-3"/>
        </w:rPr>
        <w:t xml:space="preserve"> </w:t>
      </w:r>
      <w:r>
        <w:t>offered. The</w:t>
      </w:r>
      <w:r>
        <w:rPr>
          <w:spacing w:val="-4"/>
        </w:rPr>
        <w:t xml:space="preserve"> </w:t>
      </w:r>
      <w:r>
        <w:t>worksheets</w:t>
      </w:r>
      <w:r>
        <w:rPr>
          <w:spacing w:val="-3"/>
        </w:rPr>
        <w:t xml:space="preserve"> </w:t>
      </w:r>
      <w:r>
        <w:t>and sections that must be completed for each plan benefit type are defined below.</w:t>
      </w:r>
    </w:p>
    <w:p>
      <w:pPr>
        <w:spacing w:before="241"/>
        <w:ind w:left="224" w:right="0" w:firstLine="0"/>
        <w:jc w:val="both"/>
        <w:rPr>
          <w:rFonts w:ascii="Arial"/>
          <w:b/>
          <w:sz w:val="21"/>
        </w:rPr>
      </w:pPr>
      <w:bookmarkStart w:id="49" w:name="Defined Standard Coverage"/>
      <w:bookmarkEnd w:id="49"/>
      <w:r>
        <w:rPr>
          <w:rFonts w:ascii="Arial"/>
          <w:b/>
          <w:sz w:val="21"/>
        </w:rPr>
        <w:t>Defined</w:t>
      </w:r>
      <w:r>
        <w:rPr>
          <w:rFonts w:ascii="Arial"/>
          <w:b/>
          <w:spacing w:val="-8"/>
          <w:sz w:val="21"/>
        </w:rPr>
        <w:t xml:space="preserve"> </w:t>
      </w:r>
      <w:r>
        <w:rPr>
          <w:rFonts w:ascii="Arial"/>
          <w:b/>
          <w:sz w:val="21"/>
        </w:rPr>
        <w:t>Standard</w:t>
      </w:r>
      <w:r>
        <w:rPr>
          <w:rFonts w:ascii="Arial"/>
          <w:b/>
          <w:spacing w:val="-7"/>
          <w:sz w:val="21"/>
        </w:rPr>
        <w:t xml:space="preserve"> </w:t>
      </w:r>
      <w:r>
        <w:rPr>
          <w:rFonts w:ascii="Arial"/>
          <w:b/>
          <w:spacing w:val="-2"/>
          <w:sz w:val="21"/>
        </w:rPr>
        <w:t>Coverage</w:t>
      </w:r>
    </w:p>
    <w:p>
      <w:pPr>
        <w:pStyle w:val="ListParagraph"/>
        <w:numPr>
          <w:ilvl w:val="0"/>
          <w:numId w:val="11"/>
        </w:numPr>
        <w:tabs>
          <w:tab w:val="left" w:pos="943"/>
        </w:tabs>
        <w:spacing w:before="121" w:after="0" w:line="240" w:lineRule="auto"/>
        <w:ind w:left="943" w:right="0" w:hanging="359"/>
        <w:jc w:val="left"/>
        <w:rPr>
          <w:rFonts w:ascii="Arial" w:hAnsi="Arial"/>
          <w:b/>
          <w:sz w:val="21"/>
        </w:rPr>
      </w:pPr>
      <w:r>
        <w:rPr>
          <w:rFonts w:ascii="Arial" w:hAnsi="Arial"/>
          <w:b/>
          <w:sz w:val="21"/>
        </w:rPr>
        <w:t>Worksheet</w:t>
      </w:r>
      <w:r>
        <w:rPr>
          <w:rFonts w:ascii="Arial" w:hAnsi="Arial"/>
          <w:b/>
          <w:spacing w:val="-13"/>
          <w:sz w:val="21"/>
        </w:rPr>
        <w:t xml:space="preserve"> </w:t>
      </w:r>
      <w:r>
        <w:rPr>
          <w:rFonts w:ascii="Arial" w:hAnsi="Arial"/>
          <w:b/>
          <w:spacing w:val="-10"/>
          <w:sz w:val="21"/>
        </w:rPr>
        <w:t>1</w:t>
      </w:r>
    </w:p>
    <w:p>
      <w:pPr>
        <w:pStyle w:val="BodyText"/>
        <w:spacing w:before="121"/>
        <w:ind w:right="425"/>
      </w:pPr>
      <w:r>
        <w:t>For</w:t>
      </w:r>
      <w:r>
        <w:rPr>
          <w:spacing w:val="-4"/>
        </w:rPr>
        <w:t xml:space="preserve"> </w:t>
      </w:r>
      <w:r>
        <w:t>all</w:t>
      </w:r>
      <w:r>
        <w:rPr>
          <w:spacing w:val="-4"/>
        </w:rPr>
        <w:t xml:space="preserve"> </w:t>
      </w:r>
      <w:r>
        <w:t>plans,</w:t>
      </w:r>
      <w:r>
        <w:rPr>
          <w:spacing w:val="-4"/>
        </w:rPr>
        <w:t xml:space="preserve"> </w:t>
      </w:r>
      <w:r>
        <w:t>complete</w:t>
      </w:r>
      <w:r>
        <w:rPr>
          <w:spacing w:val="-4"/>
        </w:rPr>
        <w:t xml:space="preserve"> </w:t>
      </w:r>
      <w:r>
        <w:t>Section</w:t>
      </w:r>
      <w:r>
        <w:rPr>
          <w:spacing w:val="-2"/>
        </w:rPr>
        <w:t xml:space="preserve"> </w:t>
      </w:r>
      <w:r>
        <w:t>I;</w:t>
      </w:r>
      <w:r>
        <w:rPr>
          <w:spacing w:val="-4"/>
        </w:rPr>
        <w:t xml:space="preserve"> </w:t>
      </w:r>
      <w:r>
        <w:t>for</w:t>
      </w:r>
      <w:r>
        <w:rPr>
          <w:spacing w:val="-3"/>
        </w:rPr>
        <w:t xml:space="preserve"> </w:t>
      </w:r>
      <w:r>
        <w:t>plans</w:t>
      </w:r>
      <w:r>
        <w:rPr>
          <w:spacing w:val="-4"/>
        </w:rPr>
        <w:t xml:space="preserve"> </w:t>
      </w:r>
      <w:r>
        <w:t>with</w:t>
      </w:r>
      <w:r>
        <w:rPr>
          <w:spacing w:val="-4"/>
        </w:rPr>
        <w:t xml:space="preserve"> </w:t>
      </w:r>
      <w:r>
        <w:t>claims</w:t>
      </w:r>
      <w:r>
        <w:rPr>
          <w:spacing w:val="-4"/>
        </w:rPr>
        <w:t xml:space="preserve"> </w:t>
      </w:r>
      <w:r>
        <w:t>experience</w:t>
      </w:r>
      <w:r>
        <w:rPr>
          <w:spacing w:val="-4"/>
        </w:rPr>
        <w:t xml:space="preserve"> </w:t>
      </w:r>
      <w:r>
        <w:t>in</w:t>
      </w:r>
      <w:r>
        <w:rPr>
          <w:spacing w:val="-2"/>
        </w:rPr>
        <w:t xml:space="preserve"> </w:t>
      </w:r>
      <w:r>
        <w:t>CY2024,</w:t>
      </w:r>
      <w:r>
        <w:rPr>
          <w:spacing w:val="-4"/>
        </w:rPr>
        <w:t xml:space="preserve"> </w:t>
      </w:r>
      <w:r>
        <w:t>complete all sections.</w:t>
      </w:r>
    </w:p>
    <w:p>
      <w:pPr>
        <w:pStyle w:val="ListParagraph"/>
        <w:numPr>
          <w:ilvl w:val="0"/>
          <w:numId w:val="11"/>
        </w:numPr>
        <w:tabs>
          <w:tab w:val="left" w:pos="943"/>
        </w:tabs>
        <w:spacing w:before="120" w:after="0" w:line="240" w:lineRule="auto"/>
        <w:ind w:left="943" w:right="0" w:hanging="359"/>
        <w:jc w:val="left"/>
        <w:rPr>
          <w:rFonts w:ascii="Arial" w:hAnsi="Arial"/>
          <w:b/>
          <w:sz w:val="21"/>
        </w:rPr>
      </w:pPr>
      <w:r>
        <w:rPr>
          <w:rFonts w:ascii="Arial" w:hAnsi="Arial"/>
          <w:b/>
          <w:sz w:val="21"/>
        </w:rPr>
        <w:t>Worksheet</w:t>
      </w:r>
      <w:r>
        <w:rPr>
          <w:rFonts w:ascii="Arial" w:hAnsi="Arial"/>
          <w:b/>
          <w:spacing w:val="-13"/>
          <w:sz w:val="21"/>
        </w:rPr>
        <w:t xml:space="preserve"> </w:t>
      </w:r>
      <w:r>
        <w:rPr>
          <w:rFonts w:ascii="Arial" w:hAnsi="Arial"/>
          <w:b/>
          <w:spacing w:val="-10"/>
          <w:sz w:val="21"/>
        </w:rPr>
        <w:t>2</w:t>
      </w:r>
    </w:p>
    <w:p>
      <w:pPr>
        <w:pStyle w:val="BodyText"/>
        <w:spacing w:before="118"/>
        <w:ind w:right="512"/>
      </w:pPr>
      <w:r>
        <w:t>For plans with fully credible claims experience in CY2024, complete Sections II and III; column o of Section IV; and Sections V, VII, and VIII. For plans with partially credible</w:t>
      </w:r>
      <w:r>
        <w:rPr>
          <w:spacing w:val="-5"/>
        </w:rPr>
        <w:t xml:space="preserve"> </w:t>
      </w:r>
      <w:r>
        <w:t>claims</w:t>
      </w:r>
      <w:r>
        <w:rPr>
          <w:spacing w:val="-4"/>
        </w:rPr>
        <w:t xml:space="preserve"> </w:t>
      </w:r>
      <w:r>
        <w:t>experience</w:t>
      </w:r>
      <w:r>
        <w:rPr>
          <w:spacing w:val="-5"/>
        </w:rPr>
        <w:t xml:space="preserve"> </w:t>
      </w:r>
      <w:r>
        <w:t>in</w:t>
      </w:r>
      <w:r>
        <w:rPr>
          <w:spacing w:val="-4"/>
        </w:rPr>
        <w:t xml:space="preserve"> </w:t>
      </w:r>
      <w:r>
        <w:t>CY2024,</w:t>
      </w:r>
      <w:r>
        <w:rPr>
          <w:spacing w:val="-4"/>
        </w:rPr>
        <w:t xml:space="preserve"> </w:t>
      </w:r>
      <w:r>
        <w:t>complete</w:t>
      </w:r>
      <w:r>
        <w:rPr>
          <w:spacing w:val="-4"/>
        </w:rPr>
        <w:t xml:space="preserve"> </w:t>
      </w:r>
      <w:r>
        <w:t>all</w:t>
      </w:r>
      <w:r>
        <w:rPr>
          <w:spacing w:val="-2"/>
        </w:rPr>
        <w:t xml:space="preserve"> </w:t>
      </w:r>
      <w:r>
        <w:t>sections.</w:t>
      </w:r>
      <w:r>
        <w:rPr>
          <w:spacing w:val="-4"/>
        </w:rPr>
        <w:t xml:space="preserve"> </w:t>
      </w:r>
      <w:r>
        <w:t>For</w:t>
      </w:r>
      <w:r>
        <w:rPr>
          <w:spacing w:val="-4"/>
        </w:rPr>
        <w:t xml:space="preserve"> </w:t>
      </w:r>
      <w:r>
        <w:t>new</w:t>
      </w:r>
      <w:r>
        <w:rPr>
          <w:spacing w:val="-4"/>
        </w:rPr>
        <w:t xml:space="preserve"> </w:t>
      </w:r>
      <w:r>
        <w:t>plans</w:t>
      </w:r>
      <w:r>
        <w:rPr>
          <w:spacing w:val="-1"/>
        </w:rPr>
        <w:t xml:space="preserve"> </w:t>
      </w:r>
      <w:r>
        <w:t>in</w:t>
      </w:r>
      <w:r>
        <w:rPr>
          <w:spacing w:val="-4"/>
        </w:rPr>
        <w:t xml:space="preserve"> </w:t>
      </w:r>
      <w:r>
        <w:t>CY2025 and CY2026, complete Sections IV, V, VII, and VIII.</w:t>
      </w:r>
    </w:p>
    <w:p>
      <w:pPr>
        <w:pStyle w:val="ListParagraph"/>
        <w:numPr>
          <w:ilvl w:val="0"/>
          <w:numId w:val="11"/>
        </w:numPr>
        <w:tabs>
          <w:tab w:val="left" w:pos="943"/>
        </w:tabs>
        <w:spacing w:before="121" w:after="0" w:line="240" w:lineRule="auto"/>
        <w:ind w:left="943" w:right="0" w:hanging="359"/>
        <w:jc w:val="left"/>
        <w:rPr>
          <w:rFonts w:ascii="Arial" w:hAnsi="Arial"/>
          <w:b/>
          <w:sz w:val="21"/>
        </w:rPr>
      </w:pPr>
      <w:r>
        <w:rPr>
          <w:rFonts w:ascii="Arial" w:hAnsi="Arial"/>
          <w:b/>
          <w:sz w:val="21"/>
        </w:rPr>
        <w:t>Worksheet</w:t>
      </w:r>
      <w:r>
        <w:rPr>
          <w:rFonts w:ascii="Arial" w:hAnsi="Arial"/>
          <w:b/>
          <w:spacing w:val="-13"/>
          <w:sz w:val="21"/>
        </w:rPr>
        <w:t xml:space="preserve"> </w:t>
      </w:r>
      <w:r>
        <w:rPr>
          <w:rFonts w:ascii="Arial" w:hAnsi="Arial"/>
          <w:b/>
          <w:spacing w:val="-10"/>
          <w:sz w:val="21"/>
        </w:rPr>
        <w:t>3</w:t>
      </w:r>
    </w:p>
    <w:p>
      <w:pPr>
        <w:pStyle w:val="BodyText"/>
        <w:spacing w:before="121"/>
      </w:pPr>
      <w:r>
        <w:t>Complete</w:t>
      </w:r>
      <w:r>
        <w:rPr>
          <w:spacing w:val="-2"/>
        </w:rPr>
        <w:t xml:space="preserve"> </w:t>
      </w:r>
      <w:r>
        <w:t>all</w:t>
      </w:r>
      <w:r>
        <w:rPr>
          <w:spacing w:val="-1"/>
        </w:rPr>
        <w:t xml:space="preserve"> </w:t>
      </w:r>
      <w:r>
        <w:t>sections for</w:t>
      </w:r>
      <w:r>
        <w:rPr>
          <w:spacing w:val="-1"/>
        </w:rPr>
        <w:t xml:space="preserve"> </w:t>
      </w:r>
      <w:r>
        <w:t>all</w:t>
      </w:r>
      <w:r>
        <w:rPr>
          <w:spacing w:val="-1"/>
        </w:rPr>
        <w:t xml:space="preserve"> </w:t>
      </w:r>
      <w:r>
        <w:rPr>
          <w:spacing w:val="-2"/>
        </w:rPr>
        <w:t>plans.</w:t>
      </w:r>
    </w:p>
    <w:p>
      <w:pPr>
        <w:pStyle w:val="ListParagraph"/>
        <w:numPr>
          <w:ilvl w:val="0"/>
          <w:numId w:val="11"/>
        </w:numPr>
        <w:tabs>
          <w:tab w:val="left" w:pos="943"/>
        </w:tabs>
        <w:spacing w:before="121" w:after="0" w:line="240" w:lineRule="auto"/>
        <w:ind w:left="943" w:right="0" w:hanging="359"/>
        <w:jc w:val="left"/>
        <w:rPr>
          <w:rFonts w:ascii="Arial" w:hAnsi="Arial"/>
          <w:b/>
          <w:sz w:val="21"/>
        </w:rPr>
      </w:pPr>
      <w:r>
        <w:rPr>
          <w:rFonts w:ascii="Arial" w:hAnsi="Arial"/>
          <w:b/>
          <w:sz w:val="21"/>
        </w:rPr>
        <w:t>Worksheet</w:t>
      </w:r>
      <w:r>
        <w:rPr>
          <w:rFonts w:ascii="Arial" w:hAnsi="Arial"/>
          <w:b/>
          <w:spacing w:val="-10"/>
          <w:sz w:val="21"/>
        </w:rPr>
        <w:t xml:space="preserve"> 6</w:t>
      </w:r>
    </w:p>
    <w:p>
      <w:pPr>
        <w:pStyle w:val="BodyText"/>
        <w:spacing w:before="117"/>
      </w:pPr>
      <w:r>
        <w:t>Complete</w:t>
      </w:r>
      <w:r>
        <w:rPr>
          <w:spacing w:val="-1"/>
        </w:rPr>
        <w:t xml:space="preserve"> </w:t>
      </w:r>
      <w:r>
        <w:t>columns</w:t>
      </w:r>
      <w:r>
        <w:rPr>
          <w:spacing w:val="-1"/>
        </w:rPr>
        <w:t xml:space="preserve"> </w:t>
      </w:r>
      <w:r>
        <w:t>f,</w:t>
      </w:r>
      <w:r>
        <w:rPr>
          <w:spacing w:val="-1"/>
        </w:rPr>
        <w:t xml:space="preserve"> </w:t>
      </w:r>
      <w:r>
        <w:t>g, and</w:t>
      </w:r>
      <w:r>
        <w:rPr>
          <w:spacing w:val="-1"/>
        </w:rPr>
        <w:t xml:space="preserve"> </w:t>
      </w:r>
      <w:r>
        <w:t>h for</w:t>
      </w:r>
      <w:r>
        <w:rPr>
          <w:spacing w:val="-3"/>
        </w:rPr>
        <w:t xml:space="preserve"> </w:t>
      </w:r>
      <w:r>
        <w:t xml:space="preserve">all </w:t>
      </w:r>
      <w:r>
        <w:rPr>
          <w:spacing w:val="-2"/>
        </w:rPr>
        <w:t>plans.</w:t>
      </w:r>
    </w:p>
    <w:p>
      <w:pPr>
        <w:pStyle w:val="ListParagraph"/>
        <w:numPr>
          <w:ilvl w:val="0"/>
          <w:numId w:val="11"/>
        </w:numPr>
        <w:tabs>
          <w:tab w:val="left" w:pos="943"/>
        </w:tabs>
        <w:spacing w:before="121" w:after="0" w:line="240" w:lineRule="auto"/>
        <w:ind w:left="943" w:right="0" w:hanging="359"/>
        <w:jc w:val="left"/>
        <w:rPr>
          <w:rFonts w:ascii="Arial" w:hAnsi="Arial"/>
          <w:b/>
          <w:sz w:val="21"/>
        </w:rPr>
      </w:pPr>
      <w:r>
        <w:rPr>
          <w:rFonts w:ascii="Arial" w:hAnsi="Arial"/>
          <w:b/>
          <w:sz w:val="21"/>
        </w:rPr>
        <w:t>Worksheet</w:t>
      </w:r>
      <w:r>
        <w:rPr>
          <w:rFonts w:ascii="Arial" w:hAnsi="Arial"/>
          <w:b/>
          <w:spacing w:val="-10"/>
          <w:sz w:val="21"/>
        </w:rPr>
        <w:t xml:space="preserve"> 7</w:t>
      </w:r>
    </w:p>
    <w:p>
      <w:pPr>
        <w:pStyle w:val="BodyText"/>
      </w:pPr>
      <w:r>
        <w:t>Complete</w:t>
      </w:r>
      <w:r>
        <w:rPr>
          <w:spacing w:val="-2"/>
        </w:rPr>
        <w:t xml:space="preserve"> </w:t>
      </w:r>
      <w:r>
        <w:t>all</w:t>
      </w:r>
      <w:r>
        <w:rPr>
          <w:spacing w:val="-1"/>
        </w:rPr>
        <w:t xml:space="preserve"> </w:t>
      </w:r>
      <w:r>
        <w:t>sections for</w:t>
      </w:r>
      <w:r>
        <w:rPr>
          <w:spacing w:val="-1"/>
        </w:rPr>
        <w:t xml:space="preserve"> </w:t>
      </w:r>
      <w:r>
        <w:t>all</w:t>
      </w:r>
      <w:r>
        <w:rPr>
          <w:spacing w:val="-1"/>
        </w:rPr>
        <w:t xml:space="preserve"> </w:t>
      </w:r>
      <w:r>
        <w:rPr>
          <w:spacing w:val="-2"/>
        </w:rPr>
        <w:t>plans.</w:t>
      </w:r>
    </w:p>
    <w:p>
      <w:pPr>
        <w:spacing w:after="0"/>
        <w:sectPr>
          <w:headerReference w:type="default" r:id="rId19"/>
          <w:footerReference w:type="default" r:id="rId20"/>
          <w:pgSz w:w="12240" w:h="15840"/>
          <w:pgMar w:top="1340" w:right="1000" w:bottom="940" w:left="1360" w:header="727" w:footer="747"/>
          <w:cols w:space="720"/>
        </w:sectPr>
      </w:pPr>
    </w:p>
    <w:p>
      <w:pPr>
        <w:spacing w:before="87"/>
        <w:ind w:left="224" w:right="0" w:firstLine="0"/>
        <w:jc w:val="left"/>
        <w:rPr>
          <w:rFonts w:ascii="Arial"/>
          <w:b/>
          <w:sz w:val="21"/>
        </w:rPr>
      </w:pPr>
      <w:bookmarkStart w:id="50" w:name="Actuarially Equivalent Coverage"/>
      <w:bookmarkEnd w:id="50"/>
      <w:r>
        <w:rPr>
          <w:rFonts w:ascii="Arial"/>
          <w:b/>
          <w:sz w:val="21"/>
        </w:rPr>
        <w:t>Actuarially</w:t>
      </w:r>
      <w:r>
        <w:rPr>
          <w:rFonts w:ascii="Arial"/>
          <w:b/>
          <w:spacing w:val="-9"/>
          <w:sz w:val="21"/>
        </w:rPr>
        <w:t xml:space="preserve"> </w:t>
      </w:r>
      <w:r>
        <w:rPr>
          <w:rFonts w:ascii="Arial"/>
          <w:b/>
          <w:sz w:val="21"/>
        </w:rPr>
        <w:t>Equivalent</w:t>
      </w:r>
      <w:r>
        <w:rPr>
          <w:rFonts w:ascii="Arial"/>
          <w:b/>
          <w:spacing w:val="-9"/>
          <w:sz w:val="21"/>
        </w:rPr>
        <w:t xml:space="preserve"> </w:t>
      </w:r>
      <w:r>
        <w:rPr>
          <w:rFonts w:ascii="Arial"/>
          <w:b/>
          <w:spacing w:val="-2"/>
          <w:sz w:val="21"/>
        </w:rPr>
        <w:t>Coverage</w:t>
      </w:r>
    </w:p>
    <w:p>
      <w:pPr>
        <w:pStyle w:val="ListParagraph"/>
        <w:numPr>
          <w:ilvl w:val="0"/>
          <w:numId w:val="11"/>
        </w:numPr>
        <w:tabs>
          <w:tab w:val="left" w:pos="943"/>
        </w:tabs>
        <w:spacing w:before="121" w:after="0" w:line="240" w:lineRule="auto"/>
        <w:ind w:left="943" w:right="0" w:hanging="359"/>
        <w:jc w:val="left"/>
        <w:rPr>
          <w:rFonts w:ascii="Arial" w:hAnsi="Arial"/>
          <w:b/>
          <w:sz w:val="21"/>
        </w:rPr>
      </w:pPr>
      <w:r>
        <w:rPr>
          <w:rFonts w:ascii="Arial" w:hAnsi="Arial"/>
          <w:b/>
          <w:sz w:val="21"/>
        </w:rPr>
        <w:t>Worksheet</w:t>
      </w:r>
      <w:r>
        <w:rPr>
          <w:rFonts w:ascii="Arial" w:hAnsi="Arial"/>
          <w:b/>
          <w:spacing w:val="-13"/>
          <w:sz w:val="21"/>
        </w:rPr>
        <w:t xml:space="preserve"> </w:t>
      </w:r>
      <w:r>
        <w:rPr>
          <w:rFonts w:ascii="Arial" w:hAnsi="Arial"/>
          <w:b/>
          <w:spacing w:val="-10"/>
          <w:sz w:val="21"/>
        </w:rPr>
        <w:t>1</w:t>
      </w:r>
    </w:p>
    <w:p>
      <w:pPr>
        <w:pStyle w:val="BodyText"/>
        <w:spacing w:before="118"/>
        <w:ind w:right="425"/>
      </w:pPr>
      <w:r>
        <w:t>For</w:t>
      </w:r>
      <w:r>
        <w:rPr>
          <w:spacing w:val="-3"/>
        </w:rPr>
        <w:t xml:space="preserve"> </w:t>
      </w:r>
      <w:r>
        <w:t>all</w:t>
      </w:r>
      <w:r>
        <w:rPr>
          <w:spacing w:val="-3"/>
        </w:rPr>
        <w:t xml:space="preserve"> </w:t>
      </w:r>
      <w:r>
        <w:t>plans,</w:t>
      </w:r>
      <w:r>
        <w:rPr>
          <w:spacing w:val="-3"/>
        </w:rPr>
        <w:t xml:space="preserve"> </w:t>
      </w:r>
      <w:r>
        <w:t>complete</w:t>
      </w:r>
      <w:r>
        <w:rPr>
          <w:spacing w:val="-4"/>
        </w:rPr>
        <w:t xml:space="preserve"> </w:t>
      </w:r>
      <w:r>
        <w:t>Section</w:t>
      </w:r>
      <w:r>
        <w:rPr>
          <w:spacing w:val="-1"/>
        </w:rPr>
        <w:t xml:space="preserve"> </w:t>
      </w:r>
      <w:r>
        <w:t>I;</w:t>
      </w:r>
      <w:r>
        <w:rPr>
          <w:spacing w:val="-3"/>
        </w:rPr>
        <w:t xml:space="preserve"> </w:t>
      </w:r>
      <w:r>
        <w:t>for</w:t>
      </w:r>
      <w:r>
        <w:rPr>
          <w:spacing w:val="-3"/>
        </w:rPr>
        <w:t xml:space="preserve"> </w:t>
      </w:r>
      <w:r>
        <w:t>plans</w:t>
      </w:r>
      <w:r>
        <w:rPr>
          <w:spacing w:val="-3"/>
        </w:rPr>
        <w:t xml:space="preserve"> </w:t>
      </w:r>
      <w:r>
        <w:t>with</w:t>
      </w:r>
      <w:r>
        <w:rPr>
          <w:spacing w:val="-3"/>
        </w:rPr>
        <w:t xml:space="preserve"> </w:t>
      </w:r>
      <w:r>
        <w:t>claims</w:t>
      </w:r>
      <w:r>
        <w:rPr>
          <w:spacing w:val="-3"/>
        </w:rPr>
        <w:t xml:space="preserve"> </w:t>
      </w:r>
      <w:r>
        <w:t>experience</w:t>
      </w:r>
      <w:r>
        <w:rPr>
          <w:spacing w:val="-4"/>
        </w:rPr>
        <w:t xml:space="preserve"> </w:t>
      </w:r>
      <w:r>
        <w:t>in</w:t>
      </w:r>
      <w:r>
        <w:rPr>
          <w:spacing w:val="-3"/>
        </w:rPr>
        <w:t xml:space="preserve"> </w:t>
      </w:r>
      <w:r>
        <w:t>CY2024,</w:t>
      </w:r>
      <w:r>
        <w:rPr>
          <w:spacing w:val="-3"/>
        </w:rPr>
        <w:t xml:space="preserve"> </w:t>
      </w:r>
      <w:r>
        <w:t>complete all sections.</w:t>
      </w:r>
    </w:p>
    <w:p>
      <w:pPr>
        <w:pStyle w:val="ListParagraph"/>
        <w:numPr>
          <w:ilvl w:val="0"/>
          <w:numId w:val="11"/>
        </w:numPr>
        <w:tabs>
          <w:tab w:val="left" w:pos="943"/>
        </w:tabs>
        <w:spacing w:before="121" w:after="0" w:line="240" w:lineRule="auto"/>
        <w:ind w:left="943" w:right="0" w:hanging="359"/>
        <w:jc w:val="left"/>
        <w:rPr>
          <w:rFonts w:ascii="Arial" w:hAnsi="Arial"/>
          <w:b/>
          <w:sz w:val="21"/>
        </w:rPr>
      </w:pPr>
      <w:r>
        <w:rPr>
          <w:rFonts w:ascii="Arial" w:hAnsi="Arial"/>
          <w:b/>
          <w:sz w:val="21"/>
        </w:rPr>
        <w:t>Worksheet</w:t>
      </w:r>
      <w:r>
        <w:rPr>
          <w:rFonts w:ascii="Arial" w:hAnsi="Arial"/>
          <w:b/>
          <w:spacing w:val="-13"/>
          <w:sz w:val="21"/>
        </w:rPr>
        <w:t xml:space="preserve"> </w:t>
      </w:r>
      <w:r>
        <w:rPr>
          <w:rFonts w:ascii="Arial" w:hAnsi="Arial"/>
          <w:b/>
          <w:spacing w:val="-10"/>
          <w:sz w:val="21"/>
        </w:rPr>
        <w:t>2</w:t>
      </w:r>
    </w:p>
    <w:p>
      <w:pPr>
        <w:pStyle w:val="BodyText"/>
        <w:ind w:right="512"/>
      </w:pPr>
      <w:r>
        <w:t>For plans with fully credible claims experience in CY2024, complete Sections II and III; column o of Section IV; and Sections V, VII, and VIII. For plans with partially credible</w:t>
      </w:r>
      <w:r>
        <w:rPr>
          <w:spacing w:val="-5"/>
        </w:rPr>
        <w:t xml:space="preserve"> </w:t>
      </w:r>
      <w:r>
        <w:t>claims</w:t>
      </w:r>
      <w:r>
        <w:rPr>
          <w:spacing w:val="-4"/>
        </w:rPr>
        <w:t xml:space="preserve"> </w:t>
      </w:r>
      <w:r>
        <w:t>experience</w:t>
      </w:r>
      <w:r>
        <w:rPr>
          <w:spacing w:val="-5"/>
        </w:rPr>
        <w:t xml:space="preserve"> </w:t>
      </w:r>
      <w:r>
        <w:t>in</w:t>
      </w:r>
      <w:r>
        <w:rPr>
          <w:spacing w:val="-4"/>
        </w:rPr>
        <w:t xml:space="preserve"> </w:t>
      </w:r>
      <w:r>
        <w:t>CY2024,</w:t>
      </w:r>
      <w:r>
        <w:rPr>
          <w:spacing w:val="-4"/>
        </w:rPr>
        <w:t xml:space="preserve"> </w:t>
      </w:r>
      <w:r>
        <w:t>complete</w:t>
      </w:r>
      <w:r>
        <w:rPr>
          <w:spacing w:val="-4"/>
        </w:rPr>
        <w:t xml:space="preserve"> </w:t>
      </w:r>
      <w:r>
        <w:t>all</w:t>
      </w:r>
      <w:r>
        <w:rPr>
          <w:spacing w:val="-2"/>
        </w:rPr>
        <w:t xml:space="preserve"> </w:t>
      </w:r>
      <w:r>
        <w:t>sections.</w:t>
      </w:r>
      <w:r>
        <w:rPr>
          <w:spacing w:val="-4"/>
        </w:rPr>
        <w:t xml:space="preserve"> </w:t>
      </w:r>
      <w:r>
        <w:t>For</w:t>
      </w:r>
      <w:r>
        <w:rPr>
          <w:spacing w:val="-4"/>
        </w:rPr>
        <w:t xml:space="preserve"> </w:t>
      </w:r>
      <w:r>
        <w:t>new</w:t>
      </w:r>
      <w:r>
        <w:rPr>
          <w:spacing w:val="-4"/>
        </w:rPr>
        <w:t xml:space="preserve"> </w:t>
      </w:r>
      <w:r>
        <w:t>plans</w:t>
      </w:r>
      <w:r>
        <w:rPr>
          <w:spacing w:val="-1"/>
        </w:rPr>
        <w:t xml:space="preserve"> </w:t>
      </w:r>
      <w:r>
        <w:t>in</w:t>
      </w:r>
      <w:r>
        <w:rPr>
          <w:spacing w:val="-4"/>
        </w:rPr>
        <w:t xml:space="preserve"> </w:t>
      </w:r>
      <w:r>
        <w:t>CY2025 and CY2026, complete Sections IV, V, VII, and VIII.</w:t>
      </w:r>
    </w:p>
    <w:p>
      <w:pPr>
        <w:pStyle w:val="ListParagraph"/>
        <w:numPr>
          <w:ilvl w:val="0"/>
          <w:numId w:val="11"/>
        </w:numPr>
        <w:tabs>
          <w:tab w:val="left" w:pos="943"/>
        </w:tabs>
        <w:spacing w:before="121" w:after="0" w:line="240" w:lineRule="auto"/>
        <w:ind w:left="943" w:right="0" w:hanging="359"/>
        <w:jc w:val="left"/>
        <w:rPr>
          <w:rFonts w:ascii="Arial" w:hAnsi="Arial"/>
          <w:b/>
          <w:sz w:val="21"/>
        </w:rPr>
      </w:pPr>
      <w:r>
        <w:rPr>
          <w:rFonts w:ascii="Arial" w:hAnsi="Arial"/>
          <w:b/>
          <w:sz w:val="21"/>
        </w:rPr>
        <w:t>Worksheet</w:t>
      </w:r>
      <w:r>
        <w:rPr>
          <w:rFonts w:ascii="Arial" w:hAnsi="Arial"/>
          <w:b/>
          <w:spacing w:val="-13"/>
          <w:sz w:val="21"/>
        </w:rPr>
        <w:t xml:space="preserve"> </w:t>
      </w:r>
      <w:r>
        <w:rPr>
          <w:rFonts w:ascii="Arial" w:hAnsi="Arial"/>
          <w:b/>
          <w:spacing w:val="-10"/>
          <w:sz w:val="21"/>
        </w:rPr>
        <w:t>3</w:t>
      </w:r>
    </w:p>
    <w:p>
      <w:pPr>
        <w:pStyle w:val="BodyText"/>
        <w:spacing w:before="118"/>
      </w:pPr>
      <w:r>
        <w:t>Complete</w:t>
      </w:r>
      <w:r>
        <w:rPr>
          <w:spacing w:val="-2"/>
        </w:rPr>
        <w:t xml:space="preserve"> </w:t>
      </w:r>
      <w:r>
        <w:t>all</w:t>
      </w:r>
      <w:r>
        <w:rPr>
          <w:spacing w:val="-1"/>
        </w:rPr>
        <w:t xml:space="preserve"> </w:t>
      </w:r>
      <w:r>
        <w:t>sections for</w:t>
      </w:r>
      <w:r>
        <w:rPr>
          <w:spacing w:val="-1"/>
        </w:rPr>
        <w:t xml:space="preserve"> </w:t>
      </w:r>
      <w:r>
        <w:t>all</w:t>
      </w:r>
      <w:r>
        <w:rPr>
          <w:spacing w:val="-1"/>
        </w:rPr>
        <w:t xml:space="preserve"> </w:t>
      </w:r>
      <w:r>
        <w:rPr>
          <w:spacing w:val="-2"/>
        </w:rPr>
        <w:t>plans.</w:t>
      </w:r>
    </w:p>
    <w:p>
      <w:pPr>
        <w:pStyle w:val="ListParagraph"/>
        <w:numPr>
          <w:ilvl w:val="0"/>
          <w:numId w:val="11"/>
        </w:numPr>
        <w:tabs>
          <w:tab w:val="left" w:pos="943"/>
        </w:tabs>
        <w:spacing w:before="121" w:after="0" w:line="240" w:lineRule="auto"/>
        <w:ind w:left="943" w:right="0" w:hanging="359"/>
        <w:jc w:val="left"/>
        <w:rPr>
          <w:rFonts w:ascii="Arial" w:hAnsi="Arial"/>
          <w:b/>
          <w:sz w:val="21"/>
        </w:rPr>
      </w:pPr>
      <w:r>
        <w:rPr>
          <w:rFonts w:ascii="Arial" w:hAnsi="Arial"/>
          <w:b/>
          <w:sz w:val="21"/>
        </w:rPr>
        <w:t>Worksheet</w:t>
      </w:r>
      <w:r>
        <w:rPr>
          <w:rFonts w:ascii="Arial" w:hAnsi="Arial"/>
          <w:b/>
          <w:spacing w:val="-13"/>
          <w:sz w:val="21"/>
        </w:rPr>
        <w:t xml:space="preserve"> </w:t>
      </w:r>
      <w:r>
        <w:rPr>
          <w:rFonts w:ascii="Arial" w:hAnsi="Arial"/>
          <w:b/>
          <w:spacing w:val="-10"/>
          <w:sz w:val="21"/>
        </w:rPr>
        <w:t>4</w:t>
      </w:r>
    </w:p>
    <w:p>
      <w:pPr>
        <w:pStyle w:val="BodyText"/>
      </w:pPr>
      <w:r>
        <w:t>Complete</w:t>
      </w:r>
      <w:r>
        <w:rPr>
          <w:spacing w:val="-2"/>
        </w:rPr>
        <w:t xml:space="preserve"> </w:t>
      </w:r>
      <w:r>
        <w:t>all</w:t>
      </w:r>
      <w:r>
        <w:rPr>
          <w:spacing w:val="-1"/>
        </w:rPr>
        <w:t xml:space="preserve"> </w:t>
      </w:r>
      <w:r>
        <w:t>sections for</w:t>
      </w:r>
      <w:r>
        <w:rPr>
          <w:spacing w:val="-1"/>
        </w:rPr>
        <w:t xml:space="preserve"> </w:t>
      </w:r>
      <w:r>
        <w:t>all</w:t>
      </w:r>
      <w:r>
        <w:rPr>
          <w:spacing w:val="-1"/>
        </w:rPr>
        <w:t xml:space="preserve"> </w:t>
      </w:r>
      <w:r>
        <w:rPr>
          <w:spacing w:val="-2"/>
        </w:rPr>
        <w:t>plans.</w:t>
      </w:r>
    </w:p>
    <w:p>
      <w:pPr>
        <w:pStyle w:val="ListParagraph"/>
        <w:numPr>
          <w:ilvl w:val="0"/>
          <w:numId w:val="11"/>
        </w:numPr>
        <w:tabs>
          <w:tab w:val="left" w:pos="943"/>
        </w:tabs>
        <w:spacing w:before="121" w:after="0" w:line="240" w:lineRule="auto"/>
        <w:ind w:left="943" w:right="0" w:hanging="359"/>
        <w:jc w:val="left"/>
        <w:rPr>
          <w:rFonts w:ascii="Arial" w:hAnsi="Arial"/>
          <w:b/>
          <w:sz w:val="21"/>
        </w:rPr>
      </w:pPr>
      <w:r>
        <w:rPr>
          <w:rFonts w:ascii="Arial" w:hAnsi="Arial"/>
          <w:b/>
          <w:sz w:val="21"/>
        </w:rPr>
        <w:t>Worksheet</w:t>
      </w:r>
      <w:r>
        <w:rPr>
          <w:rFonts w:ascii="Arial" w:hAnsi="Arial"/>
          <w:b/>
          <w:spacing w:val="-10"/>
          <w:sz w:val="21"/>
        </w:rPr>
        <w:t xml:space="preserve"> 6</w:t>
      </w:r>
    </w:p>
    <w:p>
      <w:pPr>
        <w:pStyle w:val="BodyText"/>
      </w:pPr>
      <w:r>
        <w:t>Complete</w:t>
      </w:r>
      <w:r>
        <w:rPr>
          <w:spacing w:val="-1"/>
        </w:rPr>
        <w:t xml:space="preserve"> </w:t>
      </w:r>
      <w:r>
        <w:t>all</w:t>
      </w:r>
      <w:r>
        <w:rPr>
          <w:spacing w:val="-1"/>
        </w:rPr>
        <w:t xml:space="preserve"> </w:t>
      </w:r>
      <w:r>
        <w:t>columns</w:t>
      </w:r>
      <w:r>
        <w:rPr>
          <w:spacing w:val="-1"/>
        </w:rPr>
        <w:t xml:space="preserve"> </w:t>
      </w:r>
      <w:r>
        <w:t>for</w:t>
      </w:r>
      <w:r>
        <w:rPr>
          <w:spacing w:val="-2"/>
        </w:rPr>
        <w:t xml:space="preserve"> </w:t>
      </w:r>
      <w:r>
        <w:t>all</w:t>
      </w:r>
      <w:r>
        <w:rPr>
          <w:spacing w:val="-1"/>
        </w:rPr>
        <w:t xml:space="preserve"> </w:t>
      </w:r>
      <w:r>
        <w:rPr>
          <w:spacing w:val="-2"/>
        </w:rPr>
        <w:t>plans.</w:t>
      </w:r>
    </w:p>
    <w:p>
      <w:pPr>
        <w:pStyle w:val="ListParagraph"/>
        <w:numPr>
          <w:ilvl w:val="0"/>
          <w:numId w:val="11"/>
        </w:numPr>
        <w:tabs>
          <w:tab w:val="left" w:pos="943"/>
        </w:tabs>
        <w:spacing w:before="121" w:after="0" w:line="240" w:lineRule="auto"/>
        <w:ind w:left="943" w:right="0" w:hanging="359"/>
        <w:jc w:val="left"/>
        <w:rPr>
          <w:rFonts w:ascii="Arial" w:hAnsi="Arial"/>
          <w:b/>
          <w:sz w:val="21"/>
        </w:rPr>
      </w:pPr>
      <w:r>
        <w:rPr>
          <w:rFonts w:ascii="Arial" w:hAnsi="Arial"/>
          <w:b/>
          <w:sz w:val="21"/>
        </w:rPr>
        <w:t>Worksheet</w:t>
      </w:r>
      <w:r>
        <w:rPr>
          <w:rFonts w:ascii="Arial" w:hAnsi="Arial"/>
          <w:b/>
          <w:spacing w:val="-10"/>
          <w:sz w:val="21"/>
        </w:rPr>
        <w:t xml:space="preserve"> 7</w:t>
      </w:r>
    </w:p>
    <w:p>
      <w:pPr>
        <w:pStyle w:val="BodyText"/>
        <w:spacing w:before="118"/>
      </w:pPr>
      <w:r>
        <w:t>Complete</w:t>
      </w:r>
      <w:r>
        <w:rPr>
          <w:spacing w:val="-2"/>
        </w:rPr>
        <w:t xml:space="preserve"> </w:t>
      </w:r>
      <w:r>
        <w:t>all sections</w:t>
      </w:r>
      <w:r>
        <w:rPr>
          <w:spacing w:val="-1"/>
        </w:rPr>
        <w:t xml:space="preserve"> </w:t>
      </w:r>
      <w:r>
        <w:t>for</w:t>
      </w:r>
      <w:r>
        <w:rPr>
          <w:spacing w:val="-1"/>
        </w:rPr>
        <w:t xml:space="preserve"> </w:t>
      </w:r>
      <w:r>
        <w:t>all</w:t>
      </w:r>
      <w:r>
        <w:rPr>
          <w:spacing w:val="-1"/>
        </w:rPr>
        <w:t xml:space="preserve"> </w:t>
      </w:r>
      <w:r>
        <w:rPr>
          <w:spacing w:val="-2"/>
        </w:rPr>
        <w:t>plans.</w:t>
      </w:r>
    </w:p>
    <w:p>
      <w:pPr>
        <w:spacing w:before="240"/>
        <w:ind w:left="224" w:right="0" w:firstLine="0"/>
        <w:jc w:val="left"/>
        <w:rPr>
          <w:rFonts w:ascii="Arial"/>
          <w:b/>
          <w:sz w:val="21"/>
        </w:rPr>
      </w:pPr>
      <w:bookmarkStart w:id="51" w:name="Basic and Enhanced Alternative Coverage"/>
      <w:bookmarkEnd w:id="51"/>
      <w:r>
        <w:rPr>
          <w:rFonts w:ascii="Arial"/>
          <w:b/>
          <w:sz w:val="21"/>
        </w:rPr>
        <w:t>Basic</w:t>
      </w:r>
      <w:r>
        <w:rPr>
          <w:rFonts w:ascii="Arial"/>
          <w:b/>
          <w:spacing w:val="-9"/>
          <w:sz w:val="21"/>
        </w:rPr>
        <w:t xml:space="preserve"> </w:t>
      </w:r>
      <w:r>
        <w:rPr>
          <w:rFonts w:ascii="Arial"/>
          <w:b/>
          <w:sz w:val="21"/>
        </w:rPr>
        <w:t>and</w:t>
      </w:r>
      <w:r>
        <w:rPr>
          <w:rFonts w:ascii="Arial"/>
          <w:b/>
          <w:spacing w:val="-4"/>
          <w:sz w:val="21"/>
        </w:rPr>
        <w:t xml:space="preserve"> </w:t>
      </w:r>
      <w:r>
        <w:rPr>
          <w:rFonts w:ascii="Arial"/>
          <w:b/>
          <w:sz w:val="21"/>
        </w:rPr>
        <w:t>Enhanced</w:t>
      </w:r>
      <w:r>
        <w:rPr>
          <w:rFonts w:ascii="Arial"/>
          <w:b/>
          <w:spacing w:val="-7"/>
          <w:sz w:val="21"/>
        </w:rPr>
        <w:t xml:space="preserve"> </w:t>
      </w:r>
      <w:r>
        <w:rPr>
          <w:rFonts w:ascii="Arial"/>
          <w:b/>
          <w:sz w:val="21"/>
        </w:rPr>
        <w:t>Alternative</w:t>
      </w:r>
      <w:r>
        <w:rPr>
          <w:rFonts w:ascii="Arial"/>
          <w:b/>
          <w:spacing w:val="-7"/>
          <w:sz w:val="21"/>
        </w:rPr>
        <w:t xml:space="preserve"> </w:t>
      </w:r>
      <w:r>
        <w:rPr>
          <w:rFonts w:ascii="Arial"/>
          <w:b/>
          <w:spacing w:val="-2"/>
          <w:sz w:val="21"/>
        </w:rPr>
        <w:t>Coverage</w:t>
      </w:r>
    </w:p>
    <w:p>
      <w:pPr>
        <w:pStyle w:val="ListParagraph"/>
        <w:numPr>
          <w:ilvl w:val="0"/>
          <w:numId w:val="11"/>
        </w:numPr>
        <w:tabs>
          <w:tab w:val="left" w:pos="943"/>
        </w:tabs>
        <w:spacing w:before="121" w:after="0" w:line="240" w:lineRule="auto"/>
        <w:ind w:left="943" w:right="0" w:hanging="359"/>
        <w:jc w:val="left"/>
        <w:rPr>
          <w:rFonts w:ascii="Arial" w:hAnsi="Arial"/>
          <w:b/>
          <w:sz w:val="21"/>
        </w:rPr>
      </w:pPr>
      <w:r>
        <w:rPr>
          <w:rFonts w:ascii="Arial" w:hAnsi="Arial"/>
          <w:b/>
          <w:sz w:val="21"/>
        </w:rPr>
        <w:t>Worksheet</w:t>
      </w:r>
      <w:r>
        <w:rPr>
          <w:rFonts w:ascii="Arial" w:hAnsi="Arial"/>
          <w:b/>
          <w:spacing w:val="-13"/>
          <w:sz w:val="21"/>
        </w:rPr>
        <w:t xml:space="preserve"> </w:t>
      </w:r>
      <w:r>
        <w:rPr>
          <w:rFonts w:ascii="Arial" w:hAnsi="Arial"/>
          <w:b/>
          <w:spacing w:val="-10"/>
          <w:sz w:val="21"/>
        </w:rPr>
        <w:t>1</w:t>
      </w:r>
    </w:p>
    <w:p>
      <w:pPr>
        <w:pStyle w:val="BodyText"/>
        <w:spacing w:before="118"/>
        <w:ind w:right="425"/>
      </w:pPr>
      <w:r>
        <w:t>For</w:t>
      </w:r>
      <w:r>
        <w:rPr>
          <w:spacing w:val="-3"/>
        </w:rPr>
        <w:t xml:space="preserve"> </w:t>
      </w:r>
      <w:r>
        <w:t>all</w:t>
      </w:r>
      <w:r>
        <w:rPr>
          <w:spacing w:val="-3"/>
        </w:rPr>
        <w:t xml:space="preserve"> </w:t>
      </w:r>
      <w:r>
        <w:t>plans,</w:t>
      </w:r>
      <w:r>
        <w:rPr>
          <w:spacing w:val="-3"/>
        </w:rPr>
        <w:t xml:space="preserve"> </w:t>
      </w:r>
      <w:r>
        <w:t>complete</w:t>
      </w:r>
      <w:r>
        <w:rPr>
          <w:spacing w:val="-4"/>
        </w:rPr>
        <w:t xml:space="preserve"> </w:t>
      </w:r>
      <w:r>
        <w:t>Section</w:t>
      </w:r>
      <w:r>
        <w:rPr>
          <w:spacing w:val="-1"/>
        </w:rPr>
        <w:t xml:space="preserve"> </w:t>
      </w:r>
      <w:r>
        <w:t>I;</w:t>
      </w:r>
      <w:r>
        <w:rPr>
          <w:spacing w:val="-3"/>
        </w:rPr>
        <w:t xml:space="preserve"> </w:t>
      </w:r>
      <w:r>
        <w:t>for</w:t>
      </w:r>
      <w:r>
        <w:rPr>
          <w:spacing w:val="-3"/>
        </w:rPr>
        <w:t xml:space="preserve"> </w:t>
      </w:r>
      <w:r>
        <w:t>plans</w:t>
      </w:r>
      <w:r>
        <w:rPr>
          <w:spacing w:val="-3"/>
        </w:rPr>
        <w:t xml:space="preserve"> </w:t>
      </w:r>
      <w:r>
        <w:t>with</w:t>
      </w:r>
      <w:r>
        <w:rPr>
          <w:spacing w:val="-3"/>
        </w:rPr>
        <w:t xml:space="preserve"> </w:t>
      </w:r>
      <w:r>
        <w:t>claims</w:t>
      </w:r>
      <w:r>
        <w:rPr>
          <w:spacing w:val="-3"/>
        </w:rPr>
        <w:t xml:space="preserve"> </w:t>
      </w:r>
      <w:r>
        <w:t>experience</w:t>
      </w:r>
      <w:r>
        <w:rPr>
          <w:spacing w:val="-4"/>
        </w:rPr>
        <w:t xml:space="preserve"> </w:t>
      </w:r>
      <w:r>
        <w:t>in</w:t>
      </w:r>
      <w:r>
        <w:rPr>
          <w:spacing w:val="-3"/>
        </w:rPr>
        <w:t xml:space="preserve"> </w:t>
      </w:r>
      <w:r>
        <w:t>CY2024,</w:t>
      </w:r>
      <w:r>
        <w:rPr>
          <w:spacing w:val="-3"/>
        </w:rPr>
        <w:t xml:space="preserve"> </w:t>
      </w:r>
      <w:r>
        <w:t>complete all sections.</w:t>
      </w:r>
    </w:p>
    <w:p>
      <w:pPr>
        <w:pStyle w:val="ListParagraph"/>
        <w:numPr>
          <w:ilvl w:val="0"/>
          <w:numId w:val="11"/>
        </w:numPr>
        <w:tabs>
          <w:tab w:val="left" w:pos="943"/>
        </w:tabs>
        <w:spacing w:before="121" w:after="0" w:line="240" w:lineRule="auto"/>
        <w:ind w:left="943" w:right="0" w:hanging="359"/>
        <w:jc w:val="left"/>
        <w:rPr>
          <w:rFonts w:ascii="Arial" w:hAnsi="Arial"/>
          <w:b/>
          <w:sz w:val="21"/>
        </w:rPr>
      </w:pPr>
      <w:r>
        <w:rPr>
          <w:rFonts w:ascii="Arial" w:hAnsi="Arial"/>
          <w:b/>
          <w:sz w:val="21"/>
        </w:rPr>
        <w:t>Worksheet</w:t>
      </w:r>
      <w:r>
        <w:rPr>
          <w:rFonts w:ascii="Arial" w:hAnsi="Arial"/>
          <w:b/>
          <w:spacing w:val="-13"/>
          <w:sz w:val="21"/>
        </w:rPr>
        <w:t xml:space="preserve"> </w:t>
      </w:r>
      <w:r>
        <w:rPr>
          <w:rFonts w:ascii="Arial" w:hAnsi="Arial"/>
          <w:b/>
          <w:spacing w:val="-10"/>
          <w:sz w:val="21"/>
        </w:rPr>
        <w:t>2</w:t>
      </w:r>
    </w:p>
    <w:p>
      <w:pPr>
        <w:pStyle w:val="BodyText"/>
        <w:spacing w:before="121"/>
        <w:ind w:right="425"/>
      </w:pPr>
      <w:r>
        <w:t>For plans with fully credible claims experience in CY2024, complete Sections II, III, column</w:t>
      </w:r>
      <w:r>
        <w:rPr>
          <w:spacing w:val="-3"/>
        </w:rPr>
        <w:t xml:space="preserve"> </w:t>
      </w:r>
      <w:r>
        <w:t>o</w:t>
      </w:r>
      <w:r>
        <w:rPr>
          <w:spacing w:val="-3"/>
        </w:rPr>
        <w:t xml:space="preserve"> </w:t>
      </w:r>
      <w:r>
        <w:t>of</w:t>
      </w:r>
      <w:r>
        <w:rPr>
          <w:spacing w:val="-3"/>
        </w:rPr>
        <w:t xml:space="preserve"> </w:t>
      </w:r>
      <w:r>
        <w:t>Section</w:t>
      </w:r>
      <w:r>
        <w:rPr>
          <w:spacing w:val="-2"/>
        </w:rPr>
        <w:t xml:space="preserve"> </w:t>
      </w:r>
      <w:r>
        <w:t>IV;</w:t>
      </w:r>
      <w:r>
        <w:rPr>
          <w:spacing w:val="-2"/>
        </w:rPr>
        <w:t xml:space="preserve"> </w:t>
      </w:r>
      <w:r>
        <w:t>and</w:t>
      </w:r>
      <w:r>
        <w:rPr>
          <w:spacing w:val="-3"/>
        </w:rPr>
        <w:t xml:space="preserve"> </w:t>
      </w:r>
      <w:r>
        <w:t>Sections</w:t>
      </w:r>
      <w:r>
        <w:rPr>
          <w:spacing w:val="-2"/>
        </w:rPr>
        <w:t xml:space="preserve"> </w:t>
      </w:r>
      <w:r>
        <w:t>V,</w:t>
      </w:r>
      <w:r>
        <w:rPr>
          <w:spacing w:val="-3"/>
        </w:rPr>
        <w:t xml:space="preserve"> </w:t>
      </w:r>
      <w:r>
        <w:t>VII,</w:t>
      </w:r>
      <w:r>
        <w:rPr>
          <w:spacing w:val="-2"/>
        </w:rPr>
        <w:t xml:space="preserve"> </w:t>
      </w:r>
      <w:r>
        <w:t>and</w:t>
      </w:r>
      <w:r>
        <w:rPr>
          <w:spacing w:val="-2"/>
        </w:rPr>
        <w:t xml:space="preserve"> </w:t>
      </w:r>
      <w:r>
        <w:t>VIII;</w:t>
      </w:r>
      <w:r>
        <w:rPr>
          <w:spacing w:val="-3"/>
        </w:rPr>
        <w:t xml:space="preserve"> </w:t>
      </w:r>
      <w:r>
        <w:t>for</w:t>
      </w:r>
      <w:r>
        <w:rPr>
          <w:spacing w:val="-4"/>
        </w:rPr>
        <w:t xml:space="preserve"> </w:t>
      </w:r>
      <w:r>
        <w:t>plans</w:t>
      </w:r>
      <w:r>
        <w:rPr>
          <w:spacing w:val="-3"/>
        </w:rPr>
        <w:t xml:space="preserve"> </w:t>
      </w:r>
      <w:r>
        <w:t>with</w:t>
      </w:r>
      <w:r>
        <w:rPr>
          <w:spacing w:val="-3"/>
        </w:rPr>
        <w:t xml:space="preserve"> </w:t>
      </w:r>
      <w:r>
        <w:t>partially</w:t>
      </w:r>
      <w:r>
        <w:rPr>
          <w:spacing w:val="-3"/>
        </w:rPr>
        <w:t xml:space="preserve"> </w:t>
      </w:r>
      <w:r>
        <w:t>credible claims experience in CY2024, complete all sections. For new plans for CY2025 and CY2026, complete Sections IV, V, VII, and VIII.</w:t>
      </w:r>
    </w:p>
    <w:p>
      <w:pPr>
        <w:pStyle w:val="ListParagraph"/>
        <w:numPr>
          <w:ilvl w:val="0"/>
          <w:numId w:val="11"/>
        </w:numPr>
        <w:tabs>
          <w:tab w:val="left" w:pos="943"/>
        </w:tabs>
        <w:spacing w:before="120" w:after="0" w:line="240" w:lineRule="auto"/>
        <w:ind w:left="943" w:right="0" w:hanging="359"/>
        <w:jc w:val="left"/>
        <w:rPr>
          <w:rFonts w:ascii="Arial" w:hAnsi="Arial"/>
          <w:b/>
          <w:sz w:val="21"/>
        </w:rPr>
      </w:pPr>
      <w:r>
        <w:rPr>
          <w:rFonts w:ascii="Arial" w:hAnsi="Arial"/>
          <w:b/>
          <w:sz w:val="21"/>
        </w:rPr>
        <w:t>Worksheet</w:t>
      </w:r>
      <w:r>
        <w:rPr>
          <w:rFonts w:ascii="Arial" w:hAnsi="Arial"/>
          <w:b/>
          <w:spacing w:val="-13"/>
          <w:sz w:val="21"/>
        </w:rPr>
        <w:t xml:space="preserve"> </w:t>
      </w:r>
      <w:r>
        <w:rPr>
          <w:rFonts w:ascii="Arial" w:hAnsi="Arial"/>
          <w:b/>
          <w:spacing w:val="-10"/>
          <w:sz w:val="21"/>
        </w:rPr>
        <w:t>3</w:t>
      </w:r>
    </w:p>
    <w:p>
      <w:pPr>
        <w:pStyle w:val="BodyText"/>
        <w:spacing w:before="121"/>
      </w:pPr>
      <w:r>
        <w:t>Complete</w:t>
      </w:r>
      <w:r>
        <w:rPr>
          <w:spacing w:val="-2"/>
        </w:rPr>
        <w:t xml:space="preserve"> </w:t>
      </w:r>
      <w:r>
        <w:t>all</w:t>
      </w:r>
      <w:r>
        <w:rPr>
          <w:spacing w:val="-1"/>
        </w:rPr>
        <w:t xml:space="preserve"> </w:t>
      </w:r>
      <w:r>
        <w:t>sections for</w:t>
      </w:r>
      <w:r>
        <w:rPr>
          <w:spacing w:val="-1"/>
        </w:rPr>
        <w:t xml:space="preserve"> </w:t>
      </w:r>
      <w:r>
        <w:t>all</w:t>
      </w:r>
      <w:r>
        <w:rPr>
          <w:spacing w:val="-1"/>
        </w:rPr>
        <w:t xml:space="preserve"> </w:t>
      </w:r>
      <w:r>
        <w:rPr>
          <w:spacing w:val="-2"/>
        </w:rPr>
        <w:t>plans.</w:t>
      </w:r>
    </w:p>
    <w:p>
      <w:pPr>
        <w:pStyle w:val="ListParagraph"/>
        <w:numPr>
          <w:ilvl w:val="0"/>
          <w:numId w:val="11"/>
        </w:numPr>
        <w:tabs>
          <w:tab w:val="left" w:pos="943"/>
        </w:tabs>
        <w:spacing w:before="120" w:after="0" w:line="240" w:lineRule="auto"/>
        <w:ind w:left="943" w:right="0" w:hanging="359"/>
        <w:jc w:val="left"/>
        <w:rPr>
          <w:rFonts w:ascii="Arial" w:hAnsi="Arial"/>
          <w:b/>
          <w:sz w:val="21"/>
        </w:rPr>
      </w:pPr>
      <w:r>
        <w:rPr>
          <w:rFonts w:ascii="Arial" w:hAnsi="Arial"/>
          <w:b/>
          <w:sz w:val="21"/>
        </w:rPr>
        <w:t>Worksheet</w:t>
      </w:r>
      <w:r>
        <w:rPr>
          <w:rFonts w:ascii="Arial" w:hAnsi="Arial"/>
          <w:b/>
          <w:spacing w:val="-10"/>
          <w:sz w:val="21"/>
        </w:rPr>
        <w:t xml:space="preserve"> 5</w:t>
      </w:r>
    </w:p>
    <w:p>
      <w:pPr>
        <w:pStyle w:val="BodyText"/>
        <w:spacing w:before="118"/>
      </w:pPr>
      <w:r>
        <w:t>Complete</w:t>
      </w:r>
      <w:r>
        <w:rPr>
          <w:spacing w:val="-1"/>
        </w:rPr>
        <w:t xml:space="preserve"> </w:t>
      </w:r>
      <w:r>
        <w:t>all</w:t>
      </w:r>
      <w:r>
        <w:rPr>
          <w:spacing w:val="-1"/>
        </w:rPr>
        <w:t xml:space="preserve"> </w:t>
      </w:r>
      <w:r>
        <w:t>columns</w:t>
      </w:r>
      <w:r>
        <w:rPr>
          <w:spacing w:val="-1"/>
        </w:rPr>
        <w:t xml:space="preserve"> </w:t>
      </w:r>
      <w:r>
        <w:t>for</w:t>
      </w:r>
      <w:r>
        <w:rPr>
          <w:spacing w:val="-2"/>
        </w:rPr>
        <w:t xml:space="preserve"> </w:t>
      </w:r>
      <w:r>
        <w:t>all</w:t>
      </w:r>
      <w:r>
        <w:rPr>
          <w:spacing w:val="-1"/>
        </w:rPr>
        <w:t xml:space="preserve"> </w:t>
      </w:r>
      <w:r>
        <w:rPr>
          <w:spacing w:val="-2"/>
        </w:rPr>
        <w:t>plans.</w:t>
      </w:r>
    </w:p>
    <w:p>
      <w:pPr>
        <w:pStyle w:val="ListParagraph"/>
        <w:numPr>
          <w:ilvl w:val="0"/>
          <w:numId w:val="11"/>
        </w:numPr>
        <w:tabs>
          <w:tab w:val="left" w:pos="943"/>
        </w:tabs>
        <w:spacing w:before="121" w:after="0" w:line="240" w:lineRule="auto"/>
        <w:ind w:left="943" w:right="0" w:hanging="359"/>
        <w:jc w:val="left"/>
        <w:rPr>
          <w:rFonts w:ascii="Arial" w:hAnsi="Arial"/>
          <w:b/>
          <w:sz w:val="21"/>
        </w:rPr>
      </w:pPr>
      <w:r>
        <w:rPr>
          <w:rFonts w:ascii="Arial" w:hAnsi="Arial"/>
          <w:b/>
          <w:sz w:val="21"/>
        </w:rPr>
        <w:t>Worksheet</w:t>
      </w:r>
      <w:r>
        <w:rPr>
          <w:rFonts w:ascii="Arial" w:hAnsi="Arial"/>
          <w:b/>
          <w:spacing w:val="-10"/>
          <w:sz w:val="21"/>
        </w:rPr>
        <w:t xml:space="preserve"> 6</w:t>
      </w:r>
    </w:p>
    <w:p>
      <w:pPr>
        <w:pStyle w:val="BodyText"/>
        <w:spacing w:before="121"/>
      </w:pPr>
      <w:r>
        <w:t>Complete</w:t>
      </w:r>
      <w:r>
        <w:rPr>
          <w:spacing w:val="-1"/>
        </w:rPr>
        <w:t xml:space="preserve"> </w:t>
      </w:r>
      <w:r>
        <w:t>all</w:t>
      </w:r>
      <w:r>
        <w:rPr>
          <w:spacing w:val="-2"/>
        </w:rPr>
        <w:t xml:space="preserve"> </w:t>
      </w:r>
      <w:r>
        <w:t>columns</w:t>
      </w:r>
      <w:r>
        <w:rPr>
          <w:spacing w:val="-1"/>
        </w:rPr>
        <w:t xml:space="preserve"> </w:t>
      </w:r>
      <w:r>
        <w:t>for</w:t>
      </w:r>
      <w:r>
        <w:rPr>
          <w:spacing w:val="-2"/>
        </w:rPr>
        <w:t xml:space="preserve"> </w:t>
      </w:r>
      <w:r>
        <w:t>all</w:t>
      </w:r>
      <w:r>
        <w:rPr>
          <w:spacing w:val="-1"/>
        </w:rPr>
        <w:t xml:space="preserve"> </w:t>
      </w:r>
      <w:r>
        <w:rPr>
          <w:spacing w:val="-2"/>
        </w:rPr>
        <w:t>plans.</w:t>
      </w:r>
    </w:p>
    <w:p>
      <w:pPr>
        <w:pStyle w:val="ListParagraph"/>
        <w:numPr>
          <w:ilvl w:val="0"/>
          <w:numId w:val="11"/>
        </w:numPr>
        <w:tabs>
          <w:tab w:val="left" w:pos="943"/>
        </w:tabs>
        <w:spacing w:before="120" w:after="0" w:line="240" w:lineRule="auto"/>
        <w:ind w:left="943" w:right="0" w:hanging="359"/>
        <w:jc w:val="left"/>
        <w:rPr>
          <w:rFonts w:ascii="Arial" w:hAnsi="Arial"/>
          <w:b/>
          <w:sz w:val="21"/>
        </w:rPr>
      </w:pPr>
      <w:r>
        <w:rPr>
          <w:rFonts w:ascii="Arial" w:hAnsi="Arial"/>
          <w:b/>
          <w:sz w:val="21"/>
        </w:rPr>
        <w:t>Worksheet</w:t>
      </w:r>
      <w:r>
        <w:rPr>
          <w:rFonts w:ascii="Arial" w:hAnsi="Arial"/>
          <w:b/>
          <w:spacing w:val="-10"/>
          <w:sz w:val="21"/>
        </w:rPr>
        <w:t xml:space="preserve"> 7</w:t>
      </w:r>
    </w:p>
    <w:p>
      <w:pPr>
        <w:pStyle w:val="BodyText"/>
        <w:spacing w:before="118"/>
      </w:pPr>
      <w:r>
        <w:t>Complete</w:t>
      </w:r>
      <w:r>
        <w:rPr>
          <w:spacing w:val="-2"/>
        </w:rPr>
        <w:t xml:space="preserve"> </w:t>
      </w:r>
      <w:r>
        <w:t>all</w:t>
      </w:r>
      <w:r>
        <w:rPr>
          <w:spacing w:val="-1"/>
        </w:rPr>
        <w:t xml:space="preserve"> </w:t>
      </w:r>
      <w:r>
        <w:t>sections for</w:t>
      </w:r>
      <w:r>
        <w:rPr>
          <w:spacing w:val="-1"/>
        </w:rPr>
        <w:t xml:space="preserve"> </w:t>
      </w:r>
      <w:r>
        <w:t>all</w:t>
      </w:r>
      <w:r>
        <w:rPr>
          <w:spacing w:val="-1"/>
        </w:rPr>
        <w:t xml:space="preserve"> </w:t>
      </w:r>
      <w:r>
        <w:rPr>
          <w:spacing w:val="-2"/>
        </w:rPr>
        <w:t>plans.</w:t>
      </w:r>
    </w:p>
    <w:p>
      <w:pPr>
        <w:spacing w:after="0"/>
        <w:sectPr>
          <w:pgSz w:w="12240" w:h="15840"/>
          <w:pgMar w:top="1340" w:right="1000" w:bottom="940" w:left="1360" w:header="727" w:footer="747"/>
          <w:cols w:space="720"/>
        </w:sectPr>
      </w:pPr>
    </w:p>
    <w:p>
      <w:pPr>
        <w:spacing w:before="87"/>
        <w:ind w:left="224" w:right="0" w:firstLine="0"/>
        <w:jc w:val="left"/>
        <w:rPr>
          <w:rFonts w:ascii="Arial"/>
          <w:b/>
          <w:sz w:val="21"/>
        </w:rPr>
      </w:pPr>
      <w:bookmarkStart w:id="52" w:name="Data Entry"/>
      <w:bookmarkEnd w:id="52"/>
      <w:r>
        <w:rPr>
          <w:rFonts w:ascii="Arial"/>
          <w:b/>
          <w:sz w:val="21"/>
        </w:rPr>
        <w:t>Data</w:t>
      </w:r>
      <w:r>
        <w:rPr>
          <w:rFonts w:ascii="Arial"/>
          <w:b/>
          <w:spacing w:val="-6"/>
          <w:sz w:val="21"/>
        </w:rPr>
        <w:t xml:space="preserve"> </w:t>
      </w:r>
      <w:r>
        <w:rPr>
          <w:rFonts w:ascii="Arial"/>
          <w:b/>
          <w:spacing w:val="-2"/>
          <w:sz w:val="21"/>
        </w:rPr>
        <w:t>Entry</w:t>
      </w:r>
    </w:p>
    <w:p>
      <w:pPr>
        <w:pStyle w:val="BodyText"/>
        <w:spacing w:before="121"/>
        <w:ind w:left="224" w:right="478"/>
      </w:pPr>
      <w:r>
        <w:t>Do</w:t>
      </w:r>
      <w:r>
        <w:rPr>
          <w:spacing w:val="-3"/>
        </w:rPr>
        <w:t xml:space="preserve"> </w:t>
      </w:r>
      <w:r>
        <w:t>not</w:t>
      </w:r>
      <w:r>
        <w:rPr>
          <w:spacing w:val="-3"/>
        </w:rPr>
        <w:t xml:space="preserve"> </w:t>
      </w:r>
      <w:r>
        <w:t>leave</w:t>
      </w:r>
      <w:r>
        <w:rPr>
          <w:spacing w:val="-4"/>
        </w:rPr>
        <w:t xml:space="preserve"> </w:t>
      </w:r>
      <w:r>
        <w:t>a</w:t>
      </w:r>
      <w:r>
        <w:rPr>
          <w:spacing w:val="-2"/>
        </w:rPr>
        <w:t xml:space="preserve"> </w:t>
      </w:r>
      <w:r>
        <w:t>field</w:t>
      </w:r>
      <w:r>
        <w:rPr>
          <w:spacing w:val="-3"/>
        </w:rPr>
        <w:t xml:space="preserve"> </w:t>
      </w:r>
      <w:r>
        <w:t>blank</w:t>
      </w:r>
      <w:r>
        <w:rPr>
          <w:spacing w:val="-3"/>
        </w:rPr>
        <w:t xml:space="preserve"> </w:t>
      </w:r>
      <w:r>
        <w:t>to</w:t>
      </w:r>
      <w:r>
        <w:rPr>
          <w:spacing w:val="-3"/>
        </w:rPr>
        <w:t xml:space="preserve"> </w:t>
      </w:r>
      <w:r>
        <w:t>indicate</w:t>
      </w:r>
      <w:r>
        <w:rPr>
          <w:spacing w:val="-3"/>
        </w:rPr>
        <w:t xml:space="preserve"> </w:t>
      </w:r>
      <w:r>
        <w:t>a</w:t>
      </w:r>
      <w:r>
        <w:rPr>
          <w:spacing w:val="-5"/>
        </w:rPr>
        <w:t xml:space="preserve"> </w:t>
      </w:r>
      <w:r>
        <w:t>zero</w:t>
      </w:r>
      <w:r>
        <w:rPr>
          <w:spacing w:val="-3"/>
        </w:rPr>
        <w:t xml:space="preserve"> </w:t>
      </w:r>
      <w:r>
        <w:t>amount.</w:t>
      </w:r>
      <w:r>
        <w:rPr>
          <w:spacing w:val="-1"/>
        </w:rPr>
        <w:t xml:space="preserve"> </w:t>
      </w:r>
      <w:r>
        <w:t>If</w:t>
      </w:r>
      <w:r>
        <w:rPr>
          <w:spacing w:val="-2"/>
        </w:rPr>
        <w:t xml:space="preserve"> </w:t>
      </w:r>
      <w:r>
        <w:t>zero</w:t>
      </w:r>
      <w:r>
        <w:rPr>
          <w:spacing w:val="-3"/>
        </w:rPr>
        <w:t xml:space="preserve"> </w:t>
      </w:r>
      <w:r>
        <w:t>is</w:t>
      </w:r>
      <w:r>
        <w:rPr>
          <w:spacing w:val="-3"/>
        </w:rPr>
        <w:t xml:space="preserve"> </w:t>
      </w:r>
      <w:r>
        <w:t>the</w:t>
      </w:r>
      <w:r>
        <w:rPr>
          <w:spacing w:val="-3"/>
        </w:rPr>
        <w:t xml:space="preserve"> </w:t>
      </w:r>
      <w:r>
        <w:t>intended</w:t>
      </w:r>
      <w:r>
        <w:rPr>
          <w:spacing w:val="-1"/>
        </w:rPr>
        <w:t xml:space="preserve"> </w:t>
      </w:r>
      <w:r>
        <w:t>value,</w:t>
      </w:r>
      <w:r>
        <w:rPr>
          <w:spacing w:val="-3"/>
        </w:rPr>
        <w:t xml:space="preserve"> </w:t>
      </w:r>
      <w:r>
        <w:t>then</w:t>
      </w:r>
      <w:r>
        <w:rPr>
          <w:spacing w:val="-3"/>
        </w:rPr>
        <w:t xml:space="preserve"> </w:t>
      </w:r>
      <w:r>
        <w:t>enter</w:t>
      </w:r>
      <w:r>
        <w:rPr>
          <w:spacing w:val="-3"/>
        </w:rPr>
        <w:t xml:space="preserve"> </w:t>
      </w:r>
      <w:r>
        <w:t>a “0” in the cell.</w:t>
      </w:r>
    </w:p>
    <w:p>
      <w:pPr>
        <w:spacing w:after="0"/>
        <w:sectPr>
          <w:pgSz w:w="12240" w:h="15840"/>
          <w:pgMar w:top="1340" w:right="1000" w:bottom="940" w:left="1360" w:header="727" w:footer="747"/>
          <w:cols w:space="720"/>
        </w:sectPr>
      </w:pPr>
    </w:p>
    <w:p>
      <w:pPr>
        <w:pStyle w:val="Heading1"/>
        <w:tabs>
          <w:tab w:val="left" w:pos="9110"/>
        </w:tabs>
        <w:ind w:left="411"/>
        <w:rPr>
          <w:u w:val="none"/>
        </w:rPr>
      </w:pPr>
      <w:bookmarkStart w:id="53" w:name="PD Worksheet 1 – Rx Base Period Experien"/>
      <w:bookmarkEnd w:id="53"/>
      <w:bookmarkStart w:id="54" w:name="_bookmark24"/>
      <w:bookmarkEnd w:id="54"/>
      <w:r>
        <w:rPr>
          <w:spacing w:val="-52"/>
          <w:u w:val="single"/>
        </w:rPr>
        <w:t xml:space="preserve"> </w:t>
      </w:r>
      <w:r>
        <w:rPr>
          <w:u w:val="single"/>
        </w:rPr>
        <w:t>PD</w:t>
      </w:r>
      <w:r>
        <w:rPr>
          <w:spacing w:val="-4"/>
          <w:u w:val="single"/>
        </w:rPr>
        <w:t xml:space="preserve"> </w:t>
      </w:r>
      <w:r>
        <w:rPr>
          <w:u w:val="single"/>
        </w:rPr>
        <w:t>WORKSHEET</w:t>
      </w:r>
      <w:r>
        <w:rPr>
          <w:spacing w:val="-5"/>
          <w:u w:val="single"/>
        </w:rPr>
        <w:t xml:space="preserve"> </w:t>
      </w:r>
      <w:r>
        <w:rPr>
          <w:u w:val="single"/>
        </w:rPr>
        <w:t>1 –</w:t>
      </w:r>
      <w:r>
        <w:rPr>
          <w:spacing w:val="-5"/>
          <w:u w:val="single"/>
        </w:rPr>
        <w:t xml:space="preserve"> </w:t>
      </w:r>
      <w:r>
        <w:rPr>
          <w:u w:val="single"/>
        </w:rPr>
        <w:t>RX</w:t>
      </w:r>
      <w:r>
        <w:rPr>
          <w:spacing w:val="-6"/>
          <w:u w:val="single"/>
        </w:rPr>
        <w:t xml:space="preserve"> </w:t>
      </w:r>
      <w:r>
        <w:rPr>
          <w:u w:val="single"/>
        </w:rPr>
        <w:t>BASE</w:t>
      </w:r>
      <w:r>
        <w:rPr>
          <w:spacing w:val="-2"/>
          <w:u w:val="single"/>
        </w:rPr>
        <w:t xml:space="preserve"> </w:t>
      </w:r>
      <w:r>
        <w:rPr>
          <w:u w:val="single"/>
        </w:rPr>
        <w:t>PERIOD</w:t>
      </w:r>
      <w:r>
        <w:rPr>
          <w:spacing w:val="-3"/>
          <w:u w:val="single"/>
        </w:rPr>
        <w:t xml:space="preserve"> </w:t>
      </w:r>
      <w:r>
        <w:rPr>
          <w:spacing w:val="-2"/>
          <w:u w:val="single"/>
        </w:rPr>
        <w:t>EXPERIENCE</w:t>
      </w:r>
      <w:r>
        <w:rPr>
          <w:u w:val="single"/>
        </w:rPr>
        <w:tab/>
      </w:r>
    </w:p>
    <w:p>
      <w:pPr>
        <w:pStyle w:val="BodyText"/>
        <w:spacing w:before="271"/>
        <w:ind w:left="440" w:right="655"/>
      </w:pPr>
      <w:r>
        <w:t>Worksheet</w:t>
      </w:r>
      <w:r>
        <w:rPr>
          <w:spacing w:val="-4"/>
        </w:rPr>
        <w:t xml:space="preserve"> </w:t>
      </w:r>
      <w:r>
        <w:t>1</w:t>
      </w:r>
      <w:r>
        <w:rPr>
          <w:spacing w:val="-2"/>
        </w:rPr>
        <w:t xml:space="preserve"> </w:t>
      </w:r>
      <w:r>
        <w:t>contains</w:t>
      </w:r>
      <w:r>
        <w:rPr>
          <w:spacing w:val="-4"/>
        </w:rPr>
        <w:t xml:space="preserve"> </w:t>
      </w:r>
      <w:r>
        <w:t>general</w:t>
      </w:r>
      <w:r>
        <w:rPr>
          <w:spacing w:val="-4"/>
        </w:rPr>
        <w:t xml:space="preserve"> </w:t>
      </w:r>
      <w:r>
        <w:t>information</w:t>
      </w:r>
      <w:r>
        <w:rPr>
          <w:spacing w:val="-4"/>
        </w:rPr>
        <w:t xml:space="preserve"> </w:t>
      </w:r>
      <w:r>
        <w:t>about</w:t>
      </w:r>
      <w:r>
        <w:rPr>
          <w:spacing w:val="-4"/>
        </w:rPr>
        <w:t xml:space="preserve"> </w:t>
      </w:r>
      <w:r>
        <w:t>the</w:t>
      </w:r>
      <w:r>
        <w:rPr>
          <w:spacing w:val="-5"/>
        </w:rPr>
        <w:t xml:space="preserve"> </w:t>
      </w:r>
      <w:r>
        <w:t>plan</w:t>
      </w:r>
      <w:r>
        <w:rPr>
          <w:spacing w:val="-4"/>
        </w:rPr>
        <w:t xml:space="preserve"> </w:t>
      </w:r>
      <w:r>
        <w:t>and</w:t>
      </w:r>
      <w:r>
        <w:rPr>
          <w:spacing w:val="-4"/>
        </w:rPr>
        <w:t xml:space="preserve"> </w:t>
      </w:r>
      <w:r>
        <w:t>summarizes</w:t>
      </w:r>
      <w:r>
        <w:rPr>
          <w:spacing w:val="-4"/>
        </w:rPr>
        <w:t xml:space="preserve"> </w:t>
      </w:r>
      <w:r>
        <w:t>the</w:t>
      </w:r>
      <w:r>
        <w:rPr>
          <w:spacing w:val="-4"/>
        </w:rPr>
        <w:t xml:space="preserve"> </w:t>
      </w:r>
      <w:r>
        <w:t>base</w:t>
      </w:r>
      <w:r>
        <w:rPr>
          <w:spacing w:val="-5"/>
        </w:rPr>
        <w:t xml:space="preserve"> </w:t>
      </w:r>
      <w:r>
        <w:t>period Rx experience. Specifically, Section I collects general information about the plan that is displayed on all Part D BPT worksheets; Section II collects base period background information; Section III summarizes the base period Rx experience; Sections IV and V summarize components of the base period non-benefit expense and premium revenue, respectively; Section VI collects base period Inflation Reduction Act (IRA) drug experience; Section VII is an Income Statement Summary; and Section VIII collects</w:t>
      </w:r>
    </w:p>
    <w:p>
      <w:pPr>
        <w:pStyle w:val="BodyText"/>
        <w:spacing w:before="0"/>
        <w:ind w:left="440"/>
      </w:pPr>
      <w:r>
        <w:t>DIR</w:t>
      </w:r>
      <w:r>
        <w:rPr>
          <w:spacing w:val="-2"/>
        </w:rPr>
        <w:t xml:space="preserve"> </w:t>
      </w:r>
      <w:r>
        <w:t>#10</w:t>
      </w:r>
      <w:r>
        <w:rPr>
          <w:spacing w:val="-1"/>
        </w:rPr>
        <w:t xml:space="preserve"> </w:t>
      </w:r>
      <w:r>
        <w:rPr>
          <w:spacing w:val="-2"/>
        </w:rPr>
        <w:t>Experience.</w:t>
      </w:r>
    </w:p>
    <w:p>
      <w:pPr>
        <w:pStyle w:val="BodyText"/>
        <w:ind w:left="440" w:right="655"/>
      </w:pPr>
      <w:r>
        <w:t>Section I must be fully completed for all plans. (Note that some fields may be pre- populated</w:t>
      </w:r>
      <w:r>
        <w:rPr>
          <w:spacing w:val="-3"/>
        </w:rPr>
        <w:t xml:space="preserve"> </w:t>
      </w:r>
      <w:r>
        <w:t>by</w:t>
      </w:r>
      <w:r>
        <w:rPr>
          <w:spacing w:val="-3"/>
        </w:rPr>
        <w:t xml:space="preserve"> </w:t>
      </w:r>
      <w:r>
        <w:t>the</w:t>
      </w:r>
      <w:r>
        <w:rPr>
          <w:spacing w:val="-3"/>
        </w:rPr>
        <w:t xml:space="preserve"> </w:t>
      </w:r>
      <w:r>
        <w:t>PBP</w:t>
      </w:r>
      <w:r>
        <w:rPr>
          <w:spacing w:val="-3"/>
        </w:rPr>
        <w:t xml:space="preserve"> </w:t>
      </w:r>
      <w:r>
        <w:t>software.)</w:t>
      </w:r>
      <w:r>
        <w:rPr>
          <w:spacing w:val="-3"/>
        </w:rPr>
        <w:t xml:space="preserve"> </w:t>
      </w:r>
      <w:r>
        <w:t>Sections</w:t>
      </w:r>
      <w:r>
        <w:rPr>
          <w:spacing w:val="-1"/>
        </w:rPr>
        <w:t xml:space="preserve"> </w:t>
      </w:r>
      <w:r>
        <w:t>II</w:t>
      </w:r>
      <w:r>
        <w:rPr>
          <w:spacing w:val="-5"/>
        </w:rPr>
        <w:t xml:space="preserve"> </w:t>
      </w:r>
      <w:r>
        <w:t>through</w:t>
      </w:r>
      <w:r>
        <w:rPr>
          <w:spacing w:val="-3"/>
        </w:rPr>
        <w:t xml:space="preserve"> </w:t>
      </w:r>
      <w:r>
        <w:t>VIII</w:t>
      </w:r>
      <w:r>
        <w:rPr>
          <w:spacing w:val="-6"/>
        </w:rPr>
        <w:t xml:space="preserve"> </w:t>
      </w:r>
      <w:r>
        <w:t>must</w:t>
      </w:r>
      <w:r>
        <w:rPr>
          <w:spacing w:val="-3"/>
        </w:rPr>
        <w:t xml:space="preserve"> </w:t>
      </w:r>
      <w:r>
        <w:t>be</w:t>
      </w:r>
      <w:r>
        <w:rPr>
          <w:spacing w:val="-3"/>
        </w:rPr>
        <w:t xml:space="preserve"> </w:t>
      </w:r>
      <w:r>
        <w:t>completed</w:t>
      </w:r>
      <w:r>
        <w:rPr>
          <w:spacing w:val="-3"/>
        </w:rPr>
        <w:t xml:space="preserve"> </w:t>
      </w:r>
      <w:r>
        <w:t>for</w:t>
      </w:r>
      <w:r>
        <w:rPr>
          <w:spacing w:val="-4"/>
        </w:rPr>
        <w:t xml:space="preserve"> </w:t>
      </w:r>
      <w:r>
        <w:t>all</w:t>
      </w:r>
      <w:r>
        <w:rPr>
          <w:spacing w:val="-3"/>
        </w:rPr>
        <w:t xml:space="preserve"> </w:t>
      </w:r>
      <w:r>
        <w:t>plans with experience data for 2024 regardless of the level of enrollment.</w:t>
      </w:r>
    </w:p>
    <w:p>
      <w:pPr>
        <w:pStyle w:val="BodyText"/>
        <w:spacing w:before="45"/>
        <w:ind w:left="0"/>
      </w:pPr>
    </w:p>
    <w:p>
      <w:pPr>
        <w:pStyle w:val="Heading2"/>
      </w:pPr>
      <w:bookmarkStart w:id="55" w:name="Section I – General Information"/>
      <w:bookmarkEnd w:id="55"/>
      <w:bookmarkStart w:id="56" w:name="_bookmark25"/>
      <w:bookmarkEnd w:id="56"/>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77"/>
        <w:ind w:left="440" w:right="979"/>
      </w:pPr>
      <w:r>
        <w:t>The</w:t>
      </w:r>
      <w:r>
        <w:rPr>
          <w:spacing w:val="-5"/>
        </w:rPr>
        <w:t xml:space="preserve"> </w:t>
      </w:r>
      <w:r>
        <w:t>fields</w:t>
      </w:r>
      <w:r>
        <w:rPr>
          <w:spacing w:val="-4"/>
        </w:rPr>
        <w:t xml:space="preserve"> </w:t>
      </w:r>
      <w:r>
        <w:t>of</w:t>
      </w:r>
      <w:r>
        <w:rPr>
          <w:spacing w:val="-3"/>
        </w:rPr>
        <w:t xml:space="preserve"> </w:t>
      </w:r>
      <w:r>
        <w:t>Section</w:t>
      </w:r>
      <w:r>
        <w:rPr>
          <w:spacing w:val="-1"/>
        </w:rPr>
        <w:t xml:space="preserve"> </w:t>
      </w:r>
      <w:r>
        <w:t>I</w:t>
      </w:r>
      <w:r>
        <w:rPr>
          <w:spacing w:val="-7"/>
        </w:rPr>
        <w:t xml:space="preserve"> </w:t>
      </w:r>
      <w:r>
        <w:t>have</w:t>
      </w:r>
      <w:r>
        <w:rPr>
          <w:spacing w:val="-4"/>
        </w:rPr>
        <w:t xml:space="preserve"> </w:t>
      </w:r>
      <w:r>
        <w:t>been</w:t>
      </w:r>
      <w:r>
        <w:rPr>
          <w:spacing w:val="-3"/>
        </w:rPr>
        <w:t xml:space="preserve"> </w:t>
      </w:r>
      <w:r>
        <w:t>formatted</w:t>
      </w:r>
      <w:r>
        <w:rPr>
          <w:spacing w:val="-3"/>
        </w:rPr>
        <w:t xml:space="preserve"> </w:t>
      </w:r>
      <w:r>
        <w:t>as</w:t>
      </w:r>
      <w:r>
        <w:rPr>
          <w:spacing w:val="-4"/>
        </w:rPr>
        <w:t xml:space="preserve"> </w:t>
      </w:r>
      <w:r>
        <w:t>the</w:t>
      </w:r>
      <w:r>
        <w:rPr>
          <w:spacing w:val="-2"/>
        </w:rPr>
        <w:t xml:space="preserve"> </w:t>
      </w:r>
      <w:r>
        <w:t>“General”</w:t>
      </w:r>
      <w:r>
        <w:rPr>
          <w:spacing w:val="-2"/>
        </w:rPr>
        <w:t xml:space="preserve"> </w:t>
      </w:r>
      <w:r>
        <w:t>format</w:t>
      </w:r>
      <w:r>
        <w:rPr>
          <w:spacing w:val="-3"/>
        </w:rPr>
        <w:t xml:space="preserve"> </w:t>
      </w:r>
      <w:r>
        <w:t>in</w:t>
      </w:r>
      <w:r>
        <w:rPr>
          <w:spacing w:val="-3"/>
        </w:rPr>
        <w:t xml:space="preserve"> </w:t>
      </w:r>
      <w:r>
        <w:t>Excel</w:t>
      </w:r>
      <w:r>
        <w:rPr>
          <w:spacing w:val="-3"/>
        </w:rPr>
        <w:t xml:space="preserve"> </w:t>
      </w:r>
      <w:r>
        <w:t>to</w:t>
      </w:r>
      <w:r>
        <w:rPr>
          <w:spacing w:val="-3"/>
        </w:rPr>
        <w:t xml:space="preserve"> </w:t>
      </w:r>
      <w:r>
        <w:t>support the link functionality to other spreadsheets. Therefore, certain numeric fields, such as Plan ID, Segment ID and Region Number, must be entered as text–that is, using a preceding apostrophe–and must include any leading zeroes.</w:t>
      </w:r>
    </w:p>
    <w:p>
      <w:pPr>
        <w:spacing w:before="241"/>
        <w:ind w:left="440" w:right="0" w:firstLine="0"/>
        <w:jc w:val="left"/>
        <w:rPr>
          <w:rFonts w:ascii="Arial" w:hAnsi="Arial"/>
          <w:b/>
          <w:sz w:val="21"/>
        </w:rPr>
      </w:pPr>
      <w:bookmarkStart w:id="57" w:name="Line 1 – Contract Number"/>
      <w:bookmarkEnd w:id="57"/>
      <w:r>
        <w:rPr>
          <w:rFonts w:ascii="Arial" w:hAnsi="Arial"/>
          <w:b/>
          <w:sz w:val="21"/>
        </w:rPr>
        <w:t>Line</w:t>
      </w:r>
      <w:r>
        <w:rPr>
          <w:rFonts w:ascii="Arial" w:hAnsi="Arial"/>
          <w:b/>
          <w:spacing w:val="-4"/>
          <w:sz w:val="21"/>
        </w:rPr>
        <w:t xml:space="preserve"> </w:t>
      </w:r>
      <w:r>
        <w:rPr>
          <w:rFonts w:ascii="Arial" w:hAnsi="Arial"/>
          <w:b/>
          <w:sz w:val="21"/>
        </w:rPr>
        <w:t>1</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Contract</w:t>
      </w:r>
      <w:r>
        <w:rPr>
          <w:rFonts w:ascii="Arial" w:hAnsi="Arial"/>
          <w:b/>
          <w:spacing w:val="-5"/>
          <w:sz w:val="21"/>
        </w:rPr>
        <w:t xml:space="preserve"> </w:t>
      </w:r>
      <w:r>
        <w:rPr>
          <w:rFonts w:ascii="Arial" w:hAnsi="Arial"/>
          <w:b/>
          <w:spacing w:val="-2"/>
          <w:sz w:val="21"/>
        </w:rPr>
        <w:t>Number</w:t>
      </w:r>
    </w:p>
    <w:p>
      <w:pPr>
        <w:pStyle w:val="BodyText"/>
        <w:ind w:left="440" w:right="979"/>
      </w:pPr>
      <w:r>
        <w:t>Enter the contract number for the plan. The designation begins with a capital letter H (local</w:t>
      </w:r>
      <w:r>
        <w:rPr>
          <w:spacing w:val="-5"/>
        </w:rPr>
        <w:t xml:space="preserve"> </w:t>
      </w:r>
      <w:r>
        <w:t>plan),</w:t>
      </w:r>
      <w:r>
        <w:rPr>
          <w:spacing w:val="-5"/>
        </w:rPr>
        <w:t xml:space="preserve"> </w:t>
      </w:r>
      <w:r>
        <w:t>R</w:t>
      </w:r>
      <w:r>
        <w:rPr>
          <w:spacing w:val="-5"/>
        </w:rPr>
        <w:t xml:space="preserve"> </w:t>
      </w:r>
      <w:r>
        <w:t>(regional</w:t>
      </w:r>
      <w:r>
        <w:rPr>
          <w:spacing w:val="-3"/>
        </w:rPr>
        <w:t xml:space="preserve"> </w:t>
      </w:r>
      <w:r>
        <w:t>Preferred</w:t>
      </w:r>
      <w:r>
        <w:rPr>
          <w:spacing w:val="-5"/>
        </w:rPr>
        <w:t xml:space="preserve"> </w:t>
      </w:r>
      <w:r>
        <w:t>Provider</w:t>
      </w:r>
      <w:r>
        <w:rPr>
          <w:spacing w:val="-4"/>
        </w:rPr>
        <w:t xml:space="preserve"> </w:t>
      </w:r>
      <w:r>
        <w:t>Organization</w:t>
      </w:r>
      <w:r>
        <w:rPr>
          <w:spacing w:val="-5"/>
        </w:rPr>
        <w:t xml:space="preserve"> </w:t>
      </w:r>
      <w:r>
        <w:t>plan),</w:t>
      </w:r>
      <w:r>
        <w:rPr>
          <w:spacing w:val="-5"/>
        </w:rPr>
        <w:t xml:space="preserve"> </w:t>
      </w:r>
      <w:r>
        <w:t>or</w:t>
      </w:r>
      <w:r>
        <w:rPr>
          <w:spacing w:val="-2"/>
        </w:rPr>
        <w:t xml:space="preserve"> </w:t>
      </w:r>
      <w:r>
        <w:t>S</w:t>
      </w:r>
      <w:r>
        <w:rPr>
          <w:spacing w:val="-5"/>
        </w:rPr>
        <w:t xml:space="preserve"> </w:t>
      </w:r>
      <w:r>
        <w:t>(Prescription</w:t>
      </w:r>
      <w:r>
        <w:rPr>
          <w:spacing w:val="-5"/>
        </w:rPr>
        <w:t xml:space="preserve"> </w:t>
      </w:r>
      <w:r>
        <w:t>Drug Plan)</w:t>
      </w:r>
      <w:r>
        <w:rPr>
          <w:spacing w:val="-3"/>
        </w:rPr>
        <w:t xml:space="preserve"> </w:t>
      </w:r>
      <w:r>
        <w:t>and</w:t>
      </w:r>
      <w:r>
        <w:rPr>
          <w:spacing w:val="-3"/>
        </w:rPr>
        <w:t xml:space="preserve"> </w:t>
      </w:r>
      <w:r>
        <w:t>includes</w:t>
      </w:r>
      <w:r>
        <w:rPr>
          <w:spacing w:val="-3"/>
        </w:rPr>
        <w:t xml:space="preserve"> </w:t>
      </w:r>
      <w:r>
        <w:t>four</w:t>
      </w:r>
      <w:r>
        <w:rPr>
          <w:spacing w:val="-3"/>
        </w:rPr>
        <w:t xml:space="preserve"> </w:t>
      </w:r>
      <w:r>
        <w:t>Arabic</w:t>
      </w:r>
      <w:r>
        <w:rPr>
          <w:spacing w:val="-3"/>
        </w:rPr>
        <w:t xml:space="preserve"> </w:t>
      </w:r>
      <w:r>
        <w:t>numerals</w:t>
      </w:r>
      <w:r>
        <w:rPr>
          <w:spacing w:val="-3"/>
        </w:rPr>
        <w:t xml:space="preserve"> </w:t>
      </w:r>
      <w:r>
        <w:t>(for</w:t>
      </w:r>
      <w:r>
        <w:rPr>
          <w:spacing w:val="-3"/>
        </w:rPr>
        <w:t xml:space="preserve"> </w:t>
      </w:r>
      <w:r>
        <w:t>example,</w:t>
      </w:r>
      <w:r>
        <w:rPr>
          <w:spacing w:val="-3"/>
        </w:rPr>
        <w:t xml:space="preserve"> </w:t>
      </w:r>
      <w:r>
        <w:t>H9999,</w:t>
      </w:r>
      <w:r>
        <w:rPr>
          <w:spacing w:val="-3"/>
        </w:rPr>
        <w:t xml:space="preserve"> </w:t>
      </w:r>
      <w:r>
        <w:t>R9999,</w:t>
      </w:r>
      <w:r>
        <w:rPr>
          <w:spacing w:val="-1"/>
        </w:rPr>
        <w:t xml:space="preserve"> </w:t>
      </w:r>
      <w:r>
        <w:t>S9999). Include all leading zeroes (for example, H0001).</w:t>
      </w:r>
    </w:p>
    <w:p>
      <w:pPr>
        <w:spacing w:before="241"/>
        <w:ind w:left="440" w:right="0" w:firstLine="0"/>
        <w:jc w:val="left"/>
        <w:rPr>
          <w:rFonts w:ascii="Arial" w:hAnsi="Arial"/>
          <w:b/>
          <w:sz w:val="21"/>
        </w:rPr>
      </w:pPr>
      <w:bookmarkStart w:id="58" w:name="Line 2 – Plan ID"/>
      <w:bookmarkEnd w:id="58"/>
      <w:r>
        <w:rPr>
          <w:rFonts w:ascii="Arial" w:hAnsi="Arial"/>
          <w:b/>
          <w:sz w:val="21"/>
        </w:rPr>
        <w:t>Line</w:t>
      </w:r>
      <w:r>
        <w:rPr>
          <w:rFonts w:ascii="Arial" w:hAnsi="Arial"/>
          <w:b/>
          <w:spacing w:val="-3"/>
          <w:sz w:val="21"/>
        </w:rPr>
        <w:t xml:space="preserve"> </w:t>
      </w:r>
      <w:r>
        <w:rPr>
          <w:rFonts w:ascii="Arial" w:hAnsi="Arial"/>
          <w:b/>
          <w:sz w:val="21"/>
        </w:rPr>
        <w:t>2</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Plan</w:t>
      </w:r>
      <w:r>
        <w:rPr>
          <w:rFonts w:ascii="Arial" w:hAnsi="Arial"/>
          <w:b/>
          <w:spacing w:val="-2"/>
          <w:sz w:val="21"/>
        </w:rPr>
        <w:t xml:space="preserve"> </w:t>
      </w:r>
      <w:r>
        <w:rPr>
          <w:rFonts w:ascii="Arial" w:hAnsi="Arial"/>
          <w:b/>
          <w:spacing w:val="-5"/>
          <w:sz w:val="21"/>
        </w:rPr>
        <w:t>ID</w:t>
      </w:r>
    </w:p>
    <w:p>
      <w:pPr>
        <w:pStyle w:val="BodyText"/>
        <w:spacing w:before="121"/>
        <w:ind w:left="440" w:right="904"/>
      </w:pPr>
      <w:r>
        <w:t>The plan ID and corresponding contract number form a unique identifier for the PBP being</w:t>
      </w:r>
      <w:r>
        <w:rPr>
          <w:spacing w:val="-3"/>
        </w:rPr>
        <w:t xml:space="preserve"> </w:t>
      </w:r>
      <w:r>
        <w:t>priced</w:t>
      </w:r>
      <w:r>
        <w:rPr>
          <w:spacing w:val="-3"/>
        </w:rPr>
        <w:t xml:space="preserve"> </w:t>
      </w:r>
      <w:r>
        <w:t>in</w:t>
      </w:r>
      <w:r>
        <w:rPr>
          <w:spacing w:val="-3"/>
        </w:rPr>
        <w:t xml:space="preserve"> </w:t>
      </w:r>
      <w:r>
        <w:t>the</w:t>
      </w:r>
      <w:r>
        <w:rPr>
          <w:spacing w:val="-4"/>
        </w:rPr>
        <w:t xml:space="preserve"> </w:t>
      </w:r>
      <w:r>
        <w:t>bid</w:t>
      </w:r>
      <w:r>
        <w:rPr>
          <w:spacing w:val="-3"/>
        </w:rPr>
        <w:t xml:space="preserve"> </w:t>
      </w:r>
      <w:r>
        <w:t>form.</w:t>
      </w:r>
      <w:r>
        <w:rPr>
          <w:spacing w:val="-2"/>
        </w:rPr>
        <w:t xml:space="preserve"> </w:t>
      </w:r>
      <w:r>
        <w:t>Plan</w:t>
      </w:r>
      <w:r>
        <w:rPr>
          <w:spacing w:val="-3"/>
        </w:rPr>
        <w:t xml:space="preserve"> </w:t>
      </w:r>
      <w:r>
        <w:t>IDs</w:t>
      </w:r>
      <w:r>
        <w:rPr>
          <w:spacing w:val="-2"/>
        </w:rPr>
        <w:t xml:space="preserve"> </w:t>
      </w:r>
      <w:r>
        <w:t>contain</w:t>
      </w:r>
      <w:r>
        <w:rPr>
          <w:spacing w:val="-3"/>
        </w:rPr>
        <w:t xml:space="preserve"> </w:t>
      </w:r>
      <w:r>
        <w:t>three</w:t>
      </w:r>
      <w:r>
        <w:rPr>
          <w:spacing w:val="-4"/>
        </w:rPr>
        <w:t xml:space="preserve"> </w:t>
      </w:r>
      <w:r>
        <w:t>Arabic</w:t>
      </w:r>
      <w:r>
        <w:rPr>
          <w:spacing w:val="-3"/>
        </w:rPr>
        <w:t xml:space="preserve"> </w:t>
      </w:r>
      <w:r>
        <w:t>numerals.</w:t>
      </w:r>
      <w:r>
        <w:rPr>
          <w:spacing w:val="-1"/>
        </w:rPr>
        <w:t xml:space="preserve"> </w:t>
      </w:r>
      <w:r>
        <w:t>This</w:t>
      </w:r>
      <w:r>
        <w:rPr>
          <w:spacing w:val="-3"/>
        </w:rPr>
        <w:t xml:space="preserve"> </w:t>
      </w:r>
      <w:r>
        <w:t>field</w:t>
      </w:r>
      <w:r>
        <w:rPr>
          <w:spacing w:val="-3"/>
        </w:rPr>
        <w:t xml:space="preserve"> </w:t>
      </w:r>
      <w:r>
        <w:t>must</w:t>
      </w:r>
      <w:r>
        <w:rPr>
          <w:spacing w:val="-3"/>
        </w:rPr>
        <w:t xml:space="preserve"> </w:t>
      </w:r>
      <w:r>
        <w:t>be entered as a text input and must include any leading zeroes.</w:t>
      </w:r>
    </w:p>
    <w:p>
      <w:pPr>
        <w:spacing w:before="240"/>
        <w:ind w:left="440" w:right="0" w:firstLine="0"/>
        <w:jc w:val="left"/>
        <w:rPr>
          <w:rFonts w:ascii="Arial" w:hAnsi="Arial"/>
          <w:b/>
          <w:sz w:val="21"/>
        </w:rPr>
      </w:pPr>
      <w:bookmarkStart w:id="59" w:name="Line 3 – Segment ID"/>
      <w:bookmarkEnd w:id="59"/>
      <w:r>
        <w:rPr>
          <w:rFonts w:ascii="Arial" w:hAnsi="Arial"/>
          <w:b/>
          <w:sz w:val="21"/>
        </w:rPr>
        <w:t>Line</w:t>
      </w:r>
      <w:r>
        <w:rPr>
          <w:rFonts w:ascii="Arial" w:hAnsi="Arial"/>
          <w:b/>
          <w:spacing w:val="-3"/>
          <w:sz w:val="21"/>
        </w:rPr>
        <w:t xml:space="preserve"> </w:t>
      </w:r>
      <w:r>
        <w:rPr>
          <w:rFonts w:ascii="Arial" w:hAnsi="Arial"/>
          <w:b/>
          <w:sz w:val="21"/>
        </w:rPr>
        <w:t>3</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Segment</w:t>
      </w:r>
      <w:r>
        <w:rPr>
          <w:rFonts w:ascii="Arial" w:hAnsi="Arial"/>
          <w:b/>
          <w:spacing w:val="-3"/>
          <w:sz w:val="21"/>
        </w:rPr>
        <w:t xml:space="preserve"> </w:t>
      </w:r>
      <w:r>
        <w:rPr>
          <w:rFonts w:ascii="Arial" w:hAnsi="Arial"/>
          <w:b/>
          <w:spacing w:val="-5"/>
          <w:sz w:val="21"/>
        </w:rPr>
        <w:t>ID</w:t>
      </w:r>
    </w:p>
    <w:p>
      <w:pPr>
        <w:pStyle w:val="BodyText"/>
        <w:spacing w:before="118"/>
        <w:ind w:left="440" w:right="904"/>
      </w:pPr>
      <w:r>
        <w:t>If</w:t>
      </w:r>
      <w:r>
        <w:rPr>
          <w:spacing w:val="-4"/>
        </w:rPr>
        <w:t xml:space="preserve"> </w:t>
      </w:r>
      <w:r>
        <w:t>the</w:t>
      </w:r>
      <w:r>
        <w:rPr>
          <w:spacing w:val="-2"/>
        </w:rPr>
        <w:t xml:space="preserve"> </w:t>
      </w:r>
      <w:r>
        <w:t>bid</w:t>
      </w:r>
      <w:r>
        <w:rPr>
          <w:spacing w:val="-2"/>
        </w:rPr>
        <w:t xml:space="preserve"> </w:t>
      </w:r>
      <w:r>
        <w:t>is</w:t>
      </w:r>
      <w:r>
        <w:rPr>
          <w:spacing w:val="-3"/>
        </w:rPr>
        <w:t xml:space="preserve"> </w:t>
      </w:r>
      <w:r>
        <w:t>for</w:t>
      </w:r>
      <w:r>
        <w:rPr>
          <w:spacing w:val="-3"/>
        </w:rPr>
        <w:t xml:space="preserve"> </w:t>
      </w:r>
      <w:r>
        <w:t>a</w:t>
      </w:r>
      <w:r>
        <w:rPr>
          <w:spacing w:val="-2"/>
        </w:rPr>
        <w:t xml:space="preserve"> </w:t>
      </w:r>
      <w:r>
        <w:t>“service</w:t>
      </w:r>
      <w:r>
        <w:rPr>
          <w:spacing w:val="-2"/>
        </w:rPr>
        <w:t xml:space="preserve"> </w:t>
      </w:r>
      <w:r>
        <w:t>area</w:t>
      </w:r>
      <w:r>
        <w:rPr>
          <w:spacing w:val="-3"/>
        </w:rPr>
        <w:t xml:space="preserve"> </w:t>
      </w:r>
      <w:r>
        <w:t>segment”</w:t>
      </w:r>
      <w:r>
        <w:rPr>
          <w:spacing w:val="-3"/>
        </w:rPr>
        <w:t xml:space="preserve"> </w:t>
      </w:r>
      <w:r>
        <w:t>of</w:t>
      </w:r>
      <w:r>
        <w:rPr>
          <w:spacing w:val="-2"/>
        </w:rPr>
        <w:t xml:space="preserve"> </w:t>
      </w:r>
      <w:r>
        <w:t>a</w:t>
      </w:r>
      <w:r>
        <w:rPr>
          <w:spacing w:val="-3"/>
        </w:rPr>
        <w:t xml:space="preserve"> </w:t>
      </w:r>
      <w:r>
        <w:t>local</w:t>
      </w:r>
      <w:r>
        <w:rPr>
          <w:spacing w:val="-1"/>
        </w:rPr>
        <w:t xml:space="preserve"> </w:t>
      </w:r>
      <w:r>
        <w:t>plan,</w:t>
      </w:r>
      <w:r>
        <w:rPr>
          <w:spacing w:val="-2"/>
        </w:rPr>
        <w:t xml:space="preserve"> </w:t>
      </w:r>
      <w:r>
        <w:t>enter</w:t>
      </w:r>
      <w:r>
        <w:rPr>
          <w:spacing w:val="-4"/>
        </w:rPr>
        <w:t xml:space="preserve"> </w:t>
      </w:r>
      <w:r>
        <w:t>the</w:t>
      </w:r>
      <w:r>
        <w:rPr>
          <w:spacing w:val="-2"/>
        </w:rPr>
        <w:t xml:space="preserve"> </w:t>
      </w:r>
      <w:r>
        <w:t>segment</w:t>
      </w:r>
      <w:r>
        <w:rPr>
          <w:spacing w:val="-1"/>
        </w:rPr>
        <w:t xml:space="preserve"> </w:t>
      </w:r>
      <w:r>
        <w:t>ID.</w:t>
      </w:r>
      <w:r>
        <w:rPr>
          <w:spacing w:val="-2"/>
        </w:rPr>
        <w:t xml:space="preserve"> </w:t>
      </w:r>
      <w:r>
        <w:t>This</w:t>
      </w:r>
      <w:r>
        <w:rPr>
          <w:spacing w:val="-2"/>
        </w:rPr>
        <w:t xml:space="preserve"> </w:t>
      </w:r>
      <w:r>
        <w:t>field must be entered as a text input and must include any leading zeroes.</w:t>
      </w:r>
    </w:p>
    <w:p>
      <w:pPr>
        <w:spacing w:before="241"/>
        <w:ind w:left="440" w:right="0" w:firstLine="0"/>
        <w:jc w:val="left"/>
        <w:rPr>
          <w:rFonts w:ascii="Arial" w:hAnsi="Arial"/>
          <w:b/>
          <w:sz w:val="21"/>
        </w:rPr>
      </w:pPr>
      <w:bookmarkStart w:id="60" w:name="Line 4 – Contract Year"/>
      <w:bookmarkEnd w:id="60"/>
      <w:r>
        <w:rPr>
          <w:rFonts w:ascii="Arial" w:hAnsi="Arial"/>
          <w:b/>
          <w:sz w:val="21"/>
        </w:rPr>
        <w:t>Line</w:t>
      </w:r>
      <w:r>
        <w:rPr>
          <w:rFonts w:ascii="Arial" w:hAnsi="Arial"/>
          <w:b/>
          <w:spacing w:val="-4"/>
          <w:sz w:val="21"/>
        </w:rPr>
        <w:t xml:space="preserve"> </w:t>
      </w:r>
      <w:r>
        <w:rPr>
          <w:rFonts w:ascii="Arial" w:hAnsi="Arial"/>
          <w:b/>
          <w:sz w:val="21"/>
        </w:rPr>
        <w:t>4</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Contract</w:t>
      </w:r>
      <w:r>
        <w:rPr>
          <w:rFonts w:ascii="Arial" w:hAnsi="Arial"/>
          <w:b/>
          <w:spacing w:val="-4"/>
          <w:sz w:val="21"/>
        </w:rPr>
        <w:t xml:space="preserve"> Year</w:t>
      </w:r>
    </w:p>
    <w:p>
      <w:pPr>
        <w:pStyle w:val="BodyText"/>
        <w:spacing w:before="121"/>
        <w:ind w:left="440"/>
      </w:pPr>
      <w:r>
        <w:t>The</w:t>
      </w:r>
      <w:r>
        <w:rPr>
          <w:spacing w:val="-2"/>
        </w:rPr>
        <w:t xml:space="preserve"> </w:t>
      </w:r>
      <w:r>
        <w:t>cell</w:t>
      </w:r>
      <w:r>
        <w:rPr>
          <w:spacing w:val="-1"/>
        </w:rPr>
        <w:t xml:space="preserve"> </w:t>
      </w:r>
      <w:r>
        <w:t>is</w:t>
      </w:r>
      <w:r>
        <w:rPr>
          <w:spacing w:val="-1"/>
        </w:rPr>
        <w:t xml:space="preserve"> </w:t>
      </w:r>
      <w:r>
        <w:t>pre-populated with the</w:t>
      </w:r>
      <w:r>
        <w:rPr>
          <w:spacing w:val="-2"/>
        </w:rPr>
        <w:t xml:space="preserve"> </w:t>
      </w:r>
      <w:r>
        <w:t>calendar</w:t>
      </w:r>
      <w:r>
        <w:rPr>
          <w:spacing w:val="-1"/>
        </w:rPr>
        <w:t xml:space="preserve"> </w:t>
      </w:r>
      <w:r>
        <w:t>year</w:t>
      </w:r>
      <w:r>
        <w:rPr>
          <w:spacing w:val="-1"/>
        </w:rPr>
        <w:t xml:space="preserve"> </w:t>
      </w:r>
      <w:r>
        <w:t>to which</w:t>
      </w:r>
      <w:r>
        <w:rPr>
          <w:spacing w:val="-1"/>
        </w:rPr>
        <w:t xml:space="preserve"> </w:t>
      </w:r>
      <w:r>
        <w:t>the</w:t>
      </w:r>
      <w:r>
        <w:rPr>
          <w:spacing w:val="-1"/>
        </w:rPr>
        <w:t xml:space="preserve"> </w:t>
      </w:r>
      <w:r>
        <w:t>contract</w:t>
      </w:r>
      <w:r>
        <w:rPr>
          <w:spacing w:val="-1"/>
        </w:rPr>
        <w:t xml:space="preserve"> </w:t>
      </w:r>
      <w:r>
        <w:rPr>
          <w:spacing w:val="-2"/>
        </w:rPr>
        <w:t>applies.</w:t>
      </w:r>
    </w:p>
    <w:p>
      <w:pPr>
        <w:spacing w:before="241"/>
        <w:ind w:left="440" w:right="0" w:firstLine="0"/>
        <w:jc w:val="left"/>
        <w:rPr>
          <w:rFonts w:ascii="Arial" w:hAnsi="Arial"/>
          <w:b/>
          <w:sz w:val="21"/>
        </w:rPr>
      </w:pPr>
      <w:bookmarkStart w:id="61" w:name="Line 5 – Organization Name"/>
      <w:bookmarkEnd w:id="61"/>
      <w:r>
        <w:rPr>
          <w:rFonts w:ascii="Arial" w:hAnsi="Arial"/>
          <w:b/>
          <w:sz w:val="21"/>
        </w:rPr>
        <w:t>Line</w:t>
      </w:r>
      <w:r>
        <w:rPr>
          <w:rFonts w:ascii="Arial" w:hAnsi="Arial"/>
          <w:b/>
          <w:spacing w:val="-5"/>
          <w:sz w:val="21"/>
        </w:rPr>
        <w:t xml:space="preserve"> </w:t>
      </w:r>
      <w:r>
        <w:rPr>
          <w:rFonts w:ascii="Arial" w:hAnsi="Arial"/>
          <w:b/>
          <w:sz w:val="21"/>
        </w:rPr>
        <w:t>5</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Organization</w:t>
      </w:r>
      <w:r>
        <w:rPr>
          <w:rFonts w:ascii="Arial" w:hAnsi="Arial"/>
          <w:b/>
          <w:spacing w:val="-6"/>
          <w:sz w:val="21"/>
        </w:rPr>
        <w:t xml:space="preserve"> </w:t>
      </w:r>
      <w:r>
        <w:rPr>
          <w:rFonts w:ascii="Arial" w:hAnsi="Arial"/>
          <w:b/>
          <w:spacing w:val="-4"/>
          <w:sz w:val="21"/>
        </w:rPr>
        <w:t>Name</w:t>
      </w:r>
    </w:p>
    <w:p>
      <w:pPr>
        <w:pStyle w:val="BodyText"/>
        <w:spacing w:before="117"/>
        <w:ind w:left="440" w:right="655"/>
      </w:pPr>
      <w:r>
        <w:t>Enter</w:t>
      </w:r>
      <w:r>
        <w:rPr>
          <w:spacing w:val="-3"/>
        </w:rPr>
        <w:t xml:space="preserve"> </w:t>
      </w:r>
      <w:r>
        <w:t>the</w:t>
      </w:r>
      <w:r>
        <w:rPr>
          <w:spacing w:val="-5"/>
        </w:rPr>
        <w:t xml:space="preserve"> </w:t>
      </w:r>
      <w:r>
        <w:t>organization’s</w:t>
      </w:r>
      <w:r>
        <w:rPr>
          <w:spacing w:val="-4"/>
        </w:rPr>
        <w:t xml:space="preserve"> </w:t>
      </w:r>
      <w:r>
        <w:t>legal</w:t>
      </w:r>
      <w:r>
        <w:rPr>
          <w:spacing w:val="-3"/>
        </w:rPr>
        <w:t xml:space="preserve"> </w:t>
      </w:r>
      <w:r>
        <w:t>entity</w:t>
      </w:r>
      <w:r>
        <w:rPr>
          <w:spacing w:val="-3"/>
        </w:rPr>
        <w:t xml:space="preserve"> </w:t>
      </w:r>
      <w:r>
        <w:t>name.</w:t>
      </w:r>
      <w:r>
        <w:rPr>
          <w:spacing w:val="-3"/>
        </w:rPr>
        <w:t xml:space="preserve"> </w:t>
      </w:r>
      <w:r>
        <w:t>This</w:t>
      </w:r>
      <w:r>
        <w:rPr>
          <w:spacing w:val="-3"/>
        </w:rPr>
        <w:t xml:space="preserve"> </w:t>
      </w:r>
      <w:r>
        <w:t>information</w:t>
      </w:r>
      <w:r>
        <w:rPr>
          <w:spacing w:val="-3"/>
        </w:rPr>
        <w:t xml:space="preserve"> </w:t>
      </w:r>
      <w:r>
        <w:t>also</w:t>
      </w:r>
      <w:r>
        <w:rPr>
          <w:spacing w:val="-3"/>
        </w:rPr>
        <w:t xml:space="preserve"> </w:t>
      </w:r>
      <w:r>
        <w:t>appears</w:t>
      </w:r>
      <w:r>
        <w:rPr>
          <w:spacing w:val="-3"/>
        </w:rPr>
        <w:t xml:space="preserve"> </w:t>
      </w:r>
      <w:r>
        <w:t>in</w:t>
      </w:r>
      <w:r>
        <w:rPr>
          <w:spacing w:val="-1"/>
        </w:rPr>
        <w:t xml:space="preserve"> </w:t>
      </w:r>
      <w:r>
        <w:t>HPMS</w:t>
      </w:r>
      <w:r>
        <w:rPr>
          <w:spacing w:val="-2"/>
        </w:rPr>
        <w:t xml:space="preserve"> </w:t>
      </w:r>
      <w:r>
        <w:t>and</w:t>
      </w:r>
      <w:r>
        <w:rPr>
          <w:spacing w:val="-1"/>
        </w:rPr>
        <w:t xml:space="preserve"> </w:t>
      </w:r>
      <w:r>
        <w:t>in the PBP.</w:t>
      </w:r>
    </w:p>
    <w:p>
      <w:pPr>
        <w:spacing w:after="0"/>
        <w:sectPr>
          <w:headerReference w:type="default" r:id="rId21"/>
          <w:footerReference w:type="default" r:id="rId22"/>
          <w:pgSz w:w="12240" w:h="15840"/>
          <w:pgMar w:top="1340" w:right="1000" w:bottom="1080" w:left="1360" w:header="727" w:footer="891"/>
          <w:cols w:space="720"/>
        </w:sectPr>
      </w:pPr>
    </w:p>
    <w:p>
      <w:pPr>
        <w:spacing w:before="87"/>
        <w:ind w:left="440" w:right="0" w:firstLine="0"/>
        <w:jc w:val="left"/>
        <w:rPr>
          <w:rFonts w:ascii="Arial" w:hAnsi="Arial"/>
          <w:b/>
          <w:sz w:val="21"/>
        </w:rPr>
      </w:pPr>
      <w:bookmarkStart w:id="62" w:name="Line 6 – SNP"/>
      <w:bookmarkEnd w:id="62"/>
      <w:r>
        <w:rPr>
          <w:rFonts w:ascii="Arial" w:hAnsi="Arial"/>
          <w:b/>
          <w:sz w:val="21"/>
        </w:rPr>
        <w:t>Line</w:t>
      </w:r>
      <w:r>
        <w:rPr>
          <w:rFonts w:ascii="Arial" w:hAnsi="Arial"/>
          <w:b/>
          <w:spacing w:val="-2"/>
          <w:sz w:val="21"/>
        </w:rPr>
        <w:t xml:space="preserve"> </w:t>
      </w:r>
      <w:r>
        <w:rPr>
          <w:rFonts w:ascii="Arial" w:hAnsi="Arial"/>
          <w:b/>
          <w:sz w:val="21"/>
        </w:rPr>
        <w:t>6</w:t>
      </w:r>
      <w:r>
        <w:rPr>
          <w:rFonts w:ascii="Arial" w:hAnsi="Arial"/>
          <w:b/>
          <w:spacing w:val="-2"/>
          <w:sz w:val="21"/>
        </w:rPr>
        <w:t xml:space="preserve"> </w:t>
      </w:r>
      <w:r>
        <w:rPr>
          <w:rFonts w:ascii="Arial" w:hAnsi="Arial"/>
          <w:b/>
          <w:sz w:val="21"/>
        </w:rPr>
        <w:t>–</w:t>
      </w:r>
      <w:r>
        <w:rPr>
          <w:rFonts w:ascii="Arial" w:hAnsi="Arial"/>
          <w:b/>
          <w:spacing w:val="-2"/>
          <w:sz w:val="21"/>
        </w:rPr>
        <w:t xml:space="preserve"> </w:t>
      </w:r>
      <w:r>
        <w:rPr>
          <w:rFonts w:ascii="Arial" w:hAnsi="Arial"/>
          <w:b/>
          <w:spacing w:val="-5"/>
          <w:sz w:val="21"/>
        </w:rPr>
        <w:t>SNP</w:t>
      </w:r>
    </w:p>
    <w:p>
      <w:pPr>
        <w:pStyle w:val="BodyText"/>
        <w:spacing w:before="121"/>
        <w:ind w:left="440"/>
      </w:pPr>
      <w:r>
        <w:t>If</w:t>
      </w:r>
      <w:r>
        <w:rPr>
          <w:spacing w:val="-3"/>
        </w:rPr>
        <w:t xml:space="preserve"> </w:t>
      </w:r>
      <w:r>
        <w:t>the</w:t>
      </w:r>
      <w:r>
        <w:rPr>
          <w:spacing w:val="-1"/>
        </w:rPr>
        <w:t xml:space="preserve"> </w:t>
      </w:r>
      <w:r>
        <w:t>plan</w:t>
      </w:r>
      <w:r>
        <w:rPr>
          <w:spacing w:val="-1"/>
        </w:rPr>
        <w:t xml:space="preserve"> </w:t>
      </w:r>
      <w:r>
        <w:t>is</w:t>
      </w:r>
      <w:r>
        <w:rPr>
          <w:spacing w:val="-2"/>
        </w:rPr>
        <w:t xml:space="preserve"> </w:t>
      </w:r>
      <w:r>
        <w:t>a Special</w:t>
      </w:r>
      <w:r>
        <w:rPr>
          <w:spacing w:val="-1"/>
        </w:rPr>
        <w:t xml:space="preserve"> </w:t>
      </w:r>
      <w:r>
        <w:t>Needs</w:t>
      </w:r>
      <w:r>
        <w:rPr>
          <w:spacing w:val="-2"/>
        </w:rPr>
        <w:t xml:space="preserve"> </w:t>
      </w:r>
      <w:r>
        <w:t>Plan</w:t>
      </w:r>
      <w:r>
        <w:rPr>
          <w:spacing w:val="-1"/>
        </w:rPr>
        <w:t xml:space="preserve"> </w:t>
      </w:r>
      <w:r>
        <w:t>(SNP), enter</w:t>
      </w:r>
      <w:r>
        <w:rPr>
          <w:spacing w:val="-1"/>
        </w:rPr>
        <w:t xml:space="preserve"> </w:t>
      </w:r>
      <w:r>
        <w:t>“Y”.</w:t>
      </w:r>
      <w:r>
        <w:rPr>
          <w:spacing w:val="1"/>
        </w:rPr>
        <w:t xml:space="preserve"> </w:t>
      </w:r>
      <w:r>
        <w:t>Otherwise,</w:t>
      </w:r>
      <w:r>
        <w:rPr>
          <w:spacing w:val="-1"/>
        </w:rPr>
        <w:t xml:space="preserve"> </w:t>
      </w:r>
      <w:r>
        <w:t xml:space="preserve">enter </w:t>
      </w:r>
      <w:r>
        <w:rPr>
          <w:spacing w:val="-4"/>
        </w:rPr>
        <w:t>“N”.</w:t>
      </w:r>
    </w:p>
    <w:p>
      <w:pPr>
        <w:spacing w:before="240"/>
        <w:ind w:left="440" w:right="0" w:firstLine="0"/>
        <w:jc w:val="left"/>
        <w:rPr>
          <w:rFonts w:ascii="Arial" w:hAnsi="Arial"/>
          <w:b/>
          <w:sz w:val="21"/>
        </w:rPr>
      </w:pPr>
      <w:bookmarkStart w:id="63" w:name="Line 7 – Plan Name"/>
      <w:bookmarkEnd w:id="63"/>
      <w:r>
        <w:rPr>
          <w:rFonts w:ascii="Arial" w:hAnsi="Arial"/>
          <w:b/>
          <w:sz w:val="21"/>
        </w:rPr>
        <w:t>Line</w:t>
      </w:r>
      <w:r>
        <w:rPr>
          <w:rFonts w:ascii="Arial" w:hAnsi="Arial"/>
          <w:b/>
          <w:spacing w:val="-4"/>
          <w:sz w:val="21"/>
        </w:rPr>
        <w:t xml:space="preserve"> </w:t>
      </w:r>
      <w:r>
        <w:rPr>
          <w:rFonts w:ascii="Arial" w:hAnsi="Arial"/>
          <w:b/>
          <w:sz w:val="21"/>
        </w:rPr>
        <w:t>7</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Plan</w:t>
      </w:r>
      <w:r>
        <w:rPr>
          <w:rFonts w:ascii="Arial" w:hAnsi="Arial"/>
          <w:b/>
          <w:spacing w:val="-4"/>
          <w:sz w:val="21"/>
        </w:rPr>
        <w:t xml:space="preserve"> Name</w:t>
      </w:r>
    </w:p>
    <w:p>
      <w:pPr>
        <w:pStyle w:val="BodyText"/>
        <w:spacing w:before="118"/>
        <w:ind w:left="440"/>
      </w:pPr>
      <w:r>
        <w:t>Enter</w:t>
      </w:r>
      <w:r>
        <w:rPr>
          <w:spacing w:val="-1"/>
        </w:rPr>
        <w:t xml:space="preserve"> </w:t>
      </w:r>
      <w:r>
        <w:t>the</w:t>
      </w:r>
      <w:r>
        <w:rPr>
          <w:spacing w:val="-2"/>
        </w:rPr>
        <w:t xml:space="preserve"> </w:t>
      </w:r>
      <w:r>
        <w:t>name</w:t>
      </w:r>
      <w:r>
        <w:rPr>
          <w:spacing w:val="-1"/>
        </w:rPr>
        <w:t xml:space="preserve"> </w:t>
      </w:r>
      <w:r>
        <w:t>of the</w:t>
      </w:r>
      <w:r>
        <w:rPr>
          <w:spacing w:val="-2"/>
        </w:rPr>
        <w:t xml:space="preserve"> </w:t>
      </w:r>
      <w:r>
        <w:t>PBP. This</w:t>
      </w:r>
      <w:r>
        <w:rPr>
          <w:spacing w:val="-1"/>
        </w:rPr>
        <w:t xml:space="preserve"> </w:t>
      </w:r>
      <w:r>
        <w:t>information also</w:t>
      </w:r>
      <w:r>
        <w:rPr>
          <w:spacing w:val="-1"/>
        </w:rPr>
        <w:t xml:space="preserve"> </w:t>
      </w:r>
      <w:r>
        <w:t xml:space="preserve">appears in </w:t>
      </w:r>
      <w:r>
        <w:rPr>
          <w:spacing w:val="-2"/>
        </w:rPr>
        <w:t>HPMS.</w:t>
      </w:r>
    </w:p>
    <w:p>
      <w:pPr>
        <w:spacing w:before="241"/>
        <w:ind w:left="440" w:right="0" w:firstLine="0"/>
        <w:jc w:val="left"/>
        <w:rPr>
          <w:rFonts w:ascii="Arial" w:hAnsi="Arial"/>
          <w:b/>
          <w:sz w:val="21"/>
        </w:rPr>
      </w:pPr>
      <w:bookmarkStart w:id="64" w:name="Line 8 – Plan Type"/>
      <w:bookmarkEnd w:id="64"/>
      <w:r>
        <w:rPr>
          <w:rFonts w:ascii="Arial" w:hAnsi="Arial"/>
          <w:b/>
          <w:sz w:val="21"/>
        </w:rPr>
        <w:t>Line</w:t>
      </w:r>
      <w:r>
        <w:rPr>
          <w:rFonts w:ascii="Arial" w:hAnsi="Arial"/>
          <w:b/>
          <w:spacing w:val="-6"/>
          <w:sz w:val="21"/>
        </w:rPr>
        <w:t xml:space="preserve"> </w:t>
      </w:r>
      <w:r>
        <w:rPr>
          <w:rFonts w:ascii="Arial" w:hAnsi="Arial"/>
          <w:b/>
          <w:sz w:val="21"/>
        </w:rPr>
        <w:t>8</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Plan</w:t>
      </w:r>
      <w:r>
        <w:rPr>
          <w:rFonts w:ascii="Arial" w:hAnsi="Arial"/>
          <w:b/>
          <w:spacing w:val="-4"/>
          <w:sz w:val="21"/>
        </w:rPr>
        <w:t xml:space="preserve"> Type</w:t>
      </w:r>
    </w:p>
    <w:p>
      <w:pPr>
        <w:pStyle w:val="BodyText"/>
        <w:ind w:left="440"/>
      </w:pPr>
      <w:r>
        <w:t>Enter</w:t>
      </w:r>
      <w:r>
        <w:rPr>
          <w:spacing w:val="-2"/>
        </w:rPr>
        <w:t xml:space="preserve"> </w:t>
      </w:r>
      <w:r>
        <w:t>the</w:t>
      </w:r>
      <w:r>
        <w:rPr>
          <w:spacing w:val="-2"/>
        </w:rPr>
        <w:t xml:space="preserve"> </w:t>
      </w:r>
      <w:r>
        <w:t>type of</w:t>
      </w:r>
      <w:r>
        <w:rPr>
          <w:spacing w:val="-2"/>
        </w:rPr>
        <w:t xml:space="preserve"> </w:t>
      </w:r>
      <w:r>
        <w:t>Part D</w:t>
      </w:r>
      <w:r>
        <w:rPr>
          <w:spacing w:val="1"/>
        </w:rPr>
        <w:t xml:space="preserve"> </w:t>
      </w:r>
      <w:r>
        <w:t>plan.</w:t>
      </w:r>
      <w:r>
        <w:rPr>
          <w:spacing w:val="-1"/>
        </w:rPr>
        <w:t xml:space="preserve"> </w:t>
      </w:r>
      <w:r>
        <w:t>The</w:t>
      </w:r>
      <w:r>
        <w:rPr>
          <w:spacing w:val="-2"/>
        </w:rPr>
        <w:t xml:space="preserve"> </w:t>
      </w:r>
      <w:r>
        <w:t>valid options are</w:t>
      </w:r>
      <w:r>
        <w:rPr>
          <w:spacing w:val="-2"/>
        </w:rPr>
        <w:t xml:space="preserve"> </w:t>
      </w:r>
      <w:r>
        <w:t>listed in the</w:t>
      </w:r>
      <w:r>
        <w:rPr>
          <w:spacing w:val="-1"/>
        </w:rPr>
        <w:t xml:space="preserve"> </w:t>
      </w:r>
      <w:r>
        <w:t>table</w:t>
      </w:r>
      <w:r>
        <w:rPr>
          <w:spacing w:val="-1"/>
        </w:rPr>
        <w:t xml:space="preserve"> </w:t>
      </w:r>
      <w:r>
        <w:rPr>
          <w:spacing w:val="-2"/>
        </w:rPr>
        <w:t>below.</w:t>
      </w:r>
    </w:p>
    <w:p>
      <w:pPr>
        <w:pStyle w:val="BodyText"/>
        <w:spacing w:before="11"/>
        <w:ind w:left="0"/>
        <w:rPr>
          <w:sz w:val="20"/>
        </w:rPr>
      </w:pPr>
    </w:p>
    <w:tbl>
      <w:tblPr>
        <w:tblStyle w:val="TableNormal"/>
        <w:tblW w:w="0" w:type="auto"/>
        <w:jc w:val="lef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6"/>
        <w:gridCol w:w="2446"/>
      </w:tblGrid>
      <w:tr>
        <w:tblPrEx>
          <w:tblW w:w="0" w:type="auto"/>
          <w:jc w:val="lef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2"/>
          <w:jc w:val="left"/>
        </w:trPr>
        <w:tc>
          <w:tcPr>
            <w:tcW w:w="6056" w:type="dxa"/>
            <w:tcBorders>
              <w:bottom w:val="double" w:sz="4" w:space="0" w:color="000000"/>
            </w:tcBorders>
          </w:tcPr>
          <w:p>
            <w:pPr>
              <w:pStyle w:val="TableParagraph"/>
              <w:spacing w:before="1" w:line="252" w:lineRule="exact"/>
              <w:rPr>
                <w:b/>
                <w:sz w:val="22"/>
              </w:rPr>
            </w:pPr>
            <w:r>
              <w:rPr>
                <w:b/>
                <w:sz w:val="22"/>
              </w:rPr>
              <w:t>Type</w:t>
            </w:r>
            <w:r>
              <w:rPr>
                <w:b/>
                <w:spacing w:val="-3"/>
                <w:sz w:val="22"/>
              </w:rPr>
              <w:t xml:space="preserve"> </w:t>
            </w:r>
            <w:r>
              <w:rPr>
                <w:b/>
                <w:sz w:val="22"/>
              </w:rPr>
              <w:t xml:space="preserve">of </w:t>
            </w:r>
            <w:r>
              <w:rPr>
                <w:b/>
                <w:spacing w:val="-4"/>
                <w:sz w:val="22"/>
              </w:rPr>
              <w:t>Plan</w:t>
            </w:r>
          </w:p>
        </w:tc>
        <w:tc>
          <w:tcPr>
            <w:tcW w:w="2446" w:type="dxa"/>
            <w:tcBorders>
              <w:bottom w:val="double" w:sz="4" w:space="0" w:color="000000"/>
            </w:tcBorders>
          </w:tcPr>
          <w:p>
            <w:pPr>
              <w:pStyle w:val="TableParagraph"/>
              <w:spacing w:before="1" w:line="252" w:lineRule="exact"/>
              <w:rPr>
                <w:b/>
                <w:sz w:val="22"/>
              </w:rPr>
            </w:pPr>
            <w:r>
              <w:rPr>
                <w:b/>
                <w:sz w:val="22"/>
              </w:rPr>
              <w:t>Plan</w:t>
            </w:r>
            <w:r>
              <w:rPr>
                <w:b/>
                <w:spacing w:val="-4"/>
                <w:sz w:val="22"/>
              </w:rPr>
              <w:t xml:space="preserve"> </w:t>
            </w:r>
            <w:r>
              <w:rPr>
                <w:b/>
                <w:sz w:val="22"/>
              </w:rPr>
              <w:t>Type</w:t>
            </w:r>
            <w:r>
              <w:rPr>
                <w:b/>
                <w:spacing w:val="-2"/>
                <w:sz w:val="22"/>
              </w:rPr>
              <w:t xml:space="preserve"> </w:t>
            </w:r>
            <w:r>
              <w:rPr>
                <w:b/>
                <w:spacing w:val="-4"/>
                <w:sz w:val="22"/>
              </w:rPr>
              <w:t>Code</w:t>
            </w:r>
          </w:p>
        </w:tc>
      </w:tr>
      <w:tr>
        <w:tblPrEx>
          <w:tblW w:w="0" w:type="auto"/>
          <w:jc w:val="left"/>
          <w:tblInd w:w="515" w:type="dxa"/>
          <w:tblLayout w:type="fixed"/>
          <w:tblCellMar>
            <w:top w:w="0" w:type="dxa"/>
            <w:left w:w="0" w:type="dxa"/>
            <w:bottom w:w="0" w:type="dxa"/>
            <w:right w:w="0" w:type="dxa"/>
          </w:tblCellMar>
          <w:tblLook w:val="01E0"/>
        </w:tblPrEx>
        <w:trPr>
          <w:trHeight w:val="337"/>
          <w:jc w:val="left"/>
        </w:trPr>
        <w:tc>
          <w:tcPr>
            <w:tcW w:w="6056" w:type="dxa"/>
            <w:tcBorders>
              <w:top w:val="double" w:sz="4" w:space="0" w:color="000000"/>
            </w:tcBorders>
          </w:tcPr>
          <w:p>
            <w:pPr>
              <w:pStyle w:val="TableParagraph"/>
              <w:spacing w:before="34"/>
              <w:rPr>
                <w:b/>
                <w:sz w:val="22"/>
              </w:rPr>
            </w:pPr>
            <w:r>
              <w:rPr>
                <w:b/>
                <w:sz w:val="22"/>
              </w:rPr>
              <w:t>Local</w:t>
            </w:r>
            <w:r>
              <w:rPr>
                <w:b/>
                <w:spacing w:val="-4"/>
                <w:sz w:val="22"/>
              </w:rPr>
              <w:t xml:space="preserve"> </w:t>
            </w:r>
            <w:r>
              <w:rPr>
                <w:b/>
                <w:sz w:val="22"/>
              </w:rPr>
              <w:t>Coordinated</w:t>
            </w:r>
            <w:r>
              <w:rPr>
                <w:b/>
                <w:spacing w:val="-5"/>
                <w:sz w:val="22"/>
              </w:rPr>
              <w:t xml:space="preserve"> </w:t>
            </w:r>
            <w:r>
              <w:rPr>
                <w:b/>
                <w:sz w:val="22"/>
              </w:rPr>
              <w:t>Care</w:t>
            </w:r>
            <w:r>
              <w:rPr>
                <w:b/>
                <w:spacing w:val="-6"/>
                <w:sz w:val="22"/>
              </w:rPr>
              <w:t xml:space="preserve"> </w:t>
            </w:r>
            <w:r>
              <w:rPr>
                <w:b/>
                <w:spacing w:val="-2"/>
                <w:sz w:val="22"/>
              </w:rPr>
              <w:t>Plans:</w:t>
            </w:r>
          </w:p>
        </w:tc>
        <w:tc>
          <w:tcPr>
            <w:tcW w:w="2446" w:type="dxa"/>
            <w:tcBorders>
              <w:top w:val="double" w:sz="4" w:space="0" w:color="000000"/>
            </w:tcBorders>
          </w:tcPr>
          <w:p>
            <w:pPr>
              <w:pStyle w:val="TableParagraph"/>
              <w:ind w:left="0"/>
              <w:rPr>
                <w:sz w:val="22"/>
              </w:rPr>
            </w:pPr>
          </w:p>
        </w:tc>
      </w:tr>
      <w:tr>
        <w:tblPrEx>
          <w:tblW w:w="0" w:type="auto"/>
          <w:jc w:val="left"/>
          <w:tblInd w:w="515" w:type="dxa"/>
          <w:tblLayout w:type="fixed"/>
          <w:tblCellMar>
            <w:top w:w="0" w:type="dxa"/>
            <w:left w:w="0" w:type="dxa"/>
            <w:bottom w:w="0" w:type="dxa"/>
            <w:right w:w="0" w:type="dxa"/>
          </w:tblCellMar>
          <w:tblLook w:val="01E0"/>
        </w:tblPrEx>
        <w:trPr>
          <w:trHeight w:val="254"/>
          <w:jc w:val="left"/>
        </w:trPr>
        <w:tc>
          <w:tcPr>
            <w:tcW w:w="6056" w:type="dxa"/>
          </w:tcPr>
          <w:p>
            <w:pPr>
              <w:pStyle w:val="TableParagraph"/>
              <w:spacing w:line="234" w:lineRule="exact"/>
              <w:rPr>
                <w:sz w:val="22"/>
              </w:rPr>
            </w:pPr>
            <w:r>
              <w:rPr>
                <w:sz w:val="22"/>
              </w:rPr>
              <w:t>Health</w:t>
            </w:r>
            <w:r>
              <w:rPr>
                <w:spacing w:val="-9"/>
                <w:sz w:val="22"/>
              </w:rPr>
              <w:t xml:space="preserve"> </w:t>
            </w:r>
            <w:r>
              <w:rPr>
                <w:sz w:val="22"/>
              </w:rPr>
              <w:t>Maintenance</w:t>
            </w:r>
            <w:r>
              <w:rPr>
                <w:spacing w:val="-7"/>
                <w:sz w:val="22"/>
              </w:rPr>
              <w:t xml:space="preserve"> </w:t>
            </w:r>
            <w:r>
              <w:rPr>
                <w:sz w:val="22"/>
              </w:rPr>
              <w:t>Organization</w:t>
            </w:r>
            <w:r>
              <w:rPr>
                <w:spacing w:val="-9"/>
                <w:sz w:val="22"/>
              </w:rPr>
              <w:t xml:space="preserve"> </w:t>
            </w:r>
            <w:r>
              <w:rPr>
                <w:spacing w:val="-2"/>
                <w:sz w:val="22"/>
              </w:rPr>
              <w:t>(HMO)</w:t>
            </w:r>
          </w:p>
        </w:tc>
        <w:tc>
          <w:tcPr>
            <w:tcW w:w="2446" w:type="dxa"/>
          </w:tcPr>
          <w:p>
            <w:pPr>
              <w:pStyle w:val="TableParagraph"/>
              <w:spacing w:line="234" w:lineRule="exact"/>
              <w:rPr>
                <w:sz w:val="22"/>
              </w:rPr>
            </w:pPr>
            <w:r>
              <w:rPr>
                <w:spacing w:val="-5"/>
                <w:sz w:val="22"/>
              </w:rPr>
              <w:t>HMO</w:t>
            </w:r>
          </w:p>
        </w:tc>
      </w:tr>
      <w:tr>
        <w:tblPrEx>
          <w:tblW w:w="0" w:type="auto"/>
          <w:jc w:val="left"/>
          <w:tblInd w:w="515" w:type="dxa"/>
          <w:tblLayout w:type="fixed"/>
          <w:tblCellMar>
            <w:top w:w="0" w:type="dxa"/>
            <w:left w:w="0" w:type="dxa"/>
            <w:bottom w:w="0" w:type="dxa"/>
            <w:right w:w="0" w:type="dxa"/>
          </w:tblCellMar>
          <w:tblLook w:val="01E0"/>
        </w:tblPrEx>
        <w:trPr>
          <w:trHeight w:val="252"/>
          <w:jc w:val="left"/>
        </w:trPr>
        <w:tc>
          <w:tcPr>
            <w:tcW w:w="6056" w:type="dxa"/>
          </w:tcPr>
          <w:p>
            <w:pPr>
              <w:pStyle w:val="TableParagraph"/>
              <w:spacing w:line="232" w:lineRule="exact"/>
              <w:rPr>
                <w:sz w:val="22"/>
              </w:rPr>
            </w:pPr>
            <w:r>
              <w:rPr>
                <w:sz w:val="22"/>
              </w:rPr>
              <w:t>Religious</w:t>
            </w:r>
            <w:r>
              <w:rPr>
                <w:spacing w:val="-6"/>
                <w:sz w:val="22"/>
              </w:rPr>
              <w:t xml:space="preserve"> </w:t>
            </w:r>
            <w:r>
              <w:rPr>
                <w:sz w:val="22"/>
              </w:rPr>
              <w:t>Fraternal</w:t>
            </w:r>
            <w:r>
              <w:rPr>
                <w:spacing w:val="-5"/>
                <w:sz w:val="22"/>
              </w:rPr>
              <w:t xml:space="preserve"> </w:t>
            </w:r>
            <w:r>
              <w:rPr>
                <w:sz w:val="22"/>
              </w:rPr>
              <w:t>Benefit</w:t>
            </w:r>
            <w:r>
              <w:rPr>
                <w:spacing w:val="-7"/>
                <w:sz w:val="22"/>
              </w:rPr>
              <w:t xml:space="preserve"> </w:t>
            </w:r>
            <w:r>
              <w:rPr>
                <w:spacing w:val="-5"/>
                <w:sz w:val="22"/>
              </w:rPr>
              <w:t>HMO</w:t>
            </w:r>
          </w:p>
        </w:tc>
        <w:tc>
          <w:tcPr>
            <w:tcW w:w="2446" w:type="dxa"/>
          </w:tcPr>
          <w:p>
            <w:pPr>
              <w:pStyle w:val="TableParagraph"/>
              <w:spacing w:line="232" w:lineRule="exact"/>
              <w:rPr>
                <w:sz w:val="22"/>
              </w:rPr>
            </w:pPr>
            <w:r>
              <w:rPr>
                <w:sz w:val="22"/>
              </w:rPr>
              <w:t>RFB</w:t>
            </w:r>
            <w:r>
              <w:rPr>
                <w:spacing w:val="-5"/>
                <w:sz w:val="22"/>
              </w:rPr>
              <w:t xml:space="preserve"> HMO</w:t>
            </w:r>
          </w:p>
        </w:tc>
      </w:tr>
      <w:tr>
        <w:tblPrEx>
          <w:tblW w:w="0" w:type="auto"/>
          <w:jc w:val="left"/>
          <w:tblInd w:w="515" w:type="dxa"/>
          <w:tblLayout w:type="fixed"/>
          <w:tblCellMar>
            <w:top w:w="0" w:type="dxa"/>
            <w:left w:w="0" w:type="dxa"/>
            <w:bottom w:w="0" w:type="dxa"/>
            <w:right w:w="0" w:type="dxa"/>
          </w:tblCellMar>
          <w:tblLook w:val="01E0"/>
        </w:tblPrEx>
        <w:trPr>
          <w:trHeight w:val="505"/>
          <w:jc w:val="left"/>
        </w:trPr>
        <w:tc>
          <w:tcPr>
            <w:tcW w:w="6056" w:type="dxa"/>
          </w:tcPr>
          <w:p>
            <w:pPr>
              <w:pStyle w:val="TableParagraph"/>
              <w:spacing w:line="252" w:lineRule="exact"/>
              <w:rPr>
                <w:sz w:val="22"/>
              </w:rPr>
            </w:pPr>
            <w:r>
              <w:rPr>
                <w:sz w:val="22"/>
              </w:rPr>
              <w:t>Religious</w:t>
            </w:r>
            <w:r>
              <w:rPr>
                <w:spacing w:val="-5"/>
                <w:sz w:val="22"/>
              </w:rPr>
              <w:t xml:space="preserve"> </w:t>
            </w:r>
            <w:r>
              <w:rPr>
                <w:sz w:val="22"/>
              </w:rPr>
              <w:t>Fraternal</w:t>
            </w:r>
            <w:r>
              <w:rPr>
                <w:spacing w:val="-4"/>
                <w:sz w:val="22"/>
              </w:rPr>
              <w:t xml:space="preserve"> </w:t>
            </w:r>
            <w:r>
              <w:rPr>
                <w:sz w:val="22"/>
              </w:rPr>
              <w:t>Benefit</w:t>
            </w:r>
            <w:r>
              <w:rPr>
                <w:spacing w:val="-6"/>
                <w:sz w:val="22"/>
              </w:rPr>
              <w:t xml:space="preserve"> </w:t>
            </w:r>
            <w:r>
              <w:rPr>
                <w:sz w:val="22"/>
              </w:rPr>
              <w:t>HMO</w:t>
            </w:r>
            <w:r>
              <w:rPr>
                <w:spacing w:val="-5"/>
                <w:sz w:val="22"/>
              </w:rPr>
              <w:t xml:space="preserve"> </w:t>
            </w:r>
            <w:r>
              <w:rPr>
                <w:sz w:val="22"/>
              </w:rPr>
              <w:t>with</w:t>
            </w:r>
            <w:r>
              <w:rPr>
                <w:spacing w:val="-7"/>
                <w:sz w:val="22"/>
              </w:rPr>
              <w:t xml:space="preserve"> </w:t>
            </w:r>
            <w:r>
              <w:rPr>
                <w:sz w:val="22"/>
              </w:rPr>
              <w:t>a</w:t>
            </w:r>
            <w:r>
              <w:rPr>
                <w:spacing w:val="-5"/>
                <w:sz w:val="22"/>
              </w:rPr>
              <w:t xml:space="preserve"> </w:t>
            </w:r>
            <w:r>
              <w:rPr>
                <w:sz w:val="22"/>
              </w:rPr>
              <w:t>Point-of-Service</w:t>
            </w:r>
            <w:r>
              <w:rPr>
                <w:spacing w:val="-5"/>
                <w:sz w:val="22"/>
              </w:rPr>
              <w:t xml:space="preserve"> </w:t>
            </w:r>
            <w:r>
              <w:rPr>
                <w:sz w:val="22"/>
              </w:rPr>
              <w:t xml:space="preserve">(POS) </w:t>
            </w:r>
            <w:r>
              <w:rPr>
                <w:spacing w:val="-2"/>
                <w:sz w:val="22"/>
              </w:rPr>
              <w:t>Option</w:t>
            </w:r>
          </w:p>
        </w:tc>
        <w:tc>
          <w:tcPr>
            <w:tcW w:w="2446" w:type="dxa"/>
          </w:tcPr>
          <w:p>
            <w:pPr>
              <w:pStyle w:val="TableParagraph"/>
              <w:spacing w:before="125"/>
              <w:rPr>
                <w:sz w:val="22"/>
              </w:rPr>
            </w:pPr>
            <w:r>
              <w:rPr>
                <w:sz w:val="22"/>
              </w:rPr>
              <w:t>RFB</w:t>
            </w:r>
            <w:r>
              <w:rPr>
                <w:spacing w:val="-4"/>
                <w:sz w:val="22"/>
              </w:rPr>
              <w:t xml:space="preserve"> </w:t>
            </w:r>
            <w:r>
              <w:rPr>
                <w:sz w:val="22"/>
              </w:rPr>
              <w:t>HMO</w:t>
            </w:r>
            <w:r>
              <w:rPr>
                <w:spacing w:val="-1"/>
                <w:sz w:val="22"/>
              </w:rPr>
              <w:t xml:space="preserve"> </w:t>
            </w:r>
            <w:r>
              <w:rPr>
                <w:spacing w:val="-5"/>
                <w:sz w:val="22"/>
              </w:rPr>
              <w:t>POS</w:t>
            </w:r>
          </w:p>
        </w:tc>
      </w:tr>
      <w:tr>
        <w:tblPrEx>
          <w:tblW w:w="0" w:type="auto"/>
          <w:jc w:val="left"/>
          <w:tblInd w:w="515" w:type="dxa"/>
          <w:tblLayout w:type="fixed"/>
          <w:tblCellMar>
            <w:top w:w="0" w:type="dxa"/>
            <w:left w:w="0" w:type="dxa"/>
            <w:bottom w:w="0" w:type="dxa"/>
            <w:right w:w="0" w:type="dxa"/>
          </w:tblCellMar>
          <w:tblLook w:val="01E0"/>
        </w:tblPrEx>
        <w:trPr>
          <w:trHeight w:val="254"/>
          <w:jc w:val="left"/>
        </w:trPr>
        <w:tc>
          <w:tcPr>
            <w:tcW w:w="6056" w:type="dxa"/>
          </w:tcPr>
          <w:p>
            <w:pPr>
              <w:pStyle w:val="TableParagraph"/>
              <w:spacing w:before="1" w:line="233" w:lineRule="exact"/>
              <w:rPr>
                <w:sz w:val="22"/>
              </w:rPr>
            </w:pPr>
            <w:r>
              <w:rPr>
                <w:sz w:val="22"/>
              </w:rPr>
              <w:t>HMO</w:t>
            </w:r>
            <w:r>
              <w:rPr>
                <w:spacing w:val="-2"/>
                <w:sz w:val="22"/>
              </w:rPr>
              <w:t xml:space="preserve"> </w:t>
            </w:r>
            <w:r>
              <w:rPr>
                <w:sz w:val="22"/>
              </w:rPr>
              <w:t>with</w:t>
            </w:r>
            <w:r>
              <w:rPr>
                <w:spacing w:val="-4"/>
                <w:sz w:val="22"/>
              </w:rPr>
              <w:t xml:space="preserve"> </w:t>
            </w:r>
            <w:r>
              <w:rPr>
                <w:sz w:val="22"/>
              </w:rPr>
              <w:t>a</w:t>
            </w:r>
            <w:r>
              <w:rPr>
                <w:spacing w:val="-2"/>
                <w:sz w:val="22"/>
              </w:rPr>
              <w:t xml:space="preserve"> </w:t>
            </w:r>
            <w:r>
              <w:rPr>
                <w:sz w:val="22"/>
              </w:rPr>
              <w:t>POS</w:t>
            </w:r>
            <w:r>
              <w:rPr>
                <w:spacing w:val="-1"/>
                <w:sz w:val="22"/>
              </w:rPr>
              <w:t xml:space="preserve"> </w:t>
            </w:r>
            <w:r>
              <w:rPr>
                <w:spacing w:val="-2"/>
                <w:sz w:val="22"/>
              </w:rPr>
              <w:t>Option</w:t>
            </w:r>
          </w:p>
        </w:tc>
        <w:tc>
          <w:tcPr>
            <w:tcW w:w="2446" w:type="dxa"/>
          </w:tcPr>
          <w:p>
            <w:pPr>
              <w:pStyle w:val="TableParagraph"/>
              <w:spacing w:before="1" w:line="233" w:lineRule="exact"/>
              <w:rPr>
                <w:sz w:val="22"/>
              </w:rPr>
            </w:pPr>
            <w:r>
              <w:rPr>
                <w:sz w:val="22"/>
              </w:rPr>
              <w:t>HMO</w:t>
            </w:r>
            <w:r>
              <w:rPr>
                <w:spacing w:val="-2"/>
                <w:sz w:val="22"/>
              </w:rPr>
              <w:t xml:space="preserve"> </w:t>
            </w:r>
            <w:r>
              <w:rPr>
                <w:spacing w:val="-5"/>
                <w:sz w:val="22"/>
              </w:rPr>
              <w:t>POS</w:t>
            </w:r>
          </w:p>
        </w:tc>
      </w:tr>
      <w:tr>
        <w:tblPrEx>
          <w:tblW w:w="0" w:type="auto"/>
          <w:jc w:val="left"/>
          <w:tblInd w:w="515" w:type="dxa"/>
          <w:tblLayout w:type="fixed"/>
          <w:tblCellMar>
            <w:top w:w="0" w:type="dxa"/>
            <w:left w:w="0" w:type="dxa"/>
            <w:bottom w:w="0" w:type="dxa"/>
            <w:right w:w="0" w:type="dxa"/>
          </w:tblCellMar>
          <w:tblLook w:val="01E0"/>
        </w:tblPrEx>
        <w:trPr>
          <w:trHeight w:val="253"/>
          <w:jc w:val="left"/>
        </w:trPr>
        <w:tc>
          <w:tcPr>
            <w:tcW w:w="6056" w:type="dxa"/>
          </w:tcPr>
          <w:p>
            <w:pPr>
              <w:pStyle w:val="TableParagraph"/>
              <w:spacing w:line="234" w:lineRule="exact"/>
              <w:rPr>
                <w:sz w:val="22"/>
              </w:rPr>
            </w:pPr>
            <w:r>
              <w:rPr>
                <w:sz w:val="22"/>
              </w:rPr>
              <w:t>Provider-Sponsored</w:t>
            </w:r>
            <w:r>
              <w:rPr>
                <w:spacing w:val="-5"/>
                <w:sz w:val="22"/>
              </w:rPr>
              <w:t xml:space="preserve"> </w:t>
            </w:r>
            <w:r>
              <w:rPr>
                <w:sz w:val="22"/>
              </w:rPr>
              <w:t>Organization</w:t>
            </w:r>
            <w:r>
              <w:rPr>
                <w:spacing w:val="-7"/>
                <w:sz w:val="22"/>
              </w:rPr>
              <w:t xml:space="preserve"> </w:t>
            </w:r>
            <w:r>
              <w:rPr>
                <w:sz w:val="22"/>
              </w:rPr>
              <w:t>(PSO)</w:t>
            </w:r>
            <w:r>
              <w:rPr>
                <w:spacing w:val="-4"/>
                <w:sz w:val="22"/>
              </w:rPr>
              <w:t xml:space="preserve"> </w:t>
            </w:r>
            <w:r>
              <w:rPr>
                <w:sz w:val="22"/>
              </w:rPr>
              <w:t>with</w:t>
            </w:r>
            <w:r>
              <w:rPr>
                <w:spacing w:val="-5"/>
                <w:sz w:val="22"/>
              </w:rPr>
              <w:t xml:space="preserve"> </w:t>
            </w:r>
            <w:r>
              <w:rPr>
                <w:sz w:val="22"/>
              </w:rPr>
              <w:t>a</w:t>
            </w:r>
            <w:r>
              <w:rPr>
                <w:spacing w:val="-4"/>
                <w:sz w:val="22"/>
              </w:rPr>
              <w:t xml:space="preserve"> </w:t>
            </w:r>
            <w:r>
              <w:rPr>
                <w:sz w:val="22"/>
              </w:rPr>
              <w:t>State</w:t>
            </w:r>
            <w:r>
              <w:rPr>
                <w:spacing w:val="-4"/>
                <w:sz w:val="22"/>
              </w:rPr>
              <w:t xml:space="preserve"> </w:t>
            </w:r>
            <w:r>
              <w:rPr>
                <w:spacing w:val="-2"/>
                <w:sz w:val="22"/>
              </w:rPr>
              <w:t>License</w:t>
            </w:r>
          </w:p>
        </w:tc>
        <w:tc>
          <w:tcPr>
            <w:tcW w:w="2446" w:type="dxa"/>
          </w:tcPr>
          <w:p>
            <w:pPr>
              <w:pStyle w:val="TableParagraph"/>
              <w:spacing w:line="234" w:lineRule="exact"/>
              <w:rPr>
                <w:sz w:val="22"/>
              </w:rPr>
            </w:pPr>
            <w:r>
              <w:rPr>
                <w:sz w:val="22"/>
              </w:rPr>
              <w:t>PSO</w:t>
            </w:r>
            <w:r>
              <w:rPr>
                <w:spacing w:val="-3"/>
                <w:sz w:val="22"/>
              </w:rPr>
              <w:t xml:space="preserve"> </w:t>
            </w:r>
            <w:r>
              <w:rPr>
                <w:sz w:val="22"/>
              </w:rPr>
              <w:t>State</w:t>
            </w:r>
            <w:r>
              <w:rPr>
                <w:spacing w:val="-1"/>
                <w:sz w:val="22"/>
              </w:rPr>
              <w:t xml:space="preserve"> </w:t>
            </w:r>
            <w:r>
              <w:rPr>
                <w:spacing w:val="-2"/>
                <w:sz w:val="22"/>
              </w:rPr>
              <w:t>License</w:t>
            </w:r>
          </w:p>
        </w:tc>
      </w:tr>
      <w:tr>
        <w:tblPrEx>
          <w:tblW w:w="0" w:type="auto"/>
          <w:jc w:val="left"/>
          <w:tblInd w:w="515" w:type="dxa"/>
          <w:tblLayout w:type="fixed"/>
          <w:tblCellMar>
            <w:top w:w="0" w:type="dxa"/>
            <w:left w:w="0" w:type="dxa"/>
            <w:bottom w:w="0" w:type="dxa"/>
            <w:right w:w="0" w:type="dxa"/>
          </w:tblCellMar>
          <w:tblLook w:val="01E0"/>
        </w:tblPrEx>
        <w:trPr>
          <w:trHeight w:val="251"/>
          <w:jc w:val="left"/>
        </w:trPr>
        <w:tc>
          <w:tcPr>
            <w:tcW w:w="6056" w:type="dxa"/>
          </w:tcPr>
          <w:p>
            <w:pPr>
              <w:pStyle w:val="TableParagraph"/>
              <w:spacing w:line="232" w:lineRule="exact"/>
              <w:rPr>
                <w:sz w:val="22"/>
              </w:rPr>
            </w:pPr>
            <w:r>
              <w:rPr>
                <w:sz w:val="22"/>
              </w:rPr>
              <w:t>Religious</w:t>
            </w:r>
            <w:r>
              <w:rPr>
                <w:spacing w:val="-4"/>
                <w:sz w:val="22"/>
              </w:rPr>
              <w:t xml:space="preserve"> </w:t>
            </w:r>
            <w:r>
              <w:rPr>
                <w:sz w:val="22"/>
              </w:rPr>
              <w:t>Fraternal</w:t>
            </w:r>
            <w:r>
              <w:rPr>
                <w:spacing w:val="-3"/>
                <w:sz w:val="22"/>
              </w:rPr>
              <w:t xml:space="preserve"> </w:t>
            </w:r>
            <w:r>
              <w:rPr>
                <w:sz w:val="22"/>
              </w:rPr>
              <w:t>Benefit</w:t>
            </w:r>
            <w:r>
              <w:rPr>
                <w:spacing w:val="-5"/>
                <w:sz w:val="22"/>
              </w:rPr>
              <w:t xml:space="preserve"> </w:t>
            </w:r>
            <w:r>
              <w:rPr>
                <w:sz w:val="22"/>
              </w:rPr>
              <w:t>with</w:t>
            </w:r>
            <w:r>
              <w:rPr>
                <w:spacing w:val="-4"/>
                <w:sz w:val="22"/>
              </w:rPr>
              <w:t xml:space="preserve"> </w:t>
            </w:r>
            <w:r>
              <w:rPr>
                <w:sz w:val="22"/>
              </w:rPr>
              <w:t>a</w:t>
            </w:r>
            <w:r>
              <w:rPr>
                <w:spacing w:val="-5"/>
                <w:sz w:val="22"/>
              </w:rPr>
              <w:t xml:space="preserve"> </w:t>
            </w:r>
            <w:r>
              <w:rPr>
                <w:sz w:val="22"/>
              </w:rPr>
              <w:t>State</w:t>
            </w:r>
            <w:r>
              <w:rPr>
                <w:spacing w:val="-3"/>
                <w:sz w:val="22"/>
              </w:rPr>
              <w:t xml:space="preserve"> </w:t>
            </w:r>
            <w:r>
              <w:rPr>
                <w:spacing w:val="-2"/>
                <w:sz w:val="22"/>
              </w:rPr>
              <w:t>License</w:t>
            </w:r>
          </w:p>
        </w:tc>
        <w:tc>
          <w:tcPr>
            <w:tcW w:w="2446" w:type="dxa"/>
          </w:tcPr>
          <w:p>
            <w:pPr>
              <w:pStyle w:val="TableParagraph"/>
              <w:spacing w:line="232" w:lineRule="exact"/>
              <w:rPr>
                <w:sz w:val="22"/>
              </w:rPr>
            </w:pPr>
            <w:r>
              <w:rPr>
                <w:sz w:val="22"/>
              </w:rPr>
              <w:t>RFB</w:t>
            </w:r>
            <w:r>
              <w:rPr>
                <w:spacing w:val="-3"/>
                <w:sz w:val="22"/>
              </w:rPr>
              <w:t xml:space="preserve"> </w:t>
            </w:r>
            <w:r>
              <w:rPr>
                <w:sz w:val="22"/>
              </w:rPr>
              <w:t>PSO</w:t>
            </w:r>
            <w:r>
              <w:rPr>
                <w:spacing w:val="-2"/>
                <w:sz w:val="22"/>
              </w:rPr>
              <w:t xml:space="preserve"> </w:t>
            </w:r>
            <w:r>
              <w:rPr>
                <w:sz w:val="22"/>
              </w:rPr>
              <w:t xml:space="preserve">State </w:t>
            </w:r>
            <w:r>
              <w:rPr>
                <w:spacing w:val="-2"/>
                <w:sz w:val="22"/>
              </w:rPr>
              <w:t>License</w:t>
            </w:r>
          </w:p>
        </w:tc>
      </w:tr>
      <w:tr>
        <w:tblPrEx>
          <w:tblW w:w="0" w:type="auto"/>
          <w:jc w:val="left"/>
          <w:tblInd w:w="515" w:type="dxa"/>
          <w:tblLayout w:type="fixed"/>
          <w:tblCellMar>
            <w:top w:w="0" w:type="dxa"/>
            <w:left w:w="0" w:type="dxa"/>
            <w:bottom w:w="0" w:type="dxa"/>
            <w:right w:w="0" w:type="dxa"/>
          </w:tblCellMar>
          <w:tblLook w:val="01E0"/>
        </w:tblPrEx>
        <w:trPr>
          <w:trHeight w:val="254"/>
          <w:jc w:val="left"/>
        </w:trPr>
        <w:tc>
          <w:tcPr>
            <w:tcW w:w="6056" w:type="dxa"/>
          </w:tcPr>
          <w:p>
            <w:pPr>
              <w:pStyle w:val="TableParagraph"/>
              <w:spacing w:line="234" w:lineRule="exact"/>
              <w:rPr>
                <w:sz w:val="22"/>
              </w:rPr>
            </w:pPr>
            <w:r>
              <w:rPr>
                <w:sz w:val="22"/>
              </w:rPr>
              <w:t>Preferred</w:t>
            </w:r>
            <w:r>
              <w:rPr>
                <w:spacing w:val="-6"/>
                <w:sz w:val="22"/>
              </w:rPr>
              <w:t xml:space="preserve"> </w:t>
            </w:r>
            <w:r>
              <w:rPr>
                <w:sz w:val="22"/>
              </w:rPr>
              <w:t>Provider</w:t>
            </w:r>
            <w:r>
              <w:rPr>
                <w:spacing w:val="-6"/>
                <w:sz w:val="22"/>
              </w:rPr>
              <w:t xml:space="preserve"> </w:t>
            </w:r>
            <w:r>
              <w:rPr>
                <w:sz w:val="22"/>
              </w:rPr>
              <w:t>Organization</w:t>
            </w:r>
            <w:r>
              <w:rPr>
                <w:spacing w:val="-5"/>
                <w:sz w:val="22"/>
              </w:rPr>
              <w:t xml:space="preserve"> </w:t>
            </w:r>
            <w:r>
              <w:rPr>
                <w:spacing w:val="-4"/>
                <w:sz w:val="22"/>
              </w:rPr>
              <w:t>(PPO)</w:t>
            </w:r>
          </w:p>
        </w:tc>
        <w:tc>
          <w:tcPr>
            <w:tcW w:w="2446" w:type="dxa"/>
          </w:tcPr>
          <w:p>
            <w:pPr>
              <w:pStyle w:val="TableParagraph"/>
              <w:spacing w:line="234" w:lineRule="exact"/>
              <w:rPr>
                <w:sz w:val="22"/>
              </w:rPr>
            </w:pPr>
            <w:r>
              <w:rPr>
                <w:spacing w:val="-4"/>
                <w:sz w:val="22"/>
              </w:rPr>
              <w:t>LPPO</w:t>
            </w:r>
          </w:p>
        </w:tc>
      </w:tr>
      <w:tr>
        <w:tblPrEx>
          <w:tblW w:w="0" w:type="auto"/>
          <w:jc w:val="left"/>
          <w:tblInd w:w="515" w:type="dxa"/>
          <w:tblLayout w:type="fixed"/>
          <w:tblCellMar>
            <w:top w:w="0" w:type="dxa"/>
            <w:left w:w="0" w:type="dxa"/>
            <w:bottom w:w="0" w:type="dxa"/>
            <w:right w:w="0" w:type="dxa"/>
          </w:tblCellMar>
          <w:tblLook w:val="01E0"/>
        </w:tblPrEx>
        <w:trPr>
          <w:trHeight w:val="251"/>
          <w:jc w:val="left"/>
        </w:trPr>
        <w:tc>
          <w:tcPr>
            <w:tcW w:w="6056" w:type="dxa"/>
          </w:tcPr>
          <w:p>
            <w:pPr>
              <w:pStyle w:val="TableParagraph"/>
              <w:spacing w:line="232" w:lineRule="exact"/>
              <w:rPr>
                <w:sz w:val="22"/>
              </w:rPr>
            </w:pPr>
            <w:r>
              <w:rPr>
                <w:sz w:val="22"/>
              </w:rPr>
              <w:t>Religious</w:t>
            </w:r>
            <w:r>
              <w:rPr>
                <w:spacing w:val="-6"/>
                <w:sz w:val="22"/>
              </w:rPr>
              <w:t xml:space="preserve"> </w:t>
            </w:r>
            <w:r>
              <w:rPr>
                <w:sz w:val="22"/>
              </w:rPr>
              <w:t>Fraternal</w:t>
            </w:r>
            <w:r>
              <w:rPr>
                <w:spacing w:val="-5"/>
                <w:sz w:val="22"/>
              </w:rPr>
              <w:t xml:space="preserve"> </w:t>
            </w:r>
            <w:r>
              <w:rPr>
                <w:sz w:val="22"/>
              </w:rPr>
              <w:t>Benefit</w:t>
            </w:r>
            <w:r>
              <w:rPr>
                <w:spacing w:val="-7"/>
                <w:sz w:val="22"/>
              </w:rPr>
              <w:t xml:space="preserve"> </w:t>
            </w:r>
            <w:r>
              <w:rPr>
                <w:spacing w:val="-5"/>
                <w:sz w:val="22"/>
              </w:rPr>
              <w:t>PPO</w:t>
            </w:r>
          </w:p>
        </w:tc>
        <w:tc>
          <w:tcPr>
            <w:tcW w:w="2446" w:type="dxa"/>
          </w:tcPr>
          <w:p>
            <w:pPr>
              <w:pStyle w:val="TableParagraph"/>
              <w:spacing w:line="232" w:lineRule="exact"/>
              <w:rPr>
                <w:sz w:val="22"/>
              </w:rPr>
            </w:pPr>
            <w:r>
              <w:rPr>
                <w:sz w:val="22"/>
              </w:rPr>
              <w:t>RFB</w:t>
            </w:r>
            <w:r>
              <w:rPr>
                <w:spacing w:val="-3"/>
                <w:sz w:val="22"/>
              </w:rPr>
              <w:t xml:space="preserve"> </w:t>
            </w:r>
            <w:r>
              <w:rPr>
                <w:spacing w:val="-4"/>
                <w:sz w:val="22"/>
              </w:rPr>
              <w:t>LPPO</w:t>
            </w:r>
          </w:p>
        </w:tc>
      </w:tr>
      <w:tr>
        <w:tblPrEx>
          <w:tblW w:w="0" w:type="auto"/>
          <w:jc w:val="left"/>
          <w:tblInd w:w="515" w:type="dxa"/>
          <w:tblLayout w:type="fixed"/>
          <w:tblCellMar>
            <w:top w:w="0" w:type="dxa"/>
            <w:left w:w="0" w:type="dxa"/>
            <w:bottom w:w="0" w:type="dxa"/>
            <w:right w:w="0" w:type="dxa"/>
          </w:tblCellMar>
          <w:tblLook w:val="01E0"/>
        </w:tblPrEx>
        <w:trPr>
          <w:trHeight w:val="338"/>
          <w:jc w:val="left"/>
        </w:trPr>
        <w:tc>
          <w:tcPr>
            <w:tcW w:w="6056" w:type="dxa"/>
          </w:tcPr>
          <w:p>
            <w:pPr>
              <w:pStyle w:val="TableParagraph"/>
              <w:spacing w:before="34"/>
              <w:rPr>
                <w:b/>
                <w:sz w:val="22"/>
              </w:rPr>
            </w:pPr>
            <w:r>
              <w:rPr>
                <w:b/>
                <w:sz w:val="22"/>
              </w:rPr>
              <w:t>Regional</w:t>
            </w:r>
            <w:r>
              <w:rPr>
                <w:b/>
                <w:spacing w:val="-6"/>
                <w:sz w:val="22"/>
              </w:rPr>
              <w:t xml:space="preserve"> </w:t>
            </w:r>
            <w:r>
              <w:rPr>
                <w:b/>
                <w:sz w:val="22"/>
              </w:rPr>
              <w:t>Coordinated</w:t>
            </w:r>
            <w:r>
              <w:rPr>
                <w:b/>
                <w:spacing w:val="-7"/>
                <w:sz w:val="22"/>
              </w:rPr>
              <w:t xml:space="preserve"> </w:t>
            </w:r>
            <w:r>
              <w:rPr>
                <w:b/>
                <w:sz w:val="22"/>
              </w:rPr>
              <w:t>Care</w:t>
            </w:r>
            <w:r>
              <w:rPr>
                <w:b/>
                <w:spacing w:val="-6"/>
                <w:sz w:val="22"/>
              </w:rPr>
              <w:t xml:space="preserve"> </w:t>
            </w:r>
            <w:r>
              <w:rPr>
                <w:b/>
                <w:spacing w:val="-2"/>
                <w:sz w:val="22"/>
              </w:rPr>
              <w:t>Plan:</w:t>
            </w:r>
          </w:p>
        </w:tc>
        <w:tc>
          <w:tcPr>
            <w:tcW w:w="2446" w:type="dxa"/>
          </w:tcPr>
          <w:p>
            <w:pPr>
              <w:pStyle w:val="TableParagraph"/>
              <w:ind w:left="0"/>
              <w:rPr>
                <w:sz w:val="22"/>
              </w:rPr>
            </w:pPr>
          </w:p>
        </w:tc>
      </w:tr>
      <w:tr>
        <w:tblPrEx>
          <w:tblW w:w="0" w:type="auto"/>
          <w:jc w:val="left"/>
          <w:tblInd w:w="515" w:type="dxa"/>
          <w:tblLayout w:type="fixed"/>
          <w:tblCellMar>
            <w:top w:w="0" w:type="dxa"/>
            <w:left w:w="0" w:type="dxa"/>
            <w:bottom w:w="0" w:type="dxa"/>
            <w:right w:w="0" w:type="dxa"/>
          </w:tblCellMar>
          <w:tblLook w:val="01E0"/>
        </w:tblPrEx>
        <w:trPr>
          <w:trHeight w:val="254"/>
          <w:jc w:val="left"/>
        </w:trPr>
        <w:tc>
          <w:tcPr>
            <w:tcW w:w="6056" w:type="dxa"/>
          </w:tcPr>
          <w:p>
            <w:pPr>
              <w:pStyle w:val="TableParagraph"/>
              <w:spacing w:before="1" w:line="233" w:lineRule="exact"/>
              <w:rPr>
                <w:sz w:val="22"/>
              </w:rPr>
            </w:pPr>
            <w:r>
              <w:rPr>
                <w:sz w:val="22"/>
              </w:rPr>
              <w:t>Regional</w:t>
            </w:r>
            <w:r>
              <w:rPr>
                <w:spacing w:val="-6"/>
                <w:sz w:val="22"/>
              </w:rPr>
              <w:t xml:space="preserve"> </w:t>
            </w:r>
            <w:r>
              <w:rPr>
                <w:sz w:val="22"/>
              </w:rPr>
              <w:t>Preferred</w:t>
            </w:r>
            <w:r>
              <w:rPr>
                <w:spacing w:val="-6"/>
                <w:sz w:val="22"/>
              </w:rPr>
              <w:t xml:space="preserve"> </w:t>
            </w:r>
            <w:r>
              <w:rPr>
                <w:sz w:val="22"/>
              </w:rPr>
              <w:t>Provider</w:t>
            </w:r>
            <w:r>
              <w:rPr>
                <w:spacing w:val="-6"/>
                <w:sz w:val="22"/>
              </w:rPr>
              <w:t xml:space="preserve"> </w:t>
            </w:r>
            <w:r>
              <w:rPr>
                <w:sz w:val="22"/>
              </w:rPr>
              <w:t>Organization</w:t>
            </w:r>
            <w:r>
              <w:rPr>
                <w:spacing w:val="-6"/>
                <w:sz w:val="22"/>
              </w:rPr>
              <w:t xml:space="preserve"> </w:t>
            </w:r>
            <w:r>
              <w:rPr>
                <w:spacing w:val="-2"/>
                <w:sz w:val="22"/>
              </w:rPr>
              <w:t>(RPPO)</w:t>
            </w:r>
          </w:p>
        </w:tc>
        <w:tc>
          <w:tcPr>
            <w:tcW w:w="2446" w:type="dxa"/>
          </w:tcPr>
          <w:p>
            <w:pPr>
              <w:pStyle w:val="TableParagraph"/>
              <w:spacing w:before="1" w:line="233" w:lineRule="exact"/>
              <w:rPr>
                <w:sz w:val="22"/>
              </w:rPr>
            </w:pPr>
            <w:r>
              <w:rPr>
                <w:spacing w:val="-4"/>
                <w:sz w:val="22"/>
              </w:rPr>
              <w:t>RPPO</w:t>
            </w:r>
          </w:p>
        </w:tc>
      </w:tr>
      <w:tr>
        <w:tblPrEx>
          <w:tblW w:w="0" w:type="auto"/>
          <w:jc w:val="left"/>
          <w:tblInd w:w="515" w:type="dxa"/>
          <w:tblLayout w:type="fixed"/>
          <w:tblCellMar>
            <w:top w:w="0" w:type="dxa"/>
            <w:left w:w="0" w:type="dxa"/>
            <w:bottom w:w="0" w:type="dxa"/>
            <w:right w:w="0" w:type="dxa"/>
          </w:tblCellMar>
          <w:tblLook w:val="01E0"/>
        </w:tblPrEx>
        <w:trPr>
          <w:trHeight w:val="273"/>
          <w:jc w:val="left"/>
        </w:trPr>
        <w:tc>
          <w:tcPr>
            <w:tcW w:w="6056" w:type="dxa"/>
          </w:tcPr>
          <w:p>
            <w:pPr>
              <w:pStyle w:val="TableParagraph"/>
              <w:spacing w:before="1" w:line="252" w:lineRule="exact"/>
              <w:rPr>
                <w:b/>
                <w:sz w:val="22"/>
              </w:rPr>
            </w:pPr>
            <w:r>
              <w:rPr>
                <w:b/>
                <w:sz w:val="22"/>
              </w:rPr>
              <w:t>Private</w:t>
            </w:r>
            <w:r>
              <w:rPr>
                <w:b/>
                <w:spacing w:val="-7"/>
                <w:sz w:val="22"/>
              </w:rPr>
              <w:t xml:space="preserve"> </w:t>
            </w:r>
            <w:r>
              <w:rPr>
                <w:b/>
                <w:sz w:val="22"/>
              </w:rPr>
              <w:t>Fee-for-Service</w:t>
            </w:r>
            <w:r>
              <w:rPr>
                <w:b/>
                <w:spacing w:val="-7"/>
                <w:sz w:val="22"/>
              </w:rPr>
              <w:t xml:space="preserve"> </w:t>
            </w:r>
            <w:r>
              <w:rPr>
                <w:b/>
                <w:spacing w:val="-2"/>
                <w:sz w:val="22"/>
              </w:rPr>
              <w:t>Plans:</w:t>
            </w:r>
          </w:p>
        </w:tc>
        <w:tc>
          <w:tcPr>
            <w:tcW w:w="2446" w:type="dxa"/>
          </w:tcPr>
          <w:p>
            <w:pPr>
              <w:pStyle w:val="TableParagraph"/>
              <w:ind w:left="0"/>
              <w:rPr>
                <w:sz w:val="20"/>
              </w:rPr>
            </w:pPr>
          </w:p>
        </w:tc>
      </w:tr>
      <w:tr>
        <w:tblPrEx>
          <w:tblW w:w="0" w:type="auto"/>
          <w:jc w:val="left"/>
          <w:tblInd w:w="515" w:type="dxa"/>
          <w:tblLayout w:type="fixed"/>
          <w:tblCellMar>
            <w:top w:w="0" w:type="dxa"/>
            <w:left w:w="0" w:type="dxa"/>
            <w:bottom w:w="0" w:type="dxa"/>
            <w:right w:w="0" w:type="dxa"/>
          </w:tblCellMar>
          <w:tblLook w:val="01E0"/>
        </w:tblPrEx>
        <w:trPr>
          <w:trHeight w:val="253"/>
          <w:jc w:val="left"/>
        </w:trPr>
        <w:tc>
          <w:tcPr>
            <w:tcW w:w="6056" w:type="dxa"/>
          </w:tcPr>
          <w:p>
            <w:pPr>
              <w:pStyle w:val="TableParagraph"/>
              <w:spacing w:line="234" w:lineRule="exact"/>
              <w:rPr>
                <w:sz w:val="22"/>
              </w:rPr>
            </w:pPr>
            <w:r>
              <w:rPr>
                <w:sz w:val="22"/>
              </w:rPr>
              <w:t>Private</w:t>
            </w:r>
            <w:r>
              <w:rPr>
                <w:spacing w:val="-6"/>
                <w:sz w:val="22"/>
              </w:rPr>
              <w:t xml:space="preserve"> </w:t>
            </w:r>
            <w:r>
              <w:rPr>
                <w:sz w:val="22"/>
              </w:rPr>
              <w:t>Fee-for-Service</w:t>
            </w:r>
            <w:r>
              <w:rPr>
                <w:spacing w:val="-4"/>
                <w:sz w:val="22"/>
              </w:rPr>
              <w:t xml:space="preserve"> </w:t>
            </w:r>
            <w:r>
              <w:rPr>
                <w:sz w:val="22"/>
              </w:rPr>
              <w:t>Plan</w:t>
            </w:r>
            <w:r>
              <w:rPr>
                <w:spacing w:val="-5"/>
                <w:sz w:val="22"/>
              </w:rPr>
              <w:t xml:space="preserve"> </w:t>
            </w:r>
            <w:r>
              <w:rPr>
                <w:spacing w:val="-2"/>
                <w:sz w:val="22"/>
              </w:rPr>
              <w:t>(PFFS)</w:t>
            </w:r>
          </w:p>
        </w:tc>
        <w:tc>
          <w:tcPr>
            <w:tcW w:w="2446" w:type="dxa"/>
          </w:tcPr>
          <w:p>
            <w:pPr>
              <w:pStyle w:val="TableParagraph"/>
              <w:spacing w:line="234" w:lineRule="exact"/>
              <w:rPr>
                <w:sz w:val="22"/>
              </w:rPr>
            </w:pPr>
            <w:r>
              <w:rPr>
                <w:spacing w:val="-4"/>
                <w:sz w:val="22"/>
              </w:rPr>
              <w:t>PFFS</w:t>
            </w:r>
          </w:p>
        </w:tc>
      </w:tr>
      <w:tr>
        <w:tblPrEx>
          <w:tblW w:w="0" w:type="auto"/>
          <w:jc w:val="left"/>
          <w:tblInd w:w="515" w:type="dxa"/>
          <w:tblLayout w:type="fixed"/>
          <w:tblCellMar>
            <w:top w:w="0" w:type="dxa"/>
            <w:left w:w="0" w:type="dxa"/>
            <w:bottom w:w="0" w:type="dxa"/>
            <w:right w:w="0" w:type="dxa"/>
          </w:tblCellMar>
          <w:tblLook w:val="01E0"/>
        </w:tblPrEx>
        <w:trPr>
          <w:trHeight w:val="251"/>
          <w:jc w:val="left"/>
        </w:trPr>
        <w:tc>
          <w:tcPr>
            <w:tcW w:w="6056" w:type="dxa"/>
          </w:tcPr>
          <w:p>
            <w:pPr>
              <w:pStyle w:val="TableParagraph"/>
              <w:spacing w:line="232" w:lineRule="exact"/>
              <w:rPr>
                <w:sz w:val="22"/>
              </w:rPr>
            </w:pPr>
            <w:r>
              <w:rPr>
                <w:sz w:val="22"/>
              </w:rPr>
              <w:t>Religious</w:t>
            </w:r>
            <w:r>
              <w:rPr>
                <w:spacing w:val="-6"/>
                <w:sz w:val="22"/>
              </w:rPr>
              <w:t xml:space="preserve"> </w:t>
            </w:r>
            <w:r>
              <w:rPr>
                <w:sz w:val="22"/>
              </w:rPr>
              <w:t>Fraternal</w:t>
            </w:r>
            <w:r>
              <w:rPr>
                <w:spacing w:val="-5"/>
                <w:sz w:val="22"/>
              </w:rPr>
              <w:t xml:space="preserve"> </w:t>
            </w:r>
            <w:r>
              <w:rPr>
                <w:sz w:val="22"/>
              </w:rPr>
              <w:t>Benefit</w:t>
            </w:r>
            <w:r>
              <w:rPr>
                <w:spacing w:val="-7"/>
                <w:sz w:val="22"/>
              </w:rPr>
              <w:t xml:space="preserve"> </w:t>
            </w:r>
            <w:r>
              <w:rPr>
                <w:spacing w:val="-4"/>
                <w:sz w:val="22"/>
              </w:rPr>
              <w:t>PFFS</w:t>
            </w:r>
          </w:p>
        </w:tc>
        <w:tc>
          <w:tcPr>
            <w:tcW w:w="2446" w:type="dxa"/>
          </w:tcPr>
          <w:p>
            <w:pPr>
              <w:pStyle w:val="TableParagraph"/>
              <w:spacing w:line="232" w:lineRule="exact"/>
              <w:rPr>
                <w:sz w:val="22"/>
              </w:rPr>
            </w:pPr>
            <w:r>
              <w:rPr>
                <w:sz w:val="22"/>
              </w:rPr>
              <w:t>RFB</w:t>
            </w:r>
            <w:r>
              <w:rPr>
                <w:spacing w:val="-3"/>
                <w:sz w:val="22"/>
              </w:rPr>
              <w:t xml:space="preserve"> </w:t>
            </w:r>
            <w:r>
              <w:rPr>
                <w:spacing w:val="-4"/>
                <w:sz w:val="22"/>
              </w:rPr>
              <w:t>PFFS</w:t>
            </w:r>
          </w:p>
        </w:tc>
      </w:tr>
      <w:tr>
        <w:tblPrEx>
          <w:tblW w:w="0" w:type="auto"/>
          <w:jc w:val="left"/>
          <w:tblInd w:w="515" w:type="dxa"/>
          <w:tblLayout w:type="fixed"/>
          <w:tblCellMar>
            <w:top w:w="0" w:type="dxa"/>
            <w:left w:w="0" w:type="dxa"/>
            <w:bottom w:w="0" w:type="dxa"/>
            <w:right w:w="0" w:type="dxa"/>
          </w:tblCellMar>
          <w:tblLook w:val="01E0"/>
        </w:tblPrEx>
        <w:trPr>
          <w:trHeight w:val="273"/>
          <w:jc w:val="left"/>
        </w:trPr>
        <w:tc>
          <w:tcPr>
            <w:tcW w:w="6056" w:type="dxa"/>
          </w:tcPr>
          <w:p>
            <w:pPr>
              <w:pStyle w:val="TableParagraph"/>
              <w:spacing w:before="1" w:line="252" w:lineRule="exact"/>
              <w:rPr>
                <w:b/>
                <w:sz w:val="22"/>
              </w:rPr>
            </w:pPr>
            <w:r>
              <w:rPr>
                <w:b/>
                <w:sz w:val="22"/>
              </w:rPr>
              <w:t>Prescription</w:t>
            </w:r>
            <w:r>
              <w:rPr>
                <w:b/>
                <w:spacing w:val="-9"/>
                <w:sz w:val="22"/>
              </w:rPr>
              <w:t xml:space="preserve"> </w:t>
            </w:r>
            <w:r>
              <w:rPr>
                <w:b/>
                <w:sz w:val="22"/>
              </w:rPr>
              <w:t>Drug</w:t>
            </w:r>
            <w:r>
              <w:rPr>
                <w:b/>
                <w:spacing w:val="-7"/>
                <w:sz w:val="22"/>
              </w:rPr>
              <w:t xml:space="preserve"> </w:t>
            </w:r>
            <w:r>
              <w:rPr>
                <w:b/>
                <w:spacing w:val="-2"/>
                <w:sz w:val="22"/>
              </w:rPr>
              <w:t>Plans:</w:t>
            </w:r>
          </w:p>
        </w:tc>
        <w:tc>
          <w:tcPr>
            <w:tcW w:w="2446" w:type="dxa"/>
          </w:tcPr>
          <w:p>
            <w:pPr>
              <w:pStyle w:val="TableParagraph"/>
              <w:ind w:left="0"/>
              <w:rPr>
                <w:sz w:val="20"/>
              </w:rPr>
            </w:pPr>
          </w:p>
        </w:tc>
      </w:tr>
      <w:tr>
        <w:tblPrEx>
          <w:tblW w:w="0" w:type="auto"/>
          <w:jc w:val="left"/>
          <w:tblInd w:w="515" w:type="dxa"/>
          <w:tblLayout w:type="fixed"/>
          <w:tblCellMar>
            <w:top w:w="0" w:type="dxa"/>
            <w:left w:w="0" w:type="dxa"/>
            <w:bottom w:w="0" w:type="dxa"/>
            <w:right w:w="0" w:type="dxa"/>
          </w:tblCellMar>
          <w:tblLook w:val="01E0"/>
        </w:tblPrEx>
        <w:trPr>
          <w:trHeight w:val="254"/>
          <w:jc w:val="left"/>
        </w:trPr>
        <w:tc>
          <w:tcPr>
            <w:tcW w:w="6056" w:type="dxa"/>
          </w:tcPr>
          <w:p>
            <w:pPr>
              <w:pStyle w:val="TableParagraph"/>
              <w:spacing w:line="234" w:lineRule="exact"/>
              <w:rPr>
                <w:sz w:val="22"/>
              </w:rPr>
            </w:pPr>
            <w:r>
              <w:rPr>
                <w:sz w:val="22"/>
              </w:rPr>
              <w:t>Medicare</w:t>
            </w:r>
            <w:r>
              <w:rPr>
                <w:spacing w:val="-5"/>
                <w:sz w:val="22"/>
              </w:rPr>
              <w:t xml:space="preserve"> </w:t>
            </w:r>
            <w:r>
              <w:rPr>
                <w:sz w:val="22"/>
              </w:rPr>
              <w:t>Prescription</w:t>
            </w:r>
            <w:r>
              <w:rPr>
                <w:spacing w:val="-4"/>
                <w:sz w:val="22"/>
              </w:rPr>
              <w:t xml:space="preserve"> </w:t>
            </w:r>
            <w:r>
              <w:rPr>
                <w:sz w:val="22"/>
              </w:rPr>
              <w:t>Drug</w:t>
            </w:r>
            <w:r>
              <w:rPr>
                <w:spacing w:val="-7"/>
                <w:sz w:val="22"/>
              </w:rPr>
              <w:t xml:space="preserve"> </w:t>
            </w:r>
            <w:r>
              <w:rPr>
                <w:sz w:val="22"/>
              </w:rPr>
              <w:t>Plan</w:t>
            </w:r>
            <w:r>
              <w:rPr>
                <w:spacing w:val="-5"/>
                <w:sz w:val="22"/>
              </w:rPr>
              <w:t xml:space="preserve"> </w:t>
            </w:r>
            <w:r>
              <w:rPr>
                <w:spacing w:val="-4"/>
                <w:sz w:val="22"/>
              </w:rPr>
              <w:t>(PDP)</w:t>
            </w:r>
          </w:p>
        </w:tc>
        <w:tc>
          <w:tcPr>
            <w:tcW w:w="2446" w:type="dxa"/>
          </w:tcPr>
          <w:p>
            <w:pPr>
              <w:pStyle w:val="TableParagraph"/>
              <w:spacing w:line="234" w:lineRule="exact"/>
              <w:rPr>
                <w:sz w:val="22"/>
              </w:rPr>
            </w:pPr>
            <w:r>
              <w:rPr>
                <w:spacing w:val="-5"/>
                <w:sz w:val="22"/>
              </w:rPr>
              <w:t>PDP</w:t>
            </w:r>
          </w:p>
        </w:tc>
      </w:tr>
      <w:tr>
        <w:tblPrEx>
          <w:tblW w:w="0" w:type="auto"/>
          <w:jc w:val="left"/>
          <w:tblInd w:w="515" w:type="dxa"/>
          <w:tblLayout w:type="fixed"/>
          <w:tblCellMar>
            <w:top w:w="0" w:type="dxa"/>
            <w:left w:w="0" w:type="dxa"/>
            <w:bottom w:w="0" w:type="dxa"/>
            <w:right w:w="0" w:type="dxa"/>
          </w:tblCellMar>
          <w:tblLook w:val="01E0"/>
        </w:tblPrEx>
        <w:trPr>
          <w:trHeight w:val="251"/>
          <w:jc w:val="left"/>
        </w:trPr>
        <w:tc>
          <w:tcPr>
            <w:tcW w:w="6056" w:type="dxa"/>
          </w:tcPr>
          <w:p>
            <w:pPr>
              <w:pStyle w:val="TableParagraph"/>
              <w:spacing w:line="232" w:lineRule="exact"/>
              <w:rPr>
                <w:sz w:val="22"/>
              </w:rPr>
            </w:pPr>
            <w:r>
              <w:rPr>
                <w:sz w:val="22"/>
              </w:rPr>
              <w:t>Fallback</w:t>
            </w:r>
            <w:r>
              <w:rPr>
                <w:spacing w:val="-2"/>
                <w:sz w:val="22"/>
              </w:rPr>
              <w:t xml:space="preserve"> </w:t>
            </w:r>
            <w:r>
              <w:rPr>
                <w:spacing w:val="-4"/>
                <w:sz w:val="22"/>
              </w:rPr>
              <w:t>Plan</w:t>
            </w:r>
          </w:p>
        </w:tc>
        <w:tc>
          <w:tcPr>
            <w:tcW w:w="2446" w:type="dxa"/>
          </w:tcPr>
          <w:p>
            <w:pPr>
              <w:pStyle w:val="TableParagraph"/>
              <w:spacing w:line="232" w:lineRule="exact"/>
              <w:rPr>
                <w:sz w:val="22"/>
              </w:rPr>
            </w:pPr>
            <w:r>
              <w:rPr>
                <w:spacing w:val="-2"/>
                <w:sz w:val="22"/>
              </w:rPr>
              <w:t>Fallback</w:t>
            </w:r>
          </w:p>
        </w:tc>
      </w:tr>
      <w:tr>
        <w:tblPrEx>
          <w:tblW w:w="0" w:type="auto"/>
          <w:jc w:val="left"/>
          <w:tblInd w:w="515" w:type="dxa"/>
          <w:tblLayout w:type="fixed"/>
          <w:tblCellMar>
            <w:top w:w="0" w:type="dxa"/>
            <w:left w:w="0" w:type="dxa"/>
            <w:bottom w:w="0" w:type="dxa"/>
            <w:right w:w="0" w:type="dxa"/>
          </w:tblCellMar>
          <w:tblLook w:val="01E0"/>
        </w:tblPrEx>
        <w:trPr>
          <w:trHeight w:val="273"/>
          <w:jc w:val="left"/>
        </w:trPr>
        <w:tc>
          <w:tcPr>
            <w:tcW w:w="6056" w:type="dxa"/>
          </w:tcPr>
          <w:p>
            <w:pPr>
              <w:pStyle w:val="TableParagraph"/>
              <w:spacing w:before="1" w:line="252" w:lineRule="exact"/>
              <w:rPr>
                <w:b/>
                <w:sz w:val="22"/>
              </w:rPr>
            </w:pPr>
            <w:r>
              <w:rPr>
                <w:b/>
                <w:sz w:val="22"/>
              </w:rPr>
              <w:t>Demonstration</w:t>
            </w:r>
            <w:r>
              <w:rPr>
                <w:b/>
                <w:spacing w:val="-9"/>
                <w:sz w:val="22"/>
              </w:rPr>
              <w:t xml:space="preserve"> </w:t>
            </w:r>
            <w:r>
              <w:rPr>
                <w:b/>
                <w:spacing w:val="-2"/>
                <w:sz w:val="22"/>
              </w:rPr>
              <w:t>Plans:</w:t>
            </w:r>
          </w:p>
        </w:tc>
        <w:tc>
          <w:tcPr>
            <w:tcW w:w="2446" w:type="dxa"/>
          </w:tcPr>
          <w:p>
            <w:pPr>
              <w:pStyle w:val="TableParagraph"/>
              <w:ind w:left="0"/>
              <w:rPr>
                <w:sz w:val="20"/>
              </w:rPr>
            </w:pPr>
          </w:p>
        </w:tc>
      </w:tr>
      <w:tr>
        <w:tblPrEx>
          <w:tblW w:w="0" w:type="auto"/>
          <w:jc w:val="left"/>
          <w:tblInd w:w="515" w:type="dxa"/>
          <w:tblLayout w:type="fixed"/>
          <w:tblCellMar>
            <w:top w:w="0" w:type="dxa"/>
            <w:left w:w="0" w:type="dxa"/>
            <w:bottom w:w="0" w:type="dxa"/>
            <w:right w:w="0" w:type="dxa"/>
          </w:tblCellMar>
          <w:tblLook w:val="01E0"/>
        </w:tblPrEx>
        <w:trPr>
          <w:trHeight w:val="254"/>
          <w:jc w:val="left"/>
        </w:trPr>
        <w:tc>
          <w:tcPr>
            <w:tcW w:w="6056" w:type="dxa"/>
          </w:tcPr>
          <w:p>
            <w:pPr>
              <w:pStyle w:val="TableParagraph"/>
              <w:spacing w:line="234" w:lineRule="exact"/>
              <w:rPr>
                <w:sz w:val="22"/>
              </w:rPr>
            </w:pPr>
            <w:r>
              <w:rPr>
                <w:sz w:val="22"/>
              </w:rPr>
              <w:t>National</w:t>
            </w:r>
            <w:r>
              <w:rPr>
                <w:spacing w:val="-5"/>
                <w:sz w:val="22"/>
              </w:rPr>
              <w:t xml:space="preserve"> </w:t>
            </w:r>
            <w:r>
              <w:rPr>
                <w:spacing w:val="-4"/>
                <w:sz w:val="22"/>
              </w:rPr>
              <w:t>PACE</w:t>
            </w:r>
          </w:p>
        </w:tc>
        <w:tc>
          <w:tcPr>
            <w:tcW w:w="2446" w:type="dxa"/>
          </w:tcPr>
          <w:p>
            <w:pPr>
              <w:pStyle w:val="TableParagraph"/>
              <w:spacing w:line="234" w:lineRule="exact"/>
              <w:rPr>
                <w:sz w:val="22"/>
              </w:rPr>
            </w:pPr>
            <w:r>
              <w:rPr>
                <w:spacing w:val="-4"/>
                <w:sz w:val="22"/>
              </w:rPr>
              <w:t>PACE</w:t>
            </w:r>
          </w:p>
        </w:tc>
      </w:tr>
      <w:tr>
        <w:tblPrEx>
          <w:tblW w:w="0" w:type="auto"/>
          <w:jc w:val="left"/>
          <w:tblInd w:w="515" w:type="dxa"/>
          <w:tblLayout w:type="fixed"/>
          <w:tblCellMar>
            <w:top w:w="0" w:type="dxa"/>
            <w:left w:w="0" w:type="dxa"/>
            <w:bottom w:w="0" w:type="dxa"/>
            <w:right w:w="0" w:type="dxa"/>
          </w:tblCellMar>
          <w:tblLook w:val="01E0"/>
        </w:tblPrEx>
        <w:trPr>
          <w:trHeight w:val="251"/>
          <w:jc w:val="left"/>
        </w:trPr>
        <w:tc>
          <w:tcPr>
            <w:tcW w:w="6056" w:type="dxa"/>
          </w:tcPr>
          <w:p>
            <w:pPr>
              <w:pStyle w:val="TableParagraph"/>
              <w:spacing w:line="232" w:lineRule="exact"/>
              <w:rPr>
                <w:b/>
                <w:sz w:val="22"/>
              </w:rPr>
            </w:pPr>
            <w:r>
              <w:rPr>
                <w:b/>
                <w:sz w:val="22"/>
              </w:rPr>
              <w:t>Cost</w:t>
            </w:r>
            <w:r>
              <w:rPr>
                <w:b/>
                <w:spacing w:val="-3"/>
                <w:sz w:val="22"/>
              </w:rPr>
              <w:t xml:space="preserve"> </w:t>
            </w:r>
            <w:r>
              <w:rPr>
                <w:b/>
                <w:spacing w:val="-2"/>
                <w:sz w:val="22"/>
              </w:rPr>
              <w:t>Plans:</w:t>
            </w:r>
          </w:p>
        </w:tc>
        <w:tc>
          <w:tcPr>
            <w:tcW w:w="2446" w:type="dxa"/>
          </w:tcPr>
          <w:p>
            <w:pPr>
              <w:pStyle w:val="TableParagraph"/>
              <w:ind w:left="0"/>
              <w:rPr>
                <w:sz w:val="18"/>
              </w:rPr>
            </w:pPr>
          </w:p>
        </w:tc>
      </w:tr>
      <w:tr>
        <w:tblPrEx>
          <w:tblW w:w="0" w:type="auto"/>
          <w:jc w:val="left"/>
          <w:tblInd w:w="515" w:type="dxa"/>
          <w:tblLayout w:type="fixed"/>
          <w:tblCellMar>
            <w:top w:w="0" w:type="dxa"/>
            <w:left w:w="0" w:type="dxa"/>
            <w:bottom w:w="0" w:type="dxa"/>
            <w:right w:w="0" w:type="dxa"/>
          </w:tblCellMar>
          <w:tblLook w:val="01E0"/>
        </w:tblPrEx>
        <w:trPr>
          <w:trHeight w:val="254"/>
          <w:jc w:val="left"/>
        </w:trPr>
        <w:tc>
          <w:tcPr>
            <w:tcW w:w="6056" w:type="dxa"/>
          </w:tcPr>
          <w:p>
            <w:pPr>
              <w:pStyle w:val="TableParagraph"/>
              <w:spacing w:line="234" w:lineRule="exact"/>
              <w:rPr>
                <w:sz w:val="22"/>
              </w:rPr>
            </w:pPr>
            <w:r>
              <w:rPr>
                <w:sz w:val="22"/>
              </w:rPr>
              <w:t>1876</w:t>
            </w:r>
            <w:r>
              <w:rPr>
                <w:spacing w:val="-2"/>
                <w:sz w:val="22"/>
              </w:rPr>
              <w:t xml:space="preserve"> </w:t>
            </w:r>
            <w:r>
              <w:rPr>
                <w:spacing w:val="-4"/>
                <w:sz w:val="22"/>
              </w:rPr>
              <w:t>Cost</w:t>
            </w:r>
          </w:p>
        </w:tc>
        <w:tc>
          <w:tcPr>
            <w:tcW w:w="2446" w:type="dxa"/>
          </w:tcPr>
          <w:p>
            <w:pPr>
              <w:pStyle w:val="TableParagraph"/>
              <w:spacing w:line="234" w:lineRule="exact"/>
              <w:rPr>
                <w:sz w:val="22"/>
              </w:rPr>
            </w:pPr>
            <w:r>
              <w:rPr>
                <w:sz w:val="22"/>
              </w:rPr>
              <w:t>1876</w:t>
            </w:r>
            <w:r>
              <w:rPr>
                <w:spacing w:val="-2"/>
                <w:sz w:val="22"/>
              </w:rPr>
              <w:t xml:space="preserve"> </w:t>
            </w:r>
            <w:r>
              <w:rPr>
                <w:spacing w:val="-4"/>
                <w:sz w:val="22"/>
              </w:rPr>
              <w:t>Cost</w:t>
            </w:r>
          </w:p>
        </w:tc>
      </w:tr>
      <w:tr>
        <w:tblPrEx>
          <w:tblW w:w="0" w:type="auto"/>
          <w:jc w:val="left"/>
          <w:tblInd w:w="515" w:type="dxa"/>
          <w:tblLayout w:type="fixed"/>
          <w:tblCellMar>
            <w:top w:w="0" w:type="dxa"/>
            <w:left w:w="0" w:type="dxa"/>
            <w:bottom w:w="0" w:type="dxa"/>
            <w:right w:w="0" w:type="dxa"/>
          </w:tblCellMar>
          <w:tblLook w:val="01E0"/>
        </w:tblPrEx>
        <w:trPr>
          <w:trHeight w:val="253"/>
          <w:jc w:val="left"/>
        </w:trPr>
        <w:tc>
          <w:tcPr>
            <w:tcW w:w="6056" w:type="dxa"/>
          </w:tcPr>
          <w:p>
            <w:pPr>
              <w:pStyle w:val="TableParagraph"/>
              <w:spacing w:line="234" w:lineRule="exact"/>
              <w:rPr>
                <w:sz w:val="22"/>
              </w:rPr>
            </w:pPr>
            <w:r>
              <w:rPr>
                <w:sz w:val="22"/>
              </w:rPr>
              <w:t>1833</w:t>
            </w:r>
            <w:r>
              <w:rPr>
                <w:spacing w:val="-2"/>
                <w:sz w:val="22"/>
              </w:rPr>
              <w:t xml:space="preserve"> </w:t>
            </w:r>
            <w:r>
              <w:rPr>
                <w:spacing w:val="-4"/>
                <w:sz w:val="22"/>
              </w:rPr>
              <w:t>Cost</w:t>
            </w:r>
          </w:p>
        </w:tc>
        <w:tc>
          <w:tcPr>
            <w:tcW w:w="2446" w:type="dxa"/>
          </w:tcPr>
          <w:p>
            <w:pPr>
              <w:pStyle w:val="TableParagraph"/>
              <w:spacing w:line="234" w:lineRule="exact"/>
              <w:rPr>
                <w:sz w:val="22"/>
              </w:rPr>
            </w:pPr>
            <w:r>
              <w:rPr>
                <w:sz w:val="22"/>
              </w:rPr>
              <w:t>1833</w:t>
            </w:r>
            <w:r>
              <w:rPr>
                <w:spacing w:val="-2"/>
                <w:sz w:val="22"/>
              </w:rPr>
              <w:t xml:space="preserve"> </w:t>
            </w:r>
            <w:r>
              <w:rPr>
                <w:spacing w:val="-4"/>
                <w:sz w:val="22"/>
              </w:rPr>
              <w:t>Cost</w:t>
            </w:r>
          </w:p>
        </w:tc>
      </w:tr>
    </w:tbl>
    <w:p>
      <w:pPr>
        <w:spacing w:before="249"/>
        <w:ind w:left="440" w:right="0" w:firstLine="0"/>
        <w:jc w:val="left"/>
        <w:rPr>
          <w:rFonts w:ascii="Arial" w:hAnsi="Arial"/>
          <w:b/>
          <w:sz w:val="21"/>
        </w:rPr>
      </w:pPr>
      <w:bookmarkStart w:id="65" w:name="Line 9 – Enrollee Type"/>
      <w:bookmarkEnd w:id="65"/>
      <w:r>
        <w:rPr>
          <w:rFonts w:ascii="Arial" w:hAnsi="Arial"/>
          <w:b/>
          <w:sz w:val="21"/>
        </w:rPr>
        <w:t>Line</w:t>
      </w:r>
      <w:r>
        <w:rPr>
          <w:rFonts w:ascii="Arial" w:hAnsi="Arial"/>
          <w:b/>
          <w:spacing w:val="-5"/>
          <w:sz w:val="21"/>
        </w:rPr>
        <w:t xml:space="preserve"> </w:t>
      </w:r>
      <w:r>
        <w:rPr>
          <w:rFonts w:ascii="Arial" w:hAnsi="Arial"/>
          <w:b/>
          <w:sz w:val="21"/>
        </w:rPr>
        <w:t>9</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Enrollee</w:t>
      </w:r>
      <w:r>
        <w:rPr>
          <w:rFonts w:ascii="Arial" w:hAnsi="Arial"/>
          <w:b/>
          <w:spacing w:val="-5"/>
          <w:sz w:val="21"/>
        </w:rPr>
        <w:t xml:space="preserve"> </w:t>
      </w:r>
      <w:r>
        <w:rPr>
          <w:rFonts w:ascii="Arial" w:hAnsi="Arial"/>
          <w:b/>
          <w:spacing w:val="-4"/>
          <w:sz w:val="21"/>
        </w:rPr>
        <w:t>Type</w:t>
      </w:r>
    </w:p>
    <w:p>
      <w:pPr>
        <w:pStyle w:val="BodyText"/>
        <w:spacing w:before="118"/>
        <w:ind w:left="440" w:right="918"/>
      </w:pPr>
      <w:r>
        <w:t>If</w:t>
      </w:r>
      <w:r>
        <w:rPr>
          <w:spacing w:val="-4"/>
        </w:rPr>
        <w:t xml:space="preserve"> </w:t>
      </w:r>
      <w:r>
        <w:t>the</w:t>
      </w:r>
      <w:r>
        <w:rPr>
          <w:spacing w:val="-3"/>
        </w:rPr>
        <w:t xml:space="preserve"> </w:t>
      </w:r>
      <w:r>
        <w:t>plan</w:t>
      </w:r>
      <w:r>
        <w:rPr>
          <w:spacing w:val="-3"/>
        </w:rPr>
        <w:t xml:space="preserve"> </w:t>
      </w:r>
      <w:r>
        <w:t>covers</w:t>
      </w:r>
      <w:r>
        <w:rPr>
          <w:spacing w:val="-3"/>
        </w:rPr>
        <w:t xml:space="preserve"> </w:t>
      </w:r>
      <w:r>
        <w:t>enrollees</w:t>
      </w:r>
      <w:r>
        <w:rPr>
          <w:spacing w:val="-3"/>
        </w:rPr>
        <w:t xml:space="preserve"> </w:t>
      </w:r>
      <w:r>
        <w:t>eligible</w:t>
      </w:r>
      <w:r>
        <w:rPr>
          <w:spacing w:val="-3"/>
        </w:rPr>
        <w:t xml:space="preserve"> </w:t>
      </w:r>
      <w:r>
        <w:t>for</w:t>
      </w:r>
      <w:r>
        <w:rPr>
          <w:spacing w:val="-4"/>
        </w:rPr>
        <w:t xml:space="preserve"> </w:t>
      </w:r>
      <w:r>
        <w:t>both</w:t>
      </w:r>
      <w:r>
        <w:rPr>
          <w:spacing w:val="-3"/>
        </w:rPr>
        <w:t xml:space="preserve"> </w:t>
      </w:r>
      <w:r>
        <w:t>Part</w:t>
      </w:r>
      <w:r>
        <w:rPr>
          <w:spacing w:val="-2"/>
        </w:rPr>
        <w:t xml:space="preserve"> </w:t>
      </w:r>
      <w:r>
        <w:t>A</w:t>
      </w:r>
      <w:r>
        <w:rPr>
          <w:spacing w:val="-3"/>
        </w:rPr>
        <w:t xml:space="preserve"> </w:t>
      </w:r>
      <w:r>
        <w:t>and</w:t>
      </w:r>
      <w:r>
        <w:rPr>
          <w:spacing w:val="-3"/>
        </w:rPr>
        <w:t xml:space="preserve"> </w:t>
      </w:r>
      <w:r>
        <w:t>Part</w:t>
      </w:r>
      <w:r>
        <w:rPr>
          <w:spacing w:val="-3"/>
        </w:rPr>
        <w:t xml:space="preserve"> </w:t>
      </w:r>
      <w:r>
        <w:t>B</w:t>
      </w:r>
      <w:r>
        <w:rPr>
          <w:spacing w:val="-3"/>
        </w:rPr>
        <w:t xml:space="preserve"> </w:t>
      </w:r>
      <w:r>
        <w:t>of</w:t>
      </w:r>
      <w:r>
        <w:rPr>
          <w:spacing w:val="-3"/>
        </w:rPr>
        <w:t xml:space="preserve"> </w:t>
      </w:r>
      <w:r>
        <w:t>Medicare,</w:t>
      </w:r>
      <w:r>
        <w:rPr>
          <w:spacing w:val="-3"/>
        </w:rPr>
        <w:t xml:space="preserve"> </w:t>
      </w:r>
      <w:r>
        <w:t>enter</w:t>
      </w:r>
      <w:r>
        <w:rPr>
          <w:spacing w:val="-3"/>
        </w:rPr>
        <w:t xml:space="preserve"> </w:t>
      </w:r>
      <w:r>
        <w:t xml:space="preserve">“A/B”. If the plan covers enrollees eligible for Part B only, enter “Part B Only”. When the plan type is “PDP” or “Fallback,” then the enrollee type cell is white and locked; no input is </w:t>
      </w:r>
      <w:r>
        <w:rPr>
          <w:spacing w:val="-2"/>
        </w:rPr>
        <w:t>required.</w:t>
      </w:r>
    </w:p>
    <w:p>
      <w:pPr>
        <w:spacing w:before="241"/>
        <w:ind w:left="440" w:right="0" w:firstLine="0"/>
        <w:jc w:val="left"/>
        <w:rPr>
          <w:rFonts w:ascii="Arial" w:hAnsi="Arial"/>
          <w:b/>
          <w:sz w:val="21"/>
        </w:rPr>
      </w:pPr>
      <w:bookmarkStart w:id="66" w:name="Line 10 – VBID-D"/>
      <w:bookmarkEnd w:id="66"/>
      <w:r>
        <w:rPr>
          <w:rFonts w:ascii="Arial" w:hAnsi="Arial"/>
          <w:b/>
          <w:sz w:val="21"/>
        </w:rPr>
        <w:t>Line</w:t>
      </w:r>
      <w:r>
        <w:rPr>
          <w:rFonts w:ascii="Arial" w:hAnsi="Arial"/>
          <w:b/>
          <w:spacing w:val="-5"/>
          <w:sz w:val="21"/>
        </w:rPr>
        <w:t xml:space="preserve"> </w:t>
      </w:r>
      <w:r>
        <w:rPr>
          <w:rFonts w:ascii="Arial" w:hAnsi="Arial"/>
          <w:b/>
          <w:sz w:val="21"/>
        </w:rPr>
        <w:t>10</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VBID-</w:t>
      </w:r>
      <w:r>
        <w:rPr>
          <w:rFonts w:ascii="Arial" w:hAnsi="Arial"/>
          <w:b/>
          <w:spacing w:val="-10"/>
          <w:sz w:val="21"/>
        </w:rPr>
        <w:t>D</w:t>
      </w:r>
    </w:p>
    <w:p>
      <w:pPr>
        <w:pStyle w:val="BodyText"/>
        <w:ind w:left="440" w:right="566"/>
      </w:pPr>
      <w:r>
        <w:t>If</w:t>
      </w:r>
      <w:r>
        <w:rPr>
          <w:spacing w:val="-6"/>
        </w:rPr>
        <w:t xml:space="preserve"> </w:t>
      </w:r>
      <w:r>
        <w:t>the</w:t>
      </w:r>
      <w:r>
        <w:rPr>
          <w:spacing w:val="-4"/>
        </w:rPr>
        <w:t xml:space="preserve"> </w:t>
      </w:r>
      <w:r>
        <w:t>plan</w:t>
      </w:r>
      <w:r>
        <w:rPr>
          <w:spacing w:val="-4"/>
        </w:rPr>
        <w:t xml:space="preserve"> </w:t>
      </w:r>
      <w:r>
        <w:t>is</w:t>
      </w:r>
      <w:r>
        <w:rPr>
          <w:spacing w:val="-4"/>
        </w:rPr>
        <w:t xml:space="preserve"> </w:t>
      </w:r>
      <w:r>
        <w:t>participating</w:t>
      </w:r>
      <w:r>
        <w:rPr>
          <w:spacing w:val="-4"/>
        </w:rPr>
        <w:t xml:space="preserve"> </w:t>
      </w:r>
      <w:r>
        <w:t>in</w:t>
      </w:r>
      <w:r>
        <w:rPr>
          <w:spacing w:val="-4"/>
        </w:rPr>
        <w:t xml:space="preserve"> </w:t>
      </w:r>
      <w:r>
        <w:t>the</w:t>
      </w:r>
      <w:r>
        <w:rPr>
          <w:spacing w:val="-5"/>
        </w:rPr>
        <w:t xml:space="preserve"> </w:t>
      </w:r>
      <w:r>
        <w:t>Value-Based</w:t>
      </w:r>
      <w:r>
        <w:rPr>
          <w:spacing w:val="-2"/>
        </w:rPr>
        <w:t xml:space="preserve"> </w:t>
      </w:r>
      <w:r>
        <w:t>Insurance</w:t>
      </w:r>
      <w:r>
        <w:rPr>
          <w:spacing w:val="-3"/>
        </w:rPr>
        <w:t xml:space="preserve"> </w:t>
      </w:r>
      <w:r>
        <w:t>Design</w:t>
      </w:r>
      <w:r>
        <w:rPr>
          <w:spacing w:val="-2"/>
        </w:rPr>
        <w:t xml:space="preserve"> </w:t>
      </w:r>
      <w:r>
        <w:t>(VBID)</w:t>
      </w:r>
      <w:r>
        <w:rPr>
          <w:spacing w:val="-5"/>
        </w:rPr>
        <w:t xml:space="preserve"> </w:t>
      </w:r>
      <w:r>
        <w:t>Demonstration, enter “Y". Otherwise, enter ”N”.</w:t>
      </w:r>
    </w:p>
    <w:p>
      <w:pPr>
        <w:spacing w:before="241"/>
        <w:ind w:left="440" w:right="0" w:firstLine="0"/>
        <w:jc w:val="left"/>
        <w:rPr>
          <w:rFonts w:ascii="Arial" w:hAnsi="Arial"/>
          <w:b/>
          <w:sz w:val="21"/>
        </w:rPr>
      </w:pPr>
      <w:bookmarkStart w:id="67" w:name="Line 11 – ESRD-SNP"/>
      <w:bookmarkEnd w:id="67"/>
      <w:r>
        <w:rPr>
          <w:rFonts w:ascii="Arial" w:hAnsi="Arial"/>
          <w:b/>
          <w:sz w:val="21"/>
        </w:rPr>
        <w:t>Line</w:t>
      </w:r>
      <w:r>
        <w:rPr>
          <w:rFonts w:ascii="Arial" w:hAnsi="Arial"/>
          <w:b/>
          <w:spacing w:val="-5"/>
          <w:sz w:val="21"/>
        </w:rPr>
        <w:t xml:space="preserve"> </w:t>
      </w:r>
      <w:r>
        <w:rPr>
          <w:rFonts w:ascii="Arial" w:hAnsi="Arial"/>
          <w:b/>
          <w:sz w:val="21"/>
        </w:rPr>
        <w:t>11</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ESRD-</w:t>
      </w:r>
      <w:r>
        <w:rPr>
          <w:rFonts w:ascii="Arial" w:hAnsi="Arial"/>
          <w:b/>
          <w:spacing w:val="-5"/>
          <w:sz w:val="21"/>
        </w:rPr>
        <w:t>SNP</w:t>
      </w:r>
    </w:p>
    <w:p>
      <w:pPr>
        <w:pStyle w:val="BodyText"/>
        <w:spacing w:before="118"/>
        <w:ind w:left="440"/>
      </w:pPr>
      <w:r>
        <w:t>Enter</w:t>
      </w:r>
      <w:r>
        <w:rPr>
          <w:spacing w:val="-4"/>
        </w:rPr>
        <w:t xml:space="preserve"> </w:t>
      </w:r>
      <w:r>
        <w:t>“Y”</w:t>
      </w:r>
      <w:r>
        <w:rPr>
          <w:spacing w:val="-1"/>
        </w:rPr>
        <w:t xml:space="preserve"> </w:t>
      </w:r>
      <w:r>
        <w:t>if</w:t>
      </w:r>
      <w:r>
        <w:rPr>
          <w:spacing w:val="-1"/>
        </w:rPr>
        <w:t xml:space="preserve"> </w:t>
      </w:r>
      <w:r>
        <w:t>the</w:t>
      </w:r>
      <w:r>
        <w:rPr>
          <w:spacing w:val="-2"/>
        </w:rPr>
        <w:t xml:space="preserve"> </w:t>
      </w:r>
      <w:r>
        <w:t>plan</w:t>
      </w:r>
      <w:r>
        <w:rPr>
          <w:spacing w:val="-1"/>
        </w:rPr>
        <w:t xml:space="preserve"> </w:t>
      </w:r>
      <w:r>
        <w:t>is part</w:t>
      </w:r>
      <w:r>
        <w:rPr>
          <w:spacing w:val="-1"/>
        </w:rPr>
        <w:t xml:space="preserve"> </w:t>
      </w:r>
      <w:r>
        <w:t>of</w:t>
      </w:r>
      <w:r>
        <w:rPr>
          <w:spacing w:val="-1"/>
        </w:rPr>
        <w:t xml:space="preserve"> </w:t>
      </w:r>
      <w:r>
        <w:t>an</w:t>
      </w:r>
      <w:r>
        <w:rPr>
          <w:spacing w:val="-1"/>
        </w:rPr>
        <w:t xml:space="preserve"> </w:t>
      </w:r>
      <w:r>
        <w:t>ESRD-SNP MA-PD.</w:t>
      </w:r>
      <w:r>
        <w:rPr>
          <w:spacing w:val="-2"/>
        </w:rPr>
        <w:t xml:space="preserve"> </w:t>
      </w:r>
      <w:r>
        <w:t>Otherwise</w:t>
      </w:r>
      <w:r>
        <w:rPr>
          <w:spacing w:val="1"/>
        </w:rPr>
        <w:t xml:space="preserve"> </w:t>
      </w:r>
      <w:r>
        <w:t>enter</w:t>
      </w:r>
      <w:r>
        <w:rPr>
          <w:spacing w:val="-2"/>
        </w:rPr>
        <w:t xml:space="preserve"> </w:t>
      </w:r>
      <w:r>
        <w:rPr>
          <w:spacing w:val="-4"/>
        </w:rPr>
        <w:t>“N”.</w:t>
      </w:r>
    </w:p>
    <w:p>
      <w:pPr>
        <w:spacing w:after="0"/>
        <w:sectPr>
          <w:pgSz w:w="12240" w:h="15840"/>
          <w:pgMar w:top="1340" w:right="1000" w:bottom="1080" w:left="1360" w:header="727" w:footer="891"/>
          <w:cols w:space="720"/>
        </w:sectPr>
      </w:pPr>
    </w:p>
    <w:p>
      <w:pPr>
        <w:spacing w:before="87"/>
        <w:ind w:left="440" w:right="0" w:firstLine="0"/>
        <w:jc w:val="left"/>
        <w:rPr>
          <w:rFonts w:ascii="Arial" w:hAnsi="Arial"/>
          <w:b/>
          <w:sz w:val="21"/>
        </w:rPr>
      </w:pPr>
      <w:bookmarkStart w:id="68" w:name="Line 12 – PD Region"/>
      <w:bookmarkEnd w:id="68"/>
      <w:r>
        <w:rPr>
          <w:rFonts w:ascii="Arial" w:hAnsi="Arial"/>
          <w:b/>
          <w:sz w:val="21"/>
        </w:rPr>
        <w:t>Line</w:t>
      </w:r>
      <w:r>
        <w:rPr>
          <w:rFonts w:ascii="Arial" w:hAnsi="Arial"/>
          <w:b/>
          <w:spacing w:val="-3"/>
          <w:sz w:val="21"/>
        </w:rPr>
        <w:t xml:space="preserve"> </w:t>
      </w:r>
      <w:r>
        <w:rPr>
          <w:rFonts w:ascii="Arial" w:hAnsi="Arial"/>
          <w:b/>
          <w:sz w:val="21"/>
        </w:rPr>
        <w:t>12</w:t>
      </w:r>
      <w:r>
        <w:rPr>
          <w:rFonts w:ascii="Arial" w:hAnsi="Arial"/>
          <w:b/>
          <w:spacing w:val="-2"/>
          <w:sz w:val="21"/>
        </w:rPr>
        <w:t xml:space="preserve"> </w:t>
      </w:r>
      <w:r>
        <w:rPr>
          <w:rFonts w:ascii="Arial" w:hAnsi="Arial"/>
          <w:b/>
          <w:sz w:val="21"/>
        </w:rPr>
        <w:t>–</w:t>
      </w:r>
      <w:r>
        <w:rPr>
          <w:rFonts w:ascii="Arial" w:hAnsi="Arial"/>
          <w:b/>
          <w:spacing w:val="-4"/>
          <w:sz w:val="21"/>
        </w:rPr>
        <w:t xml:space="preserve"> </w:t>
      </w:r>
      <w:r>
        <w:rPr>
          <w:rFonts w:ascii="Arial" w:hAnsi="Arial"/>
          <w:b/>
          <w:sz w:val="21"/>
        </w:rPr>
        <w:t>PD</w:t>
      </w:r>
      <w:r>
        <w:rPr>
          <w:rFonts w:ascii="Arial" w:hAnsi="Arial"/>
          <w:b/>
          <w:spacing w:val="-1"/>
          <w:sz w:val="21"/>
        </w:rPr>
        <w:t xml:space="preserve"> </w:t>
      </w:r>
      <w:r>
        <w:rPr>
          <w:rFonts w:ascii="Arial" w:hAnsi="Arial"/>
          <w:b/>
          <w:spacing w:val="-2"/>
          <w:sz w:val="21"/>
        </w:rPr>
        <w:t>Region</w:t>
      </w:r>
    </w:p>
    <w:p>
      <w:pPr>
        <w:pStyle w:val="BodyText"/>
        <w:spacing w:before="121"/>
        <w:ind w:left="440" w:right="979"/>
      </w:pPr>
      <w:r>
        <w:t>When</w:t>
      </w:r>
      <w:r>
        <w:rPr>
          <w:spacing w:val="-3"/>
        </w:rPr>
        <w:t xml:space="preserve"> </w:t>
      </w:r>
      <w:r>
        <w:t>the</w:t>
      </w:r>
      <w:r>
        <w:rPr>
          <w:spacing w:val="-3"/>
        </w:rPr>
        <w:t xml:space="preserve"> </w:t>
      </w:r>
      <w:r>
        <w:t>plan</w:t>
      </w:r>
      <w:r>
        <w:rPr>
          <w:spacing w:val="-3"/>
        </w:rPr>
        <w:t xml:space="preserve"> </w:t>
      </w:r>
      <w:r>
        <w:t>type</w:t>
      </w:r>
      <w:r>
        <w:rPr>
          <w:spacing w:val="-3"/>
        </w:rPr>
        <w:t xml:space="preserve"> </w:t>
      </w:r>
      <w:r>
        <w:t>is</w:t>
      </w:r>
      <w:r>
        <w:rPr>
          <w:spacing w:val="-3"/>
        </w:rPr>
        <w:t xml:space="preserve"> </w:t>
      </w:r>
      <w:r>
        <w:t>“PDP,”</w:t>
      </w:r>
      <w:r>
        <w:rPr>
          <w:spacing w:val="-3"/>
        </w:rPr>
        <w:t xml:space="preserve"> </w:t>
      </w:r>
      <w:r>
        <w:t>enter</w:t>
      </w:r>
      <w:r>
        <w:rPr>
          <w:spacing w:val="-4"/>
        </w:rPr>
        <w:t xml:space="preserve"> </w:t>
      </w:r>
      <w:r>
        <w:t>the</w:t>
      </w:r>
      <w:r>
        <w:rPr>
          <w:spacing w:val="-2"/>
        </w:rPr>
        <w:t xml:space="preserve"> </w:t>
      </w:r>
      <w:r>
        <w:t>region</w:t>
      </w:r>
      <w:r>
        <w:rPr>
          <w:spacing w:val="-3"/>
        </w:rPr>
        <w:t xml:space="preserve"> </w:t>
      </w:r>
      <w:r>
        <w:t>number</w:t>
      </w:r>
      <w:r>
        <w:rPr>
          <w:spacing w:val="-4"/>
        </w:rPr>
        <w:t xml:space="preserve"> </w:t>
      </w:r>
      <w:r>
        <w:t>of</w:t>
      </w:r>
      <w:r>
        <w:rPr>
          <w:spacing w:val="-3"/>
        </w:rPr>
        <w:t xml:space="preserve"> </w:t>
      </w:r>
      <w:r>
        <w:t>the</w:t>
      </w:r>
      <w:r>
        <w:rPr>
          <w:spacing w:val="-4"/>
        </w:rPr>
        <w:t xml:space="preserve"> </w:t>
      </w:r>
      <w:r>
        <w:t>region</w:t>
      </w:r>
      <w:r>
        <w:rPr>
          <w:spacing w:val="-3"/>
        </w:rPr>
        <w:t xml:space="preserve"> </w:t>
      </w:r>
      <w:r>
        <w:t>the</w:t>
      </w:r>
      <w:r>
        <w:rPr>
          <w:spacing w:val="-3"/>
        </w:rPr>
        <w:t xml:space="preserve"> </w:t>
      </w:r>
      <w:r>
        <w:t>plan</w:t>
      </w:r>
      <w:r>
        <w:rPr>
          <w:spacing w:val="-3"/>
        </w:rPr>
        <w:t xml:space="preserve"> </w:t>
      </w:r>
      <w:r>
        <w:t>will cover. This field must be entered as a text input and must include any leading zeroes.</w:t>
      </w:r>
    </w:p>
    <w:p>
      <w:pPr>
        <w:pStyle w:val="BodyText"/>
        <w:ind w:left="440"/>
      </w:pPr>
      <w:r>
        <w:t>The</w:t>
      </w:r>
      <w:r>
        <w:rPr>
          <w:spacing w:val="-3"/>
        </w:rPr>
        <w:t xml:space="preserve"> </w:t>
      </w:r>
      <w:r>
        <w:t>valid entries are</w:t>
      </w:r>
      <w:r>
        <w:rPr>
          <w:spacing w:val="-2"/>
        </w:rPr>
        <w:t xml:space="preserve"> </w:t>
      </w:r>
      <w:r>
        <w:t>shown</w:t>
      </w:r>
      <w:r>
        <w:rPr>
          <w:spacing w:val="-1"/>
        </w:rPr>
        <w:t xml:space="preserve"> </w:t>
      </w:r>
      <w:r>
        <w:t xml:space="preserve">in the following </w:t>
      </w:r>
      <w:r>
        <w:rPr>
          <w:spacing w:val="-2"/>
        </w:rPr>
        <w:t>table:</w:t>
      </w:r>
    </w:p>
    <w:p>
      <w:pPr>
        <w:pStyle w:val="BodyText"/>
        <w:spacing w:before="5" w:after="1"/>
        <w:ind w:left="0"/>
        <w:rPr>
          <w:sz w:val="10"/>
        </w:rPr>
      </w:pPr>
    </w:p>
    <w:tbl>
      <w:tblPr>
        <w:tblStyle w:val="TableNormal"/>
        <w:tblW w:w="0" w:type="auto"/>
        <w:jc w:val="left"/>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3149"/>
        <w:gridCol w:w="986"/>
        <w:gridCol w:w="3420"/>
      </w:tblGrid>
      <w:tr>
        <w:tblPrEx>
          <w:tblW w:w="0" w:type="auto"/>
          <w:jc w:val="left"/>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0"/>
          <w:jc w:val="left"/>
        </w:trPr>
        <w:tc>
          <w:tcPr>
            <w:tcW w:w="991" w:type="dxa"/>
          </w:tcPr>
          <w:p>
            <w:pPr>
              <w:pStyle w:val="TableParagraph"/>
              <w:spacing w:before="1" w:line="250" w:lineRule="exact"/>
              <w:ind w:left="9" w:right="111"/>
              <w:jc w:val="center"/>
              <w:rPr>
                <w:b/>
                <w:sz w:val="22"/>
              </w:rPr>
            </w:pPr>
            <w:r>
              <w:rPr>
                <w:b/>
                <w:spacing w:val="-2"/>
                <w:sz w:val="22"/>
              </w:rPr>
              <w:t>Region</w:t>
            </w:r>
          </w:p>
        </w:tc>
        <w:tc>
          <w:tcPr>
            <w:tcW w:w="3149" w:type="dxa"/>
          </w:tcPr>
          <w:p>
            <w:pPr>
              <w:pStyle w:val="TableParagraph"/>
              <w:spacing w:before="1" w:line="250" w:lineRule="exact"/>
              <w:ind w:left="105"/>
              <w:rPr>
                <w:b/>
                <w:sz w:val="22"/>
              </w:rPr>
            </w:pPr>
            <w:r>
              <w:rPr>
                <w:b/>
                <w:spacing w:val="-2"/>
                <w:sz w:val="22"/>
              </w:rPr>
              <w:t>Description</w:t>
            </w:r>
          </w:p>
        </w:tc>
        <w:tc>
          <w:tcPr>
            <w:tcW w:w="986" w:type="dxa"/>
          </w:tcPr>
          <w:p>
            <w:pPr>
              <w:pStyle w:val="TableParagraph"/>
              <w:spacing w:before="1" w:line="250" w:lineRule="exact"/>
              <w:ind w:left="108"/>
              <w:rPr>
                <w:b/>
                <w:sz w:val="22"/>
              </w:rPr>
            </w:pPr>
            <w:r>
              <w:rPr>
                <w:b/>
                <w:spacing w:val="-2"/>
                <w:sz w:val="22"/>
              </w:rPr>
              <w:t>Region</w:t>
            </w:r>
          </w:p>
        </w:tc>
        <w:tc>
          <w:tcPr>
            <w:tcW w:w="3420" w:type="dxa"/>
          </w:tcPr>
          <w:p>
            <w:pPr>
              <w:pStyle w:val="TableParagraph"/>
              <w:spacing w:before="1" w:line="250" w:lineRule="exact"/>
              <w:ind w:left="106"/>
              <w:rPr>
                <w:b/>
                <w:sz w:val="22"/>
              </w:rPr>
            </w:pPr>
            <w:r>
              <w:rPr>
                <w:b/>
                <w:spacing w:val="-2"/>
                <w:sz w:val="22"/>
              </w:rPr>
              <w:t>Description</w:t>
            </w:r>
          </w:p>
        </w:tc>
      </w:tr>
      <w:tr>
        <w:tblPrEx>
          <w:tblW w:w="0" w:type="auto"/>
          <w:jc w:val="left"/>
          <w:tblInd w:w="493" w:type="dxa"/>
          <w:tblLayout w:type="fixed"/>
          <w:tblCellMar>
            <w:top w:w="0" w:type="dxa"/>
            <w:left w:w="0" w:type="dxa"/>
            <w:bottom w:w="0" w:type="dxa"/>
            <w:right w:w="0" w:type="dxa"/>
          </w:tblCellMar>
          <w:tblLook w:val="01E0"/>
        </w:tblPrEx>
        <w:trPr>
          <w:trHeight w:val="253"/>
          <w:jc w:val="left"/>
        </w:trPr>
        <w:tc>
          <w:tcPr>
            <w:tcW w:w="991" w:type="dxa"/>
          </w:tcPr>
          <w:p>
            <w:pPr>
              <w:pStyle w:val="TableParagraph"/>
              <w:spacing w:before="1" w:line="233" w:lineRule="exact"/>
              <w:ind w:left="9" w:right="2"/>
              <w:jc w:val="center"/>
              <w:rPr>
                <w:sz w:val="22"/>
              </w:rPr>
            </w:pPr>
            <w:r>
              <w:rPr>
                <w:spacing w:val="-5"/>
                <w:sz w:val="22"/>
              </w:rPr>
              <w:t>01</w:t>
            </w:r>
          </w:p>
        </w:tc>
        <w:tc>
          <w:tcPr>
            <w:tcW w:w="3149" w:type="dxa"/>
          </w:tcPr>
          <w:p>
            <w:pPr>
              <w:pStyle w:val="TableParagraph"/>
              <w:spacing w:before="1" w:line="233" w:lineRule="exact"/>
              <w:ind w:left="105"/>
              <w:rPr>
                <w:sz w:val="22"/>
              </w:rPr>
            </w:pPr>
            <w:r>
              <w:rPr>
                <w:sz w:val="22"/>
              </w:rPr>
              <w:t>Maine</w:t>
            </w:r>
            <w:r>
              <w:rPr>
                <w:spacing w:val="-3"/>
                <w:sz w:val="22"/>
              </w:rPr>
              <w:t xml:space="preserve"> </w:t>
            </w:r>
            <w:r>
              <w:rPr>
                <w:sz w:val="22"/>
              </w:rPr>
              <w:t>and</w:t>
            </w:r>
            <w:r>
              <w:rPr>
                <w:spacing w:val="-3"/>
                <w:sz w:val="22"/>
              </w:rPr>
              <w:t xml:space="preserve"> </w:t>
            </w:r>
            <w:r>
              <w:rPr>
                <w:sz w:val="22"/>
              </w:rPr>
              <w:t>New</w:t>
            </w:r>
            <w:r>
              <w:rPr>
                <w:spacing w:val="-2"/>
                <w:sz w:val="22"/>
              </w:rPr>
              <w:t xml:space="preserve"> Hampshire</w:t>
            </w:r>
          </w:p>
        </w:tc>
        <w:tc>
          <w:tcPr>
            <w:tcW w:w="986" w:type="dxa"/>
          </w:tcPr>
          <w:p>
            <w:pPr>
              <w:pStyle w:val="TableParagraph"/>
              <w:spacing w:before="1" w:line="233" w:lineRule="exact"/>
              <w:ind w:left="8"/>
              <w:jc w:val="center"/>
              <w:rPr>
                <w:sz w:val="22"/>
              </w:rPr>
            </w:pPr>
            <w:r>
              <w:rPr>
                <w:spacing w:val="-5"/>
                <w:sz w:val="22"/>
              </w:rPr>
              <w:t>21</w:t>
            </w:r>
          </w:p>
        </w:tc>
        <w:tc>
          <w:tcPr>
            <w:tcW w:w="3420" w:type="dxa"/>
          </w:tcPr>
          <w:p>
            <w:pPr>
              <w:pStyle w:val="TableParagraph"/>
              <w:spacing w:before="1" w:line="233" w:lineRule="exact"/>
              <w:ind w:left="106"/>
              <w:rPr>
                <w:sz w:val="22"/>
              </w:rPr>
            </w:pPr>
            <w:r>
              <w:rPr>
                <w:spacing w:val="-2"/>
                <w:sz w:val="22"/>
              </w:rPr>
              <w:t>Louisiana</w:t>
            </w:r>
          </w:p>
        </w:tc>
      </w:tr>
      <w:tr>
        <w:tblPrEx>
          <w:tblW w:w="0" w:type="auto"/>
          <w:jc w:val="left"/>
          <w:tblInd w:w="493" w:type="dxa"/>
          <w:tblLayout w:type="fixed"/>
          <w:tblCellMar>
            <w:top w:w="0" w:type="dxa"/>
            <w:left w:w="0" w:type="dxa"/>
            <w:bottom w:w="0" w:type="dxa"/>
            <w:right w:w="0" w:type="dxa"/>
          </w:tblCellMar>
          <w:tblLook w:val="01E0"/>
        </w:tblPrEx>
        <w:trPr>
          <w:trHeight w:val="506"/>
          <w:jc w:val="left"/>
        </w:trPr>
        <w:tc>
          <w:tcPr>
            <w:tcW w:w="991" w:type="dxa"/>
          </w:tcPr>
          <w:p>
            <w:pPr>
              <w:pStyle w:val="TableParagraph"/>
              <w:spacing w:before="125"/>
              <w:ind w:left="9" w:right="2"/>
              <w:jc w:val="center"/>
              <w:rPr>
                <w:sz w:val="22"/>
              </w:rPr>
            </w:pPr>
            <w:r>
              <w:rPr>
                <w:spacing w:val="-5"/>
                <w:sz w:val="22"/>
              </w:rPr>
              <w:t>02</w:t>
            </w:r>
          </w:p>
        </w:tc>
        <w:tc>
          <w:tcPr>
            <w:tcW w:w="3149" w:type="dxa"/>
          </w:tcPr>
          <w:p>
            <w:pPr>
              <w:pStyle w:val="TableParagraph"/>
              <w:spacing w:line="254" w:lineRule="exact"/>
              <w:ind w:left="105" w:right="529"/>
              <w:rPr>
                <w:sz w:val="22"/>
              </w:rPr>
            </w:pPr>
            <w:r>
              <w:rPr>
                <w:sz w:val="22"/>
              </w:rPr>
              <w:t>Connecticut,</w:t>
            </w:r>
            <w:r>
              <w:rPr>
                <w:spacing w:val="-14"/>
                <w:sz w:val="22"/>
              </w:rPr>
              <w:t xml:space="preserve"> </w:t>
            </w:r>
            <w:r>
              <w:rPr>
                <w:sz w:val="22"/>
              </w:rPr>
              <w:t>Massachusetts, Rhode Island and Vermont</w:t>
            </w:r>
          </w:p>
        </w:tc>
        <w:tc>
          <w:tcPr>
            <w:tcW w:w="986" w:type="dxa"/>
          </w:tcPr>
          <w:p>
            <w:pPr>
              <w:pStyle w:val="TableParagraph"/>
              <w:spacing w:before="125"/>
              <w:ind w:left="8"/>
              <w:jc w:val="center"/>
              <w:rPr>
                <w:sz w:val="22"/>
              </w:rPr>
            </w:pPr>
            <w:r>
              <w:rPr>
                <w:spacing w:val="-5"/>
                <w:sz w:val="22"/>
              </w:rPr>
              <w:t>22</w:t>
            </w:r>
          </w:p>
        </w:tc>
        <w:tc>
          <w:tcPr>
            <w:tcW w:w="3420" w:type="dxa"/>
          </w:tcPr>
          <w:p>
            <w:pPr>
              <w:pStyle w:val="TableParagraph"/>
              <w:spacing w:before="125"/>
              <w:ind w:left="106"/>
              <w:rPr>
                <w:sz w:val="22"/>
              </w:rPr>
            </w:pPr>
            <w:r>
              <w:rPr>
                <w:spacing w:val="-2"/>
                <w:sz w:val="22"/>
              </w:rPr>
              <w:t>Texas</w:t>
            </w:r>
          </w:p>
        </w:tc>
      </w:tr>
      <w:tr>
        <w:tblPrEx>
          <w:tblW w:w="0" w:type="auto"/>
          <w:jc w:val="left"/>
          <w:tblInd w:w="493" w:type="dxa"/>
          <w:tblLayout w:type="fixed"/>
          <w:tblCellMar>
            <w:top w:w="0" w:type="dxa"/>
            <w:left w:w="0" w:type="dxa"/>
            <w:bottom w:w="0" w:type="dxa"/>
            <w:right w:w="0" w:type="dxa"/>
          </w:tblCellMar>
          <w:tblLook w:val="01E0"/>
        </w:tblPrEx>
        <w:trPr>
          <w:trHeight w:val="251"/>
          <w:jc w:val="left"/>
        </w:trPr>
        <w:tc>
          <w:tcPr>
            <w:tcW w:w="991" w:type="dxa"/>
          </w:tcPr>
          <w:p>
            <w:pPr>
              <w:pStyle w:val="TableParagraph"/>
              <w:spacing w:line="232" w:lineRule="exact"/>
              <w:ind w:left="9" w:right="2"/>
              <w:jc w:val="center"/>
              <w:rPr>
                <w:sz w:val="22"/>
              </w:rPr>
            </w:pPr>
            <w:r>
              <w:rPr>
                <w:spacing w:val="-5"/>
                <w:sz w:val="22"/>
              </w:rPr>
              <w:t>03</w:t>
            </w:r>
          </w:p>
        </w:tc>
        <w:tc>
          <w:tcPr>
            <w:tcW w:w="3149" w:type="dxa"/>
          </w:tcPr>
          <w:p>
            <w:pPr>
              <w:pStyle w:val="TableParagraph"/>
              <w:spacing w:line="232" w:lineRule="exact"/>
              <w:ind w:left="105"/>
              <w:rPr>
                <w:sz w:val="22"/>
              </w:rPr>
            </w:pPr>
            <w:r>
              <w:rPr>
                <w:sz w:val="22"/>
              </w:rPr>
              <w:t>New</w:t>
            </w:r>
            <w:r>
              <w:rPr>
                <w:spacing w:val="-2"/>
                <w:sz w:val="22"/>
              </w:rPr>
              <w:t xml:space="preserve"> </w:t>
            </w:r>
            <w:r>
              <w:rPr>
                <w:spacing w:val="-4"/>
                <w:sz w:val="22"/>
              </w:rPr>
              <w:t>York</w:t>
            </w:r>
          </w:p>
        </w:tc>
        <w:tc>
          <w:tcPr>
            <w:tcW w:w="986" w:type="dxa"/>
          </w:tcPr>
          <w:p>
            <w:pPr>
              <w:pStyle w:val="TableParagraph"/>
              <w:spacing w:line="232" w:lineRule="exact"/>
              <w:ind w:left="8"/>
              <w:jc w:val="center"/>
              <w:rPr>
                <w:sz w:val="22"/>
              </w:rPr>
            </w:pPr>
            <w:r>
              <w:rPr>
                <w:spacing w:val="-5"/>
                <w:sz w:val="22"/>
              </w:rPr>
              <w:t>23</w:t>
            </w:r>
          </w:p>
        </w:tc>
        <w:tc>
          <w:tcPr>
            <w:tcW w:w="3420" w:type="dxa"/>
          </w:tcPr>
          <w:p>
            <w:pPr>
              <w:pStyle w:val="TableParagraph"/>
              <w:spacing w:line="232" w:lineRule="exact"/>
              <w:ind w:left="106"/>
              <w:rPr>
                <w:sz w:val="22"/>
              </w:rPr>
            </w:pPr>
            <w:r>
              <w:rPr>
                <w:spacing w:val="-2"/>
                <w:sz w:val="22"/>
              </w:rPr>
              <w:t>Oklahoma</w:t>
            </w:r>
          </w:p>
        </w:tc>
      </w:tr>
      <w:tr>
        <w:tblPrEx>
          <w:tblW w:w="0" w:type="auto"/>
          <w:jc w:val="left"/>
          <w:tblInd w:w="493" w:type="dxa"/>
          <w:tblLayout w:type="fixed"/>
          <w:tblCellMar>
            <w:top w:w="0" w:type="dxa"/>
            <w:left w:w="0" w:type="dxa"/>
            <w:bottom w:w="0" w:type="dxa"/>
            <w:right w:w="0" w:type="dxa"/>
          </w:tblCellMar>
          <w:tblLook w:val="01E0"/>
        </w:tblPrEx>
        <w:trPr>
          <w:trHeight w:val="251"/>
          <w:jc w:val="left"/>
        </w:trPr>
        <w:tc>
          <w:tcPr>
            <w:tcW w:w="991" w:type="dxa"/>
          </w:tcPr>
          <w:p>
            <w:pPr>
              <w:pStyle w:val="TableParagraph"/>
              <w:spacing w:line="232" w:lineRule="exact"/>
              <w:ind w:left="9" w:right="2"/>
              <w:jc w:val="center"/>
              <w:rPr>
                <w:sz w:val="22"/>
              </w:rPr>
            </w:pPr>
            <w:r>
              <w:rPr>
                <w:spacing w:val="-5"/>
                <w:sz w:val="22"/>
              </w:rPr>
              <w:t>04</w:t>
            </w:r>
          </w:p>
        </w:tc>
        <w:tc>
          <w:tcPr>
            <w:tcW w:w="3149" w:type="dxa"/>
          </w:tcPr>
          <w:p>
            <w:pPr>
              <w:pStyle w:val="TableParagraph"/>
              <w:spacing w:line="232" w:lineRule="exact"/>
              <w:ind w:left="105"/>
              <w:rPr>
                <w:sz w:val="22"/>
              </w:rPr>
            </w:pPr>
            <w:r>
              <w:rPr>
                <w:sz w:val="22"/>
              </w:rPr>
              <w:t>New</w:t>
            </w:r>
            <w:r>
              <w:rPr>
                <w:spacing w:val="-3"/>
                <w:sz w:val="22"/>
              </w:rPr>
              <w:t xml:space="preserve"> </w:t>
            </w:r>
            <w:r>
              <w:rPr>
                <w:spacing w:val="-2"/>
                <w:sz w:val="22"/>
              </w:rPr>
              <w:t>Jersey</w:t>
            </w:r>
          </w:p>
        </w:tc>
        <w:tc>
          <w:tcPr>
            <w:tcW w:w="986" w:type="dxa"/>
          </w:tcPr>
          <w:p>
            <w:pPr>
              <w:pStyle w:val="TableParagraph"/>
              <w:spacing w:line="232" w:lineRule="exact"/>
              <w:ind w:left="8"/>
              <w:jc w:val="center"/>
              <w:rPr>
                <w:sz w:val="22"/>
              </w:rPr>
            </w:pPr>
            <w:r>
              <w:rPr>
                <w:spacing w:val="-5"/>
                <w:sz w:val="22"/>
              </w:rPr>
              <w:t>24</w:t>
            </w:r>
          </w:p>
        </w:tc>
        <w:tc>
          <w:tcPr>
            <w:tcW w:w="3420" w:type="dxa"/>
          </w:tcPr>
          <w:p>
            <w:pPr>
              <w:pStyle w:val="TableParagraph"/>
              <w:spacing w:line="232" w:lineRule="exact"/>
              <w:ind w:left="106"/>
              <w:rPr>
                <w:sz w:val="22"/>
              </w:rPr>
            </w:pPr>
            <w:r>
              <w:rPr>
                <w:spacing w:val="-2"/>
                <w:sz w:val="22"/>
              </w:rPr>
              <w:t>Kansas</w:t>
            </w:r>
          </w:p>
        </w:tc>
      </w:tr>
      <w:tr>
        <w:tblPrEx>
          <w:tblW w:w="0" w:type="auto"/>
          <w:jc w:val="left"/>
          <w:tblInd w:w="493" w:type="dxa"/>
          <w:tblLayout w:type="fixed"/>
          <w:tblCellMar>
            <w:top w:w="0" w:type="dxa"/>
            <w:left w:w="0" w:type="dxa"/>
            <w:bottom w:w="0" w:type="dxa"/>
            <w:right w:w="0" w:type="dxa"/>
          </w:tblCellMar>
          <w:tblLook w:val="01E0"/>
        </w:tblPrEx>
        <w:trPr>
          <w:trHeight w:val="760"/>
          <w:jc w:val="left"/>
        </w:trPr>
        <w:tc>
          <w:tcPr>
            <w:tcW w:w="991" w:type="dxa"/>
          </w:tcPr>
          <w:p>
            <w:pPr>
              <w:pStyle w:val="TableParagraph"/>
              <w:spacing w:before="253"/>
              <w:ind w:left="9" w:right="2"/>
              <w:jc w:val="center"/>
              <w:rPr>
                <w:sz w:val="22"/>
              </w:rPr>
            </w:pPr>
            <w:r>
              <w:rPr>
                <w:spacing w:val="-5"/>
                <w:sz w:val="22"/>
              </w:rPr>
              <w:t>05</w:t>
            </w:r>
          </w:p>
        </w:tc>
        <w:tc>
          <w:tcPr>
            <w:tcW w:w="3149" w:type="dxa"/>
          </w:tcPr>
          <w:p>
            <w:pPr>
              <w:pStyle w:val="TableParagraph"/>
              <w:spacing w:before="125"/>
              <w:ind w:left="105" w:right="3"/>
              <w:rPr>
                <w:sz w:val="22"/>
              </w:rPr>
            </w:pPr>
            <w:r>
              <w:rPr>
                <w:sz w:val="22"/>
              </w:rPr>
              <w:t>Delaware,</w:t>
            </w:r>
            <w:r>
              <w:rPr>
                <w:spacing w:val="-14"/>
                <w:sz w:val="22"/>
              </w:rPr>
              <w:t xml:space="preserve"> </w:t>
            </w:r>
            <w:r>
              <w:rPr>
                <w:sz w:val="22"/>
              </w:rPr>
              <w:t>District</w:t>
            </w:r>
            <w:r>
              <w:rPr>
                <w:spacing w:val="-13"/>
                <w:sz w:val="22"/>
              </w:rPr>
              <w:t xml:space="preserve"> </w:t>
            </w:r>
            <w:r>
              <w:rPr>
                <w:sz w:val="22"/>
              </w:rPr>
              <w:t>of</w:t>
            </w:r>
            <w:r>
              <w:rPr>
                <w:spacing w:val="-14"/>
                <w:sz w:val="22"/>
              </w:rPr>
              <w:t xml:space="preserve"> </w:t>
            </w:r>
            <w:r>
              <w:rPr>
                <w:sz w:val="22"/>
              </w:rPr>
              <w:t>Columbia and Maryland</w:t>
            </w:r>
          </w:p>
        </w:tc>
        <w:tc>
          <w:tcPr>
            <w:tcW w:w="986" w:type="dxa"/>
          </w:tcPr>
          <w:p>
            <w:pPr>
              <w:pStyle w:val="TableParagraph"/>
              <w:spacing w:before="253"/>
              <w:ind w:left="8"/>
              <w:jc w:val="center"/>
              <w:rPr>
                <w:sz w:val="22"/>
              </w:rPr>
            </w:pPr>
            <w:r>
              <w:rPr>
                <w:spacing w:val="-5"/>
                <w:sz w:val="22"/>
              </w:rPr>
              <w:t>25</w:t>
            </w:r>
          </w:p>
        </w:tc>
        <w:tc>
          <w:tcPr>
            <w:tcW w:w="3420" w:type="dxa"/>
          </w:tcPr>
          <w:p>
            <w:pPr>
              <w:pStyle w:val="TableParagraph"/>
              <w:spacing w:line="251" w:lineRule="exact"/>
              <w:ind w:left="106"/>
              <w:rPr>
                <w:sz w:val="22"/>
              </w:rPr>
            </w:pPr>
            <w:r>
              <w:rPr>
                <w:sz w:val="22"/>
              </w:rPr>
              <w:t>Iowa,</w:t>
            </w:r>
            <w:r>
              <w:rPr>
                <w:spacing w:val="-6"/>
                <w:sz w:val="22"/>
              </w:rPr>
              <w:t xml:space="preserve"> </w:t>
            </w:r>
            <w:r>
              <w:rPr>
                <w:sz w:val="22"/>
              </w:rPr>
              <w:t>Minnesota,</w:t>
            </w:r>
            <w:r>
              <w:rPr>
                <w:spacing w:val="-6"/>
                <w:sz w:val="22"/>
              </w:rPr>
              <w:t xml:space="preserve"> </w:t>
            </w:r>
            <w:r>
              <w:rPr>
                <w:spacing w:val="-2"/>
                <w:sz w:val="22"/>
              </w:rPr>
              <w:t>Montana,</w:t>
            </w:r>
          </w:p>
          <w:p>
            <w:pPr>
              <w:pStyle w:val="TableParagraph"/>
              <w:spacing w:line="252" w:lineRule="exact"/>
              <w:ind w:left="106" w:right="611"/>
              <w:rPr>
                <w:sz w:val="22"/>
              </w:rPr>
            </w:pPr>
            <w:r>
              <w:rPr>
                <w:sz w:val="22"/>
              </w:rPr>
              <w:t>Nebraska, North Dakota, South</w:t>
            </w:r>
            <w:r>
              <w:rPr>
                <w:spacing w:val="-12"/>
                <w:sz w:val="22"/>
              </w:rPr>
              <w:t xml:space="preserve"> </w:t>
            </w:r>
            <w:r>
              <w:rPr>
                <w:sz w:val="22"/>
              </w:rPr>
              <w:t>Dakota</w:t>
            </w:r>
            <w:r>
              <w:rPr>
                <w:spacing w:val="-13"/>
                <w:sz w:val="22"/>
              </w:rPr>
              <w:t xml:space="preserve"> </w:t>
            </w:r>
            <w:r>
              <w:rPr>
                <w:sz w:val="22"/>
              </w:rPr>
              <w:t>and</w:t>
            </w:r>
            <w:r>
              <w:rPr>
                <w:spacing w:val="-13"/>
                <w:sz w:val="22"/>
              </w:rPr>
              <w:t xml:space="preserve"> </w:t>
            </w:r>
            <w:r>
              <w:rPr>
                <w:sz w:val="22"/>
              </w:rPr>
              <w:t>Wyoming</w:t>
            </w:r>
          </w:p>
        </w:tc>
      </w:tr>
      <w:tr>
        <w:tblPrEx>
          <w:tblW w:w="0" w:type="auto"/>
          <w:jc w:val="left"/>
          <w:tblInd w:w="493" w:type="dxa"/>
          <w:tblLayout w:type="fixed"/>
          <w:tblCellMar>
            <w:top w:w="0" w:type="dxa"/>
            <w:left w:w="0" w:type="dxa"/>
            <w:bottom w:w="0" w:type="dxa"/>
            <w:right w:w="0" w:type="dxa"/>
          </w:tblCellMar>
          <w:tblLook w:val="01E0"/>
        </w:tblPrEx>
        <w:trPr>
          <w:trHeight w:val="251"/>
          <w:jc w:val="left"/>
        </w:trPr>
        <w:tc>
          <w:tcPr>
            <w:tcW w:w="991" w:type="dxa"/>
          </w:tcPr>
          <w:p>
            <w:pPr>
              <w:pStyle w:val="TableParagraph"/>
              <w:spacing w:line="232" w:lineRule="exact"/>
              <w:ind w:left="9" w:right="2"/>
              <w:jc w:val="center"/>
              <w:rPr>
                <w:sz w:val="22"/>
              </w:rPr>
            </w:pPr>
            <w:r>
              <w:rPr>
                <w:spacing w:val="-5"/>
                <w:sz w:val="22"/>
              </w:rPr>
              <w:t>06</w:t>
            </w:r>
          </w:p>
        </w:tc>
        <w:tc>
          <w:tcPr>
            <w:tcW w:w="3149" w:type="dxa"/>
          </w:tcPr>
          <w:p>
            <w:pPr>
              <w:pStyle w:val="TableParagraph"/>
              <w:spacing w:line="232" w:lineRule="exact"/>
              <w:ind w:left="105"/>
              <w:rPr>
                <w:sz w:val="22"/>
              </w:rPr>
            </w:pPr>
            <w:r>
              <w:rPr>
                <w:sz w:val="22"/>
              </w:rPr>
              <w:t>Pennsylvania</w:t>
            </w:r>
            <w:r>
              <w:rPr>
                <w:spacing w:val="-5"/>
                <w:sz w:val="22"/>
              </w:rPr>
              <w:t xml:space="preserve"> </w:t>
            </w:r>
            <w:r>
              <w:rPr>
                <w:sz w:val="22"/>
              </w:rPr>
              <w:t>and</w:t>
            </w:r>
            <w:r>
              <w:rPr>
                <w:spacing w:val="-3"/>
                <w:sz w:val="22"/>
              </w:rPr>
              <w:t xml:space="preserve"> </w:t>
            </w:r>
            <w:r>
              <w:rPr>
                <w:sz w:val="22"/>
              </w:rPr>
              <w:t>West</w:t>
            </w:r>
            <w:r>
              <w:rPr>
                <w:spacing w:val="-1"/>
                <w:sz w:val="22"/>
              </w:rPr>
              <w:t xml:space="preserve"> </w:t>
            </w:r>
            <w:r>
              <w:rPr>
                <w:spacing w:val="-2"/>
                <w:sz w:val="22"/>
              </w:rPr>
              <w:t>Virginia</w:t>
            </w:r>
          </w:p>
        </w:tc>
        <w:tc>
          <w:tcPr>
            <w:tcW w:w="986" w:type="dxa"/>
          </w:tcPr>
          <w:p>
            <w:pPr>
              <w:pStyle w:val="TableParagraph"/>
              <w:spacing w:line="232" w:lineRule="exact"/>
              <w:ind w:left="8"/>
              <w:jc w:val="center"/>
              <w:rPr>
                <w:sz w:val="22"/>
              </w:rPr>
            </w:pPr>
            <w:r>
              <w:rPr>
                <w:spacing w:val="-5"/>
                <w:sz w:val="22"/>
              </w:rPr>
              <w:t>26</w:t>
            </w:r>
          </w:p>
        </w:tc>
        <w:tc>
          <w:tcPr>
            <w:tcW w:w="3420" w:type="dxa"/>
          </w:tcPr>
          <w:p>
            <w:pPr>
              <w:pStyle w:val="TableParagraph"/>
              <w:spacing w:line="232" w:lineRule="exact"/>
              <w:ind w:left="106"/>
              <w:rPr>
                <w:sz w:val="22"/>
              </w:rPr>
            </w:pPr>
            <w:r>
              <w:rPr>
                <w:sz w:val="22"/>
              </w:rPr>
              <w:t>New</w:t>
            </w:r>
            <w:r>
              <w:rPr>
                <w:spacing w:val="-2"/>
                <w:sz w:val="22"/>
              </w:rPr>
              <w:t xml:space="preserve"> Mexico</w:t>
            </w:r>
          </w:p>
        </w:tc>
      </w:tr>
      <w:tr>
        <w:tblPrEx>
          <w:tblW w:w="0" w:type="auto"/>
          <w:jc w:val="left"/>
          <w:tblInd w:w="493" w:type="dxa"/>
          <w:tblLayout w:type="fixed"/>
          <w:tblCellMar>
            <w:top w:w="0" w:type="dxa"/>
            <w:left w:w="0" w:type="dxa"/>
            <w:bottom w:w="0" w:type="dxa"/>
            <w:right w:w="0" w:type="dxa"/>
          </w:tblCellMar>
          <w:tblLook w:val="01E0"/>
        </w:tblPrEx>
        <w:trPr>
          <w:trHeight w:val="253"/>
          <w:jc w:val="left"/>
        </w:trPr>
        <w:tc>
          <w:tcPr>
            <w:tcW w:w="991" w:type="dxa"/>
          </w:tcPr>
          <w:p>
            <w:pPr>
              <w:pStyle w:val="TableParagraph"/>
              <w:spacing w:line="234" w:lineRule="exact"/>
              <w:ind w:left="9" w:right="2"/>
              <w:jc w:val="center"/>
              <w:rPr>
                <w:sz w:val="22"/>
              </w:rPr>
            </w:pPr>
            <w:r>
              <w:rPr>
                <w:spacing w:val="-5"/>
                <w:sz w:val="22"/>
              </w:rPr>
              <w:t>07</w:t>
            </w:r>
          </w:p>
        </w:tc>
        <w:tc>
          <w:tcPr>
            <w:tcW w:w="3149" w:type="dxa"/>
          </w:tcPr>
          <w:p>
            <w:pPr>
              <w:pStyle w:val="TableParagraph"/>
              <w:spacing w:line="234" w:lineRule="exact"/>
              <w:ind w:left="105"/>
              <w:rPr>
                <w:sz w:val="22"/>
              </w:rPr>
            </w:pPr>
            <w:r>
              <w:rPr>
                <w:spacing w:val="-2"/>
                <w:sz w:val="22"/>
              </w:rPr>
              <w:t>Virginia</w:t>
            </w:r>
          </w:p>
        </w:tc>
        <w:tc>
          <w:tcPr>
            <w:tcW w:w="986" w:type="dxa"/>
          </w:tcPr>
          <w:p>
            <w:pPr>
              <w:pStyle w:val="TableParagraph"/>
              <w:spacing w:line="234" w:lineRule="exact"/>
              <w:ind w:left="8"/>
              <w:jc w:val="center"/>
              <w:rPr>
                <w:sz w:val="22"/>
              </w:rPr>
            </w:pPr>
            <w:r>
              <w:rPr>
                <w:spacing w:val="-5"/>
                <w:sz w:val="22"/>
              </w:rPr>
              <w:t>27</w:t>
            </w:r>
          </w:p>
        </w:tc>
        <w:tc>
          <w:tcPr>
            <w:tcW w:w="3420" w:type="dxa"/>
          </w:tcPr>
          <w:p>
            <w:pPr>
              <w:pStyle w:val="TableParagraph"/>
              <w:spacing w:line="234" w:lineRule="exact"/>
              <w:ind w:left="106"/>
              <w:rPr>
                <w:sz w:val="22"/>
              </w:rPr>
            </w:pPr>
            <w:r>
              <w:rPr>
                <w:spacing w:val="-2"/>
                <w:sz w:val="22"/>
              </w:rPr>
              <w:t>Colorado</w:t>
            </w:r>
          </w:p>
        </w:tc>
      </w:tr>
      <w:tr>
        <w:tblPrEx>
          <w:tblW w:w="0" w:type="auto"/>
          <w:jc w:val="left"/>
          <w:tblInd w:w="493" w:type="dxa"/>
          <w:tblLayout w:type="fixed"/>
          <w:tblCellMar>
            <w:top w:w="0" w:type="dxa"/>
            <w:left w:w="0" w:type="dxa"/>
            <w:bottom w:w="0" w:type="dxa"/>
            <w:right w:w="0" w:type="dxa"/>
          </w:tblCellMar>
          <w:tblLook w:val="01E0"/>
        </w:tblPrEx>
        <w:trPr>
          <w:trHeight w:val="251"/>
          <w:jc w:val="left"/>
        </w:trPr>
        <w:tc>
          <w:tcPr>
            <w:tcW w:w="991" w:type="dxa"/>
          </w:tcPr>
          <w:p>
            <w:pPr>
              <w:pStyle w:val="TableParagraph"/>
              <w:spacing w:line="232" w:lineRule="exact"/>
              <w:ind w:left="9" w:right="2"/>
              <w:jc w:val="center"/>
              <w:rPr>
                <w:sz w:val="22"/>
              </w:rPr>
            </w:pPr>
            <w:r>
              <w:rPr>
                <w:spacing w:val="-5"/>
                <w:sz w:val="22"/>
              </w:rPr>
              <w:t>08</w:t>
            </w:r>
          </w:p>
        </w:tc>
        <w:tc>
          <w:tcPr>
            <w:tcW w:w="3149" w:type="dxa"/>
          </w:tcPr>
          <w:p>
            <w:pPr>
              <w:pStyle w:val="TableParagraph"/>
              <w:spacing w:line="232" w:lineRule="exact"/>
              <w:ind w:left="105"/>
              <w:rPr>
                <w:sz w:val="22"/>
              </w:rPr>
            </w:pPr>
            <w:r>
              <w:rPr>
                <w:sz w:val="22"/>
              </w:rPr>
              <w:t>North</w:t>
            </w:r>
            <w:r>
              <w:rPr>
                <w:spacing w:val="-2"/>
                <w:sz w:val="22"/>
              </w:rPr>
              <w:t xml:space="preserve"> Carolina</w:t>
            </w:r>
          </w:p>
        </w:tc>
        <w:tc>
          <w:tcPr>
            <w:tcW w:w="986" w:type="dxa"/>
          </w:tcPr>
          <w:p>
            <w:pPr>
              <w:pStyle w:val="TableParagraph"/>
              <w:spacing w:line="232" w:lineRule="exact"/>
              <w:ind w:left="8"/>
              <w:jc w:val="center"/>
              <w:rPr>
                <w:sz w:val="22"/>
              </w:rPr>
            </w:pPr>
            <w:r>
              <w:rPr>
                <w:spacing w:val="-5"/>
                <w:sz w:val="22"/>
              </w:rPr>
              <w:t>28</w:t>
            </w:r>
          </w:p>
        </w:tc>
        <w:tc>
          <w:tcPr>
            <w:tcW w:w="3420" w:type="dxa"/>
          </w:tcPr>
          <w:p>
            <w:pPr>
              <w:pStyle w:val="TableParagraph"/>
              <w:spacing w:line="232" w:lineRule="exact"/>
              <w:ind w:left="106"/>
              <w:rPr>
                <w:sz w:val="22"/>
              </w:rPr>
            </w:pPr>
            <w:r>
              <w:rPr>
                <w:spacing w:val="-2"/>
                <w:sz w:val="22"/>
              </w:rPr>
              <w:t>Arizona</w:t>
            </w:r>
          </w:p>
        </w:tc>
      </w:tr>
      <w:tr>
        <w:tblPrEx>
          <w:tblW w:w="0" w:type="auto"/>
          <w:jc w:val="left"/>
          <w:tblInd w:w="493" w:type="dxa"/>
          <w:tblLayout w:type="fixed"/>
          <w:tblCellMar>
            <w:top w:w="0" w:type="dxa"/>
            <w:left w:w="0" w:type="dxa"/>
            <w:bottom w:w="0" w:type="dxa"/>
            <w:right w:w="0" w:type="dxa"/>
          </w:tblCellMar>
          <w:tblLook w:val="01E0"/>
        </w:tblPrEx>
        <w:trPr>
          <w:trHeight w:val="254"/>
          <w:jc w:val="left"/>
        </w:trPr>
        <w:tc>
          <w:tcPr>
            <w:tcW w:w="991" w:type="dxa"/>
          </w:tcPr>
          <w:p>
            <w:pPr>
              <w:pStyle w:val="TableParagraph"/>
              <w:spacing w:line="234" w:lineRule="exact"/>
              <w:ind w:left="9" w:right="2"/>
              <w:jc w:val="center"/>
              <w:rPr>
                <w:sz w:val="22"/>
              </w:rPr>
            </w:pPr>
            <w:r>
              <w:rPr>
                <w:spacing w:val="-5"/>
                <w:sz w:val="22"/>
              </w:rPr>
              <w:t>09</w:t>
            </w:r>
          </w:p>
        </w:tc>
        <w:tc>
          <w:tcPr>
            <w:tcW w:w="3149" w:type="dxa"/>
          </w:tcPr>
          <w:p>
            <w:pPr>
              <w:pStyle w:val="TableParagraph"/>
              <w:spacing w:line="234" w:lineRule="exact"/>
              <w:ind w:left="105"/>
              <w:rPr>
                <w:sz w:val="22"/>
              </w:rPr>
            </w:pPr>
            <w:r>
              <w:rPr>
                <w:sz w:val="22"/>
              </w:rPr>
              <w:t>South</w:t>
            </w:r>
            <w:r>
              <w:rPr>
                <w:spacing w:val="-2"/>
                <w:sz w:val="22"/>
              </w:rPr>
              <w:t xml:space="preserve"> Carolina</w:t>
            </w:r>
          </w:p>
        </w:tc>
        <w:tc>
          <w:tcPr>
            <w:tcW w:w="986" w:type="dxa"/>
          </w:tcPr>
          <w:p>
            <w:pPr>
              <w:pStyle w:val="TableParagraph"/>
              <w:spacing w:line="234" w:lineRule="exact"/>
              <w:ind w:left="8"/>
              <w:jc w:val="center"/>
              <w:rPr>
                <w:sz w:val="22"/>
              </w:rPr>
            </w:pPr>
            <w:r>
              <w:rPr>
                <w:spacing w:val="-5"/>
                <w:sz w:val="22"/>
              </w:rPr>
              <w:t>29</w:t>
            </w:r>
          </w:p>
        </w:tc>
        <w:tc>
          <w:tcPr>
            <w:tcW w:w="3420" w:type="dxa"/>
          </w:tcPr>
          <w:p>
            <w:pPr>
              <w:pStyle w:val="TableParagraph"/>
              <w:spacing w:line="234" w:lineRule="exact"/>
              <w:ind w:left="106"/>
              <w:rPr>
                <w:sz w:val="22"/>
              </w:rPr>
            </w:pPr>
            <w:r>
              <w:rPr>
                <w:spacing w:val="-2"/>
                <w:sz w:val="22"/>
              </w:rPr>
              <w:t>Nevada</w:t>
            </w:r>
          </w:p>
        </w:tc>
      </w:tr>
      <w:tr>
        <w:tblPrEx>
          <w:tblW w:w="0" w:type="auto"/>
          <w:jc w:val="left"/>
          <w:tblInd w:w="493" w:type="dxa"/>
          <w:tblLayout w:type="fixed"/>
          <w:tblCellMar>
            <w:top w:w="0" w:type="dxa"/>
            <w:left w:w="0" w:type="dxa"/>
            <w:bottom w:w="0" w:type="dxa"/>
            <w:right w:w="0" w:type="dxa"/>
          </w:tblCellMar>
          <w:tblLook w:val="01E0"/>
        </w:tblPrEx>
        <w:trPr>
          <w:trHeight w:val="251"/>
          <w:jc w:val="left"/>
        </w:trPr>
        <w:tc>
          <w:tcPr>
            <w:tcW w:w="991" w:type="dxa"/>
          </w:tcPr>
          <w:p>
            <w:pPr>
              <w:pStyle w:val="TableParagraph"/>
              <w:spacing w:line="232" w:lineRule="exact"/>
              <w:ind w:left="9" w:right="2"/>
              <w:jc w:val="center"/>
              <w:rPr>
                <w:sz w:val="22"/>
              </w:rPr>
            </w:pPr>
            <w:r>
              <w:rPr>
                <w:spacing w:val="-5"/>
                <w:sz w:val="22"/>
              </w:rPr>
              <w:t>10</w:t>
            </w:r>
          </w:p>
        </w:tc>
        <w:tc>
          <w:tcPr>
            <w:tcW w:w="3149" w:type="dxa"/>
          </w:tcPr>
          <w:p>
            <w:pPr>
              <w:pStyle w:val="TableParagraph"/>
              <w:spacing w:line="232" w:lineRule="exact"/>
              <w:ind w:left="105"/>
              <w:rPr>
                <w:sz w:val="22"/>
              </w:rPr>
            </w:pPr>
            <w:r>
              <w:rPr>
                <w:spacing w:val="-2"/>
                <w:sz w:val="22"/>
              </w:rPr>
              <w:t>Georgia</w:t>
            </w:r>
          </w:p>
        </w:tc>
        <w:tc>
          <w:tcPr>
            <w:tcW w:w="986" w:type="dxa"/>
          </w:tcPr>
          <w:p>
            <w:pPr>
              <w:pStyle w:val="TableParagraph"/>
              <w:spacing w:line="232" w:lineRule="exact"/>
              <w:ind w:left="8"/>
              <w:jc w:val="center"/>
              <w:rPr>
                <w:sz w:val="22"/>
              </w:rPr>
            </w:pPr>
            <w:r>
              <w:rPr>
                <w:spacing w:val="-5"/>
                <w:sz w:val="22"/>
              </w:rPr>
              <w:t>30</w:t>
            </w:r>
          </w:p>
        </w:tc>
        <w:tc>
          <w:tcPr>
            <w:tcW w:w="3420" w:type="dxa"/>
          </w:tcPr>
          <w:p>
            <w:pPr>
              <w:pStyle w:val="TableParagraph"/>
              <w:spacing w:line="232" w:lineRule="exact"/>
              <w:ind w:left="106"/>
              <w:rPr>
                <w:sz w:val="22"/>
              </w:rPr>
            </w:pPr>
            <w:r>
              <w:rPr>
                <w:sz w:val="22"/>
              </w:rPr>
              <w:t>Oregon</w:t>
            </w:r>
            <w:r>
              <w:rPr>
                <w:spacing w:val="-2"/>
                <w:sz w:val="22"/>
              </w:rPr>
              <w:t xml:space="preserve"> </w:t>
            </w:r>
            <w:r>
              <w:rPr>
                <w:sz w:val="22"/>
              </w:rPr>
              <w:t>and</w:t>
            </w:r>
            <w:r>
              <w:rPr>
                <w:spacing w:val="-2"/>
                <w:sz w:val="22"/>
              </w:rPr>
              <w:t xml:space="preserve"> Washington</w:t>
            </w:r>
          </w:p>
        </w:tc>
      </w:tr>
      <w:tr>
        <w:tblPrEx>
          <w:tblW w:w="0" w:type="auto"/>
          <w:jc w:val="left"/>
          <w:tblInd w:w="493" w:type="dxa"/>
          <w:tblLayout w:type="fixed"/>
          <w:tblCellMar>
            <w:top w:w="0" w:type="dxa"/>
            <w:left w:w="0" w:type="dxa"/>
            <w:bottom w:w="0" w:type="dxa"/>
            <w:right w:w="0" w:type="dxa"/>
          </w:tblCellMar>
          <w:tblLook w:val="01E0"/>
        </w:tblPrEx>
        <w:trPr>
          <w:trHeight w:val="254"/>
          <w:jc w:val="left"/>
        </w:trPr>
        <w:tc>
          <w:tcPr>
            <w:tcW w:w="991" w:type="dxa"/>
          </w:tcPr>
          <w:p>
            <w:pPr>
              <w:pStyle w:val="TableParagraph"/>
              <w:spacing w:before="1" w:line="233" w:lineRule="exact"/>
              <w:ind w:left="9" w:right="2"/>
              <w:jc w:val="center"/>
              <w:rPr>
                <w:sz w:val="22"/>
              </w:rPr>
            </w:pPr>
            <w:r>
              <w:rPr>
                <w:spacing w:val="-5"/>
                <w:sz w:val="22"/>
              </w:rPr>
              <w:t>11</w:t>
            </w:r>
          </w:p>
        </w:tc>
        <w:tc>
          <w:tcPr>
            <w:tcW w:w="3149" w:type="dxa"/>
          </w:tcPr>
          <w:p>
            <w:pPr>
              <w:pStyle w:val="TableParagraph"/>
              <w:spacing w:before="1" w:line="233" w:lineRule="exact"/>
              <w:ind w:left="105"/>
              <w:rPr>
                <w:sz w:val="22"/>
              </w:rPr>
            </w:pPr>
            <w:r>
              <w:rPr>
                <w:spacing w:val="-2"/>
                <w:sz w:val="22"/>
              </w:rPr>
              <w:t>Florida</w:t>
            </w:r>
          </w:p>
        </w:tc>
        <w:tc>
          <w:tcPr>
            <w:tcW w:w="986" w:type="dxa"/>
          </w:tcPr>
          <w:p>
            <w:pPr>
              <w:pStyle w:val="TableParagraph"/>
              <w:spacing w:before="1" w:line="233" w:lineRule="exact"/>
              <w:ind w:left="8"/>
              <w:jc w:val="center"/>
              <w:rPr>
                <w:sz w:val="22"/>
              </w:rPr>
            </w:pPr>
            <w:r>
              <w:rPr>
                <w:spacing w:val="-5"/>
                <w:sz w:val="22"/>
              </w:rPr>
              <w:t>31</w:t>
            </w:r>
          </w:p>
        </w:tc>
        <w:tc>
          <w:tcPr>
            <w:tcW w:w="3420" w:type="dxa"/>
          </w:tcPr>
          <w:p>
            <w:pPr>
              <w:pStyle w:val="TableParagraph"/>
              <w:spacing w:before="1" w:line="233" w:lineRule="exact"/>
              <w:ind w:left="106"/>
              <w:rPr>
                <w:sz w:val="22"/>
              </w:rPr>
            </w:pPr>
            <w:r>
              <w:rPr>
                <w:sz w:val="22"/>
              </w:rPr>
              <w:t>Idaho</w:t>
            </w:r>
            <w:r>
              <w:rPr>
                <w:spacing w:val="-3"/>
                <w:sz w:val="22"/>
              </w:rPr>
              <w:t xml:space="preserve"> </w:t>
            </w:r>
            <w:r>
              <w:rPr>
                <w:sz w:val="22"/>
              </w:rPr>
              <w:t>and</w:t>
            </w:r>
            <w:r>
              <w:rPr>
                <w:spacing w:val="-1"/>
                <w:sz w:val="22"/>
              </w:rPr>
              <w:t xml:space="preserve"> </w:t>
            </w:r>
            <w:r>
              <w:rPr>
                <w:spacing w:val="-4"/>
                <w:sz w:val="22"/>
              </w:rPr>
              <w:t>Utah</w:t>
            </w:r>
          </w:p>
        </w:tc>
      </w:tr>
      <w:tr>
        <w:tblPrEx>
          <w:tblW w:w="0" w:type="auto"/>
          <w:jc w:val="left"/>
          <w:tblInd w:w="493" w:type="dxa"/>
          <w:tblLayout w:type="fixed"/>
          <w:tblCellMar>
            <w:top w:w="0" w:type="dxa"/>
            <w:left w:w="0" w:type="dxa"/>
            <w:bottom w:w="0" w:type="dxa"/>
            <w:right w:w="0" w:type="dxa"/>
          </w:tblCellMar>
          <w:tblLook w:val="01E0"/>
        </w:tblPrEx>
        <w:trPr>
          <w:trHeight w:val="253"/>
          <w:jc w:val="left"/>
        </w:trPr>
        <w:tc>
          <w:tcPr>
            <w:tcW w:w="991" w:type="dxa"/>
          </w:tcPr>
          <w:p>
            <w:pPr>
              <w:pStyle w:val="TableParagraph"/>
              <w:spacing w:line="234" w:lineRule="exact"/>
              <w:ind w:left="9" w:right="2"/>
              <w:jc w:val="center"/>
              <w:rPr>
                <w:sz w:val="22"/>
              </w:rPr>
            </w:pPr>
            <w:r>
              <w:rPr>
                <w:spacing w:val="-5"/>
                <w:sz w:val="22"/>
              </w:rPr>
              <w:t>12</w:t>
            </w:r>
          </w:p>
        </w:tc>
        <w:tc>
          <w:tcPr>
            <w:tcW w:w="3149" w:type="dxa"/>
          </w:tcPr>
          <w:p>
            <w:pPr>
              <w:pStyle w:val="TableParagraph"/>
              <w:spacing w:line="234" w:lineRule="exact"/>
              <w:ind w:left="105"/>
              <w:rPr>
                <w:sz w:val="22"/>
              </w:rPr>
            </w:pPr>
            <w:r>
              <w:rPr>
                <w:sz w:val="22"/>
              </w:rPr>
              <w:t>Alabama</w:t>
            </w:r>
            <w:r>
              <w:rPr>
                <w:spacing w:val="-4"/>
                <w:sz w:val="22"/>
              </w:rPr>
              <w:t xml:space="preserve"> </w:t>
            </w:r>
            <w:r>
              <w:rPr>
                <w:sz w:val="22"/>
              </w:rPr>
              <w:t>and</w:t>
            </w:r>
            <w:r>
              <w:rPr>
                <w:spacing w:val="-2"/>
                <w:sz w:val="22"/>
              </w:rPr>
              <w:t xml:space="preserve"> Tennessee</w:t>
            </w:r>
          </w:p>
        </w:tc>
        <w:tc>
          <w:tcPr>
            <w:tcW w:w="986" w:type="dxa"/>
          </w:tcPr>
          <w:p>
            <w:pPr>
              <w:pStyle w:val="TableParagraph"/>
              <w:spacing w:line="234" w:lineRule="exact"/>
              <w:ind w:left="8"/>
              <w:jc w:val="center"/>
              <w:rPr>
                <w:sz w:val="22"/>
              </w:rPr>
            </w:pPr>
            <w:r>
              <w:rPr>
                <w:spacing w:val="-5"/>
                <w:sz w:val="22"/>
              </w:rPr>
              <w:t>32</w:t>
            </w:r>
          </w:p>
        </w:tc>
        <w:tc>
          <w:tcPr>
            <w:tcW w:w="3420" w:type="dxa"/>
          </w:tcPr>
          <w:p>
            <w:pPr>
              <w:pStyle w:val="TableParagraph"/>
              <w:spacing w:line="234" w:lineRule="exact"/>
              <w:ind w:left="106"/>
              <w:rPr>
                <w:sz w:val="22"/>
              </w:rPr>
            </w:pPr>
            <w:r>
              <w:rPr>
                <w:spacing w:val="-2"/>
                <w:sz w:val="22"/>
              </w:rPr>
              <w:t>California</w:t>
            </w:r>
          </w:p>
        </w:tc>
      </w:tr>
      <w:tr>
        <w:tblPrEx>
          <w:tblW w:w="0" w:type="auto"/>
          <w:jc w:val="left"/>
          <w:tblInd w:w="493" w:type="dxa"/>
          <w:tblLayout w:type="fixed"/>
          <w:tblCellMar>
            <w:top w:w="0" w:type="dxa"/>
            <w:left w:w="0" w:type="dxa"/>
            <w:bottom w:w="0" w:type="dxa"/>
            <w:right w:w="0" w:type="dxa"/>
          </w:tblCellMar>
          <w:tblLook w:val="01E0"/>
        </w:tblPrEx>
        <w:trPr>
          <w:trHeight w:val="251"/>
          <w:jc w:val="left"/>
        </w:trPr>
        <w:tc>
          <w:tcPr>
            <w:tcW w:w="991" w:type="dxa"/>
          </w:tcPr>
          <w:p>
            <w:pPr>
              <w:pStyle w:val="TableParagraph"/>
              <w:spacing w:line="232" w:lineRule="exact"/>
              <w:ind w:left="9" w:right="2"/>
              <w:jc w:val="center"/>
              <w:rPr>
                <w:sz w:val="22"/>
              </w:rPr>
            </w:pPr>
            <w:r>
              <w:rPr>
                <w:spacing w:val="-5"/>
                <w:sz w:val="22"/>
              </w:rPr>
              <w:t>13</w:t>
            </w:r>
          </w:p>
        </w:tc>
        <w:tc>
          <w:tcPr>
            <w:tcW w:w="3149" w:type="dxa"/>
          </w:tcPr>
          <w:p>
            <w:pPr>
              <w:pStyle w:val="TableParagraph"/>
              <w:spacing w:line="232" w:lineRule="exact"/>
              <w:ind w:left="105"/>
              <w:rPr>
                <w:sz w:val="22"/>
              </w:rPr>
            </w:pPr>
            <w:r>
              <w:rPr>
                <w:spacing w:val="-2"/>
                <w:sz w:val="22"/>
              </w:rPr>
              <w:t>Michigan</w:t>
            </w:r>
          </w:p>
        </w:tc>
        <w:tc>
          <w:tcPr>
            <w:tcW w:w="986" w:type="dxa"/>
          </w:tcPr>
          <w:p>
            <w:pPr>
              <w:pStyle w:val="TableParagraph"/>
              <w:spacing w:line="232" w:lineRule="exact"/>
              <w:ind w:left="8"/>
              <w:jc w:val="center"/>
              <w:rPr>
                <w:sz w:val="22"/>
              </w:rPr>
            </w:pPr>
            <w:r>
              <w:rPr>
                <w:spacing w:val="-5"/>
                <w:sz w:val="22"/>
              </w:rPr>
              <w:t>33</w:t>
            </w:r>
          </w:p>
        </w:tc>
        <w:tc>
          <w:tcPr>
            <w:tcW w:w="3420" w:type="dxa"/>
          </w:tcPr>
          <w:p>
            <w:pPr>
              <w:pStyle w:val="TableParagraph"/>
              <w:spacing w:line="232" w:lineRule="exact"/>
              <w:ind w:left="106"/>
              <w:rPr>
                <w:sz w:val="22"/>
              </w:rPr>
            </w:pPr>
            <w:r>
              <w:rPr>
                <w:spacing w:val="-2"/>
                <w:sz w:val="22"/>
              </w:rPr>
              <w:t>Hawaii</w:t>
            </w:r>
          </w:p>
        </w:tc>
      </w:tr>
      <w:tr>
        <w:tblPrEx>
          <w:tblW w:w="0" w:type="auto"/>
          <w:jc w:val="left"/>
          <w:tblInd w:w="493" w:type="dxa"/>
          <w:tblLayout w:type="fixed"/>
          <w:tblCellMar>
            <w:top w:w="0" w:type="dxa"/>
            <w:left w:w="0" w:type="dxa"/>
            <w:bottom w:w="0" w:type="dxa"/>
            <w:right w:w="0" w:type="dxa"/>
          </w:tblCellMar>
          <w:tblLook w:val="01E0"/>
        </w:tblPrEx>
        <w:trPr>
          <w:trHeight w:val="253"/>
          <w:jc w:val="left"/>
        </w:trPr>
        <w:tc>
          <w:tcPr>
            <w:tcW w:w="991" w:type="dxa"/>
          </w:tcPr>
          <w:p>
            <w:pPr>
              <w:pStyle w:val="TableParagraph"/>
              <w:spacing w:line="234" w:lineRule="exact"/>
              <w:ind w:left="9" w:right="2"/>
              <w:jc w:val="center"/>
              <w:rPr>
                <w:sz w:val="22"/>
              </w:rPr>
            </w:pPr>
            <w:r>
              <w:rPr>
                <w:spacing w:val="-5"/>
                <w:sz w:val="22"/>
              </w:rPr>
              <w:t>14</w:t>
            </w:r>
          </w:p>
        </w:tc>
        <w:tc>
          <w:tcPr>
            <w:tcW w:w="3149" w:type="dxa"/>
          </w:tcPr>
          <w:p>
            <w:pPr>
              <w:pStyle w:val="TableParagraph"/>
              <w:spacing w:line="234" w:lineRule="exact"/>
              <w:ind w:left="105"/>
              <w:rPr>
                <w:sz w:val="22"/>
              </w:rPr>
            </w:pPr>
            <w:r>
              <w:rPr>
                <w:spacing w:val="-4"/>
                <w:sz w:val="22"/>
              </w:rPr>
              <w:t>Ohio</w:t>
            </w:r>
          </w:p>
        </w:tc>
        <w:tc>
          <w:tcPr>
            <w:tcW w:w="986" w:type="dxa"/>
          </w:tcPr>
          <w:p>
            <w:pPr>
              <w:pStyle w:val="TableParagraph"/>
              <w:spacing w:line="234" w:lineRule="exact"/>
              <w:ind w:left="8"/>
              <w:jc w:val="center"/>
              <w:rPr>
                <w:sz w:val="22"/>
              </w:rPr>
            </w:pPr>
            <w:r>
              <w:rPr>
                <w:spacing w:val="-5"/>
                <w:sz w:val="22"/>
              </w:rPr>
              <w:t>34</w:t>
            </w:r>
          </w:p>
        </w:tc>
        <w:tc>
          <w:tcPr>
            <w:tcW w:w="3420" w:type="dxa"/>
          </w:tcPr>
          <w:p>
            <w:pPr>
              <w:pStyle w:val="TableParagraph"/>
              <w:spacing w:line="234" w:lineRule="exact"/>
              <w:ind w:left="106"/>
              <w:rPr>
                <w:sz w:val="22"/>
              </w:rPr>
            </w:pPr>
            <w:r>
              <w:rPr>
                <w:spacing w:val="-2"/>
                <w:sz w:val="22"/>
              </w:rPr>
              <w:t>Alaska</w:t>
            </w:r>
          </w:p>
        </w:tc>
      </w:tr>
      <w:tr>
        <w:tblPrEx>
          <w:tblW w:w="0" w:type="auto"/>
          <w:jc w:val="left"/>
          <w:tblInd w:w="493" w:type="dxa"/>
          <w:tblLayout w:type="fixed"/>
          <w:tblCellMar>
            <w:top w:w="0" w:type="dxa"/>
            <w:left w:w="0" w:type="dxa"/>
            <w:bottom w:w="0" w:type="dxa"/>
            <w:right w:w="0" w:type="dxa"/>
          </w:tblCellMar>
          <w:tblLook w:val="01E0"/>
        </w:tblPrEx>
        <w:trPr>
          <w:trHeight w:val="251"/>
          <w:jc w:val="left"/>
        </w:trPr>
        <w:tc>
          <w:tcPr>
            <w:tcW w:w="991" w:type="dxa"/>
          </w:tcPr>
          <w:p>
            <w:pPr>
              <w:pStyle w:val="TableParagraph"/>
              <w:spacing w:line="232" w:lineRule="exact"/>
              <w:ind w:left="9" w:right="2"/>
              <w:jc w:val="center"/>
              <w:rPr>
                <w:sz w:val="22"/>
              </w:rPr>
            </w:pPr>
            <w:r>
              <w:rPr>
                <w:spacing w:val="-5"/>
                <w:sz w:val="22"/>
              </w:rPr>
              <w:t>15</w:t>
            </w:r>
          </w:p>
        </w:tc>
        <w:tc>
          <w:tcPr>
            <w:tcW w:w="3149" w:type="dxa"/>
          </w:tcPr>
          <w:p>
            <w:pPr>
              <w:pStyle w:val="TableParagraph"/>
              <w:spacing w:line="232" w:lineRule="exact"/>
              <w:ind w:left="105"/>
              <w:rPr>
                <w:sz w:val="22"/>
              </w:rPr>
            </w:pPr>
            <w:r>
              <w:rPr>
                <w:sz w:val="22"/>
              </w:rPr>
              <w:t>Indiana</w:t>
            </w:r>
            <w:r>
              <w:rPr>
                <w:spacing w:val="-3"/>
                <w:sz w:val="22"/>
              </w:rPr>
              <w:t xml:space="preserve"> </w:t>
            </w:r>
            <w:r>
              <w:rPr>
                <w:sz w:val="22"/>
              </w:rPr>
              <w:t>and</w:t>
            </w:r>
            <w:r>
              <w:rPr>
                <w:spacing w:val="-1"/>
                <w:sz w:val="22"/>
              </w:rPr>
              <w:t xml:space="preserve"> </w:t>
            </w:r>
            <w:r>
              <w:rPr>
                <w:spacing w:val="-2"/>
                <w:sz w:val="22"/>
              </w:rPr>
              <w:t>Kentucky</w:t>
            </w:r>
          </w:p>
        </w:tc>
        <w:tc>
          <w:tcPr>
            <w:tcW w:w="986" w:type="dxa"/>
          </w:tcPr>
          <w:p>
            <w:pPr>
              <w:pStyle w:val="TableParagraph"/>
              <w:spacing w:line="232" w:lineRule="exact"/>
              <w:ind w:left="8"/>
              <w:jc w:val="center"/>
              <w:rPr>
                <w:sz w:val="22"/>
              </w:rPr>
            </w:pPr>
            <w:r>
              <w:rPr>
                <w:spacing w:val="-5"/>
                <w:sz w:val="22"/>
              </w:rPr>
              <w:t>35</w:t>
            </w:r>
          </w:p>
        </w:tc>
        <w:tc>
          <w:tcPr>
            <w:tcW w:w="3420" w:type="dxa"/>
          </w:tcPr>
          <w:p>
            <w:pPr>
              <w:pStyle w:val="TableParagraph"/>
              <w:spacing w:line="232" w:lineRule="exact"/>
              <w:ind w:left="106"/>
              <w:rPr>
                <w:sz w:val="22"/>
              </w:rPr>
            </w:pPr>
            <w:r>
              <w:rPr>
                <w:sz w:val="22"/>
              </w:rPr>
              <w:t>American</w:t>
            </w:r>
            <w:r>
              <w:rPr>
                <w:spacing w:val="-8"/>
                <w:sz w:val="22"/>
              </w:rPr>
              <w:t xml:space="preserve"> </w:t>
            </w:r>
            <w:r>
              <w:rPr>
                <w:spacing w:val="-2"/>
                <w:sz w:val="22"/>
              </w:rPr>
              <w:t>Samoa</w:t>
            </w:r>
          </w:p>
        </w:tc>
      </w:tr>
      <w:tr>
        <w:tblPrEx>
          <w:tblW w:w="0" w:type="auto"/>
          <w:jc w:val="left"/>
          <w:tblInd w:w="493" w:type="dxa"/>
          <w:tblLayout w:type="fixed"/>
          <w:tblCellMar>
            <w:top w:w="0" w:type="dxa"/>
            <w:left w:w="0" w:type="dxa"/>
            <w:bottom w:w="0" w:type="dxa"/>
            <w:right w:w="0" w:type="dxa"/>
          </w:tblCellMar>
          <w:tblLook w:val="01E0"/>
        </w:tblPrEx>
        <w:trPr>
          <w:trHeight w:val="253"/>
          <w:jc w:val="left"/>
        </w:trPr>
        <w:tc>
          <w:tcPr>
            <w:tcW w:w="991" w:type="dxa"/>
          </w:tcPr>
          <w:p>
            <w:pPr>
              <w:pStyle w:val="TableParagraph"/>
              <w:spacing w:before="1" w:line="233" w:lineRule="exact"/>
              <w:ind w:left="9" w:right="2"/>
              <w:jc w:val="center"/>
              <w:rPr>
                <w:sz w:val="22"/>
              </w:rPr>
            </w:pPr>
            <w:r>
              <w:rPr>
                <w:spacing w:val="-5"/>
                <w:sz w:val="22"/>
              </w:rPr>
              <w:t>16</w:t>
            </w:r>
          </w:p>
        </w:tc>
        <w:tc>
          <w:tcPr>
            <w:tcW w:w="3149" w:type="dxa"/>
          </w:tcPr>
          <w:p>
            <w:pPr>
              <w:pStyle w:val="TableParagraph"/>
              <w:spacing w:before="1" w:line="233" w:lineRule="exact"/>
              <w:ind w:left="105"/>
              <w:rPr>
                <w:sz w:val="22"/>
              </w:rPr>
            </w:pPr>
            <w:r>
              <w:rPr>
                <w:spacing w:val="-2"/>
                <w:sz w:val="22"/>
              </w:rPr>
              <w:t>Wisconsin</w:t>
            </w:r>
          </w:p>
        </w:tc>
        <w:tc>
          <w:tcPr>
            <w:tcW w:w="986" w:type="dxa"/>
          </w:tcPr>
          <w:p>
            <w:pPr>
              <w:pStyle w:val="TableParagraph"/>
              <w:spacing w:before="1" w:line="233" w:lineRule="exact"/>
              <w:ind w:left="8"/>
              <w:jc w:val="center"/>
              <w:rPr>
                <w:sz w:val="22"/>
              </w:rPr>
            </w:pPr>
            <w:r>
              <w:rPr>
                <w:spacing w:val="-5"/>
                <w:sz w:val="22"/>
              </w:rPr>
              <w:t>36</w:t>
            </w:r>
          </w:p>
        </w:tc>
        <w:tc>
          <w:tcPr>
            <w:tcW w:w="3420" w:type="dxa"/>
          </w:tcPr>
          <w:p>
            <w:pPr>
              <w:pStyle w:val="TableParagraph"/>
              <w:spacing w:before="1" w:line="233" w:lineRule="exact"/>
              <w:ind w:left="106"/>
              <w:rPr>
                <w:sz w:val="22"/>
              </w:rPr>
            </w:pPr>
            <w:r>
              <w:rPr>
                <w:spacing w:val="-4"/>
                <w:sz w:val="22"/>
              </w:rPr>
              <w:t>Guam</w:t>
            </w:r>
          </w:p>
        </w:tc>
      </w:tr>
      <w:tr>
        <w:tblPrEx>
          <w:tblW w:w="0" w:type="auto"/>
          <w:jc w:val="left"/>
          <w:tblInd w:w="493" w:type="dxa"/>
          <w:tblLayout w:type="fixed"/>
          <w:tblCellMar>
            <w:top w:w="0" w:type="dxa"/>
            <w:left w:w="0" w:type="dxa"/>
            <w:bottom w:w="0" w:type="dxa"/>
            <w:right w:w="0" w:type="dxa"/>
          </w:tblCellMar>
          <w:tblLook w:val="01E0"/>
        </w:tblPrEx>
        <w:trPr>
          <w:trHeight w:val="251"/>
          <w:jc w:val="left"/>
        </w:trPr>
        <w:tc>
          <w:tcPr>
            <w:tcW w:w="991" w:type="dxa"/>
          </w:tcPr>
          <w:p>
            <w:pPr>
              <w:pStyle w:val="TableParagraph"/>
              <w:spacing w:line="232" w:lineRule="exact"/>
              <w:ind w:left="9" w:right="2"/>
              <w:jc w:val="center"/>
              <w:rPr>
                <w:sz w:val="22"/>
              </w:rPr>
            </w:pPr>
            <w:r>
              <w:rPr>
                <w:spacing w:val="-5"/>
                <w:sz w:val="22"/>
              </w:rPr>
              <w:t>17</w:t>
            </w:r>
          </w:p>
        </w:tc>
        <w:tc>
          <w:tcPr>
            <w:tcW w:w="3149" w:type="dxa"/>
          </w:tcPr>
          <w:p>
            <w:pPr>
              <w:pStyle w:val="TableParagraph"/>
              <w:spacing w:line="232" w:lineRule="exact"/>
              <w:ind w:left="105"/>
              <w:rPr>
                <w:sz w:val="22"/>
              </w:rPr>
            </w:pPr>
            <w:r>
              <w:rPr>
                <w:spacing w:val="-2"/>
                <w:sz w:val="22"/>
              </w:rPr>
              <w:t>Illinois</w:t>
            </w:r>
          </w:p>
        </w:tc>
        <w:tc>
          <w:tcPr>
            <w:tcW w:w="986" w:type="dxa"/>
          </w:tcPr>
          <w:p>
            <w:pPr>
              <w:pStyle w:val="TableParagraph"/>
              <w:spacing w:line="232" w:lineRule="exact"/>
              <w:ind w:left="8"/>
              <w:jc w:val="center"/>
              <w:rPr>
                <w:sz w:val="22"/>
              </w:rPr>
            </w:pPr>
            <w:r>
              <w:rPr>
                <w:spacing w:val="-5"/>
                <w:sz w:val="22"/>
              </w:rPr>
              <w:t>37</w:t>
            </w:r>
          </w:p>
        </w:tc>
        <w:tc>
          <w:tcPr>
            <w:tcW w:w="3420" w:type="dxa"/>
          </w:tcPr>
          <w:p>
            <w:pPr>
              <w:pStyle w:val="TableParagraph"/>
              <w:spacing w:line="232" w:lineRule="exact"/>
              <w:ind w:left="106"/>
              <w:rPr>
                <w:sz w:val="22"/>
              </w:rPr>
            </w:pPr>
            <w:r>
              <w:rPr>
                <w:sz w:val="22"/>
              </w:rPr>
              <w:t>Northern</w:t>
            </w:r>
            <w:r>
              <w:rPr>
                <w:spacing w:val="-7"/>
                <w:sz w:val="22"/>
              </w:rPr>
              <w:t xml:space="preserve"> </w:t>
            </w:r>
            <w:r>
              <w:rPr>
                <w:sz w:val="22"/>
              </w:rPr>
              <w:t>Mariana</w:t>
            </w:r>
            <w:r>
              <w:rPr>
                <w:spacing w:val="-4"/>
                <w:sz w:val="22"/>
              </w:rPr>
              <w:t xml:space="preserve"> </w:t>
            </w:r>
            <w:r>
              <w:rPr>
                <w:spacing w:val="-2"/>
                <w:sz w:val="22"/>
              </w:rPr>
              <w:t>Islands</w:t>
            </w:r>
          </w:p>
        </w:tc>
      </w:tr>
      <w:tr>
        <w:tblPrEx>
          <w:tblW w:w="0" w:type="auto"/>
          <w:jc w:val="left"/>
          <w:tblInd w:w="493" w:type="dxa"/>
          <w:tblLayout w:type="fixed"/>
          <w:tblCellMar>
            <w:top w:w="0" w:type="dxa"/>
            <w:left w:w="0" w:type="dxa"/>
            <w:bottom w:w="0" w:type="dxa"/>
            <w:right w:w="0" w:type="dxa"/>
          </w:tblCellMar>
          <w:tblLook w:val="01E0"/>
        </w:tblPrEx>
        <w:trPr>
          <w:trHeight w:val="254"/>
          <w:jc w:val="left"/>
        </w:trPr>
        <w:tc>
          <w:tcPr>
            <w:tcW w:w="991" w:type="dxa"/>
          </w:tcPr>
          <w:p>
            <w:pPr>
              <w:pStyle w:val="TableParagraph"/>
              <w:spacing w:before="1" w:line="233" w:lineRule="exact"/>
              <w:ind w:left="9" w:right="2"/>
              <w:jc w:val="center"/>
              <w:rPr>
                <w:sz w:val="22"/>
              </w:rPr>
            </w:pPr>
            <w:r>
              <w:rPr>
                <w:spacing w:val="-5"/>
                <w:sz w:val="22"/>
              </w:rPr>
              <w:t>18</w:t>
            </w:r>
          </w:p>
        </w:tc>
        <w:tc>
          <w:tcPr>
            <w:tcW w:w="3149" w:type="dxa"/>
          </w:tcPr>
          <w:p>
            <w:pPr>
              <w:pStyle w:val="TableParagraph"/>
              <w:spacing w:before="1" w:line="233" w:lineRule="exact"/>
              <w:ind w:left="105"/>
              <w:rPr>
                <w:sz w:val="22"/>
              </w:rPr>
            </w:pPr>
            <w:r>
              <w:rPr>
                <w:spacing w:val="-2"/>
                <w:sz w:val="22"/>
              </w:rPr>
              <w:t>Missouri</w:t>
            </w:r>
          </w:p>
        </w:tc>
        <w:tc>
          <w:tcPr>
            <w:tcW w:w="986" w:type="dxa"/>
          </w:tcPr>
          <w:p>
            <w:pPr>
              <w:pStyle w:val="TableParagraph"/>
              <w:spacing w:before="1" w:line="233" w:lineRule="exact"/>
              <w:ind w:left="8"/>
              <w:jc w:val="center"/>
              <w:rPr>
                <w:sz w:val="22"/>
              </w:rPr>
            </w:pPr>
            <w:r>
              <w:rPr>
                <w:spacing w:val="-5"/>
                <w:sz w:val="22"/>
              </w:rPr>
              <w:t>38</w:t>
            </w:r>
          </w:p>
        </w:tc>
        <w:tc>
          <w:tcPr>
            <w:tcW w:w="3420" w:type="dxa"/>
          </w:tcPr>
          <w:p>
            <w:pPr>
              <w:pStyle w:val="TableParagraph"/>
              <w:spacing w:before="1" w:line="233" w:lineRule="exact"/>
              <w:ind w:left="106"/>
              <w:rPr>
                <w:sz w:val="22"/>
              </w:rPr>
            </w:pPr>
            <w:r>
              <w:rPr>
                <w:sz w:val="22"/>
              </w:rPr>
              <w:t>Puerto</w:t>
            </w:r>
            <w:r>
              <w:rPr>
                <w:spacing w:val="-4"/>
                <w:sz w:val="22"/>
              </w:rPr>
              <w:t xml:space="preserve"> Rico</w:t>
            </w:r>
          </w:p>
        </w:tc>
      </w:tr>
      <w:tr>
        <w:tblPrEx>
          <w:tblW w:w="0" w:type="auto"/>
          <w:jc w:val="left"/>
          <w:tblInd w:w="493" w:type="dxa"/>
          <w:tblLayout w:type="fixed"/>
          <w:tblCellMar>
            <w:top w:w="0" w:type="dxa"/>
            <w:left w:w="0" w:type="dxa"/>
            <w:bottom w:w="0" w:type="dxa"/>
            <w:right w:w="0" w:type="dxa"/>
          </w:tblCellMar>
          <w:tblLook w:val="01E0"/>
        </w:tblPrEx>
        <w:trPr>
          <w:trHeight w:val="253"/>
          <w:jc w:val="left"/>
        </w:trPr>
        <w:tc>
          <w:tcPr>
            <w:tcW w:w="991" w:type="dxa"/>
          </w:tcPr>
          <w:p>
            <w:pPr>
              <w:pStyle w:val="TableParagraph"/>
              <w:spacing w:line="234" w:lineRule="exact"/>
              <w:ind w:left="9" w:right="2"/>
              <w:jc w:val="center"/>
              <w:rPr>
                <w:sz w:val="22"/>
              </w:rPr>
            </w:pPr>
            <w:r>
              <w:rPr>
                <w:spacing w:val="-5"/>
                <w:sz w:val="22"/>
              </w:rPr>
              <w:t>19</w:t>
            </w:r>
          </w:p>
        </w:tc>
        <w:tc>
          <w:tcPr>
            <w:tcW w:w="3149" w:type="dxa"/>
          </w:tcPr>
          <w:p>
            <w:pPr>
              <w:pStyle w:val="TableParagraph"/>
              <w:spacing w:line="234" w:lineRule="exact"/>
              <w:ind w:left="105"/>
              <w:rPr>
                <w:sz w:val="22"/>
              </w:rPr>
            </w:pPr>
            <w:r>
              <w:rPr>
                <w:spacing w:val="-2"/>
                <w:sz w:val="22"/>
              </w:rPr>
              <w:t>Arkansas</w:t>
            </w:r>
          </w:p>
        </w:tc>
        <w:tc>
          <w:tcPr>
            <w:tcW w:w="986" w:type="dxa"/>
          </w:tcPr>
          <w:p>
            <w:pPr>
              <w:pStyle w:val="TableParagraph"/>
              <w:spacing w:line="234" w:lineRule="exact"/>
              <w:ind w:left="8"/>
              <w:jc w:val="center"/>
              <w:rPr>
                <w:sz w:val="22"/>
              </w:rPr>
            </w:pPr>
            <w:r>
              <w:rPr>
                <w:spacing w:val="-5"/>
                <w:sz w:val="22"/>
              </w:rPr>
              <w:t>39</w:t>
            </w:r>
          </w:p>
        </w:tc>
        <w:tc>
          <w:tcPr>
            <w:tcW w:w="3420" w:type="dxa"/>
          </w:tcPr>
          <w:p>
            <w:pPr>
              <w:pStyle w:val="TableParagraph"/>
              <w:spacing w:line="234" w:lineRule="exact"/>
              <w:ind w:left="106"/>
              <w:rPr>
                <w:sz w:val="22"/>
              </w:rPr>
            </w:pPr>
            <w:r>
              <w:rPr>
                <w:sz w:val="22"/>
              </w:rPr>
              <w:t>Virgin</w:t>
            </w:r>
            <w:r>
              <w:rPr>
                <w:spacing w:val="-6"/>
                <w:sz w:val="22"/>
              </w:rPr>
              <w:t xml:space="preserve"> </w:t>
            </w:r>
            <w:r>
              <w:rPr>
                <w:spacing w:val="-2"/>
                <w:sz w:val="22"/>
              </w:rPr>
              <w:t>Islands</w:t>
            </w:r>
          </w:p>
        </w:tc>
      </w:tr>
      <w:tr>
        <w:tblPrEx>
          <w:tblW w:w="0" w:type="auto"/>
          <w:jc w:val="left"/>
          <w:tblInd w:w="493" w:type="dxa"/>
          <w:tblLayout w:type="fixed"/>
          <w:tblCellMar>
            <w:top w:w="0" w:type="dxa"/>
            <w:left w:w="0" w:type="dxa"/>
            <w:bottom w:w="0" w:type="dxa"/>
            <w:right w:w="0" w:type="dxa"/>
          </w:tblCellMar>
          <w:tblLook w:val="01E0"/>
        </w:tblPrEx>
        <w:trPr>
          <w:trHeight w:val="251"/>
          <w:jc w:val="left"/>
        </w:trPr>
        <w:tc>
          <w:tcPr>
            <w:tcW w:w="991" w:type="dxa"/>
          </w:tcPr>
          <w:p>
            <w:pPr>
              <w:pStyle w:val="TableParagraph"/>
              <w:spacing w:line="232" w:lineRule="exact"/>
              <w:ind w:left="9" w:right="2"/>
              <w:jc w:val="center"/>
              <w:rPr>
                <w:sz w:val="22"/>
              </w:rPr>
            </w:pPr>
            <w:r>
              <w:rPr>
                <w:spacing w:val="-5"/>
                <w:sz w:val="22"/>
              </w:rPr>
              <w:t>20</w:t>
            </w:r>
          </w:p>
        </w:tc>
        <w:tc>
          <w:tcPr>
            <w:tcW w:w="3149" w:type="dxa"/>
          </w:tcPr>
          <w:p>
            <w:pPr>
              <w:pStyle w:val="TableParagraph"/>
              <w:spacing w:line="232" w:lineRule="exact"/>
              <w:ind w:left="105"/>
              <w:rPr>
                <w:sz w:val="22"/>
              </w:rPr>
            </w:pPr>
            <w:r>
              <w:rPr>
                <w:spacing w:val="-2"/>
                <w:sz w:val="22"/>
              </w:rPr>
              <w:t>Mississippi</w:t>
            </w:r>
          </w:p>
        </w:tc>
        <w:tc>
          <w:tcPr>
            <w:tcW w:w="986" w:type="dxa"/>
          </w:tcPr>
          <w:p>
            <w:pPr>
              <w:pStyle w:val="TableParagraph"/>
              <w:ind w:left="0"/>
              <w:rPr>
                <w:sz w:val="18"/>
              </w:rPr>
            </w:pPr>
          </w:p>
        </w:tc>
        <w:tc>
          <w:tcPr>
            <w:tcW w:w="3420" w:type="dxa"/>
          </w:tcPr>
          <w:p>
            <w:pPr>
              <w:pStyle w:val="TableParagraph"/>
              <w:ind w:left="0"/>
              <w:rPr>
                <w:sz w:val="18"/>
              </w:rPr>
            </w:pPr>
          </w:p>
        </w:tc>
      </w:tr>
    </w:tbl>
    <w:p>
      <w:pPr>
        <w:spacing w:before="253"/>
        <w:ind w:left="440" w:right="0" w:firstLine="0"/>
        <w:jc w:val="left"/>
        <w:rPr>
          <w:rFonts w:ascii="Arial" w:hAnsi="Arial"/>
          <w:b/>
          <w:sz w:val="21"/>
        </w:rPr>
      </w:pPr>
      <w:bookmarkStart w:id="69" w:name="Line 13 – Plan Benefit Type"/>
      <w:bookmarkEnd w:id="69"/>
      <w:r>
        <w:rPr>
          <w:rFonts w:ascii="Arial" w:hAnsi="Arial"/>
          <w:b/>
          <w:sz w:val="21"/>
        </w:rPr>
        <w:t>Line</w:t>
      </w:r>
      <w:r>
        <w:rPr>
          <w:rFonts w:ascii="Arial" w:hAnsi="Arial"/>
          <w:b/>
          <w:spacing w:val="-4"/>
          <w:sz w:val="21"/>
        </w:rPr>
        <w:t xml:space="preserve"> </w:t>
      </w:r>
      <w:r>
        <w:rPr>
          <w:rFonts w:ascii="Arial" w:hAnsi="Arial"/>
          <w:b/>
          <w:sz w:val="21"/>
        </w:rPr>
        <w:t>13</w:t>
      </w:r>
      <w:r>
        <w:rPr>
          <w:rFonts w:ascii="Arial" w:hAnsi="Arial"/>
          <w:b/>
          <w:spacing w:val="-3"/>
          <w:sz w:val="21"/>
        </w:rPr>
        <w:t xml:space="preserve"> </w:t>
      </w:r>
      <w:r>
        <w:rPr>
          <w:rFonts w:ascii="Arial" w:hAnsi="Arial"/>
          <w:b/>
          <w:sz w:val="21"/>
        </w:rPr>
        <w:t>–</w:t>
      </w:r>
      <w:r>
        <w:rPr>
          <w:rFonts w:ascii="Arial" w:hAnsi="Arial"/>
          <w:b/>
          <w:spacing w:val="-6"/>
          <w:sz w:val="21"/>
        </w:rPr>
        <w:t xml:space="preserve"> </w:t>
      </w:r>
      <w:r>
        <w:rPr>
          <w:rFonts w:ascii="Arial" w:hAnsi="Arial"/>
          <w:b/>
          <w:sz w:val="21"/>
        </w:rPr>
        <w:t>Plan</w:t>
      </w:r>
      <w:r>
        <w:rPr>
          <w:rFonts w:ascii="Arial" w:hAnsi="Arial"/>
          <w:b/>
          <w:spacing w:val="-5"/>
          <w:sz w:val="21"/>
        </w:rPr>
        <w:t xml:space="preserve"> </w:t>
      </w:r>
      <w:r>
        <w:rPr>
          <w:rFonts w:ascii="Arial" w:hAnsi="Arial"/>
          <w:b/>
          <w:sz w:val="21"/>
        </w:rPr>
        <w:t>Benefit</w:t>
      </w:r>
      <w:r>
        <w:rPr>
          <w:rFonts w:ascii="Arial" w:hAnsi="Arial"/>
          <w:b/>
          <w:spacing w:val="-6"/>
          <w:sz w:val="21"/>
        </w:rPr>
        <w:t xml:space="preserve"> </w:t>
      </w:r>
      <w:r>
        <w:rPr>
          <w:rFonts w:ascii="Arial" w:hAnsi="Arial"/>
          <w:b/>
          <w:spacing w:val="-4"/>
          <w:sz w:val="21"/>
        </w:rPr>
        <w:t>Type</w:t>
      </w:r>
    </w:p>
    <w:p>
      <w:pPr>
        <w:pStyle w:val="BodyText"/>
        <w:ind w:left="440" w:right="816"/>
      </w:pPr>
      <w:r>
        <w:t>Enter the plan benefit type that identifies the type of coverage in the PBP. The valid options</w:t>
      </w:r>
      <w:r>
        <w:rPr>
          <w:spacing w:val="-4"/>
        </w:rPr>
        <w:t xml:space="preserve"> </w:t>
      </w:r>
      <w:r>
        <w:t>are</w:t>
      </w:r>
      <w:r>
        <w:rPr>
          <w:spacing w:val="-5"/>
        </w:rPr>
        <w:t xml:space="preserve"> </w:t>
      </w:r>
      <w:r>
        <w:t>“DS”</w:t>
      </w:r>
      <w:r>
        <w:rPr>
          <w:spacing w:val="-2"/>
        </w:rPr>
        <w:t xml:space="preserve"> </w:t>
      </w:r>
      <w:r>
        <w:t>for</w:t>
      </w:r>
      <w:r>
        <w:rPr>
          <w:spacing w:val="-5"/>
        </w:rPr>
        <w:t xml:space="preserve"> </w:t>
      </w:r>
      <w:r>
        <w:t>Defined</w:t>
      </w:r>
      <w:r>
        <w:rPr>
          <w:spacing w:val="-3"/>
        </w:rPr>
        <w:t xml:space="preserve"> </w:t>
      </w:r>
      <w:r>
        <w:t>Standard,</w:t>
      </w:r>
      <w:r>
        <w:rPr>
          <w:spacing w:val="-3"/>
        </w:rPr>
        <w:t xml:space="preserve"> </w:t>
      </w:r>
      <w:r>
        <w:t>“AE”</w:t>
      </w:r>
      <w:r>
        <w:rPr>
          <w:spacing w:val="-4"/>
        </w:rPr>
        <w:t xml:space="preserve"> </w:t>
      </w:r>
      <w:r>
        <w:t>for</w:t>
      </w:r>
      <w:r>
        <w:rPr>
          <w:spacing w:val="-3"/>
        </w:rPr>
        <w:t xml:space="preserve"> </w:t>
      </w:r>
      <w:r>
        <w:t>Actuarially</w:t>
      </w:r>
      <w:r>
        <w:rPr>
          <w:spacing w:val="-3"/>
        </w:rPr>
        <w:t xml:space="preserve"> </w:t>
      </w:r>
      <w:r>
        <w:t>Equivalent,</w:t>
      </w:r>
      <w:r>
        <w:rPr>
          <w:spacing w:val="-3"/>
        </w:rPr>
        <w:t xml:space="preserve"> </w:t>
      </w:r>
      <w:r>
        <w:t>“BA”</w:t>
      </w:r>
      <w:r>
        <w:rPr>
          <w:spacing w:val="-5"/>
        </w:rPr>
        <w:t xml:space="preserve"> </w:t>
      </w:r>
      <w:r>
        <w:t>for</w:t>
      </w:r>
      <w:r>
        <w:rPr>
          <w:spacing w:val="-5"/>
        </w:rPr>
        <w:t xml:space="preserve"> </w:t>
      </w:r>
      <w:r>
        <w:t>Basic Alternative and “EA” for Enhanced Alternative.</w:t>
      </w:r>
    </w:p>
    <w:p>
      <w:pPr>
        <w:spacing w:before="241"/>
        <w:ind w:left="440" w:right="0" w:firstLine="0"/>
        <w:jc w:val="left"/>
        <w:rPr>
          <w:rFonts w:ascii="Arial" w:hAnsi="Arial"/>
          <w:b/>
          <w:sz w:val="21"/>
        </w:rPr>
      </w:pPr>
      <w:bookmarkStart w:id="70" w:name="Line 14 – SNP Type"/>
      <w:bookmarkEnd w:id="70"/>
      <w:r>
        <w:rPr>
          <w:rFonts w:ascii="Arial" w:hAnsi="Arial"/>
          <w:b/>
          <w:sz w:val="21"/>
        </w:rPr>
        <w:t>Line</w:t>
      </w:r>
      <w:r>
        <w:rPr>
          <w:rFonts w:ascii="Arial" w:hAnsi="Arial"/>
          <w:b/>
          <w:spacing w:val="-5"/>
          <w:sz w:val="21"/>
        </w:rPr>
        <w:t xml:space="preserve"> </w:t>
      </w:r>
      <w:r>
        <w:rPr>
          <w:rFonts w:ascii="Arial" w:hAnsi="Arial"/>
          <w:b/>
          <w:sz w:val="21"/>
        </w:rPr>
        <w:t>14</w:t>
      </w:r>
      <w:r>
        <w:rPr>
          <w:rFonts w:ascii="Arial" w:hAnsi="Arial"/>
          <w:b/>
          <w:spacing w:val="-2"/>
          <w:sz w:val="21"/>
        </w:rPr>
        <w:t xml:space="preserve"> </w:t>
      </w:r>
      <w:r>
        <w:rPr>
          <w:rFonts w:ascii="Arial" w:hAnsi="Arial"/>
          <w:b/>
          <w:sz w:val="21"/>
        </w:rPr>
        <w:t>–</w:t>
      </w:r>
      <w:r>
        <w:rPr>
          <w:rFonts w:ascii="Arial" w:hAnsi="Arial"/>
          <w:b/>
          <w:spacing w:val="-4"/>
          <w:sz w:val="21"/>
        </w:rPr>
        <w:t xml:space="preserve"> </w:t>
      </w:r>
      <w:r>
        <w:rPr>
          <w:rFonts w:ascii="Arial" w:hAnsi="Arial"/>
          <w:b/>
          <w:sz w:val="21"/>
        </w:rPr>
        <w:t>SNP</w:t>
      </w:r>
      <w:r>
        <w:rPr>
          <w:rFonts w:ascii="Arial" w:hAnsi="Arial"/>
          <w:b/>
          <w:spacing w:val="-4"/>
          <w:sz w:val="21"/>
        </w:rPr>
        <w:t xml:space="preserve"> Type</w:t>
      </w:r>
    </w:p>
    <w:p>
      <w:pPr>
        <w:pStyle w:val="BodyText"/>
        <w:ind w:left="440" w:right="1024"/>
        <w:jc w:val="both"/>
      </w:pPr>
      <w:r>
        <w:t>If</w:t>
      </w:r>
      <w:r>
        <w:rPr>
          <w:spacing w:val="-4"/>
        </w:rPr>
        <w:t xml:space="preserve"> </w:t>
      </w:r>
      <w:r>
        <w:t>the</w:t>
      </w:r>
      <w:r>
        <w:rPr>
          <w:spacing w:val="-2"/>
        </w:rPr>
        <w:t xml:space="preserve"> </w:t>
      </w:r>
      <w:r>
        <w:t>plan</w:t>
      </w:r>
      <w:r>
        <w:rPr>
          <w:spacing w:val="-2"/>
        </w:rPr>
        <w:t xml:space="preserve"> </w:t>
      </w:r>
      <w:r>
        <w:t>is</w:t>
      </w:r>
      <w:r>
        <w:rPr>
          <w:spacing w:val="-3"/>
        </w:rPr>
        <w:t xml:space="preserve"> </w:t>
      </w:r>
      <w:r>
        <w:t>a</w:t>
      </w:r>
      <w:r>
        <w:rPr>
          <w:spacing w:val="-2"/>
        </w:rPr>
        <w:t xml:space="preserve"> </w:t>
      </w:r>
      <w:r>
        <w:t>SNP</w:t>
      </w:r>
      <w:r>
        <w:rPr>
          <w:spacing w:val="-2"/>
        </w:rPr>
        <w:t xml:space="preserve"> </w:t>
      </w:r>
      <w:r>
        <w:t>as</w:t>
      </w:r>
      <w:r>
        <w:rPr>
          <w:spacing w:val="-3"/>
        </w:rPr>
        <w:t xml:space="preserve"> </w:t>
      </w:r>
      <w:r>
        <w:t>indicated</w:t>
      </w:r>
      <w:r>
        <w:rPr>
          <w:spacing w:val="-2"/>
        </w:rPr>
        <w:t xml:space="preserve"> </w:t>
      </w:r>
      <w:r>
        <w:t>by</w:t>
      </w:r>
      <w:r>
        <w:rPr>
          <w:spacing w:val="-2"/>
        </w:rPr>
        <w:t xml:space="preserve"> </w:t>
      </w:r>
      <w:r>
        <w:t>“Y”</w:t>
      </w:r>
      <w:r>
        <w:rPr>
          <w:spacing w:val="-3"/>
        </w:rPr>
        <w:t xml:space="preserve"> </w:t>
      </w:r>
      <w:r>
        <w:t>on</w:t>
      </w:r>
      <w:r>
        <w:rPr>
          <w:spacing w:val="-2"/>
        </w:rPr>
        <w:t xml:space="preserve"> </w:t>
      </w:r>
      <w:r>
        <w:t>line</w:t>
      </w:r>
      <w:r>
        <w:rPr>
          <w:spacing w:val="-3"/>
        </w:rPr>
        <w:t xml:space="preserve"> </w:t>
      </w:r>
      <w:r>
        <w:t>6, then</w:t>
      </w:r>
      <w:r>
        <w:rPr>
          <w:spacing w:val="-2"/>
        </w:rPr>
        <w:t xml:space="preserve"> </w:t>
      </w:r>
      <w:r>
        <w:t>enter</w:t>
      </w:r>
      <w:r>
        <w:rPr>
          <w:spacing w:val="-4"/>
        </w:rPr>
        <w:t xml:space="preserve"> </w:t>
      </w:r>
      <w:r>
        <w:t>the</w:t>
      </w:r>
      <w:r>
        <w:rPr>
          <w:spacing w:val="-2"/>
        </w:rPr>
        <w:t xml:space="preserve"> </w:t>
      </w:r>
      <w:r>
        <w:t>type</w:t>
      </w:r>
      <w:r>
        <w:rPr>
          <w:spacing w:val="-3"/>
        </w:rPr>
        <w:t xml:space="preserve"> </w:t>
      </w:r>
      <w:r>
        <w:t>of</w:t>
      </w:r>
      <w:r>
        <w:rPr>
          <w:spacing w:val="-2"/>
        </w:rPr>
        <w:t xml:space="preserve"> </w:t>
      </w:r>
      <w:r>
        <w:t>SNP.</w:t>
      </w:r>
      <w:r>
        <w:rPr>
          <w:spacing w:val="-2"/>
        </w:rPr>
        <w:t xml:space="preserve"> </w:t>
      </w:r>
      <w:r>
        <w:t>The</w:t>
      </w:r>
      <w:r>
        <w:rPr>
          <w:spacing w:val="-4"/>
        </w:rPr>
        <w:t xml:space="preserve"> </w:t>
      </w:r>
      <w:r>
        <w:t xml:space="preserve">valid options are “Institutional,” “Dual-Eligible” and “Chronic or Disabling Condition.” The </w:t>
      </w:r>
      <w:bookmarkStart w:id="71" w:name="Section II – Base Period Background Info"/>
      <w:bookmarkEnd w:id="71"/>
      <w:bookmarkStart w:id="72" w:name="_bookmark26"/>
      <w:bookmarkEnd w:id="72"/>
      <w:r>
        <w:t>s</w:t>
      </w:r>
      <w:r>
        <w:t>election must agree with the option identified in the MA BPT.</w:t>
      </w:r>
    </w:p>
    <w:p>
      <w:pPr>
        <w:pStyle w:val="BodyText"/>
        <w:spacing w:before="46"/>
        <w:ind w:left="0"/>
      </w:pPr>
    </w:p>
    <w:p>
      <w:pPr>
        <w:pStyle w:val="Heading2"/>
        <w:jc w:val="both"/>
      </w:pPr>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Base</w:t>
      </w:r>
      <w:r>
        <w:rPr>
          <w:smallCaps/>
          <w:spacing w:val="-12"/>
        </w:rPr>
        <w:t xml:space="preserve"> </w:t>
      </w:r>
      <w:r>
        <w:rPr>
          <w:smallCaps/>
        </w:rPr>
        <w:t>Period</w:t>
      </w:r>
      <w:r>
        <w:rPr>
          <w:smallCaps/>
          <w:spacing w:val="-7"/>
        </w:rPr>
        <w:t xml:space="preserve"> </w:t>
      </w:r>
      <w:r>
        <w:rPr>
          <w:smallCaps/>
        </w:rPr>
        <w:t>Background</w:t>
      </w:r>
      <w:r>
        <w:rPr>
          <w:smallCaps/>
          <w:spacing w:val="-7"/>
        </w:rPr>
        <w:t xml:space="preserve"> </w:t>
      </w:r>
      <w:r>
        <w:rPr>
          <w:smallCaps/>
          <w:spacing w:val="-2"/>
        </w:rPr>
        <w:t>Information</w:t>
      </w:r>
    </w:p>
    <w:p>
      <w:pPr>
        <w:spacing w:before="238"/>
        <w:ind w:left="440" w:right="0" w:firstLine="0"/>
        <w:jc w:val="left"/>
        <w:rPr>
          <w:rFonts w:ascii="Arial" w:hAnsi="Arial"/>
          <w:b/>
          <w:sz w:val="21"/>
        </w:rPr>
      </w:pPr>
      <w:bookmarkStart w:id="73" w:name="Line 1 – Time Period Definition"/>
      <w:bookmarkEnd w:id="73"/>
      <w:r>
        <w:rPr>
          <w:rFonts w:ascii="Arial" w:hAnsi="Arial"/>
          <w:b/>
          <w:sz w:val="21"/>
        </w:rPr>
        <w:t>Line</w:t>
      </w:r>
      <w:r>
        <w:rPr>
          <w:rFonts w:ascii="Arial" w:hAnsi="Arial"/>
          <w:b/>
          <w:spacing w:val="-3"/>
          <w:sz w:val="21"/>
        </w:rPr>
        <w:t xml:space="preserve"> </w:t>
      </w:r>
      <w:r>
        <w:rPr>
          <w:rFonts w:ascii="Arial" w:hAnsi="Arial"/>
          <w:b/>
          <w:sz w:val="21"/>
        </w:rPr>
        <w:t>1</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Time</w:t>
      </w:r>
      <w:r>
        <w:rPr>
          <w:rFonts w:ascii="Arial" w:hAnsi="Arial"/>
          <w:b/>
          <w:spacing w:val="-3"/>
          <w:sz w:val="21"/>
        </w:rPr>
        <w:t xml:space="preserve"> </w:t>
      </w:r>
      <w:r>
        <w:rPr>
          <w:rFonts w:ascii="Arial" w:hAnsi="Arial"/>
          <w:b/>
          <w:sz w:val="21"/>
        </w:rPr>
        <w:t>Period</w:t>
      </w:r>
      <w:r>
        <w:rPr>
          <w:rFonts w:ascii="Arial" w:hAnsi="Arial"/>
          <w:b/>
          <w:spacing w:val="-2"/>
          <w:sz w:val="21"/>
        </w:rPr>
        <w:t xml:space="preserve"> Definition</w:t>
      </w:r>
    </w:p>
    <w:p>
      <w:pPr>
        <w:spacing w:before="120"/>
        <w:ind w:left="440" w:right="899" w:firstLine="0"/>
        <w:jc w:val="both"/>
        <w:rPr>
          <w:sz w:val="23"/>
        </w:rPr>
      </w:pPr>
      <w:r>
        <w:rPr>
          <w:sz w:val="24"/>
        </w:rPr>
        <w:t>CMS</w:t>
      </w:r>
      <w:r>
        <w:rPr>
          <w:spacing w:val="-1"/>
          <w:sz w:val="24"/>
        </w:rPr>
        <w:t xml:space="preserve"> </w:t>
      </w:r>
      <w:r>
        <w:rPr>
          <w:sz w:val="24"/>
        </w:rPr>
        <w:t>requires</w:t>
      </w:r>
      <w:r>
        <w:rPr>
          <w:spacing w:val="-1"/>
          <w:sz w:val="24"/>
        </w:rPr>
        <w:t xml:space="preserve"> </w:t>
      </w:r>
      <w:r>
        <w:rPr>
          <w:sz w:val="24"/>
        </w:rPr>
        <w:t>base</w:t>
      </w:r>
      <w:r>
        <w:rPr>
          <w:spacing w:val="-2"/>
          <w:sz w:val="24"/>
        </w:rPr>
        <w:t xml:space="preserve"> </w:t>
      </w:r>
      <w:r>
        <w:rPr>
          <w:sz w:val="24"/>
        </w:rPr>
        <w:t>experience</w:t>
      </w:r>
      <w:r>
        <w:rPr>
          <w:spacing w:val="-2"/>
          <w:sz w:val="24"/>
        </w:rPr>
        <w:t xml:space="preserve"> </w:t>
      </w:r>
      <w:r>
        <w:rPr>
          <w:sz w:val="24"/>
        </w:rPr>
        <w:t>data</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based</w:t>
      </w:r>
      <w:r>
        <w:rPr>
          <w:spacing w:val="-1"/>
          <w:sz w:val="24"/>
        </w:rPr>
        <w:t xml:space="preserve"> </w:t>
      </w:r>
      <w:r>
        <w:rPr>
          <w:sz w:val="24"/>
        </w:rPr>
        <w:t>on claims</w:t>
      </w:r>
      <w:r>
        <w:rPr>
          <w:spacing w:val="-1"/>
          <w:sz w:val="24"/>
        </w:rPr>
        <w:t xml:space="preserve"> </w:t>
      </w:r>
      <w:r>
        <w:rPr>
          <w:sz w:val="24"/>
        </w:rPr>
        <w:t>incurred</w:t>
      </w:r>
      <w:r>
        <w:rPr>
          <w:spacing w:val="-1"/>
          <w:sz w:val="24"/>
        </w:rPr>
        <w:t xml:space="preserve"> </w:t>
      </w:r>
      <w:r>
        <w:rPr>
          <w:sz w:val="24"/>
        </w:rPr>
        <w:t>in</w:t>
      </w:r>
      <w:r>
        <w:rPr>
          <w:spacing w:val="-1"/>
          <w:sz w:val="24"/>
        </w:rPr>
        <w:t xml:space="preserve"> </w:t>
      </w:r>
      <w:r>
        <w:rPr>
          <w:sz w:val="24"/>
        </w:rPr>
        <w:t>calendar year</w:t>
      </w:r>
      <w:r>
        <w:rPr>
          <w:spacing w:val="-1"/>
          <w:sz w:val="24"/>
        </w:rPr>
        <w:t xml:space="preserve"> </w:t>
      </w:r>
      <w:r>
        <w:rPr>
          <w:sz w:val="24"/>
        </w:rPr>
        <w:t>2024 and</w:t>
      </w:r>
      <w:r>
        <w:rPr>
          <w:spacing w:val="-3"/>
          <w:sz w:val="24"/>
        </w:rPr>
        <w:t xml:space="preserve"> </w:t>
      </w:r>
      <w:r>
        <w:rPr>
          <w:sz w:val="24"/>
        </w:rPr>
        <w:t>at</w:t>
      </w:r>
      <w:r>
        <w:rPr>
          <w:spacing w:val="-1"/>
          <w:sz w:val="24"/>
        </w:rPr>
        <w:t xml:space="preserve"> </w:t>
      </w:r>
      <w:r>
        <w:rPr>
          <w:sz w:val="24"/>
        </w:rPr>
        <w:t>least</w:t>
      </w:r>
      <w:r>
        <w:rPr>
          <w:spacing w:val="-1"/>
          <w:sz w:val="24"/>
        </w:rPr>
        <w:t xml:space="preserve"> </w:t>
      </w:r>
      <w:r>
        <w:rPr>
          <w:sz w:val="24"/>
        </w:rPr>
        <w:t>30</w:t>
      </w:r>
      <w:r>
        <w:rPr>
          <w:spacing w:val="-1"/>
          <w:sz w:val="24"/>
        </w:rPr>
        <w:t xml:space="preserve"> </w:t>
      </w:r>
      <w:r>
        <w:rPr>
          <w:sz w:val="24"/>
        </w:rPr>
        <w:t>days</w:t>
      </w:r>
      <w:r>
        <w:rPr>
          <w:spacing w:val="-1"/>
          <w:sz w:val="24"/>
        </w:rPr>
        <w:t xml:space="preserve"> </w:t>
      </w:r>
      <w:r>
        <w:rPr>
          <w:sz w:val="24"/>
        </w:rPr>
        <w:t>of paid</w:t>
      </w:r>
      <w:r>
        <w:rPr>
          <w:spacing w:val="-1"/>
          <w:sz w:val="24"/>
        </w:rPr>
        <w:t xml:space="preserve"> </w:t>
      </w:r>
      <w:r>
        <w:rPr>
          <w:sz w:val="24"/>
        </w:rPr>
        <w:t>claims</w:t>
      </w:r>
      <w:r>
        <w:rPr>
          <w:spacing w:val="-1"/>
          <w:sz w:val="24"/>
        </w:rPr>
        <w:t xml:space="preserve"> </w:t>
      </w:r>
      <w:r>
        <w:rPr>
          <w:sz w:val="24"/>
        </w:rPr>
        <w:t xml:space="preserve">run-out; </w:t>
      </w:r>
      <w:r>
        <w:rPr>
          <w:sz w:val="23"/>
        </w:rPr>
        <w:t>2–3</w:t>
      </w:r>
      <w:r>
        <w:rPr>
          <w:spacing w:val="-1"/>
          <w:sz w:val="23"/>
        </w:rPr>
        <w:t xml:space="preserve"> </w:t>
      </w:r>
      <w:r>
        <w:rPr>
          <w:sz w:val="23"/>
        </w:rPr>
        <w:t>months</w:t>
      </w:r>
      <w:r>
        <w:rPr>
          <w:spacing w:val="-2"/>
          <w:sz w:val="23"/>
        </w:rPr>
        <w:t xml:space="preserve"> </w:t>
      </w:r>
      <w:r>
        <w:rPr>
          <w:sz w:val="23"/>
        </w:rPr>
        <w:t>of paid</w:t>
      </w:r>
      <w:r>
        <w:rPr>
          <w:spacing w:val="-1"/>
          <w:sz w:val="23"/>
        </w:rPr>
        <w:t xml:space="preserve"> </w:t>
      </w:r>
      <w:r>
        <w:rPr>
          <w:sz w:val="23"/>
        </w:rPr>
        <w:t>claim</w:t>
      </w:r>
      <w:r>
        <w:rPr>
          <w:spacing w:val="-1"/>
          <w:sz w:val="23"/>
        </w:rPr>
        <w:t xml:space="preserve"> </w:t>
      </w:r>
      <w:r>
        <w:rPr>
          <w:sz w:val="23"/>
        </w:rPr>
        <w:t>run-out</w:t>
      </w:r>
      <w:r>
        <w:rPr>
          <w:spacing w:val="-1"/>
          <w:sz w:val="23"/>
        </w:rPr>
        <w:t xml:space="preserve"> </w:t>
      </w:r>
      <w:r>
        <w:rPr>
          <w:sz w:val="23"/>
        </w:rPr>
        <w:t>is</w:t>
      </w:r>
      <w:r>
        <w:rPr>
          <w:spacing w:val="-1"/>
          <w:sz w:val="23"/>
        </w:rPr>
        <w:t xml:space="preserve"> </w:t>
      </w:r>
      <w:r>
        <w:rPr>
          <w:spacing w:val="-2"/>
          <w:sz w:val="23"/>
        </w:rPr>
        <w:t>preferable.</w:t>
      </w:r>
    </w:p>
    <w:p>
      <w:pPr>
        <w:spacing w:after="0"/>
        <w:jc w:val="both"/>
        <w:rPr>
          <w:sz w:val="23"/>
        </w:rPr>
        <w:sectPr>
          <w:pgSz w:w="12240" w:h="15840"/>
          <w:pgMar w:top="1340" w:right="1000" w:bottom="1080" w:left="1360" w:header="727" w:footer="891"/>
          <w:cols w:space="720"/>
        </w:sectPr>
      </w:pPr>
    </w:p>
    <w:p>
      <w:pPr>
        <w:spacing w:before="87"/>
        <w:ind w:left="440" w:right="0" w:firstLine="0"/>
        <w:jc w:val="left"/>
        <w:rPr>
          <w:rFonts w:ascii="Arial" w:hAnsi="Arial"/>
          <w:b/>
          <w:sz w:val="21"/>
        </w:rPr>
      </w:pPr>
      <w:bookmarkStart w:id="74" w:name="Line 2a – Total Member Months"/>
      <w:bookmarkEnd w:id="74"/>
      <w:r>
        <w:rPr>
          <w:rFonts w:ascii="Arial" w:hAnsi="Arial"/>
          <w:b/>
          <w:sz w:val="21"/>
        </w:rPr>
        <w:t>Line</w:t>
      </w:r>
      <w:r>
        <w:rPr>
          <w:rFonts w:ascii="Arial" w:hAnsi="Arial"/>
          <w:b/>
          <w:spacing w:val="-4"/>
          <w:sz w:val="21"/>
        </w:rPr>
        <w:t xml:space="preserve"> </w:t>
      </w:r>
      <w:r>
        <w:rPr>
          <w:rFonts w:ascii="Arial" w:hAnsi="Arial"/>
          <w:b/>
          <w:sz w:val="21"/>
        </w:rPr>
        <w:t>2a</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Total</w:t>
      </w:r>
      <w:r>
        <w:rPr>
          <w:rFonts w:ascii="Arial" w:hAnsi="Arial"/>
          <w:b/>
          <w:spacing w:val="-4"/>
          <w:sz w:val="21"/>
        </w:rPr>
        <w:t xml:space="preserve"> </w:t>
      </w:r>
      <w:r>
        <w:rPr>
          <w:rFonts w:ascii="Arial" w:hAnsi="Arial"/>
          <w:b/>
          <w:sz w:val="21"/>
        </w:rPr>
        <w:t>Member</w:t>
      </w:r>
      <w:r>
        <w:rPr>
          <w:rFonts w:ascii="Arial" w:hAnsi="Arial"/>
          <w:b/>
          <w:spacing w:val="-6"/>
          <w:sz w:val="21"/>
        </w:rPr>
        <w:t xml:space="preserve"> </w:t>
      </w:r>
      <w:r>
        <w:rPr>
          <w:rFonts w:ascii="Arial" w:hAnsi="Arial"/>
          <w:b/>
          <w:spacing w:val="-2"/>
          <w:sz w:val="21"/>
        </w:rPr>
        <w:t>Months</w:t>
      </w:r>
    </w:p>
    <w:p>
      <w:pPr>
        <w:pStyle w:val="BodyText"/>
        <w:spacing w:before="121"/>
        <w:ind w:left="440"/>
      </w:pPr>
      <w:r>
        <w:t>The</w:t>
      </w:r>
      <w:r>
        <w:rPr>
          <w:spacing w:val="-3"/>
        </w:rPr>
        <w:t xml:space="preserve"> </w:t>
      </w:r>
      <w:r>
        <w:t>value</w:t>
      </w:r>
      <w:r>
        <w:rPr>
          <w:spacing w:val="-1"/>
        </w:rPr>
        <w:t xml:space="preserve"> </w:t>
      </w:r>
      <w:r>
        <w:t>is</w:t>
      </w:r>
      <w:r>
        <w:rPr>
          <w:spacing w:val="-1"/>
        </w:rPr>
        <w:t xml:space="preserve"> </w:t>
      </w:r>
      <w:r>
        <w:t>calculated</w:t>
      </w:r>
      <w:r>
        <w:rPr>
          <w:spacing w:val="-1"/>
        </w:rPr>
        <w:t xml:space="preserve"> </w:t>
      </w:r>
      <w:r>
        <w:t>automatically</w:t>
      </w:r>
      <w:r>
        <w:rPr>
          <w:spacing w:val="-1"/>
        </w:rPr>
        <w:t xml:space="preserve"> </w:t>
      </w:r>
      <w:r>
        <w:t>in</w:t>
      </w:r>
      <w:r>
        <w:rPr>
          <w:spacing w:val="-1"/>
        </w:rPr>
        <w:t xml:space="preserve"> </w:t>
      </w:r>
      <w:r>
        <w:t>the</w:t>
      </w:r>
      <w:r>
        <w:rPr>
          <w:spacing w:val="-2"/>
        </w:rPr>
        <w:t xml:space="preserve"> </w:t>
      </w:r>
      <w:r>
        <w:t>BPT</w:t>
      </w:r>
      <w:r>
        <w:rPr>
          <w:spacing w:val="-1"/>
        </w:rPr>
        <w:t xml:space="preserve"> </w:t>
      </w:r>
      <w:r>
        <w:t>from</w:t>
      </w:r>
      <w:r>
        <w:rPr>
          <w:spacing w:val="2"/>
        </w:rPr>
        <w:t xml:space="preserve"> </w:t>
      </w:r>
      <w:r>
        <w:t>section</w:t>
      </w:r>
      <w:r>
        <w:rPr>
          <w:spacing w:val="1"/>
        </w:rPr>
        <w:t xml:space="preserve"> </w:t>
      </w:r>
      <w:r>
        <w:t>III,</w:t>
      </w:r>
      <w:r>
        <w:rPr>
          <w:spacing w:val="-1"/>
        </w:rPr>
        <w:t xml:space="preserve"> </w:t>
      </w:r>
      <w:r>
        <w:t>line</w:t>
      </w:r>
      <w:r>
        <w:rPr>
          <w:spacing w:val="-2"/>
        </w:rPr>
        <w:t xml:space="preserve"> </w:t>
      </w:r>
      <w:r>
        <w:t>5,</w:t>
      </w:r>
      <w:r>
        <w:rPr>
          <w:spacing w:val="1"/>
        </w:rPr>
        <w:t xml:space="preserve"> </w:t>
      </w:r>
      <w:r>
        <w:t xml:space="preserve">column </w:t>
      </w:r>
      <w:r>
        <w:rPr>
          <w:spacing w:val="-5"/>
        </w:rPr>
        <w:t>e.</w:t>
      </w:r>
    </w:p>
    <w:p>
      <w:pPr>
        <w:spacing w:before="240"/>
        <w:ind w:left="440" w:right="0" w:firstLine="0"/>
        <w:jc w:val="left"/>
        <w:rPr>
          <w:rFonts w:ascii="Arial" w:hAnsi="Arial"/>
          <w:b/>
          <w:sz w:val="21"/>
        </w:rPr>
      </w:pPr>
      <w:bookmarkStart w:id="75" w:name="Line 2b – LIS Member Months"/>
      <w:bookmarkEnd w:id="75"/>
      <w:r>
        <w:rPr>
          <w:rFonts w:ascii="Arial" w:hAnsi="Arial"/>
          <w:b/>
          <w:sz w:val="21"/>
        </w:rPr>
        <w:t>Line</w:t>
      </w:r>
      <w:r>
        <w:rPr>
          <w:rFonts w:ascii="Arial" w:hAnsi="Arial"/>
          <w:b/>
          <w:spacing w:val="-4"/>
          <w:sz w:val="21"/>
        </w:rPr>
        <w:t xml:space="preserve"> </w:t>
      </w:r>
      <w:r>
        <w:rPr>
          <w:rFonts w:ascii="Arial" w:hAnsi="Arial"/>
          <w:b/>
          <w:sz w:val="21"/>
        </w:rPr>
        <w:t>2b</w:t>
      </w:r>
      <w:r>
        <w:rPr>
          <w:rFonts w:ascii="Arial" w:hAnsi="Arial"/>
          <w:b/>
          <w:spacing w:val="-4"/>
          <w:sz w:val="21"/>
        </w:rPr>
        <w:t xml:space="preserve"> </w:t>
      </w:r>
      <w:r>
        <w:rPr>
          <w:rFonts w:ascii="Arial" w:hAnsi="Arial"/>
          <w:b/>
          <w:sz w:val="21"/>
        </w:rPr>
        <w:t>–</w:t>
      </w:r>
      <w:r>
        <w:rPr>
          <w:rFonts w:ascii="Arial" w:hAnsi="Arial"/>
          <w:b/>
          <w:spacing w:val="-3"/>
          <w:sz w:val="21"/>
        </w:rPr>
        <w:t xml:space="preserve"> </w:t>
      </w:r>
      <w:r>
        <w:rPr>
          <w:rFonts w:ascii="Arial" w:hAnsi="Arial"/>
          <w:b/>
          <w:sz w:val="21"/>
        </w:rPr>
        <w:t>LIS</w:t>
      </w:r>
      <w:r>
        <w:rPr>
          <w:rFonts w:ascii="Arial" w:hAnsi="Arial"/>
          <w:b/>
          <w:spacing w:val="-4"/>
          <w:sz w:val="21"/>
        </w:rPr>
        <w:t xml:space="preserve"> </w:t>
      </w:r>
      <w:r>
        <w:rPr>
          <w:rFonts w:ascii="Arial" w:hAnsi="Arial"/>
          <w:b/>
          <w:sz w:val="21"/>
        </w:rPr>
        <w:t>Member</w:t>
      </w:r>
      <w:r>
        <w:rPr>
          <w:rFonts w:ascii="Arial" w:hAnsi="Arial"/>
          <w:b/>
          <w:spacing w:val="-4"/>
          <w:sz w:val="21"/>
        </w:rPr>
        <w:t xml:space="preserve"> </w:t>
      </w:r>
      <w:r>
        <w:rPr>
          <w:rFonts w:ascii="Arial" w:hAnsi="Arial"/>
          <w:b/>
          <w:spacing w:val="-2"/>
          <w:sz w:val="21"/>
        </w:rPr>
        <w:t>Months</w:t>
      </w:r>
    </w:p>
    <w:p>
      <w:pPr>
        <w:pStyle w:val="BodyText"/>
        <w:spacing w:before="118"/>
        <w:ind w:left="440" w:right="979"/>
      </w:pPr>
      <w:r>
        <w:t>Enter</w:t>
      </w:r>
      <w:r>
        <w:rPr>
          <w:spacing w:val="-3"/>
        </w:rPr>
        <w:t xml:space="preserve"> </w:t>
      </w:r>
      <w:r>
        <w:t>the</w:t>
      </w:r>
      <w:r>
        <w:rPr>
          <w:spacing w:val="-5"/>
        </w:rPr>
        <w:t xml:space="preserve"> </w:t>
      </w:r>
      <w:r>
        <w:t>number</w:t>
      </w:r>
      <w:r>
        <w:rPr>
          <w:spacing w:val="-5"/>
        </w:rPr>
        <w:t xml:space="preserve"> </w:t>
      </w:r>
      <w:r>
        <w:t>of</w:t>
      </w:r>
      <w:r>
        <w:rPr>
          <w:spacing w:val="-3"/>
        </w:rPr>
        <w:t xml:space="preserve"> </w:t>
      </w:r>
      <w:r>
        <w:t>low-income</w:t>
      </w:r>
      <w:r>
        <w:rPr>
          <w:spacing w:val="-4"/>
        </w:rPr>
        <w:t xml:space="preserve"> </w:t>
      </w:r>
      <w:r>
        <w:t>subsidy</w:t>
      </w:r>
      <w:r>
        <w:rPr>
          <w:spacing w:val="-3"/>
        </w:rPr>
        <w:t xml:space="preserve"> </w:t>
      </w:r>
      <w:r>
        <w:t>(LIS)</w:t>
      </w:r>
      <w:r>
        <w:rPr>
          <w:spacing w:val="-3"/>
        </w:rPr>
        <w:t xml:space="preserve"> </w:t>
      </w:r>
      <w:r>
        <w:t>member</w:t>
      </w:r>
      <w:r>
        <w:rPr>
          <w:spacing w:val="-5"/>
        </w:rPr>
        <w:t xml:space="preserve"> </w:t>
      </w:r>
      <w:r>
        <w:t>months</w:t>
      </w:r>
      <w:r>
        <w:rPr>
          <w:spacing w:val="-3"/>
        </w:rPr>
        <w:t xml:space="preserve"> </w:t>
      </w:r>
      <w:r>
        <w:t>represented</w:t>
      </w:r>
      <w:r>
        <w:rPr>
          <w:spacing w:val="-2"/>
        </w:rPr>
        <w:t xml:space="preserve"> </w:t>
      </w:r>
      <w:r>
        <w:t>in</w:t>
      </w:r>
      <w:r>
        <w:rPr>
          <w:spacing w:val="-3"/>
        </w:rPr>
        <w:t xml:space="preserve"> </w:t>
      </w:r>
      <w:r>
        <w:t>the</w:t>
      </w:r>
      <w:r>
        <w:rPr>
          <w:spacing w:val="-4"/>
        </w:rPr>
        <w:t xml:space="preserve"> </w:t>
      </w:r>
      <w:r>
        <w:t>base period experience based on CMS eligibility records.</w:t>
      </w:r>
    </w:p>
    <w:p>
      <w:pPr>
        <w:spacing w:before="241"/>
        <w:ind w:left="440" w:right="0" w:firstLine="0"/>
        <w:jc w:val="left"/>
        <w:rPr>
          <w:rFonts w:ascii="Arial" w:hAnsi="Arial"/>
          <w:b/>
          <w:sz w:val="21"/>
        </w:rPr>
      </w:pPr>
      <w:bookmarkStart w:id="76" w:name="Line 3a – Risk Score"/>
      <w:bookmarkEnd w:id="76"/>
      <w:r>
        <w:rPr>
          <w:rFonts w:ascii="Arial" w:hAnsi="Arial"/>
          <w:b/>
          <w:sz w:val="21"/>
        </w:rPr>
        <w:t>Line</w:t>
      </w:r>
      <w:r>
        <w:rPr>
          <w:rFonts w:ascii="Arial" w:hAnsi="Arial"/>
          <w:b/>
          <w:spacing w:val="-3"/>
          <w:sz w:val="21"/>
        </w:rPr>
        <w:t xml:space="preserve"> </w:t>
      </w:r>
      <w:r>
        <w:rPr>
          <w:rFonts w:ascii="Arial" w:hAnsi="Arial"/>
          <w:b/>
          <w:sz w:val="21"/>
        </w:rPr>
        <w:t>3a</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Risk</w:t>
      </w:r>
      <w:r>
        <w:rPr>
          <w:rFonts w:ascii="Arial" w:hAnsi="Arial"/>
          <w:b/>
          <w:spacing w:val="-4"/>
          <w:sz w:val="21"/>
        </w:rPr>
        <w:t xml:space="preserve"> Score</w:t>
      </w:r>
    </w:p>
    <w:p>
      <w:pPr>
        <w:pStyle w:val="BodyText"/>
        <w:ind w:left="440"/>
      </w:pPr>
      <w:r>
        <w:t>The</w:t>
      </w:r>
      <w:r>
        <w:rPr>
          <w:spacing w:val="-3"/>
        </w:rPr>
        <w:t xml:space="preserve"> </w:t>
      </w:r>
      <w:r>
        <w:t>value</w:t>
      </w:r>
      <w:r>
        <w:rPr>
          <w:spacing w:val="-1"/>
        </w:rPr>
        <w:t xml:space="preserve"> </w:t>
      </w:r>
      <w:r>
        <w:t>is</w:t>
      </w:r>
      <w:r>
        <w:rPr>
          <w:spacing w:val="-1"/>
        </w:rPr>
        <w:t xml:space="preserve"> </w:t>
      </w:r>
      <w:r>
        <w:t>calculated automatically</w:t>
      </w:r>
      <w:r>
        <w:rPr>
          <w:spacing w:val="-1"/>
        </w:rPr>
        <w:t xml:space="preserve"> </w:t>
      </w:r>
      <w:r>
        <w:t>in</w:t>
      </w:r>
      <w:r>
        <w:rPr>
          <w:spacing w:val="-1"/>
        </w:rPr>
        <w:t xml:space="preserve"> </w:t>
      </w:r>
      <w:r>
        <w:t>the</w:t>
      </w:r>
      <w:r>
        <w:rPr>
          <w:spacing w:val="-1"/>
        </w:rPr>
        <w:t xml:space="preserve"> </w:t>
      </w:r>
      <w:r>
        <w:t>BPT</w:t>
      </w:r>
      <w:r>
        <w:rPr>
          <w:spacing w:val="-1"/>
        </w:rPr>
        <w:t xml:space="preserve"> </w:t>
      </w:r>
      <w:r>
        <w:t>from</w:t>
      </w:r>
      <w:r>
        <w:rPr>
          <w:spacing w:val="-1"/>
        </w:rPr>
        <w:t xml:space="preserve"> </w:t>
      </w:r>
      <w:r>
        <w:t>line</w:t>
      </w:r>
      <w:r>
        <w:rPr>
          <w:spacing w:val="-1"/>
        </w:rPr>
        <w:t xml:space="preserve"> </w:t>
      </w:r>
      <w:r>
        <w:t>items</w:t>
      </w:r>
      <w:r>
        <w:rPr>
          <w:spacing w:val="-1"/>
        </w:rPr>
        <w:t xml:space="preserve"> </w:t>
      </w:r>
      <w:r>
        <w:t>in</w:t>
      </w:r>
      <w:r>
        <w:rPr>
          <w:spacing w:val="-1"/>
        </w:rPr>
        <w:t xml:space="preserve"> </w:t>
      </w:r>
      <w:r>
        <w:t xml:space="preserve">section </w:t>
      </w:r>
      <w:r>
        <w:rPr>
          <w:spacing w:val="-5"/>
        </w:rPr>
        <w:t>II.</w:t>
      </w:r>
    </w:p>
    <w:p>
      <w:pPr>
        <w:spacing w:before="241"/>
        <w:ind w:left="440" w:right="0" w:firstLine="0"/>
        <w:jc w:val="left"/>
        <w:rPr>
          <w:rFonts w:ascii="Arial" w:hAnsi="Arial"/>
          <w:b/>
          <w:sz w:val="21"/>
        </w:rPr>
      </w:pPr>
      <w:bookmarkStart w:id="77" w:name="Line 3b – LIS Risk Score"/>
      <w:bookmarkEnd w:id="77"/>
      <w:r>
        <w:rPr>
          <w:rFonts w:ascii="Arial" w:hAnsi="Arial"/>
          <w:b/>
          <w:sz w:val="21"/>
        </w:rPr>
        <w:t>Line</w:t>
      </w:r>
      <w:r>
        <w:rPr>
          <w:rFonts w:ascii="Arial" w:hAnsi="Arial"/>
          <w:b/>
          <w:spacing w:val="-5"/>
          <w:sz w:val="21"/>
        </w:rPr>
        <w:t xml:space="preserve"> </w:t>
      </w:r>
      <w:r>
        <w:rPr>
          <w:rFonts w:ascii="Arial" w:hAnsi="Arial"/>
          <w:b/>
          <w:sz w:val="21"/>
        </w:rPr>
        <w:t>3b</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LIS</w:t>
      </w:r>
      <w:r>
        <w:rPr>
          <w:rFonts w:ascii="Arial" w:hAnsi="Arial"/>
          <w:b/>
          <w:spacing w:val="-6"/>
          <w:sz w:val="21"/>
        </w:rPr>
        <w:t xml:space="preserve"> </w:t>
      </w:r>
      <w:r>
        <w:rPr>
          <w:rFonts w:ascii="Arial" w:hAnsi="Arial"/>
          <w:b/>
          <w:sz w:val="21"/>
        </w:rPr>
        <w:t>Risk</w:t>
      </w:r>
      <w:r>
        <w:rPr>
          <w:rFonts w:ascii="Arial" w:hAnsi="Arial"/>
          <w:b/>
          <w:spacing w:val="-2"/>
          <w:sz w:val="21"/>
        </w:rPr>
        <w:t xml:space="preserve"> </w:t>
      </w:r>
      <w:r>
        <w:rPr>
          <w:rFonts w:ascii="Arial" w:hAnsi="Arial"/>
          <w:b/>
          <w:spacing w:val="-4"/>
          <w:sz w:val="21"/>
        </w:rPr>
        <w:t>Score</w:t>
      </w:r>
    </w:p>
    <w:p>
      <w:pPr>
        <w:pStyle w:val="BodyText"/>
        <w:spacing w:before="118"/>
        <w:ind w:left="440" w:right="979"/>
      </w:pPr>
      <w:r>
        <w:t>Enter</w:t>
      </w:r>
      <w:r>
        <w:rPr>
          <w:spacing w:val="-3"/>
        </w:rPr>
        <w:t xml:space="preserve"> </w:t>
      </w:r>
      <w:r>
        <w:t>the</w:t>
      </w:r>
      <w:r>
        <w:rPr>
          <w:spacing w:val="-5"/>
        </w:rPr>
        <w:t xml:space="preserve"> </w:t>
      </w:r>
      <w:r>
        <w:t>final</w:t>
      </w:r>
      <w:r>
        <w:rPr>
          <w:spacing w:val="-3"/>
        </w:rPr>
        <w:t xml:space="preserve"> </w:t>
      </w:r>
      <w:r>
        <w:t>average</w:t>
      </w:r>
      <w:r>
        <w:rPr>
          <w:spacing w:val="-4"/>
        </w:rPr>
        <w:t xml:space="preserve"> </w:t>
      </w:r>
      <w:r>
        <w:t>risk</w:t>
      </w:r>
      <w:r>
        <w:rPr>
          <w:spacing w:val="-3"/>
        </w:rPr>
        <w:t xml:space="preserve"> </w:t>
      </w:r>
      <w:r>
        <w:t>score</w:t>
      </w:r>
      <w:r>
        <w:rPr>
          <w:spacing w:val="-4"/>
        </w:rPr>
        <w:t xml:space="preserve"> </w:t>
      </w:r>
      <w:r>
        <w:t>for</w:t>
      </w:r>
      <w:r>
        <w:rPr>
          <w:spacing w:val="-3"/>
        </w:rPr>
        <w:t xml:space="preserve"> </w:t>
      </w:r>
      <w:r>
        <w:t>the</w:t>
      </w:r>
      <w:r>
        <w:rPr>
          <w:spacing w:val="-5"/>
        </w:rPr>
        <w:t xml:space="preserve"> </w:t>
      </w:r>
      <w:r>
        <w:t>LIS</w:t>
      </w:r>
      <w:r>
        <w:rPr>
          <w:spacing w:val="-3"/>
        </w:rPr>
        <w:t xml:space="preserve"> </w:t>
      </w:r>
      <w:r>
        <w:t>population</w:t>
      </w:r>
      <w:r>
        <w:rPr>
          <w:spacing w:val="-3"/>
        </w:rPr>
        <w:t xml:space="preserve"> </w:t>
      </w:r>
      <w:r>
        <w:t>represented</w:t>
      </w:r>
      <w:r>
        <w:rPr>
          <w:spacing w:val="-3"/>
        </w:rPr>
        <w:t xml:space="preserve"> </w:t>
      </w:r>
      <w:r>
        <w:t>in</w:t>
      </w:r>
      <w:r>
        <w:rPr>
          <w:spacing w:val="-3"/>
        </w:rPr>
        <w:t xml:space="preserve"> </w:t>
      </w:r>
      <w:r>
        <w:t>the</w:t>
      </w:r>
      <w:r>
        <w:rPr>
          <w:spacing w:val="-2"/>
        </w:rPr>
        <w:t xml:space="preserve"> </w:t>
      </w:r>
      <w:r>
        <w:t>base</w:t>
      </w:r>
      <w:r>
        <w:rPr>
          <w:spacing w:val="-4"/>
        </w:rPr>
        <w:t xml:space="preserve"> </w:t>
      </w:r>
      <w:r>
        <w:t>period data using the Part D risk model that was used for payment year 2024. This risk score must incorporate the normalization factors and an estimate of the final reconciliation.</w:t>
      </w:r>
    </w:p>
    <w:p>
      <w:pPr>
        <w:pStyle w:val="BodyText"/>
        <w:ind w:left="440" w:right="816"/>
      </w:pPr>
      <w:r>
        <w:t>Actuaries</w:t>
      </w:r>
      <w:r>
        <w:rPr>
          <w:spacing w:val="-3"/>
        </w:rPr>
        <w:t xml:space="preserve"> </w:t>
      </w:r>
      <w:r>
        <w:t>may</w:t>
      </w:r>
      <w:r>
        <w:rPr>
          <w:spacing w:val="-3"/>
        </w:rPr>
        <w:t xml:space="preserve"> </w:t>
      </w:r>
      <w:r>
        <w:t>use</w:t>
      </w:r>
      <w:r>
        <w:rPr>
          <w:spacing w:val="-4"/>
        </w:rPr>
        <w:t xml:space="preserve"> </w:t>
      </w:r>
      <w:r>
        <w:t>as</w:t>
      </w:r>
      <w:r>
        <w:rPr>
          <w:spacing w:val="-3"/>
        </w:rPr>
        <w:t xml:space="preserve"> </w:t>
      </w:r>
      <w:r>
        <w:t>a</w:t>
      </w:r>
      <w:r>
        <w:rPr>
          <w:spacing w:val="-4"/>
        </w:rPr>
        <w:t xml:space="preserve"> </w:t>
      </w:r>
      <w:r>
        <w:t>starting</w:t>
      </w:r>
      <w:r>
        <w:rPr>
          <w:spacing w:val="-3"/>
        </w:rPr>
        <w:t xml:space="preserve"> </w:t>
      </w:r>
      <w:r>
        <w:t>point</w:t>
      </w:r>
      <w:r>
        <w:rPr>
          <w:spacing w:val="-3"/>
        </w:rPr>
        <w:t xml:space="preserve"> </w:t>
      </w:r>
      <w:r>
        <w:t>risk</w:t>
      </w:r>
      <w:r>
        <w:rPr>
          <w:spacing w:val="-3"/>
        </w:rPr>
        <w:t xml:space="preserve"> </w:t>
      </w:r>
      <w:r>
        <w:t>scores</w:t>
      </w:r>
      <w:r>
        <w:rPr>
          <w:spacing w:val="-3"/>
        </w:rPr>
        <w:t xml:space="preserve"> </w:t>
      </w:r>
      <w:r>
        <w:t>calculated</w:t>
      </w:r>
      <w:r>
        <w:rPr>
          <w:spacing w:val="-3"/>
        </w:rPr>
        <w:t xml:space="preserve"> </w:t>
      </w:r>
      <w:r>
        <w:t>with</w:t>
      </w:r>
      <w:r>
        <w:rPr>
          <w:spacing w:val="-3"/>
        </w:rPr>
        <w:t xml:space="preserve"> </w:t>
      </w:r>
      <w:r>
        <w:t>the</w:t>
      </w:r>
      <w:r>
        <w:rPr>
          <w:spacing w:val="-3"/>
        </w:rPr>
        <w:t xml:space="preserve"> </w:t>
      </w:r>
      <w:r>
        <w:t>model</w:t>
      </w:r>
      <w:r>
        <w:rPr>
          <w:spacing w:val="-1"/>
        </w:rPr>
        <w:t xml:space="preserve"> </w:t>
      </w:r>
      <w:r>
        <w:t>used</w:t>
      </w:r>
      <w:r>
        <w:rPr>
          <w:spacing w:val="-3"/>
        </w:rPr>
        <w:t xml:space="preserve"> </w:t>
      </w:r>
      <w:r>
        <w:t>for</w:t>
      </w:r>
      <w:r>
        <w:rPr>
          <w:spacing w:val="-5"/>
        </w:rPr>
        <w:t xml:space="preserve"> </w:t>
      </w:r>
      <w:r>
        <w:t>2024, which are included in the beneficiary-level files sent to Part D sponsors electronically after the publication of the CY2026 Announcement.</w:t>
      </w:r>
    </w:p>
    <w:p>
      <w:pPr>
        <w:spacing w:before="241"/>
        <w:ind w:left="440" w:right="0" w:firstLine="0"/>
        <w:jc w:val="left"/>
        <w:rPr>
          <w:rFonts w:ascii="Arial" w:hAnsi="Arial"/>
          <w:b/>
          <w:sz w:val="21"/>
        </w:rPr>
      </w:pPr>
      <w:bookmarkStart w:id="78" w:name="Line 3c – NLI Risk Score"/>
      <w:bookmarkEnd w:id="78"/>
      <w:r>
        <w:rPr>
          <w:rFonts w:ascii="Arial" w:hAnsi="Arial"/>
          <w:b/>
          <w:sz w:val="21"/>
        </w:rPr>
        <w:t>Line</w:t>
      </w:r>
      <w:r>
        <w:rPr>
          <w:rFonts w:ascii="Arial" w:hAnsi="Arial"/>
          <w:b/>
          <w:spacing w:val="-3"/>
          <w:sz w:val="21"/>
        </w:rPr>
        <w:t xml:space="preserve"> </w:t>
      </w:r>
      <w:r>
        <w:rPr>
          <w:rFonts w:ascii="Arial" w:hAnsi="Arial"/>
          <w:b/>
          <w:sz w:val="21"/>
        </w:rPr>
        <w:t>3c</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NLI</w:t>
      </w:r>
      <w:r>
        <w:rPr>
          <w:rFonts w:ascii="Arial" w:hAnsi="Arial"/>
          <w:b/>
          <w:spacing w:val="-4"/>
          <w:sz w:val="21"/>
        </w:rPr>
        <w:t xml:space="preserve"> </w:t>
      </w:r>
      <w:r>
        <w:rPr>
          <w:rFonts w:ascii="Arial" w:hAnsi="Arial"/>
          <w:b/>
          <w:sz w:val="21"/>
        </w:rPr>
        <w:t>Risk</w:t>
      </w:r>
      <w:r>
        <w:rPr>
          <w:rFonts w:ascii="Arial" w:hAnsi="Arial"/>
          <w:b/>
          <w:spacing w:val="-2"/>
          <w:sz w:val="21"/>
        </w:rPr>
        <w:t xml:space="preserve"> </w:t>
      </w:r>
      <w:r>
        <w:rPr>
          <w:rFonts w:ascii="Arial" w:hAnsi="Arial"/>
          <w:b/>
          <w:spacing w:val="-4"/>
          <w:sz w:val="21"/>
        </w:rPr>
        <w:t>Score</w:t>
      </w:r>
    </w:p>
    <w:p>
      <w:pPr>
        <w:pStyle w:val="BodyText"/>
        <w:ind w:left="440" w:right="979"/>
      </w:pPr>
      <w:r>
        <w:t>Enter</w:t>
      </w:r>
      <w:r>
        <w:rPr>
          <w:spacing w:val="-3"/>
        </w:rPr>
        <w:t xml:space="preserve"> </w:t>
      </w:r>
      <w:r>
        <w:t>the</w:t>
      </w:r>
      <w:r>
        <w:rPr>
          <w:spacing w:val="-5"/>
        </w:rPr>
        <w:t xml:space="preserve"> </w:t>
      </w:r>
      <w:r>
        <w:t>final</w:t>
      </w:r>
      <w:r>
        <w:rPr>
          <w:spacing w:val="-3"/>
        </w:rPr>
        <w:t xml:space="preserve"> </w:t>
      </w:r>
      <w:r>
        <w:t>average</w:t>
      </w:r>
      <w:r>
        <w:rPr>
          <w:spacing w:val="-4"/>
        </w:rPr>
        <w:t xml:space="preserve"> </w:t>
      </w:r>
      <w:r>
        <w:t>risk</w:t>
      </w:r>
      <w:r>
        <w:rPr>
          <w:spacing w:val="-3"/>
        </w:rPr>
        <w:t xml:space="preserve"> </w:t>
      </w:r>
      <w:r>
        <w:t>score</w:t>
      </w:r>
      <w:r>
        <w:rPr>
          <w:spacing w:val="-4"/>
        </w:rPr>
        <w:t xml:space="preserve"> </w:t>
      </w:r>
      <w:r>
        <w:t>for</w:t>
      </w:r>
      <w:r>
        <w:rPr>
          <w:spacing w:val="-3"/>
        </w:rPr>
        <w:t xml:space="preserve"> </w:t>
      </w:r>
      <w:r>
        <w:t>the</w:t>
      </w:r>
      <w:r>
        <w:rPr>
          <w:spacing w:val="-5"/>
        </w:rPr>
        <w:t xml:space="preserve"> </w:t>
      </w:r>
      <w:r>
        <w:t>NLI</w:t>
      </w:r>
      <w:r>
        <w:rPr>
          <w:spacing w:val="-7"/>
        </w:rPr>
        <w:t xml:space="preserve"> </w:t>
      </w:r>
      <w:r>
        <w:t>population</w:t>
      </w:r>
      <w:r>
        <w:rPr>
          <w:spacing w:val="-3"/>
        </w:rPr>
        <w:t xml:space="preserve"> </w:t>
      </w:r>
      <w:r>
        <w:t>represented</w:t>
      </w:r>
      <w:r>
        <w:rPr>
          <w:spacing w:val="-3"/>
        </w:rPr>
        <w:t xml:space="preserve"> </w:t>
      </w:r>
      <w:r>
        <w:t>in</w:t>
      </w:r>
      <w:r>
        <w:rPr>
          <w:spacing w:val="-3"/>
        </w:rPr>
        <w:t xml:space="preserve"> </w:t>
      </w:r>
      <w:r>
        <w:t>the</w:t>
      </w:r>
      <w:r>
        <w:rPr>
          <w:spacing w:val="-2"/>
        </w:rPr>
        <w:t xml:space="preserve"> </w:t>
      </w:r>
      <w:r>
        <w:t>base</w:t>
      </w:r>
      <w:r>
        <w:rPr>
          <w:spacing w:val="-4"/>
        </w:rPr>
        <w:t xml:space="preserve"> </w:t>
      </w:r>
      <w:r>
        <w:t>period data using the Part D risk model that was used for payment year 2024. This risk score must incorporate the normalization factors and an estimate of the final reconciliation.</w:t>
      </w:r>
    </w:p>
    <w:p>
      <w:pPr>
        <w:pStyle w:val="BodyText"/>
        <w:ind w:left="440" w:right="816"/>
      </w:pPr>
      <w:r>
        <w:t>Actuaries</w:t>
      </w:r>
      <w:r>
        <w:rPr>
          <w:spacing w:val="-3"/>
        </w:rPr>
        <w:t xml:space="preserve"> </w:t>
      </w:r>
      <w:r>
        <w:t>may</w:t>
      </w:r>
      <w:r>
        <w:rPr>
          <w:spacing w:val="-3"/>
        </w:rPr>
        <w:t xml:space="preserve"> </w:t>
      </w:r>
      <w:r>
        <w:t>use</w:t>
      </w:r>
      <w:r>
        <w:rPr>
          <w:spacing w:val="-4"/>
        </w:rPr>
        <w:t xml:space="preserve"> </w:t>
      </w:r>
      <w:r>
        <w:t>as</w:t>
      </w:r>
      <w:r>
        <w:rPr>
          <w:spacing w:val="-3"/>
        </w:rPr>
        <w:t xml:space="preserve"> </w:t>
      </w:r>
      <w:r>
        <w:t>a</w:t>
      </w:r>
      <w:r>
        <w:rPr>
          <w:spacing w:val="-4"/>
        </w:rPr>
        <w:t xml:space="preserve"> </w:t>
      </w:r>
      <w:r>
        <w:t>starting</w:t>
      </w:r>
      <w:r>
        <w:rPr>
          <w:spacing w:val="-3"/>
        </w:rPr>
        <w:t xml:space="preserve"> </w:t>
      </w:r>
      <w:r>
        <w:t>point</w:t>
      </w:r>
      <w:r>
        <w:rPr>
          <w:spacing w:val="-3"/>
        </w:rPr>
        <w:t xml:space="preserve"> </w:t>
      </w:r>
      <w:r>
        <w:t>risk</w:t>
      </w:r>
      <w:r>
        <w:rPr>
          <w:spacing w:val="-3"/>
        </w:rPr>
        <w:t xml:space="preserve"> </w:t>
      </w:r>
      <w:r>
        <w:t>scores</w:t>
      </w:r>
      <w:r>
        <w:rPr>
          <w:spacing w:val="-3"/>
        </w:rPr>
        <w:t xml:space="preserve"> </w:t>
      </w:r>
      <w:r>
        <w:t>calculated</w:t>
      </w:r>
      <w:r>
        <w:rPr>
          <w:spacing w:val="-3"/>
        </w:rPr>
        <w:t xml:space="preserve"> </w:t>
      </w:r>
      <w:r>
        <w:t>with</w:t>
      </w:r>
      <w:r>
        <w:rPr>
          <w:spacing w:val="-3"/>
        </w:rPr>
        <w:t xml:space="preserve"> </w:t>
      </w:r>
      <w:r>
        <w:t>the</w:t>
      </w:r>
      <w:r>
        <w:rPr>
          <w:spacing w:val="-3"/>
        </w:rPr>
        <w:t xml:space="preserve"> </w:t>
      </w:r>
      <w:r>
        <w:t>model</w:t>
      </w:r>
      <w:r>
        <w:rPr>
          <w:spacing w:val="-1"/>
        </w:rPr>
        <w:t xml:space="preserve"> </w:t>
      </w:r>
      <w:r>
        <w:t>used</w:t>
      </w:r>
      <w:r>
        <w:rPr>
          <w:spacing w:val="-3"/>
        </w:rPr>
        <w:t xml:space="preserve"> </w:t>
      </w:r>
      <w:r>
        <w:t>for</w:t>
      </w:r>
      <w:r>
        <w:rPr>
          <w:spacing w:val="-5"/>
        </w:rPr>
        <w:t xml:space="preserve"> </w:t>
      </w:r>
      <w:r>
        <w:t>2024, which are included in the beneficiary-level files sent to Part D sponsors electronically after the publication of the CY2026 Announcement.</w:t>
      </w:r>
    </w:p>
    <w:p>
      <w:pPr>
        <w:spacing w:before="242"/>
        <w:ind w:left="440" w:right="0" w:firstLine="0"/>
        <w:jc w:val="left"/>
        <w:rPr>
          <w:rFonts w:ascii="Arial" w:hAnsi="Arial"/>
          <w:b/>
          <w:sz w:val="21"/>
        </w:rPr>
      </w:pPr>
      <w:bookmarkStart w:id="79" w:name="Line 4 – Completion Factor"/>
      <w:bookmarkEnd w:id="79"/>
      <w:r>
        <w:rPr>
          <w:rFonts w:ascii="Arial" w:hAnsi="Arial"/>
          <w:b/>
          <w:sz w:val="21"/>
        </w:rPr>
        <w:t>Line</w:t>
      </w:r>
      <w:r>
        <w:rPr>
          <w:rFonts w:ascii="Arial" w:hAnsi="Arial"/>
          <w:b/>
          <w:spacing w:val="-5"/>
          <w:sz w:val="21"/>
        </w:rPr>
        <w:t xml:space="preserve"> </w:t>
      </w:r>
      <w:r>
        <w:rPr>
          <w:rFonts w:ascii="Arial" w:hAnsi="Arial"/>
          <w:b/>
          <w:sz w:val="21"/>
        </w:rPr>
        <w:t>4</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Completion</w:t>
      </w:r>
      <w:r>
        <w:rPr>
          <w:rFonts w:ascii="Arial" w:hAnsi="Arial"/>
          <w:b/>
          <w:spacing w:val="-3"/>
          <w:sz w:val="21"/>
        </w:rPr>
        <w:t xml:space="preserve"> </w:t>
      </w:r>
      <w:r>
        <w:rPr>
          <w:rFonts w:ascii="Arial" w:hAnsi="Arial"/>
          <w:b/>
          <w:spacing w:val="-2"/>
          <w:sz w:val="21"/>
        </w:rPr>
        <w:t>Factor</w:t>
      </w:r>
    </w:p>
    <w:p>
      <w:pPr>
        <w:pStyle w:val="BodyText"/>
        <w:ind w:left="440" w:right="1236"/>
        <w:jc w:val="both"/>
      </w:pPr>
      <w:r>
        <w:t>Enter</w:t>
      </w:r>
      <w:r>
        <w:rPr>
          <w:spacing w:val="-3"/>
        </w:rPr>
        <w:t xml:space="preserve"> </w:t>
      </w:r>
      <w:r>
        <w:t>the</w:t>
      </w:r>
      <w:r>
        <w:rPr>
          <w:spacing w:val="-5"/>
        </w:rPr>
        <w:t xml:space="preserve"> </w:t>
      </w:r>
      <w:r>
        <w:t>factor</w:t>
      </w:r>
      <w:r>
        <w:rPr>
          <w:spacing w:val="-3"/>
        </w:rPr>
        <w:t xml:space="preserve"> </w:t>
      </w:r>
      <w:r>
        <w:t>used</w:t>
      </w:r>
      <w:r>
        <w:rPr>
          <w:spacing w:val="-3"/>
        </w:rPr>
        <w:t xml:space="preserve"> </w:t>
      </w:r>
      <w:r>
        <w:t>to</w:t>
      </w:r>
      <w:r>
        <w:rPr>
          <w:spacing w:val="-3"/>
        </w:rPr>
        <w:t xml:space="preserve"> </w:t>
      </w:r>
      <w:r>
        <w:t>adjust</w:t>
      </w:r>
      <w:r>
        <w:rPr>
          <w:spacing w:val="-3"/>
        </w:rPr>
        <w:t xml:space="preserve"> </w:t>
      </w:r>
      <w:r>
        <w:t>the</w:t>
      </w:r>
      <w:r>
        <w:rPr>
          <w:spacing w:val="-3"/>
        </w:rPr>
        <w:t xml:space="preserve"> </w:t>
      </w:r>
      <w:r>
        <w:t>paid</w:t>
      </w:r>
      <w:r>
        <w:rPr>
          <w:spacing w:val="-3"/>
        </w:rPr>
        <w:t xml:space="preserve"> </w:t>
      </w:r>
      <w:r>
        <w:t>data</w:t>
      </w:r>
      <w:r>
        <w:rPr>
          <w:spacing w:val="-4"/>
        </w:rPr>
        <w:t xml:space="preserve"> </w:t>
      </w:r>
      <w:r>
        <w:t>to</w:t>
      </w:r>
      <w:r>
        <w:rPr>
          <w:spacing w:val="-3"/>
        </w:rPr>
        <w:t xml:space="preserve"> </w:t>
      </w:r>
      <w:r>
        <w:t>an</w:t>
      </w:r>
      <w:r>
        <w:rPr>
          <w:spacing w:val="-3"/>
        </w:rPr>
        <w:t xml:space="preserve"> </w:t>
      </w:r>
      <w:r>
        <w:t>incurred</w:t>
      </w:r>
      <w:r>
        <w:rPr>
          <w:spacing w:val="-3"/>
        </w:rPr>
        <w:t xml:space="preserve"> </w:t>
      </w:r>
      <w:r>
        <w:t>basis. The</w:t>
      </w:r>
      <w:r>
        <w:rPr>
          <w:spacing w:val="-5"/>
        </w:rPr>
        <w:t xml:space="preserve"> </w:t>
      </w:r>
      <w:r>
        <w:t>base</w:t>
      </w:r>
      <w:r>
        <w:rPr>
          <w:spacing w:val="-4"/>
        </w:rPr>
        <w:t xml:space="preserve"> </w:t>
      </w:r>
      <w:r>
        <w:t>period</w:t>
      </w:r>
      <w:r>
        <w:rPr>
          <w:spacing w:val="-3"/>
        </w:rPr>
        <w:t xml:space="preserve"> </w:t>
      </w:r>
      <w:r>
        <w:t>data must represent the</w:t>
      </w:r>
      <w:r>
        <w:rPr>
          <w:spacing w:val="-1"/>
        </w:rPr>
        <w:t xml:space="preserve"> </w:t>
      </w:r>
      <w:r>
        <w:t>best estimate</w:t>
      </w:r>
      <w:r>
        <w:rPr>
          <w:spacing w:val="-1"/>
        </w:rPr>
        <w:t xml:space="preserve"> </w:t>
      </w:r>
      <w:r>
        <w:t>of incurred claims for</w:t>
      </w:r>
      <w:r>
        <w:rPr>
          <w:spacing w:val="-2"/>
        </w:rPr>
        <w:t xml:space="preserve"> </w:t>
      </w:r>
      <w:r>
        <w:t>the time</w:t>
      </w:r>
      <w:r>
        <w:rPr>
          <w:spacing w:val="-1"/>
        </w:rPr>
        <w:t xml:space="preserve"> </w:t>
      </w:r>
      <w:r>
        <w:t>period, including any unpaid claims as of the “paid through” date.</w:t>
      </w:r>
    </w:p>
    <w:p>
      <w:pPr>
        <w:spacing w:before="241"/>
        <w:ind w:left="440" w:right="0" w:firstLine="0"/>
        <w:jc w:val="left"/>
        <w:rPr>
          <w:rFonts w:ascii="Arial" w:hAnsi="Arial"/>
          <w:b/>
          <w:sz w:val="21"/>
        </w:rPr>
      </w:pPr>
      <w:bookmarkStart w:id="80" w:name="Line 5 – Mapping"/>
      <w:bookmarkEnd w:id="80"/>
      <w:r>
        <w:rPr>
          <w:rFonts w:ascii="Arial" w:hAnsi="Arial"/>
          <w:b/>
          <w:sz w:val="21"/>
        </w:rPr>
        <w:t>Line</w:t>
      </w:r>
      <w:r>
        <w:rPr>
          <w:rFonts w:ascii="Arial" w:hAnsi="Arial"/>
          <w:b/>
          <w:spacing w:val="-2"/>
          <w:sz w:val="21"/>
        </w:rPr>
        <w:t xml:space="preserve"> </w:t>
      </w:r>
      <w:r>
        <w:rPr>
          <w:rFonts w:ascii="Arial" w:hAnsi="Arial"/>
          <w:b/>
          <w:sz w:val="21"/>
        </w:rPr>
        <w:t>5</w:t>
      </w:r>
      <w:r>
        <w:rPr>
          <w:rFonts w:ascii="Arial" w:hAnsi="Arial"/>
          <w:b/>
          <w:spacing w:val="-2"/>
          <w:sz w:val="21"/>
        </w:rPr>
        <w:t xml:space="preserve"> </w:t>
      </w:r>
      <w:r>
        <w:rPr>
          <w:rFonts w:ascii="Arial" w:hAnsi="Arial"/>
          <w:b/>
          <w:sz w:val="21"/>
        </w:rPr>
        <w:t>–</w:t>
      </w:r>
      <w:r>
        <w:rPr>
          <w:rFonts w:ascii="Arial" w:hAnsi="Arial"/>
          <w:b/>
          <w:spacing w:val="-2"/>
          <w:sz w:val="21"/>
        </w:rPr>
        <w:t xml:space="preserve"> Mapping</w:t>
      </w:r>
    </w:p>
    <w:p>
      <w:pPr>
        <w:pStyle w:val="BodyText"/>
        <w:spacing w:before="117"/>
        <w:ind w:left="440" w:right="904"/>
      </w:pPr>
      <w:r>
        <w:t>Enter</w:t>
      </w:r>
      <w:r>
        <w:rPr>
          <w:spacing w:val="-5"/>
        </w:rPr>
        <w:t xml:space="preserve"> </w:t>
      </w:r>
      <w:r>
        <w:t>in</w:t>
      </w:r>
      <w:r>
        <w:rPr>
          <w:spacing w:val="-4"/>
        </w:rPr>
        <w:t xml:space="preserve"> </w:t>
      </w:r>
      <w:r>
        <w:t>the</w:t>
      </w:r>
      <w:r>
        <w:rPr>
          <w:spacing w:val="-5"/>
        </w:rPr>
        <w:t xml:space="preserve"> </w:t>
      </w:r>
      <w:r>
        <w:t>first</w:t>
      </w:r>
      <w:r>
        <w:rPr>
          <w:spacing w:val="-4"/>
        </w:rPr>
        <w:t xml:space="preserve"> </w:t>
      </w:r>
      <w:r>
        <w:t>column</w:t>
      </w:r>
      <w:r>
        <w:rPr>
          <w:spacing w:val="-1"/>
        </w:rPr>
        <w:t xml:space="preserve"> </w:t>
      </w:r>
      <w:r>
        <w:t>the</w:t>
      </w:r>
      <w:r>
        <w:rPr>
          <w:spacing w:val="-4"/>
        </w:rPr>
        <w:t xml:space="preserve"> </w:t>
      </w:r>
      <w:r>
        <w:t>contract-plan-segment</w:t>
      </w:r>
      <w:r>
        <w:rPr>
          <w:spacing w:val="-3"/>
        </w:rPr>
        <w:t xml:space="preserve"> </w:t>
      </w:r>
      <w:r>
        <w:t>ID</w:t>
      </w:r>
      <w:r>
        <w:rPr>
          <w:spacing w:val="-3"/>
        </w:rPr>
        <w:t xml:space="preserve"> </w:t>
      </w:r>
      <w:r>
        <w:t>(in</w:t>
      </w:r>
      <w:r>
        <w:rPr>
          <w:spacing w:val="-4"/>
        </w:rPr>
        <w:t xml:space="preserve"> </w:t>
      </w:r>
      <w:r>
        <w:t>the</w:t>
      </w:r>
      <w:r>
        <w:rPr>
          <w:spacing w:val="-5"/>
        </w:rPr>
        <w:t xml:space="preserve"> </w:t>
      </w:r>
      <w:r>
        <w:t>format</w:t>
      </w:r>
      <w:r>
        <w:rPr>
          <w:spacing w:val="-4"/>
        </w:rPr>
        <w:t xml:space="preserve"> </w:t>
      </w:r>
      <w:r>
        <w:t>H####-###-###)</w:t>
      </w:r>
      <w:r>
        <w:rPr>
          <w:spacing w:val="-4"/>
        </w:rPr>
        <w:t xml:space="preserve"> </w:t>
      </w:r>
      <w:r>
        <w:t>of each plan for which base period data is required by these Instructions to be reported in Section III. Cell K12 is automatically populated with the contract number, plan, and segment ID in cells D5, D6, and D7; the contract-plan-segment ID in cell K12 can be overwritten if there is no base period data for that plan. When base period data for more than eight plans is entered in Section III, (i) enter in cells K12:K15 and M12:M14 the contract-plan-segment IDs of the plans with the greatest number of member months;</w:t>
      </w:r>
    </w:p>
    <w:p>
      <w:pPr>
        <w:pStyle w:val="BodyText"/>
        <w:spacing w:before="1"/>
        <w:ind w:left="440" w:right="1104"/>
      </w:pPr>
      <w:r>
        <w:t>(ii)</w:t>
      </w:r>
      <w:r>
        <w:rPr>
          <w:spacing w:val="-4"/>
        </w:rPr>
        <w:t xml:space="preserve"> </w:t>
      </w:r>
      <w:r>
        <w:t>enter</w:t>
      </w:r>
      <w:r>
        <w:rPr>
          <w:spacing w:val="-5"/>
        </w:rPr>
        <w:t xml:space="preserve"> </w:t>
      </w:r>
      <w:r>
        <w:t>“all</w:t>
      </w:r>
      <w:r>
        <w:rPr>
          <w:spacing w:val="-3"/>
        </w:rPr>
        <w:t xml:space="preserve"> </w:t>
      </w:r>
      <w:r>
        <w:t>other”</w:t>
      </w:r>
      <w:r>
        <w:rPr>
          <w:spacing w:val="-4"/>
        </w:rPr>
        <w:t xml:space="preserve"> </w:t>
      </w:r>
      <w:r>
        <w:t>in</w:t>
      </w:r>
      <w:r>
        <w:rPr>
          <w:spacing w:val="-3"/>
        </w:rPr>
        <w:t xml:space="preserve"> </w:t>
      </w:r>
      <w:r>
        <w:t>cell</w:t>
      </w:r>
      <w:r>
        <w:rPr>
          <w:spacing w:val="-3"/>
        </w:rPr>
        <w:t xml:space="preserve"> </w:t>
      </w:r>
      <w:r>
        <w:t>M15</w:t>
      </w:r>
      <w:r>
        <w:rPr>
          <w:spacing w:val="-3"/>
        </w:rPr>
        <w:t xml:space="preserve"> </w:t>
      </w:r>
      <w:r>
        <w:t>and</w:t>
      </w:r>
      <w:r>
        <w:rPr>
          <w:spacing w:val="-3"/>
        </w:rPr>
        <w:t xml:space="preserve"> </w:t>
      </w:r>
      <w:r>
        <w:t>(iii)</w:t>
      </w:r>
      <w:r>
        <w:rPr>
          <w:spacing w:val="-3"/>
        </w:rPr>
        <w:t xml:space="preserve"> </w:t>
      </w:r>
      <w:r>
        <w:t>list in</w:t>
      </w:r>
      <w:r>
        <w:rPr>
          <w:spacing w:val="-3"/>
        </w:rPr>
        <w:t xml:space="preserve"> </w:t>
      </w:r>
      <w:r>
        <w:t>supporting</w:t>
      </w:r>
      <w:r>
        <w:rPr>
          <w:spacing w:val="-3"/>
        </w:rPr>
        <w:t xml:space="preserve"> </w:t>
      </w:r>
      <w:r>
        <w:t>documentation</w:t>
      </w:r>
      <w:r>
        <w:rPr>
          <w:spacing w:val="-2"/>
        </w:rPr>
        <w:t xml:space="preserve"> </w:t>
      </w:r>
      <w:r>
        <w:t>the</w:t>
      </w:r>
      <w:r>
        <w:rPr>
          <w:spacing w:val="-3"/>
        </w:rPr>
        <w:t xml:space="preserve"> </w:t>
      </w:r>
      <w:r>
        <w:t>contract- plan-segment IDs and member months of all plans in the “all other” category.</w:t>
      </w:r>
    </w:p>
    <w:p>
      <w:pPr>
        <w:pStyle w:val="BodyText"/>
        <w:ind w:left="440"/>
      </w:pPr>
      <w:r>
        <w:t>Enter</w:t>
      </w:r>
      <w:r>
        <w:rPr>
          <w:spacing w:val="-1"/>
        </w:rPr>
        <w:t xml:space="preserve"> </w:t>
      </w:r>
      <w:r>
        <w:t>the</w:t>
      </w:r>
      <w:r>
        <w:rPr>
          <w:spacing w:val="-2"/>
        </w:rPr>
        <w:t xml:space="preserve"> </w:t>
      </w:r>
      <w:r>
        <w:t>corresponding</w:t>
      </w:r>
      <w:r>
        <w:rPr>
          <w:spacing w:val="1"/>
        </w:rPr>
        <w:t xml:space="preserve"> </w:t>
      </w:r>
      <w:r>
        <w:t>number</w:t>
      </w:r>
      <w:r>
        <w:rPr>
          <w:spacing w:val="-2"/>
        </w:rPr>
        <w:t xml:space="preserve"> </w:t>
      </w:r>
      <w:r>
        <w:t>of</w:t>
      </w:r>
      <w:r>
        <w:rPr>
          <w:spacing w:val="-1"/>
        </w:rPr>
        <w:t xml:space="preserve"> </w:t>
      </w:r>
      <w:r>
        <w:t>member</w:t>
      </w:r>
      <w:r>
        <w:rPr>
          <w:spacing w:val="-2"/>
        </w:rPr>
        <w:t xml:space="preserve"> </w:t>
      </w:r>
      <w:r>
        <w:t>months</w:t>
      </w:r>
      <w:r>
        <w:rPr>
          <w:spacing w:val="-1"/>
        </w:rPr>
        <w:t xml:space="preserve"> </w:t>
      </w:r>
      <w:r>
        <w:t>in the</w:t>
      </w:r>
      <w:r>
        <w:rPr>
          <w:spacing w:val="-1"/>
        </w:rPr>
        <w:t xml:space="preserve"> </w:t>
      </w:r>
      <w:r>
        <w:t xml:space="preserve">second </w:t>
      </w:r>
      <w:r>
        <w:rPr>
          <w:spacing w:val="-2"/>
        </w:rPr>
        <w:t>column.</w:t>
      </w:r>
    </w:p>
    <w:p>
      <w:pPr>
        <w:spacing w:after="0"/>
        <w:sectPr>
          <w:pgSz w:w="12240" w:h="15840"/>
          <w:pgMar w:top="1340" w:right="1000" w:bottom="1080" w:left="1360" w:header="727" w:footer="891"/>
          <w:cols w:space="720"/>
        </w:sectPr>
      </w:pPr>
    </w:p>
    <w:p>
      <w:pPr>
        <w:pStyle w:val="Heading2"/>
        <w:spacing w:before="88"/>
      </w:pPr>
      <w:bookmarkStart w:id="81" w:name="Section III – Part D Claims Experience"/>
      <w:bookmarkEnd w:id="81"/>
      <w:bookmarkStart w:id="82" w:name="_bookmark27"/>
      <w:bookmarkEnd w:id="82"/>
      <w:r>
        <w:rPr>
          <w:smallCaps/>
        </w:rPr>
        <w:t>Section</w:t>
      </w:r>
      <w:r>
        <w:rPr>
          <w:smallCaps/>
          <w:spacing w:val="-15"/>
        </w:rPr>
        <w:t xml:space="preserve"> </w:t>
      </w:r>
      <w:r>
        <w:rPr>
          <w:smallCaps/>
        </w:rPr>
        <w:t>III</w:t>
      </w:r>
      <w:r>
        <w:rPr>
          <w:smallCaps/>
          <w:spacing w:val="-15"/>
        </w:rPr>
        <w:t xml:space="preserve"> </w:t>
      </w:r>
      <w:r>
        <w:rPr>
          <w:smallCaps/>
        </w:rPr>
        <w:t>–</w:t>
      </w:r>
      <w:r>
        <w:rPr>
          <w:smallCaps/>
          <w:spacing w:val="-15"/>
        </w:rPr>
        <w:t xml:space="preserve"> </w:t>
      </w:r>
      <w:r>
        <w:rPr>
          <w:smallCaps/>
        </w:rPr>
        <w:t>Part</w:t>
      </w:r>
      <w:r>
        <w:rPr>
          <w:smallCaps/>
          <w:spacing w:val="9"/>
        </w:rPr>
        <w:t xml:space="preserve"> </w:t>
      </w:r>
      <w:r>
        <w:rPr>
          <w:smallCaps/>
        </w:rPr>
        <w:t>D</w:t>
      </w:r>
      <w:r>
        <w:rPr>
          <w:smallCaps/>
          <w:spacing w:val="-17"/>
        </w:rPr>
        <w:t xml:space="preserve"> </w:t>
      </w:r>
      <w:r>
        <w:rPr>
          <w:smallCaps/>
        </w:rPr>
        <w:t>Claims</w:t>
      </w:r>
      <w:r>
        <w:rPr>
          <w:smallCaps/>
          <w:spacing w:val="-5"/>
        </w:rPr>
        <w:t xml:space="preserve"> </w:t>
      </w:r>
      <w:r>
        <w:rPr>
          <w:smallCaps/>
          <w:spacing w:val="-2"/>
        </w:rPr>
        <w:t>Experience</w:t>
      </w:r>
    </w:p>
    <w:p>
      <w:pPr>
        <w:pStyle w:val="BodyText"/>
        <w:spacing w:before="180"/>
        <w:ind w:left="440" w:right="979"/>
      </w:pPr>
      <w:r>
        <w:t>Lines</w:t>
      </w:r>
      <w:r>
        <w:rPr>
          <w:spacing w:val="-4"/>
        </w:rPr>
        <w:t xml:space="preserve"> </w:t>
      </w:r>
      <w:r>
        <w:t>1</w:t>
      </w:r>
      <w:r>
        <w:rPr>
          <w:spacing w:val="-4"/>
        </w:rPr>
        <w:t xml:space="preserve"> </w:t>
      </w:r>
      <w:r>
        <w:t>through</w:t>
      </w:r>
      <w:r>
        <w:rPr>
          <w:spacing w:val="-4"/>
        </w:rPr>
        <w:t xml:space="preserve"> </w:t>
      </w:r>
      <w:r>
        <w:t>10</w:t>
      </w:r>
      <w:r>
        <w:rPr>
          <w:spacing w:val="-4"/>
        </w:rPr>
        <w:t xml:space="preserve"> </w:t>
      </w:r>
      <w:r>
        <w:t>include</w:t>
      </w:r>
      <w:r>
        <w:rPr>
          <w:spacing w:val="-5"/>
        </w:rPr>
        <w:t xml:space="preserve"> </w:t>
      </w:r>
      <w:r>
        <w:t>experience</w:t>
      </w:r>
      <w:r>
        <w:rPr>
          <w:spacing w:val="-3"/>
        </w:rPr>
        <w:t xml:space="preserve"> </w:t>
      </w:r>
      <w:r>
        <w:t>relating</w:t>
      </w:r>
      <w:r>
        <w:rPr>
          <w:spacing w:val="-4"/>
        </w:rPr>
        <w:t xml:space="preserve"> </w:t>
      </w:r>
      <w:r>
        <w:t>to Part</w:t>
      </w:r>
      <w:r>
        <w:rPr>
          <w:spacing w:val="-4"/>
        </w:rPr>
        <w:t xml:space="preserve"> </w:t>
      </w:r>
      <w:r>
        <w:t>D-covered</w:t>
      </w:r>
      <w:r>
        <w:rPr>
          <w:spacing w:val="-4"/>
        </w:rPr>
        <w:t xml:space="preserve"> </w:t>
      </w:r>
      <w:r>
        <w:t>drugs</w:t>
      </w:r>
      <w:r>
        <w:rPr>
          <w:spacing w:val="-4"/>
        </w:rPr>
        <w:t xml:space="preserve"> </w:t>
      </w:r>
      <w:r>
        <w:t>only.</w:t>
      </w:r>
      <w:r>
        <w:rPr>
          <w:spacing w:val="-3"/>
        </w:rPr>
        <w:t xml:space="preserve"> </w:t>
      </w:r>
      <w:r>
        <w:t>Lines</w:t>
      </w:r>
      <w:r>
        <w:rPr>
          <w:spacing w:val="-4"/>
        </w:rPr>
        <w:t xml:space="preserve"> </w:t>
      </w:r>
      <w:r>
        <w:t>11 through 13 include experience for drugs that are covered by the plan but are not</w:t>
      </w:r>
    </w:p>
    <w:p>
      <w:pPr>
        <w:pStyle w:val="BodyText"/>
        <w:spacing w:before="0"/>
        <w:ind w:left="440"/>
      </w:pPr>
      <w:r>
        <w:t>Part</w:t>
      </w:r>
      <w:r>
        <w:rPr>
          <w:spacing w:val="-3"/>
        </w:rPr>
        <w:t xml:space="preserve"> </w:t>
      </w:r>
      <w:r>
        <w:t>D-covered</w:t>
      </w:r>
      <w:r>
        <w:rPr>
          <w:spacing w:val="-1"/>
        </w:rPr>
        <w:t xml:space="preserve"> </w:t>
      </w:r>
      <w:r>
        <w:t>drugs</w:t>
      </w:r>
      <w:r>
        <w:rPr>
          <w:spacing w:val="1"/>
        </w:rPr>
        <w:t xml:space="preserve"> </w:t>
      </w:r>
      <w:r>
        <w:t>at</w:t>
      </w:r>
      <w:r>
        <w:rPr>
          <w:spacing w:val="-1"/>
        </w:rPr>
        <w:t xml:space="preserve"> </w:t>
      </w:r>
      <w:r>
        <w:t>the</w:t>
      </w:r>
      <w:r>
        <w:rPr>
          <w:spacing w:val="-2"/>
        </w:rPr>
        <w:t xml:space="preserve"> </w:t>
      </w:r>
      <w:r>
        <w:t>time</w:t>
      </w:r>
      <w:r>
        <w:rPr>
          <w:spacing w:val="-1"/>
        </w:rPr>
        <w:t xml:space="preserve"> </w:t>
      </w:r>
      <w:r>
        <w:t>they</w:t>
      </w:r>
      <w:r>
        <w:rPr>
          <w:spacing w:val="-1"/>
        </w:rPr>
        <w:t xml:space="preserve"> </w:t>
      </w:r>
      <w:r>
        <w:t>are</w:t>
      </w:r>
      <w:r>
        <w:rPr>
          <w:spacing w:val="-3"/>
        </w:rPr>
        <w:t xml:space="preserve"> </w:t>
      </w:r>
      <w:r>
        <w:rPr>
          <w:spacing w:val="-2"/>
        </w:rPr>
        <w:t>dispensed.</w:t>
      </w:r>
    </w:p>
    <w:p>
      <w:pPr>
        <w:spacing w:before="240"/>
        <w:ind w:left="440" w:right="0" w:firstLine="0"/>
        <w:jc w:val="left"/>
        <w:rPr>
          <w:rFonts w:ascii="Arial"/>
          <w:b/>
          <w:sz w:val="21"/>
        </w:rPr>
      </w:pPr>
      <w:bookmarkStart w:id="83" w:name="Lines 1 through 4:"/>
      <w:bookmarkEnd w:id="83"/>
      <w:r>
        <w:rPr>
          <w:rFonts w:ascii="Arial"/>
          <w:b/>
          <w:sz w:val="21"/>
        </w:rPr>
        <w:t>Lines</w:t>
      </w:r>
      <w:r>
        <w:rPr>
          <w:rFonts w:ascii="Arial"/>
          <w:b/>
          <w:spacing w:val="-5"/>
          <w:sz w:val="21"/>
        </w:rPr>
        <w:t xml:space="preserve"> </w:t>
      </w:r>
      <w:r>
        <w:rPr>
          <w:rFonts w:ascii="Arial"/>
          <w:b/>
          <w:sz w:val="21"/>
        </w:rPr>
        <w:t>1</w:t>
      </w:r>
      <w:r>
        <w:rPr>
          <w:rFonts w:ascii="Arial"/>
          <w:b/>
          <w:spacing w:val="-5"/>
          <w:sz w:val="21"/>
        </w:rPr>
        <w:t xml:space="preserve"> </w:t>
      </w:r>
      <w:r>
        <w:rPr>
          <w:rFonts w:ascii="Arial"/>
          <w:b/>
          <w:sz w:val="21"/>
        </w:rPr>
        <w:t>through</w:t>
      </w:r>
      <w:r>
        <w:rPr>
          <w:rFonts w:ascii="Arial"/>
          <w:b/>
          <w:spacing w:val="-4"/>
          <w:sz w:val="21"/>
        </w:rPr>
        <w:t xml:space="preserve"> </w:t>
      </w:r>
      <w:r>
        <w:rPr>
          <w:rFonts w:ascii="Arial"/>
          <w:b/>
          <w:spacing w:val="-5"/>
          <w:sz w:val="21"/>
        </w:rPr>
        <w:t>4:</w:t>
      </w:r>
    </w:p>
    <w:p>
      <w:pPr>
        <w:pStyle w:val="ListParagraph"/>
        <w:numPr>
          <w:ilvl w:val="0"/>
          <w:numId w:val="10"/>
        </w:numPr>
        <w:tabs>
          <w:tab w:val="left" w:pos="1159"/>
        </w:tabs>
        <w:spacing w:before="119" w:after="0" w:line="240" w:lineRule="auto"/>
        <w:ind w:left="1159" w:right="0" w:hanging="359"/>
        <w:jc w:val="left"/>
        <w:rPr>
          <w:rFonts w:ascii="Arial" w:hAnsi="Arial"/>
          <w:b/>
          <w:sz w:val="21"/>
        </w:rPr>
      </w:pPr>
      <w:r>
        <w:rPr>
          <w:rFonts w:ascii="Arial" w:hAnsi="Arial"/>
          <w:b/>
          <w:sz w:val="21"/>
        </w:rPr>
        <w:t>Column</w:t>
      </w:r>
      <w:r>
        <w:rPr>
          <w:rFonts w:ascii="Arial" w:hAnsi="Arial"/>
          <w:b/>
          <w:spacing w:val="-5"/>
          <w:sz w:val="21"/>
        </w:rPr>
        <w:t xml:space="preserve"> </w:t>
      </w:r>
      <w:r>
        <w:rPr>
          <w:rFonts w:ascii="Arial" w:hAnsi="Arial"/>
          <w:b/>
          <w:sz w:val="21"/>
        </w:rPr>
        <w:t>d</w:t>
      </w:r>
      <w:r>
        <w:rPr>
          <w:rFonts w:ascii="Arial" w:hAnsi="Arial"/>
          <w:b/>
          <w:spacing w:val="-3"/>
          <w:sz w:val="21"/>
        </w:rPr>
        <w:t xml:space="preserve"> </w:t>
      </w:r>
      <w:r>
        <w:rPr>
          <w:rFonts w:ascii="Arial" w:hAnsi="Arial"/>
          <w:b/>
          <w:sz w:val="21"/>
        </w:rPr>
        <w:t>–</w:t>
      </w:r>
      <w:r>
        <w:rPr>
          <w:rFonts w:ascii="Arial" w:hAnsi="Arial"/>
          <w:b/>
          <w:spacing w:val="-2"/>
          <w:sz w:val="21"/>
        </w:rPr>
        <w:t xml:space="preserve"> </w:t>
      </w:r>
      <w:r>
        <w:rPr>
          <w:rFonts w:ascii="Arial" w:hAnsi="Arial"/>
          <w:b/>
          <w:sz w:val="21"/>
        </w:rPr>
        <w:t>Number</w:t>
      </w:r>
      <w:r>
        <w:rPr>
          <w:rFonts w:ascii="Arial" w:hAnsi="Arial"/>
          <w:b/>
          <w:spacing w:val="-4"/>
          <w:sz w:val="21"/>
        </w:rPr>
        <w:t xml:space="preserve"> </w:t>
      </w:r>
      <w:r>
        <w:rPr>
          <w:rFonts w:ascii="Arial" w:hAnsi="Arial"/>
          <w:b/>
          <w:sz w:val="21"/>
        </w:rPr>
        <w:t>of</w:t>
      </w:r>
      <w:r>
        <w:rPr>
          <w:rFonts w:ascii="Arial" w:hAnsi="Arial"/>
          <w:b/>
          <w:spacing w:val="-2"/>
          <w:sz w:val="21"/>
        </w:rPr>
        <w:t xml:space="preserve"> Members</w:t>
      </w:r>
    </w:p>
    <w:p>
      <w:pPr>
        <w:pStyle w:val="BodyText"/>
        <w:ind w:left="1160" w:right="816"/>
      </w:pPr>
      <w:r>
        <w:t>Enter</w:t>
      </w:r>
      <w:r>
        <w:rPr>
          <w:spacing w:val="-4"/>
        </w:rPr>
        <w:t xml:space="preserve"> </w:t>
      </w:r>
      <w:r>
        <w:t>for</w:t>
      </w:r>
      <w:r>
        <w:rPr>
          <w:spacing w:val="-3"/>
        </w:rPr>
        <w:t xml:space="preserve"> </w:t>
      </w:r>
      <w:r>
        <w:t>each</w:t>
      </w:r>
      <w:r>
        <w:rPr>
          <w:spacing w:val="-3"/>
        </w:rPr>
        <w:t xml:space="preserve"> </w:t>
      </w:r>
      <w:r>
        <w:t>line</w:t>
      </w:r>
      <w:r>
        <w:rPr>
          <w:spacing w:val="-3"/>
        </w:rPr>
        <w:t xml:space="preserve"> </w:t>
      </w:r>
      <w:r>
        <w:t>the</w:t>
      </w:r>
      <w:r>
        <w:rPr>
          <w:spacing w:val="-2"/>
        </w:rPr>
        <w:t xml:space="preserve"> </w:t>
      </w:r>
      <w:r>
        <w:t>number</w:t>
      </w:r>
      <w:r>
        <w:rPr>
          <w:spacing w:val="-5"/>
        </w:rPr>
        <w:t xml:space="preserve"> </w:t>
      </w:r>
      <w:r>
        <w:t>of</w:t>
      </w:r>
      <w:r>
        <w:rPr>
          <w:spacing w:val="-3"/>
        </w:rPr>
        <w:t xml:space="preserve"> </w:t>
      </w:r>
      <w:r>
        <w:t>members</w:t>
      </w:r>
      <w:r>
        <w:rPr>
          <w:spacing w:val="-1"/>
        </w:rPr>
        <w:t xml:space="preserve"> </w:t>
      </w:r>
      <w:r>
        <w:t>with</w:t>
      </w:r>
      <w:r>
        <w:rPr>
          <w:spacing w:val="-3"/>
        </w:rPr>
        <w:t xml:space="preserve"> </w:t>
      </w:r>
      <w:r>
        <w:t>total</w:t>
      </w:r>
      <w:r>
        <w:rPr>
          <w:spacing w:val="-3"/>
        </w:rPr>
        <w:t xml:space="preserve"> </w:t>
      </w:r>
      <w:r>
        <w:t>allowed</w:t>
      </w:r>
      <w:r>
        <w:rPr>
          <w:spacing w:val="-1"/>
        </w:rPr>
        <w:t xml:space="preserve"> </w:t>
      </w:r>
      <w:r>
        <w:t>costs</w:t>
      </w:r>
      <w:r>
        <w:rPr>
          <w:spacing w:val="-3"/>
        </w:rPr>
        <w:t xml:space="preserve"> </w:t>
      </w:r>
      <w:r>
        <w:t>in</w:t>
      </w:r>
      <w:r>
        <w:rPr>
          <w:spacing w:val="-3"/>
        </w:rPr>
        <w:t xml:space="preserve"> </w:t>
      </w:r>
      <w:r>
        <w:t>the</w:t>
      </w:r>
      <w:r>
        <w:rPr>
          <w:spacing w:val="-3"/>
        </w:rPr>
        <w:t xml:space="preserve"> </w:t>
      </w:r>
      <w:r>
        <w:t>defined standard allowed costs interval. For CY2024, the point at which beneficiaries reach catastrophic coverage is to be estimated as when their true out-of-pocket (TrOOP) costs less the gap discount is greater than $TBD. For example, if</w:t>
      </w:r>
    </w:p>
    <w:p>
      <w:pPr>
        <w:pStyle w:val="BodyText"/>
        <w:spacing w:before="0"/>
        <w:ind w:left="1160" w:right="979"/>
      </w:pPr>
      <w:r>
        <w:t>7,000</w:t>
      </w:r>
      <w:r>
        <w:rPr>
          <w:spacing w:val="-5"/>
        </w:rPr>
        <w:t xml:space="preserve"> </w:t>
      </w:r>
      <w:r>
        <w:t>members</w:t>
      </w:r>
      <w:r>
        <w:rPr>
          <w:spacing w:val="-5"/>
        </w:rPr>
        <w:t xml:space="preserve"> </w:t>
      </w:r>
      <w:r>
        <w:t>had</w:t>
      </w:r>
      <w:r>
        <w:rPr>
          <w:spacing w:val="-5"/>
        </w:rPr>
        <w:t xml:space="preserve"> </w:t>
      </w:r>
      <w:r>
        <w:t>total</w:t>
      </w:r>
      <w:r>
        <w:rPr>
          <w:spacing w:val="-3"/>
        </w:rPr>
        <w:t xml:space="preserve"> </w:t>
      </w:r>
      <w:r>
        <w:t>allowed</w:t>
      </w:r>
      <w:r>
        <w:rPr>
          <w:spacing w:val="-5"/>
        </w:rPr>
        <w:t xml:space="preserve"> </w:t>
      </w:r>
      <w:r>
        <w:t>costs</w:t>
      </w:r>
      <w:r>
        <w:rPr>
          <w:spacing w:val="-5"/>
        </w:rPr>
        <w:t xml:space="preserve"> </w:t>
      </w:r>
      <w:r>
        <w:t>between</w:t>
      </w:r>
      <w:r>
        <w:rPr>
          <w:spacing w:val="-5"/>
        </w:rPr>
        <w:t xml:space="preserve"> </w:t>
      </w:r>
      <w:r>
        <w:t>the</w:t>
      </w:r>
      <w:r>
        <w:rPr>
          <w:spacing w:val="-6"/>
        </w:rPr>
        <w:t xml:space="preserve"> </w:t>
      </w:r>
      <w:r>
        <w:t>deductible</w:t>
      </w:r>
      <w:r>
        <w:rPr>
          <w:spacing w:val="-5"/>
        </w:rPr>
        <w:t xml:space="preserve"> </w:t>
      </w:r>
      <w:r>
        <w:t>and</w:t>
      </w:r>
      <w:r>
        <w:rPr>
          <w:spacing w:val="-3"/>
        </w:rPr>
        <w:t xml:space="preserve"> </w:t>
      </w:r>
      <w:r>
        <w:t>catastrophic, then enter “7,000” in line 3, column d. Do not include estimates for claims for which the Part D plan is the secondary payer.</w:t>
      </w:r>
    </w:p>
    <w:p>
      <w:pPr>
        <w:pStyle w:val="ListParagraph"/>
        <w:numPr>
          <w:ilvl w:val="0"/>
          <w:numId w:val="10"/>
        </w:numPr>
        <w:tabs>
          <w:tab w:val="left" w:pos="1159"/>
        </w:tabs>
        <w:spacing w:before="122"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e</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Member</w:t>
      </w:r>
      <w:r>
        <w:rPr>
          <w:rFonts w:ascii="Arial" w:hAnsi="Arial"/>
          <w:b/>
          <w:spacing w:val="-3"/>
          <w:sz w:val="21"/>
        </w:rPr>
        <w:t xml:space="preserve"> </w:t>
      </w:r>
      <w:r>
        <w:rPr>
          <w:rFonts w:ascii="Arial" w:hAnsi="Arial"/>
          <w:b/>
          <w:spacing w:val="-2"/>
          <w:sz w:val="21"/>
        </w:rPr>
        <w:t>Months</w:t>
      </w:r>
    </w:p>
    <w:p>
      <w:pPr>
        <w:pStyle w:val="BodyText"/>
        <w:spacing w:before="118"/>
        <w:ind w:left="1160" w:right="425"/>
      </w:pPr>
      <w:r>
        <w:t>Enter</w:t>
      </w:r>
      <w:r>
        <w:rPr>
          <w:spacing w:val="-4"/>
        </w:rPr>
        <w:t xml:space="preserve"> </w:t>
      </w:r>
      <w:r>
        <w:t>for</w:t>
      </w:r>
      <w:r>
        <w:rPr>
          <w:spacing w:val="-3"/>
        </w:rPr>
        <w:t xml:space="preserve"> </w:t>
      </w:r>
      <w:r>
        <w:t>each</w:t>
      </w:r>
      <w:r>
        <w:rPr>
          <w:spacing w:val="-3"/>
        </w:rPr>
        <w:t xml:space="preserve"> </w:t>
      </w:r>
      <w:r>
        <w:t>line</w:t>
      </w:r>
      <w:r>
        <w:rPr>
          <w:spacing w:val="-3"/>
        </w:rPr>
        <w:t xml:space="preserve"> </w:t>
      </w:r>
      <w:r>
        <w:t>the</w:t>
      </w:r>
      <w:r>
        <w:rPr>
          <w:spacing w:val="-1"/>
        </w:rPr>
        <w:t xml:space="preserve"> </w:t>
      </w:r>
      <w:r>
        <w:t>number</w:t>
      </w:r>
      <w:r>
        <w:rPr>
          <w:spacing w:val="-5"/>
        </w:rPr>
        <w:t xml:space="preserve"> </w:t>
      </w:r>
      <w:r>
        <w:t>of</w:t>
      </w:r>
      <w:r>
        <w:rPr>
          <w:spacing w:val="-3"/>
        </w:rPr>
        <w:t xml:space="preserve"> </w:t>
      </w:r>
      <w:r>
        <w:t>member</w:t>
      </w:r>
      <w:r>
        <w:rPr>
          <w:spacing w:val="-5"/>
        </w:rPr>
        <w:t xml:space="preserve"> </w:t>
      </w:r>
      <w:r>
        <w:t>months</w:t>
      </w:r>
      <w:r>
        <w:rPr>
          <w:spacing w:val="-1"/>
        </w:rPr>
        <w:t xml:space="preserve"> </w:t>
      </w:r>
      <w:r>
        <w:t>associated</w:t>
      </w:r>
      <w:r>
        <w:rPr>
          <w:spacing w:val="-3"/>
        </w:rPr>
        <w:t xml:space="preserve"> </w:t>
      </w:r>
      <w:r>
        <w:t>with</w:t>
      </w:r>
      <w:r>
        <w:rPr>
          <w:spacing w:val="-3"/>
        </w:rPr>
        <w:t xml:space="preserve"> </w:t>
      </w:r>
      <w:r>
        <w:t>the</w:t>
      </w:r>
      <w:r>
        <w:rPr>
          <w:spacing w:val="-3"/>
        </w:rPr>
        <w:t xml:space="preserve"> </w:t>
      </w:r>
      <w:r>
        <w:t>number</w:t>
      </w:r>
      <w:r>
        <w:rPr>
          <w:spacing w:val="-3"/>
        </w:rPr>
        <w:t xml:space="preserve"> </w:t>
      </w:r>
      <w:r>
        <w:t>of members in column d.</w:t>
      </w:r>
    </w:p>
    <w:p>
      <w:pPr>
        <w:pStyle w:val="ListParagraph"/>
        <w:numPr>
          <w:ilvl w:val="0"/>
          <w:numId w:val="10"/>
        </w:numPr>
        <w:tabs>
          <w:tab w:val="left" w:pos="1159"/>
        </w:tabs>
        <w:spacing w:before="120" w:after="0" w:line="240" w:lineRule="auto"/>
        <w:ind w:left="1159"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f</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Total</w:t>
      </w:r>
      <w:r>
        <w:rPr>
          <w:rFonts w:ascii="Arial" w:hAnsi="Arial"/>
          <w:b/>
          <w:spacing w:val="-4"/>
          <w:sz w:val="21"/>
        </w:rPr>
        <w:t xml:space="preserve"> </w:t>
      </w:r>
      <w:r>
        <w:rPr>
          <w:rFonts w:ascii="Arial" w:hAnsi="Arial"/>
          <w:b/>
          <w:sz w:val="21"/>
        </w:rPr>
        <w:t>Number</w:t>
      </w:r>
      <w:r>
        <w:rPr>
          <w:rFonts w:ascii="Arial" w:hAnsi="Arial"/>
          <w:b/>
          <w:spacing w:val="-4"/>
          <w:sz w:val="21"/>
        </w:rPr>
        <w:t xml:space="preserve"> </w:t>
      </w:r>
      <w:r>
        <w:rPr>
          <w:rFonts w:ascii="Arial" w:hAnsi="Arial"/>
          <w:b/>
          <w:sz w:val="21"/>
        </w:rPr>
        <w:t>of</w:t>
      </w:r>
      <w:r>
        <w:rPr>
          <w:rFonts w:ascii="Arial" w:hAnsi="Arial"/>
          <w:b/>
          <w:spacing w:val="-2"/>
          <w:sz w:val="21"/>
        </w:rPr>
        <w:t xml:space="preserve"> Scripts</w:t>
      </w:r>
    </w:p>
    <w:p>
      <w:pPr>
        <w:pStyle w:val="BodyText"/>
        <w:ind w:left="1160" w:right="655"/>
      </w:pPr>
      <w:r>
        <w:t>Enter</w:t>
      </w:r>
      <w:r>
        <w:rPr>
          <w:spacing w:val="-4"/>
        </w:rPr>
        <w:t xml:space="preserve"> </w:t>
      </w:r>
      <w:r>
        <w:t>for</w:t>
      </w:r>
      <w:r>
        <w:rPr>
          <w:spacing w:val="-3"/>
        </w:rPr>
        <w:t xml:space="preserve"> </w:t>
      </w:r>
      <w:r>
        <w:t>each</w:t>
      </w:r>
      <w:r>
        <w:rPr>
          <w:spacing w:val="-3"/>
        </w:rPr>
        <w:t xml:space="preserve"> </w:t>
      </w:r>
      <w:r>
        <w:t>line</w:t>
      </w:r>
      <w:r>
        <w:rPr>
          <w:spacing w:val="-3"/>
        </w:rPr>
        <w:t xml:space="preserve"> </w:t>
      </w:r>
      <w:r>
        <w:t>the</w:t>
      </w:r>
      <w:r>
        <w:rPr>
          <w:spacing w:val="-2"/>
        </w:rPr>
        <w:t xml:space="preserve"> </w:t>
      </w:r>
      <w:r>
        <w:t>number</w:t>
      </w:r>
      <w:r>
        <w:rPr>
          <w:spacing w:val="-5"/>
        </w:rPr>
        <w:t xml:space="preserve"> </w:t>
      </w:r>
      <w:r>
        <w:t>of</w:t>
      </w:r>
      <w:r>
        <w:rPr>
          <w:spacing w:val="-3"/>
        </w:rPr>
        <w:t xml:space="preserve"> </w:t>
      </w:r>
      <w:r>
        <w:t>prescriptions</w:t>
      </w:r>
      <w:r>
        <w:rPr>
          <w:spacing w:val="-3"/>
        </w:rPr>
        <w:t xml:space="preserve"> </w:t>
      </w:r>
      <w:r>
        <w:t>filled</w:t>
      </w:r>
      <w:r>
        <w:rPr>
          <w:spacing w:val="-3"/>
        </w:rPr>
        <w:t xml:space="preserve"> </w:t>
      </w:r>
      <w:r>
        <w:t>for</w:t>
      </w:r>
      <w:r>
        <w:rPr>
          <w:spacing w:val="-3"/>
        </w:rPr>
        <w:t xml:space="preserve"> </w:t>
      </w:r>
      <w:r>
        <w:t>Part</w:t>
      </w:r>
      <w:r>
        <w:rPr>
          <w:spacing w:val="-3"/>
        </w:rPr>
        <w:t xml:space="preserve"> </w:t>
      </w:r>
      <w:r>
        <w:t>D-covered</w:t>
      </w:r>
      <w:r>
        <w:rPr>
          <w:spacing w:val="-3"/>
        </w:rPr>
        <w:t xml:space="preserve"> </w:t>
      </w:r>
      <w:r>
        <w:t>drugs</w:t>
      </w:r>
      <w:r>
        <w:rPr>
          <w:spacing w:val="-3"/>
        </w:rPr>
        <w:t xml:space="preserve"> </w:t>
      </w:r>
      <w:r>
        <w:t>for the members in column d.</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g</w:t>
      </w:r>
      <w:r>
        <w:rPr>
          <w:rFonts w:ascii="Arial" w:hAnsi="Arial"/>
          <w:b/>
          <w:spacing w:val="-3"/>
          <w:sz w:val="21"/>
        </w:rPr>
        <w:t xml:space="preserve"> </w:t>
      </w:r>
      <w:r>
        <w:rPr>
          <w:rFonts w:ascii="Arial" w:hAnsi="Arial"/>
          <w:b/>
          <w:sz w:val="21"/>
        </w:rPr>
        <w:t>–</w:t>
      </w:r>
      <w:r>
        <w:rPr>
          <w:rFonts w:ascii="Arial" w:hAnsi="Arial"/>
          <w:b/>
          <w:spacing w:val="-6"/>
          <w:sz w:val="21"/>
        </w:rPr>
        <w:t xml:space="preserve"> </w:t>
      </w:r>
      <w:r>
        <w:rPr>
          <w:rFonts w:ascii="Arial" w:hAnsi="Arial"/>
          <w:b/>
          <w:sz w:val="21"/>
        </w:rPr>
        <w:t>Total</w:t>
      </w:r>
      <w:r>
        <w:rPr>
          <w:rFonts w:ascii="Arial" w:hAnsi="Arial"/>
          <w:b/>
          <w:spacing w:val="-4"/>
          <w:sz w:val="21"/>
        </w:rPr>
        <w:t xml:space="preserve"> </w:t>
      </w:r>
      <w:r>
        <w:rPr>
          <w:rFonts w:ascii="Arial" w:hAnsi="Arial"/>
          <w:b/>
          <w:sz w:val="21"/>
        </w:rPr>
        <w:t>Allowed</w:t>
      </w:r>
      <w:r>
        <w:rPr>
          <w:rFonts w:ascii="Arial" w:hAnsi="Arial"/>
          <w:b/>
          <w:spacing w:val="-2"/>
          <w:sz w:val="21"/>
        </w:rPr>
        <w:t xml:space="preserve"> Dollars</w:t>
      </w:r>
    </w:p>
    <w:p>
      <w:pPr>
        <w:pStyle w:val="BodyText"/>
        <w:ind w:left="1160" w:right="979"/>
      </w:pPr>
      <w:r>
        <w:t>Enter for each line the total allowed dollars for the prescriptions filled for the members</w:t>
      </w:r>
      <w:r>
        <w:rPr>
          <w:spacing w:val="-3"/>
        </w:rPr>
        <w:t xml:space="preserve"> </w:t>
      </w:r>
      <w:r>
        <w:t>in</w:t>
      </w:r>
      <w:r>
        <w:rPr>
          <w:spacing w:val="-3"/>
        </w:rPr>
        <w:t xml:space="preserve"> </w:t>
      </w:r>
      <w:r>
        <w:t>column</w:t>
      </w:r>
      <w:r>
        <w:rPr>
          <w:spacing w:val="-3"/>
        </w:rPr>
        <w:t xml:space="preserve"> </w:t>
      </w:r>
      <w:r>
        <w:t>d.</w:t>
      </w:r>
      <w:r>
        <w:rPr>
          <w:spacing w:val="-2"/>
        </w:rPr>
        <w:t xml:space="preserve"> </w:t>
      </w:r>
      <w:r>
        <w:t>Total</w:t>
      </w:r>
      <w:r>
        <w:rPr>
          <w:spacing w:val="-3"/>
        </w:rPr>
        <w:t xml:space="preserve"> </w:t>
      </w:r>
      <w:r>
        <w:t>allowed</w:t>
      </w:r>
      <w:r>
        <w:rPr>
          <w:spacing w:val="-3"/>
        </w:rPr>
        <w:t xml:space="preserve"> </w:t>
      </w:r>
      <w:r>
        <w:t>dollars</w:t>
      </w:r>
      <w:r>
        <w:rPr>
          <w:spacing w:val="-3"/>
        </w:rPr>
        <w:t xml:space="preserve"> </w:t>
      </w:r>
      <w:r>
        <w:t>are</w:t>
      </w:r>
      <w:r>
        <w:rPr>
          <w:spacing w:val="-4"/>
        </w:rPr>
        <w:t xml:space="preserve"> </w:t>
      </w:r>
      <w:r>
        <w:t>defined</w:t>
      </w:r>
      <w:r>
        <w:rPr>
          <w:spacing w:val="-3"/>
        </w:rPr>
        <w:t xml:space="preserve"> </w:t>
      </w:r>
      <w:r>
        <w:t>as</w:t>
      </w:r>
      <w:r>
        <w:rPr>
          <w:spacing w:val="-3"/>
        </w:rPr>
        <w:t xml:space="preserve"> </w:t>
      </w:r>
      <w:r>
        <w:t>ingredient</w:t>
      </w:r>
      <w:r>
        <w:rPr>
          <w:spacing w:val="-3"/>
        </w:rPr>
        <w:t xml:space="preserve"> </w:t>
      </w:r>
      <w:r>
        <w:t>cost</w:t>
      </w:r>
      <w:r>
        <w:rPr>
          <w:spacing w:val="-1"/>
        </w:rPr>
        <w:t xml:space="preserve"> </w:t>
      </w:r>
      <w:r>
        <w:t>plus dispensing</w:t>
      </w:r>
      <w:r>
        <w:rPr>
          <w:spacing w:val="-4"/>
        </w:rPr>
        <w:t xml:space="preserve"> </w:t>
      </w:r>
      <w:r>
        <w:t>fee,</w:t>
      </w:r>
      <w:r>
        <w:rPr>
          <w:spacing w:val="-4"/>
        </w:rPr>
        <w:t xml:space="preserve"> </w:t>
      </w:r>
      <w:r>
        <w:t>plus</w:t>
      </w:r>
      <w:r>
        <w:rPr>
          <w:spacing w:val="-4"/>
        </w:rPr>
        <w:t xml:space="preserve"> </w:t>
      </w:r>
      <w:r>
        <w:t>sales</w:t>
      </w:r>
      <w:r>
        <w:rPr>
          <w:spacing w:val="-3"/>
        </w:rPr>
        <w:t xml:space="preserve"> </w:t>
      </w:r>
      <w:r>
        <w:t>tax</w:t>
      </w:r>
      <w:r>
        <w:rPr>
          <w:spacing w:val="-4"/>
        </w:rPr>
        <w:t xml:space="preserve"> </w:t>
      </w:r>
      <w:r>
        <w:t>where</w:t>
      </w:r>
      <w:r>
        <w:rPr>
          <w:spacing w:val="-4"/>
        </w:rPr>
        <w:t xml:space="preserve"> </w:t>
      </w:r>
      <w:r>
        <w:t>applicable,</w:t>
      </w:r>
      <w:r>
        <w:rPr>
          <w:spacing w:val="-3"/>
        </w:rPr>
        <w:t xml:space="preserve"> </w:t>
      </w:r>
      <w:r>
        <w:t>plus</w:t>
      </w:r>
      <w:r>
        <w:rPr>
          <w:spacing w:val="-4"/>
        </w:rPr>
        <w:t xml:space="preserve"> </w:t>
      </w:r>
      <w:r>
        <w:t>the</w:t>
      </w:r>
      <w:r>
        <w:rPr>
          <w:spacing w:val="-5"/>
        </w:rPr>
        <w:t xml:space="preserve"> </w:t>
      </w:r>
      <w:r>
        <w:t>vaccine</w:t>
      </w:r>
      <w:r>
        <w:rPr>
          <w:spacing w:val="-3"/>
        </w:rPr>
        <w:t xml:space="preserve"> </w:t>
      </w:r>
      <w:r>
        <w:t>administration fees, prior to the application of any rebates recovered after the point-of-sale.</w:t>
      </w:r>
    </w:p>
    <w:p>
      <w:pPr>
        <w:pStyle w:val="ListParagraph"/>
        <w:numPr>
          <w:ilvl w:val="0"/>
          <w:numId w:val="10"/>
        </w:numPr>
        <w:tabs>
          <w:tab w:val="left" w:pos="1159"/>
        </w:tabs>
        <w:spacing w:before="119" w:after="0" w:line="240" w:lineRule="auto"/>
        <w:ind w:left="1159" w:right="0" w:hanging="359"/>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h</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Average</w:t>
      </w:r>
      <w:r>
        <w:rPr>
          <w:rFonts w:ascii="Arial" w:hAnsi="Arial"/>
          <w:b/>
          <w:spacing w:val="-4"/>
          <w:sz w:val="21"/>
        </w:rPr>
        <w:t xml:space="preserve"> </w:t>
      </w:r>
      <w:r>
        <w:rPr>
          <w:rFonts w:ascii="Arial" w:hAnsi="Arial"/>
          <w:b/>
          <w:sz w:val="21"/>
        </w:rPr>
        <w:t>Allowed</w:t>
      </w:r>
      <w:r>
        <w:rPr>
          <w:rFonts w:ascii="Arial" w:hAnsi="Arial"/>
          <w:b/>
          <w:spacing w:val="-7"/>
          <w:sz w:val="21"/>
        </w:rPr>
        <w:t xml:space="preserve"> </w:t>
      </w:r>
      <w:r>
        <w:rPr>
          <w:rFonts w:ascii="Arial" w:hAnsi="Arial"/>
          <w:b/>
          <w:sz w:val="21"/>
        </w:rPr>
        <w:t>Amount</w:t>
      </w:r>
      <w:r>
        <w:rPr>
          <w:rFonts w:ascii="Arial" w:hAnsi="Arial"/>
          <w:b/>
          <w:spacing w:val="-4"/>
          <w:sz w:val="21"/>
        </w:rPr>
        <w:t xml:space="preserve"> </w:t>
      </w:r>
      <w:r>
        <w:rPr>
          <w:rFonts w:ascii="Arial" w:hAnsi="Arial"/>
          <w:b/>
          <w:sz w:val="21"/>
        </w:rPr>
        <w:t>per</w:t>
      </w:r>
      <w:r>
        <w:rPr>
          <w:rFonts w:ascii="Arial" w:hAnsi="Arial"/>
          <w:b/>
          <w:spacing w:val="-5"/>
          <w:sz w:val="21"/>
        </w:rPr>
        <w:t xml:space="preserve"> </w:t>
      </w:r>
      <w:r>
        <w:rPr>
          <w:rFonts w:ascii="Arial" w:hAnsi="Arial"/>
          <w:b/>
          <w:spacing w:val="-2"/>
          <w:sz w:val="21"/>
        </w:rPr>
        <w:t>Member</w:t>
      </w:r>
    </w:p>
    <w:p>
      <w:pPr>
        <w:pStyle w:val="BodyText"/>
        <w:ind w:left="1160" w:right="1649"/>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column</w:t>
      </w:r>
      <w:r>
        <w:rPr>
          <w:spacing w:val="-3"/>
        </w:rPr>
        <w:t xml:space="preserve"> </w:t>
      </w:r>
      <w:r>
        <w:t>g</w:t>
      </w:r>
      <w:r>
        <w:rPr>
          <w:spacing w:val="-3"/>
        </w:rPr>
        <w:t xml:space="preserve"> </w:t>
      </w:r>
      <w:r>
        <w:t>divided</w:t>
      </w:r>
      <w:r>
        <w:rPr>
          <w:spacing w:val="-3"/>
        </w:rPr>
        <w:t xml:space="preserve"> </w:t>
      </w:r>
      <w:r>
        <w:t>by column d for each line.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i</w:t>
      </w:r>
      <w:r>
        <w:rPr>
          <w:rFonts w:ascii="Arial" w:hAnsi="Arial"/>
          <w:b/>
          <w:spacing w:val="-6"/>
          <w:sz w:val="21"/>
        </w:rPr>
        <w:t xml:space="preserve"> </w:t>
      </w:r>
      <w:r>
        <w:rPr>
          <w:rFonts w:ascii="Arial" w:hAnsi="Arial"/>
          <w:b/>
          <w:sz w:val="21"/>
        </w:rPr>
        <w:t>–</w:t>
      </w:r>
      <w:r>
        <w:rPr>
          <w:rFonts w:ascii="Arial" w:hAnsi="Arial"/>
          <w:b/>
          <w:spacing w:val="-4"/>
          <w:sz w:val="21"/>
        </w:rPr>
        <w:t xml:space="preserve"> </w:t>
      </w:r>
      <w:r>
        <w:rPr>
          <w:rFonts w:ascii="Arial" w:hAnsi="Arial"/>
          <w:b/>
          <w:sz w:val="21"/>
        </w:rPr>
        <w:t>Average</w:t>
      </w:r>
      <w:r>
        <w:rPr>
          <w:rFonts w:ascii="Arial" w:hAnsi="Arial"/>
          <w:b/>
          <w:spacing w:val="-4"/>
          <w:sz w:val="21"/>
        </w:rPr>
        <w:t xml:space="preserve"> </w:t>
      </w:r>
      <w:r>
        <w:rPr>
          <w:rFonts w:ascii="Arial" w:hAnsi="Arial"/>
          <w:b/>
          <w:sz w:val="21"/>
        </w:rPr>
        <w:t>Paid</w:t>
      </w:r>
      <w:r>
        <w:rPr>
          <w:rFonts w:ascii="Arial" w:hAnsi="Arial"/>
          <w:b/>
          <w:spacing w:val="-3"/>
          <w:sz w:val="21"/>
        </w:rPr>
        <w:t xml:space="preserve"> </w:t>
      </w:r>
      <w:r>
        <w:rPr>
          <w:rFonts w:ascii="Arial" w:hAnsi="Arial"/>
          <w:b/>
          <w:sz w:val="21"/>
        </w:rPr>
        <w:t>Amount</w:t>
      </w:r>
      <w:r>
        <w:rPr>
          <w:rFonts w:ascii="Arial" w:hAnsi="Arial"/>
          <w:b/>
          <w:spacing w:val="-4"/>
          <w:sz w:val="21"/>
        </w:rPr>
        <w:t xml:space="preserve"> </w:t>
      </w:r>
      <w:r>
        <w:rPr>
          <w:rFonts w:ascii="Arial" w:hAnsi="Arial"/>
          <w:b/>
          <w:sz w:val="21"/>
        </w:rPr>
        <w:t>per</w:t>
      </w:r>
      <w:r>
        <w:rPr>
          <w:rFonts w:ascii="Arial" w:hAnsi="Arial"/>
          <w:b/>
          <w:spacing w:val="-5"/>
          <w:sz w:val="21"/>
        </w:rPr>
        <w:t xml:space="preserve"> </w:t>
      </w:r>
      <w:r>
        <w:rPr>
          <w:rFonts w:ascii="Arial" w:hAnsi="Arial"/>
          <w:b/>
          <w:spacing w:val="-2"/>
          <w:sz w:val="21"/>
        </w:rPr>
        <w:t>Member</w:t>
      </w:r>
    </w:p>
    <w:p>
      <w:pPr>
        <w:pStyle w:val="BodyText"/>
        <w:ind w:left="1160" w:right="979"/>
      </w:pPr>
      <w:r>
        <w:t>Enter the result of dividing the total dollars paid by the plan for the members in column</w:t>
      </w:r>
      <w:r>
        <w:rPr>
          <w:spacing w:val="-3"/>
        </w:rPr>
        <w:t xml:space="preserve"> </w:t>
      </w:r>
      <w:r>
        <w:t>d</w:t>
      </w:r>
      <w:r>
        <w:rPr>
          <w:spacing w:val="-3"/>
        </w:rPr>
        <w:t xml:space="preserve"> </w:t>
      </w:r>
      <w:r>
        <w:t>by</w:t>
      </w:r>
      <w:r>
        <w:rPr>
          <w:spacing w:val="-3"/>
        </w:rPr>
        <w:t xml:space="preserve"> </w:t>
      </w:r>
      <w:r>
        <w:t>the</w:t>
      </w:r>
      <w:r>
        <w:rPr>
          <w:spacing w:val="-3"/>
        </w:rPr>
        <w:t xml:space="preserve"> </w:t>
      </w:r>
      <w:r>
        <w:t>number</w:t>
      </w:r>
      <w:r>
        <w:rPr>
          <w:spacing w:val="-2"/>
        </w:rPr>
        <w:t xml:space="preserve"> </w:t>
      </w:r>
      <w:r>
        <w:t>of</w:t>
      </w:r>
      <w:r>
        <w:rPr>
          <w:spacing w:val="-3"/>
        </w:rPr>
        <w:t xml:space="preserve"> </w:t>
      </w:r>
      <w:r>
        <w:t>members</w:t>
      </w:r>
      <w:r>
        <w:rPr>
          <w:spacing w:val="-3"/>
        </w:rPr>
        <w:t xml:space="preserve"> </w:t>
      </w:r>
      <w:r>
        <w:t>in</w:t>
      </w:r>
      <w:r>
        <w:rPr>
          <w:spacing w:val="-3"/>
        </w:rPr>
        <w:t xml:space="preserve"> </w:t>
      </w:r>
      <w:r>
        <w:t>column</w:t>
      </w:r>
      <w:r>
        <w:rPr>
          <w:spacing w:val="-3"/>
        </w:rPr>
        <w:t xml:space="preserve"> </w:t>
      </w:r>
      <w:r>
        <w:t>d. Total</w:t>
      </w:r>
      <w:r>
        <w:rPr>
          <w:spacing w:val="-3"/>
        </w:rPr>
        <w:t xml:space="preserve"> </w:t>
      </w:r>
      <w:r>
        <w:t>paid</w:t>
      </w:r>
      <w:r>
        <w:rPr>
          <w:spacing w:val="-3"/>
        </w:rPr>
        <w:t xml:space="preserve"> </w:t>
      </w:r>
      <w:r>
        <w:t>dollars</w:t>
      </w:r>
      <w:r>
        <w:rPr>
          <w:spacing w:val="-3"/>
        </w:rPr>
        <w:t xml:space="preserve"> </w:t>
      </w:r>
      <w:r>
        <w:t>are</w:t>
      </w:r>
      <w:r>
        <w:rPr>
          <w:spacing w:val="-4"/>
        </w:rPr>
        <w:t xml:space="preserve"> </w:t>
      </w:r>
      <w:r>
        <w:t>defined as</w:t>
      </w:r>
      <w:r>
        <w:rPr>
          <w:spacing w:val="-1"/>
        </w:rPr>
        <w:t xml:space="preserve"> </w:t>
      </w:r>
      <w:r>
        <w:t>basic</w:t>
      </w:r>
      <w:r>
        <w:rPr>
          <w:spacing w:val="-1"/>
        </w:rPr>
        <w:t xml:space="preserve"> </w:t>
      </w:r>
      <w:r>
        <w:t>and</w:t>
      </w:r>
      <w:r>
        <w:rPr>
          <w:spacing w:val="-1"/>
        </w:rPr>
        <w:t xml:space="preserve"> </w:t>
      </w:r>
      <w:r>
        <w:t>supplemental</w:t>
      </w:r>
      <w:r>
        <w:rPr>
          <w:spacing w:val="-1"/>
        </w:rPr>
        <w:t xml:space="preserve"> </w:t>
      </w:r>
      <w:r>
        <w:t>payments</w:t>
      </w:r>
      <w:r>
        <w:rPr>
          <w:spacing w:val="-1"/>
        </w:rPr>
        <w:t xml:space="preserve"> </w:t>
      </w:r>
      <w:r>
        <w:t>for Part</w:t>
      </w:r>
      <w:r>
        <w:rPr>
          <w:spacing w:val="-1"/>
        </w:rPr>
        <w:t xml:space="preserve"> </w:t>
      </w:r>
      <w:r>
        <w:t>D-covered</w:t>
      </w:r>
      <w:r>
        <w:rPr>
          <w:spacing w:val="-1"/>
        </w:rPr>
        <w:t xml:space="preserve"> </w:t>
      </w:r>
      <w:r>
        <w:t>drugs and</w:t>
      </w:r>
      <w:r>
        <w:rPr>
          <w:spacing w:val="-1"/>
        </w:rPr>
        <w:t xml:space="preserve"> </w:t>
      </w:r>
      <w:r>
        <w:t>are</w:t>
      </w:r>
      <w:r>
        <w:rPr>
          <w:spacing w:val="-2"/>
        </w:rPr>
        <w:t xml:space="preserve"> </w:t>
      </w:r>
      <w:r>
        <w:t>not</w:t>
      </w:r>
      <w:r>
        <w:rPr>
          <w:spacing w:val="-1"/>
        </w:rPr>
        <w:t xml:space="preserve"> </w:t>
      </w:r>
      <w:r>
        <w:t>net</w:t>
      </w:r>
      <w:r>
        <w:rPr>
          <w:spacing w:val="-1"/>
        </w:rPr>
        <w:t xml:space="preserve"> </w:t>
      </w:r>
      <w:r>
        <w:t>of rebates, low-income subsidy payments, or federal reinsurance.</w:t>
      </w:r>
    </w:p>
    <w:p>
      <w:pPr>
        <w:pStyle w:val="ListParagraph"/>
        <w:numPr>
          <w:ilvl w:val="0"/>
          <w:numId w:val="10"/>
        </w:numPr>
        <w:tabs>
          <w:tab w:val="left" w:pos="1159"/>
        </w:tabs>
        <w:spacing w:before="122" w:after="0" w:line="240" w:lineRule="auto"/>
        <w:ind w:left="1159"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j</w:t>
      </w:r>
      <w:r>
        <w:rPr>
          <w:rFonts w:ascii="Arial" w:hAnsi="Arial"/>
          <w:b/>
          <w:spacing w:val="-6"/>
          <w:sz w:val="21"/>
        </w:rPr>
        <w:t xml:space="preserve"> </w:t>
      </w:r>
      <w:r>
        <w:rPr>
          <w:rFonts w:ascii="Arial" w:hAnsi="Arial"/>
          <w:b/>
          <w:sz w:val="21"/>
        </w:rPr>
        <w:t>–</w:t>
      </w:r>
      <w:r>
        <w:rPr>
          <w:rFonts w:ascii="Arial" w:hAnsi="Arial"/>
          <w:b/>
          <w:spacing w:val="-4"/>
          <w:sz w:val="21"/>
        </w:rPr>
        <w:t xml:space="preserve"> </w:t>
      </w:r>
      <w:r>
        <w:rPr>
          <w:rFonts w:ascii="Arial" w:hAnsi="Arial"/>
          <w:b/>
          <w:sz w:val="21"/>
        </w:rPr>
        <w:t>Average</w:t>
      </w:r>
      <w:r>
        <w:rPr>
          <w:rFonts w:ascii="Arial" w:hAnsi="Arial"/>
          <w:b/>
          <w:spacing w:val="-6"/>
          <w:sz w:val="21"/>
        </w:rPr>
        <w:t xml:space="preserve"> </w:t>
      </w:r>
      <w:r>
        <w:rPr>
          <w:rFonts w:ascii="Arial" w:hAnsi="Arial"/>
          <w:b/>
          <w:sz w:val="21"/>
        </w:rPr>
        <w:t>Cost</w:t>
      </w:r>
      <w:r>
        <w:rPr>
          <w:rFonts w:ascii="Arial" w:hAnsi="Arial"/>
          <w:b/>
          <w:spacing w:val="-5"/>
          <w:sz w:val="21"/>
        </w:rPr>
        <w:t xml:space="preserve"> </w:t>
      </w:r>
      <w:r>
        <w:rPr>
          <w:rFonts w:ascii="Arial" w:hAnsi="Arial"/>
          <w:b/>
          <w:sz w:val="21"/>
        </w:rPr>
        <w:t>Sharing</w:t>
      </w:r>
      <w:r>
        <w:rPr>
          <w:rFonts w:ascii="Arial" w:hAnsi="Arial"/>
          <w:b/>
          <w:spacing w:val="-3"/>
          <w:sz w:val="21"/>
        </w:rPr>
        <w:t xml:space="preserve"> </w:t>
      </w:r>
      <w:r>
        <w:rPr>
          <w:rFonts w:ascii="Arial" w:hAnsi="Arial"/>
          <w:b/>
          <w:sz w:val="21"/>
        </w:rPr>
        <w:t>per</w:t>
      </w:r>
      <w:r>
        <w:rPr>
          <w:rFonts w:ascii="Arial" w:hAnsi="Arial"/>
          <w:b/>
          <w:spacing w:val="-5"/>
          <w:sz w:val="21"/>
        </w:rPr>
        <w:t xml:space="preserve"> </w:t>
      </w:r>
      <w:r>
        <w:rPr>
          <w:rFonts w:ascii="Arial" w:hAnsi="Arial"/>
          <w:b/>
          <w:spacing w:val="-2"/>
          <w:sz w:val="21"/>
        </w:rPr>
        <w:t>Member</w:t>
      </w:r>
    </w:p>
    <w:p>
      <w:pPr>
        <w:pStyle w:val="BodyText"/>
        <w:spacing w:before="118"/>
        <w:ind w:left="1160" w:right="813"/>
      </w:pPr>
      <w:r>
        <w:t>Enter</w:t>
      </w:r>
      <w:r>
        <w:rPr>
          <w:spacing w:val="-4"/>
        </w:rPr>
        <w:t xml:space="preserve"> </w:t>
      </w:r>
      <w:r>
        <w:t>for</w:t>
      </w:r>
      <w:r>
        <w:rPr>
          <w:spacing w:val="-3"/>
        </w:rPr>
        <w:t xml:space="preserve"> </w:t>
      </w:r>
      <w:r>
        <w:t>each</w:t>
      </w:r>
      <w:r>
        <w:rPr>
          <w:spacing w:val="-3"/>
        </w:rPr>
        <w:t xml:space="preserve"> </w:t>
      </w:r>
      <w:r>
        <w:t>line</w:t>
      </w:r>
      <w:r>
        <w:rPr>
          <w:spacing w:val="-3"/>
        </w:rPr>
        <w:t xml:space="preserve"> </w:t>
      </w:r>
      <w:r>
        <w:t>the</w:t>
      </w:r>
      <w:r>
        <w:rPr>
          <w:spacing w:val="-2"/>
        </w:rPr>
        <w:t xml:space="preserve"> </w:t>
      </w:r>
      <w:r>
        <w:t>average</w:t>
      </w:r>
      <w:r>
        <w:rPr>
          <w:spacing w:val="-2"/>
        </w:rPr>
        <w:t xml:space="preserve"> </w:t>
      </w:r>
      <w:r>
        <w:t>cost</w:t>
      </w:r>
      <w:r>
        <w:rPr>
          <w:spacing w:val="-3"/>
        </w:rPr>
        <w:t xml:space="preserve"> </w:t>
      </w:r>
      <w:r>
        <w:t>sharing</w:t>
      </w:r>
      <w:r>
        <w:rPr>
          <w:spacing w:val="-3"/>
        </w:rPr>
        <w:t xml:space="preserve"> </w:t>
      </w:r>
      <w:r>
        <w:t>per</w:t>
      </w:r>
      <w:r>
        <w:rPr>
          <w:spacing w:val="-3"/>
        </w:rPr>
        <w:t xml:space="preserve"> </w:t>
      </w:r>
      <w:r>
        <w:t>member</w:t>
      </w:r>
      <w:r>
        <w:rPr>
          <w:spacing w:val="-5"/>
        </w:rPr>
        <w:t xml:space="preserve"> </w:t>
      </w:r>
      <w:r>
        <w:t>for</w:t>
      </w:r>
      <w:r>
        <w:rPr>
          <w:spacing w:val="-3"/>
        </w:rPr>
        <w:t xml:space="preserve"> </w:t>
      </w:r>
      <w:r>
        <w:t>Part</w:t>
      </w:r>
      <w:r>
        <w:rPr>
          <w:spacing w:val="-3"/>
        </w:rPr>
        <w:t xml:space="preserve"> </w:t>
      </w:r>
      <w:r>
        <w:t>D-covered</w:t>
      </w:r>
      <w:r>
        <w:rPr>
          <w:spacing w:val="-1"/>
        </w:rPr>
        <w:t xml:space="preserve"> </w:t>
      </w:r>
      <w:r>
        <w:t>drugs for the members in column d.</w:t>
      </w:r>
    </w:p>
    <w:p>
      <w:pPr>
        <w:pStyle w:val="ListParagraph"/>
        <w:numPr>
          <w:ilvl w:val="0"/>
          <w:numId w:val="10"/>
        </w:numPr>
        <w:tabs>
          <w:tab w:val="left" w:pos="1159"/>
        </w:tabs>
        <w:spacing w:before="120"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k</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Supplemental</w:t>
      </w:r>
      <w:r>
        <w:rPr>
          <w:rFonts w:ascii="Arial" w:hAnsi="Arial"/>
          <w:b/>
          <w:spacing w:val="-6"/>
          <w:sz w:val="21"/>
        </w:rPr>
        <w:t xml:space="preserve"> </w:t>
      </w:r>
      <w:r>
        <w:rPr>
          <w:rFonts w:ascii="Arial" w:hAnsi="Arial"/>
          <w:b/>
          <w:sz w:val="21"/>
        </w:rPr>
        <w:t>Cost</w:t>
      </w:r>
      <w:r>
        <w:rPr>
          <w:rFonts w:ascii="Arial" w:hAnsi="Arial"/>
          <w:b/>
          <w:spacing w:val="-7"/>
          <w:sz w:val="21"/>
        </w:rPr>
        <w:t xml:space="preserve"> </w:t>
      </w:r>
      <w:r>
        <w:rPr>
          <w:rFonts w:ascii="Arial" w:hAnsi="Arial"/>
          <w:b/>
          <w:sz w:val="21"/>
        </w:rPr>
        <w:t>Sharing</w:t>
      </w:r>
      <w:r>
        <w:rPr>
          <w:rFonts w:ascii="Arial" w:hAnsi="Arial"/>
          <w:b/>
          <w:spacing w:val="-6"/>
          <w:sz w:val="21"/>
        </w:rPr>
        <w:t xml:space="preserve"> </w:t>
      </w:r>
      <w:r>
        <w:rPr>
          <w:rFonts w:ascii="Arial" w:hAnsi="Arial"/>
          <w:b/>
          <w:sz w:val="21"/>
        </w:rPr>
        <w:t>Reduction</w:t>
      </w:r>
      <w:r>
        <w:rPr>
          <w:rFonts w:ascii="Arial" w:hAnsi="Arial"/>
          <w:b/>
          <w:spacing w:val="-4"/>
          <w:sz w:val="21"/>
        </w:rPr>
        <w:t xml:space="preserve"> </w:t>
      </w:r>
      <w:r>
        <w:rPr>
          <w:rFonts w:ascii="Arial" w:hAnsi="Arial"/>
          <w:b/>
          <w:sz w:val="21"/>
        </w:rPr>
        <w:t>per</w:t>
      </w:r>
      <w:r>
        <w:rPr>
          <w:rFonts w:ascii="Arial" w:hAnsi="Arial"/>
          <w:b/>
          <w:spacing w:val="-5"/>
          <w:sz w:val="21"/>
        </w:rPr>
        <w:t xml:space="preserve"> </w:t>
      </w:r>
      <w:r>
        <w:rPr>
          <w:rFonts w:ascii="Arial" w:hAnsi="Arial"/>
          <w:b/>
          <w:spacing w:val="-2"/>
          <w:sz w:val="21"/>
        </w:rPr>
        <w:t>Member</w:t>
      </w:r>
    </w:p>
    <w:p>
      <w:pPr>
        <w:pStyle w:val="BodyText"/>
        <w:spacing w:before="121"/>
        <w:ind w:left="1160" w:right="515"/>
      </w:pPr>
      <w:r>
        <w:t>Enter</w:t>
      </w:r>
      <w:r>
        <w:rPr>
          <w:spacing w:val="-4"/>
        </w:rPr>
        <w:t xml:space="preserve"> </w:t>
      </w:r>
      <w:r>
        <w:t>for</w:t>
      </w:r>
      <w:r>
        <w:rPr>
          <w:spacing w:val="-3"/>
        </w:rPr>
        <w:t xml:space="preserve"> </w:t>
      </w:r>
      <w:r>
        <w:t>each</w:t>
      </w:r>
      <w:r>
        <w:rPr>
          <w:spacing w:val="-3"/>
        </w:rPr>
        <w:t xml:space="preserve"> </w:t>
      </w:r>
      <w:r>
        <w:t>line</w:t>
      </w:r>
      <w:r>
        <w:rPr>
          <w:spacing w:val="-3"/>
        </w:rPr>
        <w:t xml:space="preserve"> </w:t>
      </w:r>
      <w:r>
        <w:t>the</w:t>
      </w:r>
      <w:r>
        <w:rPr>
          <w:spacing w:val="-2"/>
        </w:rPr>
        <w:t xml:space="preserve"> </w:t>
      </w:r>
      <w:r>
        <w:t>average</w:t>
      </w:r>
      <w:r>
        <w:rPr>
          <w:spacing w:val="-4"/>
        </w:rPr>
        <w:t xml:space="preserve"> </w:t>
      </w:r>
      <w:r>
        <w:t>value</w:t>
      </w:r>
      <w:r>
        <w:rPr>
          <w:spacing w:val="-3"/>
        </w:rPr>
        <w:t xml:space="preserve"> </w:t>
      </w:r>
      <w:r>
        <w:t>of</w:t>
      </w:r>
      <w:r>
        <w:rPr>
          <w:spacing w:val="-5"/>
        </w:rPr>
        <w:t xml:space="preserve"> </w:t>
      </w:r>
      <w:r>
        <w:t>supplemental</w:t>
      </w:r>
      <w:r>
        <w:rPr>
          <w:spacing w:val="-3"/>
        </w:rPr>
        <w:t xml:space="preserve"> </w:t>
      </w:r>
      <w:r>
        <w:t>cost sharing</w:t>
      </w:r>
      <w:r>
        <w:rPr>
          <w:spacing w:val="-3"/>
        </w:rPr>
        <w:t xml:space="preserve"> </w:t>
      </w:r>
      <w:r>
        <w:t>per</w:t>
      </w:r>
      <w:r>
        <w:rPr>
          <w:spacing w:val="-3"/>
        </w:rPr>
        <w:t xml:space="preserve"> </w:t>
      </w:r>
      <w:r>
        <w:t>member</w:t>
      </w:r>
      <w:r>
        <w:rPr>
          <w:spacing w:val="-5"/>
        </w:rPr>
        <w:t xml:space="preserve"> </w:t>
      </w:r>
      <w:r>
        <w:t>for Part D-covered drugs for members in column d.</w:t>
      </w:r>
    </w:p>
    <w:p>
      <w:pPr>
        <w:spacing w:after="0"/>
        <w:sectPr>
          <w:pgSz w:w="12240" w:h="15840"/>
          <w:pgMar w:top="1340" w:right="1000" w:bottom="1080" w:left="1360" w:header="727" w:footer="891"/>
          <w:cols w:space="720"/>
        </w:sectPr>
      </w:pPr>
    </w:p>
    <w:p>
      <w:pPr>
        <w:pStyle w:val="ListParagraph"/>
        <w:numPr>
          <w:ilvl w:val="0"/>
          <w:numId w:val="10"/>
        </w:numPr>
        <w:tabs>
          <w:tab w:val="left" w:pos="1159"/>
        </w:tabs>
        <w:spacing w:before="87" w:after="0" w:line="240" w:lineRule="auto"/>
        <w:ind w:left="1159" w:right="0" w:hanging="359"/>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l</w:t>
      </w:r>
      <w:r>
        <w:rPr>
          <w:rFonts w:ascii="Arial" w:hAnsi="Arial"/>
          <w:b/>
          <w:spacing w:val="-8"/>
          <w:sz w:val="21"/>
        </w:rPr>
        <w:t xml:space="preserve"> </w:t>
      </w:r>
      <w:r>
        <w:rPr>
          <w:rFonts w:ascii="Arial" w:hAnsi="Arial"/>
          <w:b/>
          <w:sz w:val="21"/>
        </w:rPr>
        <w:t>–</w:t>
      </w:r>
      <w:r>
        <w:rPr>
          <w:rFonts w:ascii="Arial" w:hAnsi="Arial"/>
          <w:b/>
          <w:spacing w:val="-6"/>
          <w:sz w:val="21"/>
        </w:rPr>
        <w:t xml:space="preserve"> </w:t>
      </w:r>
      <w:r>
        <w:rPr>
          <w:rFonts w:ascii="Arial" w:hAnsi="Arial"/>
          <w:b/>
          <w:sz w:val="21"/>
        </w:rPr>
        <w:t>Reimbursement</w:t>
      </w:r>
      <w:r>
        <w:rPr>
          <w:rFonts w:ascii="Arial" w:hAnsi="Arial"/>
          <w:b/>
          <w:spacing w:val="-6"/>
          <w:sz w:val="21"/>
        </w:rPr>
        <w:t xml:space="preserve"> </w:t>
      </w:r>
      <w:r>
        <w:rPr>
          <w:rFonts w:ascii="Arial" w:hAnsi="Arial"/>
          <w:b/>
          <w:sz w:val="21"/>
        </w:rPr>
        <w:t>for</w:t>
      </w:r>
      <w:r>
        <w:rPr>
          <w:rFonts w:ascii="Arial" w:hAnsi="Arial"/>
          <w:b/>
          <w:spacing w:val="-6"/>
          <w:sz w:val="21"/>
        </w:rPr>
        <w:t xml:space="preserve"> </w:t>
      </w:r>
      <w:r>
        <w:rPr>
          <w:rFonts w:ascii="Arial" w:hAnsi="Arial"/>
          <w:b/>
          <w:sz w:val="21"/>
        </w:rPr>
        <w:t>Low-Income</w:t>
      </w:r>
      <w:r>
        <w:rPr>
          <w:rFonts w:ascii="Arial" w:hAnsi="Arial"/>
          <w:b/>
          <w:spacing w:val="-7"/>
          <w:sz w:val="21"/>
        </w:rPr>
        <w:t xml:space="preserve"> </w:t>
      </w:r>
      <w:r>
        <w:rPr>
          <w:rFonts w:ascii="Arial" w:hAnsi="Arial"/>
          <w:b/>
          <w:sz w:val="21"/>
        </w:rPr>
        <w:t>Cost</w:t>
      </w:r>
      <w:r>
        <w:rPr>
          <w:rFonts w:ascii="Arial" w:hAnsi="Arial"/>
          <w:b/>
          <w:spacing w:val="-5"/>
          <w:sz w:val="21"/>
        </w:rPr>
        <w:t xml:space="preserve"> </w:t>
      </w:r>
      <w:r>
        <w:rPr>
          <w:rFonts w:ascii="Arial" w:hAnsi="Arial"/>
          <w:b/>
          <w:sz w:val="21"/>
        </w:rPr>
        <w:t>Sharing</w:t>
      </w:r>
      <w:r>
        <w:rPr>
          <w:rFonts w:ascii="Arial" w:hAnsi="Arial"/>
          <w:b/>
          <w:spacing w:val="-5"/>
          <w:sz w:val="21"/>
        </w:rPr>
        <w:t xml:space="preserve"> </w:t>
      </w:r>
      <w:r>
        <w:rPr>
          <w:rFonts w:ascii="Arial" w:hAnsi="Arial"/>
          <w:b/>
          <w:sz w:val="21"/>
        </w:rPr>
        <w:t>Subsidy</w:t>
      </w:r>
      <w:r>
        <w:rPr>
          <w:rFonts w:ascii="Arial" w:hAnsi="Arial"/>
          <w:b/>
          <w:spacing w:val="-6"/>
          <w:sz w:val="21"/>
        </w:rPr>
        <w:t xml:space="preserve"> </w:t>
      </w:r>
      <w:r>
        <w:rPr>
          <w:rFonts w:ascii="Arial" w:hAnsi="Arial"/>
          <w:b/>
          <w:sz w:val="21"/>
        </w:rPr>
        <w:t>per</w:t>
      </w:r>
      <w:r>
        <w:rPr>
          <w:rFonts w:ascii="Arial" w:hAnsi="Arial"/>
          <w:b/>
          <w:spacing w:val="-6"/>
          <w:sz w:val="21"/>
        </w:rPr>
        <w:t xml:space="preserve"> </w:t>
      </w:r>
      <w:r>
        <w:rPr>
          <w:rFonts w:ascii="Arial" w:hAnsi="Arial"/>
          <w:b/>
          <w:spacing w:val="-2"/>
          <w:sz w:val="21"/>
        </w:rPr>
        <w:t>Member</w:t>
      </w:r>
    </w:p>
    <w:p>
      <w:pPr>
        <w:pStyle w:val="BodyText"/>
        <w:spacing w:before="121"/>
        <w:ind w:left="1160" w:right="904"/>
      </w:pPr>
      <w:r>
        <w:t>Enter</w:t>
      </w:r>
      <w:r>
        <w:rPr>
          <w:spacing w:val="-5"/>
        </w:rPr>
        <w:t xml:space="preserve"> </w:t>
      </w:r>
      <w:r>
        <w:t>for</w:t>
      </w:r>
      <w:r>
        <w:rPr>
          <w:spacing w:val="-4"/>
        </w:rPr>
        <w:t xml:space="preserve"> </w:t>
      </w:r>
      <w:r>
        <w:t>each</w:t>
      </w:r>
      <w:r>
        <w:rPr>
          <w:spacing w:val="-4"/>
        </w:rPr>
        <w:t xml:space="preserve"> </w:t>
      </w:r>
      <w:r>
        <w:t>line</w:t>
      </w:r>
      <w:r>
        <w:rPr>
          <w:spacing w:val="-4"/>
        </w:rPr>
        <w:t xml:space="preserve"> </w:t>
      </w:r>
      <w:r>
        <w:t>the</w:t>
      </w:r>
      <w:r>
        <w:rPr>
          <w:spacing w:val="-3"/>
        </w:rPr>
        <w:t xml:space="preserve"> </w:t>
      </w:r>
      <w:r>
        <w:t>average</w:t>
      </w:r>
      <w:r>
        <w:rPr>
          <w:spacing w:val="-5"/>
        </w:rPr>
        <w:t xml:space="preserve"> </w:t>
      </w:r>
      <w:r>
        <w:t>low-income</w:t>
      </w:r>
      <w:r>
        <w:rPr>
          <w:spacing w:val="-3"/>
        </w:rPr>
        <w:t xml:space="preserve"> </w:t>
      </w:r>
      <w:r>
        <w:t>cost</w:t>
      </w:r>
      <w:r>
        <w:rPr>
          <w:spacing w:val="-3"/>
        </w:rPr>
        <w:t xml:space="preserve"> </w:t>
      </w:r>
      <w:r>
        <w:t>sharing</w:t>
      </w:r>
      <w:r>
        <w:rPr>
          <w:spacing w:val="-4"/>
        </w:rPr>
        <w:t xml:space="preserve"> </w:t>
      </w:r>
      <w:r>
        <w:t>subsidy</w:t>
      </w:r>
      <w:r>
        <w:rPr>
          <w:spacing w:val="-4"/>
        </w:rPr>
        <w:t xml:space="preserve"> </w:t>
      </w:r>
      <w:r>
        <w:t>amount</w:t>
      </w:r>
      <w:r>
        <w:rPr>
          <w:spacing w:val="-4"/>
        </w:rPr>
        <w:t xml:space="preserve"> </w:t>
      </w:r>
      <w:r>
        <w:t>received and receivable for the members in column d.</w:t>
      </w:r>
    </w:p>
    <w:p>
      <w:pPr>
        <w:pStyle w:val="ListParagraph"/>
        <w:numPr>
          <w:ilvl w:val="0"/>
          <w:numId w:val="10"/>
        </w:numPr>
        <w:tabs>
          <w:tab w:val="left" w:pos="1159"/>
        </w:tabs>
        <w:spacing w:before="120" w:after="0" w:line="240" w:lineRule="auto"/>
        <w:ind w:left="1159" w:right="0" w:hanging="359"/>
        <w:jc w:val="left"/>
        <w:rPr>
          <w:rFonts w:ascii="Arial" w:hAnsi="Arial"/>
          <w:b/>
          <w:sz w:val="21"/>
        </w:rPr>
      </w:pPr>
      <w:r>
        <w:rPr>
          <w:rFonts w:ascii="Arial" w:hAnsi="Arial"/>
          <w:b/>
          <w:sz w:val="21"/>
        </w:rPr>
        <w:t>Column</w:t>
      </w:r>
      <w:r>
        <w:rPr>
          <w:rFonts w:ascii="Arial" w:hAnsi="Arial"/>
          <w:b/>
          <w:spacing w:val="-7"/>
          <w:sz w:val="21"/>
        </w:rPr>
        <w:t xml:space="preserve"> </w:t>
      </w:r>
      <w:r>
        <w:rPr>
          <w:rFonts w:ascii="Arial" w:hAnsi="Arial"/>
          <w:b/>
          <w:sz w:val="21"/>
        </w:rPr>
        <w:t>m</w:t>
      </w:r>
      <w:r>
        <w:rPr>
          <w:rFonts w:ascii="Arial" w:hAnsi="Arial"/>
          <w:b/>
          <w:spacing w:val="-6"/>
          <w:sz w:val="21"/>
        </w:rPr>
        <w:t xml:space="preserve"> </w:t>
      </w:r>
      <w:r>
        <w:rPr>
          <w:rFonts w:ascii="Arial" w:hAnsi="Arial"/>
          <w:b/>
          <w:sz w:val="21"/>
        </w:rPr>
        <w:t>–</w:t>
      </w:r>
      <w:r>
        <w:rPr>
          <w:rFonts w:ascii="Arial" w:hAnsi="Arial"/>
          <w:b/>
          <w:spacing w:val="-7"/>
          <w:sz w:val="21"/>
        </w:rPr>
        <w:t xml:space="preserve"> </w:t>
      </w:r>
      <w:r>
        <w:rPr>
          <w:rFonts w:ascii="Arial" w:hAnsi="Arial"/>
          <w:b/>
          <w:sz w:val="21"/>
        </w:rPr>
        <w:t>Reimbursement</w:t>
      </w:r>
      <w:r>
        <w:rPr>
          <w:rFonts w:ascii="Arial" w:hAnsi="Arial"/>
          <w:b/>
          <w:spacing w:val="-6"/>
          <w:sz w:val="21"/>
        </w:rPr>
        <w:t xml:space="preserve"> </w:t>
      </w:r>
      <w:r>
        <w:rPr>
          <w:rFonts w:ascii="Arial" w:hAnsi="Arial"/>
          <w:b/>
          <w:sz w:val="21"/>
        </w:rPr>
        <w:t>for</w:t>
      </w:r>
      <w:r>
        <w:rPr>
          <w:rFonts w:ascii="Arial" w:hAnsi="Arial"/>
          <w:b/>
          <w:spacing w:val="-5"/>
          <w:sz w:val="21"/>
        </w:rPr>
        <w:t xml:space="preserve"> </w:t>
      </w:r>
      <w:r>
        <w:rPr>
          <w:rFonts w:ascii="Arial" w:hAnsi="Arial"/>
          <w:b/>
          <w:sz w:val="21"/>
        </w:rPr>
        <w:t>Federal</w:t>
      </w:r>
      <w:r>
        <w:rPr>
          <w:rFonts w:ascii="Arial" w:hAnsi="Arial"/>
          <w:b/>
          <w:spacing w:val="-6"/>
          <w:sz w:val="21"/>
        </w:rPr>
        <w:t xml:space="preserve"> </w:t>
      </w:r>
      <w:r>
        <w:rPr>
          <w:rFonts w:ascii="Arial" w:hAnsi="Arial"/>
          <w:b/>
          <w:sz w:val="21"/>
        </w:rPr>
        <w:t>Reinsurance</w:t>
      </w:r>
      <w:r>
        <w:rPr>
          <w:rFonts w:ascii="Arial" w:hAnsi="Arial"/>
          <w:b/>
          <w:spacing w:val="-7"/>
          <w:sz w:val="21"/>
        </w:rPr>
        <w:t xml:space="preserve"> </w:t>
      </w:r>
      <w:r>
        <w:rPr>
          <w:rFonts w:ascii="Arial" w:hAnsi="Arial"/>
          <w:b/>
          <w:sz w:val="21"/>
        </w:rPr>
        <w:t>per</w:t>
      </w:r>
      <w:r>
        <w:rPr>
          <w:rFonts w:ascii="Arial" w:hAnsi="Arial"/>
          <w:b/>
          <w:spacing w:val="-6"/>
          <w:sz w:val="21"/>
        </w:rPr>
        <w:t xml:space="preserve"> </w:t>
      </w:r>
      <w:r>
        <w:rPr>
          <w:rFonts w:ascii="Arial" w:hAnsi="Arial"/>
          <w:b/>
          <w:spacing w:val="-2"/>
          <w:sz w:val="21"/>
        </w:rPr>
        <w:t>Member</w:t>
      </w:r>
    </w:p>
    <w:p>
      <w:pPr>
        <w:pStyle w:val="BodyText"/>
        <w:spacing w:before="118"/>
        <w:ind w:left="1160" w:right="1649"/>
      </w:pPr>
      <w:r>
        <w:t>Enter</w:t>
      </w:r>
      <w:r>
        <w:rPr>
          <w:spacing w:val="-6"/>
        </w:rPr>
        <w:t xml:space="preserve"> </w:t>
      </w:r>
      <w:r>
        <w:t>for</w:t>
      </w:r>
      <w:r>
        <w:rPr>
          <w:spacing w:val="-5"/>
        </w:rPr>
        <w:t xml:space="preserve"> </w:t>
      </w:r>
      <w:r>
        <w:t>each</w:t>
      </w:r>
      <w:r>
        <w:rPr>
          <w:spacing w:val="-5"/>
        </w:rPr>
        <w:t xml:space="preserve"> </w:t>
      </w:r>
      <w:r>
        <w:t>line</w:t>
      </w:r>
      <w:r>
        <w:rPr>
          <w:spacing w:val="-5"/>
        </w:rPr>
        <w:t xml:space="preserve"> </w:t>
      </w:r>
      <w:r>
        <w:t>the</w:t>
      </w:r>
      <w:r>
        <w:rPr>
          <w:spacing w:val="-4"/>
        </w:rPr>
        <w:t xml:space="preserve"> </w:t>
      </w:r>
      <w:r>
        <w:t>average</w:t>
      </w:r>
      <w:r>
        <w:rPr>
          <w:spacing w:val="-4"/>
        </w:rPr>
        <w:t xml:space="preserve"> </w:t>
      </w:r>
      <w:r>
        <w:t>federal</w:t>
      </w:r>
      <w:r>
        <w:rPr>
          <w:spacing w:val="-5"/>
        </w:rPr>
        <w:t xml:space="preserve"> </w:t>
      </w:r>
      <w:r>
        <w:t>reinsurance</w:t>
      </w:r>
      <w:r>
        <w:rPr>
          <w:spacing w:val="-4"/>
        </w:rPr>
        <w:t xml:space="preserve"> </w:t>
      </w:r>
      <w:r>
        <w:t>amount</w:t>
      </w:r>
      <w:r>
        <w:rPr>
          <w:spacing w:val="-5"/>
        </w:rPr>
        <w:t xml:space="preserve"> </w:t>
      </w:r>
      <w:r>
        <w:t>received</w:t>
      </w:r>
      <w:r>
        <w:rPr>
          <w:spacing w:val="-5"/>
        </w:rPr>
        <w:t xml:space="preserve"> </w:t>
      </w:r>
      <w:r>
        <w:t>and receivable for the members in column d.</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n</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Net</w:t>
      </w:r>
      <w:r>
        <w:rPr>
          <w:rFonts w:ascii="Arial" w:hAnsi="Arial"/>
          <w:b/>
          <w:spacing w:val="-6"/>
          <w:sz w:val="21"/>
        </w:rPr>
        <w:t xml:space="preserve"> </w:t>
      </w:r>
      <w:r>
        <w:rPr>
          <w:rFonts w:ascii="Arial" w:hAnsi="Arial"/>
          <w:b/>
          <w:sz w:val="21"/>
        </w:rPr>
        <w:t>Plan</w:t>
      </w:r>
      <w:r>
        <w:rPr>
          <w:rFonts w:ascii="Arial" w:hAnsi="Arial"/>
          <w:b/>
          <w:spacing w:val="-6"/>
          <w:sz w:val="21"/>
        </w:rPr>
        <w:t xml:space="preserve"> </w:t>
      </w:r>
      <w:r>
        <w:rPr>
          <w:rFonts w:ascii="Arial" w:hAnsi="Arial"/>
          <w:b/>
          <w:sz w:val="21"/>
        </w:rPr>
        <w:t>Responsibility</w:t>
      </w:r>
      <w:r>
        <w:rPr>
          <w:rFonts w:ascii="Arial" w:hAnsi="Arial"/>
          <w:b/>
          <w:spacing w:val="-4"/>
          <w:sz w:val="21"/>
        </w:rPr>
        <w:t xml:space="preserve"> </w:t>
      </w:r>
      <w:r>
        <w:rPr>
          <w:rFonts w:ascii="Arial" w:hAnsi="Arial"/>
          <w:b/>
          <w:sz w:val="21"/>
        </w:rPr>
        <w:t>per</w:t>
      </w:r>
      <w:r>
        <w:rPr>
          <w:rFonts w:ascii="Arial" w:hAnsi="Arial"/>
          <w:b/>
          <w:spacing w:val="-5"/>
          <w:sz w:val="21"/>
        </w:rPr>
        <w:t xml:space="preserve"> </w:t>
      </w:r>
      <w:r>
        <w:rPr>
          <w:rFonts w:ascii="Arial" w:hAnsi="Arial"/>
          <w:b/>
          <w:spacing w:val="-2"/>
          <w:sz w:val="21"/>
        </w:rPr>
        <w:t>Member</w:t>
      </w:r>
    </w:p>
    <w:p>
      <w:pPr>
        <w:pStyle w:val="BodyText"/>
        <w:ind w:left="1160" w:right="478"/>
      </w:pPr>
      <w:r>
        <w:t>The</w:t>
      </w:r>
      <w:r>
        <w:rPr>
          <w:spacing w:val="-5"/>
        </w:rPr>
        <w:t xml:space="preserve"> </w:t>
      </w:r>
      <w:r>
        <w:t>value</w:t>
      </w:r>
      <w:r>
        <w:rPr>
          <w:spacing w:val="-4"/>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column</w:t>
      </w:r>
      <w:r>
        <w:rPr>
          <w:spacing w:val="-3"/>
        </w:rPr>
        <w:t xml:space="preserve"> </w:t>
      </w:r>
      <w:r>
        <w:t>i</w:t>
      </w:r>
      <w:r>
        <w:rPr>
          <w:spacing w:val="-3"/>
        </w:rPr>
        <w:t xml:space="preserve"> </w:t>
      </w:r>
      <w:r>
        <w:t>minus</w:t>
      </w:r>
      <w:r>
        <w:rPr>
          <w:spacing w:val="-3"/>
        </w:rPr>
        <w:t xml:space="preserve"> </w:t>
      </w:r>
      <w:r>
        <w:t>the</w:t>
      </w:r>
      <w:r>
        <w:rPr>
          <w:spacing w:val="-4"/>
        </w:rPr>
        <w:t xml:space="preserve"> </w:t>
      </w:r>
      <w:r>
        <w:t>sum</w:t>
      </w:r>
      <w:r>
        <w:rPr>
          <w:spacing w:val="-3"/>
        </w:rPr>
        <w:t xml:space="preserve"> </w:t>
      </w:r>
      <w:r>
        <w:t>of columns k through m for each line.</w:t>
      </w:r>
    </w:p>
    <w:p>
      <w:pPr>
        <w:spacing w:before="241"/>
        <w:ind w:left="440" w:right="0" w:firstLine="0"/>
        <w:jc w:val="left"/>
        <w:rPr>
          <w:rFonts w:ascii="Arial" w:hAnsi="Arial"/>
          <w:b/>
          <w:sz w:val="21"/>
        </w:rPr>
      </w:pPr>
      <w:bookmarkStart w:id="84" w:name="Line 5, columns d through n – Subtotal"/>
      <w:bookmarkEnd w:id="84"/>
      <w:r>
        <w:rPr>
          <w:rFonts w:ascii="Arial" w:hAnsi="Arial"/>
          <w:b/>
          <w:sz w:val="21"/>
        </w:rPr>
        <w:t>Line</w:t>
      </w:r>
      <w:r>
        <w:rPr>
          <w:rFonts w:ascii="Arial" w:hAnsi="Arial"/>
          <w:b/>
          <w:spacing w:val="-4"/>
          <w:sz w:val="21"/>
        </w:rPr>
        <w:t xml:space="preserve"> </w:t>
      </w:r>
      <w:r>
        <w:rPr>
          <w:rFonts w:ascii="Arial" w:hAnsi="Arial"/>
          <w:b/>
          <w:sz w:val="21"/>
        </w:rPr>
        <w:t>5,</w:t>
      </w:r>
      <w:r>
        <w:rPr>
          <w:rFonts w:ascii="Arial" w:hAnsi="Arial"/>
          <w:b/>
          <w:spacing w:val="-4"/>
          <w:sz w:val="21"/>
        </w:rPr>
        <w:t xml:space="preserve"> </w:t>
      </w:r>
      <w:r>
        <w:rPr>
          <w:rFonts w:ascii="Arial" w:hAnsi="Arial"/>
          <w:b/>
          <w:sz w:val="21"/>
        </w:rPr>
        <w:t>columns</w:t>
      </w:r>
      <w:r>
        <w:rPr>
          <w:rFonts w:ascii="Arial" w:hAnsi="Arial"/>
          <w:b/>
          <w:spacing w:val="-4"/>
          <w:sz w:val="21"/>
        </w:rPr>
        <w:t xml:space="preserve"> </w:t>
      </w:r>
      <w:r>
        <w:rPr>
          <w:rFonts w:ascii="Arial" w:hAnsi="Arial"/>
          <w:b/>
          <w:sz w:val="21"/>
        </w:rPr>
        <w:t>d</w:t>
      </w:r>
      <w:r>
        <w:rPr>
          <w:rFonts w:ascii="Arial" w:hAnsi="Arial"/>
          <w:b/>
          <w:spacing w:val="-2"/>
          <w:sz w:val="21"/>
        </w:rPr>
        <w:t xml:space="preserve"> </w:t>
      </w:r>
      <w:r>
        <w:rPr>
          <w:rFonts w:ascii="Arial" w:hAnsi="Arial"/>
          <w:b/>
          <w:sz w:val="21"/>
        </w:rPr>
        <w:t>through</w:t>
      </w:r>
      <w:r>
        <w:rPr>
          <w:rFonts w:ascii="Arial" w:hAnsi="Arial"/>
          <w:b/>
          <w:spacing w:val="-3"/>
          <w:sz w:val="21"/>
        </w:rPr>
        <w:t xml:space="preserve"> </w:t>
      </w:r>
      <w:r>
        <w:rPr>
          <w:rFonts w:ascii="Arial" w:hAnsi="Arial"/>
          <w:b/>
          <w:sz w:val="21"/>
        </w:rPr>
        <w:t>n</w:t>
      </w:r>
      <w:r>
        <w:rPr>
          <w:rFonts w:ascii="Arial" w:hAnsi="Arial"/>
          <w:b/>
          <w:spacing w:val="-2"/>
          <w:sz w:val="21"/>
        </w:rPr>
        <w:t xml:space="preserve"> </w:t>
      </w:r>
      <w:r>
        <w:rPr>
          <w:rFonts w:ascii="Arial" w:hAnsi="Arial"/>
          <w:b/>
          <w:sz w:val="21"/>
        </w:rPr>
        <w:t>–</w:t>
      </w:r>
      <w:r>
        <w:rPr>
          <w:rFonts w:ascii="Arial" w:hAnsi="Arial"/>
          <w:b/>
          <w:spacing w:val="-5"/>
          <w:sz w:val="21"/>
        </w:rPr>
        <w:t xml:space="preserve"> </w:t>
      </w:r>
      <w:r>
        <w:rPr>
          <w:rFonts w:ascii="Arial" w:hAnsi="Arial"/>
          <w:b/>
          <w:spacing w:val="-2"/>
          <w:sz w:val="21"/>
        </w:rPr>
        <w:t>Subtotal</w:t>
      </w:r>
    </w:p>
    <w:p>
      <w:pPr>
        <w:pStyle w:val="BodyText"/>
        <w:spacing w:before="118"/>
        <w:ind w:left="440" w:right="979"/>
      </w:pPr>
      <w:r>
        <w:t>The</w:t>
      </w:r>
      <w:r>
        <w:rPr>
          <w:spacing w:val="-5"/>
        </w:rPr>
        <w:t xml:space="preserve"> </w:t>
      </w:r>
      <w:r>
        <w:t>values</w:t>
      </w:r>
      <w:r>
        <w:rPr>
          <w:spacing w:val="-3"/>
        </w:rPr>
        <w:t xml:space="preserve"> </w:t>
      </w:r>
      <w:r>
        <w:t>are</w:t>
      </w:r>
      <w:r>
        <w:rPr>
          <w:spacing w:val="-5"/>
        </w:rPr>
        <w:t xml:space="preserve"> </w:t>
      </w:r>
      <w:r>
        <w:t>calculated</w:t>
      </w:r>
      <w:r>
        <w:rPr>
          <w:spacing w:val="-2"/>
        </w:rPr>
        <w:t xml:space="preserve"> </w:t>
      </w:r>
      <w:r>
        <w:t>automatically</w:t>
      </w:r>
      <w:r>
        <w:rPr>
          <w:spacing w:val="-3"/>
        </w:rPr>
        <w:t xml:space="preserve"> </w:t>
      </w:r>
      <w:r>
        <w:t>in</w:t>
      </w:r>
      <w:r>
        <w:rPr>
          <w:spacing w:val="-3"/>
        </w:rPr>
        <w:t xml:space="preserve"> </w:t>
      </w:r>
      <w:r>
        <w:t>the</w:t>
      </w:r>
      <w:r>
        <w:rPr>
          <w:spacing w:val="-4"/>
        </w:rPr>
        <w:t xml:space="preserve"> </w:t>
      </w:r>
      <w:r>
        <w:t>BPT using</w:t>
      </w:r>
      <w:r>
        <w:rPr>
          <w:spacing w:val="-3"/>
        </w:rPr>
        <w:t xml:space="preserve"> </w:t>
      </w:r>
      <w:r>
        <w:t>values</w:t>
      </w:r>
      <w:r>
        <w:rPr>
          <w:spacing w:val="-3"/>
        </w:rPr>
        <w:t xml:space="preserve"> </w:t>
      </w:r>
      <w:r>
        <w:t>from</w:t>
      </w:r>
      <w:r>
        <w:rPr>
          <w:spacing w:val="-3"/>
        </w:rPr>
        <w:t xml:space="preserve"> </w:t>
      </w:r>
      <w:r>
        <w:t>lines</w:t>
      </w:r>
      <w:r>
        <w:rPr>
          <w:spacing w:val="-1"/>
        </w:rPr>
        <w:t xml:space="preserve"> </w:t>
      </w:r>
      <w:r>
        <w:t>1</w:t>
      </w:r>
      <w:r>
        <w:rPr>
          <w:spacing w:val="-2"/>
        </w:rPr>
        <w:t xml:space="preserve"> </w:t>
      </w:r>
      <w:r>
        <w:t>through</w:t>
      </w:r>
      <w:r>
        <w:rPr>
          <w:spacing w:val="-4"/>
        </w:rPr>
        <w:t xml:space="preserve"> </w:t>
      </w:r>
      <w:r>
        <w:t>4 for each column.</w:t>
      </w:r>
    </w:p>
    <w:p>
      <w:pPr>
        <w:spacing w:before="241"/>
        <w:ind w:left="440" w:right="0" w:firstLine="0"/>
        <w:jc w:val="left"/>
        <w:rPr>
          <w:rFonts w:ascii="Arial" w:hAnsi="Arial"/>
          <w:b/>
          <w:sz w:val="21"/>
        </w:rPr>
      </w:pPr>
      <w:bookmarkStart w:id="85" w:name="Line 6 – PMPM Values"/>
      <w:bookmarkEnd w:id="85"/>
      <w:r>
        <w:rPr>
          <w:rFonts w:ascii="Arial" w:hAnsi="Arial"/>
          <w:b/>
          <w:sz w:val="21"/>
        </w:rPr>
        <w:t>Line</w:t>
      </w:r>
      <w:r>
        <w:rPr>
          <w:rFonts w:ascii="Arial" w:hAnsi="Arial"/>
          <w:b/>
          <w:spacing w:val="-3"/>
          <w:sz w:val="21"/>
        </w:rPr>
        <w:t xml:space="preserve"> </w:t>
      </w:r>
      <w:r>
        <w:rPr>
          <w:rFonts w:ascii="Arial" w:hAnsi="Arial"/>
          <w:b/>
          <w:sz w:val="21"/>
        </w:rPr>
        <w:t>6</w:t>
      </w:r>
      <w:r>
        <w:rPr>
          <w:rFonts w:ascii="Arial" w:hAnsi="Arial"/>
          <w:b/>
          <w:spacing w:val="-3"/>
          <w:sz w:val="21"/>
        </w:rPr>
        <w:t xml:space="preserve"> </w:t>
      </w:r>
      <w:r>
        <w:rPr>
          <w:rFonts w:ascii="Arial" w:hAnsi="Arial"/>
          <w:b/>
          <w:sz w:val="21"/>
        </w:rPr>
        <w:t>–</w:t>
      </w:r>
      <w:r>
        <w:rPr>
          <w:rFonts w:ascii="Arial" w:hAnsi="Arial"/>
          <w:b/>
          <w:spacing w:val="-2"/>
          <w:sz w:val="21"/>
        </w:rPr>
        <w:t xml:space="preserve"> </w:t>
      </w:r>
      <w:r>
        <w:rPr>
          <w:rFonts w:ascii="Arial" w:hAnsi="Arial"/>
          <w:b/>
          <w:sz w:val="21"/>
        </w:rPr>
        <w:t>PMPM</w:t>
      </w:r>
      <w:r>
        <w:rPr>
          <w:rFonts w:ascii="Arial" w:hAnsi="Arial"/>
          <w:b/>
          <w:spacing w:val="-5"/>
          <w:sz w:val="21"/>
        </w:rPr>
        <w:t xml:space="preserve"> </w:t>
      </w:r>
      <w:r>
        <w:rPr>
          <w:rFonts w:ascii="Arial" w:hAnsi="Arial"/>
          <w:b/>
          <w:spacing w:val="-2"/>
          <w:sz w:val="21"/>
        </w:rPr>
        <w:t>Values</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Columns</w:t>
      </w:r>
      <w:r>
        <w:rPr>
          <w:rFonts w:ascii="Arial" w:hAnsi="Arial"/>
          <w:b/>
          <w:spacing w:val="-3"/>
          <w:sz w:val="21"/>
        </w:rPr>
        <w:t xml:space="preserve"> </w:t>
      </w:r>
      <w:r>
        <w:rPr>
          <w:rFonts w:ascii="Arial" w:hAnsi="Arial"/>
          <w:b/>
          <w:sz w:val="21"/>
        </w:rPr>
        <w:t>g,</w:t>
      </w:r>
      <w:r>
        <w:rPr>
          <w:rFonts w:ascii="Arial" w:hAnsi="Arial"/>
          <w:b/>
          <w:spacing w:val="-3"/>
          <w:sz w:val="21"/>
        </w:rPr>
        <w:t xml:space="preserve"> </w:t>
      </w:r>
      <w:r>
        <w:rPr>
          <w:rFonts w:ascii="Arial" w:hAnsi="Arial"/>
          <w:b/>
          <w:sz w:val="21"/>
        </w:rPr>
        <w:t>i,</w:t>
      </w:r>
      <w:r>
        <w:rPr>
          <w:rFonts w:ascii="Arial" w:hAnsi="Arial"/>
          <w:b/>
          <w:spacing w:val="-3"/>
          <w:sz w:val="21"/>
        </w:rPr>
        <w:t xml:space="preserve"> </w:t>
      </w:r>
      <w:r>
        <w:rPr>
          <w:rFonts w:ascii="Arial" w:hAnsi="Arial"/>
          <w:b/>
          <w:sz w:val="21"/>
        </w:rPr>
        <w:t>k,</w:t>
      </w:r>
      <w:r>
        <w:rPr>
          <w:rFonts w:ascii="Arial" w:hAnsi="Arial"/>
          <w:b/>
          <w:spacing w:val="-3"/>
          <w:sz w:val="21"/>
        </w:rPr>
        <w:t xml:space="preserve"> </w:t>
      </w:r>
      <w:r>
        <w:rPr>
          <w:rFonts w:ascii="Arial" w:hAnsi="Arial"/>
          <w:b/>
          <w:sz w:val="21"/>
        </w:rPr>
        <w:t>l</w:t>
      </w:r>
      <w:r>
        <w:rPr>
          <w:rFonts w:ascii="Arial" w:hAnsi="Arial"/>
          <w:b/>
          <w:spacing w:val="-1"/>
          <w:sz w:val="21"/>
        </w:rPr>
        <w:t xml:space="preserve"> </w:t>
      </w:r>
      <w:r>
        <w:rPr>
          <w:rFonts w:ascii="Arial" w:hAnsi="Arial"/>
          <w:b/>
          <w:sz w:val="21"/>
        </w:rPr>
        <w:t>and</w:t>
      </w:r>
      <w:r>
        <w:rPr>
          <w:rFonts w:ascii="Arial" w:hAnsi="Arial"/>
          <w:b/>
          <w:spacing w:val="-1"/>
          <w:sz w:val="21"/>
        </w:rPr>
        <w:t xml:space="preserve"> </w:t>
      </w:r>
      <w:r>
        <w:rPr>
          <w:rFonts w:ascii="Arial" w:hAnsi="Arial"/>
          <w:b/>
          <w:spacing w:val="-10"/>
          <w:sz w:val="21"/>
        </w:rPr>
        <w:t>m</w:t>
      </w:r>
    </w:p>
    <w:p>
      <w:pPr>
        <w:pStyle w:val="BodyText"/>
        <w:ind w:left="1160" w:right="566"/>
      </w:pPr>
      <w:r>
        <w:t>These</w:t>
      </w:r>
      <w:r>
        <w:rPr>
          <w:spacing w:val="-5"/>
        </w:rPr>
        <w:t xml:space="preserve"> </w:t>
      </w:r>
      <w:r>
        <w:t>values</w:t>
      </w:r>
      <w:r>
        <w:rPr>
          <w:spacing w:val="-3"/>
        </w:rPr>
        <w:t xml:space="preserve"> </w:t>
      </w:r>
      <w:r>
        <w:t>are</w:t>
      </w:r>
      <w:r>
        <w:rPr>
          <w:spacing w:val="-4"/>
        </w:rPr>
        <w:t xml:space="preserve"> </w:t>
      </w:r>
      <w:r>
        <w:t>calculated</w:t>
      </w:r>
      <w:r>
        <w:rPr>
          <w:spacing w:val="-4"/>
        </w:rPr>
        <w:t xml:space="preserve"> </w:t>
      </w:r>
      <w:r>
        <w:t>automatically</w:t>
      </w:r>
      <w:r>
        <w:rPr>
          <w:spacing w:val="-4"/>
        </w:rPr>
        <w:t xml:space="preserve"> </w:t>
      </w:r>
      <w:r>
        <w:t>in</w:t>
      </w:r>
      <w:r>
        <w:rPr>
          <w:spacing w:val="-4"/>
        </w:rPr>
        <w:t xml:space="preserve"> </w:t>
      </w:r>
      <w:r>
        <w:t>the</w:t>
      </w:r>
      <w:r>
        <w:rPr>
          <w:spacing w:val="-5"/>
        </w:rPr>
        <w:t xml:space="preserve"> </w:t>
      </w:r>
      <w:r>
        <w:t>BPT</w:t>
      </w:r>
      <w:r>
        <w:rPr>
          <w:spacing w:val="-4"/>
        </w:rPr>
        <w:t xml:space="preserve"> </w:t>
      </w:r>
      <w:r>
        <w:t>as</w:t>
      </w:r>
      <w:r>
        <w:rPr>
          <w:spacing w:val="-4"/>
        </w:rPr>
        <w:t xml:space="preserve"> </w:t>
      </w:r>
      <w:r>
        <w:t>the column</w:t>
      </w:r>
      <w:r>
        <w:rPr>
          <w:spacing w:val="-4"/>
        </w:rPr>
        <w:t xml:space="preserve"> </w:t>
      </w:r>
      <w:r>
        <w:t>total</w:t>
      </w:r>
      <w:r>
        <w:rPr>
          <w:spacing w:val="-4"/>
        </w:rPr>
        <w:t xml:space="preserve"> </w:t>
      </w:r>
      <w:r>
        <w:t>shown</w:t>
      </w:r>
      <w:r>
        <w:rPr>
          <w:spacing w:val="-4"/>
        </w:rPr>
        <w:t xml:space="preserve"> </w:t>
      </w:r>
      <w:r>
        <w:t>in line 5 for each column, converted to a PMPM value using values from line 5, columns d and 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n</w:t>
      </w:r>
    </w:p>
    <w:p>
      <w:pPr>
        <w:pStyle w:val="BodyText"/>
        <w:spacing w:before="118"/>
        <w:ind w:left="1160" w:right="979"/>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column</w:t>
      </w:r>
      <w:r>
        <w:rPr>
          <w:spacing w:val="-3"/>
        </w:rPr>
        <w:t xml:space="preserve"> </w:t>
      </w:r>
      <w:r>
        <w:t>i</w:t>
      </w:r>
      <w:r>
        <w:rPr>
          <w:spacing w:val="-3"/>
        </w:rPr>
        <w:t xml:space="preserve"> </w:t>
      </w:r>
      <w:r>
        <w:t>minus</w:t>
      </w:r>
      <w:r>
        <w:rPr>
          <w:spacing w:val="-3"/>
        </w:rPr>
        <w:t xml:space="preserve"> </w:t>
      </w:r>
      <w:r>
        <w:t>columns</w:t>
      </w:r>
      <w:r>
        <w:rPr>
          <w:spacing w:val="-3"/>
        </w:rPr>
        <w:t xml:space="preserve"> </w:t>
      </w:r>
      <w:r>
        <w:t>k through m.</w:t>
      </w:r>
    </w:p>
    <w:p>
      <w:pPr>
        <w:spacing w:before="241"/>
        <w:ind w:left="440" w:right="0" w:firstLine="0"/>
        <w:jc w:val="left"/>
        <w:rPr>
          <w:rFonts w:ascii="Arial" w:hAnsi="Arial"/>
          <w:b/>
          <w:sz w:val="21"/>
        </w:rPr>
      </w:pPr>
      <w:bookmarkStart w:id="86" w:name="Line 7 – Minus Rebates"/>
      <w:bookmarkEnd w:id="86"/>
      <w:r>
        <w:rPr>
          <w:rFonts w:ascii="Arial" w:hAnsi="Arial"/>
          <w:b/>
          <w:sz w:val="21"/>
        </w:rPr>
        <w:t>Line</w:t>
      </w:r>
      <w:r>
        <w:rPr>
          <w:rFonts w:ascii="Arial" w:hAnsi="Arial"/>
          <w:b/>
          <w:spacing w:val="-4"/>
          <w:sz w:val="21"/>
        </w:rPr>
        <w:t xml:space="preserve"> </w:t>
      </w:r>
      <w:r>
        <w:rPr>
          <w:rFonts w:ascii="Arial" w:hAnsi="Arial"/>
          <w:b/>
          <w:sz w:val="21"/>
        </w:rPr>
        <w:t>7</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Minus</w:t>
      </w:r>
      <w:r>
        <w:rPr>
          <w:rFonts w:ascii="Arial" w:hAnsi="Arial"/>
          <w:b/>
          <w:spacing w:val="-5"/>
          <w:sz w:val="21"/>
        </w:rPr>
        <w:t xml:space="preserve"> </w:t>
      </w:r>
      <w:r>
        <w:rPr>
          <w:rFonts w:ascii="Arial" w:hAnsi="Arial"/>
          <w:b/>
          <w:spacing w:val="-2"/>
          <w:sz w:val="21"/>
        </w:rPr>
        <w:t>Rebates</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g</w:t>
      </w:r>
    </w:p>
    <w:p>
      <w:pPr>
        <w:pStyle w:val="BodyText"/>
        <w:spacing w:before="118"/>
        <w:ind w:left="1160" w:right="979"/>
      </w:pPr>
      <w:r>
        <w:t>Enter the total amount of rebates received as of the “Paid through” date in Section</w:t>
      </w:r>
      <w:r>
        <w:rPr>
          <w:spacing w:val="-3"/>
        </w:rPr>
        <w:t xml:space="preserve"> </w:t>
      </w:r>
      <w:r>
        <w:t>II</w:t>
      </w:r>
      <w:r>
        <w:rPr>
          <w:spacing w:val="-3"/>
        </w:rPr>
        <w:t xml:space="preserve"> </w:t>
      </w:r>
      <w:r>
        <w:t>and</w:t>
      </w:r>
      <w:r>
        <w:rPr>
          <w:spacing w:val="-3"/>
        </w:rPr>
        <w:t xml:space="preserve"> </w:t>
      </w:r>
      <w:r>
        <w:t>expected</w:t>
      </w:r>
      <w:r>
        <w:rPr>
          <w:spacing w:val="-3"/>
        </w:rPr>
        <w:t xml:space="preserve"> </w:t>
      </w:r>
      <w:r>
        <w:t>to</w:t>
      </w:r>
      <w:r>
        <w:rPr>
          <w:spacing w:val="-3"/>
        </w:rPr>
        <w:t xml:space="preserve"> </w:t>
      </w:r>
      <w:r>
        <w:t>be</w:t>
      </w:r>
      <w:r>
        <w:rPr>
          <w:spacing w:val="-4"/>
        </w:rPr>
        <w:t xml:space="preserve"> </w:t>
      </w:r>
      <w:r>
        <w:t>received</w:t>
      </w:r>
      <w:r>
        <w:rPr>
          <w:spacing w:val="-2"/>
        </w:rPr>
        <w:t xml:space="preserve"> </w:t>
      </w:r>
      <w:r>
        <w:t>for</w:t>
      </w:r>
      <w:r>
        <w:rPr>
          <w:spacing w:val="-3"/>
        </w:rPr>
        <w:t xml:space="preserve"> </w:t>
      </w:r>
      <w:r>
        <w:t>the</w:t>
      </w:r>
      <w:r>
        <w:rPr>
          <w:spacing w:val="-5"/>
        </w:rPr>
        <w:t xml:space="preserve"> </w:t>
      </w:r>
      <w:r>
        <w:t>claims</w:t>
      </w:r>
      <w:r>
        <w:rPr>
          <w:spacing w:val="-3"/>
        </w:rPr>
        <w:t xml:space="preserve"> </w:t>
      </w:r>
      <w:r>
        <w:t>in</w:t>
      </w:r>
      <w:r>
        <w:rPr>
          <w:spacing w:val="-3"/>
        </w:rPr>
        <w:t xml:space="preserve"> </w:t>
      </w:r>
      <w:r>
        <w:t>lines</w:t>
      </w:r>
      <w:r>
        <w:rPr>
          <w:spacing w:val="-3"/>
        </w:rPr>
        <w:t xml:space="preserve"> </w:t>
      </w:r>
      <w:r>
        <w:t>1</w:t>
      </w:r>
      <w:r>
        <w:rPr>
          <w:spacing w:val="-3"/>
        </w:rPr>
        <w:t xml:space="preserve"> </w:t>
      </w:r>
      <w:r>
        <w:t>through</w:t>
      </w:r>
      <w:r>
        <w:rPr>
          <w:spacing w:val="-1"/>
        </w:rPr>
        <w:t xml:space="preserve"> </w:t>
      </w:r>
      <w:r>
        <w:t>4.</w:t>
      </w:r>
      <w:r>
        <w:rPr>
          <w:spacing w:val="-3"/>
        </w:rPr>
        <w:t xml:space="preserve"> </w:t>
      </w:r>
      <w:r>
        <w:t>Total</w:t>
      </w:r>
    </w:p>
    <w:p>
      <w:pPr>
        <w:pStyle w:val="BodyText"/>
        <w:spacing w:before="0"/>
        <w:ind w:left="1160" w:right="813"/>
      </w:pPr>
      <w:r>
        <w:t>rebates</w:t>
      </w:r>
      <w:r>
        <w:rPr>
          <w:spacing w:val="-5"/>
        </w:rPr>
        <w:t xml:space="preserve"> </w:t>
      </w:r>
      <w:r>
        <w:t>include</w:t>
      </w:r>
      <w:r>
        <w:rPr>
          <w:spacing w:val="-6"/>
        </w:rPr>
        <w:t xml:space="preserve"> </w:t>
      </w:r>
      <w:r>
        <w:t>all</w:t>
      </w:r>
      <w:r>
        <w:rPr>
          <w:spacing w:val="-5"/>
        </w:rPr>
        <w:t xml:space="preserve"> </w:t>
      </w:r>
      <w:r>
        <w:t>direct</w:t>
      </w:r>
      <w:r>
        <w:rPr>
          <w:spacing w:val="-3"/>
        </w:rPr>
        <w:t xml:space="preserve"> </w:t>
      </w:r>
      <w:r>
        <w:t>and</w:t>
      </w:r>
      <w:r>
        <w:rPr>
          <w:spacing w:val="-5"/>
        </w:rPr>
        <w:t xml:space="preserve"> </w:t>
      </w:r>
      <w:r>
        <w:t>indirect</w:t>
      </w:r>
      <w:r>
        <w:rPr>
          <w:spacing w:val="-5"/>
        </w:rPr>
        <w:t xml:space="preserve"> </w:t>
      </w:r>
      <w:r>
        <w:t>remuneration</w:t>
      </w:r>
      <w:r>
        <w:rPr>
          <w:spacing w:val="-5"/>
        </w:rPr>
        <w:t xml:space="preserve"> </w:t>
      </w:r>
      <w:r>
        <w:t>received</w:t>
      </w:r>
      <w:r>
        <w:rPr>
          <w:spacing w:val="-5"/>
        </w:rPr>
        <w:t xml:space="preserve"> </w:t>
      </w:r>
      <w:r>
        <w:t>after</w:t>
      </w:r>
      <w:r>
        <w:rPr>
          <w:spacing w:val="-5"/>
        </w:rPr>
        <w:t xml:space="preserve"> </w:t>
      </w:r>
      <w:r>
        <w:t>the</w:t>
      </w:r>
      <w:r>
        <w:rPr>
          <w:spacing w:val="-2"/>
        </w:rPr>
        <w:t xml:space="preserve"> </w:t>
      </w:r>
      <w:r>
        <w:t>point-of-sale transaction. Report the rebates at the PBP level. If the Part D sponsor does not receive rebates at the PBP level, then an allocation methodology may be used.</w:t>
      </w:r>
    </w:p>
    <w:p>
      <w:pPr>
        <w:pStyle w:val="BodyText"/>
        <w:spacing w:before="0"/>
        <w:ind w:left="1160" w:right="1649"/>
      </w:pPr>
      <w:r>
        <w:t>The methodology used for reporting rebates must be substantiated in the supporting</w:t>
      </w:r>
      <w:r>
        <w:rPr>
          <w:spacing w:val="-4"/>
        </w:rPr>
        <w:t xml:space="preserve"> </w:t>
      </w:r>
      <w:r>
        <w:t>documentation</w:t>
      </w:r>
      <w:r>
        <w:rPr>
          <w:spacing w:val="-4"/>
        </w:rPr>
        <w:t xml:space="preserve"> </w:t>
      </w:r>
      <w:r>
        <w:t>that</w:t>
      </w:r>
      <w:r>
        <w:rPr>
          <w:spacing w:val="-4"/>
        </w:rPr>
        <w:t xml:space="preserve"> </w:t>
      </w:r>
      <w:r>
        <w:t>is</w:t>
      </w:r>
      <w:r>
        <w:rPr>
          <w:spacing w:val="-4"/>
        </w:rPr>
        <w:t xml:space="preserve"> </w:t>
      </w:r>
      <w:r>
        <w:t>uploaded</w:t>
      </w:r>
      <w:r>
        <w:rPr>
          <w:spacing w:val="-4"/>
        </w:rPr>
        <w:t xml:space="preserve"> </w:t>
      </w:r>
      <w:r>
        <w:t>into</w:t>
      </w:r>
      <w:r>
        <w:rPr>
          <w:spacing w:val="-2"/>
        </w:rPr>
        <w:t xml:space="preserve"> </w:t>
      </w:r>
      <w:r>
        <w:t>HPMS</w:t>
      </w:r>
      <w:r>
        <w:rPr>
          <w:spacing w:val="-3"/>
        </w:rPr>
        <w:t xml:space="preserve"> </w:t>
      </w:r>
      <w:r>
        <w:t>with</w:t>
      </w:r>
      <w:r>
        <w:rPr>
          <w:spacing w:val="-4"/>
        </w:rPr>
        <w:t xml:space="preserve"> </w:t>
      </w:r>
      <w:r>
        <w:t>the</w:t>
      </w:r>
      <w:r>
        <w:rPr>
          <w:spacing w:val="-5"/>
        </w:rPr>
        <w:t xml:space="preserve"> </w:t>
      </w:r>
      <w:r>
        <w:t>initial</w:t>
      </w:r>
      <w:r>
        <w:rPr>
          <w:spacing w:val="-4"/>
        </w:rPr>
        <w:t xml:space="preserve"> </w:t>
      </w:r>
      <w:r>
        <w:t xml:space="preserve">bid </w:t>
      </w:r>
      <w:r>
        <w:rPr>
          <w:spacing w:val="-2"/>
        </w:rPr>
        <w:t>submission.</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pacing w:val="-10"/>
          <w:sz w:val="21"/>
        </w:rPr>
        <w:t>i</w:t>
      </w:r>
    </w:p>
    <w:p>
      <w:pPr>
        <w:pStyle w:val="BodyText"/>
        <w:ind w:left="1160" w:right="478"/>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column</w:t>
      </w:r>
      <w:r>
        <w:rPr>
          <w:spacing w:val="-3"/>
        </w:rPr>
        <w:t xml:space="preserve"> </w:t>
      </w:r>
      <w:r>
        <w:t>g</w:t>
      </w:r>
      <w:r>
        <w:rPr>
          <w:spacing w:val="-3"/>
        </w:rPr>
        <w:t xml:space="preserve"> </w:t>
      </w:r>
      <w:r>
        <w:t>divided</w:t>
      </w:r>
      <w:r>
        <w:rPr>
          <w:spacing w:val="-3"/>
        </w:rPr>
        <w:t xml:space="preserve"> </w:t>
      </w:r>
      <w:r>
        <w:t>by</w:t>
      </w:r>
      <w:r>
        <w:rPr>
          <w:spacing w:val="-3"/>
        </w:rPr>
        <w:t xml:space="preserve"> </w:t>
      </w:r>
      <w:r>
        <w:t>line 5, column 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pacing w:val="-10"/>
          <w:sz w:val="21"/>
        </w:rPr>
        <w:t>m</w:t>
      </w:r>
    </w:p>
    <w:p>
      <w:pPr>
        <w:pStyle w:val="BodyText"/>
        <w:ind w:left="1160" w:right="1124"/>
      </w:pPr>
      <w:r>
        <w:t>Enter</w:t>
      </w:r>
      <w:r>
        <w:rPr>
          <w:spacing w:val="-4"/>
        </w:rPr>
        <w:t xml:space="preserve"> </w:t>
      </w:r>
      <w:r>
        <w:t>the</w:t>
      </w:r>
      <w:r>
        <w:rPr>
          <w:spacing w:val="-6"/>
        </w:rPr>
        <w:t xml:space="preserve"> </w:t>
      </w:r>
      <w:r>
        <w:t>amount</w:t>
      </w:r>
      <w:r>
        <w:rPr>
          <w:spacing w:val="-4"/>
        </w:rPr>
        <w:t xml:space="preserve"> </w:t>
      </w:r>
      <w:r>
        <w:t>of</w:t>
      </w:r>
      <w:r>
        <w:rPr>
          <w:spacing w:val="-4"/>
        </w:rPr>
        <w:t xml:space="preserve"> </w:t>
      </w:r>
      <w:r>
        <w:t>rebates</w:t>
      </w:r>
      <w:r>
        <w:rPr>
          <w:spacing w:val="-4"/>
        </w:rPr>
        <w:t xml:space="preserve"> </w:t>
      </w:r>
      <w:r>
        <w:t>attributable</w:t>
      </w:r>
      <w:r>
        <w:rPr>
          <w:spacing w:val="-4"/>
        </w:rPr>
        <w:t xml:space="preserve"> </w:t>
      </w:r>
      <w:r>
        <w:t>to</w:t>
      </w:r>
      <w:r>
        <w:rPr>
          <w:spacing w:val="-4"/>
        </w:rPr>
        <w:t xml:space="preserve"> </w:t>
      </w:r>
      <w:r>
        <w:t>the</w:t>
      </w:r>
      <w:r>
        <w:rPr>
          <w:spacing w:val="-4"/>
        </w:rPr>
        <w:t xml:space="preserve"> </w:t>
      </w:r>
      <w:r>
        <w:t>federal</w:t>
      </w:r>
      <w:r>
        <w:rPr>
          <w:spacing w:val="-4"/>
        </w:rPr>
        <w:t xml:space="preserve"> </w:t>
      </w:r>
      <w:r>
        <w:t>reinsurance</w:t>
      </w:r>
      <w:r>
        <w:rPr>
          <w:spacing w:val="-3"/>
        </w:rPr>
        <w:t xml:space="preserve"> </w:t>
      </w:r>
      <w:r>
        <w:t>amount</w:t>
      </w:r>
      <w:r>
        <w:rPr>
          <w:spacing w:val="-4"/>
        </w:rPr>
        <w:t xml:space="preserve"> </w:t>
      </w:r>
      <w:r>
        <w:t>in line 5.</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n</w:t>
      </w:r>
    </w:p>
    <w:p>
      <w:pPr>
        <w:pStyle w:val="BodyText"/>
        <w:spacing w:before="118"/>
        <w:ind w:left="1160"/>
      </w:pPr>
      <w:r>
        <w:t>The</w:t>
      </w:r>
      <w:r>
        <w:rPr>
          <w:spacing w:val="-3"/>
        </w:rPr>
        <w:t xml:space="preserve"> </w:t>
      </w:r>
      <w:r>
        <w:t>value</w:t>
      </w:r>
      <w:r>
        <w:rPr>
          <w:spacing w:val="-1"/>
        </w:rPr>
        <w:t xml:space="preserve"> </w:t>
      </w:r>
      <w:r>
        <w:t>is calculated</w:t>
      </w:r>
      <w:r>
        <w:rPr>
          <w:spacing w:val="-1"/>
        </w:rPr>
        <w:t xml:space="preserve"> </w:t>
      </w:r>
      <w:r>
        <w:t>automatically</w:t>
      </w:r>
      <w:r>
        <w:rPr>
          <w:spacing w:val="-1"/>
        </w:rPr>
        <w:t xml:space="preserve"> </w:t>
      </w:r>
      <w:r>
        <w:t>in the</w:t>
      </w:r>
      <w:r>
        <w:rPr>
          <w:spacing w:val="-2"/>
        </w:rPr>
        <w:t xml:space="preserve"> </w:t>
      </w:r>
      <w:r>
        <w:t>BPT</w:t>
      </w:r>
      <w:r>
        <w:rPr>
          <w:spacing w:val="-3"/>
        </w:rPr>
        <w:t xml:space="preserve"> </w:t>
      </w:r>
      <w:r>
        <w:t>as</w:t>
      </w:r>
      <w:r>
        <w:rPr>
          <w:spacing w:val="-1"/>
        </w:rPr>
        <w:t xml:space="preserve"> </w:t>
      </w:r>
      <w:r>
        <w:t>column</w:t>
      </w:r>
      <w:r>
        <w:rPr>
          <w:spacing w:val="-1"/>
        </w:rPr>
        <w:t xml:space="preserve"> </w:t>
      </w:r>
      <w:r>
        <w:t>i minus</w:t>
      </w:r>
      <w:r>
        <w:rPr>
          <w:spacing w:val="4"/>
        </w:rPr>
        <w:t xml:space="preserve"> </w:t>
      </w:r>
      <w:r>
        <w:t xml:space="preserve">column </w:t>
      </w:r>
      <w:r>
        <w:rPr>
          <w:spacing w:val="-5"/>
        </w:rPr>
        <w:t>m.</w:t>
      </w:r>
    </w:p>
    <w:p>
      <w:pPr>
        <w:spacing w:after="0"/>
        <w:sectPr>
          <w:pgSz w:w="12240" w:h="15840"/>
          <w:pgMar w:top="1340" w:right="1000" w:bottom="1080" w:left="1360" w:header="727" w:footer="891"/>
          <w:cols w:space="720"/>
        </w:sectPr>
      </w:pPr>
    </w:p>
    <w:p>
      <w:pPr>
        <w:spacing w:before="87"/>
        <w:ind w:left="440" w:right="0" w:firstLine="0"/>
        <w:jc w:val="left"/>
        <w:rPr>
          <w:rFonts w:ascii="Arial" w:hAnsi="Arial"/>
          <w:b/>
          <w:sz w:val="21"/>
        </w:rPr>
      </w:pPr>
      <w:bookmarkStart w:id="87" w:name="Line 8 – Plus Part D as Secondary"/>
      <w:bookmarkEnd w:id="87"/>
      <w:r>
        <w:rPr>
          <w:rFonts w:ascii="Arial" w:hAnsi="Arial"/>
          <w:b/>
          <w:sz w:val="21"/>
        </w:rPr>
        <w:t>Line</w:t>
      </w:r>
      <w:r>
        <w:rPr>
          <w:rFonts w:ascii="Arial" w:hAnsi="Arial"/>
          <w:b/>
          <w:spacing w:val="-3"/>
          <w:sz w:val="21"/>
        </w:rPr>
        <w:t xml:space="preserve"> </w:t>
      </w:r>
      <w:r>
        <w:rPr>
          <w:rFonts w:ascii="Arial" w:hAnsi="Arial"/>
          <w:b/>
          <w:sz w:val="21"/>
        </w:rPr>
        <w:t>8</w:t>
      </w:r>
      <w:r>
        <w:rPr>
          <w:rFonts w:ascii="Arial" w:hAnsi="Arial"/>
          <w:b/>
          <w:spacing w:val="-3"/>
          <w:sz w:val="21"/>
        </w:rPr>
        <w:t xml:space="preserve"> </w:t>
      </w:r>
      <w:r>
        <w:rPr>
          <w:rFonts w:ascii="Arial" w:hAnsi="Arial"/>
          <w:b/>
          <w:sz w:val="21"/>
        </w:rPr>
        <w:t>–</w:t>
      </w:r>
      <w:r>
        <w:rPr>
          <w:rFonts w:ascii="Arial" w:hAnsi="Arial"/>
          <w:b/>
          <w:spacing w:val="-2"/>
          <w:sz w:val="21"/>
        </w:rPr>
        <w:t xml:space="preserve"> </w:t>
      </w:r>
      <w:r>
        <w:rPr>
          <w:rFonts w:ascii="Arial" w:hAnsi="Arial"/>
          <w:b/>
          <w:sz w:val="21"/>
        </w:rPr>
        <w:t>Plus</w:t>
      </w:r>
      <w:r>
        <w:rPr>
          <w:rFonts w:ascii="Arial" w:hAnsi="Arial"/>
          <w:b/>
          <w:spacing w:val="-2"/>
          <w:sz w:val="21"/>
        </w:rPr>
        <w:t xml:space="preserve"> </w:t>
      </w:r>
      <w:r>
        <w:rPr>
          <w:rFonts w:ascii="Arial" w:hAnsi="Arial"/>
          <w:b/>
          <w:sz w:val="21"/>
        </w:rPr>
        <w:t>Part</w:t>
      </w:r>
      <w:r>
        <w:rPr>
          <w:rFonts w:ascii="Arial" w:hAnsi="Arial"/>
          <w:b/>
          <w:spacing w:val="-3"/>
          <w:sz w:val="21"/>
        </w:rPr>
        <w:t xml:space="preserve"> </w:t>
      </w:r>
      <w:r>
        <w:rPr>
          <w:rFonts w:ascii="Arial" w:hAnsi="Arial"/>
          <w:b/>
          <w:sz w:val="21"/>
        </w:rPr>
        <w:t>D</w:t>
      </w:r>
      <w:r>
        <w:rPr>
          <w:rFonts w:ascii="Arial" w:hAnsi="Arial"/>
          <w:b/>
          <w:spacing w:val="-2"/>
          <w:sz w:val="21"/>
        </w:rPr>
        <w:t xml:space="preserve"> </w:t>
      </w:r>
      <w:r>
        <w:rPr>
          <w:rFonts w:ascii="Arial" w:hAnsi="Arial"/>
          <w:b/>
          <w:sz w:val="21"/>
        </w:rPr>
        <w:t>as</w:t>
      </w:r>
      <w:r>
        <w:rPr>
          <w:rFonts w:ascii="Arial" w:hAnsi="Arial"/>
          <w:b/>
          <w:spacing w:val="-4"/>
          <w:sz w:val="21"/>
        </w:rPr>
        <w:t xml:space="preserve"> </w:t>
      </w:r>
      <w:r>
        <w:rPr>
          <w:rFonts w:ascii="Arial" w:hAnsi="Arial"/>
          <w:b/>
          <w:spacing w:val="-2"/>
          <w:sz w:val="21"/>
        </w:rPr>
        <w:t>Secondary</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g</w:t>
      </w:r>
    </w:p>
    <w:p>
      <w:pPr>
        <w:pStyle w:val="BodyText"/>
        <w:spacing w:before="118"/>
        <w:ind w:left="1160" w:right="918"/>
      </w:pPr>
      <w:r>
        <w:t>Enter</w:t>
      </w:r>
      <w:r>
        <w:rPr>
          <w:spacing w:val="-3"/>
        </w:rPr>
        <w:t xml:space="preserve"> </w:t>
      </w:r>
      <w:r>
        <w:t>the</w:t>
      </w:r>
      <w:r>
        <w:rPr>
          <w:spacing w:val="-4"/>
        </w:rPr>
        <w:t xml:space="preserve"> </w:t>
      </w:r>
      <w:r>
        <w:t>total</w:t>
      </w:r>
      <w:r>
        <w:rPr>
          <w:spacing w:val="-2"/>
        </w:rPr>
        <w:t xml:space="preserve"> </w:t>
      </w:r>
      <w:r>
        <w:t>plan</w:t>
      </w:r>
      <w:r>
        <w:rPr>
          <w:spacing w:val="-3"/>
        </w:rPr>
        <w:t xml:space="preserve"> </w:t>
      </w:r>
      <w:r>
        <w:t>liability</w:t>
      </w:r>
      <w:r>
        <w:rPr>
          <w:spacing w:val="-2"/>
        </w:rPr>
        <w:t xml:space="preserve"> </w:t>
      </w:r>
      <w:r>
        <w:t>for</w:t>
      </w:r>
      <w:r>
        <w:rPr>
          <w:spacing w:val="-4"/>
        </w:rPr>
        <w:t xml:space="preserve"> </w:t>
      </w:r>
      <w:r>
        <w:t>Part</w:t>
      </w:r>
      <w:r>
        <w:rPr>
          <w:spacing w:val="-3"/>
        </w:rPr>
        <w:t xml:space="preserve"> </w:t>
      </w:r>
      <w:r>
        <w:t>D-covered</w:t>
      </w:r>
      <w:r>
        <w:rPr>
          <w:spacing w:val="-3"/>
        </w:rPr>
        <w:t xml:space="preserve"> </w:t>
      </w:r>
      <w:r>
        <w:t>drugs</w:t>
      </w:r>
      <w:r>
        <w:rPr>
          <w:spacing w:val="-2"/>
        </w:rPr>
        <w:t xml:space="preserve"> </w:t>
      </w:r>
      <w:r>
        <w:t>for</w:t>
      </w:r>
      <w:r>
        <w:rPr>
          <w:spacing w:val="-4"/>
        </w:rPr>
        <w:t xml:space="preserve"> </w:t>
      </w:r>
      <w:r>
        <w:t>which</w:t>
      </w:r>
      <w:r>
        <w:rPr>
          <w:spacing w:val="-3"/>
        </w:rPr>
        <w:t xml:space="preserve"> </w:t>
      </w:r>
      <w:r>
        <w:t>the</w:t>
      </w:r>
      <w:r>
        <w:rPr>
          <w:spacing w:val="-4"/>
        </w:rPr>
        <w:t xml:space="preserve"> </w:t>
      </w:r>
      <w:r>
        <w:t>Part</w:t>
      </w:r>
      <w:r>
        <w:rPr>
          <w:spacing w:val="-3"/>
        </w:rPr>
        <w:t xml:space="preserve"> </w:t>
      </w:r>
      <w:r>
        <w:t>D</w:t>
      </w:r>
      <w:r>
        <w:rPr>
          <w:spacing w:val="-4"/>
        </w:rPr>
        <w:t xml:space="preserve"> </w:t>
      </w:r>
      <w:r>
        <w:t>plan</w:t>
      </w:r>
      <w:r>
        <w:rPr>
          <w:spacing w:val="-3"/>
        </w:rPr>
        <w:t xml:space="preserve"> </w:t>
      </w:r>
      <w:r>
        <w:t>is the secondary payer. The term “total plan liability” is defined as CPP plus NPP minus 80 percent of either GDCA or GDCA minus PLRO as appropriate.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pacing w:val="-10"/>
          <w:sz w:val="21"/>
        </w:rPr>
        <w:t>i</w:t>
      </w:r>
    </w:p>
    <w:p>
      <w:pPr>
        <w:pStyle w:val="BodyText"/>
        <w:ind w:left="1160" w:right="478"/>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column</w:t>
      </w:r>
      <w:r>
        <w:rPr>
          <w:spacing w:val="-3"/>
        </w:rPr>
        <w:t xml:space="preserve"> </w:t>
      </w:r>
      <w:r>
        <w:t>g</w:t>
      </w:r>
      <w:r>
        <w:rPr>
          <w:spacing w:val="-3"/>
        </w:rPr>
        <w:t xml:space="preserve"> </w:t>
      </w:r>
      <w:r>
        <w:t>divided</w:t>
      </w:r>
      <w:r>
        <w:rPr>
          <w:spacing w:val="-3"/>
        </w:rPr>
        <w:t xml:space="preserve"> </w:t>
      </w:r>
      <w:r>
        <w:t>by</w:t>
      </w:r>
      <w:r>
        <w:rPr>
          <w:spacing w:val="-3"/>
        </w:rPr>
        <w:t xml:space="preserve"> </w:t>
      </w:r>
      <w:r>
        <w:t>line 5, column 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n</w:t>
      </w:r>
    </w:p>
    <w:p>
      <w:pPr>
        <w:pStyle w:val="BodyText"/>
        <w:spacing w:before="118"/>
        <w:ind w:left="1160"/>
      </w:pPr>
      <w:r>
        <w:t>The</w:t>
      </w:r>
      <w:r>
        <w:rPr>
          <w:spacing w:val="-3"/>
        </w:rPr>
        <w:t xml:space="preserve"> </w:t>
      </w:r>
      <w:r>
        <w:t>value</w:t>
      </w:r>
      <w:r>
        <w:rPr>
          <w:spacing w:val="-1"/>
        </w:rPr>
        <w:t xml:space="preserve"> </w:t>
      </w:r>
      <w:r>
        <w:t>is</w:t>
      </w:r>
      <w:r>
        <w:rPr>
          <w:spacing w:val="-1"/>
        </w:rPr>
        <w:t xml:space="preserve"> </w:t>
      </w:r>
      <w:r>
        <w:t>carried from</w:t>
      </w:r>
      <w:r>
        <w:rPr>
          <w:spacing w:val="1"/>
        </w:rPr>
        <w:t xml:space="preserve"> </w:t>
      </w:r>
      <w:r>
        <w:t>column</w:t>
      </w:r>
      <w:r>
        <w:rPr>
          <w:spacing w:val="-1"/>
        </w:rPr>
        <w:t xml:space="preserve"> </w:t>
      </w:r>
      <w:r>
        <w:rPr>
          <w:spacing w:val="-5"/>
        </w:rPr>
        <w:t>i.</w:t>
      </w:r>
    </w:p>
    <w:p>
      <w:pPr>
        <w:spacing w:before="241"/>
        <w:ind w:left="440" w:right="0" w:firstLine="0"/>
        <w:jc w:val="left"/>
        <w:rPr>
          <w:rFonts w:ascii="Arial" w:hAnsi="Arial"/>
          <w:b/>
          <w:sz w:val="21"/>
        </w:rPr>
      </w:pPr>
      <w:bookmarkStart w:id="88" w:name="Line 9 – Minus Manufacturer Discount"/>
      <w:bookmarkEnd w:id="88"/>
      <w:r>
        <w:rPr>
          <w:rFonts w:ascii="Arial" w:hAnsi="Arial"/>
          <w:b/>
          <w:sz w:val="21"/>
        </w:rPr>
        <w:t>Line</w:t>
      </w:r>
      <w:r>
        <w:rPr>
          <w:rFonts w:ascii="Arial" w:hAnsi="Arial"/>
          <w:b/>
          <w:spacing w:val="-6"/>
          <w:sz w:val="21"/>
        </w:rPr>
        <w:t xml:space="preserve"> </w:t>
      </w:r>
      <w:r>
        <w:rPr>
          <w:rFonts w:ascii="Arial" w:hAnsi="Arial"/>
          <w:b/>
          <w:sz w:val="21"/>
        </w:rPr>
        <w:t>9</w:t>
      </w:r>
      <w:r>
        <w:rPr>
          <w:rFonts w:ascii="Arial" w:hAnsi="Arial"/>
          <w:b/>
          <w:spacing w:val="-6"/>
          <w:sz w:val="21"/>
        </w:rPr>
        <w:t xml:space="preserve"> </w:t>
      </w:r>
      <w:r>
        <w:rPr>
          <w:rFonts w:ascii="Arial" w:hAnsi="Arial"/>
          <w:b/>
          <w:sz w:val="21"/>
        </w:rPr>
        <w:t>–</w:t>
      </w:r>
      <w:r>
        <w:rPr>
          <w:rFonts w:ascii="Arial" w:hAnsi="Arial"/>
          <w:b/>
          <w:spacing w:val="-5"/>
          <w:sz w:val="21"/>
        </w:rPr>
        <w:t xml:space="preserve"> </w:t>
      </w:r>
      <w:r>
        <w:rPr>
          <w:rFonts w:ascii="Arial" w:hAnsi="Arial"/>
          <w:b/>
          <w:sz w:val="21"/>
        </w:rPr>
        <w:t>Minus</w:t>
      </w:r>
      <w:r>
        <w:rPr>
          <w:rFonts w:ascii="Arial" w:hAnsi="Arial"/>
          <w:b/>
          <w:spacing w:val="-6"/>
          <w:sz w:val="21"/>
        </w:rPr>
        <w:t xml:space="preserve"> </w:t>
      </w:r>
      <w:r>
        <w:rPr>
          <w:rFonts w:ascii="Arial" w:hAnsi="Arial"/>
          <w:b/>
          <w:sz w:val="21"/>
        </w:rPr>
        <w:t>Manufacturer</w:t>
      </w:r>
      <w:r>
        <w:rPr>
          <w:rFonts w:ascii="Arial" w:hAnsi="Arial"/>
          <w:b/>
          <w:spacing w:val="-6"/>
          <w:sz w:val="21"/>
        </w:rPr>
        <w:t xml:space="preserve"> </w:t>
      </w:r>
      <w:r>
        <w:rPr>
          <w:rFonts w:ascii="Arial" w:hAnsi="Arial"/>
          <w:b/>
          <w:spacing w:val="-2"/>
          <w:sz w:val="21"/>
        </w:rPr>
        <w:t>Discount</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g</w:t>
      </w:r>
    </w:p>
    <w:p>
      <w:pPr>
        <w:pStyle w:val="BodyText"/>
        <w:ind w:left="1160"/>
      </w:pPr>
      <w:r>
        <w:t>The</w:t>
      </w:r>
      <w:r>
        <w:rPr>
          <w:spacing w:val="-3"/>
        </w:rPr>
        <w:t xml:space="preserve"> </w:t>
      </w:r>
      <w:r>
        <w:t>value is</w:t>
      </w:r>
      <w:r>
        <w:rPr>
          <w:spacing w:val="-1"/>
        </w:rPr>
        <w:t xml:space="preserve"> </w:t>
      </w:r>
      <w:r>
        <w:t>not applicable</w:t>
      </w:r>
      <w:r>
        <w:rPr>
          <w:spacing w:val="-1"/>
        </w:rPr>
        <w:t xml:space="preserve"> </w:t>
      </w:r>
      <w:r>
        <w:t xml:space="preserve">for </w:t>
      </w:r>
      <w:r>
        <w:rPr>
          <w:spacing w:val="-2"/>
        </w:rPr>
        <w:t>CY2026.</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pacing w:val="-10"/>
          <w:sz w:val="21"/>
        </w:rPr>
        <w:t>i</w:t>
      </w:r>
    </w:p>
    <w:p>
      <w:pPr>
        <w:pStyle w:val="BodyText"/>
        <w:spacing w:before="118"/>
        <w:ind w:left="1160"/>
      </w:pPr>
      <w:r>
        <w:t>The</w:t>
      </w:r>
      <w:r>
        <w:rPr>
          <w:spacing w:val="-3"/>
        </w:rPr>
        <w:t xml:space="preserve"> </w:t>
      </w:r>
      <w:r>
        <w:t>value is</w:t>
      </w:r>
      <w:r>
        <w:rPr>
          <w:spacing w:val="-1"/>
        </w:rPr>
        <w:t xml:space="preserve"> </w:t>
      </w:r>
      <w:r>
        <w:t>not applicable</w:t>
      </w:r>
      <w:r>
        <w:rPr>
          <w:spacing w:val="-1"/>
        </w:rPr>
        <w:t xml:space="preserve"> </w:t>
      </w:r>
      <w:r>
        <w:t xml:space="preserve">for </w:t>
      </w:r>
      <w:r>
        <w:rPr>
          <w:spacing w:val="-2"/>
        </w:rPr>
        <w:t>CY2026.</w:t>
      </w:r>
    </w:p>
    <w:p>
      <w:pPr>
        <w:pStyle w:val="ListParagraph"/>
        <w:numPr>
          <w:ilvl w:val="0"/>
          <w:numId w:val="10"/>
        </w:numPr>
        <w:tabs>
          <w:tab w:val="left" w:pos="1159"/>
        </w:tabs>
        <w:spacing w:before="120"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n</w:t>
      </w:r>
    </w:p>
    <w:p>
      <w:pPr>
        <w:pStyle w:val="BodyText"/>
        <w:spacing w:before="121"/>
        <w:ind w:left="1160"/>
      </w:pPr>
      <w:r>
        <w:t>The</w:t>
      </w:r>
      <w:r>
        <w:rPr>
          <w:spacing w:val="-3"/>
        </w:rPr>
        <w:t xml:space="preserve"> </w:t>
      </w:r>
      <w:r>
        <w:t>value</w:t>
      </w:r>
      <w:r>
        <w:rPr>
          <w:spacing w:val="-2"/>
        </w:rPr>
        <w:t xml:space="preserve"> </w:t>
      </w:r>
      <w:r>
        <w:t>is not</w:t>
      </w:r>
      <w:r>
        <w:rPr>
          <w:spacing w:val="-1"/>
        </w:rPr>
        <w:t xml:space="preserve"> </w:t>
      </w:r>
      <w:r>
        <w:t>applicable</w:t>
      </w:r>
      <w:r>
        <w:rPr>
          <w:spacing w:val="-1"/>
        </w:rPr>
        <w:t xml:space="preserve"> </w:t>
      </w:r>
      <w:r>
        <w:t xml:space="preserve">for </w:t>
      </w:r>
      <w:r>
        <w:rPr>
          <w:spacing w:val="-2"/>
        </w:rPr>
        <w:t>CY2026.</w:t>
      </w:r>
    </w:p>
    <w:p>
      <w:pPr>
        <w:spacing w:before="240"/>
        <w:ind w:left="440" w:right="0" w:firstLine="0"/>
        <w:jc w:val="left"/>
        <w:rPr>
          <w:rFonts w:ascii="Arial" w:hAnsi="Arial"/>
          <w:b/>
          <w:sz w:val="21"/>
        </w:rPr>
      </w:pPr>
      <w:bookmarkStart w:id="89" w:name="Line 10 – Net Average Paid Amount PMPM"/>
      <w:bookmarkEnd w:id="89"/>
      <w:r>
        <w:rPr>
          <w:rFonts w:ascii="Arial" w:hAnsi="Arial"/>
          <w:b/>
          <w:sz w:val="21"/>
        </w:rPr>
        <w:t>Line</w:t>
      </w:r>
      <w:r>
        <w:rPr>
          <w:rFonts w:ascii="Arial" w:hAnsi="Arial"/>
          <w:b/>
          <w:spacing w:val="-4"/>
          <w:sz w:val="21"/>
        </w:rPr>
        <w:t xml:space="preserve"> </w:t>
      </w:r>
      <w:r>
        <w:rPr>
          <w:rFonts w:ascii="Arial" w:hAnsi="Arial"/>
          <w:b/>
          <w:sz w:val="21"/>
        </w:rPr>
        <w:t>10</w:t>
      </w:r>
      <w:r>
        <w:rPr>
          <w:rFonts w:ascii="Arial" w:hAnsi="Arial"/>
          <w:b/>
          <w:spacing w:val="-3"/>
          <w:sz w:val="21"/>
        </w:rPr>
        <w:t xml:space="preserve"> </w:t>
      </w:r>
      <w:r>
        <w:rPr>
          <w:rFonts w:ascii="Arial" w:hAnsi="Arial"/>
          <w:b/>
          <w:sz w:val="21"/>
        </w:rPr>
        <w:t>–</w:t>
      </w:r>
      <w:r>
        <w:rPr>
          <w:rFonts w:ascii="Arial" w:hAnsi="Arial"/>
          <w:b/>
          <w:spacing w:val="-6"/>
          <w:sz w:val="21"/>
        </w:rPr>
        <w:t xml:space="preserve"> </w:t>
      </w:r>
      <w:r>
        <w:rPr>
          <w:rFonts w:ascii="Arial" w:hAnsi="Arial"/>
          <w:b/>
          <w:sz w:val="21"/>
        </w:rPr>
        <w:t>Net</w:t>
      </w:r>
      <w:r>
        <w:rPr>
          <w:rFonts w:ascii="Arial" w:hAnsi="Arial"/>
          <w:b/>
          <w:spacing w:val="-6"/>
          <w:sz w:val="21"/>
        </w:rPr>
        <w:t xml:space="preserve"> </w:t>
      </w:r>
      <w:r>
        <w:rPr>
          <w:rFonts w:ascii="Arial" w:hAnsi="Arial"/>
          <w:b/>
          <w:sz w:val="21"/>
        </w:rPr>
        <w:t>Average</w:t>
      </w:r>
      <w:r>
        <w:rPr>
          <w:rFonts w:ascii="Arial" w:hAnsi="Arial"/>
          <w:b/>
          <w:spacing w:val="-7"/>
          <w:sz w:val="21"/>
        </w:rPr>
        <w:t xml:space="preserve"> </w:t>
      </w:r>
      <w:r>
        <w:rPr>
          <w:rFonts w:ascii="Arial" w:hAnsi="Arial"/>
          <w:b/>
          <w:sz w:val="21"/>
        </w:rPr>
        <w:t>Paid</w:t>
      </w:r>
      <w:r>
        <w:rPr>
          <w:rFonts w:ascii="Arial" w:hAnsi="Arial"/>
          <w:b/>
          <w:spacing w:val="-2"/>
          <w:sz w:val="21"/>
        </w:rPr>
        <w:t xml:space="preserve"> </w:t>
      </w:r>
      <w:r>
        <w:rPr>
          <w:rFonts w:ascii="Arial" w:hAnsi="Arial"/>
          <w:b/>
          <w:sz w:val="21"/>
        </w:rPr>
        <w:t>Amount</w:t>
      </w:r>
      <w:r>
        <w:rPr>
          <w:rFonts w:ascii="Arial" w:hAnsi="Arial"/>
          <w:b/>
          <w:spacing w:val="-3"/>
          <w:sz w:val="21"/>
        </w:rPr>
        <w:t xml:space="preserve"> </w:t>
      </w:r>
      <w:r>
        <w:rPr>
          <w:rFonts w:ascii="Arial" w:hAnsi="Arial"/>
          <w:b/>
          <w:spacing w:val="-4"/>
          <w:sz w:val="21"/>
        </w:rPr>
        <w:t>PMPM</w:t>
      </w:r>
    </w:p>
    <w:p>
      <w:pPr>
        <w:pStyle w:val="ListParagraph"/>
        <w:numPr>
          <w:ilvl w:val="0"/>
          <w:numId w:val="10"/>
        </w:numPr>
        <w:tabs>
          <w:tab w:val="left" w:pos="1159"/>
        </w:tabs>
        <w:spacing w:before="119"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pacing w:val="-10"/>
          <w:sz w:val="21"/>
        </w:rPr>
        <w:t>i</w:t>
      </w:r>
    </w:p>
    <w:p>
      <w:pPr>
        <w:pStyle w:val="BodyText"/>
        <w:spacing w:before="121"/>
        <w:ind w:left="1160"/>
      </w:pPr>
      <w:r>
        <w:t>The</w:t>
      </w:r>
      <w:r>
        <w:rPr>
          <w:spacing w:val="-3"/>
        </w:rPr>
        <w:t xml:space="preserve"> </w:t>
      </w:r>
      <w:r>
        <w:t>value is</w:t>
      </w:r>
      <w:r>
        <w:rPr>
          <w:spacing w:val="-1"/>
        </w:rPr>
        <w:t xml:space="preserve"> </w:t>
      </w:r>
      <w:r>
        <w:t>calculated automatically in</w:t>
      </w:r>
      <w:r>
        <w:rPr>
          <w:spacing w:val="-1"/>
        </w:rPr>
        <w:t xml:space="preserve"> </w:t>
      </w:r>
      <w:r>
        <w:t>the</w:t>
      </w:r>
      <w:r>
        <w:rPr>
          <w:spacing w:val="-1"/>
        </w:rPr>
        <w:t xml:space="preserve"> </w:t>
      </w:r>
      <w:r>
        <w:t>BPT</w:t>
      </w:r>
      <w:r>
        <w:rPr>
          <w:spacing w:val="-3"/>
        </w:rPr>
        <w:t xml:space="preserve"> </w:t>
      </w:r>
      <w:r>
        <w:t>as</w:t>
      </w:r>
      <w:r>
        <w:rPr>
          <w:spacing w:val="-1"/>
        </w:rPr>
        <w:t xml:space="preserve"> </w:t>
      </w:r>
      <w:r>
        <w:t>line</w:t>
      </w:r>
      <w:r>
        <w:rPr>
          <w:spacing w:val="3"/>
        </w:rPr>
        <w:t xml:space="preserve"> </w:t>
      </w:r>
      <w:r>
        <w:t>6</w:t>
      </w:r>
      <w:r>
        <w:rPr>
          <w:spacing w:val="-1"/>
        </w:rPr>
        <w:t xml:space="preserve"> </w:t>
      </w:r>
      <w:r>
        <w:t>minus line 7</w:t>
      </w:r>
      <w:r>
        <w:rPr>
          <w:spacing w:val="-1"/>
        </w:rPr>
        <w:t xml:space="preserve"> </w:t>
      </w:r>
      <w:r>
        <w:t>plus line</w:t>
      </w:r>
      <w:r>
        <w:rPr>
          <w:spacing w:val="-1"/>
        </w:rPr>
        <w:t xml:space="preserve"> </w:t>
      </w:r>
      <w:r>
        <w:rPr>
          <w:spacing w:val="-5"/>
        </w:rPr>
        <w:t>8.</w:t>
      </w:r>
    </w:p>
    <w:p>
      <w:pPr>
        <w:pStyle w:val="ListParagraph"/>
        <w:numPr>
          <w:ilvl w:val="0"/>
          <w:numId w:val="10"/>
        </w:numPr>
        <w:tabs>
          <w:tab w:val="left" w:pos="1159"/>
        </w:tabs>
        <w:spacing w:before="120" w:after="0" w:line="240" w:lineRule="auto"/>
        <w:ind w:left="1159" w:right="0" w:hanging="359"/>
        <w:jc w:val="left"/>
        <w:rPr>
          <w:rFonts w:ascii="Arial" w:hAnsi="Arial"/>
          <w:b/>
          <w:sz w:val="21"/>
        </w:rPr>
      </w:pPr>
      <w:r>
        <w:rPr>
          <w:rFonts w:ascii="Arial" w:hAnsi="Arial"/>
          <w:b/>
          <w:sz w:val="21"/>
        </w:rPr>
        <w:t>Column</w:t>
      </w:r>
      <w:r>
        <w:rPr>
          <w:rFonts w:ascii="Arial" w:hAnsi="Arial"/>
          <w:b/>
          <w:spacing w:val="-5"/>
          <w:sz w:val="21"/>
        </w:rPr>
        <w:t xml:space="preserve"> </w:t>
      </w:r>
      <w:r>
        <w:rPr>
          <w:rFonts w:ascii="Arial" w:hAnsi="Arial"/>
          <w:b/>
          <w:sz w:val="21"/>
        </w:rPr>
        <w:t>k</w:t>
      </w:r>
      <w:r>
        <w:rPr>
          <w:rFonts w:ascii="Arial" w:hAnsi="Arial"/>
          <w:b/>
          <w:spacing w:val="-5"/>
          <w:sz w:val="21"/>
        </w:rPr>
        <w:t xml:space="preserve"> </w:t>
      </w:r>
      <w:r>
        <w:rPr>
          <w:rFonts w:ascii="Arial" w:hAnsi="Arial"/>
          <w:b/>
          <w:sz w:val="21"/>
        </w:rPr>
        <w:t>through</w:t>
      </w:r>
      <w:r>
        <w:rPr>
          <w:rFonts w:ascii="Arial" w:hAnsi="Arial"/>
          <w:b/>
          <w:spacing w:val="-4"/>
          <w:sz w:val="21"/>
        </w:rPr>
        <w:t xml:space="preserve"> </w:t>
      </w:r>
      <w:r>
        <w:rPr>
          <w:rFonts w:ascii="Arial" w:hAnsi="Arial"/>
          <w:b/>
          <w:spacing w:val="-10"/>
          <w:sz w:val="21"/>
        </w:rPr>
        <w:t>m</w:t>
      </w:r>
    </w:p>
    <w:p>
      <w:pPr>
        <w:pStyle w:val="BodyText"/>
        <w:ind w:left="1160" w:right="813"/>
      </w:pPr>
      <w:r>
        <w:t>The</w:t>
      </w:r>
      <w:r>
        <w:rPr>
          <w:spacing w:val="-5"/>
        </w:rPr>
        <w:t xml:space="preserve"> </w:t>
      </w:r>
      <w:r>
        <w:t>values</w:t>
      </w:r>
      <w:r>
        <w:rPr>
          <w:spacing w:val="-3"/>
        </w:rPr>
        <w:t xml:space="preserve"> </w:t>
      </w:r>
      <w:r>
        <w:t>are</w:t>
      </w:r>
      <w:r>
        <w:rPr>
          <w:spacing w:val="-5"/>
        </w:rPr>
        <w:t xml:space="preserve"> </w:t>
      </w:r>
      <w:r>
        <w:t>calculated</w:t>
      </w:r>
      <w:r>
        <w:rPr>
          <w:spacing w:val="-2"/>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3"/>
        </w:rPr>
        <w:t xml:space="preserve"> </w:t>
      </w:r>
      <w:r>
        <w:t>as</w:t>
      </w:r>
      <w:r>
        <w:rPr>
          <w:spacing w:val="-3"/>
        </w:rPr>
        <w:t xml:space="preserve"> </w:t>
      </w:r>
      <w:r>
        <w:t>line 6</w:t>
      </w:r>
      <w:r>
        <w:rPr>
          <w:spacing w:val="-3"/>
        </w:rPr>
        <w:t xml:space="preserve"> </w:t>
      </w:r>
      <w:r>
        <w:t>minus</w:t>
      </w:r>
      <w:r>
        <w:rPr>
          <w:spacing w:val="-3"/>
        </w:rPr>
        <w:t xml:space="preserve"> </w:t>
      </w:r>
      <w:r>
        <w:t>line</w:t>
      </w:r>
      <w:r>
        <w:rPr>
          <w:spacing w:val="-3"/>
        </w:rPr>
        <w:t xml:space="preserve"> </w:t>
      </w:r>
      <w:r>
        <w:t>7</w:t>
      </w:r>
      <w:r>
        <w:rPr>
          <w:spacing w:val="-3"/>
        </w:rPr>
        <w:t xml:space="preserve"> </w:t>
      </w:r>
      <w:r>
        <w:t>plus</w:t>
      </w:r>
      <w:r>
        <w:rPr>
          <w:spacing w:val="-3"/>
        </w:rPr>
        <w:t xml:space="preserve"> </w:t>
      </w:r>
      <w:r>
        <w:t xml:space="preserve">line </w:t>
      </w:r>
      <w:r>
        <w:rPr>
          <w:spacing w:val="-6"/>
        </w:rPr>
        <w:t>8.</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n</w:t>
      </w:r>
    </w:p>
    <w:p>
      <w:pPr>
        <w:pStyle w:val="BodyText"/>
        <w:spacing w:before="118"/>
        <w:ind w:left="1160" w:right="979"/>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column</w:t>
      </w:r>
      <w:r>
        <w:rPr>
          <w:spacing w:val="-3"/>
        </w:rPr>
        <w:t xml:space="preserve"> </w:t>
      </w:r>
      <w:r>
        <w:t>i</w:t>
      </w:r>
      <w:r>
        <w:rPr>
          <w:spacing w:val="-3"/>
        </w:rPr>
        <w:t xml:space="preserve"> </w:t>
      </w:r>
      <w:r>
        <w:t>minus</w:t>
      </w:r>
      <w:r>
        <w:rPr>
          <w:spacing w:val="-3"/>
        </w:rPr>
        <w:t xml:space="preserve"> </w:t>
      </w:r>
      <w:r>
        <w:t>columns k through m.</w:t>
      </w:r>
    </w:p>
    <w:p>
      <w:pPr>
        <w:spacing w:before="241"/>
        <w:ind w:left="440" w:right="0" w:firstLine="0"/>
        <w:jc w:val="left"/>
        <w:rPr>
          <w:rFonts w:ascii="Arial" w:hAnsi="Arial"/>
          <w:b/>
          <w:sz w:val="21"/>
        </w:rPr>
      </w:pPr>
      <w:bookmarkStart w:id="90" w:name="Line 11 – Non-Covered Supplemental Drugs"/>
      <w:bookmarkEnd w:id="90"/>
      <w:r>
        <w:rPr>
          <w:rFonts w:ascii="Arial" w:hAnsi="Arial"/>
          <w:b/>
          <w:sz w:val="21"/>
        </w:rPr>
        <w:t>Line</w:t>
      </w:r>
      <w:r>
        <w:rPr>
          <w:rFonts w:ascii="Arial" w:hAnsi="Arial"/>
          <w:b/>
          <w:spacing w:val="-7"/>
          <w:sz w:val="21"/>
        </w:rPr>
        <w:t xml:space="preserve"> </w:t>
      </w:r>
      <w:r>
        <w:rPr>
          <w:rFonts w:ascii="Arial" w:hAnsi="Arial"/>
          <w:b/>
          <w:sz w:val="21"/>
        </w:rPr>
        <w:t>11</w:t>
      </w:r>
      <w:r>
        <w:rPr>
          <w:rFonts w:ascii="Arial" w:hAnsi="Arial"/>
          <w:b/>
          <w:spacing w:val="-6"/>
          <w:sz w:val="21"/>
        </w:rPr>
        <w:t xml:space="preserve"> </w:t>
      </w:r>
      <w:r>
        <w:rPr>
          <w:rFonts w:ascii="Arial" w:hAnsi="Arial"/>
          <w:b/>
          <w:sz w:val="21"/>
        </w:rPr>
        <w:t>–</w:t>
      </w:r>
      <w:r>
        <w:rPr>
          <w:rFonts w:ascii="Arial" w:hAnsi="Arial"/>
          <w:b/>
          <w:spacing w:val="-9"/>
          <w:sz w:val="21"/>
        </w:rPr>
        <w:t xml:space="preserve"> </w:t>
      </w:r>
      <w:r>
        <w:rPr>
          <w:rFonts w:ascii="Arial" w:hAnsi="Arial"/>
          <w:b/>
          <w:sz w:val="21"/>
        </w:rPr>
        <w:t>Non-Covered</w:t>
      </w:r>
      <w:r>
        <w:rPr>
          <w:rFonts w:ascii="Arial" w:hAnsi="Arial"/>
          <w:b/>
          <w:spacing w:val="-5"/>
          <w:sz w:val="21"/>
        </w:rPr>
        <w:t xml:space="preserve"> </w:t>
      </w:r>
      <w:r>
        <w:rPr>
          <w:rFonts w:ascii="Arial" w:hAnsi="Arial"/>
          <w:b/>
          <w:sz w:val="21"/>
        </w:rPr>
        <w:t>Supplemental</w:t>
      </w:r>
      <w:r>
        <w:rPr>
          <w:rFonts w:ascii="Arial" w:hAnsi="Arial"/>
          <w:b/>
          <w:spacing w:val="-7"/>
          <w:sz w:val="21"/>
        </w:rPr>
        <w:t xml:space="preserve"> </w:t>
      </w:r>
      <w:r>
        <w:rPr>
          <w:rFonts w:ascii="Arial" w:hAnsi="Arial"/>
          <w:b/>
          <w:spacing w:val="-4"/>
          <w:sz w:val="21"/>
        </w:rPr>
        <w:t>Drugs</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g</w:t>
      </w:r>
    </w:p>
    <w:p>
      <w:pPr>
        <w:pStyle w:val="BodyText"/>
        <w:spacing w:before="118"/>
        <w:ind w:left="1160" w:right="979"/>
      </w:pPr>
      <w:r>
        <w:t>Enter</w:t>
      </w:r>
      <w:r>
        <w:rPr>
          <w:spacing w:val="-3"/>
        </w:rPr>
        <w:t xml:space="preserve"> </w:t>
      </w:r>
      <w:r>
        <w:t>the</w:t>
      </w:r>
      <w:r>
        <w:rPr>
          <w:spacing w:val="-5"/>
        </w:rPr>
        <w:t xml:space="preserve"> </w:t>
      </w:r>
      <w:r>
        <w:t>total</w:t>
      </w:r>
      <w:r>
        <w:rPr>
          <w:spacing w:val="-2"/>
        </w:rPr>
        <w:t xml:space="preserve"> </w:t>
      </w:r>
      <w:r>
        <w:t>plan</w:t>
      </w:r>
      <w:r>
        <w:rPr>
          <w:spacing w:val="-3"/>
        </w:rPr>
        <w:t xml:space="preserve"> </w:t>
      </w:r>
      <w:r>
        <w:t>paid</w:t>
      </w:r>
      <w:r>
        <w:rPr>
          <w:spacing w:val="-2"/>
        </w:rPr>
        <w:t xml:space="preserve"> </w:t>
      </w:r>
      <w:r>
        <w:t>amount</w:t>
      </w:r>
      <w:r>
        <w:rPr>
          <w:spacing w:val="-2"/>
        </w:rPr>
        <w:t xml:space="preserve"> </w:t>
      </w:r>
      <w:r>
        <w:t>for</w:t>
      </w:r>
      <w:r>
        <w:rPr>
          <w:spacing w:val="-5"/>
        </w:rPr>
        <w:t xml:space="preserve"> </w:t>
      </w:r>
      <w:r>
        <w:t>prescription</w:t>
      </w:r>
      <w:r>
        <w:rPr>
          <w:spacing w:val="-3"/>
        </w:rPr>
        <w:t xml:space="preserve"> </w:t>
      </w:r>
      <w:r>
        <w:t>drugs</w:t>
      </w:r>
      <w:r>
        <w:rPr>
          <w:spacing w:val="-3"/>
        </w:rPr>
        <w:t xml:space="preserve"> </w:t>
      </w:r>
      <w:r>
        <w:t>that</w:t>
      </w:r>
      <w:r>
        <w:rPr>
          <w:spacing w:val="-3"/>
        </w:rPr>
        <w:t xml:space="preserve"> </w:t>
      </w:r>
      <w:r>
        <w:t>are</w:t>
      </w:r>
      <w:r>
        <w:rPr>
          <w:spacing w:val="-2"/>
        </w:rPr>
        <w:t xml:space="preserve"> </w:t>
      </w:r>
      <w:r>
        <w:t>covered</w:t>
      </w:r>
      <w:r>
        <w:rPr>
          <w:spacing w:val="-3"/>
        </w:rPr>
        <w:t xml:space="preserve"> </w:t>
      </w:r>
      <w:r>
        <w:t>by</w:t>
      </w:r>
      <w:r>
        <w:rPr>
          <w:spacing w:val="-3"/>
        </w:rPr>
        <w:t xml:space="preserve"> </w:t>
      </w:r>
      <w:r>
        <w:t>the plan but are not Part D-covered drugs.</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pacing w:val="-10"/>
          <w:sz w:val="21"/>
        </w:rPr>
        <w:t>i</w:t>
      </w:r>
    </w:p>
    <w:p>
      <w:pPr>
        <w:pStyle w:val="BodyText"/>
        <w:ind w:left="1160" w:right="478"/>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1"/>
        </w:rPr>
        <w:t xml:space="preserve"> </w:t>
      </w:r>
      <w:r>
        <w:t>BPT</w:t>
      </w:r>
      <w:r>
        <w:rPr>
          <w:spacing w:val="-6"/>
        </w:rPr>
        <w:t xml:space="preserve"> </w:t>
      </w:r>
      <w:r>
        <w:t>as</w:t>
      </w:r>
      <w:r>
        <w:rPr>
          <w:spacing w:val="-3"/>
        </w:rPr>
        <w:t xml:space="preserve"> </w:t>
      </w:r>
      <w:r>
        <w:t>column</w:t>
      </w:r>
      <w:r>
        <w:rPr>
          <w:spacing w:val="-3"/>
        </w:rPr>
        <w:t xml:space="preserve"> </w:t>
      </w:r>
      <w:r>
        <w:t>g</w:t>
      </w:r>
      <w:r>
        <w:rPr>
          <w:spacing w:val="-3"/>
        </w:rPr>
        <w:t xml:space="preserve"> </w:t>
      </w:r>
      <w:r>
        <w:t>divided</w:t>
      </w:r>
      <w:r>
        <w:rPr>
          <w:spacing w:val="-3"/>
        </w:rPr>
        <w:t xml:space="preserve"> </w:t>
      </w:r>
      <w:r>
        <w:t>by</w:t>
      </w:r>
      <w:r>
        <w:rPr>
          <w:spacing w:val="-3"/>
        </w:rPr>
        <w:t xml:space="preserve"> </w:t>
      </w:r>
      <w:r>
        <w:t>line</w:t>
      </w:r>
      <w:r>
        <w:rPr>
          <w:spacing w:val="-2"/>
        </w:rPr>
        <w:t xml:space="preserve"> </w:t>
      </w:r>
      <w:r>
        <w:t>5, column e.</w:t>
      </w:r>
    </w:p>
    <w:p>
      <w:pPr>
        <w:spacing w:after="0"/>
        <w:sectPr>
          <w:pgSz w:w="12240" w:h="15840"/>
          <w:pgMar w:top="1340" w:right="1000" w:bottom="1080" w:left="1360" w:header="727" w:footer="891"/>
          <w:cols w:space="720"/>
        </w:sectPr>
      </w:pPr>
    </w:p>
    <w:p>
      <w:pPr>
        <w:spacing w:before="87"/>
        <w:ind w:left="440" w:right="0" w:firstLine="0"/>
        <w:jc w:val="left"/>
        <w:rPr>
          <w:rFonts w:ascii="Arial" w:hAnsi="Arial"/>
          <w:b/>
          <w:sz w:val="21"/>
        </w:rPr>
      </w:pPr>
      <w:bookmarkStart w:id="91" w:name="Line 12 – Rebates on Supplemental Drugs"/>
      <w:bookmarkEnd w:id="91"/>
      <w:r>
        <w:rPr>
          <w:rFonts w:ascii="Arial" w:hAnsi="Arial"/>
          <w:b/>
          <w:sz w:val="21"/>
        </w:rPr>
        <w:t>Line</w:t>
      </w:r>
      <w:r>
        <w:rPr>
          <w:rFonts w:ascii="Arial" w:hAnsi="Arial"/>
          <w:b/>
          <w:spacing w:val="-5"/>
          <w:sz w:val="21"/>
        </w:rPr>
        <w:t xml:space="preserve"> </w:t>
      </w:r>
      <w:r>
        <w:rPr>
          <w:rFonts w:ascii="Arial" w:hAnsi="Arial"/>
          <w:b/>
          <w:sz w:val="21"/>
        </w:rPr>
        <w:t>12</w:t>
      </w:r>
      <w:r>
        <w:rPr>
          <w:rFonts w:ascii="Arial" w:hAnsi="Arial"/>
          <w:b/>
          <w:spacing w:val="-5"/>
          <w:sz w:val="21"/>
        </w:rPr>
        <w:t xml:space="preserve"> </w:t>
      </w:r>
      <w:r>
        <w:rPr>
          <w:rFonts w:ascii="Arial" w:hAnsi="Arial"/>
          <w:b/>
          <w:sz w:val="21"/>
        </w:rPr>
        <w:t>–</w:t>
      </w:r>
      <w:r>
        <w:rPr>
          <w:rFonts w:ascii="Arial" w:hAnsi="Arial"/>
          <w:b/>
          <w:spacing w:val="-7"/>
          <w:sz w:val="21"/>
        </w:rPr>
        <w:t xml:space="preserve"> </w:t>
      </w:r>
      <w:r>
        <w:rPr>
          <w:rFonts w:ascii="Arial" w:hAnsi="Arial"/>
          <w:b/>
          <w:sz w:val="21"/>
        </w:rPr>
        <w:t>Rebates</w:t>
      </w:r>
      <w:r>
        <w:rPr>
          <w:rFonts w:ascii="Arial" w:hAnsi="Arial"/>
          <w:b/>
          <w:spacing w:val="-4"/>
          <w:sz w:val="21"/>
        </w:rPr>
        <w:t xml:space="preserve"> </w:t>
      </w:r>
      <w:r>
        <w:rPr>
          <w:rFonts w:ascii="Arial" w:hAnsi="Arial"/>
          <w:b/>
          <w:sz w:val="21"/>
        </w:rPr>
        <w:t>on</w:t>
      </w:r>
      <w:r>
        <w:rPr>
          <w:rFonts w:ascii="Arial" w:hAnsi="Arial"/>
          <w:b/>
          <w:spacing w:val="-4"/>
          <w:sz w:val="21"/>
        </w:rPr>
        <w:t xml:space="preserve"> </w:t>
      </w:r>
      <w:r>
        <w:rPr>
          <w:rFonts w:ascii="Arial" w:hAnsi="Arial"/>
          <w:b/>
          <w:sz w:val="21"/>
        </w:rPr>
        <w:t>Supplemental</w:t>
      </w:r>
      <w:r>
        <w:rPr>
          <w:rFonts w:ascii="Arial" w:hAnsi="Arial"/>
          <w:b/>
          <w:spacing w:val="-8"/>
          <w:sz w:val="21"/>
        </w:rPr>
        <w:t xml:space="preserve"> </w:t>
      </w:r>
      <w:r>
        <w:rPr>
          <w:rFonts w:ascii="Arial" w:hAnsi="Arial"/>
          <w:b/>
          <w:spacing w:val="-4"/>
          <w:sz w:val="21"/>
        </w:rPr>
        <w:t>Drugs</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g</w:t>
      </w:r>
    </w:p>
    <w:p>
      <w:pPr>
        <w:pStyle w:val="BodyText"/>
        <w:spacing w:before="118"/>
        <w:ind w:left="1160" w:right="813"/>
      </w:pPr>
      <w:r>
        <w:t>Enter</w:t>
      </w:r>
      <w:r>
        <w:rPr>
          <w:spacing w:val="-3"/>
        </w:rPr>
        <w:t xml:space="preserve"> </w:t>
      </w:r>
      <w:r>
        <w:t>the</w:t>
      </w:r>
      <w:r>
        <w:rPr>
          <w:spacing w:val="-5"/>
        </w:rPr>
        <w:t xml:space="preserve"> </w:t>
      </w:r>
      <w:r>
        <w:t>total</w:t>
      </w:r>
      <w:r>
        <w:rPr>
          <w:spacing w:val="-3"/>
        </w:rPr>
        <w:t xml:space="preserve"> </w:t>
      </w:r>
      <w:r>
        <w:t>amount</w:t>
      </w:r>
      <w:r>
        <w:rPr>
          <w:spacing w:val="-3"/>
        </w:rPr>
        <w:t xml:space="preserve"> </w:t>
      </w:r>
      <w:r>
        <w:t>of</w:t>
      </w:r>
      <w:r>
        <w:rPr>
          <w:spacing w:val="-2"/>
        </w:rPr>
        <w:t xml:space="preserve"> </w:t>
      </w:r>
      <w:r>
        <w:t>rebates</w:t>
      </w:r>
      <w:r>
        <w:rPr>
          <w:spacing w:val="-4"/>
        </w:rPr>
        <w:t xml:space="preserve"> </w:t>
      </w:r>
      <w:r>
        <w:t>received</w:t>
      </w:r>
      <w:r>
        <w:rPr>
          <w:spacing w:val="-3"/>
        </w:rPr>
        <w:t xml:space="preserve"> </w:t>
      </w:r>
      <w:r>
        <w:t>as</w:t>
      </w:r>
      <w:r>
        <w:rPr>
          <w:spacing w:val="-4"/>
        </w:rPr>
        <w:t xml:space="preserve"> </w:t>
      </w:r>
      <w:r>
        <w:t>of</w:t>
      </w:r>
      <w:r>
        <w:rPr>
          <w:spacing w:val="-3"/>
        </w:rPr>
        <w:t xml:space="preserve"> </w:t>
      </w:r>
      <w:r>
        <w:t>the</w:t>
      </w:r>
      <w:r>
        <w:rPr>
          <w:spacing w:val="-4"/>
        </w:rPr>
        <w:t xml:space="preserve"> </w:t>
      </w:r>
      <w:r>
        <w:t>“Paid</w:t>
      </w:r>
      <w:r>
        <w:rPr>
          <w:spacing w:val="-3"/>
        </w:rPr>
        <w:t xml:space="preserve"> </w:t>
      </w:r>
      <w:r>
        <w:t>through”</w:t>
      </w:r>
      <w:r>
        <w:rPr>
          <w:spacing w:val="-5"/>
        </w:rPr>
        <w:t xml:space="preserve"> </w:t>
      </w:r>
      <w:r>
        <w:t>date</w:t>
      </w:r>
      <w:r>
        <w:rPr>
          <w:spacing w:val="-3"/>
        </w:rPr>
        <w:t xml:space="preserve"> </w:t>
      </w:r>
      <w:r>
        <w:t>in</w:t>
      </w:r>
      <w:r>
        <w:rPr>
          <w:spacing w:val="-3"/>
        </w:rPr>
        <w:t xml:space="preserve"> </w:t>
      </w:r>
      <w:r>
        <w:t>Section II and expected to be received for the claims in line 11. Total rebates include all direct and indirect remuneration received after the point-of-sale transaction.</w:t>
      </w:r>
    </w:p>
    <w:p>
      <w:pPr>
        <w:pStyle w:val="BodyText"/>
        <w:spacing w:before="0"/>
        <w:ind w:left="1160" w:right="895"/>
        <w:jc w:val="both"/>
      </w:pPr>
      <w:r>
        <w:t>Report</w:t>
      </w:r>
      <w:r>
        <w:rPr>
          <w:spacing w:val="-3"/>
        </w:rPr>
        <w:t xml:space="preserve"> </w:t>
      </w:r>
      <w:r>
        <w:t>the</w:t>
      </w:r>
      <w:r>
        <w:rPr>
          <w:spacing w:val="-3"/>
        </w:rPr>
        <w:t xml:space="preserve"> </w:t>
      </w:r>
      <w:r>
        <w:t>rebates</w:t>
      </w:r>
      <w:r>
        <w:rPr>
          <w:spacing w:val="-3"/>
        </w:rPr>
        <w:t xml:space="preserve"> </w:t>
      </w:r>
      <w:r>
        <w:t>at</w:t>
      </w:r>
      <w:r>
        <w:rPr>
          <w:spacing w:val="-3"/>
        </w:rPr>
        <w:t xml:space="preserve"> </w:t>
      </w:r>
      <w:r>
        <w:t>the</w:t>
      </w:r>
      <w:r>
        <w:rPr>
          <w:spacing w:val="-2"/>
        </w:rPr>
        <w:t xml:space="preserve"> </w:t>
      </w:r>
      <w:r>
        <w:t>PBP</w:t>
      </w:r>
      <w:r>
        <w:rPr>
          <w:spacing w:val="-3"/>
        </w:rPr>
        <w:t xml:space="preserve"> </w:t>
      </w:r>
      <w:r>
        <w:t>level. If</w:t>
      </w:r>
      <w:r>
        <w:rPr>
          <w:spacing w:val="-3"/>
        </w:rPr>
        <w:t xml:space="preserve"> </w:t>
      </w:r>
      <w:r>
        <w:t>the</w:t>
      </w:r>
      <w:r>
        <w:rPr>
          <w:spacing w:val="-4"/>
        </w:rPr>
        <w:t xml:space="preserve"> </w:t>
      </w:r>
      <w:r>
        <w:t>Part</w:t>
      </w:r>
      <w:r>
        <w:rPr>
          <w:spacing w:val="-3"/>
        </w:rPr>
        <w:t xml:space="preserve"> </w:t>
      </w:r>
      <w:r>
        <w:t>D</w:t>
      </w:r>
      <w:r>
        <w:rPr>
          <w:spacing w:val="-4"/>
        </w:rPr>
        <w:t xml:space="preserve"> </w:t>
      </w:r>
      <w:r>
        <w:t>sponsor</w:t>
      </w:r>
      <w:r>
        <w:rPr>
          <w:spacing w:val="-3"/>
        </w:rPr>
        <w:t xml:space="preserve"> </w:t>
      </w:r>
      <w:r>
        <w:t>does</w:t>
      </w:r>
      <w:r>
        <w:rPr>
          <w:spacing w:val="-3"/>
        </w:rPr>
        <w:t xml:space="preserve"> </w:t>
      </w:r>
      <w:r>
        <w:t>not</w:t>
      </w:r>
      <w:r>
        <w:rPr>
          <w:spacing w:val="-3"/>
        </w:rPr>
        <w:t xml:space="preserve"> </w:t>
      </w:r>
      <w:r>
        <w:t>receive</w:t>
      </w:r>
      <w:r>
        <w:rPr>
          <w:spacing w:val="-3"/>
        </w:rPr>
        <w:t xml:space="preserve"> </w:t>
      </w:r>
      <w:r>
        <w:t>rebates at the PBP level, then an allocation methodology may be used. The</w:t>
      </w:r>
      <w:r>
        <w:rPr>
          <w:spacing w:val="-1"/>
        </w:rPr>
        <w:t xml:space="preserve"> </w:t>
      </w:r>
      <w:r>
        <w:t>methodology used for reporting rebates must be substantiated in the supporting documentation that is uploaded into HPMS with the initial bid submission.</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pacing w:val="-10"/>
          <w:sz w:val="21"/>
        </w:rPr>
        <w:t>i</w:t>
      </w:r>
    </w:p>
    <w:p>
      <w:pPr>
        <w:pStyle w:val="BodyText"/>
        <w:ind w:left="1160" w:right="478"/>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column</w:t>
      </w:r>
      <w:r>
        <w:rPr>
          <w:spacing w:val="-3"/>
        </w:rPr>
        <w:t xml:space="preserve"> </w:t>
      </w:r>
      <w:r>
        <w:t>g</w:t>
      </w:r>
      <w:r>
        <w:rPr>
          <w:spacing w:val="-3"/>
        </w:rPr>
        <w:t xml:space="preserve"> </w:t>
      </w:r>
      <w:r>
        <w:t>divided</w:t>
      </w:r>
      <w:r>
        <w:rPr>
          <w:spacing w:val="-3"/>
        </w:rPr>
        <w:t xml:space="preserve"> </w:t>
      </w:r>
      <w:r>
        <w:t>by</w:t>
      </w:r>
      <w:r>
        <w:rPr>
          <w:spacing w:val="-3"/>
        </w:rPr>
        <w:t xml:space="preserve"> </w:t>
      </w:r>
      <w:r>
        <w:t>line 5, column e.</w:t>
      </w:r>
    </w:p>
    <w:p>
      <w:pPr>
        <w:spacing w:before="242"/>
        <w:ind w:left="440" w:right="0" w:firstLine="0"/>
        <w:jc w:val="left"/>
        <w:rPr>
          <w:rFonts w:ascii="Arial" w:hAnsi="Arial"/>
          <w:b/>
          <w:sz w:val="21"/>
        </w:rPr>
      </w:pPr>
      <w:bookmarkStart w:id="92" w:name="Line 13, columns i and n – Net PMPM on S"/>
      <w:bookmarkEnd w:id="92"/>
      <w:r>
        <w:rPr>
          <w:rFonts w:ascii="Arial" w:hAnsi="Arial"/>
          <w:b/>
          <w:sz w:val="21"/>
        </w:rPr>
        <w:t>Line</w:t>
      </w:r>
      <w:r>
        <w:rPr>
          <w:rFonts w:ascii="Arial" w:hAnsi="Arial"/>
          <w:b/>
          <w:spacing w:val="-4"/>
          <w:sz w:val="21"/>
        </w:rPr>
        <w:t xml:space="preserve"> </w:t>
      </w:r>
      <w:r>
        <w:rPr>
          <w:rFonts w:ascii="Arial" w:hAnsi="Arial"/>
          <w:b/>
          <w:sz w:val="21"/>
        </w:rPr>
        <w:t>13,</w:t>
      </w:r>
      <w:r>
        <w:rPr>
          <w:rFonts w:ascii="Arial" w:hAnsi="Arial"/>
          <w:b/>
          <w:spacing w:val="-5"/>
          <w:sz w:val="21"/>
        </w:rPr>
        <w:t xml:space="preserve"> </w:t>
      </w:r>
      <w:r>
        <w:rPr>
          <w:rFonts w:ascii="Arial" w:hAnsi="Arial"/>
          <w:b/>
          <w:sz w:val="21"/>
        </w:rPr>
        <w:t>columns</w:t>
      </w:r>
      <w:r>
        <w:rPr>
          <w:rFonts w:ascii="Arial" w:hAnsi="Arial"/>
          <w:b/>
          <w:spacing w:val="-3"/>
          <w:sz w:val="21"/>
        </w:rPr>
        <w:t xml:space="preserve"> </w:t>
      </w:r>
      <w:r>
        <w:rPr>
          <w:rFonts w:ascii="Arial" w:hAnsi="Arial"/>
          <w:b/>
          <w:sz w:val="21"/>
        </w:rPr>
        <w:t>i</w:t>
      </w:r>
      <w:r>
        <w:rPr>
          <w:rFonts w:ascii="Arial" w:hAnsi="Arial"/>
          <w:b/>
          <w:spacing w:val="-5"/>
          <w:sz w:val="21"/>
        </w:rPr>
        <w:t xml:space="preserve"> </w:t>
      </w:r>
      <w:r>
        <w:rPr>
          <w:rFonts w:ascii="Arial" w:hAnsi="Arial"/>
          <w:b/>
          <w:sz w:val="21"/>
        </w:rPr>
        <w:t>and</w:t>
      </w:r>
      <w:r>
        <w:rPr>
          <w:rFonts w:ascii="Arial" w:hAnsi="Arial"/>
          <w:b/>
          <w:spacing w:val="-3"/>
          <w:sz w:val="21"/>
        </w:rPr>
        <w:t xml:space="preserve"> </w:t>
      </w:r>
      <w:r>
        <w:rPr>
          <w:rFonts w:ascii="Arial" w:hAnsi="Arial"/>
          <w:b/>
          <w:sz w:val="21"/>
        </w:rPr>
        <w:t>n</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Net</w:t>
      </w:r>
      <w:r>
        <w:rPr>
          <w:rFonts w:ascii="Arial" w:hAnsi="Arial"/>
          <w:b/>
          <w:spacing w:val="-5"/>
          <w:sz w:val="21"/>
        </w:rPr>
        <w:t xml:space="preserve"> </w:t>
      </w:r>
      <w:r>
        <w:rPr>
          <w:rFonts w:ascii="Arial" w:hAnsi="Arial"/>
          <w:b/>
          <w:sz w:val="21"/>
        </w:rPr>
        <w:t>PMPM</w:t>
      </w:r>
      <w:r>
        <w:rPr>
          <w:rFonts w:ascii="Arial" w:hAnsi="Arial"/>
          <w:b/>
          <w:spacing w:val="-5"/>
          <w:sz w:val="21"/>
        </w:rPr>
        <w:t xml:space="preserve"> </w:t>
      </w:r>
      <w:r>
        <w:rPr>
          <w:rFonts w:ascii="Arial" w:hAnsi="Arial"/>
          <w:b/>
          <w:sz w:val="21"/>
        </w:rPr>
        <w:t>on</w:t>
      </w:r>
      <w:r>
        <w:rPr>
          <w:rFonts w:ascii="Arial" w:hAnsi="Arial"/>
          <w:b/>
          <w:spacing w:val="-3"/>
          <w:sz w:val="21"/>
        </w:rPr>
        <w:t xml:space="preserve"> </w:t>
      </w:r>
      <w:r>
        <w:rPr>
          <w:rFonts w:ascii="Arial" w:hAnsi="Arial"/>
          <w:b/>
          <w:sz w:val="21"/>
        </w:rPr>
        <w:t>Supplemental</w:t>
      </w:r>
      <w:r>
        <w:rPr>
          <w:rFonts w:ascii="Arial" w:hAnsi="Arial"/>
          <w:b/>
          <w:spacing w:val="-5"/>
          <w:sz w:val="21"/>
        </w:rPr>
        <w:t xml:space="preserve"> </w:t>
      </w:r>
      <w:r>
        <w:rPr>
          <w:rFonts w:ascii="Arial" w:hAnsi="Arial"/>
          <w:b/>
          <w:spacing w:val="-2"/>
          <w:sz w:val="21"/>
        </w:rPr>
        <w:t>Drugs</w:t>
      </w:r>
    </w:p>
    <w:p>
      <w:pPr>
        <w:pStyle w:val="BodyText"/>
        <w:spacing w:before="117"/>
        <w:ind w:left="440" w:right="816"/>
      </w:pPr>
      <w:r>
        <w:t>The</w:t>
      </w:r>
      <w:r>
        <w:rPr>
          <w:spacing w:val="-5"/>
        </w:rPr>
        <w:t xml:space="preserve"> </w:t>
      </w:r>
      <w:r>
        <w:t>value</w:t>
      </w:r>
      <w:r>
        <w:rPr>
          <w:spacing w:val="-3"/>
        </w:rPr>
        <w:t xml:space="preserve"> </w:t>
      </w:r>
      <w:r>
        <w:t>in</w:t>
      </w:r>
      <w:r>
        <w:rPr>
          <w:spacing w:val="-3"/>
        </w:rPr>
        <w:t xml:space="preserve"> </w:t>
      </w:r>
      <w:r>
        <w:t>column</w:t>
      </w:r>
      <w:r>
        <w:rPr>
          <w:spacing w:val="-3"/>
        </w:rPr>
        <w:t xml:space="preserve"> </w:t>
      </w:r>
      <w:r>
        <w:t>i</w:t>
      </w:r>
      <w:r>
        <w:rPr>
          <w:spacing w:val="-3"/>
        </w:rPr>
        <w:t xml:space="preserve"> </w:t>
      </w:r>
      <w:r>
        <w:t>is</w:t>
      </w:r>
      <w:r>
        <w:rPr>
          <w:spacing w:val="-3"/>
        </w:rPr>
        <w:t xml:space="preserve"> </w:t>
      </w:r>
      <w:r>
        <w:t>calculated</w:t>
      </w:r>
      <w:r>
        <w:rPr>
          <w:spacing w:val="-2"/>
        </w:rPr>
        <w:t xml:space="preserve"> </w:t>
      </w:r>
      <w:r>
        <w:t>automatically</w:t>
      </w:r>
      <w:r>
        <w:rPr>
          <w:spacing w:val="-1"/>
        </w:rPr>
        <w:t xml:space="preserve"> </w:t>
      </w:r>
      <w:r>
        <w:t>in</w:t>
      </w:r>
      <w:r>
        <w:rPr>
          <w:spacing w:val="-3"/>
        </w:rPr>
        <w:t xml:space="preserve"> </w:t>
      </w:r>
      <w:r>
        <w:t>the</w:t>
      </w:r>
      <w:r>
        <w:rPr>
          <w:spacing w:val="-4"/>
        </w:rPr>
        <w:t xml:space="preserve"> </w:t>
      </w:r>
      <w:r>
        <w:t>BPT</w:t>
      </w:r>
      <w:r>
        <w:rPr>
          <w:spacing w:val="-3"/>
        </w:rPr>
        <w:t xml:space="preserve"> </w:t>
      </w:r>
      <w:r>
        <w:t>as</w:t>
      </w:r>
      <w:r>
        <w:rPr>
          <w:spacing w:val="-3"/>
        </w:rPr>
        <w:t xml:space="preserve"> </w:t>
      </w:r>
      <w:r>
        <w:t>line 11</w:t>
      </w:r>
      <w:r>
        <w:rPr>
          <w:spacing w:val="-3"/>
        </w:rPr>
        <w:t xml:space="preserve"> </w:t>
      </w:r>
      <w:r>
        <w:t>minus</w:t>
      </w:r>
      <w:r>
        <w:rPr>
          <w:spacing w:val="-3"/>
        </w:rPr>
        <w:t xml:space="preserve"> </w:t>
      </w:r>
      <w:r>
        <w:t>line</w:t>
      </w:r>
      <w:r>
        <w:rPr>
          <w:spacing w:val="-3"/>
        </w:rPr>
        <w:t xml:space="preserve"> </w:t>
      </w:r>
      <w:r>
        <w:t>12</w:t>
      </w:r>
      <w:r>
        <w:rPr>
          <w:spacing w:val="-3"/>
        </w:rPr>
        <w:t xml:space="preserve"> </w:t>
      </w:r>
      <w:r>
        <w:t>and is carried to column n.</w:t>
      </w:r>
    </w:p>
    <w:p>
      <w:pPr>
        <w:pStyle w:val="BodyText"/>
        <w:spacing w:before="45"/>
        <w:ind w:left="0"/>
      </w:pPr>
    </w:p>
    <w:p>
      <w:pPr>
        <w:pStyle w:val="Heading2"/>
      </w:pPr>
      <w:bookmarkStart w:id="93" w:name="Section IV – PMPM Non-Benefit Expenses"/>
      <w:bookmarkEnd w:id="93"/>
      <w:bookmarkStart w:id="94" w:name="_bookmark28"/>
      <w:bookmarkEnd w:id="94"/>
      <w:r>
        <w:rPr>
          <w:smallCaps/>
          <w:spacing w:val="-2"/>
        </w:rPr>
        <w:t>Section</w:t>
      </w:r>
      <w:r>
        <w:rPr>
          <w:smallCaps/>
          <w:spacing w:val="2"/>
        </w:rPr>
        <w:t xml:space="preserve"> </w:t>
      </w:r>
      <w:r>
        <w:rPr>
          <w:smallCaps/>
          <w:spacing w:val="-2"/>
        </w:rPr>
        <w:t>IV</w:t>
      </w:r>
      <w:r>
        <w:rPr>
          <w:smallCaps/>
          <w:spacing w:val="-12"/>
        </w:rPr>
        <w:t xml:space="preserve"> </w:t>
      </w:r>
      <w:r>
        <w:rPr>
          <w:smallCaps/>
          <w:spacing w:val="-2"/>
        </w:rPr>
        <w:t>–</w:t>
      </w:r>
      <w:r>
        <w:rPr>
          <w:smallCaps/>
          <w:spacing w:val="-13"/>
        </w:rPr>
        <w:t xml:space="preserve"> </w:t>
      </w:r>
      <w:r>
        <w:rPr>
          <w:smallCaps/>
          <w:spacing w:val="-2"/>
        </w:rPr>
        <w:t>PMPM</w:t>
      </w:r>
      <w:r>
        <w:rPr>
          <w:smallCaps/>
          <w:spacing w:val="-7"/>
        </w:rPr>
        <w:t xml:space="preserve"> </w:t>
      </w:r>
      <w:r>
        <w:rPr>
          <w:smallCaps/>
          <w:spacing w:val="-2"/>
        </w:rPr>
        <w:t>Non-Benefit</w:t>
      </w:r>
      <w:r>
        <w:rPr>
          <w:smallCaps/>
          <w:spacing w:val="5"/>
        </w:rPr>
        <w:t xml:space="preserve"> </w:t>
      </w:r>
      <w:r>
        <w:rPr>
          <w:smallCaps/>
          <w:spacing w:val="-2"/>
        </w:rPr>
        <w:t>Expenses</w:t>
      </w:r>
    </w:p>
    <w:p>
      <w:pPr>
        <w:pStyle w:val="BodyText"/>
        <w:spacing w:before="180"/>
        <w:ind w:left="440" w:right="979"/>
      </w:pPr>
      <w:r>
        <w:t>Section</w:t>
      </w:r>
      <w:r>
        <w:rPr>
          <w:spacing w:val="-4"/>
        </w:rPr>
        <w:t xml:space="preserve"> </w:t>
      </w:r>
      <w:r>
        <w:t>IV</w:t>
      </w:r>
      <w:r>
        <w:rPr>
          <w:spacing w:val="-4"/>
        </w:rPr>
        <w:t xml:space="preserve"> </w:t>
      </w:r>
      <w:r>
        <w:t>summarizes</w:t>
      </w:r>
      <w:r>
        <w:rPr>
          <w:spacing w:val="-2"/>
        </w:rPr>
        <w:t xml:space="preserve"> </w:t>
      </w:r>
      <w:r>
        <w:t>all</w:t>
      </w:r>
      <w:r>
        <w:rPr>
          <w:spacing w:val="-4"/>
        </w:rPr>
        <w:t xml:space="preserve"> </w:t>
      </w:r>
      <w:r>
        <w:t>administrative</w:t>
      </w:r>
      <w:r>
        <w:rPr>
          <w:spacing w:val="-5"/>
        </w:rPr>
        <w:t xml:space="preserve"> </w:t>
      </w:r>
      <w:r>
        <w:t>expenses</w:t>
      </w:r>
      <w:r>
        <w:rPr>
          <w:spacing w:val="-1"/>
        </w:rPr>
        <w:t xml:space="preserve"> </w:t>
      </w:r>
      <w:r>
        <w:t>associated</w:t>
      </w:r>
      <w:r>
        <w:rPr>
          <w:spacing w:val="-4"/>
        </w:rPr>
        <w:t xml:space="preserve"> </w:t>
      </w:r>
      <w:r>
        <w:t>with</w:t>
      </w:r>
      <w:r>
        <w:rPr>
          <w:spacing w:val="-4"/>
        </w:rPr>
        <w:t xml:space="preserve"> </w:t>
      </w:r>
      <w:r>
        <w:t>the</w:t>
      </w:r>
      <w:r>
        <w:rPr>
          <w:spacing w:val="-4"/>
        </w:rPr>
        <w:t xml:space="preserve"> </w:t>
      </w:r>
      <w:r>
        <w:t>operation</w:t>
      </w:r>
      <w:r>
        <w:rPr>
          <w:spacing w:val="-4"/>
        </w:rPr>
        <w:t xml:space="preserve"> </w:t>
      </w:r>
      <w:r>
        <w:t>of</w:t>
      </w:r>
      <w:r>
        <w:rPr>
          <w:spacing w:val="-5"/>
        </w:rPr>
        <w:t xml:space="preserve"> </w:t>
      </w:r>
      <w:r>
        <w:t>the prescription drug plan in the base period, including any expenses that were offset by direct or indirect remuneration.</w:t>
      </w:r>
    </w:p>
    <w:p>
      <w:pPr>
        <w:spacing w:before="240"/>
        <w:ind w:left="440" w:right="0" w:firstLine="0"/>
        <w:jc w:val="left"/>
        <w:rPr>
          <w:rFonts w:ascii="Arial" w:hAnsi="Arial"/>
          <w:b/>
          <w:sz w:val="21"/>
        </w:rPr>
      </w:pPr>
      <w:bookmarkStart w:id="95" w:name="Lines 1 through 4, column g – Total"/>
      <w:bookmarkEnd w:id="95"/>
      <w:r>
        <w:rPr>
          <w:rFonts w:ascii="Arial" w:hAnsi="Arial"/>
          <w:b/>
          <w:sz w:val="21"/>
        </w:rPr>
        <w:t>Lines</w:t>
      </w:r>
      <w:r>
        <w:rPr>
          <w:rFonts w:ascii="Arial" w:hAnsi="Arial"/>
          <w:b/>
          <w:spacing w:val="-4"/>
          <w:sz w:val="21"/>
        </w:rPr>
        <w:t xml:space="preserve"> </w:t>
      </w:r>
      <w:r>
        <w:rPr>
          <w:rFonts w:ascii="Arial" w:hAnsi="Arial"/>
          <w:b/>
          <w:sz w:val="21"/>
        </w:rPr>
        <w:t>1</w:t>
      </w:r>
      <w:r>
        <w:rPr>
          <w:rFonts w:ascii="Arial" w:hAnsi="Arial"/>
          <w:b/>
          <w:spacing w:val="-3"/>
          <w:sz w:val="21"/>
        </w:rPr>
        <w:t xml:space="preserve"> </w:t>
      </w:r>
      <w:r>
        <w:rPr>
          <w:rFonts w:ascii="Arial" w:hAnsi="Arial"/>
          <w:b/>
          <w:sz w:val="21"/>
        </w:rPr>
        <w:t>through</w:t>
      </w:r>
      <w:r>
        <w:rPr>
          <w:rFonts w:ascii="Arial" w:hAnsi="Arial"/>
          <w:b/>
          <w:spacing w:val="-3"/>
          <w:sz w:val="21"/>
        </w:rPr>
        <w:t xml:space="preserve"> </w:t>
      </w:r>
      <w:r>
        <w:rPr>
          <w:rFonts w:ascii="Arial" w:hAnsi="Arial"/>
          <w:b/>
          <w:sz w:val="21"/>
        </w:rPr>
        <w:t>4,</w:t>
      </w:r>
      <w:r>
        <w:rPr>
          <w:rFonts w:ascii="Arial" w:hAnsi="Arial"/>
          <w:b/>
          <w:spacing w:val="-5"/>
          <w:sz w:val="21"/>
        </w:rPr>
        <w:t xml:space="preserve"> </w:t>
      </w:r>
      <w:r>
        <w:rPr>
          <w:rFonts w:ascii="Arial" w:hAnsi="Arial"/>
          <w:b/>
          <w:sz w:val="21"/>
        </w:rPr>
        <w:t>column</w:t>
      </w:r>
      <w:r>
        <w:rPr>
          <w:rFonts w:ascii="Arial" w:hAnsi="Arial"/>
          <w:b/>
          <w:spacing w:val="-3"/>
          <w:sz w:val="21"/>
        </w:rPr>
        <w:t xml:space="preserve"> </w:t>
      </w:r>
      <w:r>
        <w:rPr>
          <w:rFonts w:ascii="Arial" w:hAnsi="Arial"/>
          <w:b/>
          <w:sz w:val="21"/>
        </w:rPr>
        <w:t>g</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pacing w:val="-4"/>
          <w:sz w:val="21"/>
        </w:rPr>
        <w:t>Total</w:t>
      </w:r>
    </w:p>
    <w:p>
      <w:pPr>
        <w:pStyle w:val="BodyText"/>
        <w:spacing w:before="121"/>
        <w:ind w:left="440" w:right="979"/>
      </w:pPr>
      <w:r>
        <w:t>Enter</w:t>
      </w:r>
      <w:r>
        <w:rPr>
          <w:spacing w:val="-4"/>
        </w:rPr>
        <w:t xml:space="preserve"> </w:t>
      </w:r>
      <w:r>
        <w:t>the</w:t>
      </w:r>
      <w:r>
        <w:rPr>
          <w:spacing w:val="-6"/>
        </w:rPr>
        <w:t xml:space="preserve"> </w:t>
      </w:r>
      <w:r>
        <w:t>sales</w:t>
      </w:r>
      <w:r>
        <w:rPr>
          <w:spacing w:val="-3"/>
        </w:rPr>
        <w:t xml:space="preserve"> </w:t>
      </w:r>
      <w:r>
        <w:t>and</w:t>
      </w:r>
      <w:r>
        <w:rPr>
          <w:spacing w:val="-4"/>
        </w:rPr>
        <w:t xml:space="preserve"> </w:t>
      </w:r>
      <w:r>
        <w:t>marketing,</w:t>
      </w:r>
      <w:r>
        <w:rPr>
          <w:spacing w:val="-4"/>
        </w:rPr>
        <w:t xml:space="preserve"> </w:t>
      </w:r>
      <w:r>
        <w:t>direct</w:t>
      </w:r>
      <w:r>
        <w:rPr>
          <w:spacing w:val="-4"/>
        </w:rPr>
        <w:t xml:space="preserve"> </w:t>
      </w:r>
      <w:r>
        <w:t>administration,</w:t>
      </w:r>
      <w:r>
        <w:rPr>
          <w:spacing w:val="-4"/>
        </w:rPr>
        <w:t xml:space="preserve"> </w:t>
      </w:r>
      <w:r>
        <w:t>indirect</w:t>
      </w:r>
      <w:r>
        <w:rPr>
          <w:spacing w:val="-4"/>
        </w:rPr>
        <w:t xml:space="preserve"> </w:t>
      </w:r>
      <w:r>
        <w:t>administration</w:t>
      </w:r>
      <w:r>
        <w:rPr>
          <w:spacing w:val="-1"/>
        </w:rPr>
        <w:t xml:space="preserve"> </w:t>
      </w:r>
      <w:r>
        <w:t>and</w:t>
      </w:r>
      <w:r>
        <w:rPr>
          <w:spacing w:val="-4"/>
        </w:rPr>
        <w:t xml:space="preserve"> </w:t>
      </w:r>
      <w:r>
        <w:t>net</w:t>
      </w:r>
      <w:r>
        <w:rPr>
          <w:spacing w:val="-4"/>
        </w:rPr>
        <w:t xml:space="preserve"> </w:t>
      </w:r>
      <w:r>
        <w:t>cost of private reinsurance average PMPM amounts for total coverage in lines 1 through 4, respectively. Include uncollected enrollee premium, uncollected cost sharing and OTC drugs in direct administration.</w:t>
      </w:r>
    </w:p>
    <w:p>
      <w:pPr>
        <w:spacing w:before="241"/>
        <w:ind w:left="440" w:right="0" w:firstLine="0"/>
        <w:jc w:val="left"/>
        <w:rPr>
          <w:rFonts w:ascii="Arial" w:hAnsi="Arial"/>
          <w:b/>
          <w:sz w:val="21"/>
        </w:rPr>
      </w:pPr>
      <w:bookmarkStart w:id="96" w:name="Line 5, column g – Total"/>
      <w:bookmarkEnd w:id="96"/>
      <w:r>
        <w:rPr>
          <w:rFonts w:ascii="Arial" w:hAnsi="Arial"/>
          <w:b/>
          <w:sz w:val="21"/>
        </w:rPr>
        <w:t>Line</w:t>
      </w:r>
      <w:r>
        <w:rPr>
          <w:rFonts w:ascii="Arial" w:hAnsi="Arial"/>
          <w:b/>
          <w:spacing w:val="-5"/>
          <w:sz w:val="21"/>
        </w:rPr>
        <w:t xml:space="preserve"> </w:t>
      </w:r>
      <w:r>
        <w:rPr>
          <w:rFonts w:ascii="Arial" w:hAnsi="Arial"/>
          <w:b/>
          <w:sz w:val="21"/>
        </w:rPr>
        <w:t>5,</w:t>
      </w:r>
      <w:r>
        <w:rPr>
          <w:rFonts w:ascii="Arial" w:hAnsi="Arial"/>
          <w:b/>
          <w:spacing w:val="-3"/>
          <w:sz w:val="21"/>
        </w:rPr>
        <w:t xml:space="preserve"> </w:t>
      </w:r>
      <w:r>
        <w:rPr>
          <w:rFonts w:ascii="Arial" w:hAnsi="Arial"/>
          <w:b/>
          <w:sz w:val="21"/>
        </w:rPr>
        <w:t>column</w:t>
      </w:r>
      <w:r>
        <w:rPr>
          <w:rFonts w:ascii="Arial" w:hAnsi="Arial"/>
          <w:b/>
          <w:spacing w:val="-5"/>
          <w:sz w:val="21"/>
        </w:rPr>
        <w:t xml:space="preserve"> </w:t>
      </w:r>
      <w:r>
        <w:rPr>
          <w:rFonts w:ascii="Arial" w:hAnsi="Arial"/>
          <w:b/>
          <w:sz w:val="21"/>
        </w:rPr>
        <w:t>g</w:t>
      </w:r>
      <w:r>
        <w:rPr>
          <w:rFonts w:ascii="Arial" w:hAnsi="Arial"/>
          <w:b/>
          <w:spacing w:val="-2"/>
          <w:sz w:val="21"/>
        </w:rPr>
        <w:t xml:space="preserve"> </w:t>
      </w:r>
      <w:r>
        <w:rPr>
          <w:rFonts w:ascii="Arial" w:hAnsi="Arial"/>
          <w:b/>
          <w:sz w:val="21"/>
        </w:rPr>
        <w:t>–</w:t>
      </w:r>
      <w:r>
        <w:rPr>
          <w:rFonts w:ascii="Arial" w:hAnsi="Arial"/>
          <w:b/>
          <w:spacing w:val="-4"/>
          <w:sz w:val="21"/>
        </w:rPr>
        <w:t xml:space="preserve"> Total</w:t>
      </w:r>
    </w:p>
    <w:p>
      <w:pPr>
        <w:pStyle w:val="BodyText"/>
        <w:spacing w:before="238"/>
        <w:ind w:left="440"/>
      </w:pPr>
      <w:bookmarkStart w:id="97" w:name="Not applicable for CY2024."/>
      <w:bookmarkEnd w:id="97"/>
      <w:r>
        <w:t>Not</w:t>
      </w:r>
      <w:r>
        <w:rPr>
          <w:spacing w:val="-1"/>
        </w:rPr>
        <w:t xml:space="preserve"> </w:t>
      </w:r>
      <w:r>
        <w:t>applicable</w:t>
      </w:r>
      <w:r>
        <w:rPr>
          <w:spacing w:val="-1"/>
        </w:rPr>
        <w:t xml:space="preserve"> </w:t>
      </w:r>
      <w:r>
        <w:t>for</w:t>
      </w:r>
      <w:r>
        <w:rPr>
          <w:spacing w:val="-1"/>
        </w:rPr>
        <w:t xml:space="preserve"> </w:t>
      </w:r>
      <w:r>
        <w:rPr>
          <w:spacing w:val="-2"/>
        </w:rPr>
        <w:t>CY2024.</w:t>
      </w:r>
    </w:p>
    <w:p>
      <w:pPr>
        <w:spacing w:before="240"/>
        <w:ind w:left="440" w:right="0" w:firstLine="0"/>
        <w:jc w:val="left"/>
        <w:rPr>
          <w:rFonts w:ascii="Arial" w:hAnsi="Arial"/>
          <w:b/>
          <w:sz w:val="21"/>
        </w:rPr>
      </w:pPr>
      <w:bookmarkStart w:id="98" w:name="Line 6, column g – Total Non-Benefit Exp"/>
      <w:bookmarkEnd w:id="98"/>
      <w:r>
        <w:rPr>
          <w:rFonts w:ascii="Arial" w:hAnsi="Arial"/>
          <w:b/>
          <w:sz w:val="21"/>
        </w:rPr>
        <w:t>Line</w:t>
      </w:r>
      <w:r>
        <w:rPr>
          <w:rFonts w:ascii="Arial" w:hAnsi="Arial"/>
          <w:b/>
          <w:spacing w:val="-4"/>
          <w:sz w:val="21"/>
        </w:rPr>
        <w:t xml:space="preserve"> </w:t>
      </w:r>
      <w:r>
        <w:rPr>
          <w:rFonts w:ascii="Arial" w:hAnsi="Arial"/>
          <w:b/>
          <w:sz w:val="21"/>
        </w:rPr>
        <w:t>6,</w:t>
      </w:r>
      <w:r>
        <w:rPr>
          <w:rFonts w:ascii="Arial" w:hAnsi="Arial"/>
          <w:b/>
          <w:spacing w:val="-4"/>
          <w:sz w:val="21"/>
        </w:rPr>
        <w:t xml:space="preserve"> </w:t>
      </w:r>
      <w:r>
        <w:rPr>
          <w:rFonts w:ascii="Arial" w:hAnsi="Arial"/>
          <w:b/>
          <w:sz w:val="21"/>
        </w:rPr>
        <w:t>column</w:t>
      </w:r>
      <w:r>
        <w:rPr>
          <w:rFonts w:ascii="Arial" w:hAnsi="Arial"/>
          <w:b/>
          <w:spacing w:val="-5"/>
          <w:sz w:val="21"/>
        </w:rPr>
        <w:t xml:space="preserve"> </w:t>
      </w:r>
      <w:r>
        <w:rPr>
          <w:rFonts w:ascii="Arial" w:hAnsi="Arial"/>
          <w:b/>
          <w:sz w:val="21"/>
        </w:rPr>
        <w:t>g</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Total</w:t>
      </w:r>
      <w:r>
        <w:rPr>
          <w:rFonts w:ascii="Arial" w:hAnsi="Arial"/>
          <w:b/>
          <w:spacing w:val="-4"/>
          <w:sz w:val="21"/>
        </w:rPr>
        <w:t xml:space="preserve"> </w:t>
      </w:r>
      <w:r>
        <w:rPr>
          <w:rFonts w:ascii="Arial" w:hAnsi="Arial"/>
          <w:b/>
          <w:sz w:val="21"/>
        </w:rPr>
        <w:t>Non-Benefit</w:t>
      </w:r>
      <w:r>
        <w:rPr>
          <w:rFonts w:ascii="Arial" w:hAnsi="Arial"/>
          <w:b/>
          <w:spacing w:val="-4"/>
          <w:sz w:val="21"/>
        </w:rPr>
        <w:t xml:space="preserve"> </w:t>
      </w:r>
      <w:r>
        <w:rPr>
          <w:rFonts w:ascii="Arial" w:hAnsi="Arial"/>
          <w:b/>
          <w:spacing w:val="-2"/>
          <w:sz w:val="21"/>
        </w:rPr>
        <w:t>Expenses</w:t>
      </w:r>
    </w:p>
    <w:p>
      <w:pPr>
        <w:pStyle w:val="BodyText"/>
        <w:spacing w:before="121"/>
        <w:ind w:left="440"/>
      </w:pPr>
      <w:r>
        <w:t>The</w:t>
      </w:r>
      <w:r>
        <w:rPr>
          <w:spacing w:val="-3"/>
        </w:rPr>
        <w:t xml:space="preserve"> </w:t>
      </w:r>
      <w:r>
        <w:t>value</w:t>
      </w:r>
      <w:r>
        <w:rPr>
          <w:spacing w:val="-1"/>
        </w:rPr>
        <w:t xml:space="preserve"> </w:t>
      </w:r>
      <w:r>
        <w:t>is</w:t>
      </w:r>
      <w:r>
        <w:rPr>
          <w:spacing w:val="-1"/>
        </w:rPr>
        <w:t xml:space="preserve"> </w:t>
      </w:r>
      <w:r>
        <w:t>calculated automatically</w:t>
      </w:r>
      <w:r>
        <w:rPr>
          <w:spacing w:val="-1"/>
        </w:rPr>
        <w:t xml:space="preserve"> </w:t>
      </w:r>
      <w:r>
        <w:t>in the</w:t>
      </w:r>
      <w:r>
        <w:rPr>
          <w:spacing w:val="-2"/>
        </w:rPr>
        <w:t xml:space="preserve"> </w:t>
      </w:r>
      <w:r>
        <w:t>BPT</w:t>
      </w:r>
      <w:r>
        <w:rPr>
          <w:spacing w:val="-3"/>
        </w:rPr>
        <w:t xml:space="preserve"> </w:t>
      </w:r>
      <w:r>
        <w:t>as</w:t>
      </w:r>
      <w:r>
        <w:rPr>
          <w:spacing w:val="2"/>
        </w:rPr>
        <w:t xml:space="preserve"> </w:t>
      </w:r>
      <w:r>
        <w:t>the</w:t>
      </w:r>
      <w:r>
        <w:rPr>
          <w:spacing w:val="-1"/>
        </w:rPr>
        <w:t xml:space="preserve"> </w:t>
      </w:r>
      <w:r>
        <w:t>sum</w:t>
      </w:r>
      <w:r>
        <w:rPr>
          <w:spacing w:val="-1"/>
        </w:rPr>
        <w:t xml:space="preserve"> </w:t>
      </w:r>
      <w:r>
        <w:t>of</w:t>
      </w:r>
      <w:r>
        <w:rPr>
          <w:spacing w:val="-1"/>
        </w:rPr>
        <w:t xml:space="preserve"> </w:t>
      </w:r>
      <w:r>
        <w:t>lines</w:t>
      </w:r>
      <w:r>
        <w:rPr>
          <w:spacing w:val="-1"/>
        </w:rPr>
        <w:t xml:space="preserve"> </w:t>
      </w:r>
      <w:r>
        <w:t xml:space="preserve">1 through </w:t>
      </w:r>
      <w:r>
        <w:rPr>
          <w:spacing w:val="-5"/>
        </w:rPr>
        <w:t>5.</w:t>
      </w:r>
    </w:p>
    <w:p>
      <w:pPr>
        <w:pStyle w:val="BodyText"/>
        <w:spacing w:before="45"/>
        <w:ind w:left="0"/>
      </w:pPr>
    </w:p>
    <w:p>
      <w:pPr>
        <w:pStyle w:val="Heading2"/>
      </w:pPr>
      <w:bookmarkStart w:id="99" w:name="Section V – PMPM Premium Revenue"/>
      <w:bookmarkEnd w:id="99"/>
      <w:bookmarkStart w:id="100" w:name="_bookmark29"/>
      <w:bookmarkEnd w:id="100"/>
      <w:r>
        <w:rPr>
          <w:smallCaps/>
        </w:rPr>
        <w:t>Section</w:t>
      </w:r>
      <w:r>
        <w:rPr>
          <w:smallCaps/>
          <w:spacing w:val="-15"/>
        </w:rPr>
        <w:t xml:space="preserve"> </w:t>
      </w:r>
      <w:r>
        <w:rPr>
          <w:smallCaps/>
        </w:rPr>
        <w:t>V</w:t>
      </w:r>
      <w:r>
        <w:rPr>
          <w:smallCaps/>
          <w:spacing w:val="-15"/>
        </w:rPr>
        <w:t xml:space="preserve"> </w:t>
      </w:r>
      <w:r>
        <w:rPr>
          <w:smallCaps/>
        </w:rPr>
        <w:t>–</w:t>
      </w:r>
      <w:r>
        <w:rPr>
          <w:smallCaps/>
          <w:spacing w:val="-15"/>
        </w:rPr>
        <w:t xml:space="preserve"> </w:t>
      </w:r>
      <w:r>
        <w:rPr>
          <w:smallCaps/>
        </w:rPr>
        <w:t>PMPM</w:t>
      </w:r>
      <w:r>
        <w:rPr>
          <w:smallCaps/>
          <w:spacing w:val="-15"/>
        </w:rPr>
        <w:t xml:space="preserve"> </w:t>
      </w:r>
      <w:r>
        <w:rPr>
          <w:smallCaps/>
        </w:rPr>
        <w:t>Premium</w:t>
      </w:r>
      <w:r>
        <w:rPr>
          <w:smallCaps/>
          <w:spacing w:val="-11"/>
        </w:rPr>
        <w:t xml:space="preserve"> </w:t>
      </w:r>
      <w:r>
        <w:rPr>
          <w:smallCaps/>
          <w:spacing w:val="-2"/>
        </w:rPr>
        <w:t>Revenue</w:t>
      </w:r>
    </w:p>
    <w:p>
      <w:pPr>
        <w:pStyle w:val="BodyText"/>
        <w:spacing w:before="180"/>
        <w:ind w:left="440" w:right="816"/>
      </w:pPr>
      <w:r>
        <w:t>Section</w:t>
      </w:r>
      <w:r>
        <w:rPr>
          <w:spacing w:val="-3"/>
        </w:rPr>
        <w:t xml:space="preserve"> </w:t>
      </w:r>
      <w:r>
        <w:t>V</w:t>
      </w:r>
      <w:r>
        <w:rPr>
          <w:spacing w:val="-3"/>
        </w:rPr>
        <w:t xml:space="preserve"> </w:t>
      </w:r>
      <w:r>
        <w:t>summarizes</w:t>
      </w:r>
      <w:r>
        <w:rPr>
          <w:spacing w:val="-3"/>
        </w:rPr>
        <w:t xml:space="preserve"> </w:t>
      </w:r>
      <w:r>
        <w:t>the</w:t>
      </w:r>
      <w:r>
        <w:rPr>
          <w:spacing w:val="-4"/>
        </w:rPr>
        <w:t xml:space="preserve"> </w:t>
      </w:r>
      <w:r>
        <w:t>components</w:t>
      </w:r>
      <w:r>
        <w:rPr>
          <w:spacing w:val="-3"/>
        </w:rPr>
        <w:t xml:space="preserve"> </w:t>
      </w:r>
      <w:r>
        <w:t>of</w:t>
      </w:r>
      <w:r>
        <w:rPr>
          <w:spacing w:val="-3"/>
        </w:rPr>
        <w:t xml:space="preserve"> </w:t>
      </w:r>
      <w:r>
        <w:t>premium</w:t>
      </w:r>
      <w:r>
        <w:rPr>
          <w:spacing w:val="-1"/>
        </w:rPr>
        <w:t xml:space="preserve"> </w:t>
      </w:r>
      <w:r>
        <w:t>revenue</w:t>
      </w:r>
      <w:r>
        <w:rPr>
          <w:spacing w:val="-4"/>
        </w:rPr>
        <w:t xml:space="preserve"> </w:t>
      </w:r>
      <w:r>
        <w:t>of</w:t>
      </w:r>
      <w:r>
        <w:rPr>
          <w:spacing w:val="-3"/>
        </w:rPr>
        <w:t xml:space="preserve"> </w:t>
      </w:r>
      <w:r>
        <w:t>the</w:t>
      </w:r>
      <w:r>
        <w:rPr>
          <w:spacing w:val="-5"/>
        </w:rPr>
        <w:t xml:space="preserve"> </w:t>
      </w:r>
      <w:r>
        <w:t>prescription</w:t>
      </w:r>
      <w:r>
        <w:rPr>
          <w:spacing w:val="-3"/>
        </w:rPr>
        <w:t xml:space="preserve"> </w:t>
      </w:r>
      <w:r>
        <w:t>drug</w:t>
      </w:r>
      <w:r>
        <w:rPr>
          <w:spacing w:val="-3"/>
        </w:rPr>
        <w:t xml:space="preserve"> </w:t>
      </w:r>
      <w:r>
        <w:t>plan for the base period.</w:t>
      </w:r>
    </w:p>
    <w:p>
      <w:pPr>
        <w:spacing w:before="240"/>
        <w:ind w:left="440" w:right="0" w:firstLine="0"/>
        <w:jc w:val="left"/>
        <w:rPr>
          <w:rFonts w:ascii="Arial" w:hAnsi="Arial"/>
          <w:b/>
          <w:sz w:val="21"/>
        </w:rPr>
      </w:pPr>
      <w:bookmarkStart w:id="101" w:name="Lines 1 through 3, column e – Basic"/>
      <w:bookmarkEnd w:id="101"/>
      <w:r>
        <w:rPr>
          <w:rFonts w:ascii="Arial" w:hAnsi="Arial"/>
          <w:b/>
          <w:sz w:val="21"/>
        </w:rPr>
        <w:t>Lines</w:t>
      </w:r>
      <w:r>
        <w:rPr>
          <w:rFonts w:ascii="Arial" w:hAnsi="Arial"/>
          <w:b/>
          <w:spacing w:val="-4"/>
          <w:sz w:val="21"/>
        </w:rPr>
        <w:t xml:space="preserve"> </w:t>
      </w:r>
      <w:r>
        <w:rPr>
          <w:rFonts w:ascii="Arial" w:hAnsi="Arial"/>
          <w:b/>
          <w:sz w:val="21"/>
        </w:rPr>
        <w:t>1</w:t>
      </w:r>
      <w:r>
        <w:rPr>
          <w:rFonts w:ascii="Arial" w:hAnsi="Arial"/>
          <w:b/>
          <w:spacing w:val="-3"/>
          <w:sz w:val="21"/>
        </w:rPr>
        <w:t xml:space="preserve"> </w:t>
      </w:r>
      <w:r>
        <w:rPr>
          <w:rFonts w:ascii="Arial" w:hAnsi="Arial"/>
          <w:b/>
          <w:sz w:val="21"/>
        </w:rPr>
        <w:t>through</w:t>
      </w:r>
      <w:r>
        <w:rPr>
          <w:rFonts w:ascii="Arial" w:hAnsi="Arial"/>
          <w:b/>
          <w:spacing w:val="-3"/>
          <w:sz w:val="21"/>
        </w:rPr>
        <w:t xml:space="preserve"> </w:t>
      </w:r>
      <w:r>
        <w:rPr>
          <w:rFonts w:ascii="Arial" w:hAnsi="Arial"/>
          <w:b/>
          <w:sz w:val="21"/>
        </w:rPr>
        <w:t>3,</w:t>
      </w:r>
      <w:r>
        <w:rPr>
          <w:rFonts w:ascii="Arial" w:hAnsi="Arial"/>
          <w:b/>
          <w:spacing w:val="-5"/>
          <w:sz w:val="21"/>
        </w:rPr>
        <w:t xml:space="preserve"> </w:t>
      </w:r>
      <w:r>
        <w:rPr>
          <w:rFonts w:ascii="Arial" w:hAnsi="Arial"/>
          <w:b/>
          <w:sz w:val="21"/>
        </w:rPr>
        <w:t>column</w:t>
      </w:r>
      <w:r>
        <w:rPr>
          <w:rFonts w:ascii="Arial" w:hAnsi="Arial"/>
          <w:b/>
          <w:spacing w:val="-3"/>
          <w:sz w:val="21"/>
        </w:rPr>
        <w:t xml:space="preserve"> </w:t>
      </w:r>
      <w:r>
        <w:rPr>
          <w:rFonts w:ascii="Arial" w:hAnsi="Arial"/>
          <w:b/>
          <w:sz w:val="21"/>
        </w:rPr>
        <w:t>e</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pacing w:val="-4"/>
          <w:sz w:val="21"/>
        </w:rPr>
        <w:t>Basic</w:t>
      </w:r>
    </w:p>
    <w:p>
      <w:pPr>
        <w:pStyle w:val="BodyText"/>
        <w:ind w:left="440" w:right="979"/>
      </w:pPr>
      <w:r>
        <w:t>Enter the CMS Part D direct subsidy payment, low-income premium subsidy and member</w:t>
      </w:r>
      <w:r>
        <w:rPr>
          <w:spacing w:val="-3"/>
        </w:rPr>
        <w:t xml:space="preserve"> </w:t>
      </w:r>
      <w:r>
        <w:t>premium</w:t>
      </w:r>
      <w:r>
        <w:rPr>
          <w:spacing w:val="-3"/>
        </w:rPr>
        <w:t xml:space="preserve"> </w:t>
      </w:r>
      <w:r>
        <w:t>average</w:t>
      </w:r>
      <w:r>
        <w:rPr>
          <w:spacing w:val="-3"/>
        </w:rPr>
        <w:t xml:space="preserve"> </w:t>
      </w:r>
      <w:r>
        <w:t>PMPM</w:t>
      </w:r>
      <w:r>
        <w:rPr>
          <w:spacing w:val="-3"/>
        </w:rPr>
        <w:t xml:space="preserve"> </w:t>
      </w:r>
      <w:r>
        <w:t>amounts</w:t>
      </w:r>
      <w:r>
        <w:rPr>
          <w:spacing w:val="-3"/>
        </w:rPr>
        <w:t xml:space="preserve"> </w:t>
      </w:r>
      <w:r>
        <w:t>for</w:t>
      </w:r>
      <w:r>
        <w:rPr>
          <w:spacing w:val="-5"/>
        </w:rPr>
        <w:t xml:space="preserve"> </w:t>
      </w:r>
      <w:r>
        <w:t>basic</w:t>
      </w:r>
      <w:r>
        <w:rPr>
          <w:spacing w:val="-3"/>
        </w:rPr>
        <w:t xml:space="preserve"> </w:t>
      </w:r>
      <w:r>
        <w:t>coverage</w:t>
      </w:r>
      <w:r>
        <w:rPr>
          <w:spacing w:val="-3"/>
        </w:rPr>
        <w:t xml:space="preserve"> </w:t>
      </w:r>
      <w:r>
        <w:t>in</w:t>
      </w:r>
      <w:r>
        <w:rPr>
          <w:spacing w:val="-3"/>
        </w:rPr>
        <w:t xml:space="preserve"> </w:t>
      </w:r>
      <w:r>
        <w:t>lines</w:t>
      </w:r>
      <w:r>
        <w:rPr>
          <w:spacing w:val="-3"/>
        </w:rPr>
        <w:t xml:space="preserve"> </w:t>
      </w:r>
      <w:r>
        <w:t>1</w:t>
      </w:r>
      <w:r>
        <w:rPr>
          <w:spacing w:val="-3"/>
        </w:rPr>
        <w:t xml:space="preserve"> </w:t>
      </w:r>
      <w:r>
        <w:t>through</w:t>
      </w:r>
      <w:r>
        <w:rPr>
          <w:spacing w:val="-2"/>
        </w:rPr>
        <w:t xml:space="preserve"> </w:t>
      </w:r>
      <w:r>
        <w:t>3, respectively. The direct subsidy amount must account for the final risk-adjusted</w:t>
      </w:r>
    </w:p>
    <w:p>
      <w:pPr>
        <w:spacing w:after="0"/>
        <w:sectPr>
          <w:pgSz w:w="12240" w:h="15840"/>
          <w:pgMar w:top="1340" w:right="1000" w:bottom="1080" w:left="1360" w:header="727" w:footer="891"/>
          <w:cols w:space="720"/>
        </w:sectPr>
      </w:pPr>
    </w:p>
    <w:p>
      <w:pPr>
        <w:pStyle w:val="BodyText"/>
        <w:spacing w:before="87"/>
        <w:ind w:left="440" w:right="478"/>
      </w:pPr>
      <w:r>
        <w:t>reconciliation</w:t>
      </w:r>
      <w:r>
        <w:rPr>
          <w:spacing w:val="-4"/>
        </w:rPr>
        <w:t xml:space="preserve"> </w:t>
      </w:r>
      <w:r>
        <w:t>payment</w:t>
      </w:r>
      <w:r>
        <w:rPr>
          <w:spacing w:val="-3"/>
        </w:rPr>
        <w:t xml:space="preserve"> </w:t>
      </w:r>
      <w:r>
        <w:t>for</w:t>
      </w:r>
      <w:r>
        <w:rPr>
          <w:spacing w:val="-4"/>
        </w:rPr>
        <w:t xml:space="preserve"> </w:t>
      </w:r>
      <w:r>
        <w:t>CY2024,</w:t>
      </w:r>
      <w:r>
        <w:rPr>
          <w:spacing w:val="-4"/>
        </w:rPr>
        <w:t xml:space="preserve"> </w:t>
      </w:r>
      <w:r>
        <w:t>which</w:t>
      </w:r>
      <w:r>
        <w:rPr>
          <w:spacing w:val="-4"/>
        </w:rPr>
        <w:t xml:space="preserve"> </w:t>
      </w:r>
      <w:r>
        <w:t>will</w:t>
      </w:r>
      <w:r>
        <w:rPr>
          <w:spacing w:val="-4"/>
        </w:rPr>
        <w:t xml:space="preserve"> </w:t>
      </w:r>
      <w:r>
        <w:t>be</w:t>
      </w:r>
      <w:r>
        <w:rPr>
          <w:spacing w:val="-5"/>
        </w:rPr>
        <w:t xml:space="preserve"> </w:t>
      </w:r>
      <w:r>
        <w:t>received</w:t>
      </w:r>
      <w:r>
        <w:rPr>
          <w:spacing w:val="-4"/>
        </w:rPr>
        <w:t xml:space="preserve"> </w:t>
      </w:r>
      <w:r>
        <w:t>in</w:t>
      </w:r>
      <w:r>
        <w:rPr>
          <w:spacing w:val="-4"/>
        </w:rPr>
        <w:t xml:space="preserve"> </w:t>
      </w:r>
      <w:r>
        <w:t>mid-2025</w:t>
      </w:r>
      <w:r>
        <w:rPr>
          <w:spacing w:val="-4"/>
        </w:rPr>
        <w:t xml:space="preserve"> </w:t>
      </w:r>
      <w:r>
        <w:t>and</w:t>
      </w:r>
      <w:r>
        <w:rPr>
          <w:spacing w:val="-4"/>
        </w:rPr>
        <w:t xml:space="preserve"> </w:t>
      </w:r>
      <w:r>
        <w:t>include</w:t>
      </w:r>
      <w:r>
        <w:rPr>
          <w:spacing w:val="-5"/>
        </w:rPr>
        <w:t xml:space="preserve"> </w:t>
      </w:r>
      <w:r>
        <w:t>the impact of sequestration and PACE add-on, if applicable.</w:t>
      </w:r>
    </w:p>
    <w:p>
      <w:pPr>
        <w:spacing w:before="240"/>
        <w:ind w:left="440" w:right="0" w:firstLine="0"/>
        <w:jc w:val="left"/>
        <w:rPr>
          <w:rFonts w:ascii="Arial" w:hAnsi="Arial"/>
          <w:b/>
          <w:sz w:val="21"/>
        </w:rPr>
      </w:pPr>
      <w:bookmarkStart w:id="102" w:name="Line 3, column f – Supplemental"/>
      <w:bookmarkEnd w:id="102"/>
      <w:r>
        <w:rPr>
          <w:rFonts w:ascii="Arial" w:hAnsi="Arial"/>
          <w:b/>
          <w:sz w:val="21"/>
        </w:rPr>
        <w:t>Line</w:t>
      </w:r>
      <w:r>
        <w:rPr>
          <w:rFonts w:ascii="Arial" w:hAnsi="Arial"/>
          <w:b/>
          <w:spacing w:val="-3"/>
          <w:sz w:val="21"/>
        </w:rPr>
        <w:t xml:space="preserve"> </w:t>
      </w:r>
      <w:r>
        <w:rPr>
          <w:rFonts w:ascii="Arial" w:hAnsi="Arial"/>
          <w:b/>
          <w:sz w:val="21"/>
        </w:rPr>
        <w:t>3,</w:t>
      </w:r>
      <w:r>
        <w:rPr>
          <w:rFonts w:ascii="Arial" w:hAnsi="Arial"/>
          <w:b/>
          <w:spacing w:val="-3"/>
          <w:sz w:val="21"/>
        </w:rPr>
        <w:t xml:space="preserve"> </w:t>
      </w:r>
      <w:r>
        <w:rPr>
          <w:rFonts w:ascii="Arial" w:hAnsi="Arial"/>
          <w:b/>
          <w:sz w:val="21"/>
        </w:rPr>
        <w:t>column</w:t>
      </w:r>
      <w:r>
        <w:rPr>
          <w:rFonts w:ascii="Arial" w:hAnsi="Arial"/>
          <w:b/>
          <w:spacing w:val="-2"/>
          <w:sz w:val="21"/>
        </w:rPr>
        <w:t xml:space="preserve"> </w:t>
      </w:r>
      <w:r>
        <w:rPr>
          <w:rFonts w:ascii="Arial" w:hAnsi="Arial"/>
          <w:b/>
          <w:sz w:val="21"/>
        </w:rPr>
        <w:t>f</w:t>
      </w:r>
      <w:r>
        <w:rPr>
          <w:rFonts w:ascii="Arial" w:hAnsi="Arial"/>
          <w:b/>
          <w:spacing w:val="-3"/>
          <w:sz w:val="21"/>
        </w:rPr>
        <w:t xml:space="preserve"> </w:t>
      </w:r>
      <w:r>
        <w:rPr>
          <w:rFonts w:ascii="Arial" w:hAnsi="Arial"/>
          <w:b/>
          <w:sz w:val="21"/>
        </w:rPr>
        <w:t>–</w:t>
      </w:r>
      <w:r>
        <w:rPr>
          <w:rFonts w:ascii="Arial" w:hAnsi="Arial"/>
          <w:b/>
          <w:spacing w:val="-2"/>
          <w:sz w:val="21"/>
        </w:rPr>
        <w:t xml:space="preserve"> Supplemental</w:t>
      </w:r>
    </w:p>
    <w:p>
      <w:pPr>
        <w:pStyle w:val="BodyText"/>
        <w:spacing w:before="121"/>
        <w:ind w:left="440"/>
      </w:pPr>
      <w:r>
        <w:t>Enter</w:t>
      </w:r>
      <w:r>
        <w:rPr>
          <w:spacing w:val="-4"/>
        </w:rPr>
        <w:t xml:space="preserve"> </w:t>
      </w:r>
      <w:r>
        <w:t>in</w:t>
      </w:r>
      <w:r>
        <w:rPr>
          <w:spacing w:val="-1"/>
        </w:rPr>
        <w:t xml:space="preserve"> </w:t>
      </w:r>
      <w:r>
        <w:t>line 3</w:t>
      </w:r>
      <w:r>
        <w:rPr>
          <w:spacing w:val="-2"/>
        </w:rPr>
        <w:t xml:space="preserve"> </w:t>
      </w:r>
      <w:r>
        <w:t>the member</w:t>
      </w:r>
      <w:r>
        <w:rPr>
          <w:spacing w:val="-3"/>
        </w:rPr>
        <w:t xml:space="preserve"> </w:t>
      </w:r>
      <w:r>
        <w:t>premium</w:t>
      </w:r>
      <w:r>
        <w:rPr>
          <w:spacing w:val="-1"/>
        </w:rPr>
        <w:t xml:space="preserve"> </w:t>
      </w:r>
      <w:r>
        <w:t>average PMPM</w:t>
      </w:r>
      <w:r>
        <w:rPr>
          <w:spacing w:val="-1"/>
        </w:rPr>
        <w:t xml:space="preserve"> </w:t>
      </w:r>
      <w:r>
        <w:t>amount for</w:t>
      </w:r>
      <w:r>
        <w:rPr>
          <w:spacing w:val="-3"/>
        </w:rPr>
        <w:t xml:space="preserve"> </w:t>
      </w:r>
      <w:r>
        <w:t xml:space="preserve">supplemental </w:t>
      </w:r>
      <w:r>
        <w:rPr>
          <w:spacing w:val="-2"/>
        </w:rPr>
        <w:t>coverage.</w:t>
      </w:r>
    </w:p>
    <w:p>
      <w:pPr>
        <w:spacing w:before="240"/>
        <w:ind w:left="440" w:right="0" w:firstLine="0"/>
        <w:jc w:val="left"/>
        <w:rPr>
          <w:rFonts w:ascii="Arial" w:hAnsi="Arial"/>
          <w:b/>
          <w:sz w:val="21"/>
        </w:rPr>
      </w:pPr>
      <w:bookmarkStart w:id="103" w:name="Lines 1 through 3, column g – Total"/>
      <w:bookmarkEnd w:id="103"/>
      <w:r>
        <w:rPr>
          <w:rFonts w:ascii="Arial" w:hAnsi="Arial"/>
          <w:b/>
          <w:sz w:val="21"/>
        </w:rPr>
        <w:t>Lines</w:t>
      </w:r>
      <w:r>
        <w:rPr>
          <w:rFonts w:ascii="Arial" w:hAnsi="Arial"/>
          <w:b/>
          <w:spacing w:val="-4"/>
          <w:sz w:val="21"/>
        </w:rPr>
        <w:t xml:space="preserve"> </w:t>
      </w:r>
      <w:r>
        <w:rPr>
          <w:rFonts w:ascii="Arial" w:hAnsi="Arial"/>
          <w:b/>
          <w:sz w:val="21"/>
        </w:rPr>
        <w:t>1</w:t>
      </w:r>
      <w:r>
        <w:rPr>
          <w:rFonts w:ascii="Arial" w:hAnsi="Arial"/>
          <w:b/>
          <w:spacing w:val="-3"/>
          <w:sz w:val="21"/>
        </w:rPr>
        <w:t xml:space="preserve"> </w:t>
      </w:r>
      <w:r>
        <w:rPr>
          <w:rFonts w:ascii="Arial" w:hAnsi="Arial"/>
          <w:b/>
          <w:sz w:val="21"/>
        </w:rPr>
        <w:t>through</w:t>
      </w:r>
      <w:r>
        <w:rPr>
          <w:rFonts w:ascii="Arial" w:hAnsi="Arial"/>
          <w:b/>
          <w:spacing w:val="-3"/>
          <w:sz w:val="21"/>
        </w:rPr>
        <w:t xml:space="preserve"> </w:t>
      </w:r>
      <w:r>
        <w:rPr>
          <w:rFonts w:ascii="Arial" w:hAnsi="Arial"/>
          <w:b/>
          <w:sz w:val="21"/>
        </w:rPr>
        <w:t>3,</w:t>
      </w:r>
      <w:r>
        <w:rPr>
          <w:rFonts w:ascii="Arial" w:hAnsi="Arial"/>
          <w:b/>
          <w:spacing w:val="-5"/>
          <w:sz w:val="21"/>
        </w:rPr>
        <w:t xml:space="preserve"> </w:t>
      </w:r>
      <w:r>
        <w:rPr>
          <w:rFonts w:ascii="Arial" w:hAnsi="Arial"/>
          <w:b/>
          <w:sz w:val="21"/>
        </w:rPr>
        <w:t>column</w:t>
      </w:r>
      <w:r>
        <w:rPr>
          <w:rFonts w:ascii="Arial" w:hAnsi="Arial"/>
          <w:b/>
          <w:spacing w:val="-3"/>
          <w:sz w:val="21"/>
        </w:rPr>
        <w:t xml:space="preserve"> </w:t>
      </w:r>
      <w:r>
        <w:rPr>
          <w:rFonts w:ascii="Arial" w:hAnsi="Arial"/>
          <w:b/>
          <w:sz w:val="21"/>
        </w:rPr>
        <w:t>g</w:t>
      </w:r>
      <w:r>
        <w:rPr>
          <w:rFonts w:ascii="Arial" w:hAnsi="Arial"/>
          <w:b/>
          <w:spacing w:val="-2"/>
          <w:sz w:val="21"/>
        </w:rPr>
        <w:t xml:space="preserve"> </w:t>
      </w:r>
      <w:r>
        <w:rPr>
          <w:rFonts w:ascii="Arial" w:hAnsi="Arial"/>
          <w:b/>
          <w:sz w:val="21"/>
        </w:rPr>
        <w:t>–</w:t>
      </w:r>
      <w:r>
        <w:rPr>
          <w:rFonts w:ascii="Arial" w:hAnsi="Arial"/>
          <w:b/>
          <w:spacing w:val="-5"/>
          <w:sz w:val="21"/>
        </w:rPr>
        <w:t xml:space="preserve"> </w:t>
      </w:r>
      <w:r>
        <w:rPr>
          <w:rFonts w:ascii="Arial" w:hAnsi="Arial"/>
          <w:b/>
          <w:spacing w:val="-4"/>
          <w:sz w:val="21"/>
        </w:rPr>
        <w:t>Total</w:t>
      </w:r>
    </w:p>
    <w:p>
      <w:pPr>
        <w:pStyle w:val="BodyText"/>
        <w:spacing w:before="118"/>
        <w:ind w:left="440"/>
      </w:pPr>
      <w:r>
        <w:t>The</w:t>
      </w:r>
      <w:r>
        <w:rPr>
          <w:spacing w:val="-3"/>
        </w:rPr>
        <w:t xml:space="preserve"> </w:t>
      </w:r>
      <w:r>
        <w:t>values</w:t>
      </w:r>
      <w:r>
        <w:rPr>
          <w:spacing w:val="-1"/>
        </w:rPr>
        <w:t xml:space="preserve"> </w:t>
      </w:r>
      <w:r>
        <w:t>are</w:t>
      </w:r>
      <w:r>
        <w:rPr>
          <w:spacing w:val="-3"/>
        </w:rPr>
        <w:t xml:space="preserve"> </w:t>
      </w:r>
      <w:r>
        <w:t>calculated</w:t>
      </w:r>
      <w:r>
        <w:rPr>
          <w:spacing w:val="1"/>
        </w:rPr>
        <w:t xml:space="preserve"> </w:t>
      </w:r>
      <w:r>
        <w:t>automatically</w:t>
      </w:r>
      <w:r>
        <w:rPr>
          <w:spacing w:val="-1"/>
        </w:rPr>
        <w:t xml:space="preserve"> </w:t>
      </w:r>
      <w:r>
        <w:t>in</w:t>
      </w:r>
      <w:r>
        <w:rPr>
          <w:spacing w:val="-1"/>
        </w:rPr>
        <w:t xml:space="preserve"> </w:t>
      </w:r>
      <w:r>
        <w:t>the</w:t>
      </w:r>
      <w:r>
        <w:rPr>
          <w:spacing w:val="-2"/>
        </w:rPr>
        <w:t xml:space="preserve"> </w:t>
      </w:r>
      <w:r>
        <w:t>BPT as</w:t>
      </w:r>
      <w:r>
        <w:rPr>
          <w:spacing w:val="3"/>
        </w:rPr>
        <w:t xml:space="preserve"> </w:t>
      </w:r>
      <w:r>
        <w:t>the</w:t>
      </w:r>
      <w:r>
        <w:rPr>
          <w:spacing w:val="-2"/>
        </w:rPr>
        <w:t xml:space="preserve"> </w:t>
      </w:r>
      <w:r>
        <w:t>sum</w:t>
      </w:r>
      <w:r>
        <w:rPr>
          <w:spacing w:val="-1"/>
        </w:rPr>
        <w:t xml:space="preserve"> </w:t>
      </w:r>
      <w:r>
        <w:t>of columns</w:t>
      </w:r>
      <w:r>
        <w:rPr>
          <w:spacing w:val="-1"/>
        </w:rPr>
        <w:t xml:space="preserve"> </w:t>
      </w:r>
      <w:r>
        <w:t>e</w:t>
      </w:r>
      <w:r>
        <w:rPr>
          <w:spacing w:val="-2"/>
        </w:rPr>
        <w:t xml:space="preserve"> </w:t>
      </w:r>
      <w:r>
        <w:t xml:space="preserve">and </w:t>
      </w:r>
      <w:r>
        <w:rPr>
          <w:spacing w:val="-5"/>
        </w:rPr>
        <w:t>f.</w:t>
      </w:r>
    </w:p>
    <w:p>
      <w:pPr>
        <w:spacing w:before="241"/>
        <w:ind w:left="440" w:right="0" w:firstLine="0"/>
        <w:jc w:val="left"/>
        <w:rPr>
          <w:rFonts w:ascii="Arial" w:hAnsi="Arial"/>
          <w:b/>
          <w:sz w:val="21"/>
        </w:rPr>
      </w:pPr>
      <w:bookmarkStart w:id="104" w:name="Line 4 – Total Premium"/>
      <w:bookmarkEnd w:id="104"/>
      <w:r>
        <w:rPr>
          <w:rFonts w:ascii="Arial" w:hAnsi="Arial"/>
          <w:b/>
          <w:sz w:val="21"/>
        </w:rPr>
        <w:t>Line</w:t>
      </w:r>
      <w:r>
        <w:rPr>
          <w:rFonts w:ascii="Arial" w:hAnsi="Arial"/>
          <w:b/>
          <w:spacing w:val="-3"/>
          <w:sz w:val="21"/>
        </w:rPr>
        <w:t xml:space="preserve"> </w:t>
      </w:r>
      <w:r>
        <w:rPr>
          <w:rFonts w:ascii="Arial" w:hAnsi="Arial"/>
          <w:b/>
          <w:sz w:val="21"/>
        </w:rPr>
        <w:t>4</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z w:val="21"/>
        </w:rPr>
        <w:t>Total</w:t>
      </w:r>
      <w:r>
        <w:rPr>
          <w:rFonts w:ascii="Arial" w:hAnsi="Arial"/>
          <w:b/>
          <w:spacing w:val="-3"/>
          <w:sz w:val="21"/>
        </w:rPr>
        <w:t xml:space="preserve"> </w:t>
      </w:r>
      <w:r>
        <w:rPr>
          <w:rFonts w:ascii="Arial" w:hAnsi="Arial"/>
          <w:b/>
          <w:spacing w:val="-2"/>
          <w:sz w:val="21"/>
        </w:rPr>
        <w:t>Premium</w:t>
      </w:r>
    </w:p>
    <w:p>
      <w:pPr>
        <w:pStyle w:val="BodyText"/>
        <w:ind w:left="440"/>
      </w:pPr>
      <w:r>
        <w:t>The</w:t>
      </w:r>
      <w:r>
        <w:rPr>
          <w:spacing w:val="-3"/>
        </w:rPr>
        <w:t xml:space="preserve"> </w:t>
      </w:r>
      <w:r>
        <w:t>values</w:t>
      </w:r>
      <w:r>
        <w:rPr>
          <w:spacing w:val="-1"/>
        </w:rPr>
        <w:t xml:space="preserve"> </w:t>
      </w:r>
      <w:r>
        <w:t>are</w:t>
      </w:r>
      <w:r>
        <w:rPr>
          <w:spacing w:val="-2"/>
        </w:rPr>
        <w:t xml:space="preserve"> </w:t>
      </w:r>
      <w:r>
        <w:t>calculated automatically</w:t>
      </w:r>
      <w:r>
        <w:rPr>
          <w:spacing w:val="-1"/>
        </w:rPr>
        <w:t xml:space="preserve"> </w:t>
      </w:r>
      <w:r>
        <w:t>in the</w:t>
      </w:r>
      <w:r>
        <w:rPr>
          <w:spacing w:val="-2"/>
        </w:rPr>
        <w:t xml:space="preserve"> </w:t>
      </w:r>
      <w:r>
        <w:t>BPT</w:t>
      </w:r>
      <w:r>
        <w:rPr>
          <w:spacing w:val="-1"/>
        </w:rPr>
        <w:t xml:space="preserve"> </w:t>
      </w:r>
      <w:r>
        <w:t>as the</w:t>
      </w:r>
      <w:r>
        <w:rPr>
          <w:spacing w:val="-1"/>
        </w:rPr>
        <w:t xml:space="preserve"> </w:t>
      </w:r>
      <w:r>
        <w:t>sum</w:t>
      </w:r>
      <w:r>
        <w:rPr>
          <w:spacing w:val="-1"/>
        </w:rPr>
        <w:t xml:space="preserve"> </w:t>
      </w:r>
      <w:r>
        <w:t>of lines</w:t>
      </w:r>
      <w:r>
        <w:rPr>
          <w:spacing w:val="-1"/>
        </w:rPr>
        <w:t xml:space="preserve"> </w:t>
      </w:r>
      <w:r>
        <w:t>1</w:t>
      </w:r>
      <w:r>
        <w:rPr>
          <w:spacing w:val="-1"/>
        </w:rPr>
        <w:t xml:space="preserve"> </w:t>
      </w:r>
      <w:r>
        <w:t xml:space="preserve">through </w:t>
      </w:r>
      <w:r>
        <w:rPr>
          <w:spacing w:val="-5"/>
        </w:rPr>
        <w:t>3.</w:t>
      </w:r>
    </w:p>
    <w:p>
      <w:pPr>
        <w:pStyle w:val="BodyText"/>
        <w:spacing w:before="46"/>
        <w:ind w:left="0"/>
      </w:pPr>
    </w:p>
    <w:p>
      <w:pPr>
        <w:pStyle w:val="Heading2"/>
      </w:pPr>
      <w:bookmarkStart w:id="105" w:name="Section VI – IRA Part D Drug Experience"/>
      <w:bookmarkEnd w:id="105"/>
      <w:bookmarkStart w:id="106" w:name="_bookmark30"/>
      <w:bookmarkEnd w:id="106"/>
      <w:r>
        <w:rPr>
          <w:smallCaps/>
        </w:rPr>
        <w:t>Section</w:t>
      </w:r>
      <w:r>
        <w:rPr>
          <w:smallCaps/>
          <w:spacing w:val="-15"/>
        </w:rPr>
        <w:t xml:space="preserve"> </w:t>
      </w:r>
      <w:r>
        <w:rPr>
          <w:smallCaps/>
        </w:rPr>
        <w:t>VI</w:t>
      </w:r>
      <w:r>
        <w:rPr>
          <w:smallCaps/>
          <w:spacing w:val="-15"/>
        </w:rPr>
        <w:t xml:space="preserve"> </w:t>
      </w:r>
      <w:r>
        <w:rPr>
          <w:smallCaps/>
        </w:rPr>
        <w:t>–</w:t>
      </w:r>
      <w:r>
        <w:rPr>
          <w:smallCaps/>
          <w:spacing w:val="-15"/>
        </w:rPr>
        <w:t xml:space="preserve"> </w:t>
      </w:r>
      <w:r>
        <w:rPr>
          <w:smallCaps/>
        </w:rPr>
        <w:t>IRA</w:t>
      </w:r>
      <w:r>
        <w:rPr>
          <w:smallCaps/>
          <w:spacing w:val="-15"/>
        </w:rPr>
        <w:t xml:space="preserve"> </w:t>
      </w:r>
      <w:r>
        <w:rPr>
          <w:smallCaps/>
        </w:rPr>
        <w:t>Part</w:t>
      </w:r>
      <w:r>
        <w:rPr>
          <w:smallCaps/>
          <w:spacing w:val="-6"/>
        </w:rPr>
        <w:t xml:space="preserve"> </w:t>
      </w:r>
      <w:r>
        <w:rPr>
          <w:smallCaps/>
        </w:rPr>
        <w:t>D</w:t>
      </w:r>
      <w:r>
        <w:rPr>
          <w:smallCaps/>
          <w:spacing w:val="-15"/>
        </w:rPr>
        <w:t xml:space="preserve"> </w:t>
      </w:r>
      <w:r>
        <w:rPr>
          <w:smallCaps/>
        </w:rPr>
        <w:t>Drug</w:t>
      </w:r>
      <w:r>
        <w:rPr>
          <w:smallCaps/>
          <w:spacing w:val="-7"/>
        </w:rPr>
        <w:t xml:space="preserve"> </w:t>
      </w:r>
      <w:r>
        <w:rPr>
          <w:smallCaps/>
          <w:spacing w:val="-2"/>
        </w:rPr>
        <w:t>Experience</w:t>
      </w:r>
    </w:p>
    <w:p>
      <w:pPr>
        <w:pStyle w:val="BodyText"/>
        <w:spacing w:before="179"/>
        <w:ind w:left="440"/>
      </w:pPr>
      <w:r>
        <w:t>Section</w:t>
      </w:r>
      <w:r>
        <w:rPr>
          <w:spacing w:val="-3"/>
        </w:rPr>
        <w:t xml:space="preserve"> </w:t>
      </w:r>
      <w:r>
        <w:t>VI</w:t>
      </w:r>
      <w:r>
        <w:rPr>
          <w:spacing w:val="-5"/>
        </w:rPr>
        <w:t xml:space="preserve"> </w:t>
      </w:r>
      <w:r>
        <w:t>summarizes</w:t>
      </w:r>
      <w:r>
        <w:rPr>
          <w:spacing w:val="1"/>
        </w:rPr>
        <w:t xml:space="preserve"> </w:t>
      </w:r>
      <w:r>
        <w:t>components of IRA</w:t>
      </w:r>
      <w:r>
        <w:rPr>
          <w:spacing w:val="-1"/>
        </w:rPr>
        <w:t xml:space="preserve"> </w:t>
      </w:r>
      <w:r>
        <w:t>Part</w:t>
      </w:r>
      <w:r>
        <w:rPr>
          <w:spacing w:val="2"/>
        </w:rPr>
        <w:t xml:space="preserve"> </w:t>
      </w:r>
      <w:r>
        <w:t>D</w:t>
      </w:r>
      <w:r>
        <w:rPr>
          <w:spacing w:val="-1"/>
        </w:rPr>
        <w:t xml:space="preserve"> </w:t>
      </w:r>
      <w:r>
        <w:t>Drug</w:t>
      </w:r>
      <w:r>
        <w:rPr>
          <w:spacing w:val="-1"/>
        </w:rPr>
        <w:t xml:space="preserve"> </w:t>
      </w:r>
      <w:r>
        <w:t>costs</w:t>
      </w:r>
      <w:r>
        <w:rPr>
          <w:spacing w:val="-1"/>
        </w:rPr>
        <w:t xml:space="preserve"> </w:t>
      </w:r>
      <w:r>
        <w:t>for</w:t>
      </w:r>
      <w:r>
        <w:rPr>
          <w:spacing w:val="-3"/>
        </w:rPr>
        <w:t xml:space="preserve"> </w:t>
      </w:r>
      <w:r>
        <w:t>the</w:t>
      </w:r>
      <w:r>
        <w:rPr>
          <w:spacing w:val="-2"/>
        </w:rPr>
        <w:t xml:space="preserve"> </w:t>
      </w:r>
      <w:r>
        <w:t>base</w:t>
      </w:r>
      <w:r>
        <w:rPr>
          <w:spacing w:val="1"/>
        </w:rPr>
        <w:t xml:space="preserve"> </w:t>
      </w:r>
      <w:r>
        <w:rPr>
          <w:spacing w:val="-2"/>
        </w:rPr>
        <w:t>period.</w:t>
      </w:r>
    </w:p>
    <w:p>
      <w:pPr>
        <w:spacing w:before="241"/>
        <w:ind w:left="440" w:right="0" w:firstLine="0"/>
        <w:jc w:val="left"/>
        <w:rPr>
          <w:rFonts w:ascii="Arial" w:hAnsi="Arial"/>
          <w:b/>
          <w:sz w:val="21"/>
        </w:rPr>
      </w:pPr>
      <w:bookmarkStart w:id="107" w:name="Line 1, columns e through g – Maximum Fa"/>
      <w:bookmarkEnd w:id="107"/>
      <w:r>
        <w:rPr>
          <w:rFonts w:ascii="Arial" w:hAnsi="Arial"/>
          <w:b/>
          <w:sz w:val="21"/>
        </w:rPr>
        <w:t>Line</w:t>
      </w:r>
      <w:r>
        <w:rPr>
          <w:rFonts w:ascii="Arial" w:hAnsi="Arial"/>
          <w:b/>
          <w:spacing w:val="-6"/>
          <w:sz w:val="21"/>
        </w:rPr>
        <w:t xml:space="preserve"> </w:t>
      </w:r>
      <w:r>
        <w:rPr>
          <w:rFonts w:ascii="Arial" w:hAnsi="Arial"/>
          <w:b/>
          <w:sz w:val="21"/>
        </w:rPr>
        <w:t>1,</w:t>
      </w:r>
      <w:r>
        <w:rPr>
          <w:rFonts w:ascii="Arial" w:hAnsi="Arial"/>
          <w:b/>
          <w:spacing w:val="-5"/>
          <w:sz w:val="21"/>
        </w:rPr>
        <w:t xml:space="preserve"> </w:t>
      </w:r>
      <w:r>
        <w:rPr>
          <w:rFonts w:ascii="Arial" w:hAnsi="Arial"/>
          <w:b/>
          <w:sz w:val="21"/>
        </w:rPr>
        <w:t>columns</w:t>
      </w:r>
      <w:r>
        <w:rPr>
          <w:rFonts w:ascii="Arial" w:hAnsi="Arial"/>
          <w:b/>
          <w:spacing w:val="-4"/>
          <w:sz w:val="21"/>
        </w:rPr>
        <w:t xml:space="preserve"> </w:t>
      </w:r>
      <w:r>
        <w:rPr>
          <w:rFonts w:ascii="Arial" w:hAnsi="Arial"/>
          <w:b/>
          <w:sz w:val="21"/>
        </w:rPr>
        <w:t>e</w:t>
      </w:r>
      <w:r>
        <w:rPr>
          <w:rFonts w:ascii="Arial" w:hAnsi="Arial"/>
          <w:b/>
          <w:spacing w:val="-4"/>
          <w:sz w:val="21"/>
        </w:rPr>
        <w:t xml:space="preserve"> </w:t>
      </w:r>
      <w:r>
        <w:rPr>
          <w:rFonts w:ascii="Arial" w:hAnsi="Arial"/>
          <w:b/>
          <w:sz w:val="21"/>
        </w:rPr>
        <w:t>through</w:t>
      </w:r>
      <w:r>
        <w:rPr>
          <w:rFonts w:ascii="Arial" w:hAnsi="Arial"/>
          <w:b/>
          <w:spacing w:val="-3"/>
          <w:sz w:val="21"/>
        </w:rPr>
        <w:t xml:space="preserve"> </w:t>
      </w:r>
      <w:r>
        <w:rPr>
          <w:rFonts w:ascii="Arial" w:hAnsi="Arial"/>
          <w:b/>
          <w:sz w:val="21"/>
        </w:rPr>
        <w:t>g</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Maximum</w:t>
      </w:r>
      <w:r>
        <w:rPr>
          <w:rFonts w:ascii="Arial" w:hAnsi="Arial"/>
          <w:b/>
          <w:spacing w:val="-7"/>
          <w:sz w:val="21"/>
        </w:rPr>
        <w:t xml:space="preserve"> </w:t>
      </w:r>
      <w:r>
        <w:rPr>
          <w:rFonts w:ascii="Arial" w:hAnsi="Arial"/>
          <w:b/>
          <w:sz w:val="21"/>
        </w:rPr>
        <w:t>Fair</w:t>
      </w:r>
      <w:r>
        <w:rPr>
          <w:rFonts w:ascii="Arial" w:hAnsi="Arial"/>
          <w:b/>
          <w:spacing w:val="-5"/>
          <w:sz w:val="21"/>
        </w:rPr>
        <w:t xml:space="preserve"> </w:t>
      </w:r>
      <w:r>
        <w:rPr>
          <w:rFonts w:ascii="Arial" w:hAnsi="Arial"/>
          <w:b/>
          <w:sz w:val="21"/>
        </w:rPr>
        <w:t>Price</w:t>
      </w:r>
      <w:r>
        <w:rPr>
          <w:rFonts w:ascii="Arial" w:hAnsi="Arial"/>
          <w:b/>
          <w:spacing w:val="-3"/>
          <w:sz w:val="21"/>
        </w:rPr>
        <w:t xml:space="preserve"> </w:t>
      </w:r>
      <w:r>
        <w:rPr>
          <w:rFonts w:ascii="Arial" w:hAnsi="Arial"/>
          <w:b/>
          <w:spacing w:val="-2"/>
          <w:sz w:val="21"/>
        </w:rPr>
        <w:t>Drugs</w:t>
      </w:r>
    </w:p>
    <w:p>
      <w:pPr>
        <w:pStyle w:val="BodyText"/>
        <w:spacing w:before="118"/>
        <w:ind w:left="440"/>
      </w:pPr>
      <w:r>
        <w:t>This</w:t>
      </w:r>
      <w:r>
        <w:rPr>
          <w:spacing w:val="-1"/>
        </w:rPr>
        <w:t xml:space="preserve"> </w:t>
      </w:r>
      <w:r>
        <w:t>section</w:t>
      </w:r>
      <w:r>
        <w:rPr>
          <w:spacing w:val="-1"/>
        </w:rPr>
        <w:t xml:space="preserve"> </w:t>
      </w:r>
      <w:r>
        <w:t>is</w:t>
      </w:r>
      <w:r>
        <w:rPr>
          <w:spacing w:val="-1"/>
        </w:rPr>
        <w:t xml:space="preserve"> </w:t>
      </w:r>
      <w:r>
        <w:t>not</w:t>
      </w:r>
      <w:r>
        <w:rPr>
          <w:spacing w:val="-1"/>
        </w:rPr>
        <w:t xml:space="preserve"> </w:t>
      </w:r>
      <w:r>
        <w:t>applicable</w:t>
      </w:r>
      <w:r>
        <w:rPr>
          <w:spacing w:val="-1"/>
        </w:rPr>
        <w:t xml:space="preserve"> </w:t>
      </w:r>
      <w:r>
        <w:t>for</w:t>
      </w:r>
      <w:r>
        <w:rPr>
          <w:spacing w:val="-1"/>
        </w:rPr>
        <w:t xml:space="preserve"> </w:t>
      </w:r>
      <w:r>
        <w:t xml:space="preserve">CY2026 </w:t>
      </w:r>
      <w:r>
        <w:rPr>
          <w:spacing w:val="-2"/>
        </w:rPr>
        <w:t>BPTs.</w:t>
      </w:r>
    </w:p>
    <w:p>
      <w:pPr>
        <w:pStyle w:val="BodyText"/>
        <w:spacing w:before="47"/>
        <w:ind w:left="0"/>
      </w:pPr>
    </w:p>
    <w:p>
      <w:pPr>
        <w:pStyle w:val="Heading2"/>
      </w:pPr>
      <w:bookmarkStart w:id="108" w:name="Section VII – PMPM Income Statement Summ"/>
      <w:bookmarkEnd w:id="108"/>
      <w:bookmarkStart w:id="109" w:name="_bookmark31"/>
      <w:bookmarkEnd w:id="109"/>
      <w:r>
        <w:rPr>
          <w:smallCaps/>
        </w:rPr>
        <w:t>Section</w:t>
      </w:r>
      <w:r>
        <w:rPr>
          <w:smallCaps/>
          <w:spacing w:val="-15"/>
        </w:rPr>
        <w:t xml:space="preserve"> </w:t>
      </w:r>
      <w:r>
        <w:rPr>
          <w:smallCaps/>
        </w:rPr>
        <w:t>VII</w:t>
      </w:r>
      <w:r>
        <w:rPr>
          <w:smallCaps/>
          <w:spacing w:val="-15"/>
        </w:rPr>
        <w:t xml:space="preserve"> </w:t>
      </w:r>
      <w:r>
        <w:rPr>
          <w:smallCaps/>
        </w:rPr>
        <w:t>–</w:t>
      </w:r>
      <w:r>
        <w:rPr>
          <w:smallCaps/>
          <w:spacing w:val="-15"/>
        </w:rPr>
        <w:t xml:space="preserve"> </w:t>
      </w:r>
      <w:r>
        <w:rPr>
          <w:smallCaps/>
        </w:rPr>
        <w:t>PMPM</w:t>
      </w:r>
      <w:r>
        <w:rPr>
          <w:smallCaps/>
          <w:spacing w:val="-15"/>
        </w:rPr>
        <w:t xml:space="preserve"> </w:t>
      </w:r>
      <w:r>
        <w:rPr>
          <w:smallCaps/>
        </w:rPr>
        <w:t>Income</w:t>
      </w:r>
      <w:r>
        <w:rPr>
          <w:smallCaps/>
          <w:spacing w:val="-14"/>
        </w:rPr>
        <w:t xml:space="preserve"> </w:t>
      </w:r>
      <w:r>
        <w:rPr>
          <w:smallCaps/>
        </w:rPr>
        <w:t>Statement</w:t>
      </w:r>
      <w:r>
        <w:rPr>
          <w:smallCaps/>
          <w:spacing w:val="-10"/>
        </w:rPr>
        <w:t xml:space="preserve"> </w:t>
      </w:r>
      <w:r>
        <w:rPr>
          <w:smallCaps/>
          <w:spacing w:val="-2"/>
        </w:rPr>
        <w:t>Summary</w:t>
      </w:r>
    </w:p>
    <w:p>
      <w:pPr>
        <w:pStyle w:val="BodyText"/>
        <w:spacing w:before="177"/>
        <w:ind w:left="440" w:right="515"/>
      </w:pPr>
      <w:r>
        <w:t>Section</w:t>
      </w:r>
      <w:r>
        <w:rPr>
          <w:spacing w:val="-3"/>
        </w:rPr>
        <w:t xml:space="preserve"> </w:t>
      </w:r>
      <w:r>
        <w:t>VII</w:t>
      </w:r>
      <w:r>
        <w:rPr>
          <w:spacing w:val="-7"/>
        </w:rPr>
        <w:t xml:space="preserve"> </w:t>
      </w:r>
      <w:r>
        <w:t>is</w:t>
      </w:r>
      <w:r>
        <w:rPr>
          <w:spacing w:val="-4"/>
        </w:rPr>
        <w:t xml:space="preserve"> </w:t>
      </w:r>
      <w:r>
        <w:t>a</w:t>
      </w:r>
      <w:r>
        <w:rPr>
          <w:spacing w:val="-3"/>
        </w:rPr>
        <w:t xml:space="preserve"> </w:t>
      </w:r>
      <w:r>
        <w:t>summary</w:t>
      </w:r>
      <w:r>
        <w:rPr>
          <w:spacing w:val="-2"/>
        </w:rPr>
        <w:t xml:space="preserve"> </w:t>
      </w:r>
      <w:r>
        <w:t>of</w:t>
      </w:r>
      <w:r>
        <w:rPr>
          <w:spacing w:val="-3"/>
        </w:rPr>
        <w:t xml:space="preserve"> </w:t>
      </w:r>
      <w:r>
        <w:t>the</w:t>
      </w:r>
      <w:r>
        <w:rPr>
          <w:spacing w:val="-5"/>
        </w:rPr>
        <w:t xml:space="preserve"> </w:t>
      </w:r>
      <w:r>
        <w:t>prescription</w:t>
      </w:r>
      <w:r>
        <w:rPr>
          <w:spacing w:val="-3"/>
        </w:rPr>
        <w:t xml:space="preserve"> </w:t>
      </w:r>
      <w:r>
        <w:t>drug</w:t>
      </w:r>
      <w:r>
        <w:rPr>
          <w:spacing w:val="-3"/>
        </w:rPr>
        <w:t xml:space="preserve"> </w:t>
      </w:r>
      <w:r>
        <w:t>plan’s</w:t>
      </w:r>
      <w:r>
        <w:rPr>
          <w:spacing w:val="-4"/>
        </w:rPr>
        <w:t xml:space="preserve"> </w:t>
      </w:r>
      <w:r>
        <w:t>income,</w:t>
      </w:r>
      <w:r>
        <w:rPr>
          <w:spacing w:val="-3"/>
        </w:rPr>
        <w:t xml:space="preserve"> </w:t>
      </w:r>
      <w:r>
        <w:t>including</w:t>
      </w:r>
      <w:r>
        <w:rPr>
          <w:spacing w:val="-1"/>
        </w:rPr>
        <w:t xml:space="preserve"> </w:t>
      </w:r>
      <w:r>
        <w:t>the</w:t>
      </w:r>
      <w:r>
        <w:rPr>
          <w:spacing w:val="-3"/>
        </w:rPr>
        <w:t xml:space="preserve"> </w:t>
      </w:r>
      <w:r>
        <w:t>amount</w:t>
      </w:r>
      <w:r>
        <w:rPr>
          <w:spacing w:val="-3"/>
        </w:rPr>
        <w:t xml:space="preserve"> </w:t>
      </w:r>
      <w:r>
        <w:t>of MA rebate allocable to Part D when applicable, for the base period.</w:t>
      </w:r>
    </w:p>
    <w:p>
      <w:pPr>
        <w:spacing w:before="241"/>
        <w:ind w:left="440" w:right="0" w:firstLine="0"/>
        <w:jc w:val="left"/>
        <w:rPr>
          <w:rFonts w:ascii="Arial"/>
          <w:b/>
          <w:sz w:val="21"/>
        </w:rPr>
      </w:pPr>
      <w:bookmarkStart w:id="110" w:name="Lines 1 through 9, column m"/>
      <w:bookmarkEnd w:id="110"/>
      <w:r>
        <w:rPr>
          <w:rFonts w:ascii="Arial"/>
          <w:b/>
          <w:sz w:val="21"/>
        </w:rPr>
        <w:t>Lines</w:t>
      </w:r>
      <w:r>
        <w:rPr>
          <w:rFonts w:ascii="Arial"/>
          <w:b/>
          <w:spacing w:val="-5"/>
          <w:sz w:val="21"/>
        </w:rPr>
        <w:t xml:space="preserve"> </w:t>
      </w:r>
      <w:r>
        <w:rPr>
          <w:rFonts w:ascii="Arial"/>
          <w:b/>
          <w:sz w:val="21"/>
        </w:rPr>
        <w:t>1</w:t>
      </w:r>
      <w:r>
        <w:rPr>
          <w:rFonts w:ascii="Arial"/>
          <w:b/>
          <w:spacing w:val="-4"/>
          <w:sz w:val="21"/>
        </w:rPr>
        <w:t xml:space="preserve"> </w:t>
      </w:r>
      <w:r>
        <w:rPr>
          <w:rFonts w:ascii="Arial"/>
          <w:b/>
          <w:sz w:val="21"/>
        </w:rPr>
        <w:t>through</w:t>
      </w:r>
      <w:r>
        <w:rPr>
          <w:rFonts w:ascii="Arial"/>
          <w:b/>
          <w:spacing w:val="-3"/>
          <w:sz w:val="21"/>
        </w:rPr>
        <w:t xml:space="preserve"> </w:t>
      </w:r>
      <w:r>
        <w:rPr>
          <w:rFonts w:ascii="Arial"/>
          <w:b/>
          <w:sz w:val="21"/>
        </w:rPr>
        <w:t>9,</w:t>
      </w:r>
      <w:r>
        <w:rPr>
          <w:rFonts w:ascii="Arial"/>
          <w:b/>
          <w:spacing w:val="-6"/>
          <w:sz w:val="21"/>
        </w:rPr>
        <w:t xml:space="preserve"> </w:t>
      </w:r>
      <w:r>
        <w:rPr>
          <w:rFonts w:ascii="Arial"/>
          <w:b/>
          <w:sz w:val="21"/>
        </w:rPr>
        <w:t>column</w:t>
      </w:r>
      <w:r>
        <w:rPr>
          <w:rFonts w:ascii="Arial"/>
          <w:b/>
          <w:spacing w:val="-3"/>
          <w:sz w:val="21"/>
        </w:rPr>
        <w:t xml:space="preserve"> </w:t>
      </w:r>
      <w:r>
        <w:rPr>
          <w:rFonts w:ascii="Arial"/>
          <w:b/>
          <w:spacing w:val="-10"/>
          <w:sz w:val="21"/>
        </w:rPr>
        <w:t>m</w:t>
      </w:r>
    </w:p>
    <w:p>
      <w:pPr>
        <w:pStyle w:val="BodyText"/>
        <w:ind w:left="440" w:right="816"/>
      </w:pPr>
      <w:r>
        <w:t>Enter</w:t>
      </w:r>
      <w:r>
        <w:rPr>
          <w:spacing w:val="-4"/>
        </w:rPr>
        <w:t xml:space="preserve"> </w:t>
      </w:r>
      <w:r>
        <w:t>in</w:t>
      </w:r>
      <w:r>
        <w:rPr>
          <w:spacing w:val="-3"/>
        </w:rPr>
        <w:t xml:space="preserve"> </w:t>
      </w:r>
      <w:r>
        <w:t>line</w:t>
      </w:r>
      <w:r>
        <w:rPr>
          <w:spacing w:val="-3"/>
        </w:rPr>
        <w:t xml:space="preserve"> </w:t>
      </w:r>
      <w:r>
        <w:t>4</w:t>
      </w:r>
      <w:r>
        <w:rPr>
          <w:spacing w:val="-4"/>
        </w:rPr>
        <w:t xml:space="preserve"> </w:t>
      </w:r>
      <w:r>
        <w:t>the</w:t>
      </w:r>
      <w:r>
        <w:rPr>
          <w:spacing w:val="-3"/>
        </w:rPr>
        <w:t xml:space="preserve"> </w:t>
      </w:r>
      <w:r>
        <w:t>average</w:t>
      </w:r>
      <w:r>
        <w:rPr>
          <w:spacing w:val="-3"/>
        </w:rPr>
        <w:t xml:space="preserve"> </w:t>
      </w:r>
      <w:r>
        <w:t>PMPM</w:t>
      </w:r>
      <w:r>
        <w:rPr>
          <w:spacing w:val="-3"/>
        </w:rPr>
        <w:t xml:space="preserve"> </w:t>
      </w:r>
      <w:r>
        <w:t>amount</w:t>
      </w:r>
      <w:r>
        <w:rPr>
          <w:spacing w:val="-3"/>
        </w:rPr>
        <w:t xml:space="preserve"> </w:t>
      </w:r>
      <w:r>
        <w:t>of</w:t>
      </w:r>
      <w:r>
        <w:rPr>
          <w:spacing w:val="-3"/>
        </w:rPr>
        <w:t xml:space="preserve"> </w:t>
      </w:r>
      <w:r>
        <w:t>the</w:t>
      </w:r>
      <w:r>
        <w:rPr>
          <w:spacing w:val="-5"/>
        </w:rPr>
        <w:t xml:space="preserve"> </w:t>
      </w:r>
      <w:r>
        <w:t>MA</w:t>
      </w:r>
      <w:r>
        <w:rPr>
          <w:spacing w:val="-3"/>
        </w:rPr>
        <w:t xml:space="preserve"> </w:t>
      </w:r>
      <w:r>
        <w:t>rebate</w:t>
      </w:r>
      <w:r>
        <w:rPr>
          <w:spacing w:val="-3"/>
        </w:rPr>
        <w:t xml:space="preserve"> </w:t>
      </w:r>
      <w:r>
        <w:t>dollars,</w:t>
      </w:r>
      <w:r>
        <w:rPr>
          <w:spacing w:val="-3"/>
        </w:rPr>
        <w:t xml:space="preserve"> </w:t>
      </w:r>
      <w:r>
        <w:t>including</w:t>
      </w:r>
      <w:r>
        <w:rPr>
          <w:spacing w:val="-3"/>
        </w:rPr>
        <w:t xml:space="preserve"> </w:t>
      </w:r>
      <w:r>
        <w:t>the</w:t>
      </w:r>
      <w:r>
        <w:rPr>
          <w:spacing w:val="-4"/>
        </w:rPr>
        <w:t xml:space="preserve"> </w:t>
      </w:r>
      <w:r>
        <w:t>impact of sequestration, used to buy down the Part D premium. The values in lines 1 through 3 and lines 5 through 9 are carried from other sections in Worksheet 1 or are calculated automatically in the BPT as sums or differences in column m.</w:t>
      </w:r>
    </w:p>
    <w:p>
      <w:pPr>
        <w:spacing w:before="241"/>
        <w:ind w:left="440" w:right="0" w:firstLine="0"/>
        <w:jc w:val="left"/>
        <w:rPr>
          <w:rFonts w:ascii="Arial"/>
          <w:b/>
          <w:sz w:val="21"/>
        </w:rPr>
      </w:pPr>
      <w:bookmarkStart w:id="111" w:name="Total Non-LI Brand Discount Amount"/>
      <w:bookmarkEnd w:id="111"/>
      <w:r>
        <w:rPr>
          <w:rFonts w:ascii="Arial"/>
          <w:b/>
          <w:sz w:val="21"/>
        </w:rPr>
        <w:t>Total</w:t>
      </w:r>
      <w:r>
        <w:rPr>
          <w:rFonts w:ascii="Arial"/>
          <w:b/>
          <w:spacing w:val="-7"/>
          <w:sz w:val="21"/>
        </w:rPr>
        <w:t xml:space="preserve"> </w:t>
      </w:r>
      <w:r>
        <w:rPr>
          <w:rFonts w:ascii="Arial"/>
          <w:b/>
          <w:sz w:val="21"/>
        </w:rPr>
        <w:t>Non-LI</w:t>
      </w:r>
      <w:r>
        <w:rPr>
          <w:rFonts w:ascii="Arial"/>
          <w:b/>
          <w:spacing w:val="-7"/>
          <w:sz w:val="21"/>
        </w:rPr>
        <w:t xml:space="preserve"> </w:t>
      </w:r>
      <w:r>
        <w:rPr>
          <w:rFonts w:ascii="Arial"/>
          <w:b/>
          <w:sz w:val="21"/>
        </w:rPr>
        <w:t>Brand</w:t>
      </w:r>
      <w:r>
        <w:rPr>
          <w:rFonts w:ascii="Arial"/>
          <w:b/>
          <w:spacing w:val="-5"/>
          <w:sz w:val="21"/>
        </w:rPr>
        <w:t xml:space="preserve"> </w:t>
      </w:r>
      <w:r>
        <w:rPr>
          <w:rFonts w:ascii="Arial"/>
          <w:b/>
          <w:sz w:val="21"/>
        </w:rPr>
        <w:t>Discount</w:t>
      </w:r>
      <w:r>
        <w:rPr>
          <w:rFonts w:ascii="Arial"/>
          <w:b/>
          <w:spacing w:val="-6"/>
          <w:sz w:val="21"/>
        </w:rPr>
        <w:t xml:space="preserve"> </w:t>
      </w:r>
      <w:r>
        <w:rPr>
          <w:rFonts w:ascii="Arial"/>
          <w:b/>
          <w:spacing w:val="-2"/>
          <w:sz w:val="21"/>
        </w:rPr>
        <w:t>Amount</w:t>
      </w:r>
    </w:p>
    <w:p>
      <w:pPr>
        <w:pStyle w:val="BodyText"/>
        <w:spacing w:before="118"/>
        <w:ind w:left="440" w:right="979"/>
      </w:pPr>
      <w:r>
        <w:t>Enter in cell M60 the total non-LI brand discount amount received or expected to be received</w:t>
      </w:r>
      <w:r>
        <w:rPr>
          <w:spacing w:val="-3"/>
        </w:rPr>
        <w:t xml:space="preserve"> </w:t>
      </w:r>
      <w:r>
        <w:t>for</w:t>
      </w:r>
      <w:r>
        <w:rPr>
          <w:spacing w:val="-5"/>
        </w:rPr>
        <w:t xml:space="preserve"> </w:t>
      </w:r>
      <w:r>
        <w:t>the</w:t>
      </w:r>
      <w:r>
        <w:rPr>
          <w:spacing w:val="-3"/>
        </w:rPr>
        <w:t xml:space="preserve"> </w:t>
      </w:r>
      <w:r>
        <w:t>base</w:t>
      </w:r>
      <w:r>
        <w:rPr>
          <w:spacing w:val="-4"/>
        </w:rPr>
        <w:t xml:space="preserve"> </w:t>
      </w:r>
      <w:r>
        <w:t>period</w:t>
      </w:r>
      <w:r>
        <w:rPr>
          <w:spacing w:val="-2"/>
        </w:rPr>
        <w:t xml:space="preserve"> </w:t>
      </w:r>
      <w:r>
        <w:t>and</w:t>
      </w:r>
      <w:r>
        <w:rPr>
          <w:spacing w:val="-3"/>
        </w:rPr>
        <w:t xml:space="preserve"> </w:t>
      </w:r>
      <w:r>
        <w:t>reported</w:t>
      </w:r>
      <w:r>
        <w:rPr>
          <w:spacing w:val="-3"/>
        </w:rPr>
        <w:t xml:space="preserve"> </w:t>
      </w:r>
      <w:r>
        <w:t>in</w:t>
      </w:r>
      <w:r>
        <w:rPr>
          <w:spacing w:val="-3"/>
        </w:rPr>
        <w:t xml:space="preserve"> </w:t>
      </w:r>
      <w:r>
        <w:t>the</w:t>
      </w:r>
      <w:r>
        <w:rPr>
          <w:spacing w:val="-4"/>
        </w:rPr>
        <w:t xml:space="preserve"> </w:t>
      </w:r>
      <w:r>
        <w:t>“Reported</w:t>
      </w:r>
      <w:r>
        <w:rPr>
          <w:spacing w:val="-3"/>
        </w:rPr>
        <w:t xml:space="preserve"> </w:t>
      </w:r>
      <w:r>
        <w:t>Gap</w:t>
      </w:r>
      <w:r>
        <w:rPr>
          <w:spacing w:val="-1"/>
        </w:rPr>
        <w:t xml:space="preserve"> </w:t>
      </w:r>
      <w:r>
        <w:t>Discount”</w:t>
      </w:r>
      <w:r>
        <w:rPr>
          <w:spacing w:val="-3"/>
        </w:rPr>
        <w:t xml:space="preserve"> </w:t>
      </w:r>
      <w:r>
        <w:t>field</w:t>
      </w:r>
      <w:r>
        <w:rPr>
          <w:spacing w:val="-3"/>
        </w:rPr>
        <w:t xml:space="preserve"> </w:t>
      </w:r>
      <w:r>
        <w:t>on</w:t>
      </w:r>
      <w:r>
        <w:rPr>
          <w:spacing w:val="-3"/>
        </w:rPr>
        <w:t xml:space="preserve"> </w:t>
      </w:r>
      <w:r>
        <w:t xml:space="preserve">the </w:t>
      </w:r>
      <w:r>
        <w:rPr>
          <w:spacing w:val="-4"/>
        </w:rPr>
        <w:t>PDEs.</w:t>
      </w:r>
    </w:p>
    <w:p>
      <w:pPr>
        <w:pStyle w:val="BodyText"/>
        <w:spacing w:before="45"/>
        <w:ind w:left="0"/>
      </w:pPr>
    </w:p>
    <w:p>
      <w:pPr>
        <w:spacing w:before="0"/>
        <w:ind w:left="440" w:right="0" w:firstLine="0"/>
        <w:jc w:val="left"/>
        <w:rPr>
          <w:rFonts w:ascii="Arial" w:hAnsi="Arial"/>
          <w:b/>
          <w:sz w:val="21"/>
        </w:rPr>
      </w:pPr>
      <w:bookmarkStart w:id="112" w:name="Section VIII – DIR #10 Experience"/>
      <w:bookmarkEnd w:id="112"/>
      <w:bookmarkStart w:id="113" w:name="_bookmark32"/>
      <w:bookmarkEnd w:id="113"/>
      <w:r>
        <w:rPr>
          <w:rFonts w:ascii="Arial" w:hAnsi="Arial"/>
          <w:b/>
          <w:sz w:val="26"/>
        </w:rPr>
        <w:t>S</w:t>
      </w:r>
      <w:r>
        <w:rPr>
          <w:rFonts w:ascii="Arial" w:hAnsi="Arial"/>
          <w:b/>
          <w:sz w:val="21"/>
        </w:rPr>
        <w:t>ECTION</w:t>
      </w:r>
      <w:r>
        <w:rPr>
          <w:rFonts w:ascii="Arial" w:hAnsi="Arial"/>
          <w:b/>
          <w:spacing w:val="-10"/>
          <w:sz w:val="21"/>
        </w:rPr>
        <w:t xml:space="preserve"> </w:t>
      </w:r>
      <w:r>
        <w:rPr>
          <w:rFonts w:ascii="Arial" w:hAnsi="Arial"/>
          <w:b/>
          <w:sz w:val="26"/>
        </w:rPr>
        <w:t>VIII</w:t>
      </w:r>
      <w:r>
        <w:rPr>
          <w:rFonts w:ascii="Arial" w:hAnsi="Arial"/>
          <w:b/>
          <w:spacing w:val="-18"/>
          <w:sz w:val="26"/>
        </w:rPr>
        <w:t xml:space="preserve"> </w:t>
      </w:r>
      <w:r>
        <w:rPr>
          <w:rFonts w:ascii="Arial" w:hAnsi="Arial"/>
          <w:b/>
          <w:sz w:val="26"/>
        </w:rPr>
        <w:t>–</w:t>
      </w:r>
      <w:r>
        <w:rPr>
          <w:rFonts w:ascii="Arial" w:hAnsi="Arial"/>
          <w:b/>
          <w:spacing w:val="-18"/>
          <w:sz w:val="26"/>
        </w:rPr>
        <w:t xml:space="preserve"> </w:t>
      </w:r>
      <w:r>
        <w:rPr>
          <w:rFonts w:ascii="Arial" w:hAnsi="Arial"/>
          <w:b/>
          <w:sz w:val="26"/>
        </w:rPr>
        <w:t>DIR</w:t>
      </w:r>
      <w:r>
        <w:rPr>
          <w:rFonts w:ascii="Arial" w:hAnsi="Arial"/>
          <w:b/>
          <w:spacing w:val="-17"/>
          <w:sz w:val="26"/>
        </w:rPr>
        <w:t xml:space="preserve"> </w:t>
      </w:r>
      <w:r>
        <w:rPr>
          <w:rFonts w:ascii="Arial" w:hAnsi="Arial"/>
          <w:b/>
          <w:sz w:val="26"/>
        </w:rPr>
        <w:t>#10</w:t>
      </w:r>
      <w:r>
        <w:rPr>
          <w:rFonts w:ascii="Arial" w:hAnsi="Arial"/>
          <w:b/>
          <w:spacing w:val="-18"/>
          <w:sz w:val="26"/>
        </w:rPr>
        <w:t xml:space="preserve"> </w:t>
      </w:r>
      <w:r>
        <w:rPr>
          <w:rFonts w:ascii="Arial" w:hAnsi="Arial"/>
          <w:b/>
          <w:spacing w:val="-2"/>
          <w:sz w:val="26"/>
        </w:rPr>
        <w:t>E</w:t>
      </w:r>
      <w:r>
        <w:rPr>
          <w:rFonts w:ascii="Arial" w:hAnsi="Arial"/>
          <w:b/>
          <w:spacing w:val="-2"/>
          <w:sz w:val="21"/>
        </w:rPr>
        <w:t>XPERIENCE</w:t>
      </w:r>
    </w:p>
    <w:p>
      <w:pPr>
        <w:pStyle w:val="BodyText"/>
        <w:spacing w:before="180"/>
        <w:ind w:left="440" w:right="478"/>
      </w:pPr>
      <w:r>
        <w:t>Section</w:t>
      </w:r>
      <w:r>
        <w:rPr>
          <w:spacing w:val="-4"/>
        </w:rPr>
        <w:t xml:space="preserve"> </w:t>
      </w:r>
      <w:r>
        <w:t>VIII</w:t>
      </w:r>
      <w:r>
        <w:rPr>
          <w:spacing w:val="-7"/>
        </w:rPr>
        <w:t xml:space="preserve"> </w:t>
      </w:r>
      <w:r>
        <w:t>summarizes</w:t>
      </w:r>
      <w:r>
        <w:rPr>
          <w:spacing w:val="-2"/>
        </w:rPr>
        <w:t xml:space="preserve"> </w:t>
      </w:r>
      <w:r>
        <w:t>the</w:t>
      </w:r>
      <w:r>
        <w:rPr>
          <w:spacing w:val="-4"/>
        </w:rPr>
        <w:t xml:space="preserve"> </w:t>
      </w:r>
      <w:r>
        <w:t>DIR</w:t>
      </w:r>
      <w:r>
        <w:rPr>
          <w:spacing w:val="-4"/>
        </w:rPr>
        <w:t xml:space="preserve"> </w:t>
      </w:r>
      <w:r>
        <w:t>#10</w:t>
      </w:r>
      <w:r>
        <w:rPr>
          <w:spacing w:val="-4"/>
        </w:rPr>
        <w:t xml:space="preserve"> </w:t>
      </w:r>
      <w:r>
        <w:t>(Risk-Sharing</w:t>
      </w:r>
      <w:r>
        <w:rPr>
          <w:spacing w:val="-4"/>
        </w:rPr>
        <w:t xml:space="preserve"> </w:t>
      </w:r>
      <w:r>
        <w:t>Arrangement</w:t>
      </w:r>
      <w:r>
        <w:rPr>
          <w:spacing w:val="-4"/>
        </w:rPr>
        <w:t xml:space="preserve"> </w:t>
      </w:r>
      <w:r>
        <w:t>Payments</w:t>
      </w:r>
      <w:r>
        <w:rPr>
          <w:spacing w:val="-4"/>
        </w:rPr>
        <w:t xml:space="preserve"> </w:t>
      </w:r>
      <w:r>
        <w:t>and Adjustments) dollars for the base period.</w:t>
      </w:r>
    </w:p>
    <w:p>
      <w:pPr>
        <w:spacing w:before="240"/>
        <w:ind w:left="440" w:right="0" w:firstLine="0"/>
        <w:jc w:val="left"/>
        <w:rPr>
          <w:rFonts w:ascii="Arial" w:hAnsi="Arial"/>
          <w:b/>
          <w:sz w:val="21"/>
        </w:rPr>
      </w:pPr>
      <w:bookmarkStart w:id="114" w:name="Line 1, column k – Total Dollars"/>
      <w:bookmarkEnd w:id="114"/>
      <w:r>
        <w:rPr>
          <w:rFonts w:ascii="Arial" w:hAnsi="Arial"/>
          <w:b/>
          <w:sz w:val="21"/>
        </w:rPr>
        <w:t>Line</w:t>
      </w:r>
      <w:r>
        <w:rPr>
          <w:rFonts w:ascii="Arial" w:hAnsi="Arial"/>
          <w:b/>
          <w:spacing w:val="-3"/>
          <w:sz w:val="21"/>
        </w:rPr>
        <w:t xml:space="preserve"> </w:t>
      </w:r>
      <w:r>
        <w:rPr>
          <w:rFonts w:ascii="Arial" w:hAnsi="Arial"/>
          <w:b/>
          <w:sz w:val="21"/>
        </w:rPr>
        <w:t>1,</w:t>
      </w:r>
      <w:r>
        <w:rPr>
          <w:rFonts w:ascii="Arial" w:hAnsi="Arial"/>
          <w:b/>
          <w:spacing w:val="-3"/>
          <w:sz w:val="21"/>
        </w:rPr>
        <w:t xml:space="preserve"> </w:t>
      </w:r>
      <w:r>
        <w:rPr>
          <w:rFonts w:ascii="Arial" w:hAnsi="Arial"/>
          <w:b/>
          <w:sz w:val="21"/>
        </w:rPr>
        <w:t>column</w:t>
      </w:r>
      <w:r>
        <w:rPr>
          <w:rFonts w:ascii="Arial" w:hAnsi="Arial"/>
          <w:b/>
          <w:spacing w:val="-2"/>
          <w:sz w:val="21"/>
        </w:rPr>
        <w:t xml:space="preserve"> </w:t>
      </w:r>
      <w:r>
        <w:rPr>
          <w:rFonts w:ascii="Arial" w:hAnsi="Arial"/>
          <w:b/>
          <w:sz w:val="21"/>
        </w:rPr>
        <w:t>k</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Total</w:t>
      </w:r>
      <w:r>
        <w:rPr>
          <w:rFonts w:ascii="Arial" w:hAnsi="Arial"/>
          <w:b/>
          <w:spacing w:val="-6"/>
          <w:sz w:val="21"/>
        </w:rPr>
        <w:t xml:space="preserve"> </w:t>
      </w:r>
      <w:r>
        <w:rPr>
          <w:rFonts w:ascii="Arial" w:hAnsi="Arial"/>
          <w:b/>
          <w:spacing w:val="-2"/>
          <w:sz w:val="21"/>
        </w:rPr>
        <w:t>Dollars</w:t>
      </w:r>
    </w:p>
    <w:p>
      <w:pPr>
        <w:pStyle w:val="BodyText"/>
        <w:spacing w:before="121"/>
        <w:ind w:left="440" w:right="979"/>
      </w:pPr>
      <w:r>
        <w:t>Enter the total dollars for DIR #10 for the base period. Experience in this section is a subset of that entered in Section III, line 7, column g, and may be positive or negative depending</w:t>
      </w:r>
      <w:r>
        <w:rPr>
          <w:spacing w:val="-3"/>
        </w:rPr>
        <w:t xml:space="preserve"> </w:t>
      </w:r>
      <w:r>
        <w:t>on</w:t>
      </w:r>
      <w:r>
        <w:rPr>
          <w:spacing w:val="-3"/>
        </w:rPr>
        <w:t xml:space="preserve"> </w:t>
      </w:r>
      <w:r>
        <w:t>the</w:t>
      </w:r>
      <w:r>
        <w:rPr>
          <w:spacing w:val="-4"/>
        </w:rPr>
        <w:t xml:space="preserve"> </w:t>
      </w:r>
      <w:r>
        <w:t>direction</w:t>
      </w:r>
      <w:r>
        <w:rPr>
          <w:spacing w:val="-3"/>
        </w:rPr>
        <w:t xml:space="preserve"> </w:t>
      </w:r>
      <w:r>
        <w:t>of</w:t>
      </w:r>
      <w:r>
        <w:rPr>
          <w:spacing w:val="-4"/>
        </w:rPr>
        <w:t xml:space="preserve"> </w:t>
      </w:r>
      <w:r>
        <w:t>the</w:t>
      </w:r>
      <w:r>
        <w:rPr>
          <w:spacing w:val="-3"/>
        </w:rPr>
        <w:t xml:space="preserve"> </w:t>
      </w:r>
      <w:r>
        <w:t>payment.</w:t>
      </w:r>
      <w:r>
        <w:rPr>
          <w:spacing w:val="-2"/>
        </w:rPr>
        <w:t xml:space="preserve"> </w:t>
      </w:r>
      <w:r>
        <w:t>For</w:t>
      </w:r>
      <w:r>
        <w:rPr>
          <w:spacing w:val="-3"/>
        </w:rPr>
        <w:t xml:space="preserve"> </w:t>
      </w:r>
      <w:r>
        <w:t>example,</w:t>
      </w:r>
      <w:r>
        <w:rPr>
          <w:spacing w:val="-3"/>
        </w:rPr>
        <w:t xml:space="preserve"> </w:t>
      </w:r>
      <w:r>
        <w:t>if</w:t>
      </w:r>
      <w:r>
        <w:rPr>
          <w:spacing w:val="-3"/>
        </w:rPr>
        <w:t xml:space="preserve"> </w:t>
      </w:r>
      <w:r>
        <w:t>the</w:t>
      </w:r>
      <w:r>
        <w:rPr>
          <w:spacing w:val="-4"/>
        </w:rPr>
        <w:t xml:space="preserve"> </w:t>
      </w:r>
      <w:r>
        <w:t>payment</w:t>
      </w:r>
      <w:r>
        <w:rPr>
          <w:spacing w:val="-3"/>
        </w:rPr>
        <w:t xml:space="preserve"> </w:t>
      </w:r>
      <w:r>
        <w:t>was</w:t>
      </w:r>
      <w:r>
        <w:rPr>
          <w:spacing w:val="-3"/>
        </w:rPr>
        <w:t xml:space="preserve"> </w:t>
      </w:r>
      <w:r>
        <w:t>made</w:t>
      </w:r>
      <w:r>
        <w:rPr>
          <w:spacing w:val="-5"/>
        </w:rPr>
        <w:t xml:space="preserve"> </w:t>
      </w:r>
      <w:r>
        <w:t>from the plan sponsor to the provider the amount would be negative, whereas if the payment was made from the provider to the plan sponsor the amount would be positive.</w:t>
      </w:r>
    </w:p>
    <w:p>
      <w:pPr>
        <w:spacing w:after="0"/>
        <w:sectPr>
          <w:pgSz w:w="12240" w:h="15840"/>
          <w:pgMar w:top="1340" w:right="1000" w:bottom="1080" w:left="1360" w:header="727" w:footer="891"/>
          <w:cols w:space="720"/>
        </w:sectPr>
      </w:pPr>
    </w:p>
    <w:p>
      <w:pPr>
        <w:spacing w:before="207" w:line="322" w:lineRule="exact"/>
        <w:ind w:left="440" w:right="0" w:firstLine="0"/>
        <w:jc w:val="left"/>
        <w:rPr>
          <w:rFonts w:ascii="Arial" w:hAnsi="Arial"/>
          <w:b/>
          <w:sz w:val="28"/>
        </w:rPr>
      </w:pPr>
      <w:bookmarkStart w:id="115" w:name="PD Worksheet 2 – Rx PDP Projection of Al"/>
      <w:bookmarkEnd w:id="115"/>
      <w:bookmarkStart w:id="116" w:name="_bookmark33"/>
      <w:bookmarkEnd w:id="116"/>
      <w:r>
        <w:rPr>
          <w:rFonts w:ascii="Arial" w:hAnsi="Arial"/>
          <w:b/>
          <w:sz w:val="28"/>
        </w:rPr>
        <w:t>PD</w:t>
      </w:r>
      <w:r>
        <w:rPr>
          <w:rFonts w:ascii="Arial" w:hAnsi="Arial"/>
          <w:b/>
          <w:spacing w:val="-6"/>
          <w:sz w:val="28"/>
        </w:rPr>
        <w:t xml:space="preserve"> </w:t>
      </w:r>
      <w:r>
        <w:rPr>
          <w:rFonts w:ascii="Arial" w:hAnsi="Arial"/>
          <w:b/>
          <w:sz w:val="28"/>
        </w:rPr>
        <w:t>WORKSHEET</w:t>
      </w:r>
      <w:r>
        <w:rPr>
          <w:rFonts w:ascii="Arial" w:hAnsi="Arial"/>
          <w:b/>
          <w:spacing w:val="-4"/>
          <w:sz w:val="28"/>
        </w:rPr>
        <w:t xml:space="preserve"> </w:t>
      </w:r>
      <w:r>
        <w:rPr>
          <w:rFonts w:ascii="Arial" w:hAnsi="Arial"/>
          <w:b/>
          <w:sz w:val="28"/>
        </w:rPr>
        <w:t>2</w:t>
      </w:r>
      <w:r>
        <w:rPr>
          <w:rFonts w:ascii="Arial" w:hAnsi="Arial"/>
          <w:b/>
          <w:spacing w:val="-2"/>
          <w:sz w:val="28"/>
        </w:rPr>
        <w:t xml:space="preserve"> </w:t>
      </w:r>
      <w:r>
        <w:rPr>
          <w:rFonts w:ascii="Arial" w:hAnsi="Arial"/>
          <w:b/>
          <w:sz w:val="28"/>
        </w:rPr>
        <w:t>–</w:t>
      </w:r>
      <w:r>
        <w:rPr>
          <w:rFonts w:ascii="Arial" w:hAnsi="Arial"/>
          <w:b/>
          <w:spacing w:val="-5"/>
          <w:sz w:val="28"/>
        </w:rPr>
        <w:t xml:space="preserve"> </w:t>
      </w:r>
      <w:r>
        <w:rPr>
          <w:rFonts w:ascii="Arial" w:hAnsi="Arial"/>
          <w:b/>
          <w:sz w:val="28"/>
        </w:rPr>
        <w:t>RX</w:t>
      </w:r>
      <w:r>
        <w:rPr>
          <w:rFonts w:ascii="Arial" w:hAnsi="Arial"/>
          <w:b/>
          <w:spacing w:val="-6"/>
          <w:sz w:val="28"/>
        </w:rPr>
        <w:t xml:space="preserve"> </w:t>
      </w:r>
      <w:r>
        <w:rPr>
          <w:rFonts w:ascii="Arial" w:hAnsi="Arial"/>
          <w:b/>
          <w:sz w:val="28"/>
        </w:rPr>
        <w:t>PDP</w:t>
      </w:r>
      <w:r>
        <w:rPr>
          <w:rFonts w:ascii="Arial" w:hAnsi="Arial"/>
          <w:b/>
          <w:spacing w:val="-4"/>
          <w:sz w:val="28"/>
        </w:rPr>
        <w:t xml:space="preserve"> </w:t>
      </w:r>
      <w:r>
        <w:rPr>
          <w:rFonts w:ascii="Arial" w:hAnsi="Arial"/>
          <w:b/>
          <w:sz w:val="28"/>
        </w:rPr>
        <w:t>PROJECTION</w:t>
      </w:r>
      <w:r>
        <w:rPr>
          <w:rFonts w:ascii="Arial" w:hAnsi="Arial"/>
          <w:b/>
          <w:spacing w:val="-4"/>
          <w:sz w:val="28"/>
        </w:rPr>
        <w:t xml:space="preserve"> </w:t>
      </w:r>
      <w:r>
        <w:rPr>
          <w:rFonts w:ascii="Arial" w:hAnsi="Arial"/>
          <w:b/>
          <w:sz w:val="28"/>
        </w:rPr>
        <w:t xml:space="preserve">OF </w:t>
      </w:r>
      <w:r>
        <w:rPr>
          <w:rFonts w:ascii="Arial" w:hAnsi="Arial"/>
          <w:b/>
          <w:spacing w:val="-2"/>
          <w:sz w:val="28"/>
        </w:rPr>
        <w:t>ALLOWED/NON-</w:t>
      </w:r>
    </w:p>
    <w:p>
      <w:pPr>
        <w:tabs>
          <w:tab w:val="left" w:pos="9110"/>
        </w:tabs>
        <w:spacing w:before="0"/>
        <w:ind w:left="411" w:right="0" w:firstLine="0"/>
        <w:jc w:val="left"/>
        <w:rPr>
          <w:rFonts w:ascii="Arial"/>
          <w:b/>
          <w:sz w:val="28"/>
        </w:rPr>
      </w:pPr>
      <w:r>
        <w:rPr>
          <w:rFonts w:ascii="Arial"/>
          <w:b/>
          <w:spacing w:val="-50"/>
          <w:sz w:val="28"/>
          <w:u w:val="single"/>
        </w:rPr>
        <w:t xml:space="preserve"> </w:t>
      </w:r>
      <w:r>
        <w:rPr>
          <w:rFonts w:ascii="Arial"/>
          <w:b/>
          <w:spacing w:val="-2"/>
          <w:sz w:val="28"/>
          <w:u w:val="single"/>
        </w:rPr>
        <w:t>BENEFIT</w:t>
      </w:r>
      <w:r>
        <w:rPr>
          <w:rFonts w:ascii="Arial"/>
          <w:b/>
          <w:sz w:val="28"/>
          <w:u w:val="single"/>
        </w:rPr>
        <w:tab/>
      </w:r>
    </w:p>
    <w:p>
      <w:pPr>
        <w:pStyle w:val="BodyText"/>
        <w:spacing w:before="270"/>
        <w:ind w:left="440" w:right="813"/>
      </w:pPr>
      <w:r>
        <w:t>Worksheet 2 projects the base period experience to the contract year, blending with a manual rate when the base period experience is not fully credible, by point-of-sale (retail or mail order as defined by the PBP) and type of drug. Specifically, Section I displays general information about the plan; Sections II and III summarize the base period and contract period utilization per 1,000 members and allowed costs per script, as well as the components of utilization and cost trends; Section IV blends the projected allowed costs with</w:t>
      </w:r>
      <w:r>
        <w:rPr>
          <w:spacing w:val="-1"/>
        </w:rPr>
        <w:t xml:space="preserve"> </w:t>
      </w:r>
      <w:r>
        <w:t>a</w:t>
      </w:r>
      <w:r>
        <w:rPr>
          <w:spacing w:val="-1"/>
        </w:rPr>
        <w:t xml:space="preserve"> </w:t>
      </w:r>
      <w:r>
        <w:t>manual</w:t>
      </w:r>
      <w:r>
        <w:rPr>
          <w:spacing w:val="-1"/>
        </w:rPr>
        <w:t xml:space="preserve"> </w:t>
      </w:r>
      <w:r>
        <w:t>rate</w:t>
      </w:r>
      <w:r>
        <w:rPr>
          <w:spacing w:val="-1"/>
        </w:rPr>
        <w:t xml:space="preserve"> </w:t>
      </w:r>
      <w:r>
        <w:t>based on</w:t>
      </w:r>
      <w:r>
        <w:rPr>
          <w:spacing w:val="-1"/>
        </w:rPr>
        <w:t xml:space="preserve"> </w:t>
      </w:r>
      <w:r>
        <w:t>the</w:t>
      </w:r>
      <w:r>
        <w:rPr>
          <w:spacing w:val="-1"/>
        </w:rPr>
        <w:t xml:space="preserve"> </w:t>
      </w:r>
      <w:r>
        <w:t>plan’s</w:t>
      </w:r>
      <w:r>
        <w:rPr>
          <w:spacing w:val="-2"/>
        </w:rPr>
        <w:t xml:space="preserve"> </w:t>
      </w:r>
      <w:r>
        <w:t>credibility;</w:t>
      </w:r>
      <w:r>
        <w:rPr>
          <w:spacing w:val="-3"/>
        </w:rPr>
        <w:t xml:space="preserve"> </w:t>
      </w:r>
      <w:r>
        <w:t>Section</w:t>
      </w:r>
      <w:r>
        <w:rPr>
          <w:spacing w:val="-1"/>
        </w:rPr>
        <w:t xml:space="preserve"> </w:t>
      </w:r>
      <w:r>
        <w:t>V</w:t>
      </w:r>
      <w:r>
        <w:rPr>
          <w:spacing w:val="-1"/>
        </w:rPr>
        <w:t xml:space="preserve"> </w:t>
      </w:r>
      <w:r>
        <w:t>summarizes</w:t>
      </w:r>
      <w:r>
        <w:rPr>
          <w:spacing w:val="-1"/>
        </w:rPr>
        <w:t xml:space="preserve"> </w:t>
      </w:r>
      <w:r>
        <w:t>the</w:t>
      </w:r>
      <w:r>
        <w:rPr>
          <w:spacing w:val="-2"/>
        </w:rPr>
        <w:t xml:space="preserve"> </w:t>
      </w:r>
      <w:r>
        <w:t>components of</w:t>
      </w:r>
      <w:r>
        <w:rPr>
          <w:spacing w:val="-4"/>
        </w:rPr>
        <w:t xml:space="preserve"> </w:t>
      </w:r>
      <w:r>
        <w:t>non-benefit</w:t>
      </w:r>
      <w:r>
        <w:rPr>
          <w:spacing w:val="-4"/>
        </w:rPr>
        <w:t xml:space="preserve"> </w:t>
      </w:r>
      <w:r>
        <w:t>expenses</w:t>
      </w:r>
      <w:r>
        <w:rPr>
          <w:spacing w:val="-2"/>
        </w:rPr>
        <w:t xml:space="preserve"> </w:t>
      </w:r>
      <w:r>
        <w:t>and</w:t>
      </w:r>
      <w:r>
        <w:rPr>
          <w:spacing w:val="-4"/>
        </w:rPr>
        <w:t xml:space="preserve"> </w:t>
      </w:r>
      <w:r>
        <w:t>gain/loss</w:t>
      </w:r>
      <w:r>
        <w:rPr>
          <w:spacing w:val="-4"/>
        </w:rPr>
        <w:t xml:space="preserve"> </w:t>
      </w:r>
      <w:r>
        <w:t>margin</w:t>
      </w:r>
      <w:r>
        <w:rPr>
          <w:spacing w:val="-3"/>
        </w:rPr>
        <w:t xml:space="preserve"> </w:t>
      </w:r>
      <w:r>
        <w:t>in</w:t>
      </w:r>
      <w:r>
        <w:rPr>
          <w:spacing w:val="-4"/>
        </w:rPr>
        <w:t xml:space="preserve"> </w:t>
      </w:r>
      <w:r>
        <w:t>the</w:t>
      </w:r>
      <w:r>
        <w:rPr>
          <w:spacing w:val="-4"/>
        </w:rPr>
        <w:t xml:space="preserve"> </w:t>
      </w:r>
      <w:r>
        <w:t>contract</w:t>
      </w:r>
      <w:r>
        <w:rPr>
          <w:spacing w:val="-4"/>
        </w:rPr>
        <w:t xml:space="preserve"> </w:t>
      </w:r>
      <w:r>
        <w:t>period;</w:t>
      </w:r>
      <w:r>
        <w:rPr>
          <w:spacing w:val="-4"/>
        </w:rPr>
        <w:t xml:space="preserve"> </w:t>
      </w:r>
      <w:r>
        <w:t>Section</w:t>
      </w:r>
      <w:r>
        <w:rPr>
          <w:spacing w:val="-4"/>
        </w:rPr>
        <w:t xml:space="preserve"> </w:t>
      </w:r>
      <w:r>
        <w:t>VI</w:t>
      </w:r>
      <w:r>
        <w:rPr>
          <w:spacing w:val="-7"/>
        </w:rPr>
        <w:t xml:space="preserve"> </w:t>
      </w:r>
      <w:r>
        <w:t xml:space="preserve">calculates the ratios of claims, non-benefit expenses and gain/loss margin to the total basic bid; Section VII summarizes related-party costs; and Section VIII collects the DIR #10 </w:t>
      </w:r>
      <w:r>
        <w:rPr>
          <w:spacing w:val="-2"/>
        </w:rPr>
        <w:t>projection.</w:t>
      </w:r>
    </w:p>
    <w:p>
      <w:pPr>
        <w:pStyle w:val="BodyText"/>
        <w:spacing w:before="46"/>
        <w:ind w:left="0"/>
      </w:pPr>
    </w:p>
    <w:p>
      <w:pPr>
        <w:pStyle w:val="Heading2"/>
      </w:pPr>
      <w:bookmarkStart w:id="117" w:name="_bookmark34"/>
      <w:bookmarkEnd w:id="117"/>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79"/>
        <w:ind w:left="440"/>
      </w:pPr>
      <w:r>
        <w:t>This</w:t>
      </w:r>
      <w:r>
        <w:rPr>
          <w:spacing w:val="-1"/>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1"/>
        </w:rPr>
        <w:t xml:space="preserve"> </w:t>
      </w:r>
      <w:r>
        <w:t>on</w:t>
      </w:r>
      <w:r>
        <w:rPr>
          <w:spacing w:val="3"/>
        </w:rPr>
        <w:t xml:space="preserve"> </w:t>
      </w:r>
      <w:r>
        <w:t>Worksheet</w:t>
      </w:r>
      <w:r>
        <w:rPr>
          <w:spacing w:val="-1"/>
        </w:rPr>
        <w:t xml:space="preserve"> </w:t>
      </w:r>
      <w:r>
        <w:t>1,</w:t>
      </w:r>
      <w:r>
        <w:rPr>
          <w:spacing w:val="-1"/>
        </w:rPr>
        <w:t xml:space="preserve"> </w:t>
      </w:r>
      <w:r>
        <w:t xml:space="preserve">Section </w:t>
      </w:r>
      <w:r>
        <w:rPr>
          <w:spacing w:val="-5"/>
        </w:rPr>
        <w:t>I.</w:t>
      </w:r>
    </w:p>
    <w:p>
      <w:pPr>
        <w:pStyle w:val="BodyText"/>
        <w:spacing w:before="45"/>
        <w:ind w:left="0"/>
      </w:pPr>
    </w:p>
    <w:p>
      <w:pPr>
        <w:pStyle w:val="Heading2"/>
      </w:pPr>
      <w:bookmarkStart w:id="118" w:name="Section II – Utilization for Covered Par"/>
      <w:bookmarkEnd w:id="118"/>
      <w:bookmarkStart w:id="119" w:name="_bookmark35"/>
      <w:bookmarkEnd w:id="119"/>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Utilization</w:t>
      </w:r>
      <w:r>
        <w:rPr>
          <w:smallCaps/>
          <w:spacing w:val="-11"/>
        </w:rPr>
        <w:t xml:space="preserve"> </w:t>
      </w:r>
      <w:r>
        <w:rPr>
          <w:smallCaps/>
        </w:rPr>
        <w:t>for</w:t>
      </w:r>
      <w:r>
        <w:rPr>
          <w:smallCaps/>
          <w:spacing w:val="-6"/>
        </w:rPr>
        <w:t xml:space="preserve"> </w:t>
      </w:r>
      <w:r>
        <w:rPr>
          <w:smallCaps/>
        </w:rPr>
        <w:t>Covered</w:t>
      </w:r>
      <w:r>
        <w:rPr>
          <w:smallCaps/>
          <w:spacing w:val="-6"/>
        </w:rPr>
        <w:t xml:space="preserve"> </w:t>
      </w:r>
      <w:r>
        <w:rPr>
          <w:smallCaps/>
        </w:rPr>
        <w:t>Part</w:t>
      </w:r>
      <w:r>
        <w:rPr>
          <w:smallCaps/>
          <w:spacing w:val="10"/>
        </w:rPr>
        <w:t xml:space="preserve"> </w:t>
      </w:r>
      <w:r>
        <w:rPr>
          <w:smallCaps/>
        </w:rPr>
        <w:t>D</w:t>
      </w:r>
      <w:r>
        <w:rPr>
          <w:smallCaps/>
          <w:spacing w:val="-15"/>
        </w:rPr>
        <w:t xml:space="preserve"> </w:t>
      </w:r>
      <w:r>
        <w:rPr>
          <w:smallCaps/>
          <w:spacing w:val="-2"/>
        </w:rPr>
        <w:t>Drugs</w:t>
      </w:r>
    </w:p>
    <w:p>
      <w:pPr>
        <w:spacing w:before="240"/>
        <w:ind w:left="440" w:right="0" w:firstLine="0"/>
        <w:jc w:val="left"/>
        <w:rPr>
          <w:rFonts w:ascii="Arial" w:hAnsi="Arial"/>
          <w:b/>
          <w:sz w:val="21"/>
        </w:rPr>
      </w:pPr>
      <w:bookmarkStart w:id="120" w:name="Lines 1 through 9 – Base Period"/>
      <w:bookmarkEnd w:id="120"/>
      <w:r>
        <w:rPr>
          <w:rFonts w:ascii="Arial" w:hAnsi="Arial"/>
          <w:b/>
          <w:sz w:val="21"/>
        </w:rPr>
        <w:t>Lines</w:t>
      </w:r>
      <w:r>
        <w:rPr>
          <w:rFonts w:ascii="Arial" w:hAnsi="Arial"/>
          <w:b/>
          <w:spacing w:val="-4"/>
          <w:sz w:val="21"/>
        </w:rPr>
        <w:t xml:space="preserve"> </w:t>
      </w:r>
      <w:r>
        <w:rPr>
          <w:rFonts w:ascii="Arial" w:hAnsi="Arial"/>
          <w:b/>
          <w:sz w:val="21"/>
        </w:rPr>
        <w:t>1</w:t>
      </w:r>
      <w:r>
        <w:rPr>
          <w:rFonts w:ascii="Arial" w:hAnsi="Arial"/>
          <w:b/>
          <w:spacing w:val="-4"/>
          <w:sz w:val="21"/>
        </w:rPr>
        <w:t xml:space="preserve"> </w:t>
      </w:r>
      <w:r>
        <w:rPr>
          <w:rFonts w:ascii="Arial" w:hAnsi="Arial"/>
          <w:b/>
          <w:sz w:val="21"/>
        </w:rPr>
        <w:t>through</w:t>
      </w:r>
      <w:r>
        <w:rPr>
          <w:rFonts w:ascii="Arial" w:hAnsi="Arial"/>
          <w:b/>
          <w:spacing w:val="-4"/>
          <w:sz w:val="21"/>
        </w:rPr>
        <w:t xml:space="preserve"> </w:t>
      </w:r>
      <w:r>
        <w:rPr>
          <w:rFonts w:ascii="Arial" w:hAnsi="Arial"/>
          <w:b/>
          <w:sz w:val="21"/>
        </w:rPr>
        <w:t>9</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Base</w:t>
      </w:r>
      <w:r>
        <w:rPr>
          <w:rFonts w:ascii="Arial" w:hAnsi="Arial"/>
          <w:b/>
          <w:spacing w:val="-4"/>
          <w:sz w:val="21"/>
        </w:rPr>
        <w:t xml:space="preserve"> </w:t>
      </w:r>
      <w:r>
        <w:rPr>
          <w:rFonts w:ascii="Arial" w:hAnsi="Arial"/>
          <w:b/>
          <w:spacing w:val="-2"/>
          <w:sz w:val="21"/>
        </w:rPr>
        <w:t>Period</w:t>
      </w:r>
    </w:p>
    <w:p>
      <w:pPr>
        <w:pStyle w:val="ListParagraph"/>
        <w:numPr>
          <w:ilvl w:val="0"/>
          <w:numId w:val="10"/>
        </w:numPr>
        <w:tabs>
          <w:tab w:val="left" w:pos="1159"/>
        </w:tabs>
        <w:spacing w:before="119" w:after="0" w:line="240" w:lineRule="auto"/>
        <w:ind w:left="1159" w:right="0" w:hanging="359"/>
        <w:jc w:val="left"/>
        <w:rPr>
          <w:rFonts w:ascii="Arial" w:hAnsi="Arial"/>
          <w:b/>
          <w:sz w:val="21"/>
        </w:rPr>
      </w:pPr>
      <w:r>
        <w:rPr>
          <w:rFonts w:ascii="Arial" w:hAnsi="Arial"/>
          <w:b/>
          <w:sz w:val="21"/>
        </w:rPr>
        <w:t>Column</w:t>
      </w:r>
      <w:r>
        <w:rPr>
          <w:rFonts w:ascii="Arial" w:hAnsi="Arial"/>
          <w:b/>
          <w:spacing w:val="-2"/>
          <w:sz w:val="21"/>
        </w:rPr>
        <w:t xml:space="preserve"> </w:t>
      </w:r>
      <w:r>
        <w:rPr>
          <w:rFonts w:ascii="Arial" w:hAnsi="Arial"/>
          <w:b/>
          <w:sz w:val="21"/>
        </w:rPr>
        <w:t>e</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Number</w:t>
      </w:r>
      <w:r>
        <w:rPr>
          <w:rFonts w:ascii="Arial" w:hAnsi="Arial"/>
          <w:b/>
          <w:spacing w:val="-5"/>
          <w:sz w:val="21"/>
        </w:rPr>
        <w:t xml:space="preserve"> </w:t>
      </w:r>
      <w:r>
        <w:rPr>
          <w:rFonts w:ascii="Arial" w:hAnsi="Arial"/>
          <w:b/>
          <w:sz w:val="21"/>
        </w:rPr>
        <w:t>of</w:t>
      </w:r>
      <w:r>
        <w:rPr>
          <w:rFonts w:ascii="Arial" w:hAnsi="Arial"/>
          <w:b/>
          <w:spacing w:val="-2"/>
          <w:sz w:val="21"/>
        </w:rPr>
        <w:t xml:space="preserve"> Scripts/1000</w:t>
      </w:r>
    </w:p>
    <w:p>
      <w:pPr>
        <w:pStyle w:val="BodyText"/>
        <w:ind w:left="1160" w:right="900"/>
      </w:pPr>
      <w:r>
        <w:t>Enter</w:t>
      </w:r>
      <w:r>
        <w:rPr>
          <w:spacing w:val="-5"/>
        </w:rPr>
        <w:t xml:space="preserve"> </w:t>
      </w:r>
      <w:r>
        <w:t>for</w:t>
      </w:r>
      <w:r>
        <w:rPr>
          <w:spacing w:val="-3"/>
        </w:rPr>
        <w:t xml:space="preserve"> </w:t>
      </w:r>
      <w:r>
        <w:t>each</w:t>
      </w:r>
      <w:r>
        <w:rPr>
          <w:spacing w:val="-3"/>
        </w:rPr>
        <w:t xml:space="preserve"> </w:t>
      </w:r>
      <w:r>
        <w:t>line</w:t>
      </w:r>
      <w:r>
        <w:rPr>
          <w:spacing w:val="-3"/>
        </w:rPr>
        <w:t xml:space="preserve"> </w:t>
      </w:r>
      <w:r>
        <w:t>the</w:t>
      </w:r>
      <w:r>
        <w:rPr>
          <w:spacing w:val="-2"/>
        </w:rPr>
        <w:t xml:space="preserve"> </w:t>
      </w:r>
      <w:r>
        <w:t>number</w:t>
      </w:r>
      <w:r>
        <w:rPr>
          <w:spacing w:val="-5"/>
        </w:rPr>
        <w:t xml:space="preserve"> </w:t>
      </w:r>
      <w:r>
        <w:t>of</w:t>
      </w:r>
      <w:r>
        <w:rPr>
          <w:spacing w:val="-3"/>
        </w:rPr>
        <w:t xml:space="preserve"> </w:t>
      </w:r>
      <w:r>
        <w:t>prescriptions</w:t>
      </w:r>
      <w:r>
        <w:rPr>
          <w:spacing w:val="-3"/>
        </w:rPr>
        <w:t xml:space="preserve"> </w:t>
      </w:r>
      <w:r>
        <w:t>that</w:t>
      </w:r>
      <w:r>
        <w:rPr>
          <w:spacing w:val="-3"/>
        </w:rPr>
        <w:t xml:space="preserve"> </w:t>
      </w:r>
      <w:r>
        <w:t>were</w:t>
      </w:r>
      <w:r>
        <w:rPr>
          <w:spacing w:val="-5"/>
        </w:rPr>
        <w:t xml:space="preserve"> </w:t>
      </w:r>
      <w:r>
        <w:t>filled</w:t>
      </w:r>
      <w:r>
        <w:rPr>
          <w:spacing w:val="-3"/>
        </w:rPr>
        <w:t xml:space="preserve"> </w:t>
      </w:r>
      <w:r>
        <w:t>in</w:t>
      </w:r>
      <w:r>
        <w:rPr>
          <w:spacing w:val="-3"/>
        </w:rPr>
        <w:t xml:space="preserve"> </w:t>
      </w:r>
      <w:r>
        <w:t>the</w:t>
      </w:r>
      <w:r>
        <w:rPr>
          <w:spacing w:val="-4"/>
        </w:rPr>
        <w:t xml:space="preserve"> </w:t>
      </w:r>
      <w:r>
        <w:t>base</w:t>
      </w:r>
      <w:r>
        <w:rPr>
          <w:spacing w:val="-4"/>
        </w:rPr>
        <w:t xml:space="preserve"> </w:t>
      </w:r>
      <w:r>
        <w:t>period, expressed as annual prescriptions per 1,000 members, by point-of-sale (retail or mail order as defined by the PBP) and type of drug (generic, preferred brand, non-preferred</w:t>
      </w:r>
      <w:r>
        <w:rPr>
          <w:spacing w:val="-3"/>
        </w:rPr>
        <w:t xml:space="preserve"> </w:t>
      </w:r>
      <w:r>
        <w:t>brand</w:t>
      </w:r>
      <w:r>
        <w:rPr>
          <w:spacing w:val="-3"/>
        </w:rPr>
        <w:t xml:space="preserve"> </w:t>
      </w:r>
      <w:r>
        <w:t>or</w:t>
      </w:r>
      <w:r>
        <w:rPr>
          <w:spacing w:val="-3"/>
        </w:rPr>
        <w:t xml:space="preserve"> </w:t>
      </w:r>
      <w:r>
        <w:t>Specialty).</w:t>
      </w:r>
      <w:r>
        <w:rPr>
          <w:spacing w:val="-3"/>
        </w:rPr>
        <w:t xml:space="preserve"> </w:t>
      </w:r>
      <w:r>
        <w:t>The</w:t>
      </w:r>
      <w:r>
        <w:rPr>
          <w:spacing w:val="-5"/>
        </w:rPr>
        <w:t xml:space="preserve"> </w:t>
      </w:r>
      <w:r>
        <w:t>Maximum</w:t>
      </w:r>
      <w:r>
        <w:rPr>
          <w:spacing w:val="-3"/>
        </w:rPr>
        <w:t xml:space="preserve"> </w:t>
      </w:r>
      <w:r>
        <w:t>Fair</w:t>
      </w:r>
      <w:r>
        <w:rPr>
          <w:spacing w:val="-3"/>
        </w:rPr>
        <w:t xml:space="preserve"> </w:t>
      </w:r>
      <w:r>
        <w:t>Price</w:t>
      </w:r>
      <w:r>
        <w:rPr>
          <w:spacing w:val="-4"/>
        </w:rPr>
        <w:t xml:space="preserve"> </w:t>
      </w:r>
      <w:r>
        <w:t>Drugs</w:t>
      </w:r>
      <w:r>
        <w:rPr>
          <w:spacing w:val="-3"/>
        </w:rPr>
        <w:t xml:space="preserve"> </w:t>
      </w:r>
      <w:r>
        <w:t>are</w:t>
      </w:r>
      <w:r>
        <w:rPr>
          <w:spacing w:val="-5"/>
        </w:rPr>
        <w:t xml:space="preserve"> </w:t>
      </w:r>
      <w:r>
        <w:t>defined</w:t>
      </w:r>
      <w:r>
        <w:rPr>
          <w:spacing w:val="-3"/>
        </w:rPr>
        <w:t xml:space="preserve"> </w:t>
      </w:r>
      <w:r>
        <w:t>as those drugs which were selected for negotiation for initial price applicability for CY2026. Do not include the number of scripts/1000 for the Maximum Fair Price Drugs in lines 1-8. Instead, include this number in line 9.</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f</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Allowed</w:t>
      </w:r>
      <w:r>
        <w:rPr>
          <w:rFonts w:ascii="Arial" w:hAnsi="Arial"/>
          <w:b/>
          <w:spacing w:val="-3"/>
          <w:sz w:val="21"/>
        </w:rPr>
        <w:t xml:space="preserve"> </w:t>
      </w:r>
      <w:r>
        <w:rPr>
          <w:rFonts w:ascii="Arial" w:hAnsi="Arial"/>
          <w:b/>
          <w:sz w:val="21"/>
        </w:rPr>
        <w:t>per</w:t>
      </w:r>
      <w:r>
        <w:rPr>
          <w:rFonts w:ascii="Arial" w:hAnsi="Arial"/>
          <w:b/>
          <w:spacing w:val="-4"/>
          <w:sz w:val="21"/>
        </w:rPr>
        <w:t xml:space="preserve"> </w:t>
      </w:r>
      <w:r>
        <w:rPr>
          <w:rFonts w:ascii="Arial" w:hAnsi="Arial"/>
          <w:b/>
          <w:spacing w:val="-2"/>
          <w:sz w:val="21"/>
        </w:rPr>
        <w:t>Script</w:t>
      </w:r>
    </w:p>
    <w:p>
      <w:pPr>
        <w:pStyle w:val="BodyText"/>
        <w:spacing w:before="118"/>
        <w:ind w:left="1160" w:right="896"/>
      </w:pPr>
      <w:r>
        <w:t>Enter the average allowed amount per script by type of script filled in the base period for each line. The term “allowed amount”</w:t>
      </w:r>
      <w:r>
        <w:rPr>
          <w:spacing w:val="-1"/>
        </w:rPr>
        <w:t xml:space="preserve"> </w:t>
      </w:r>
      <w:r>
        <w:t>is defined as the</w:t>
      </w:r>
      <w:r>
        <w:rPr>
          <w:spacing w:val="-1"/>
        </w:rPr>
        <w:t xml:space="preserve"> </w:t>
      </w:r>
      <w:r>
        <w:t>ingredient cost plus the dispensing fee, plus state sales tax where applicable, plus the vaccine administration fee, prior to the application of any rebates recovered after the point-of-sale. The Maximum Fair Price Drugs are defined as those drugs which were selected for negotiation for initial price applicability for CY2026. Do not include</w:t>
      </w:r>
      <w:r>
        <w:rPr>
          <w:spacing w:val="-5"/>
        </w:rPr>
        <w:t xml:space="preserve"> </w:t>
      </w:r>
      <w:r>
        <w:t>the</w:t>
      </w:r>
      <w:r>
        <w:rPr>
          <w:spacing w:val="-4"/>
        </w:rPr>
        <w:t xml:space="preserve"> </w:t>
      </w:r>
      <w:r>
        <w:t>average</w:t>
      </w:r>
      <w:r>
        <w:rPr>
          <w:spacing w:val="-3"/>
        </w:rPr>
        <w:t xml:space="preserve"> </w:t>
      </w:r>
      <w:r>
        <w:t>allowed</w:t>
      </w:r>
      <w:r>
        <w:rPr>
          <w:spacing w:val="-4"/>
        </w:rPr>
        <w:t xml:space="preserve"> </w:t>
      </w:r>
      <w:r>
        <w:t>amount</w:t>
      </w:r>
      <w:r>
        <w:rPr>
          <w:spacing w:val="-4"/>
        </w:rPr>
        <w:t xml:space="preserve"> </w:t>
      </w:r>
      <w:r>
        <w:t>per</w:t>
      </w:r>
      <w:r>
        <w:rPr>
          <w:spacing w:val="-4"/>
        </w:rPr>
        <w:t xml:space="preserve"> </w:t>
      </w:r>
      <w:r>
        <w:t>script</w:t>
      </w:r>
      <w:r>
        <w:rPr>
          <w:spacing w:val="-4"/>
        </w:rPr>
        <w:t xml:space="preserve"> </w:t>
      </w:r>
      <w:r>
        <w:t>for</w:t>
      </w:r>
      <w:r>
        <w:rPr>
          <w:spacing w:val="-2"/>
        </w:rPr>
        <w:t xml:space="preserve"> </w:t>
      </w:r>
      <w:r>
        <w:t>the</w:t>
      </w:r>
      <w:r>
        <w:rPr>
          <w:spacing w:val="-5"/>
        </w:rPr>
        <w:t xml:space="preserve"> </w:t>
      </w:r>
      <w:r>
        <w:t>Maximum</w:t>
      </w:r>
      <w:r>
        <w:rPr>
          <w:spacing w:val="-4"/>
        </w:rPr>
        <w:t xml:space="preserve"> </w:t>
      </w:r>
      <w:r>
        <w:t>Fair</w:t>
      </w:r>
      <w:r>
        <w:rPr>
          <w:spacing w:val="-4"/>
        </w:rPr>
        <w:t xml:space="preserve"> </w:t>
      </w:r>
      <w:r>
        <w:t>Price</w:t>
      </w:r>
      <w:r>
        <w:rPr>
          <w:spacing w:val="-5"/>
        </w:rPr>
        <w:t xml:space="preserve"> </w:t>
      </w:r>
      <w:r>
        <w:t>Drugs in lines 1-8. Instead, include this amount in line 9.</w:t>
      </w:r>
    </w:p>
    <w:p>
      <w:pPr>
        <w:pStyle w:val="ListParagraph"/>
        <w:numPr>
          <w:ilvl w:val="0"/>
          <w:numId w:val="10"/>
        </w:numPr>
        <w:tabs>
          <w:tab w:val="left" w:pos="1159"/>
        </w:tabs>
        <w:spacing w:before="122" w:after="0" w:line="240" w:lineRule="auto"/>
        <w:ind w:left="1159" w:right="0" w:hanging="359"/>
        <w:jc w:val="left"/>
        <w:rPr>
          <w:rFonts w:ascii="Arial" w:hAnsi="Arial"/>
          <w:b/>
          <w:sz w:val="21"/>
        </w:rPr>
      </w:pPr>
      <w:r>
        <w:rPr>
          <w:rFonts w:ascii="Arial" w:hAnsi="Arial"/>
          <w:b/>
          <w:sz w:val="21"/>
        </w:rPr>
        <w:t>Column</w:t>
      </w:r>
      <w:r>
        <w:rPr>
          <w:rFonts w:ascii="Arial" w:hAnsi="Arial"/>
          <w:b/>
          <w:spacing w:val="-5"/>
          <w:sz w:val="21"/>
        </w:rPr>
        <w:t xml:space="preserve"> </w:t>
      </w:r>
      <w:r>
        <w:rPr>
          <w:rFonts w:ascii="Arial" w:hAnsi="Arial"/>
          <w:b/>
          <w:sz w:val="21"/>
        </w:rPr>
        <w:t>g</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z w:val="21"/>
        </w:rPr>
        <w:t>PMPM</w:t>
      </w:r>
      <w:r>
        <w:rPr>
          <w:rFonts w:ascii="Arial" w:hAnsi="Arial"/>
          <w:b/>
          <w:spacing w:val="-2"/>
          <w:sz w:val="21"/>
        </w:rPr>
        <w:t xml:space="preserve"> Allowed</w:t>
      </w:r>
    </w:p>
    <w:p>
      <w:pPr>
        <w:pStyle w:val="BodyText"/>
        <w:ind w:left="1160" w:right="979"/>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2"/>
        </w:rPr>
        <w:t xml:space="preserve"> </w:t>
      </w:r>
      <w:r>
        <w:t>column</w:t>
      </w:r>
      <w:r>
        <w:rPr>
          <w:spacing w:val="-3"/>
        </w:rPr>
        <w:t xml:space="preserve"> </w:t>
      </w:r>
      <w:r>
        <w:t>e</w:t>
      </w:r>
      <w:r>
        <w:rPr>
          <w:spacing w:val="-4"/>
        </w:rPr>
        <w:t xml:space="preserve"> </w:t>
      </w:r>
      <w:r>
        <w:t>times</w:t>
      </w:r>
      <w:r>
        <w:rPr>
          <w:spacing w:val="-3"/>
        </w:rPr>
        <w:t xml:space="preserve"> </w:t>
      </w:r>
      <w:r>
        <w:t>column</w:t>
      </w:r>
      <w:r>
        <w:rPr>
          <w:spacing w:val="-3"/>
        </w:rPr>
        <w:t xml:space="preserve"> </w:t>
      </w:r>
      <w:r>
        <w:t>f divided by 12,000 for each line.</w:t>
      </w:r>
    </w:p>
    <w:p>
      <w:pPr>
        <w:spacing w:after="0"/>
        <w:sectPr>
          <w:headerReference w:type="default" r:id="rId23"/>
          <w:footerReference w:type="default" r:id="rId24"/>
          <w:pgSz w:w="12240" w:h="15840"/>
          <w:pgMar w:top="1340" w:right="1000" w:bottom="1080" w:left="1360" w:header="727" w:footer="891"/>
          <w:cols w:space="720"/>
        </w:sectPr>
      </w:pPr>
    </w:p>
    <w:p>
      <w:pPr>
        <w:spacing w:before="87"/>
        <w:ind w:left="440" w:right="0" w:firstLine="0"/>
        <w:jc w:val="left"/>
        <w:rPr>
          <w:rFonts w:ascii="Arial" w:hAnsi="Arial"/>
          <w:b/>
          <w:sz w:val="21"/>
        </w:rPr>
      </w:pPr>
      <w:bookmarkStart w:id="121" w:name="Lines 1 through 9 – Components of Utiliz"/>
      <w:bookmarkEnd w:id="121"/>
      <w:r>
        <w:rPr>
          <w:rFonts w:ascii="Arial" w:hAnsi="Arial"/>
          <w:b/>
          <w:sz w:val="21"/>
        </w:rPr>
        <w:t>Lines</w:t>
      </w:r>
      <w:r>
        <w:rPr>
          <w:rFonts w:ascii="Arial" w:hAnsi="Arial"/>
          <w:b/>
          <w:spacing w:val="-6"/>
          <w:sz w:val="21"/>
        </w:rPr>
        <w:t xml:space="preserve"> </w:t>
      </w:r>
      <w:r>
        <w:rPr>
          <w:rFonts w:ascii="Arial" w:hAnsi="Arial"/>
          <w:b/>
          <w:sz w:val="21"/>
        </w:rPr>
        <w:t>1</w:t>
      </w:r>
      <w:r>
        <w:rPr>
          <w:rFonts w:ascii="Arial" w:hAnsi="Arial"/>
          <w:b/>
          <w:spacing w:val="-5"/>
          <w:sz w:val="21"/>
        </w:rPr>
        <w:t xml:space="preserve"> </w:t>
      </w:r>
      <w:r>
        <w:rPr>
          <w:rFonts w:ascii="Arial" w:hAnsi="Arial"/>
          <w:b/>
          <w:sz w:val="21"/>
        </w:rPr>
        <w:t>through</w:t>
      </w:r>
      <w:r>
        <w:rPr>
          <w:rFonts w:ascii="Arial" w:hAnsi="Arial"/>
          <w:b/>
          <w:spacing w:val="-5"/>
          <w:sz w:val="21"/>
        </w:rPr>
        <w:t xml:space="preserve"> </w:t>
      </w:r>
      <w:r>
        <w:rPr>
          <w:rFonts w:ascii="Arial" w:hAnsi="Arial"/>
          <w:b/>
          <w:sz w:val="21"/>
        </w:rPr>
        <w:t>9</w:t>
      </w:r>
      <w:r>
        <w:rPr>
          <w:rFonts w:ascii="Arial" w:hAnsi="Arial"/>
          <w:b/>
          <w:spacing w:val="-6"/>
          <w:sz w:val="21"/>
        </w:rPr>
        <w:t xml:space="preserve"> </w:t>
      </w:r>
      <w:r>
        <w:rPr>
          <w:rFonts w:ascii="Arial" w:hAnsi="Arial"/>
          <w:b/>
          <w:sz w:val="21"/>
        </w:rPr>
        <w:t>–</w:t>
      </w:r>
      <w:r>
        <w:rPr>
          <w:rFonts w:ascii="Arial" w:hAnsi="Arial"/>
          <w:b/>
          <w:spacing w:val="-5"/>
          <w:sz w:val="21"/>
        </w:rPr>
        <w:t xml:space="preserve"> </w:t>
      </w:r>
      <w:r>
        <w:rPr>
          <w:rFonts w:ascii="Arial" w:hAnsi="Arial"/>
          <w:b/>
          <w:sz w:val="21"/>
        </w:rPr>
        <w:t>Components</w:t>
      </w:r>
      <w:r>
        <w:rPr>
          <w:rFonts w:ascii="Arial" w:hAnsi="Arial"/>
          <w:b/>
          <w:spacing w:val="-5"/>
          <w:sz w:val="21"/>
        </w:rPr>
        <w:t xml:space="preserve"> </w:t>
      </w:r>
      <w:r>
        <w:rPr>
          <w:rFonts w:ascii="Arial" w:hAnsi="Arial"/>
          <w:b/>
          <w:sz w:val="21"/>
        </w:rPr>
        <w:t>of</w:t>
      </w:r>
      <w:r>
        <w:rPr>
          <w:rFonts w:ascii="Arial" w:hAnsi="Arial"/>
          <w:b/>
          <w:spacing w:val="-5"/>
          <w:sz w:val="21"/>
        </w:rPr>
        <w:t xml:space="preserve"> </w:t>
      </w:r>
      <w:r>
        <w:rPr>
          <w:rFonts w:ascii="Arial" w:hAnsi="Arial"/>
          <w:b/>
          <w:sz w:val="21"/>
        </w:rPr>
        <w:t>Utilization</w:t>
      </w:r>
      <w:r>
        <w:rPr>
          <w:rFonts w:ascii="Arial" w:hAnsi="Arial"/>
          <w:b/>
          <w:spacing w:val="-7"/>
          <w:sz w:val="21"/>
        </w:rPr>
        <w:t xml:space="preserve"> </w:t>
      </w:r>
      <w:r>
        <w:rPr>
          <w:rFonts w:ascii="Arial" w:hAnsi="Arial"/>
          <w:b/>
          <w:spacing w:val="-2"/>
          <w:sz w:val="21"/>
        </w:rPr>
        <w:t>Change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5"/>
          <w:sz w:val="21"/>
        </w:rPr>
        <w:t xml:space="preserve"> </w:t>
      </w:r>
      <w:r>
        <w:rPr>
          <w:rFonts w:ascii="Arial" w:hAnsi="Arial"/>
          <w:b/>
          <w:sz w:val="21"/>
        </w:rPr>
        <w:t>h</w:t>
      </w:r>
      <w:r>
        <w:rPr>
          <w:rFonts w:ascii="Arial" w:hAnsi="Arial"/>
          <w:b/>
          <w:spacing w:val="-2"/>
          <w:sz w:val="21"/>
        </w:rPr>
        <w:t xml:space="preserve"> </w:t>
      </w:r>
      <w:r>
        <w:rPr>
          <w:rFonts w:ascii="Arial" w:hAnsi="Arial"/>
          <w:b/>
          <w:sz w:val="21"/>
        </w:rPr>
        <w:t>–</w:t>
      </w:r>
      <w:r>
        <w:rPr>
          <w:rFonts w:ascii="Arial" w:hAnsi="Arial"/>
          <w:b/>
          <w:spacing w:val="-5"/>
          <w:sz w:val="21"/>
        </w:rPr>
        <w:t xml:space="preserve"> </w:t>
      </w:r>
      <w:r>
        <w:rPr>
          <w:rFonts w:ascii="Arial" w:hAnsi="Arial"/>
          <w:b/>
          <w:sz w:val="21"/>
        </w:rPr>
        <w:t>Trend in</w:t>
      </w:r>
      <w:r>
        <w:rPr>
          <w:rFonts w:ascii="Arial" w:hAnsi="Arial"/>
          <w:b/>
          <w:spacing w:val="-1"/>
          <w:sz w:val="21"/>
        </w:rPr>
        <w:t xml:space="preserve"> </w:t>
      </w:r>
      <w:r>
        <w:rPr>
          <w:rFonts w:ascii="Arial" w:hAnsi="Arial"/>
          <w:b/>
          <w:spacing w:val="-2"/>
          <w:sz w:val="21"/>
        </w:rPr>
        <w:t>Scripts/1,000</w:t>
      </w:r>
    </w:p>
    <w:p>
      <w:pPr>
        <w:pStyle w:val="BodyText"/>
        <w:spacing w:before="118"/>
        <w:ind w:left="1160" w:right="478"/>
      </w:pPr>
      <w:r>
        <w:t>Enter</w:t>
      </w:r>
      <w:r>
        <w:rPr>
          <w:spacing w:val="-5"/>
        </w:rPr>
        <w:t xml:space="preserve"> </w:t>
      </w:r>
      <w:r>
        <w:t>the</w:t>
      </w:r>
      <w:r>
        <w:rPr>
          <w:spacing w:val="-3"/>
        </w:rPr>
        <w:t xml:space="preserve"> </w:t>
      </w:r>
      <w:r>
        <w:t>utilization</w:t>
      </w:r>
      <w:r>
        <w:rPr>
          <w:spacing w:val="-3"/>
        </w:rPr>
        <w:t xml:space="preserve"> </w:t>
      </w:r>
      <w:r>
        <w:t>trend</w:t>
      </w:r>
      <w:r>
        <w:rPr>
          <w:spacing w:val="-2"/>
        </w:rPr>
        <w:t xml:space="preserve"> </w:t>
      </w:r>
      <w:r>
        <w:t>factor</w:t>
      </w:r>
      <w:r>
        <w:rPr>
          <w:spacing w:val="-4"/>
        </w:rPr>
        <w:t xml:space="preserve"> </w:t>
      </w:r>
      <w:r>
        <w:t>by</w:t>
      </w:r>
      <w:r>
        <w:rPr>
          <w:spacing w:val="-3"/>
        </w:rPr>
        <w:t xml:space="preserve"> </w:t>
      </w:r>
      <w:r>
        <w:t>type</w:t>
      </w:r>
      <w:r>
        <w:rPr>
          <w:spacing w:val="-3"/>
        </w:rPr>
        <w:t xml:space="preserve"> </w:t>
      </w:r>
      <w:r>
        <w:t>of</w:t>
      </w:r>
      <w:r>
        <w:rPr>
          <w:spacing w:val="-3"/>
        </w:rPr>
        <w:t xml:space="preserve"> </w:t>
      </w:r>
      <w:r>
        <w:t>script to</w:t>
      </w:r>
      <w:r>
        <w:rPr>
          <w:spacing w:val="-3"/>
        </w:rPr>
        <w:t xml:space="preserve"> </w:t>
      </w:r>
      <w:r>
        <w:t>project</w:t>
      </w:r>
      <w:r>
        <w:rPr>
          <w:spacing w:val="-3"/>
        </w:rPr>
        <w:t xml:space="preserve"> </w:t>
      </w:r>
      <w:r>
        <w:t>scripts/1,000</w:t>
      </w:r>
      <w:r>
        <w:rPr>
          <w:spacing w:val="-2"/>
        </w:rPr>
        <w:t xml:space="preserve"> </w:t>
      </w:r>
      <w:r>
        <w:t>to</w:t>
      </w:r>
      <w:r>
        <w:rPr>
          <w:spacing w:val="-3"/>
        </w:rPr>
        <w:t xml:space="preserve"> </w:t>
      </w:r>
      <w:r>
        <w:t>the contract period for each line.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i</w:t>
      </w:r>
      <w:r>
        <w:rPr>
          <w:rFonts w:ascii="Arial" w:hAnsi="Arial"/>
          <w:b/>
          <w:spacing w:val="-4"/>
          <w:sz w:val="21"/>
        </w:rPr>
        <w:t xml:space="preserve"> </w:t>
      </w:r>
      <w:r>
        <w:rPr>
          <w:rFonts w:ascii="Arial" w:hAnsi="Arial"/>
          <w:b/>
          <w:sz w:val="21"/>
        </w:rPr>
        <w:t>–</w:t>
      </w:r>
      <w:r>
        <w:rPr>
          <w:rFonts w:ascii="Arial" w:hAnsi="Arial"/>
          <w:b/>
          <w:spacing w:val="-3"/>
          <w:sz w:val="21"/>
        </w:rPr>
        <w:t xml:space="preserve"> </w:t>
      </w:r>
      <w:r>
        <w:rPr>
          <w:rFonts w:ascii="Arial" w:hAnsi="Arial"/>
          <w:b/>
          <w:sz w:val="21"/>
        </w:rPr>
        <w:t>Formulary</w:t>
      </w:r>
      <w:r>
        <w:rPr>
          <w:rFonts w:ascii="Arial" w:hAnsi="Arial"/>
          <w:b/>
          <w:spacing w:val="-5"/>
          <w:sz w:val="21"/>
        </w:rPr>
        <w:t xml:space="preserve"> </w:t>
      </w:r>
      <w:r>
        <w:rPr>
          <w:rFonts w:ascii="Arial" w:hAnsi="Arial"/>
          <w:b/>
          <w:spacing w:val="-2"/>
          <w:sz w:val="21"/>
        </w:rPr>
        <w:t>Change</w:t>
      </w:r>
    </w:p>
    <w:p>
      <w:pPr>
        <w:pStyle w:val="BodyText"/>
        <w:ind w:left="1160" w:right="979"/>
      </w:pPr>
      <w:r>
        <w:t>Enter the factor that represents the impact on utilization of changes in the formulary,</w:t>
      </w:r>
      <w:r>
        <w:rPr>
          <w:spacing w:val="-4"/>
        </w:rPr>
        <w:t xml:space="preserve"> </w:t>
      </w:r>
      <w:r>
        <w:t>including</w:t>
      </w:r>
      <w:r>
        <w:rPr>
          <w:spacing w:val="-4"/>
        </w:rPr>
        <w:t xml:space="preserve"> </w:t>
      </w:r>
      <w:r>
        <w:t>the</w:t>
      </w:r>
      <w:r>
        <w:rPr>
          <w:spacing w:val="-3"/>
        </w:rPr>
        <w:t xml:space="preserve"> </w:t>
      </w:r>
      <w:r>
        <w:t>addition,</w:t>
      </w:r>
      <w:r>
        <w:rPr>
          <w:spacing w:val="-4"/>
        </w:rPr>
        <w:t xml:space="preserve"> </w:t>
      </w:r>
      <w:r>
        <w:t>deletion</w:t>
      </w:r>
      <w:r>
        <w:rPr>
          <w:spacing w:val="-4"/>
        </w:rPr>
        <w:t xml:space="preserve"> </w:t>
      </w:r>
      <w:r>
        <w:t>or</w:t>
      </w:r>
      <w:r>
        <w:rPr>
          <w:spacing w:val="-5"/>
        </w:rPr>
        <w:t xml:space="preserve"> </w:t>
      </w:r>
      <w:r>
        <w:t>reclassification</w:t>
      </w:r>
      <w:r>
        <w:rPr>
          <w:spacing w:val="-4"/>
        </w:rPr>
        <w:t xml:space="preserve"> </w:t>
      </w:r>
      <w:r>
        <w:t>of</w:t>
      </w:r>
      <w:r>
        <w:rPr>
          <w:spacing w:val="-5"/>
        </w:rPr>
        <w:t xml:space="preserve"> </w:t>
      </w:r>
      <w:r>
        <w:t>drugs</w:t>
      </w:r>
      <w:r>
        <w:rPr>
          <w:spacing w:val="-4"/>
        </w:rPr>
        <w:t xml:space="preserve"> </w:t>
      </w:r>
      <w:r>
        <w:t>by</w:t>
      </w:r>
      <w:r>
        <w:rPr>
          <w:spacing w:val="-4"/>
        </w:rPr>
        <w:t xml:space="preserve"> </w:t>
      </w:r>
      <w:r>
        <w:t>type</w:t>
      </w:r>
      <w:r>
        <w:rPr>
          <w:spacing w:val="-5"/>
        </w:rPr>
        <w:t xml:space="preserve"> </w:t>
      </w:r>
      <w:r>
        <w:t>of script for each line.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j</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Risk</w:t>
      </w:r>
      <w:r>
        <w:rPr>
          <w:rFonts w:ascii="Arial" w:hAnsi="Arial"/>
          <w:b/>
          <w:spacing w:val="-2"/>
          <w:sz w:val="21"/>
        </w:rPr>
        <w:t xml:space="preserve"> Change</w:t>
      </w:r>
    </w:p>
    <w:p>
      <w:pPr>
        <w:pStyle w:val="BodyText"/>
        <w:spacing w:before="118"/>
        <w:ind w:left="1160" w:right="918"/>
      </w:pPr>
      <w:r>
        <w:t>Enter the factor that represents the impact on utilization of the covered population’s</w:t>
      </w:r>
      <w:r>
        <w:rPr>
          <w:spacing w:val="-4"/>
        </w:rPr>
        <w:t xml:space="preserve"> </w:t>
      </w:r>
      <w:r>
        <w:t>change</w:t>
      </w:r>
      <w:r>
        <w:rPr>
          <w:spacing w:val="-4"/>
        </w:rPr>
        <w:t xml:space="preserve"> </w:t>
      </w:r>
      <w:r>
        <w:t>in</w:t>
      </w:r>
      <w:r>
        <w:rPr>
          <w:spacing w:val="-3"/>
        </w:rPr>
        <w:t xml:space="preserve"> </w:t>
      </w:r>
      <w:r>
        <w:t>risk</w:t>
      </w:r>
      <w:r>
        <w:rPr>
          <w:spacing w:val="-2"/>
        </w:rPr>
        <w:t xml:space="preserve"> </w:t>
      </w:r>
      <w:r>
        <w:t>from</w:t>
      </w:r>
      <w:r>
        <w:rPr>
          <w:spacing w:val="-3"/>
        </w:rPr>
        <w:t xml:space="preserve"> </w:t>
      </w:r>
      <w:r>
        <w:t>the</w:t>
      </w:r>
      <w:r>
        <w:rPr>
          <w:spacing w:val="-3"/>
        </w:rPr>
        <w:t xml:space="preserve"> </w:t>
      </w:r>
      <w:r>
        <w:t>base</w:t>
      </w:r>
      <w:r>
        <w:rPr>
          <w:spacing w:val="-4"/>
        </w:rPr>
        <w:t xml:space="preserve"> </w:t>
      </w:r>
      <w:r>
        <w:t>period</w:t>
      </w:r>
      <w:r>
        <w:rPr>
          <w:spacing w:val="-3"/>
        </w:rPr>
        <w:t xml:space="preserve"> </w:t>
      </w:r>
      <w:r>
        <w:t>to</w:t>
      </w:r>
      <w:r>
        <w:rPr>
          <w:spacing w:val="-3"/>
        </w:rPr>
        <w:t xml:space="preserve"> </w:t>
      </w:r>
      <w:r>
        <w:t>the</w:t>
      </w:r>
      <w:r>
        <w:rPr>
          <w:spacing w:val="-3"/>
        </w:rPr>
        <w:t xml:space="preserve"> </w:t>
      </w:r>
      <w:r>
        <w:t>contract</w:t>
      </w:r>
      <w:r>
        <w:rPr>
          <w:spacing w:val="-3"/>
        </w:rPr>
        <w:t xml:space="preserve"> </w:t>
      </w:r>
      <w:r>
        <w:t>period</w:t>
      </w:r>
      <w:r>
        <w:rPr>
          <w:spacing w:val="-3"/>
        </w:rPr>
        <w:t xml:space="preserve"> </w:t>
      </w:r>
      <w:r>
        <w:t>by</w:t>
      </w:r>
      <w:r>
        <w:rPr>
          <w:spacing w:val="-3"/>
        </w:rPr>
        <w:t xml:space="preserve"> </w:t>
      </w:r>
      <w:r>
        <w:t>type</w:t>
      </w:r>
      <w:r>
        <w:rPr>
          <w:spacing w:val="-4"/>
        </w:rPr>
        <w:t xml:space="preserve"> </w:t>
      </w:r>
      <w:r>
        <w:t>of script for each line.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k</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Induced</w:t>
      </w:r>
      <w:r>
        <w:rPr>
          <w:rFonts w:ascii="Arial" w:hAnsi="Arial"/>
          <w:b/>
          <w:spacing w:val="-3"/>
          <w:sz w:val="21"/>
        </w:rPr>
        <w:t xml:space="preserve"> </w:t>
      </w:r>
      <w:r>
        <w:rPr>
          <w:rFonts w:ascii="Arial" w:hAnsi="Arial"/>
          <w:b/>
          <w:spacing w:val="-2"/>
          <w:sz w:val="21"/>
        </w:rPr>
        <w:t>Utilization</w:t>
      </w:r>
    </w:p>
    <w:p>
      <w:pPr>
        <w:pStyle w:val="BodyText"/>
        <w:ind w:left="1160" w:right="566"/>
      </w:pPr>
      <w:r>
        <w:t>Enter the factor that adjusts for the utilization difference between the base period type</w:t>
      </w:r>
      <w:r>
        <w:rPr>
          <w:spacing w:val="-2"/>
        </w:rPr>
        <w:t xml:space="preserve"> </w:t>
      </w:r>
      <w:r>
        <w:t>of</w:t>
      </w:r>
      <w:r>
        <w:rPr>
          <w:spacing w:val="-4"/>
        </w:rPr>
        <w:t xml:space="preserve"> </w:t>
      </w:r>
      <w:r>
        <w:t>benefit</w:t>
      </w:r>
      <w:r>
        <w:rPr>
          <w:spacing w:val="-2"/>
        </w:rPr>
        <w:t xml:space="preserve"> </w:t>
      </w:r>
      <w:r>
        <w:t>plan</w:t>
      </w:r>
      <w:r>
        <w:rPr>
          <w:spacing w:val="-1"/>
        </w:rPr>
        <w:t xml:space="preserve"> </w:t>
      </w:r>
      <w:r>
        <w:t>(AE,</w:t>
      </w:r>
      <w:r>
        <w:rPr>
          <w:spacing w:val="-1"/>
        </w:rPr>
        <w:t xml:space="preserve"> </w:t>
      </w:r>
      <w:r>
        <w:t>BA</w:t>
      </w:r>
      <w:r>
        <w:rPr>
          <w:spacing w:val="-2"/>
        </w:rPr>
        <w:t xml:space="preserve"> </w:t>
      </w:r>
      <w:r>
        <w:t>or</w:t>
      </w:r>
      <w:r>
        <w:rPr>
          <w:spacing w:val="-4"/>
        </w:rPr>
        <w:t xml:space="preserve"> </w:t>
      </w:r>
      <w:r>
        <w:t>EA)</w:t>
      </w:r>
      <w:r>
        <w:rPr>
          <w:spacing w:val="-2"/>
        </w:rPr>
        <w:t xml:space="preserve"> </w:t>
      </w:r>
      <w:r>
        <w:t>and a</w:t>
      </w:r>
      <w:r>
        <w:rPr>
          <w:spacing w:val="-2"/>
        </w:rPr>
        <w:t xml:space="preserve"> </w:t>
      </w:r>
      <w:r>
        <w:t>DS</w:t>
      </w:r>
      <w:r>
        <w:rPr>
          <w:spacing w:val="-2"/>
        </w:rPr>
        <w:t xml:space="preserve"> </w:t>
      </w:r>
      <w:r>
        <w:t>plan</w:t>
      </w:r>
      <w:r>
        <w:rPr>
          <w:spacing w:val="-2"/>
        </w:rPr>
        <w:t xml:space="preserve"> </w:t>
      </w:r>
      <w:r>
        <w:t>by</w:t>
      </w:r>
      <w:r>
        <w:rPr>
          <w:spacing w:val="-2"/>
        </w:rPr>
        <w:t xml:space="preserve"> </w:t>
      </w:r>
      <w:r>
        <w:t>type</w:t>
      </w:r>
      <w:r>
        <w:rPr>
          <w:spacing w:val="-2"/>
        </w:rPr>
        <w:t xml:space="preserve"> </w:t>
      </w:r>
      <w:r>
        <w:t>of</w:t>
      </w:r>
      <w:r>
        <w:rPr>
          <w:spacing w:val="-4"/>
        </w:rPr>
        <w:t xml:space="preserve"> </w:t>
      </w:r>
      <w:r>
        <w:t>script</w:t>
      </w:r>
      <w:r>
        <w:rPr>
          <w:spacing w:val="-2"/>
        </w:rPr>
        <w:t xml:space="preserve"> </w:t>
      </w:r>
      <w:r>
        <w:t>for</w:t>
      </w:r>
      <w:r>
        <w:rPr>
          <w:spacing w:val="-2"/>
        </w:rPr>
        <w:t xml:space="preserve"> </w:t>
      </w:r>
      <w:r>
        <w:t>each</w:t>
      </w:r>
      <w:r>
        <w:rPr>
          <w:spacing w:val="-2"/>
        </w:rPr>
        <w:t xml:space="preserve"> </w:t>
      </w:r>
      <w:r>
        <w:t>line.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2"/>
          <w:sz w:val="21"/>
        </w:rPr>
        <w:t xml:space="preserve"> </w:t>
      </w:r>
      <w:r>
        <w:rPr>
          <w:rFonts w:ascii="Arial" w:hAnsi="Arial"/>
          <w:b/>
          <w:sz w:val="21"/>
        </w:rPr>
        <w:t>l</w:t>
      </w:r>
      <w:r>
        <w:rPr>
          <w:rFonts w:ascii="Arial" w:hAnsi="Arial"/>
          <w:b/>
          <w:spacing w:val="-4"/>
          <w:sz w:val="21"/>
        </w:rPr>
        <w:t xml:space="preserve"> </w:t>
      </w:r>
      <w:r>
        <w:rPr>
          <w:rFonts w:ascii="Arial" w:hAnsi="Arial"/>
          <w:b/>
          <w:sz w:val="21"/>
        </w:rPr>
        <w:t>–</w:t>
      </w:r>
      <w:r>
        <w:rPr>
          <w:rFonts w:ascii="Arial" w:hAnsi="Arial"/>
          <w:b/>
          <w:spacing w:val="-3"/>
          <w:sz w:val="21"/>
        </w:rPr>
        <w:t xml:space="preserve"> </w:t>
      </w:r>
      <w:r>
        <w:rPr>
          <w:rFonts w:ascii="Arial" w:hAnsi="Arial"/>
          <w:b/>
          <w:sz w:val="21"/>
        </w:rPr>
        <w:t>Other</w:t>
      </w:r>
      <w:r>
        <w:rPr>
          <w:rFonts w:ascii="Arial" w:hAnsi="Arial"/>
          <w:b/>
          <w:spacing w:val="-5"/>
          <w:sz w:val="21"/>
        </w:rPr>
        <w:t xml:space="preserve"> </w:t>
      </w:r>
      <w:r>
        <w:rPr>
          <w:rFonts w:ascii="Arial" w:hAnsi="Arial"/>
          <w:b/>
          <w:spacing w:val="-2"/>
          <w:sz w:val="21"/>
        </w:rPr>
        <w:t>Change</w:t>
      </w:r>
    </w:p>
    <w:p>
      <w:pPr>
        <w:pStyle w:val="BodyText"/>
        <w:ind w:left="1160" w:right="813"/>
      </w:pPr>
      <w:r>
        <w:t>Enter the factor that represents the impact on utilization of any differences between</w:t>
      </w:r>
      <w:r>
        <w:rPr>
          <w:spacing w:val="-3"/>
        </w:rPr>
        <w:t xml:space="preserve"> </w:t>
      </w:r>
      <w:r>
        <w:t>the</w:t>
      </w:r>
      <w:r>
        <w:rPr>
          <w:spacing w:val="-3"/>
        </w:rPr>
        <w:t xml:space="preserve"> </w:t>
      </w:r>
      <w:r>
        <w:t>base</w:t>
      </w:r>
      <w:r>
        <w:rPr>
          <w:spacing w:val="-4"/>
        </w:rPr>
        <w:t xml:space="preserve"> </w:t>
      </w:r>
      <w:r>
        <w:t>period</w:t>
      </w:r>
      <w:r>
        <w:rPr>
          <w:spacing w:val="-2"/>
        </w:rPr>
        <w:t xml:space="preserve"> </w:t>
      </w:r>
      <w:r>
        <w:t>and</w:t>
      </w:r>
      <w:r>
        <w:rPr>
          <w:spacing w:val="-3"/>
        </w:rPr>
        <w:t xml:space="preserve"> </w:t>
      </w:r>
      <w:r>
        <w:t>contract</w:t>
      </w:r>
      <w:r>
        <w:rPr>
          <w:spacing w:val="-3"/>
        </w:rPr>
        <w:t xml:space="preserve"> </w:t>
      </w:r>
      <w:r>
        <w:t>period not</w:t>
      </w:r>
      <w:r>
        <w:rPr>
          <w:spacing w:val="-3"/>
        </w:rPr>
        <w:t xml:space="preserve"> </w:t>
      </w:r>
      <w:r>
        <w:t>included</w:t>
      </w:r>
      <w:r>
        <w:rPr>
          <w:spacing w:val="-4"/>
        </w:rPr>
        <w:t xml:space="preserve"> </w:t>
      </w:r>
      <w:r>
        <w:t>in</w:t>
      </w:r>
      <w:r>
        <w:rPr>
          <w:spacing w:val="-3"/>
        </w:rPr>
        <w:t xml:space="preserve"> </w:t>
      </w:r>
      <w:r>
        <w:t>the</w:t>
      </w:r>
      <w:r>
        <w:rPr>
          <w:spacing w:val="-4"/>
        </w:rPr>
        <w:t xml:space="preserve"> </w:t>
      </w:r>
      <w:r>
        <w:t>other</w:t>
      </w:r>
      <w:r>
        <w:rPr>
          <w:spacing w:val="-5"/>
        </w:rPr>
        <w:t xml:space="preserve"> </w:t>
      </w:r>
      <w:r>
        <w:t>components of utilization change, columns h through k, by type of script for each line.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m</w:t>
      </w:r>
      <w:r>
        <w:rPr>
          <w:rFonts w:ascii="Arial" w:hAnsi="Arial"/>
          <w:b/>
          <w:spacing w:val="-6"/>
          <w:sz w:val="21"/>
        </w:rPr>
        <w:t xml:space="preserve"> </w:t>
      </w:r>
      <w:r>
        <w:rPr>
          <w:rFonts w:ascii="Arial" w:hAnsi="Arial"/>
          <w:b/>
          <w:sz w:val="21"/>
        </w:rPr>
        <w:t>–</w:t>
      </w:r>
      <w:r>
        <w:rPr>
          <w:rFonts w:ascii="Arial" w:hAnsi="Arial"/>
          <w:b/>
          <w:spacing w:val="-6"/>
          <w:sz w:val="21"/>
        </w:rPr>
        <w:t xml:space="preserve"> </w:t>
      </w:r>
      <w:r>
        <w:rPr>
          <w:rFonts w:ascii="Arial" w:hAnsi="Arial"/>
          <w:b/>
          <w:sz w:val="21"/>
        </w:rPr>
        <w:t>Total</w:t>
      </w:r>
      <w:r>
        <w:rPr>
          <w:rFonts w:ascii="Arial" w:hAnsi="Arial"/>
          <w:b/>
          <w:spacing w:val="-5"/>
          <w:sz w:val="21"/>
        </w:rPr>
        <w:t xml:space="preserve"> </w:t>
      </w:r>
      <w:r>
        <w:rPr>
          <w:rFonts w:ascii="Arial" w:hAnsi="Arial"/>
          <w:b/>
          <w:sz w:val="21"/>
        </w:rPr>
        <w:t>Utilization</w:t>
      </w:r>
      <w:r>
        <w:rPr>
          <w:rFonts w:ascii="Arial" w:hAnsi="Arial"/>
          <w:b/>
          <w:spacing w:val="-3"/>
          <w:sz w:val="21"/>
        </w:rPr>
        <w:t xml:space="preserve"> </w:t>
      </w:r>
      <w:r>
        <w:rPr>
          <w:rFonts w:ascii="Arial" w:hAnsi="Arial"/>
          <w:b/>
          <w:spacing w:val="-2"/>
          <w:sz w:val="21"/>
        </w:rPr>
        <w:t>Change</w:t>
      </w:r>
    </w:p>
    <w:p>
      <w:pPr>
        <w:pStyle w:val="BodyText"/>
        <w:spacing w:before="118"/>
        <w:ind w:left="1160" w:right="979"/>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4"/>
        </w:rPr>
        <w:t xml:space="preserve"> </w:t>
      </w:r>
      <w:r>
        <w:t>as</w:t>
      </w:r>
      <w:r>
        <w:rPr>
          <w:spacing w:val="-3"/>
        </w:rPr>
        <w:t xml:space="preserve"> </w:t>
      </w:r>
      <w:r>
        <w:t>the</w:t>
      </w:r>
      <w:r>
        <w:rPr>
          <w:spacing w:val="-3"/>
        </w:rPr>
        <w:t xml:space="preserve"> </w:t>
      </w:r>
      <w:r>
        <w:t>product</w:t>
      </w:r>
      <w:r>
        <w:rPr>
          <w:spacing w:val="-3"/>
        </w:rPr>
        <w:t xml:space="preserve"> </w:t>
      </w:r>
      <w:r>
        <w:t>of</w:t>
      </w:r>
      <w:r>
        <w:rPr>
          <w:spacing w:val="-1"/>
        </w:rPr>
        <w:t xml:space="preserve"> </w:t>
      </w:r>
      <w:r>
        <w:t>columns</w:t>
      </w:r>
      <w:r>
        <w:rPr>
          <w:spacing w:val="-3"/>
        </w:rPr>
        <w:t xml:space="preserve"> </w:t>
      </w:r>
      <w:r>
        <w:t>h through l for each line.</w:t>
      </w:r>
    </w:p>
    <w:p>
      <w:pPr>
        <w:spacing w:before="241"/>
        <w:ind w:left="440" w:right="0" w:firstLine="0"/>
        <w:jc w:val="left"/>
        <w:rPr>
          <w:rFonts w:ascii="Arial" w:hAnsi="Arial"/>
          <w:b/>
          <w:sz w:val="21"/>
        </w:rPr>
      </w:pPr>
      <w:bookmarkStart w:id="122" w:name="Lines 1 through 9, column n – Projected "/>
      <w:bookmarkEnd w:id="122"/>
      <w:r>
        <w:rPr>
          <w:rFonts w:ascii="Arial" w:hAnsi="Arial"/>
          <w:b/>
          <w:sz w:val="21"/>
        </w:rPr>
        <w:t>Lines</w:t>
      </w:r>
      <w:r>
        <w:rPr>
          <w:rFonts w:ascii="Arial" w:hAnsi="Arial"/>
          <w:b/>
          <w:spacing w:val="-4"/>
          <w:sz w:val="21"/>
        </w:rPr>
        <w:t xml:space="preserve"> </w:t>
      </w:r>
      <w:r>
        <w:rPr>
          <w:rFonts w:ascii="Arial" w:hAnsi="Arial"/>
          <w:b/>
          <w:sz w:val="21"/>
        </w:rPr>
        <w:t>1</w:t>
      </w:r>
      <w:r>
        <w:rPr>
          <w:rFonts w:ascii="Arial" w:hAnsi="Arial"/>
          <w:b/>
          <w:spacing w:val="-4"/>
          <w:sz w:val="21"/>
        </w:rPr>
        <w:t xml:space="preserve"> </w:t>
      </w:r>
      <w:r>
        <w:rPr>
          <w:rFonts w:ascii="Arial" w:hAnsi="Arial"/>
          <w:b/>
          <w:sz w:val="21"/>
        </w:rPr>
        <w:t>through</w:t>
      </w:r>
      <w:r>
        <w:rPr>
          <w:rFonts w:ascii="Arial" w:hAnsi="Arial"/>
          <w:b/>
          <w:spacing w:val="-4"/>
          <w:sz w:val="21"/>
        </w:rPr>
        <w:t xml:space="preserve"> </w:t>
      </w:r>
      <w:r>
        <w:rPr>
          <w:rFonts w:ascii="Arial" w:hAnsi="Arial"/>
          <w:b/>
          <w:sz w:val="21"/>
        </w:rPr>
        <w:t>9,</w:t>
      </w:r>
      <w:r>
        <w:rPr>
          <w:rFonts w:ascii="Arial" w:hAnsi="Arial"/>
          <w:b/>
          <w:spacing w:val="-4"/>
          <w:sz w:val="21"/>
        </w:rPr>
        <w:t xml:space="preserve"> </w:t>
      </w:r>
      <w:r>
        <w:rPr>
          <w:rFonts w:ascii="Arial" w:hAnsi="Arial"/>
          <w:b/>
          <w:sz w:val="21"/>
        </w:rPr>
        <w:t>column</w:t>
      </w:r>
      <w:r>
        <w:rPr>
          <w:rFonts w:ascii="Arial" w:hAnsi="Arial"/>
          <w:b/>
          <w:spacing w:val="-4"/>
          <w:sz w:val="21"/>
        </w:rPr>
        <w:t xml:space="preserve"> </w:t>
      </w:r>
      <w:r>
        <w:rPr>
          <w:rFonts w:ascii="Arial" w:hAnsi="Arial"/>
          <w:b/>
          <w:sz w:val="21"/>
        </w:rPr>
        <w:t>n</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Projected</w:t>
      </w:r>
      <w:r>
        <w:rPr>
          <w:rFonts w:ascii="Arial" w:hAnsi="Arial"/>
          <w:b/>
          <w:spacing w:val="-2"/>
          <w:sz w:val="21"/>
        </w:rPr>
        <w:t xml:space="preserve"> Scripts/1000</w:t>
      </w:r>
    </w:p>
    <w:p>
      <w:pPr>
        <w:pStyle w:val="BodyText"/>
        <w:ind w:left="440" w:right="979"/>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2"/>
        </w:rPr>
        <w:t xml:space="preserve"> </w:t>
      </w:r>
      <w:r>
        <w:t>in</w:t>
      </w:r>
      <w:r>
        <w:rPr>
          <w:spacing w:val="-3"/>
        </w:rPr>
        <w:t xml:space="preserve"> </w:t>
      </w:r>
      <w:r>
        <w:t>the</w:t>
      </w:r>
      <w:r>
        <w:rPr>
          <w:spacing w:val="-4"/>
        </w:rPr>
        <w:t xml:space="preserve"> </w:t>
      </w:r>
      <w:r>
        <w:t>BPT</w:t>
      </w:r>
      <w:r>
        <w:rPr>
          <w:spacing w:val="-5"/>
        </w:rPr>
        <w:t xml:space="preserve"> </w:t>
      </w:r>
      <w:r>
        <w:t>as</w:t>
      </w:r>
      <w:r>
        <w:rPr>
          <w:spacing w:val="-3"/>
        </w:rPr>
        <w:t xml:space="preserve"> </w:t>
      </w:r>
      <w:r>
        <w:t>the</w:t>
      </w:r>
      <w:r>
        <w:rPr>
          <w:spacing w:val="-3"/>
        </w:rPr>
        <w:t xml:space="preserve"> </w:t>
      </w:r>
      <w:r>
        <w:t>product</w:t>
      </w:r>
      <w:r>
        <w:rPr>
          <w:spacing w:val="-3"/>
        </w:rPr>
        <w:t xml:space="preserve"> </w:t>
      </w:r>
      <w:r>
        <w:t>of</w:t>
      </w:r>
      <w:r>
        <w:rPr>
          <w:spacing w:val="-1"/>
        </w:rPr>
        <w:t xml:space="preserve"> </w:t>
      </w:r>
      <w:r>
        <w:t>columns</w:t>
      </w:r>
      <w:r>
        <w:rPr>
          <w:spacing w:val="-3"/>
        </w:rPr>
        <w:t xml:space="preserve"> </w:t>
      </w:r>
      <w:r>
        <w:t>e</w:t>
      </w:r>
      <w:r>
        <w:rPr>
          <w:spacing w:val="-4"/>
        </w:rPr>
        <w:t xml:space="preserve"> </w:t>
      </w:r>
      <w:r>
        <w:t>and</w:t>
      </w:r>
      <w:r>
        <w:rPr>
          <w:spacing w:val="-3"/>
        </w:rPr>
        <w:t xml:space="preserve"> </w:t>
      </w:r>
      <w:r>
        <w:t>m</w:t>
      </w:r>
      <w:r>
        <w:rPr>
          <w:spacing w:val="-2"/>
        </w:rPr>
        <w:t xml:space="preserve"> </w:t>
      </w:r>
      <w:r>
        <w:t>for each line.</w:t>
      </w:r>
    </w:p>
    <w:p>
      <w:pPr>
        <w:spacing w:before="241"/>
        <w:ind w:left="440" w:right="0" w:firstLine="0"/>
        <w:jc w:val="left"/>
        <w:rPr>
          <w:rFonts w:ascii="Arial" w:hAnsi="Arial"/>
          <w:b/>
          <w:sz w:val="21"/>
        </w:rPr>
      </w:pPr>
      <w:bookmarkStart w:id="123" w:name="Lines 1 through 9, column o – Covariance"/>
      <w:bookmarkEnd w:id="123"/>
      <w:r>
        <w:rPr>
          <w:rFonts w:ascii="Arial" w:hAnsi="Arial"/>
          <w:b/>
          <w:sz w:val="21"/>
        </w:rPr>
        <w:t>Lines</w:t>
      </w:r>
      <w:r>
        <w:rPr>
          <w:rFonts w:ascii="Arial" w:hAnsi="Arial"/>
          <w:b/>
          <w:spacing w:val="-4"/>
          <w:sz w:val="21"/>
        </w:rPr>
        <w:t xml:space="preserve"> </w:t>
      </w:r>
      <w:r>
        <w:rPr>
          <w:rFonts w:ascii="Arial" w:hAnsi="Arial"/>
          <w:b/>
          <w:sz w:val="21"/>
        </w:rPr>
        <w:t>1</w:t>
      </w:r>
      <w:r>
        <w:rPr>
          <w:rFonts w:ascii="Arial" w:hAnsi="Arial"/>
          <w:b/>
          <w:spacing w:val="-3"/>
          <w:sz w:val="21"/>
        </w:rPr>
        <w:t xml:space="preserve"> </w:t>
      </w:r>
      <w:r>
        <w:rPr>
          <w:rFonts w:ascii="Arial" w:hAnsi="Arial"/>
          <w:b/>
          <w:sz w:val="21"/>
        </w:rPr>
        <w:t>through</w:t>
      </w:r>
      <w:r>
        <w:rPr>
          <w:rFonts w:ascii="Arial" w:hAnsi="Arial"/>
          <w:b/>
          <w:spacing w:val="-3"/>
          <w:sz w:val="21"/>
        </w:rPr>
        <w:t xml:space="preserve"> </w:t>
      </w:r>
      <w:r>
        <w:rPr>
          <w:rFonts w:ascii="Arial" w:hAnsi="Arial"/>
          <w:b/>
          <w:sz w:val="21"/>
        </w:rPr>
        <w:t>9,</w:t>
      </w:r>
      <w:r>
        <w:rPr>
          <w:rFonts w:ascii="Arial" w:hAnsi="Arial"/>
          <w:b/>
          <w:spacing w:val="-5"/>
          <w:sz w:val="21"/>
        </w:rPr>
        <w:t xml:space="preserve"> </w:t>
      </w:r>
      <w:r>
        <w:rPr>
          <w:rFonts w:ascii="Arial" w:hAnsi="Arial"/>
          <w:b/>
          <w:sz w:val="21"/>
        </w:rPr>
        <w:t>column</w:t>
      </w:r>
      <w:r>
        <w:rPr>
          <w:rFonts w:ascii="Arial" w:hAnsi="Arial"/>
          <w:b/>
          <w:spacing w:val="-3"/>
          <w:sz w:val="21"/>
        </w:rPr>
        <w:t xml:space="preserve"> </w:t>
      </w:r>
      <w:r>
        <w:rPr>
          <w:rFonts w:ascii="Arial" w:hAnsi="Arial"/>
          <w:b/>
          <w:sz w:val="21"/>
        </w:rPr>
        <w:t>o</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pacing w:val="-2"/>
          <w:sz w:val="21"/>
        </w:rPr>
        <w:t>Covariance</w:t>
      </w:r>
    </w:p>
    <w:p>
      <w:pPr>
        <w:pStyle w:val="BodyText"/>
        <w:spacing w:before="118"/>
        <w:ind w:left="440" w:right="813"/>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projected</w:t>
      </w:r>
      <w:r>
        <w:rPr>
          <w:spacing w:val="-2"/>
        </w:rPr>
        <w:t xml:space="preserve"> </w:t>
      </w:r>
      <w:r>
        <w:t>allowed PMPM</w:t>
      </w:r>
      <w:r>
        <w:rPr>
          <w:spacing w:val="-2"/>
        </w:rPr>
        <w:t xml:space="preserve"> </w:t>
      </w:r>
      <w:r>
        <w:t>divided</w:t>
      </w:r>
      <w:r>
        <w:rPr>
          <w:spacing w:val="-3"/>
        </w:rPr>
        <w:t xml:space="preserve"> </w:t>
      </w:r>
      <w:r>
        <w:t>by the product of base period allowed PMPM, total utilization change and total unit cost change for each line.</w:t>
      </w:r>
    </w:p>
    <w:p>
      <w:pPr>
        <w:spacing w:before="241"/>
        <w:ind w:left="440" w:right="0" w:firstLine="0"/>
        <w:jc w:val="left"/>
        <w:rPr>
          <w:rFonts w:ascii="Arial"/>
          <w:b/>
          <w:sz w:val="21"/>
        </w:rPr>
      </w:pPr>
      <w:bookmarkStart w:id="124" w:name="Lines 10 through 15, columns e through o"/>
      <w:bookmarkEnd w:id="124"/>
      <w:r>
        <w:rPr>
          <w:rFonts w:ascii="Arial"/>
          <w:b/>
          <w:sz w:val="21"/>
        </w:rPr>
        <w:t>Lines</w:t>
      </w:r>
      <w:r>
        <w:rPr>
          <w:rFonts w:ascii="Arial"/>
          <w:b/>
          <w:spacing w:val="-7"/>
          <w:sz w:val="21"/>
        </w:rPr>
        <w:t xml:space="preserve"> </w:t>
      </w:r>
      <w:r>
        <w:rPr>
          <w:rFonts w:ascii="Arial"/>
          <w:b/>
          <w:sz w:val="21"/>
        </w:rPr>
        <w:t>10</w:t>
      </w:r>
      <w:r>
        <w:rPr>
          <w:rFonts w:ascii="Arial"/>
          <w:b/>
          <w:spacing w:val="-4"/>
          <w:sz w:val="21"/>
        </w:rPr>
        <w:t xml:space="preserve"> </w:t>
      </w:r>
      <w:r>
        <w:rPr>
          <w:rFonts w:ascii="Arial"/>
          <w:b/>
          <w:sz w:val="21"/>
        </w:rPr>
        <w:t>through</w:t>
      </w:r>
      <w:r>
        <w:rPr>
          <w:rFonts w:ascii="Arial"/>
          <w:b/>
          <w:spacing w:val="-4"/>
          <w:sz w:val="21"/>
        </w:rPr>
        <w:t xml:space="preserve"> </w:t>
      </w:r>
      <w:r>
        <w:rPr>
          <w:rFonts w:ascii="Arial"/>
          <w:b/>
          <w:sz w:val="21"/>
        </w:rPr>
        <w:t>15,</w:t>
      </w:r>
      <w:r>
        <w:rPr>
          <w:rFonts w:ascii="Arial"/>
          <w:b/>
          <w:spacing w:val="-5"/>
          <w:sz w:val="21"/>
        </w:rPr>
        <w:t xml:space="preserve"> </w:t>
      </w:r>
      <w:r>
        <w:rPr>
          <w:rFonts w:ascii="Arial"/>
          <w:b/>
          <w:sz w:val="21"/>
        </w:rPr>
        <w:t>columns</w:t>
      </w:r>
      <w:r>
        <w:rPr>
          <w:rFonts w:ascii="Arial"/>
          <w:b/>
          <w:spacing w:val="-5"/>
          <w:sz w:val="21"/>
        </w:rPr>
        <w:t xml:space="preserve"> </w:t>
      </w:r>
      <w:r>
        <w:rPr>
          <w:rFonts w:ascii="Arial"/>
          <w:b/>
          <w:sz w:val="21"/>
        </w:rPr>
        <w:t>e</w:t>
      </w:r>
      <w:r>
        <w:rPr>
          <w:rFonts w:ascii="Arial"/>
          <w:b/>
          <w:spacing w:val="-4"/>
          <w:sz w:val="21"/>
        </w:rPr>
        <w:t xml:space="preserve"> </w:t>
      </w:r>
      <w:r>
        <w:rPr>
          <w:rFonts w:ascii="Arial"/>
          <w:b/>
          <w:sz w:val="21"/>
        </w:rPr>
        <w:t>through</w:t>
      </w:r>
      <w:r>
        <w:rPr>
          <w:rFonts w:ascii="Arial"/>
          <w:b/>
          <w:spacing w:val="-3"/>
          <w:sz w:val="21"/>
        </w:rPr>
        <w:t xml:space="preserve"> </w:t>
      </w:r>
      <w:r>
        <w:rPr>
          <w:rFonts w:ascii="Arial"/>
          <w:b/>
          <w:spacing w:val="-10"/>
          <w:sz w:val="21"/>
        </w:rPr>
        <w:t>o</w:t>
      </w:r>
    </w:p>
    <w:p>
      <w:pPr>
        <w:pStyle w:val="BodyText"/>
        <w:ind w:left="440" w:right="478"/>
      </w:pPr>
      <w:r>
        <w:t>The</w:t>
      </w:r>
      <w:r>
        <w:rPr>
          <w:spacing w:val="-5"/>
        </w:rPr>
        <w:t xml:space="preserve"> </w:t>
      </w:r>
      <w:r>
        <w:t>values</w:t>
      </w:r>
      <w:r>
        <w:rPr>
          <w:spacing w:val="-3"/>
        </w:rPr>
        <w:t xml:space="preserve"> </w:t>
      </w:r>
      <w:r>
        <w:t>are</w:t>
      </w:r>
      <w:r>
        <w:rPr>
          <w:spacing w:val="-5"/>
        </w:rPr>
        <w:t xml:space="preserve"> </w:t>
      </w:r>
      <w:r>
        <w:t>calculated automatically</w:t>
      </w:r>
      <w:r>
        <w:rPr>
          <w:spacing w:val="-3"/>
        </w:rPr>
        <w:t xml:space="preserve"> </w:t>
      </w:r>
      <w:r>
        <w:t>in</w:t>
      </w:r>
      <w:r>
        <w:rPr>
          <w:spacing w:val="-3"/>
        </w:rPr>
        <w:t xml:space="preserve"> </w:t>
      </w:r>
      <w:r>
        <w:t>the</w:t>
      </w:r>
      <w:r>
        <w:rPr>
          <w:spacing w:val="-4"/>
        </w:rPr>
        <w:t xml:space="preserve"> </w:t>
      </w:r>
      <w:r>
        <w:t>BPT</w:t>
      </w:r>
      <w:r>
        <w:rPr>
          <w:spacing w:val="-3"/>
        </w:rPr>
        <w:t xml:space="preserve"> </w:t>
      </w:r>
      <w:r>
        <w:t>using</w:t>
      </w:r>
      <w:r>
        <w:rPr>
          <w:spacing w:val="-1"/>
        </w:rPr>
        <w:t xml:space="preserve"> </w:t>
      </w:r>
      <w:r>
        <w:t>information</w:t>
      </w:r>
      <w:r>
        <w:rPr>
          <w:spacing w:val="-3"/>
        </w:rPr>
        <w:t xml:space="preserve"> </w:t>
      </w:r>
      <w:r>
        <w:t>entered</w:t>
      </w:r>
      <w:r>
        <w:rPr>
          <w:spacing w:val="-3"/>
        </w:rPr>
        <w:t xml:space="preserve"> </w:t>
      </w:r>
      <w:r>
        <w:t>on</w:t>
      </w:r>
      <w:r>
        <w:rPr>
          <w:spacing w:val="-3"/>
        </w:rPr>
        <w:t xml:space="preserve"> </w:t>
      </w:r>
      <w:r>
        <w:t>lines</w:t>
      </w:r>
      <w:r>
        <w:rPr>
          <w:spacing w:val="-3"/>
        </w:rPr>
        <w:t xml:space="preserve"> </w:t>
      </w:r>
      <w:r>
        <w:t>1 through 9 for each column.</w:t>
      </w:r>
    </w:p>
    <w:p>
      <w:pPr>
        <w:spacing w:after="0"/>
        <w:sectPr>
          <w:pgSz w:w="12240" w:h="15840"/>
          <w:pgMar w:top="1340" w:right="1000" w:bottom="1080" w:left="1360" w:header="727" w:footer="891"/>
          <w:cols w:space="720"/>
        </w:sectPr>
      </w:pPr>
    </w:p>
    <w:p>
      <w:pPr>
        <w:pStyle w:val="Heading2"/>
        <w:spacing w:before="88"/>
      </w:pPr>
      <w:bookmarkStart w:id="125" w:name="Section III – Cost for Covered Part D Dr"/>
      <w:bookmarkEnd w:id="125"/>
      <w:bookmarkStart w:id="126" w:name="_bookmark36"/>
      <w:bookmarkEnd w:id="126"/>
      <w:r>
        <w:rPr>
          <w:smallCaps/>
        </w:rPr>
        <w:t>Section</w:t>
      </w:r>
      <w:r>
        <w:rPr>
          <w:smallCaps/>
          <w:spacing w:val="-15"/>
        </w:rPr>
        <w:t xml:space="preserve"> </w:t>
      </w:r>
      <w:r>
        <w:rPr>
          <w:smallCaps/>
        </w:rPr>
        <w:t>III</w:t>
      </w:r>
      <w:r>
        <w:rPr>
          <w:smallCaps/>
          <w:spacing w:val="-15"/>
        </w:rPr>
        <w:t xml:space="preserve"> </w:t>
      </w:r>
      <w:r>
        <w:rPr>
          <w:smallCaps/>
        </w:rPr>
        <w:t>–</w:t>
      </w:r>
      <w:r>
        <w:rPr>
          <w:smallCaps/>
          <w:spacing w:val="-15"/>
        </w:rPr>
        <w:t xml:space="preserve"> </w:t>
      </w:r>
      <w:r>
        <w:rPr>
          <w:smallCaps/>
        </w:rPr>
        <w:t>Cost</w:t>
      </w:r>
      <w:r>
        <w:rPr>
          <w:smallCaps/>
          <w:spacing w:val="-8"/>
        </w:rPr>
        <w:t xml:space="preserve"> </w:t>
      </w:r>
      <w:r>
        <w:rPr>
          <w:smallCaps/>
        </w:rPr>
        <w:t>for</w:t>
      </w:r>
      <w:r>
        <w:rPr>
          <w:smallCaps/>
          <w:spacing w:val="-4"/>
        </w:rPr>
        <w:t xml:space="preserve"> </w:t>
      </w:r>
      <w:r>
        <w:rPr>
          <w:smallCaps/>
        </w:rPr>
        <w:t>Covered</w:t>
      </w:r>
      <w:r>
        <w:rPr>
          <w:smallCaps/>
          <w:spacing w:val="-6"/>
        </w:rPr>
        <w:t xml:space="preserve"> </w:t>
      </w:r>
      <w:r>
        <w:rPr>
          <w:smallCaps/>
        </w:rPr>
        <w:t>Part</w:t>
      </w:r>
      <w:r>
        <w:rPr>
          <w:smallCaps/>
          <w:spacing w:val="9"/>
        </w:rPr>
        <w:t xml:space="preserve"> </w:t>
      </w:r>
      <w:r>
        <w:rPr>
          <w:smallCaps/>
        </w:rPr>
        <w:t>D</w:t>
      </w:r>
      <w:r>
        <w:rPr>
          <w:smallCaps/>
          <w:spacing w:val="-17"/>
        </w:rPr>
        <w:t xml:space="preserve"> </w:t>
      </w:r>
      <w:r>
        <w:rPr>
          <w:smallCaps/>
          <w:spacing w:val="-2"/>
        </w:rPr>
        <w:t>Drugs</w:t>
      </w:r>
    </w:p>
    <w:p>
      <w:pPr>
        <w:spacing w:before="240"/>
        <w:ind w:left="440" w:right="0" w:firstLine="0"/>
        <w:jc w:val="left"/>
        <w:rPr>
          <w:rFonts w:ascii="Arial" w:hAnsi="Arial"/>
          <w:b/>
          <w:sz w:val="21"/>
        </w:rPr>
      </w:pPr>
      <w:bookmarkStart w:id="127" w:name="Lines 1 through 9 – Components of Unit C"/>
      <w:bookmarkEnd w:id="127"/>
      <w:r>
        <w:rPr>
          <w:rFonts w:ascii="Arial" w:hAnsi="Arial"/>
          <w:b/>
          <w:sz w:val="21"/>
        </w:rPr>
        <w:t>Lines</w:t>
      </w:r>
      <w:r>
        <w:rPr>
          <w:rFonts w:ascii="Arial" w:hAnsi="Arial"/>
          <w:b/>
          <w:spacing w:val="-5"/>
          <w:sz w:val="21"/>
        </w:rPr>
        <w:t xml:space="preserve"> </w:t>
      </w:r>
      <w:r>
        <w:rPr>
          <w:rFonts w:ascii="Arial" w:hAnsi="Arial"/>
          <w:b/>
          <w:sz w:val="21"/>
        </w:rPr>
        <w:t>1</w:t>
      </w:r>
      <w:r>
        <w:rPr>
          <w:rFonts w:ascii="Arial" w:hAnsi="Arial"/>
          <w:b/>
          <w:spacing w:val="-4"/>
          <w:sz w:val="21"/>
        </w:rPr>
        <w:t xml:space="preserve"> </w:t>
      </w:r>
      <w:r>
        <w:rPr>
          <w:rFonts w:ascii="Arial" w:hAnsi="Arial"/>
          <w:b/>
          <w:sz w:val="21"/>
        </w:rPr>
        <w:t>through</w:t>
      </w:r>
      <w:r>
        <w:rPr>
          <w:rFonts w:ascii="Arial" w:hAnsi="Arial"/>
          <w:b/>
          <w:spacing w:val="-4"/>
          <w:sz w:val="21"/>
        </w:rPr>
        <w:t xml:space="preserve"> </w:t>
      </w:r>
      <w:r>
        <w:rPr>
          <w:rFonts w:ascii="Arial" w:hAnsi="Arial"/>
          <w:b/>
          <w:sz w:val="21"/>
        </w:rPr>
        <w:t>9</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Components</w:t>
      </w:r>
      <w:r>
        <w:rPr>
          <w:rFonts w:ascii="Arial" w:hAnsi="Arial"/>
          <w:b/>
          <w:spacing w:val="-4"/>
          <w:sz w:val="21"/>
        </w:rPr>
        <w:t xml:space="preserve"> </w:t>
      </w:r>
      <w:r>
        <w:rPr>
          <w:rFonts w:ascii="Arial" w:hAnsi="Arial"/>
          <w:b/>
          <w:sz w:val="21"/>
        </w:rPr>
        <w:t>of</w:t>
      </w:r>
      <w:r>
        <w:rPr>
          <w:rFonts w:ascii="Arial" w:hAnsi="Arial"/>
          <w:b/>
          <w:spacing w:val="-4"/>
          <w:sz w:val="21"/>
        </w:rPr>
        <w:t xml:space="preserve"> </w:t>
      </w:r>
      <w:r>
        <w:rPr>
          <w:rFonts w:ascii="Arial" w:hAnsi="Arial"/>
          <w:b/>
          <w:sz w:val="21"/>
        </w:rPr>
        <w:t>Unit</w:t>
      </w:r>
      <w:r>
        <w:rPr>
          <w:rFonts w:ascii="Arial" w:hAnsi="Arial"/>
          <w:b/>
          <w:spacing w:val="-5"/>
          <w:sz w:val="21"/>
        </w:rPr>
        <w:t xml:space="preserve"> </w:t>
      </w:r>
      <w:r>
        <w:rPr>
          <w:rFonts w:ascii="Arial" w:hAnsi="Arial"/>
          <w:b/>
          <w:sz w:val="21"/>
        </w:rPr>
        <w:t>Cost</w:t>
      </w:r>
      <w:r>
        <w:rPr>
          <w:rFonts w:ascii="Arial" w:hAnsi="Arial"/>
          <w:b/>
          <w:spacing w:val="-5"/>
          <w:sz w:val="21"/>
        </w:rPr>
        <w:t xml:space="preserve"> </w:t>
      </w:r>
      <w:r>
        <w:rPr>
          <w:rFonts w:ascii="Arial" w:hAnsi="Arial"/>
          <w:b/>
          <w:spacing w:val="-2"/>
          <w:sz w:val="21"/>
        </w:rPr>
        <w:t>Change</w:t>
      </w:r>
    </w:p>
    <w:p>
      <w:pPr>
        <w:pStyle w:val="ListParagraph"/>
        <w:numPr>
          <w:ilvl w:val="0"/>
          <w:numId w:val="10"/>
        </w:numPr>
        <w:tabs>
          <w:tab w:val="left" w:pos="1159"/>
        </w:tabs>
        <w:spacing w:before="119"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e</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Inflation</w:t>
      </w:r>
      <w:r>
        <w:rPr>
          <w:rFonts w:ascii="Arial" w:hAnsi="Arial"/>
          <w:b/>
          <w:spacing w:val="-5"/>
          <w:sz w:val="21"/>
        </w:rPr>
        <w:t xml:space="preserve"> </w:t>
      </w:r>
      <w:r>
        <w:rPr>
          <w:rFonts w:ascii="Arial" w:hAnsi="Arial"/>
          <w:b/>
          <w:spacing w:val="-4"/>
          <w:sz w:val="21"/>
        </w:rPr>
        <w:t>Trend</w:t>
      </w:r>
    </w:p>
    <w:p>
      <w:pPr>
        <w:pStyle w:val="BodyText"/>
        <w:ind w:left="1160" w:right="478"/>
      </w:pPr>
      <w:r>
        <w:t>Enter the factor that represents the impact on cost between the base period and contract</w:t>
      </w:r>
      <w:r>
        <w:rPr>
          <w:spacing w:val="-3"/>
        </w:rPr>
        <w:t xml:space="preserve"> </w:t>
      </w:r>
      <w:r>
        <w:t>period</w:t>
      </w:r>
      <w:r>
        <w:rPr>
          <w:spacing w:val="-3"/>
        </w:rPr>
        <w:t xml:space="preserve"> </w:t>
      </w:r>
      <w:r>
        <w:t>because</w:t>
      </w:r>
      <w:r>
        <w:rPr>
          <w:spacing w:val="-4"/>
        </w:rPr>
        <w:t xml:space="preserve"> </w:t>
      </w:r>
      <w:r>
        <w:t>of</w:t>
      </w:r>
      <w:r>
        <w:rPr>
          <w:spacing w:val="-3"/>
        </w:rPr>
        <w:t xml:space="preserve"> </w:t>
      </w:r>
      <w:r>
        <w:t>changes</w:t>
      </w:r>
      <w:r>
        <w:rPr>
          <w:spacing w:val="-3"/>
        </w:rPr>
        <w:t xml:space="preserve"> </w:t>
      </w:r>
      <w:r>
        <w:t>in</w:t>
      </w:r>
      <w:r>
        <w:rPr>
          <w:spacing w:val="-3"/>
        </w:rPr>
        <w:t xml:space="preserve"> </w:t>
      </w:r>
      <w:r>
        <w:t>drug</w:t>
      </w:r>
      <w:r>
        <w:rPr>
          <w:spacing w:val="-3"/>
        </w:rPr>
        <w:t xml:space="preserve"> </w:t>
      </w:r>
      <w:r>
        <w:t>prices by</w:t>
      </w:r>
      <w:r>
        <w:rPr>
          <w:spacing w:val="-3"/>
        </w:rPr>
        <w:t xml:space="preserve"> </w:t>
      </w:r>
      <w:r>
        <w:t>type</w:t>
      </w:r>
      <w:r>
        <w:rPr>
          <w:spacing w:val="-3"/>
        </w:rPr>
        <w:t xml:space="preserve"> </w:t>
      </w:r>
      <w:r>
        <w:t>of</w:t>
      </w:r>
      <w:r>
        <w:rPr>
          <w:spacing w:val="-5"/>
        </w:rPr>
        <w:t xml:space="preserve"> </w:t>
      </w:r>
      <w:r>
        <w:t>script</w:t>
      </w:r>
      <w:r>
        <w:rPr>
          <w:spacing w:val="-3"/>
        </w:rPr>
        <w:t xml:space="preserve"> </w:t>
      </w:r>
      <w:r>
        <w:t>for</w:t>
      </w:r>
      <w:r>
        <w:rPr>
          <w:spacing w:val="-3"/>
        </w:rPr>
        <w:t xml:space="preserve"> </w:t>
      </w:r>
      <w:r>
        <w:t>each</w:t>
      </w:r>
      <w:r>
        <w:rPr>
          <w:spacing w:val="-1"/>
        </w:rPr>
        <w:t xml:space="preserve"> </w:t>
      </w:r>
      <w:r>
        <w:t>line.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f</w:t>
      </w:r>
      <w:r>
        <w:rPr>
          <w:rFonts w:ascii="Arial" w:hAnsi="Arial"/>
          <w:b/>
          <w:spacing w:val="-5"/>
          <w:sz w:val="21"/>
        </w:rPr>
        <w:t xml:space="preserve"> </w:t>
      </w:r>
      <w:r>
        <w:rPr>
          <w:rFonts w:ascii="Arial" w:hAnsi="Arial"/>
          <w:b/>
          <w:sz w:val="21"/>
        </w:rPr>
        <w:t>–</w:t>
      </w:r>
      <w:r>
        <w:rPr>
          <w:rFonts w:ascii="Arial" w:hAnsi="Arial"/>
          <w:b/>
          <w:spacing w:val="-3"/>
          <w:sz w:val="21"/>
        </w:rPr>
        <w:t xml:space="preserve"> </w:t>
      </w:r>
      <w:r>
        <w:rPr>
          <w:rFonts w:ascii="Arial" w:hAnsi="Arial"/>
          <w:b/>
          <w:sz w:val="21"/>
        </w:rPr>
        <w:t>Discount</w:t>
      </w:r>
      <w:r>
        <w:rPr>
          <w:rFonts w:ascii="Arial" w:hAnsi="Arial"/>
          <w:b/>
          <w:spacing w:val="-5"/>
          <w:sz w:val="21"/>
        </w:rPr>
        <w:t xml:space="preserve"> </w:t>
      </w:r>
      <w:r>
        <w:rPr>
          <w:rFonts w:ascii="Arial" w:hAnsi="Arial"/>
          <w:b/>
          <w:spacing w:val="-2"/>
          <w:sz w:val="21"/>
        </w:rPr>
        <w:t>Change</w:t>
      </w:r>
    </w:p>
    <w:p>
      <w:pPr>
        <w:pStyle w:val="BodyText"/>
        <w:spacing w:before="118"/>
        <w:ind w:left="1160" w:right="979"/>
      </w:pPr>
      <w:r>
        <w:t>Enter the factor that represents the impact on cost between the base period and contract period because of changes in point-of-sale network pricing, including discounts</w:t>
      </w:r>
      <w:r>
        <w:rPr>
          <w:spacing w:val="-3"/>
        </w:rPr>
        <w:t xml:space="preserve"> </w:t>
      </w:r>
      <w:r>
        <w:t>off</w:t>
      </w:r>
      <w:r>
        <w:rPr>
          <w:spacing w:val="-4"/>
        </w:rPr>
        <w:t xml:space="preserve"> </w:t>
      </w:r>
      <w:r>
        <w:t>of</w:t>
      </w:r>
      <w:r>
        <w:rPr>
          <w:spacing w:val="-3"/>
        </w:rPr>
        <w:t xml:space="preserve"> </w:t>
      </w:r>
      <w:r>
        <w:t>average</w:t>
      </w:r>
      <w:r>
        <w:rPr>
          <w:spacing w:val="-3"/>
        </w:rPr>
        <w:t xml:space="preserve"> </w:t>
      </w:r>
      <w:r>
        <w:t>wholesale</w:t>
      </w:r>
      <w:r>
        <w:rPr>
          <w:spacing w:val="-3"/>
        </w:rPr>
        <w:t xml:space="preserve"> </w:t>
      </w:r>
      <w:r>
        <w:t>price</w:t>
      </w:r>
      <w:r>
        <w:rPr>
          <w:spacing w:val="-4"/>
        </w:rPr>
        <w:t xml:space="preserve"> </w:t>
      </w:r>
      <w:r>
        <w:t>(AWP)</w:t>
      </w:r>
      <w:r>
        <w:rPr>
          <w:spacing w:val="-3"/>
        </w:rPr>
        <w:t xml:space="preserve"> </w:t>
      </w:r>
      <w:r>
        <w:t>and</w:t>
      </w:r>
      <w:r>
        <w:rPr>
          <w:spacing w:val="-1"/>
        </w:rPr>
        <w:t xml:space="preserve"> </w:t>
      </w:r>
      <w:r>
        <w:t>dispensing</w:t>
      </w:r>
      <w:r>
        <w:rPr>
          <w:spacing w:val="-3"/>
        </w:rPr>
        <w:t xml:space="preserve"> </w:t>
      </w:r>
      <w:r>
        <w:t>fees,</w:t>
      </w:r>
      <w:r>
        <w:rPr>
          <w:spacing w:val="-3"/>
        </w:rPr>
        <w:t xml:space="preserve"> </w:t>
      </w:r>
      <w:r>
        <w:t>by</w:t>
      </w:r>
      <w:r>
        <w:rPr>
          <w:spacing w:val="-3"/>
        </w:rPr>
        <w:t xml:space="preserve"> </w:t>
      </w:r>
      <w:r>
        <w:t>type</w:t>
      </w:r>
      <w:r>
        <w:rPr>
          <w:spacing w:val="-4"/>
        </w:rPr>
        <w:t xml:space="preserve"> </w:t>
      </w:r>
      <w:r>
        <w:t>of script for each line.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g</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Formulary</w:t>
      </w:r>
      <w:r>
        <w:rPr>
          <w:rFonts w:ascii="Arial" w:hAnsi="Arial"/>
          <w:b/>
          <w:spacing w:val="-5"/>
          <w:sz w:val="21"/>
        </w:rPr>
        <w:t xml:space="preserve"> </w:t>
      </w:r>
      <w:r>
        <w:rPr>
          <w:rFonts w:ascii="Arial" w:hAnsi="Arial"/>
          <w:b/>
          <w:spacing w:val="-2"/>
          <w:sz w:val="21"/>
        </w:rPr>
        <w:t>Change</w:t>
      </w:r>
    </w:p>
    <w:p>
      <w:pPr>
        <w:pStyle w:val="BodyText"/>
        <w:ind w:left="1160" w:right="515"/>
      </w:pPr>
      <w:r>
        <w:t>Enter the factor that represents the impact on cost because of changes in the formulary,</w:t>
      </w:r>
      <w:r>
        <w:rPr>
          <w:spacing w:val="-4"/>
        </w:rPr>
        <w:t xml:space="preserve"> </w:t>
      </w:r>
      <w:r>
        <w:t>including</w:t>
      </w:r>
      <w:r>
        <w:rPr>
          <w:spacing w:val="-4"/>
        </w:rPr>
        <w:t xml:space="preserve"> </w:t>
      </w:r>
      <w:r>
        <w:t>the</w:t>
      </w:r>
      <w:r>
        <w:rPr>
          <w:spacing w:val="-3"/>
        </w:rPr>
        <w:t xml:space="preserve"> </w:t>
      </w:r>
      <w:r>
        <w:t>addition,</w:t>
      </w:r>
      <w:r>
        <w:rPr>
          <w:spacing w:val="-4"/>
        </w:rPr>
        <w:t xml:space="preserve"> </w:t>
      </w:r>
      <w:r>
        <w:t>deletion</w:t>
      </w:r>
      <w:r>
        <w:rPr>
          <w:spacing w:val="-2"/>
        </w:rPr>
        <w:t xml:space="preserve"> </w:t>
      </w:r>
      <w:r>
        <w:t>or</w:t>
      </w:r>
      <w:r>
        <w:rPr>
          <w:spacing w:val="-4"/>
        </w:rPr>
        <w:t xml:space="preserve"> </w:t>
      </w:r>
      <w:r>
        <w:t>reclassification</w:t>
      </w:r>
      <w:r>
        <w:rPr>
          <w:spacing w:val="-4"/>
        </w:rPr>
        <w:t xml:space="preserve"> </w:t>
      </w:r>
      <w:r>
        <w:t>of</w:t>
      </w:r>
      <w:r>
        <w:rPr>
          <w:spacing w:val="-5"/>
        </w:rPr>
        <w:t xml:space="preserve"> </w:t>
      </w:r>
      <w:r>
        <w:t>drugs</w:t>
      </w:r>
      <w:r>
        <w:rPr>
          <w:spacing w:val="-4"/>
        </w:rPr>
        <w:t xml:space="preserve"> </w:t>
      </w:r>
      <w:r>
        <w:t>by</w:t>
      </w:r>
      <w:r>
        <w:rPr>
          <w:spacing w:val="-4"/>
        </w:rPr>
        <w:t xml:space="preserve"> </w:t>
      </w:r>
      <w:r>
        <w:t>type</w:t>
      </w:r>
      <w:r>
        <w:rPr>
          <w:spacing w:val="-5"/>
        </w:rPr>
        <w:t xml:space="preserve"> </w:t>
      </w:r>
      <w:r>
        <w:t>of script for each line.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5"/>
          <w:sz w:val="21"/>
        </w:rPr>
        <w:t xml:space="preserve"> </w:t>
      </w:r>
      <w:r>
        <w:rPr>
          <w:rFonts w:ascii="Arial" w:hAnsi="Arial"/>
          <w:b/>
          <w:sz w:val="21"/>
        </w:rPr>
        <w:t>h</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Other</w:t>
      </w:r>
      <w:r>
        <w:rPr>
          <w:rFonts w:ascii="Arial" w:hAnsi="Arial"/>
          <w:b/>
          <w:spacing w:val="-2"/>
          <w:sz w:val="21"/>
        </w:rPr>
        <w:t xml:space="preserve"> Change</w:t>
      </w:r>
    </w:p>
    <w:p>
      <w:pPr>
        <w:pStyle w:val="BodyText"/>
        <w:ind w:left="1160" w:right="939"/>
        <w:jc w:val="both"/>
      </w:pPr>
      <w:r>
        <w:t>Enter</w:t>
      </w:r>
      <w:r>
        <w:rPr>
          <w:spacing w:val="-4"/>
        </w:rPr>
        <w:t xml:space="preserve"> </w:t>
      </w:r>
      <w:r>
        <w:t>the</w:t>
      </w:r>
      <w:r>
        <w:rPr>
          <w:spacing w:val="-2"/>
        </w:rPr>
        <w:t xml:space="preserve"> </w:t>
      </w:r>
      <w:r>
        <w:t>factor</w:t>
      </w:r>
      <w:r>
        <w:rPr>
          <w:spacing w:val="-2"/>
        </w:rPr>
        <w:t xml:space="preserve"> </w:t>
      </w:r>
      <w:r>
        <w:t>that</w:t>
      </w:r>
      <w:r>
        <w:rPr>
          <w:spacing w:val="-1"/>
        </w:rPr>
        <w:t xml:space="preserve"> </w:t>
      </w:r>
      <w:r>
        <w:t>represents</w:t>
      </w:r>
      <w:r>
        <w:rPr>
          <w:spacing w:val="-2"/>
        </w:rPr>
        <w:t xml:space="preserve"> </w:t>
      </w:r>
      <w:r>
        <w:t>the</w:t>
      </w:r>
      <w:r>
        <w:rPr>
          <w:spacing w:val="-3"/>
        </w:rPr>
        <w:t xml:space="preserve"> </w:t>
      </w:r>
      <w:r>
        <w:t>impact</w:t>
      </w:r>
      <w:r>
        <w:rPr>
          <w:spacing w:val="-2"/>
        </w:rPr>
        <w:t xml:space="preserve"> </w:t>
      </w:r>
      <w:r>
        <w:t>on</w:t>
      </w:r>
      <w:r>
        <w:rPr>
          <w:spacing w:val="-2"/>
        </w:rPr>
        <w:t xml:space="preserve"> </w:t>
      </w:r>
      <w:r>
        <w:t>cost of</w:t>
      </w:r>
      <w:r>
        <w:rPr>
          <w:spacing w:val="-2"/>
        </w:rPr>
        <w:t xml:space="preserve"> </w:t>
      </w:r>
      <w:r>
        <w:t>any</w:t>
      </w:r>
      <w:r>
        <w:rPr>
          <w:spacing w:val="-2"/>
        </w:rPr>
        <w:t xml:space="preserve"> </w:t>
      </w:r>
      <w:r>
        <w:t>differences</w:t>
      </w:r>
      <w:r>
        <w:rPr>
          <w:spacing w:val="-2"/>
        </w:rPr>
        <w:t xml:space="preserve"> </w:t>
      </w:r>
      <w:r>
        <w:t>between</w:t>
      </w:r>
      <w:r>
        <w:rPr>
          <w:spacing w:val="-2"/>
        </w:rPr>
        <w:t xml:space="preserve"> </w:t>
      </w:r>
      <w:r>
        <w:t>the base</w:t>
      </w:r>
      <w:r>
        <w:rPr>
          <w:spacing w:val="-4"/>
        </w:rPr>
        <w:t xml:space="preserve"> </w:t>
      </w:r>
      <w:r>
        <w:t>period</w:t>
      </w:r>
      <w:r>
        <w:rPr>
          <w:spacing w:val="-2"/>
        </w:rPr>
        <w:t xml:space="preserve"> </w:t>
      </w:r>
      <w:r>
        <w:t>and</w:t>
      </w:r>
      <w:r>
        <w:rPr>
          <w:spacing w:val="-3"/>
        </w:rPr>
        <w:t xml:space="preserve"> </w:t>
      </w:r>
      <w:r>
        <w:t>contract</w:t>
      </w:r>
      <w:r>
        <w:rPr>
          <w:spacing w:val="-2"/>
        </w:rPr>
        <w:t xml:space="preserve"> </w:t>
      </w:r>
      <w:r>
        <w:t>period</w:t>
      </w:r>
      <w:r>
        <w:rPr>
          <w:spacing w:val="-3"/>
        </w:rPr>
        <w:t xml:space="preserve"> </w:t>
      </w:r>
      <w:r>
        <w:t>not</w:t>
      </w:r>
      <w:r>
        <w:rPr>
          <w:spacing w:val="-3"/>
        </w:rPr>
        <w:t xml:space="preserve"> </w:t>
      </w:r>
      <w:r>
        <w:t>included</w:t>
      </w:r>
      <w:r>
        <w:rPr>
          <w:spacing w:val="-2"/>
        </w:rPr>
        <w:t xml:space="preserve"> </w:t>
      </w:r>
      <w:r>
        <w:t>in</w:t>
      </w:r>
      <w:r>
        <w:rPr>
          <w:spacing w:val="-3"/>
        </w:rPr>
        <w:t xml:space="preserve"> </w:t>
      </w:r>
      <w:r>
        <w:t>the</w:t>
      </w:r>
      <w:r>
        <w:rPr>
          <w:spacing w:val="-4"/>
        </w:rPr>
        <w:t xml:space="preserve"> </w:t>
      </w:r>
      <w:r>
        <w:t>other</w:t>
      </w:r>
      <w:r>
        <w:rPr>
          <w:spacing w:val="-5"/>
        </w:rPr>
        <w:t xml:space="preserve"> </w:t>
      </w:r>
      <w:r>
        <w:t>components</w:t>
      </w:r>
      <w:r>
        <w:rPr>
          <w:spacing w:val="-3"/>
        </w:rPr>
        <w:t xml:space="preserve"> </w:t>
      </w:r>
      <w:r>
        <w:t>of</w:t>
      </w:r>
      <w:r>
        <w:rPr>
          <w:spacing w:val="-3"/>
        </w:rPr>
        <w:t xml:space="preserve"> </w:t>
      </w:r>
      <w:r>
        <w:t>unit</w:t>
      </w:r>
      <w:r>
        <w:rPr>
          <w:spacing w:val="-3"/>
        </w:rPr>
        <w:t xml:space="preserve"> </w:t>
      </w:r>
      <w:r>
        <w:t>cost change, columns e through g, by type of script for each line.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2"/>
          <w:sz w:val="21"/>
        </w:rPr>
        <w:t xml:space="preserve"> </w:t>
      </w:r>
      <w:r>
        <w:rPr>
          <w:rFonts w:ascii="Arial" w:hAnsi="Arial"/>
          <w:b/>
          <w:sz w:val="21"/>
        </w:rPr>
        <w:t>i</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Total</w:t>
      </w:r>
      <w:r>
        <w:rPr>
          <w:rFonts w:ascii="Arial" w:hAnsi="Arial"/>
          <w:b/>
          <w:spacing w:val="-3"/>
          <w:sz w:val="21"/>
        </w:rPr>
        <w:t xml:space="preserve"> </w:t>
      </w:r>
      <w:r>
        <w:rPr>
          <w:rFonts w:ascii="Arial" w:hAnsi="Arial"/>
          <w:b/>
          <w:sz w:val="21"/>
        </w:rPr>
        <w:t>Unit</w:t>
      </w:r>
      <w:r>
        <w:rPr>
          <w:rFonts w:ascii="Arial" w:hAnsi="Arial"/>
          <w:b/>
          <w:spacing w:val="-3"/>
          <w:sz w:val="21"/>
        </w:rPr>
        <w:t xml:space="preserve"> </w:t>
      </w:r>
      <w:r>
        <w:rPr>
          <w:rFonts w:ascii="Arial" w:hAnsi="Arial"/>
          <w:b/>
          <w:sz w:val="21"/>
        </w:rPr>
        <w:t>Cost</w:t>
      </w:r>
      <w:r>
        <w:rPr>
          <w:rFonts w:ascii="Arial" w:hAnsi="Arial"/>
          <w:b/>
          <w:spacing w:val="-3"/>
          <w:sz w:val="21"/>
        </w:rPr>
        <w:t xml:space="preserve"> </w:t>
      </w:r>
      <w:r>
        <w:rPr>
          <w:rFonts w:ascii="Arial" w:hAnsi="Arial"/>
          <w:b/>
          <w:spacing w:val="-2"/>
          <w:sz w:val="21"/>
        </w:rPr>
        <w:t>Change</w:t>
      </w:r>
    </w:p>
    <w:p>
      <w:pPr>
        <w:pStyle w:val="BodyText"/>
        <w:spacing w:before="118"/>
        <w:ind w:left="1160" w:right="979"/>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4"/>
        </w:rPr>
        <w:t xml:space="preserve"> </w:t>
      </w:r>
      <w:r>
        <w:t>as</w:t>
      </w:r>
      <w:r>
        <w:rPr>
          <w:spacing w:val="-3"/>
        </w:rPr>
        <w:t xml:space="preserve"> </w:t>
      </w:r>
      <w:r>
        <w:t>the</w:t>
      </w:r>
      <w:r>
        <w:rPr>
          <w:spacing w:val="-3"/>
        </w:rPr>
        <w:t xml:space="preserve"> </w:t>
      </w:r>
      <w:r>
        <w:t>product</w:t>
      </w:r>
      <w:r>
        <w:rPr>
          <w:spacing w:val="-3"/>
        </w:rPr>
        <w:t xml:space="preserve"> </w:t>
      </w:r>
      <w:r>
        <w:t>of</w:t>
      </w:r>
      <w:r>
        <w:rPr>
          <w:spacing w:val="-1"/>
        </w:rPr>
        <w:t xml:space="preserve"> </w:t>
      </w:r>
      <w:r>
        <w:t>columns</w:t>
      </w:r>
      <w:r>
        <w:rPr>
          <w:spacing w:val="-3"/>
        </w:rPr>
        <w:t xml:space="preserve"> </w:t>
      </w:r>
      <w:r>
        <w:t>e through h by type of script for each line.</w:t>
      </w:r>
    </w:p>
    <w:p>
      <w:pPr>
        <w:spacing w:before="241"/>
        <w:ind w:left="440" w:right="0" w:firstLine="0"/>
        <w:jc w:val="left"/>
        <w:rPr>
          <w:rFonts w:ascii="Arial" w:hAnsi="Arial"/>
          <w:b/>
          <w:sz w:val="21"/>
        </w:rPr>
      </w:pPr>
      <w:bookmarkStart w:id="128" w:name="Lines 1 through 9, column j – Projected "/>
      <w:bookmarkEnd w:id="128"/>
      <w:r>
        <w:rPr>
          <w:rFonts w:ascii="Arial" w:hAnsi="Arial"/>
          <w:b/>
          <w:sz w:val="21"/>
        </w:rPr>
        <w:t>Lines</w:t>
      </w:r>
      <w:r>
        <w:rPr>
          <w:rFonts w:ascii="Arial" w:hAnsi="Arial"/>
          <w:b/>
          <w:spacing w:val="-4"/>
          <w:sz w:val="21"/>
        </w:rPr>
        <w:t xml:space="preserve"> </w:t>
      </w:r>
      <w:r>
        <w:rPr>
          <w:rFonts w:ascii="Arial" w:hAnsi="Arial"/>
          <w:b/>
          <w:sz w:val="21"/>
        </w:rPr>
        <w:t>1</w:t>
      </w:r>
      <w:r>
        <w:rPr>
          <w:rFonts w:ascii="Arial" w:hAnsi="Arial"/>
          <w:b/>
          <w:spacing w:val="-4"/>
          <w:sz w:val="21"/>
        </w:rPr>
        <w:t xml:space="preserve"> </w:t>
      </w:r>
      <w:r>
        <w:rPr>
          <w:rFonts w:ascii="Arial" w:hAnsi="Arial"/>
          <w:b/>
          <w:sz w:val="21"/>
        </w:rPr>
        <w:t>through</w:t>
      </w:r>
      <w:r>
        <w:rPr>
          <w:rFonts w:ascii="Arial" w:hAnsi="Arial"/>
          <w:b/>
          <w:spacing w:val="-4"/>
          <w:sz w:val="21"/>
        </w:rPr>
        <w:t xml:space="preserve"> </w:t>
      </w:r>
      <w:r>
        <w:rPr>
          <w:rFonts w:ascii="Arial" w:hAnsi="Arial"/>
          <w:b/>
          <w:sz w:val="21"/>
        </w:rPr>
        <w:t>9,</w:t>
      </w:r>
      <w:r>
        <w:rPr>
          <w:rFonts w:ascii="Arial" w:hAnsi="Arial"/>
          <w:b/>
          <w:spacing w:val="-4"/>
          <w:sz w:val="21"/>
        </w:rPr>
        <w:t xml:space="preserve"> </w:t>
      </w:r>
      <w:r>
        <w:rPr>
          <w:rFonts w:ascii="Arial" w:hAnsi="Arial"/>
          <w:b/>
          <w:sz w:val="21"/>
        </w:rPr>
        <w:t>column</w:t>
      </w:r>
      <w:r>
        <w:rPr>
          <w:rFonts w:ascii="Arial" w:hAnsi="Arial"/>
          <w:b/>
          <w:spacing w:val="-4"/>
          <w:sz w:val="21"/>
        </w:rPr>
        <w:t xml:space="preserve"> </w:t>
      </w:r>
      <w:r>
        <w:rPr>
          <w:rFonts w:ascii="Arial" w:hAnsi="Arial"/>
          <w:b/>
          <w:sz w:val="21"/>
        </w:rPr>
        <w:t>j</w:t>
      </w:r>
      <w:r>
        <w:rPr>
          <w:rFonts w:ascii="Arial" w:hAnsi="Arial"/>
          <w:b/>
          <w:spacing w:val="-5"/>
          <w:sz w:val="21"/>
        </w:rPr>
        <w:t xml:space="preserve"> </w:t>
      </w:r>
      <w:r>
        <w:rPr>
          <w:rFonts w:ascii="Arial" w:hAnsi="Arial"/>
          <w:b/>
          <w:sz w:val="21"/>
        </w:rPr>
        <w:t>–</w:t>
      </w:r>
      <w:r>
        <w:rPr>
          <w:rFonts w:ascii="Arial" w:hAnsi="Arial"/>
          <w:b/>
          <w:spacing w:val="-3"/>
          <w:sz w:val="21"/>
        </w:rPr>
        <w:t xml:space="preserve"> </w:t>
      </w:r>
      <w:r>
        <w:rPr>
          <w:rFonts w:ascii="Arial" w:hAnsi="Arial"/>
          <w:b/>
          <w:sz w:val="21"/>
        </w:rPr>
        <w:t>Projected</w:t>
      </w:r>
      <w:r>
        <w:rPr>
          <w:rFonts w:ascii="Arial" w:hAnsi="Arial"/>
          <w:b/>
          <w:spacing w:val="-6"/>
          <w:sz w:val="21"/>
        </w:rPr>
        <w:t xml:space="preserve"> </w:t>
      </w:r>
      <w:r>
        <w:rPr>
          <w:rFonts w:ascii="Arial" w:hAnsi="Arial"/>
          <w:b/>
          <w:sz w:val="21"/>
        </w:rPr>
        <w:t>Unit</w:t>
      </w:r>
      <w:r>
        <w:rPr>
          <w:rFonts w:ascii="Arial" w:hAnsi="Arial"/>
          <w:b/>
          <w:spacing w:val="-4"/>
          <w:sz w:val="21"/>
        </w:rPr>
        <w:t xml:space="preserve"> Cost</w:t>
      </w:r>
    </w:p>
    <w:p>
      <w:pPr>
        <w:pStyle w:val="BodyText"/>
        <w:ind w:left="440" w:right="979"/>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the</w:t>
      </w:r>
      <w:r>
        <w:rPr>
          <w:spacing w:val="-3"/>
        </w:rPr>
        <w:t xml:space="preserve"> </w:t>
      </w:r>
      <w:r>
        <w:t>product</w:t>
      </w:r>
      <w:r>
        <w:rPr>
          <w:spacing w:val="-3"/>
        </w:rPr>
        <w:t xml:space="preserve"> </w:t>
      </w:r>
      <w:r>
        <w:t>of</w:t>
      </w:r>
      <w:r>
        <w:rPr>
          <w:spacing w:val="-3"/>
        </w:rPr>
        <w:t xml:space="preserve"> </w:t>
      </w:r>
      <w:r>
        <w:t>base</w:t>
      </w:r>
      <w:r>
        <w:rPr>
          <w:spacing w:val="-4"/>
        </w:rPr>
        <w:t xml:space="preserve"> </w:t>
      </w:r>
      <w:r>
        <w:t>period</w:t>
      </w:r>
      <w:r>
        <w:rPr>
          <w:spacing w:val="-3"/>
        </w:rPr>
        <w:t xml:space="preserve"> </w:t>
      </w:r>
      <w:r>
        <w:t>allowed per script times total unit cost change for each line.</w:t>
      </w:r>
    </w:p>
    <w:p>
      <w:pPr>
        <w:spacing w:before="241"/>
        <w:ind w:left="440" w:right="0" w:firstLine="0"/>
        <w:jc w:val="left"/>
        <w:rPr>
          <w:rFonts w:ascii="Arial" w:hAnsi="Arial"/>
          <w:b/>
          <w:sz w:val="21"/>
        </w:rPr>
      </w:pPr>
      <w:bookmarkStart w:id="129" w:name="Lines 1 through 9, column k – Projected "/>
      <w:bookmarkEnd w:id="129"/>
      <w:r>
        <w:rPr>
          <w:rFonts w:ascii="Arial" w:hAnsi="Arial"/>
          <w:b/>
          <w:sz w:val="21"/>
        </w:rPr>
        <w:t>Lines</w:t>
      </w:r>
      <w:r>
        <w:rPr>
          <w:rFonts w:ascii="Arial" w:hAnsi="Arial"/>
          <w:b/>
          <w:spacing w:val="-7"/>
          <w:sz w:val="21"/>
        </w:rPr>
        <w:t xml:space="preserve"> </w:t>
      </w:r>
      <w:r>
        <w:rPr>
          <w:rFonts w:ascii="Arial" w:hAnsi="Arial"/>
          <w:b/>
          <w:sz w:val="21"/>
        </w:rPr>
        <w:t>1</w:t>
      </w:r>
      <w:r>
        <w:rPr>
          <w:rFonts w:ascii="Arial" w:hAnsi="Arial"/>
          <w:b/>
          <w:spacing w:val="-4"/>
          <w:sz w:val="21"/>
        </w:rPr>
        <w:t xml:space="preserve"> </w:t>
      </w:r>
      <w:r>
        <w:rPr>
          <w:rFonts w:ascii="Arial" w:hAnsi="Arial"/>
          <w:b/>
          <w:sz w:val="21"/>
        </w:rPr>
        <w:t>through</w:t>
      </w:r>
      <w:r>
        <w:rPr>
          <w:rFonts w:ascii="Arial" w:hAnsi="Arial"/>
          <w:b/>
          <w:spacing w:val="-5"/>
          <w:sz w:val="21"/>
        </w:rPr>
        <w:t xml:space="preserve"> </w:t>
      </w:r>
      <w:r>
        <w:rPr>
          <w:rFonts w:ascii="Arial" w:hAnsi="Arial"/>
          <w:b/>
          <w:sz w:val="21"/>
        </w:rPr>
        <w:t>9,</w:t>
      </w:r>
      <w:r>
        <w:rPr>
          <w:rFonts w:ascii="Arial" w:hAnsi="Arial"/>
          <w:b/>
          <w:spacing w:val="-5"/>
          <w:sz w:val="21"/>
        </w:rPr>
        <w:t xml:space="preserve"> </w:t>
      </w:r>
      <w:r>
        <w:rPr>
          <w:rFonts w:ascii="Arial" w:hAnsi="Arial"/>
          <w:b/>
          <w:sz w:val="21"/>
        </w:rPr>
        <w:t>column</w:t>
      </w:r>
      <w:r>
        <w:rPr>
          <w:rFonts w:ascii="Arial" w:hAnsi="Arial"/>
          <w:b/>
          <w:spacing w:val="-5"/>
          <w:sz w:val="21"/>
        </w:rPr>
        <w:t xml:space="preserve"> </w:t>
      </w:r>
      <w:r>
        <w:rPr>
          <w:rFonts w:ascii="Arial" w:hAnsi="Arial"/>
          <w:b/>
          <w:sz w:val="21"/>
        </w:rPr>
        <w:t>k</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Projected</w:t>
      </w:r>
      <w:r>
        <w:rPr>
          <w:rFonts w:ascii="Arial" w:hAnsi="Arial"/>
          <w:b/>
          <w:spacing w:val="-4"/>
          <w:sz w:val="21"/>
        </w:rPr>
        <w:t xml:space="preserve"> </w:t>
      </w:r>
      <w:r>
        <w:rPr>
          <w:rFonts w:ascii="Arial" w:hAnsi="Arial"/>
          <w:b/>
          <w:sz w:val="21"/>
        </w:rPr>
        <w:t>Allowed</w:t>
      </w:r>
      <w:r>
        <w:rPr>
          <w:rFonts w:ascii="Arial" w:hAnsi="Arial"/>
          <w:b/>
          <w:spacing w:val="-3"/>
          <w:sz w:val="21"/>
        </w:rPr>
        <w:t xml:space="preserve"> </w:t>
      </w:r>
      <w:r>
        <w:rPr>
          <w:rFonts w:ascii="Arial" w:hAnsi="Arial"/>
          <w:b/>
          <w:spacing w:val="-4"/>
          <w:sz w:val="21"/>
        </w:rPr>
        <w:t>PMPM</w:t>
      </w:r>
    </w:p>
    <w:p>
      <w:pPr>
        <w:pStyle w:val="BodyText"/>
        <w:spacing w:before="118"/>
        <w:ind w:left="440" w:right="478"/>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scripts/1,000</w:t>
      </w:r>
      <w:r>
        <w:rPr>
          <w:spacing w:val="-3"/>
        </w:rPr>
        <w:t xml:space="preserve"> </w:t>
      </w:r>
      <w:r>
        <w:t>times</w:t>
      </w:r>
      <w:r>
        <w:rPr>
          <w:spacing w:val="-3"/>
        </w:rPr>
        <w:t xml:space="preserve"> </w:t>
      </w:r>
      <w:r>
        <w:t>projected</w:t>
      </w:r>
      <w:r>
        <w:rPr>
          <w:spacing w:val="-3"/>
        </w:rPr>
        <w:t xml:space="preserve"> </w:t>
      </w:r>
      <w:r>
        <w:t>unit</w:t>
      </w:r>
      <w:r>
        <w:rPr>
          <w:spacing w:val="-3"/>
        </w:rPr>
        <w:t xml:space="preserve"> </w:t>
      </w:r>
      <w:r>
        <w:t>cost divided by 12,000 for each line.</w:t>
      </w:r>
    </w:p>
    <w:p>
      <w:pPr>
        <w:spacing w:before="241"/>
        <w:ind w:left="440" w:right="0" w:firstLine="0"/>
        <w:jc w:val="left"/>
        <w:rPr>
          <w:rFonts w:ascii="Arial"/>
          <w:b/>
          <w:sz w:val="21"/>
        </w:rPr>
      </w:pPr>
      <w:bookmarkStart w:id="130" w:name="Lines 10 through 15, columns e through k"/>
      <w:bookmarkEnd w:id="130"/>
      <w:r>
        <w:rPr>
          <w:rFonts w:ascii="Arial"/>
          <w:b/>
          <w:sz w:val="21"/>
        </w:rPr>
        <w:t>Lines</w:t>
      </w:r>
      <w:r>
        <w:rPr>
          <w:rFonts w:ascii="Arial"/>
          <w:b/>
          <w:spacing w:val="-7"/>
          <w:sz w:val="21"/>
        </w:rPr>
        <w:t xml:space="preserve"> </w:t>
      </w:r>
      <w:r>
        <w:rPr>
          <w:rFonts w:ascii="Arial"/>
          <w:b/>
          <w:sz w:val="21"/>
        </w:rPr>
        <w:t>10</w:t>
      </w:r>
      <w:r>
        <w:rPr>
          <w:rFonts w:ascii="Arial"/>
          <w:b/>
          <w:spacing w:val="-4"/>
          <w:sz w:val="21"/>
        </w:rPr>
        <w:t xml:space="preserve"> </w:t>
      </w:r>
      <w:r>
        <w:rPr>
          <w:rFonts w:ascii="Arial"/>
          <w:b/>
          <w:sz w:val="21"/>
        </w:rPr>
        <w:t>through</w:t>
      </w:r>
      <w:r>
        <w:rPr>
          <w:rFonts w:ascii="Arial"/>
          <w:b/>
          <w:spacing w:val="-3"/>
          <w:sz w:val="21"/>
        </w:rPr>
        <w:t xml:space="preserve"> </w:t>
      </w:r>
      <w:r>
        <w:rPr>
          <w:rFonts w:ascii="Arial"/>
          <w:b/>
          <w:sz w:val="21"/>
        </w:rPr>
        <w:t>15,</w:t>
      </w:r>
      <w:r>
        <w:rPr>
          <w:rFonts w:ascii="Arial"/>
          <w:b/>
          <w:spacing w:val="-6"/>
          <w:sz w:val="21"/>
        </w:rPr>
        <w:t xml:space="preserve"> </w:t>
      </w:r>
      <w:r>
        <w:rPr>
          <w:rFonts w:ascii="Arial"/>
          <w:b/>
          <w:sz w:val="21"/>
        </w:rPr>
        <w:t>columns</w:t>
      </w:r>
      <w:r>
        <w:rPr>
          <w:rFonts w:ascii="Arial"/>
          <w:b/>
          <w:spacing w:val="-4"/>
          <w:sz w:val="21"/>
        </w:rPr>
        <w:t xml:space="preserve"> </w:t>
      </w:r>
      <w:r>
        <w:rPr>
          <w:rFonts w:ascii="Arial"/>
          <w:b/>
          <w:sz w:val="21"/>
        </w:rPr>
        <w:t>e</w:t>
      </w:r>
      <w:r>
        <w:rPr>
          <w:rFonts w:ascii="Arial"/>
          <w:b/>
          <w:spacing w:val="-4"/>
          <w:sz w:val="21"/>
        </w:rPr>
        <w:t xml:space="preserve"> </w:t>
      </w:r>
      <w:r>
        <w:rPr>
          <w:rFonts w:ascii="Arial"/>
          <w:b/>
          <w:sz w:val="21"/>
        </w:rPr>
        <w:t>through</w:t>
      </w:r>
      <w:r>
        <w:rPr>
          <w:rFonts w:ascii="Arial"/>
          <w:b/>
          <w:spacing w:val="-3"/>
          <w:sz w:val="21"/>
        </w:rPr>
        <w:t xml:space="preserve"> </w:t>
      </w:r>
      <w:r>
        <w:rPr>
          <w:rFonts w:ascii="Arial"/>
          <w:b/>
          <w:spacing w:val="-10"/>
          <w:sz w:val="21"/>
        </w:rPr>
        <w:t>k</w:t>
      </w:r>
    </w:p>
    <w:p>
      <w:pPr>
        <w:pStyle w:val="BodyText"/>
        <w:ind w:left="440" w:right="478"/>
      </w:pPr>
      <w:r>
        <w:t>The</w:t>
      </w:r>
      <w:r>
        <w:rPr>
          <w:spacing w:val="-5"/>
        </w:rPr>
        <w:t xml:space="preserve"> </w:t>
      </w:r>
      <w:r>
        <w:t>values</w:t>
      </w:r>
      <w:r>
        <w:rPr>
          <w:spacing w:val="-3"/>
        </w:rPr>
        <w:t xml:space="preserve"> </w:t>
      </w:r>
      <w:r>
        <w:t>are</w:t>
      </w:r>
      <w:r>
        <w:rPr>
          <w:spacing w:val="-5"/>
        </w:rPr>
        <w:t xml:space="preserve"> </w:t>
      </w:r>
      <w:r>
        <w:t>calculated automatically</w:t>
      </w:r>
      <w:r>
        <w:rPr>
          <w:spacing w:val="-3"/>
        </w:rPr>
        <w:t xml:space="preserve"> </w:t>
      </w:r>
      <w:r>
        <w:t>in</w:t>
      </w:r>
      <w:r>
        <w:rPr>
          <w:spacing w:val="-3"/>
        </w:rPr>
        <w:t xml:space="preserve"> </w:t>
      </w:r>
      <w:r>
        <w:t>the</w:t>
      </w:r>
      <w:r>
        <w:rPr>
          <w:spacing w:val="-4"/>
        </w:rPr>
        <w:t xml:space="preserve"> </w:t>
      </w:r>
      <w:r>
        <w:t>BPT</w:t>
      </w:r>
      <w:r>
        <w:rPr>
          <w:spacing w:val="-3"/>
        </w:rPr>
        <w:t xml:space="preserve"> </w:t>
      </w:r>
      <w:r>
        <w:t>using</w:t>
      </w:r>
      <w:r>
        <w:rPr>
          <w:spacing w:val="-1"/>
        </w:rPr>
        <w:t xml:space="preserve"> </w:t>
      </w:r>
      <w:r>
        <w:t>information</w:t>
      </w:r>
      <w:r>
        <w:rPr>
          <w:spacing w:val="-3"/>
        </w:rPr>
        <w:t xml:space="preserve"> </w:t>
      </w:r>
      <w:r>
        <w:t>entered</w:t>
      </w:r>
      <w:r>
        <w:rPr>
          <w:spacing w:val="-3"/>
        </w:rPr>
        <w:t xml:space="preserve"> </w:t>
      </w:r>
      <w:r>
        <w:t>on</w:t>
      </w:r>
      <w:r>
        <w:rPr>
          <w:spacing w:val="-3"/>
        </w:rPr>
        <w:t xml:space="preserve"> </w:t>
      </w:r>
      <w:r>
        <w:t>lines</w:t>
      </w:r>
      <w:r>
        <w:rPr>
          <w:spacing w:val="-3"/>
        </w:rPr>
        <w:t xml:space="preserve"> </w:t>
      </w:r>
      <w:r>
        <w:t>1 through 9 for each column.</w:t>
      </w:r>
    </w:p>
    <w:p>
      <w:pPr>
        <w:pStyle w:val="BodyText"/>
        <w:spacing w:before="45"/>
        <w:ind w:left="0"/>
      </w:pPr>
    </w:p>
    <w:p>
      <w:pPr>
        <w:pStyle w:val="Heading2"/>
      </w:pPr>
      <w:bookmarkStart w:id="131" w:name="Section IV – Projected Allowed PMPM"/>
      <w:bookmarkEnd w:id="131"/>
      <w:bookmarkStart w:id="132" w:name="_bookmark37"/>
      <w:bookmarkEnd w:id="132"/>
      <w:r>
        <w:rPr>
          <w:smallCaps/>
        </w:rPr>
        <w:t>Section</w:t>
      </w:r>
      <w:r>
        <w:rPr>
          <w:smallCaps/>
          <w:spacing w:val="-15"/>
        </w:rPr>
        <w:t xml:space="preserve"> </w:t>
      </w:r>
      <w:r>
        <w:rPr>
          <w:smallCaps/>
        </w:rPr>
        <w:t>IV</w:t>
      </w:r>
      <w:r>
        <w:rPr>
          <w:smallCaps/>
          <w:spacing w:val="-15"/>
        </w:rPr>
        <w:t xml:space="preserve"> </w:t>
      </w:r>
      <w:r>
        <w:rPr>
          <w:smallCaps/>
        </w:rPr>
        <w:t>–</w:t>
      </w:r>
      <w:r>
        <w:rPr>
          <w:smallCaps/>
          <w:spacing w:val="-15"/>
        </w:rPr>
        <w:t xml:space="preserve"> </w:t>
      </w:r>
      <w:r>
        <w:rPr>
          <w:smallCaps/>
        </w:rPr>
        <w:t>Projected</w:t>
      </w:r>
      <w:r>
        <w:rPr>
          <w:smallCaps/>
          <w:spacing w:val="-10"/>
        </w:rPr>
        <w:t xml:space="preserve"> </w:t>
      </w:r>
      <w:r>
        <w:rPr>
          <w:smallCaps/>
        </w:rPr>
        <w:t>Allowed</w:t>
      </w:r>
      <w:r>
        <w:rPr>
          <w:smallCaps/>
          <w:spacing w:val="-7"/>
        </w:rPr>
        <w:t xml:space="preserve"> </w:t>
      </w:r>
      <w:r>
        <w:rPr>
          <w:smallCaps/>
          <w:spacing w:val="-4"/>
        </w:rPr>
        <w:t>PMPM</w:t>
      </w:r>
    </w:p>
    <w:p>
      <w:pPr>
        <w:spacing w:before="240"/>
        <w:ind w:left="440" w:right="0" w:firstLine="0"/>
        <w:jc w:val="left"/>
        <w:rPr>
          <w:rFonts w:ascii="Arial"/>
          <w:b/>
          <w:sz w:val="21"/>
        </w:rPr>
      </w:pPr>
      <w:bookmarkStart w:id="133" w:name="Lines 1 through 9"/>
      <w:bookmarkEnd w:id="133"/>
      <w:r>
        <w:rPr>
          <w:rFonts w:ascii="Arial"/>
          <w:b/>
          <w:sz w:val="21"/>
        </w:rPr>
        <w:t>Lines</w:t>
      </w:r>
      <w:r>
        <w:rPr>
          <w:rFonts w:ascii="Arial"/>
          <w:b/>
          <w:spacing w:val="-5"/>
          <w:sz w:val="21"/>
        </w:rPr>
        <w:t xml:space="preserve"> </w:t>
      </w:r>
      <w:r>
        <w:rPr>
          <w:rFonts w:ascii="Arial"/>
          <w:b/>
          <w:sz w:val="21"/>
        </w:rPr>
        <w:t>1</w:t>
      </w:r>
      <w:r>
        <w:rPr>
          <w:rFonts w:ascii="Arial"/>
          <w:b/>
          <w:spacing w:val="-5"/>
          <w:sz w:val="21"/>
        </w:rPr>
        <w:t xml:space="preserve"> </w:t>
      </w:r>
      <w:r>
        <w:rPr>
          <w:rFonts w:ascii="Arial"/>
          <w:b/>
          <w:sz w:val="21"/>
        </w:rPr>
        <w:t>through</w:t>
      </w:r>
      <w:r>
        <w:rPr>
          <w:rFonts w:ascii="Arial"/>
          <w:b/>
          <w:spacing w:val="-5"/>
          <w:sz w:val="21"/>
        </w:rPr>
        <w:t xml:space="preserve"> </w:t>
      </w:r>
      <w:r>
        <w:rPr>
          <w:rFonts w:ascii="Arial"/>
          <w:b/>
          <w:spacing w:val="-10"/>
          <w:sz w:val="21"/>
        </w:rPr>
        <w:t>9</w:t>
      </w:r>
    </w:p>
    <w:p>
      <w:pPr>
        <w:pStyle w:val="ListParagraph"/>
        <w:numPr>
          <w:ilvl w:val="0"/>
          <w:numId w:val="10"/>
        </w:numPr>
        <w:tabs>
          <w:tab w:val="left" w:pos="1159"/>
        </w:tabs>
        <w:spacing w:before="119" w:after="0" w:line="240" w:lineRule="auto"/>
        <w:ind w:left="1159" w:right="0" w:hanging="359"/>
        <w:jc w:val="left"/>
        <w:rPr>
          <w:rFonts w:ascii="Arial" w:hAnsi="Arial"/>
          <w:b/>
          <w:sz w:val="21"/>
        </w:rPr>
      </w:pPr>
      <w:r>
        <w:rPr>
          <w:rFonts w:ascii="Arial" w:hAnsi="Arial"/>
          <w:b/>
          <w:sz w:val="21"/>
        </w:rPr>
        <w:t>Column</w:t>
      </w:r>
      <w:r>
        <w:rPr>
          <w:rFonts w:ascii="Arial" w:hAnsi="Arial"/>
          <w:b/>
          <w:spacing w:val="-2"/>
          <w:sz w:val="21"/>
        </w:rPr>
        <w:t xml:space="preserve"> </w:t>
      </w:r>
      <w:r>
        <w:rPr>
          <w:rFonts w:ascii="Arial" w:hAnsi="Arial"/>
          <w:b/>
          <w:sz w:val="21"/>
        </w:rPr>
        <w:t>l</w:t>
      </w:r>
      <w:r>
        <w:rPr>
          <w:rFonts w:ascii="Arial" w:hAnsi="Arial"/>
          <w:b/>
          <w:spacing w:val="-5"/>
          <w:sz w:val="21"/>
        </w:rPr>
        <w:t xml:space="preserve"> </w:t>
      </w:r>
      <w:r>
        <w:rPr>
          <w:rFonts w:ascii="Arial" w:hAnsi="Arial"/>
          <w:b/>
          <w:sz w:val="21"/>
        </w:rPr>
        <w:t>–</w:t>
      </w:r>
      <w:r>
        <w:rPr>
          <w:rFonts w:ascii="Arial" w:hAnsi="Arial"/>
          <w:b/>
          <w:spacing w:val="-3"/>
          <w:sz w:val="21"/>
        </w:rPr>
        <w:t xml:space="preserve"> </w:t>
      </w:r>
      <w:r>
        <w:rPr>
          <w:rFonts w:ascii="Arial" w:hAnsi="Arial"/>
          <w:b/>
          <w:sz w:val="21"/>
        </w:rPr>
        <w:t>Manual</w:t>
      </w:r>
      <w:r>
        <w:rPr>
          <w:rFonts w:ascii="Arial" w:hAnsi="Arial"/>
          <w:b/>
          <w:spacing w:val="-2"/>
          <w:sz w:val="21"/>
        </w:rPr>
        <w:t xml:space="preserve"> Utilization/1,000</w:t>
      </w:r>
    </w:p>
    <w:p>
      <w:pPr>
        <w:pStyle w:val="BodyText"/>
        <w:ind w:left="1160" w:right="979"/>
      </w:pPr>
      <w:r>
        <w:t>When the base period experience is not fully credible, enter the projected utilization</w:t>
      </w:r>
      <w:r>
        <w:rPr>
          <w:spacing w:val="-3"/>
        </w:rPr>
        <w:t xml:space="preserve"> </w:t>
      </w:r>
      <w:r>
        <w:t>per</w:t>
      </w:r>
      <w:r>
        <w:rPr>
          <w:spacing w:val="-3"/>
        </w:rPr>
        <w:t xml:space="preserve"> </w:t>
      </w:r>
      <w:r>
        <w:t>1,000</w:t>
      </w:r>
      <w:r>
        <w:rPr>
          <w:spacing w:val="-3"/>
        </w:rPr>
        <w:t xml:space="preserve"> </w:t>
      </w:r>
      <w:r>
        <w:t>members,</w:t>
      </w:r>
      <w:r>
        <w:rPr>
          <w:spacing w:val="-3"/>
        </w:rPr>
        <w:t xml:space="preserve"> </w:t>
      </w:r>
      <w:r>
        <w:t>based</w:t>
      </w:r>
      <w:r>
        <w:rPr>
          <w:spacing w:val="-3"/>
        </w:rPr>
        <w:t xml:space="preserve"> </w:t>
      </w:r>
      <w:r>
        <w:t>on</w:t>
      </w:r>
      <w:r>
        <w:rPr>
          <w:spacing w:val="-2"/>
        </w:rPr>
        <w:t xml:space="preserve"> </w:t>
      </w:r>
      <w:r>
        <w:t>a</w:t>
      </w:r>
      <w:r>
        <w:rPr>
          <w:spacing w:val="-4"/>
        </w:rPr>
        <w:t xml:space="preserve"> </w:t>
      </w:r>
      <w:r>
        <w:t>manual</w:t>
      </w:r>
      <w:r>
        <w:rPr>
          <w:spacing w:val="-3"/>
        </w:rPr>
        <w:t xml:space="preserve"> </w:t>
      </w:r>
      <w:r>
        <w:t>rate,</w:t>
      </w:r>
      <w:r>
        <w:rPr>
          <w:spacing w:val="-3"/>
        </w:rPr>
        <w:t xml:space="preserve"> </w:t>
      </w:r>
      <w:r>
        <w:t>by</w:t>
      </w:r>
      <w:r>
        <w:rPr>
          <w:spacing w:val="-2"/>
        </w:rPr>
        <w:t xml:space="preserve"> </w:t>
      </w:r>
      <w:r>
        <w:t>type</w:t>
      </w:r>
      <w:r>
        <w:rPr>
          <w:spacing w:val="-3"/>
        </w:rPr>
        <w:t xml:space="preserve"> </w:t>
      </w:r>
      <w:r>
        <w:t>of</w:t>
      </w:r>
      <w:r>
        <w:rPr>
          <w:spacing w:val="-5"/>
        </w:rPr>
        <w:t xml:space="preserve"> </w:t>
      </w:r>
      <w:r>
        <w:t>script</w:t>
      </w:r>
      <w:r>
        <w:rPr>
          <w:spacing w:val="-2"/>
        </w:rPr>
        <w:t xml:space="preserve"> </w:t>
      </w:r>
      <w:r>
        <w:t>for</w:t>
      </w:r>
      <w:r>
        <w:rPr>
          <w:spacing w:val="-3"/>
        </w:rPr>
        <w:t xml:space="preserve"> </w:t>
      </w:r>
      <w:r>
        <w:t>each line. The Maximum Fair Price Drugs are defined as those drugs which were</w:t>
      </w:r>
    </w:p>
    <w:p>
      <w:pPr>
        <w:spacing w:after="0"/>
        <w:sectPr>
          <w:pgSz w:w="12240" w:h="15840"/>
          <w:pgMar w:top="1340" w:right="1000" w:bottom="1080" w:left="1360" w:header="727" w:footer="891"/>
          <w:cols w:space="720"/>
        </w:sectPr>
      </w:pPr>
    </w:p>
    <w:p>
      <w:pPr>
        <w:pStyle w:val="BodyText"/>
        <w:spacing w:before="87"/>
        <w:ind w:left="1160" w:right="816"/>
      </w:pPr>
      <w:r>
        <w:t>selected for negotiation for initial price applicability for CY2026. Do not include the</w:t>
      </w:r>
      <w:r>
        <w:rPr>
          <w:spacing w:val="-3"/>
        </w:rPr>
        <w:t xml:space="preserve"> </w:t>
      </w:r>
      <w:r>
        <w:t>average</w:t>
      </w:r>
      <w:r>
        <w:rPr>
          <w:spacing w:val="-4"/>
        </w:rPr>
        <w:t xml:space="preserve"> </w:t>
      </w:r>
      <w:r>
        <w:t>manual</w:t>
      </w:r>
      <w:r>
        <w:rPr>
          <w:spacing w:val="-3"/>
        </w:rPr>
        <w:t xml:space="preserve"> </w:t>
      </w:r>
      <w:r>
        <w:t>utilization/1000</w:t>
      </w:r>
      <w:r>
        <w:rPr>
          <w:spacing w:val="-3"/>
        </w:rPr>
        <w:t xml:space="preserve"> </w:t>
      </w:r>
      <w:r>
        <w:t>for</w:t>
      </w:r>
      <w:r>
        <w:rPr>
          <w:spacing w:val="-2"/>
        </w:rPr>
        <w:t xml:space="preserve"> </w:t>
      </w:r>
      <w:r>
        <w:t>the</w:t>
      </w:r>
      <w:r>
        <w:rPr>
          <w:spacing w:val="-3"/>
        </w:rPr>
        <w:t xml:space="preserve"> </w:t>
      </w:r>
      <w:r>
        <w:t>Maximum</w:t>
      </w:r>
      <w:r>
        <w:rPr>
          <w:spacing w:val="-3"/>
        </w:rPr>
        <w:t xml:space="preserve"> </w:t>
      </w:r>
      <w:r>
        <w:t>Fair</w:t>
      </w:r>
      <w:r>
        <w:rPr>
          <w:spacing w:val="-3"/>
        </w:rPr>
        <w:t xml:space="preserve"> </w:t>
      </w:r>
      <w:r>
        <w:t>Price</w:t>
      </w:r>
      <w:r>
        <w:rPr>
          <w:spacing w:val="-4"/>
        </w:rPr>
        <w:t xml:space="preserve"> </w:t>
      </w:r>
      <w:r>
        <w:t>Drugs</w:t>
      </w:r>
      <w:r>
        <w:rPr>
          <w:spacing w:val="-3"/>
        </w:rPr>
        <w:t xml:space="preserve"> </w:t>
      </w:r>
      <w:r>
        <w:t>in</w:t>
      </w:r>
      <w:r>
        <w:rPr>
          <w:spacing w:val="-3"/>
        </w:rPr>
        <w:t xml:space="preserve"> </w:t>
      </w:r>
      <w:r>
        <w:t>lines</w:t>
      </w:r>
      <w:r>
        <w:rPr>
          <w:spacing w:val="-3"/>
        </w:rPr>
        <w:t xml:space="preserve"> </w:t>
      </w:r>
      <w:r>
        <w:t>1-</w:t>
      </w:r>
    </w:p>
    <w:p>
      <w:pPr>
        <w:pStyle w:val="BodyText"/>
        <w:spacing w:before="0"/>
        <w:ind w:left="1160"/>
      </w:pPr>
      <w:r>
        <w:t>8.</w:t>
      </w:r>
      <w:r>
        <w:rPr>
          <w:spacing w:val="-1"/>
        </w:rPr>
        <w:t xml:space="preserve"> </w:t>
      </w:r>
      <w:r>
        <w:t>Instead, include</w:t>
      </w:r>
      <w:r>
        <w:rPr>
          <w:spacing w:val="-1"/>
        </w:rPr>
        <w:t xml:space="preserve"> </w:t>
      </w:r>
      <w:r>
        <w:t>this</w:t>
      </w:r>
      <w:r>
        <w:rPr>
          <w:spacing w:val="-1"/>
        </w:rPr>
        <w:t xml:space="preserve"> </w:t>
      </w:r>
      <w:r>
        <w:t>number</w:t>
      </w:r>
      <w:r>
        <w:rPr>
          <w:spacing w:val="-2"/>
        </w:rPr>
        <w:t xml:space="preserve"> </w:t>
      </w:r>
      <w:r>
        <w:t xml:space="preserve">in line </w:t>
      </w:r>
      <w:r>
        <w:rPr>
          <w:spacing w:val="-5"/>
        </w:rPr>
        <w:t>9.</w:t>
      </w:r>
    </w:p>
    <w:p>
      <w:pPr>
        <w:pStyle w:val="ListParagraph"/>
        <w:numPr>
          <w:ilvl w:val="0"/>
          <w:numId w:val="10"/>
        </w:numPr>
        <w:tabs>
          <w:tab w:val="left" w:pos="1159"/>
        </w:tabs>
        <w:spacing w:before="120"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m</w:t>
      </w:r>
      <w:r>
        <w:rPr>
          <w:rFonts w:ascii="Arial" w:hAnsi="Arial"/>
          <w:b/>
          <w:spacing w:val="-4"/>
          <w:sz w:val="21"/>
        </w:rPr>
        <w:t xml:space="preserve"> </w:t>
      </w:r>
      <w:r>
        <w:rPr>
          <w:rFonts w:ascii="Arial" w:hAnsi="Arial"/>
          <w:b/>
          <w:sz w:val="21"/>
        </w:rPr>
        <w:t>–</w:t>
      </w:r>
      <w:r>
        <w:rPr>
          <w:rFonts w:ascii="Arial" w:hAnsi="Arial"/>
          <w:b/>
          <w:spacing w:val="-3"/>
          <w:sz w:val="21"/>
        </w:rPr>
        <w:t xml:space="preserve"> </w:t>
      </w:r>
      <w:r>
        <w:rPr>
          <w:rFonts w:ascii="Arial" w:hAnsi="Arial"/>
          <w:b/>
          <w:sz w:val="21"/>
        </w:rPr>
        <w:t>Manual</w:t>
      </w:r>
      <w:r>
        <w:rPr>
          <w:rFonts w:ascii="Arial" w:hAnsi="Arial"/>
          <w:b/>
          <w:spacing w:val="-4"/>
          <w:sz w:val="21"/>
        </w:rPr>
        <w:t xml:space="preserve"> </w:t>
      </w:r>
      <w:r>
        <w:rPr>
          <w:rFonts w:ascii="Arial" w:hAnsi="Arial"/>
          <w:b/>
          <w:sz w:val="21"/>
        </w:rPr>
        <w:t>Unit</w:t>
      </w:r>
      <w:r>
        <w:rPr>
          <w:rFonts w:ascii="Arial" w:hAnsi="Arial"/>
          <w:b/>
          <w:spacing w:val="-4"/>
          <w:sz w:val="21"/>
        </w:rPr>
        <w:t xml:space="preserve"> Cost</w:t>
      </w:r>
    </w:p>
    <w:p>
      <w:pPr>
        <w:pStyle w:val="BodyText"/>
        <w:spacing w:before="121"/>
        <w:ind w:left="1160" w:right="816"/>
      </w:pPr>
      <w:r>
        <w:t>When</w:t>
      </w:r>
      <w:r>
        <w:rPr>
          <w:spacing w:val="-3"/>
        </w:rPr>
        <w:t xml:space="preserve"> </w:t>
      </w:r>
      <w:r>
        <w:t>the</w:t>
      </w:r>
      <w:r>
        <w:rPr>
          <w:spacing w:val="-3"/>
        </w:rPr>
        <w:t xml:space="preserve"> </w:t>
      </w:r>
      <w:r>
        <w:t>base</w:t>
      </w:r>
      <w:r>
        <w:rPr>
          <w:spacing w:val="-4"/>
        </w:rPr>
        <w:t xml:space="preserve"> </w:t>
      </w:r>
      <w:r>
        <w:t>period</w:t>
      </w:r>
      <w:r>
        <w:rPr>
          <w:spacing w:val="-2"/>
        </w:rPr>
        <w:t xml:space="preserve"> </w:t>
      </w:r>
      <w:r>
        <w:t>experience</w:t>
      </w:r>
      <w:r>
        <w:rPr>
          <w:spacing w:val="-4"/>
        </w:rPr>
        <w:t xml:space="preserve"> </w:t>
      </w:r>
      <w:r>
        <w:t>is</w:t>
      </w:r>
      <w:r>
        <w:rPr>
          <w:spacing w:val="-3"/>
        </w:rPr>
        <w:t xml:space="preserve"> </w:t>
      </w:r>
      <w:r>
        <w:t>not</w:t>
      </w:r>
      <w:r>
        <w:rPr>
          <w:spacing w:val="-3"/>
        </w:rPr>
        <w:t xml:space="preserve"> </w:t>
      </w:r>
      <w:r>
        <w:t>fully</w:t>
      </w:r>
      <w:r>
        <w:rPr>
          <w:spacing w:val="-3"/>
        </w:rPr>
        <w:t xml:space="preserve"> </w:t>
      </w:r>
      <w:r>
        <w:t>credible,</w:t>
      </w:r>
      <w:r>
        <w:rPr>
          <w:spacing w:val="-3"/>
        </w:rPr>
        <w:t xml:space="preserve"> </w:t>
      </w:r>
      <w:r>
        <w:t>enter</w:t>
      </w:r>
      <w:r>
        <w:rPr>
          <w:spacing w:val="-5"/>
        </w:rPr>
        <w:t xml:space="preserve"> </w:t>
      </w:r>
      <w:r>
        <w:t>the</w:t>
      </w:r>
      <w:r>
        <w:rPr>
          <w:spacing w:val="-3"/>
        </w:rPr>
        <w:t xml:space="preserve"> </w:t>
      </w:r>
      <w:r>
        <w:t>projected</w:t>
      </w:r>
      <w:r>
        <w:rPr>
          <w:spacing w:val="-3"/>
        </w:rPr>
        <w:t xml:space="preserve"> </w:t>
      </w:r>
      <w:r>
        <w:t>unit</w:t>
      </w:r>
      <w:r>
        <w:rPr>
          <w:spacing w:val="-3"/>
        </w:rPr>
        <w:t xml:space="preserve"> </w:t>
      </w:r>
      <w:r>
        <w:t>cost per script, based on a manual rate, by type of script for each line. The Maximum Fair Price Drugs are defined as those drugs which were selected for negotiation for initial price applicability for CY2026. Do not include the manual unit cost per script</w:t>
      </w:r>
      <w:r>
        <w:rPr>
          <w:spacing w:val="-3"/>
        </w:rPr>
        <w:t xml:space="preserve"> </w:t>
      </w:r>
      <w:r>
        <w:t>for</w:t>
      </w:r>
      <w:r>
        <w:rPr>
          <w:spacing w:val="-5"/>
        </w:rPr>
        <w:t xml:space="preserve"> </w:t>
      </w:r>
      <w:r>
        <w:t>the</w:t>
      </w:r>
      <w:r>
        <w:rPr>
          <w:spacing w:val="-4"/>
        </w:rPr>
        <w:t xml:space="preserve"> </w:t>
      </w:r>
      <w:r>
        <w:t>Maximum</w:t>
      </w:r>
      <w:r>
        <w:rPr>
          <w:spacing w:val="-1"/>
        </w:rPr>
        <w:t xml:space="preserve"> </w:t>
      </w:r>
      <w:r>
        <w:t>Fair</w:t>
      </w:r>
      <w:r>
        <w:rPr>
          <w:spacing w:val="-3"/>
        </w:rPr>
        <w:t xml:space="preserve"> </w:t>
      </w:r>
      <w:r>
        <w:t>Price</w:t>
      </w:r>
      <w:r>
        <w:rPr>
          <w:spacing w:val="-4"/>
        </w:rPr>
        <w:t xml:space="preserve"> </w:t>
      </w:r>
      <w:r>
        <w:t>Drugs</w:t>
      </w:r>
      <w:r>
        <w:rPr>
          <w:spacing w:val="-3"/>
        </w:rPr>
        <w:t xml:space="preserve"> </w:t>
      </w:r>
      <w:r>
        <w:t>in</w:t>
      </w:r>
      <w:r>
        <w:rPr>
          <w:spacing w:val="-3"/>
        </w:rPr>
        <w:t xml:space="preserve"> </w:t>
      </w:r>
      <w:r>
        <w:t>lines</w:t>
      </w:r>
      <w:r>
        <w:rPr>
          <w:spacing w:val="-1"/>
        </w:rPr>
        <w:t xml:space="preserve"> </w:t>
      </w:r>
      <w:r>
        <w:t>1-8.</w:t>
      </w:r>
      <w:r>
        <w:rPr>
          <w:spacing w:val="-1"/>
        </w:rPr>
        <w:t xml:space="preserve"> </w:t>
      </w:r>
      <w:r>
        <w:t>Instead,</w:t>
      </w:r>
      <w:r>
        <w:rPr>
          <w:spacing w:val="-3"/>
        </w:rPr>
        <w:t xml:space="preserve"> </w:t>
      </w:r>
      <w:r>
        <w:t>include</w:t>
      </w:r>
      <w:r>
        <w:rPr>
          <w:spacing w:val="-4"/>
        </w:rPr>
        <w:t xml:space="preserve"> </w:t>
      </w:r>
      <w:r>
        <w:t>this</w:t>
      </w:r>
      <w:r>
        <w:rPr>
          <w:spacing w:val="-1"/>
        </w:rPr>
        <w:t xml:space="preserve"> </w:t>
      </w:r>
      <w:r>
        <w:t>amount in line 9.</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n</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z w:val="21"/>
        </w:rPr>
        <w:t>Manual</w:t>
      </w:r>
      <w:r>
        <w:rPr>
          <w:rFonts w:ascii="Arial" w:hAnsi="Arial"/>
          <w:b/>
          <w:spacing w:val="-3"/>
          <w:sz w:val="21"/>
        </w:rPr>
        <w:t xml:space="preserve"> </w:t>
      </w:r>
      <w:r>
        <w:rPr>
          <w:rFonts w:ascii="Arial" w:hAnsi="Arial"/>
          <w:b/>
          <w:sz w:val="21"/>
        </w:rPr>
        <w:t>Rate</w:t>
      </w:r>
      <w:r>
        <w:rPr>
          <w:rFonts w:ascii="Arial" w:hAnsi="Arial"/>
          <w:b/>
          <w:spacing w:val="-6"/>
          <w:sz w:val="21"/>
        </w:rPr>
        <w:t xml:space="preserve"> </w:t>
      </w:r>
      <w:r>
        <w:rPr>
          <w:rFonts w:ascii="Arial" w:hAnsi="Arial"/>
          <w:b/>
          <w:spacing w:val="-4"/>
          <w:sz w:val="21"/>
        </w:rPr>
        <w:t>PMPM</w:t>
      </w:r>
    </w:p>
    <w:p>
      <w:pPr>
        <w:pStyle w:val="BodyText"/>
        <w:spacing w:before="118"/>
        <w:ind w:left="1160" w:right="979"/>
      </w:pPr>
      <w:r>
        <w:t>The</w:t>
      </w:r>
      <w:r>
        <w:rPr>
          <w:spacing w:val="-5"/>
        </w:rPr>
        <w:t xml:space="preserve"> </w:t>
      </w:r>
      <w:r>
        <w:t>value</w:t>
      </w:r>
      <w:r>
        <w:rPr>
          <w:spacing w:val="-4"/>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2"/>
        </w:rPr>
        <w:t xml:space="preserve"> </w:t>
      </w:r>
      <w:r>
        <w:t>the</w:t>
      </w:r>
      <w:r>
        <w:rPr>
          <w:spacing w:val="-3"/>
        </w:rPr>
        <w:t xml:space="preserve"> </w:t>
      </w:r>
      <w:r>
        <w:t>BPT</w:t>
      </w:r>
      <w:r>
        <w:rPr>
          <w:spacing w:val="-6"/>
        </w:rPr>
        <w:t xml:space="preserve"> </w:t>
      </w:r>
      <w:r>
        <w:t>as</w:t>
      </w:r>
      <w:r>
        <w:rPr>
          <w:spacing w:val="-3"/>
        </w:rPr>
        <w:t xml:space="preserve"> </w:t>
      </w:r>
      <w:r>
        <w:t>column</w:t>
      </w:r>
      <w:r>
        <w:rPr>
          <w:spacing w:val="-3"/>
        </w:rPr>
        <w:t xml:space="preserve"> </w:t>
      </w:r>
      <w:r>
        <w:t>l</w:t>
      </w:r>
      <w:r>
        <w:rPr>
          <w:spacing w:val="-3"/>
        </w:rPr>
        <w:t xml:space="preserve"> </w:t>
      </w:r>
      <w:r>
        <w:t>times</w:t>
      </w:r>
      <w:r>
        <w:rPr>
          <w:spacing w:val="-3"/>
        </w:rPr>
        <w:t xml:space="preserve"> </w:t>
      </w:r>
      <w:r>
        <w:t>column</w:t>
      </w:r>
      <w:r>
        <w:rPr>
          <w:spacing w:val="-1"/>
        </w:rPr>
        <w:t xml:space="preserve"> </w:t>
      </w:r>
      <w:r>
        <w:t>m divided by 12,000 by type of script for each line.</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4"/>
          <w:sz w:val="21"/>
        </w:rPr>
        <w:t xml:space="preserve"> </w:t>
      </w:r>
      <w:r>
        <w:rPr>
          <w:rFonts w:ascii="Arial" w:hAnsi="Arial"/>
          <w:b/>
          <w:sz w:val="21"/>
        </w:rPr>
        <w:t>o</w:t>
      </w:r>
      <w:r>
        <w:rPr>
          <w:rFonts w:ascii="Arial" w:hAnsi="Arial"/>
          <w:b/>
          <w:spacing w:val="-1"/>
          <w:sz w:val="21"/>
        </w:rPr>
        <w:t xml:space="preserve"> </w:t>
      </w:r>
      <w:r>
        <w:rPr>
          <w:rFonts w:ascii="Arial" w:hAnsi="Arial"/>
          <w:b/>
          <w:sz w:val="21"/>
        </w:rPr>
        <w:t>–</w:t>
      </w:r>
      <w:r>
        <w:rPr>
          <w:rFonts w:ascii="Arial" w:hAnsi="Arial"/>
          <w:b/>
          <w:spacing w:val="-2"/>
          <w:sz w:val="21"/>
        </w:rPr>
        <w:t xml:space="preserve"> Credibility</w:t>
      </w:r>
    </w:p>
    <w:p>
      <w:pPr>
        <w:pStyle w:val="BodyText"/>
        <w:ind w:left="1160" w:right="816"/>
      </w:pPr>
      <w:r>
        <w:t>Enter</w:t>
      </w:r>
      <w:r>
        <w:rPr>
          <w:spacing w:val="-3"/>
        </w:rPr>
        <w:t xml:space="preserve"> </w:t>
      </w:r>
      <w:r>
        <w:t>the</w:t>
      </w:r>
      <w:r>
        <w:rPr>
          <w:spacing w:val="-5"/>
        </w:rPr>
        <w:t xml:space="preserve"> </w:t>
      </w:r>
      <w:r>
        <w:t>credibility</w:t>
      </w:r>
      <w:r>
        <w:rPr>
          <w:spacing w:val="-3"/>
        </w:rPr>
        <w:t xml:space="preserve"> </w:t>
      </w:r>
      <w:r>
        <w:t>percentage</w:t>
      </w:r>
      <w:r>
        <w:rPr>
          <w:spacing w:val="-5"/>
        </w:rPr>
        <w:t xml:space="preserve"> </w:t>
      </w:r>
      <w:r>
        <w:t>by</w:t>
      </w:r>
      <w:r>
        <w:rPr>
          <w:spacing w:val="-1"/>
        </w:rPr>
        <w:t xml:space="preserve"> </w:t>
      </w:r>
      <w:r>
        <w:t>point-of-sale</w:t>
      </w:r>
      <w:r>
        <w:rPr>
          <w:spacing w:val="-4"/>
        </w:rPr>
        <w:t xml:space="preserve"> </w:t>
      </w:r>
      <w:r>
        <w:t>and</w:t>
      </w:r>
      <w:r>
        <w:rPr>
          <w:spacing w:val="-3"/>
        </w:rPr>
        <w:t xml:space="preserve"> </w:t>
      </w:r>
      <w:r>
        <w:t>type</w:t>
      </w:r>
      <w:r>
        <w:rPr>
          <w:spacing w:val="-3"/>
        </w:rPr>
        <w:t xml:space="preserve"> </w:t>
      </w:r>
      <w:r>
        <w:t>of</w:t>
      </w:r>
      <w:r>
        <w:rPr>
          <w:spacing w:val="-5"/>
        </w:rPr>
        <w:t xml:space="preserve"> </w:t>
      </w:r>
      <w:r>
        <w:t>drug</w:t>
      </w:r>
      <w:r>
        <w:rPr>
          <w:spacing w:val="-4"/>
        </w:rPr>
        <w:t xml:space="preserve"> </w:t>
      </w:r>
      <w:r>
        <w:t>that</w:t>
      </w:r>
      <w:r>
        <w:rPr>
          <w:spacing w:val="-3"/>
        </w:rPr>
        <w:t xml:space="preserve"> </w:t>
      </w:r>
      <w:r>
        <w:t>is</w:t>
      </w:r>
      <w:r>
        <w:rPr>
          <w:spacing w:val="-3"/>
        </w:rPr>
        <w:t xml:space="preserve"> </w:t>
      </w:r>
      <w:r>
        <w:t>applied</w:t>
      </w:r>
      <w:r>
        <w:rPr>
          <w:spacing w:val="-3"/>
        </w:rPr>
        <w:t xml:space="preserve"> </w:t>
      </w:r>
      <w:r>
        <w:t>to the projected PMPM allowed amount in Section III and blended with the PMPM manual rate in Section IV to calculate the blended PMPM allowed amount for each line. The credibility must be greater than or equal to 0 percent and less than or equal to 100 percent.</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p</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Blended</w:t>
      </w:r>
      <w:r>
        <w:rPr>
          <w:rFonts w:ascii="Arial" w:hAnsi="Arial"/>
          <w:b/>
          <w:spacing w:val="-5"/>
          <w:sz w:val="21"/>
        </w:rPr>
        <w:t xml:space="preserve"> </w:t>
      </w:r>
      <w:r>
        <w:rPr>
          <w:rFonts w:ascii="Arial" w:hAnsi="Arial"/>
          <w:b/>
          <w:sz w:val="21"/>
        </w:rPr>
        <w:t>Allowed</w:t>
      </w:r>
      <w:r>
        <w:rPr>
          <w:rFonts w:ascii="Arial" w:hAnsi="Arial"/>
          <w:b/>
          <w:spacing w:val="-5"/>
          <w:sz w:val="21"/>
        </w:rPr>
        <w:t xml:space="preserve"> </w:t>
      </w:r>
      <w:r>
        <w:rPr>
          <w:rFonts w:ascii="Arial" w:hAnsi="Arial"/>
          <w:b/>
          <w:spacing w:val="-4"/>
          <w:sz w:val="21"/>
        </w:rPr>
        <w:t>PMPM</w:t>
      </w:r>
    </w:p>
    <w:p>
      <w:pPr>
        <w:pStyle w:val="BodyText"/>
        <w:spacing w:before="118"/>
        <w:ind w:left="1160" w:right="478"/>
      </w:pPr>
      <w:r>
        <w:t>The</w:t>
      </w:r>
      <w:r>
        <w:rPr>
          <w:spacing w:val="-5"/>
        </w:rPr>
        <w:t xml:space="preserve"> </w:t>
      </w:r>
      <w:r>
        <w:t>value</w:t>
      </w:r>
      <w:r>
        <w:rPr>
          <w:spacing w:val="-4"/>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the</w:t>
      </w:r>
      <w:r>
        <w:rPr>
          <w:spacing w:val="-3"/>
        </w:rPr>
        <w:t xml:space="preserve"> </w:t>
      </w:r>
      <w:r>
        <w:t>sum</w:t>
      </w:r>
      <w:r>
        <w:rPr>
          <w:spacing w:val="-3"/>
        </w:rPr>
        <w:t xml:space="preserve"> </w:t>
      </w:r>
      <w:r>
        <w:t>of</w:t>
      </w:r>
      <w:r>
        <w:rPr>
          <w:spacing w:val="-3"/>
        </w:rPr>
        <w:t xml:space="preserve"> </w:t>
      </w:r>
      <w:r>
        <w:t>(column</w:t>
      </w:r>
      <w:r>
        <w:rPr>
          <w:spacing w:val="-3"/>
        </w:rPr>
        <w:t xml:space="preserve"> </w:t>
      </w:r>
      <w:r>
        <w:t>o</w:t>
      </w:r>
      <w:r>
        <w:rPr>
          <w:spacing w:val="-3"/>
        </w:rPr>
        <w:t xml:space="preserve"> </w:t>
      </w:r>
      <w:r>
        <w:t>times column k) and [(1 minus column o) times column n] for each line.</w:t>
      </w:r>
    </w:p>
    <w:p>
      <w:pPr>
        <w:spacing w:before="241"/>
        <w:ind w:left="440" w:right="0" w:firstLine="0"/>
        <w:jc w:val="left"/>
        <w:rPr>
          <w:rFonts w:ascii="Arial"/>
          <w:b/>
          <w:sz w:val="21"/>
        </w:rPr>
      </w:pPr>
      <w:bookmarkStart w:id="134" w:name="Lines 10 through 15, columns l through p"/>
      <w:bookmarkEnd w:id="134"/>
      <w:r>
        <w:rPr>
          <w:rFonts w:ascii="Arial"/>
          <w:b/>
          <w:sz w:val="21"/>
        </w:rPr>
        <w:t>Lines</w:t>
      </w:r>
      <w:r>
        <w:rPr>
          <w:rFonts w:ascii="Arial"/>
          <w:b/>
          <w:spacing w:val="-5"/>
          <w:sz w:val="21"/>
        </w:rPr>
        <w:t xml:space="preserve"> </w:t>
      </w:r>
      <w:r>
        <w:rPr>
          <w:rFonts w:ascii="Arial"/>
          <w:b/>
          <w:sz w:val="21"/>
        </w:rPr>
        <w:t>10</w:t>
      </w:r>
      <w:r>
        <w:rPr>
          <w:rFonts w:ascii="Arial"/>
          <w:b/>
          <w:spacing w:val="-4"/>
          <w:sz w:val="21"/>
        </w:rPr>
        <w:t xml:space="preserve"> </w:t>
      </w:r>
      <w:r>
        <w:rPr>
          <w:rFonts w:ascii="Arial"/>
          <w:b/>
          <w:sz w:val="21"/>
        </w:rPr>
        <w:t>through</w:t>
      </w:r>
      <w:r>
        <w:rPr>
          <w:rFonts w:ascii="Arial"/>
          <w:b/>
          <w:spacing w:val="-3"/>
          <w:sz w:val="21"/>
        </w:rPr>
        <w:t xml:space="preserve"> </w:t>
      </w:r>
      <w:r>
        <w:rPr>
          <w:rFonts w:ascii="Arial"/>
          <w:b/>
          <w:sz w:val="21"/>
        </w:rPr>
        <w:t>15,</w:t>
      </w:r>
      <w:r>
        <w:rPr>
          <w:rFonts w:ascii="Arial"/>
          <w:b/>
          <w:spacing w:val="-5"/>
          <w:sz w:val="21"/>
        </w:rPr>
        <w:t xml:space="preserve"> </w:t>
      </w:r>
      <w:r>
        <w:rPr>
          <w:rFonts w:ascii="Arial"/>
          <w:b/>
          <w:sz w:val="21"/>
        </w:rPr>
        <w:t>columns</w:t>
      </w:r>
      <w:r>
        <w:rPr>
          <w:rFonts w:ascii="Arial"/>
          <w:b/>
          <w:spacing w:val="-4"/>
          <w:sz w:val="21"/>
        </w:rPr>
        <w:t xml:space="preserve"> </w:t>
      </w:r>
      <w:r>
        <w:rPr>
          <w:rFonts w:ascii="Arial"/>
          <w:b/>
          <w:sz w:val="21"/>
        </w:rPr>
        <w:t>l</w:t>
      </w:r>
      <w:r>
        <w:rPr>
          <w:rFonts w:ascii="Arial"/>
          <w:b/>
          <w:spacing w:val="-5"/>
          <w:sz w:val="21"/>
        </w:rPr>
        <w:t xml:space="preserve"> </w:t>
      </w:r>
      <w:r>
        <w:rPr>
          <w:rFonts w:ascii="Arial"/>
          <w:b/>
          <w:sz w:val="21"/>
        </w:rPr>
        <w:t>through</w:t>
      </w:r>
      <w:r>
        <w:rPr>
          <w:rFonts w:ascii="Arial"/>
          <w:b/>
          <w:spacing w:val="-3"/>
          <w:sz w:val="21"/>
        </w:rPr>
        <w:t xml:space="preserve"> </w:t>
      </w:r>
      <w:r>
        <w:rPr>
          <w:rFonts w:ascii="Arial"/>
          <w:b/>
          <w:spacing w:val="-10"/>
          <w:sz w:val="21"/>
        </w:rPr>
        <w:t>p</w:t>
      </w:r>
    </w:p>
    <w:p>
      <w:pPr>
        <w:pStyle w:val="BodyText"/>
        <w:ind w:left="440" w:right="478"/>
      </w:pPr>
      <w:r>
        <w:t>The</w:t>
      </w:r>
      <w:r>
        <w:rPr>
          <w:spacing w:val="-5"/>
        </w:rPr>
        <w:t xml:space="preserve"> </w:t>
      </w:r>
      <w:r>
        <w:t>values</w:t>
      </w:r>
      <w:r>
        <w:rPr>
          <w:spacing w:val="-3"/>
        </w:rPr>
        <w:t xml:space="preserve"> </w:t>
      </w:r>
      <w:r>
        <w:t>are</w:t>
      </w:r>
      <w:r>
        <w:rPr>
          <w:spacing w:val="-5"/>
        </w:rPr>
        <w:t xml:space="preserve"> </w:t>
      </w:r>
      <w:r>
        <w:t>calculated automatically</w:t>
      </w:r>
      <w:r>
        <w:rPr>
          <w:spacing w:val="-3"/>
        </w:rPr>
        <w:t xml:space="preserve"> </w:t>
      </w:r>
      <w:r>
        <w:t>in</w:t>
      </w:r>
      <w:r>
        <w:rPr>
          <w:spacing w:val="-3"/>
        </w:rPr>
        <w:t xml:space="preserve"> </w:t>
      </w:r>
      <w:r>
        <w:t>the</w:t>
      </w:r>
      <w:r>
        <w:rPr>
          <w:spacing w:val="-4"/>
        </w:rPr>
        <w:t xml:space="preserve"> </w:t>
      </w:r>
      <w:r>
        <w:t>BPT</w:t>
      </w:r>
      <w:r>
        <w:rPr>
          <w:spacing w:val="-3"/>
        </w:rPr>
        <w:t xml:space="preserve"> </w:t>
      </w:r>
      <w:r>
        <w:t>using</w:t>
      </w:r>
      <w:r>
        <w:rPr>
          <w:spacing w:val="-1"/>
        </w:rPr>
        <w:t xml:space="preserve"> </w:t>
      </w:r>
      <w:r>
        <w:t>information</w:t>
      </w:r>
      <w:r>
        <w:rPr>
          <w:spacing w:val="-3"/>
        </w:rPr>
        <w:t xml:space="preserve"> </w:t>
      </w:r>
      <w:r>
        <w:t>entered</w:t>
      </w:r>
      <w:r>
        <w:rPr>
          <w:spacing w:val="-3"/>
        </w:rPr>
        <w:t xml:space="preserve"> </w:t>
      </w:r>
      <w:r>
        <w:t>on</w:t>
      </w:r>
      <w:r>
        <w:rPr>
          <w:spacing w:val="-3"/>
        </w:rPr>
        <w:t xml:space="preserve"> </w:t>
      </w:r>
      <w:r>
        <w:t>lines</w:t>
      </w:r>
      <w:r>
        <w:rPr>
          <w:spacing w:val="-3"/>
        </w:rPr>
        <w:t xml:space="preserve"> </w:t>
      </w:r>
      <w:r>
        <w:t>1 through 9 for each column. Cell O57, “CMS Guideline Credibility” is calculated automatically in the BPT as the square root of total member months from Worksheet 1 divided by 60,000, not to exceed 100 percent.</w:t>
      </w:r>
    </w:p>
    <w:p>
      <w:pPr>
        <w:pStyle w:val="BodyText"/>
        <w:spacing w:before="45"/>
        <w:ind w:left="0"/>
      </w:pPr>
    </w:p>
    <w:p>
      <w:pPr>
        <w:pStyle w:val="Heading2"/>
      </w:pPr>
      <w:bookmarkStart w:id="135" w:name="Section V – PMPM Non-Benefit Expense and"/>
      <w:bookmarkEnd w:id="135"/>
      <w:bookmarkStart w:id="136" w:name="_bookmark38"/>
      <w:bookmarkEnd w:id="136"/>
      <w:r>
        <w:rPr>
          <w:smallCaps/>
        </w:rPr>
        <w:t>Section</w:t>
      </w:r>
      <w:r>
        <w:rPr>
          <w:smallCaps/>
          <w:spacing w:val="-15"/>
        </w:rPr>
        <w:t xml:space="preserve"> </w:t>
      </w:r>
      <w:r>
        <w:rPr>
          <w:smallCaps/>
        </w:rPr>
        <w:t>V</w:t>
      </w:r>
      <w:r>
        <w:rPr>
          <w:smallCaps/>
          <w:spacing w:val="-15"/>
        </w:rPr>
        <w:t xml:space="preserve"> </w:t>
      </w:r>
      <w:r>
        <w:rPr>
          <w:smallCaps/>
        </w:rPr>
        <w:t>–</w:t>
      </w:r>
      <w:r>
        <w:rPr>
          <w:smallCaps/>
          <w:spacing w:val="-15"/>
        </w:rPr>
        <w:t xml:space="preserve"> </w:t>
      </w:r>
      <w:r>
        <w:rPr>
          <w:smallCaps/>
        </w:rPr>
        <w:t>PMPM</w:t>
      </w:r>
      <w:r>
        <w:rPr>
          <w:smallCaps/>
          <w:spacing w:val="-15"/>
        </w:rPr>
        <w:t xml:space="preserve"> </w:t>
      </w:r>
      <w:r>
        <w:rPr>
          <w:smallCaps/>
        </w:rPr>
        <w:t>Non-Benefit</w:t>
      </w:r>
      <w:r>
        <w:rPr>
          <w:smallCaps/>
          <w:spacing w:val="-13"/>
        </w:rPr>
        <w:t xml:space="preserve"> </w:t>
      </w:r>
      <w:r>
        <w:rPr>
          <w:smallCaps/>
        </w:rPr>
        <w:t>Expense</w:t>
      </w:r>
      <w:r>
        <w:rPr>
          <w:smallCaps/>
          <w:spacing w:val="-11"/>
        </w:rPr>
        <w:t xml:space="preserve"> </w:t>
      </w:r>
      <w:r>
        <w:rPr>
          <w:smallCaps/>
        </w:rPr>
        <w:t>and</w:t>
      </w:r>
      <w:r>
        <w:rPr>
          <w:smallCaps/>
          <w:spacing w:val="-6"/>
        </w:rPr>
        <w:t xml:space="preserve"> </w:t>
      </w:r>
      <w:r>
        <w:rPr>
          <w:smallCaps/>
        </w:rPr>
        <w:t>Gain/Loss</w:t>
      </w:r>
      <w:r>
        <w:rPr>
          <w:smallCaps/>
          <w:spacing w:val="-9"/>
        </w:rPr>
        <w:t xml:space="preserve"> </w:t>
      </w:r>
      <w:r>
        <w:rPr>
          <w:smallCaps/>
          <w:spacing w:val="-2"/>
        </w:rPr>
        <w:t>Margin</w:t>
      </w:r>
    </w:p>
    <w:p>
      <w:pPr>
        <w:pStyle w:val="BodyText"/>
        <w:spacing w:before="179"/>
        <w:ind w:left="440" w:right="979"/>
      </w:pPr>
      <w:r>
        <w:t>Section</w:t>
      </w:r>
      <w:r>
        <w:rPr>
          <w:spacing w:val="-4"/>
        </w:rPr>
        <w:t xml:space="preserve"> </w:t>
      </w:r>
      <w:r>
        <w:t>V</w:t>
      </w:r>
      <w:r>
        <w:rPr>
          <w:spacing w:val="-4"/>
        </w:rPr>
        <w:t xml:space="preserve"> </w:t>
      </w:r>
      <w:r>
        <w:t>summarizes</w:t>
      </w:r>
      <w:r>
        <w:rPr>
          <w:spacing w:val="-4"/>
        </w:rPr>
        <w:t xml:space="preserve"> </w:t>
      </w:r>
      <w:r>
        <w:t>components</w:t>
      </w:r>
      <w:r>
        <w:rPr>
          <w:spacing w:val="-4"/>
        </w:rPr>
        <w:t xml:space="preserve"> </w:t>
      </w:r>
      <w:r>
        <w:t>of</w:t>
      </w:r>
      <w:r>
        <w:rPr>
          <w:spacing w:val="-4"/>
        </w:rPr>
        <w:t xml:space="preserve"> </w:t>
      </w:r>
      <w:r>
        <w:t>the</w:t>
      </w:r>
      <w:r>
        <w:rPr>
          <w:spacing w:val="-5"/>
        </w:rPr>
        <w:t xml:space="preserve"> </w:t>
      </w:r>
      <w:r>
        <w:t>contract</w:t>
      </w:r>
      <w:r>
        <w:rPr>
          <w:spacing w:val="-4"/>
        </w:rPr>
        <w:t xml:space="preserve"> </w:t>
      </w:r>
      <w:r>
        <w:t>period</w:t>
      </w:r>
      <w:r>
        <w:rPr>
          <w:spacing w:val="-4"/>
        </w:rPr>
        <w:t xml:space="preserve"> </w:t>
      </w:r>
      <w:r>
        <w:t>non-benefit</w:t>
      </w:r>
      <w:r>
        <w:rPr>
          <w:spacing w:val="-4"/>
        </w:rPr>
        <w:t xml:space="preserve"> </w:t>
      </w:r>
      <w:r>
        <w:t>expenses</w:t>
      </w:r>
      <w:r>
        <w:rPr>
          <w:spacing w:val="-4"/>
        </w:rPr>
        <w:t xml:space="preserve"> </w:t>
      </w:r>
      <w:r>
        <w:t>and gain/loss margin.</w:t>
      </w:r>
    </w:p>
    <w:p>
      <w:pPr>
        <w:spacing w:before="241"/>
        <w:ind w:left="440" w:right="0" w:firstLine="0"/>
        <w:jc w:val="left"/>
        <w:rPr>
          <w:rFonts w:ascii="Arial"/>
          <w:b/>
          <w:sz w:val="21"/>
        </w:rPr>
      </w:pPr>
      <w:bookmarkStart w:id="137" w:name="Lines 1 through 4"/>
      <w:bookmarkEnd w:id="137"/>
      <w:r>
        <w:rPr>
          <w:rFonts w:ascii="Arial"/>
          <w:b/>
          <w:sz w:val="21"/>
        </w:rPr>
        <w:t>Lines</w:t>
      </w:r>
      <w:r>
        <w:rPr>
          <w:rFonts w:ascii="Arial"/>
          <w:b/>
          <w:spacing w:val="-5"/>
          <w:sz w:val="21"/>
        </w:rPr>
        <w:t xml:space="preserve"> </w:t>
      </w:r>
      <w:r>
        <w:rPr>
          <w:rFonts w:ascii="Arial"/>
          <w:b/>
          <w:sz w:val="21"/>
        </w:rPr>
        <w:t>1</w:t>
      </w:r>
      <w:r>
        <w:rPr>
          <w:rFonts w:ascii="Arial"/>
          <w:b/>
          <w:spacing w:val="-5"/>
          <w:sz w:val="21"/>
        </w:rPr>
        <w:t xml:space="preserve"> </w:t>
      </w:r>
      <w:r>
        <w:rPr>
          <w:rFonts w:ascii="Arial"/>
          <w:b/>
          <w:sz w:val="21"/>
        </w:rPr>
        <w:t>through</w:t>
      </w:r>
      <w:r>
        <w:rPr>
          <w:rFonts w:ascii="Arial"/>
          <w:b/>
          <w:spacing w:val="-5"/>
          <w:sz w:val="21"/>
        </w:rPr>
        <w:t xml:space="preserve"> </w:t>
      </w:r>
      <w:r>
        <w:rPr>
          <w:rFonts w:ascii="Arial"/>
          <w:b/>
          <w:spacing w:val="-10"/>
          <w:sz w:val="21"/>
        </w:rPr>
        <w:t>4</w:t>
      </w:r>
    </w:p>
    <w:p>
      <w:pPr>
        <w:pStyle w:val="ListParagraph"/>
        <w:numPr>
          <w:ilvl w:val="0"/>
          <w:numId w:val="10"/>
        </w:numPr>
        <w:tabs>
          <w:tab w:val="left" w:pos="1159"/>
        </w:tabs>
        <w:spacing w:before="119"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e</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Projected</w:t>
      </w:r>
      <w:r>
        <w:rPr>
          <w:rFonts w:ascii="Arial" w:hAnsi="Arial"/>
          <w:b/>
          <w:spacing w:val="-4"/>
          <w:sz w:val="21"/>
        </w:rPr>
        <w:t xml:space="preserve"> </w:t>
      </w:r>
      <w:r>
        <w:rPr>
          <w:rFonts w:ascii="Arial" w:hAnsi="Arial"/>
          <w:b/>
          <w:spacing w:val="-2"/>
          <w:sz w:val="21"/>
        </w:rPr>
        <w:t>Expenses</w:t>
      </w:r>
    </w:p>
    <w:p>
      <w:pPr>
        <w:pStyle w:val="BodyText"/>
        <w:ind w:left="1160"/>
      </w:pPr>
      <w:r>
        <w:t>Enter</w:t>
      </w:r>
      <w:r>
        <w:rPr>
          <w:spacing w:val="-5"/>
        </w:rPr>
        <w:t xml:space="preserve"> </w:t>
      </w:r>
      <w:r>
        <w:t>the</w:t>
      </w:r>
      <w:r>
        <w:rPr>
          <w:spacing w:val="-1"/>
        </w:rPr>
        <w:t xml:space="preserve"> </w:t>
      </w:r>
      <w:r>
        <w:t>projected non-benefit</w:t>
      </w:r>
      <w:r>
        <w:rPr>
          <w:spacing w:val="-1"/>
        </w:rPr>
        <w:t xml:space="preserve"> </w:t>
      </w:r>
      <w:r>
        <w:t>expense</w:t>
      </w:r>
      <w:r>
        <w:rPr>
          <w:spacing w:val="-1"/>
        </w:rPr>
        <w:t xml:space="preserve"> </w:t>
      </w:r>
      <w:r>
        <w:t>by</w:t>
      </w:r>
      <w:r>
        <w:rPr>
          <w:spacing w:val="-1"/>
        </w:rPr>
        <w:t xml:space="preserve"> </w:t>
      </w:r>
      <w:r>
        <w:t>component for</w:t>
      </w:r>
      <w:r>
        <w:rPr>
          <w:spacing w:val="-2"/>
        </w:rPr>
        <w:t xml:space="preserve"> </w:t>
      </w:r>
      <w:r>
        <w:t xml:space="preserve">each </w:t>
      </w:r>
      <w:r>
        <w:rPr>
          <w:spacing w:val="-2"/>
        </w:rPr>
        <w:t>line.</w:t>
      </w:r>
    </w:p>
    <w:p>
      <w:pPr>
        <w:spacing w:before="241"/>
        <w:ind w:left="440" w:right="0" w:firstLine="0"/>
        <w:jc w:val="left"/>
        <w:rPr>
          <w:rFonts w:ascii="Arial" w:hAnsi="Arial"/>
          <w:b/>
          <w:sz w:val="21"/>
        </w:rPr>
      </w:pPr>
      <w:bookmarkStart w:id="138" w:name="Line 5 – Uncollected Cost Sharing Paymen"/>
      <w:bookmarkEnd w:id="138"/>
      <w:r>
        <w:rPr>
          <w:rFonts w:ascii="Arial" w:hAnsi="Arial"/>
          <w:b/>
          <w:sz w:val="21"/>
        </w:rPr>
        <w:t>Line</w:t>
      </w:r>
      <w:r>
        <w:rPr>
          <w:rFonts w:ascii="Arial" w:hAnsi="Arial"/>
          <w:b/>
          <w:spacing w:val="-6"/>
          <w:sz w:val="21"/>
        </w:rPr>
        <w:t xml:space="preserve"> </w:t>
      </w:r>
      <w:r>
        <w:rPr>
          <w:rFonts w:ascii="Arial" w:hAnsi="Arial"/>
          <w:b/>
          <w:sz w:val="21"/>
        </w:rPr>
        <w:t>5</w:t>
      </w:r>
      <w:r>
        <w:rPr>
          <w:rFonts w:ascii="Arial" w:hAnsi="Arial"/>
          <w:b/>
          <w:spacing w:val="-6"/>
          <w:sz w:val="21"/>
        </w:rPr>
        <w:t xml:space="preserve"> </w:t>
      </w:r>
      <w:r>
        <w:rPr>
          <w:rFonts w:ascii="Arial" w:hAnsi="Arial"/>
          <w:b/>
          <w:sz w:val="21"/>
        </w:rPr>
        <w:t>–</w:t>
      </w:r>
      <w:r>
        <w:rPr>
          <w:rFonts w:ascii="Arial" w:hAnsi="Arial"/>
          <w:b/>
          <w:spacing w:val="-7"/>
          <w:sz w:val="21"/>
        </w:rPr>
        <w:t xml:space="preserve"> </w:t>
      </w:r>
      <w:r>
        <w:rPr>
          <w:rFonts w:ascii="Arial" w:hAnsi="Arial"/>
          <w:b/>
          <w:sz w:val="21"/>
        </w:rPr>
        <w:t>Uncollected</w:t>
      </w:r>
      <w:r>
        <w:rPr>
          <w:rFonts w:ascii="Arial" w:hAnsi="Arial"/>
          <w:b/>
          <w:spacing w:val="-5"/>
          <w:sz w:val="21"/>
        </w:rPr>
        <w:t xml:space="preserve"> </w:t>
      </w:r>
      <w:r>
        <w:rPr>
          <w:rFonts w:ascii="Arial" w:hAnsi="Arial"/>
          <w:b/>
          <w:sz w:val="21"/>
        </w:rPr>
        <w:t>Cost</w:t>
      </w:r>
      <w:r>
        <w:rPr>
          <w:rFonts w:ascii="Arial" w:hAnsi="Arial"/>
          <w:b/>
          <w:spacing w:val="-6"/>
          <w:sz w:val="21"/>
        </w:rPr>
        <w:t xml:space="preserve"> </w:t>
      </w:r>
      <w:r>
        <w:rPr>
          <w:rFonts w:ascii="Arial" w:hAnsi="Arial"/>
          <w:b/>
          <w:sz w:val="21"/>
        </w:rPr>
        <w:t>Sharing</w:t>
      </w:r>
      <w:r>
        <w:rPr>
          <w:rFonts w:ascii="Arial" w:hAnsi="Arial"/>
          <w:b/>
          <w:spacing w:val="-5"/>
          <w:sz w:val="21"/>
        </w:rPr>
        <w:t xml:space="preserve"> </w:t>
      </w:r>
      <w:r>
        <w:rPr>
          <w:rFonts w:ascii="Arial" w:hAnsi="Arial"/>
          <w:b/>
          <w:sz w:val="21"/>
        </w:rPr>
        <w:t>Payments</w:t>
      </w:r>
      <w:r>
        <w:rPr>
          <w:rFonts w:ascii="Arial" w:hAnsi="Arial"/>
          <w:b/>
          <w:spacing w:val="-5"/>
          <w:sz w:val="21"/>
        </w:rPr>
        <w:t xml:space="preserve"> M3P</w:t>
      </w:r>
    </w:p>
    <w:p>
      <w:pPr>
        <w:pStyle w:val="ListParagraph"/>
        <w:numPr>
          <w:ilvl w:val="0"/>
          <w:numId w:val="10"/>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e</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Projected</w:t>
      </w:r>
      <w:r>
        <w:rPr>
          <w:rFonts w:ascii="Arial" w:hAnsi="Arial"/>
          <w:b/>
          <w:spacing w:val="-4"/>
          <w:sz w:val="21"/>
        </w:rPr>
        <w:t xml:space="preserve"> </w:t>
      </w:r>
      <w:r>
        <w:rPr>
          <w:rFonts w:ascii="Arial" w:hAnsi="Arial"/>
          <w:b/>
          <w:spacing w:val="-2"/>
          <w:sz w:val="21"/>
        </w:rPr>
        <w:t>Expenses</w:t>
      </w:r>
    </w:p>
    <w:p>
      <w:pPr>
        <w:pStyle w:val="BodyText"/>
        <w:spacing w:before="118"/>
        <w:ind w:left="1160" w:right="979"/>
      </w:pPr>
      <w:r>
        <w:t>Enter the uncollected cost sharing payments associated with the Medicare Prescription</w:t>
      </w:r>
      <w:r>
        <w:rPr>
          <w:spacing w:val="-4"/>
        </w:rPr>
        <w:t xml:space="preserve"> </w:t>
      </w:r>
      <w:r>
        <w:t>Payment</w:t>
      </w:r>
      <w:r>
        <w:rPr>
          <w:spacing w:val="-4"/>
        </w:rPr>
        <w:t xml:space="preserve"> </w:t>
      </w:r>
      <w:r>
        <w:t>Plan</w:t>
      </w:r>
      <w:r>
        <w:rPr>
          <w:spacing w:val="-3"/>
        </w:rPr>
        <w:t xml:space="preserve"> </w:t>
      </w:r>
      <w:r>
        <w:t>(M3P).</w:t>
      </w:r>
      <w:r>
        <w:rPr>
          <w:spacing w:val="-4"/>
        </w:rPr>
        <w:t xml:space="preserve"> </w:t>
      </w:r>
      <w:r>
        <w:t>Exclude</w:t>
      </w:r>
      <w:r>
        <w:rPr>
          <w:spacing w:val="-4"/>
        </w:rPr>
        <w:t xml:space="preserve"> </w:t>
      </w:r>
      <w:r>
        <w:t>all</w:t>
      </w:r>
      <w:r>
        <w:rPr>
          <w:spacing w:val="-4"/>
        </w:rPr>
        <w:t xml:space="preserve"> </w:t>
      </w:r>
      <w:r>
        <w:t>other</w:t>
      </w:r>
      <w:r>
        <w:rPr>
          <w:spacing w:val="-4"/>
        </w:rPr>
        <w:t xml:space="preserve"> </w:t>
      </w:r>
      <w:r>
        <w:t>types</w:t>
      </w:r>
      <w:r>
        <w:rPr>
          <w:spacing w:val="-4"/>
        </w:rPr>
        <w:t xml:space="preserve"> </w:t>
      </w:r>
      <w:r>
        <w:t>of</w:t>
      </w:r>
      <w:r>
        <w:rPr>
          <w:spacing w:val="-4"/>
        </w:rPr>
        <w:t xml:space="preserve"> </w:t>
      </w:r>
      <w:r>
        <w:t>bad</w:t>
      </w:r>
      <w:r>
        <w:rPr>
          <w:spacing w:val="-4"/>
        </w:rPr>
        <w:t xml:space="preserve"> </w:t>
      </w:r>
      <w:r>
        <w:t>debt</w:t>
      </w:r>
      <w:r>
        <w:rPr>
          <w:spacing w:val="-4"/>
        </w:rPr>
        <w:t xml:space="preserve"> </w:t>
      </w:r>
      <w:r>
        <w:t>and</w:t>
      </w:r>
      <w:r>
        <w:rPr>
          <w:spacing w:val="-3"/>
        </w:rPr>
        <w:t xml:space="preserve"> </w:t>
      </w:r>
      <w:r>
        <w:t>all</w:t>
      </w:r>
    </w:p>
    <w:p>
      <w:pPr>
        <w:spacing w:after="0"/>
        <w:sectPr>
          <w:pgSz w:w="12240" w:h="15840"/>
          <w:pgMar w:top="1340" w:right="1000" w:bottom="1080" w:left="1360" w:header="727" w:footer="891"/>
          <w:cols w:space="720"/>
        </w:sectPr>
      </w:pPr>
    </w:p>
    <w:p>
      <w:pPr>
        <w:pStyle w:val="BodyText"/>
        <w:spacing w:before="87"/>
        <w:ind w:left="1160" w:right="979"/>
      </w:pPr>
      <w:r>
        <w:t>administrative</w:t>
      </w:r>
      <w:r>
        <w:rPr>
          <w:spacing w:val="-7"/>
        </w:rPr>
        <w:t xml:space="preserve"> </w:t>
      </w:r>
      <w:r>
        <w:t>costs</w:t>
      </w:r>
      <w:r>
        <w:rPr>
          <w:spacing w:val="-6"/>
        </w:rPr>
        <w:t xml:space="preserve"> </w:t>
      </w:r>
      <w:r>
        <w:t>incurred</w:t>
      </w:r>
      <w:r>
        <w:rPr>
          <w:spacing w:val="-6"/>
        </w:rPr>
        <w:t xml:space="preserve"> </w:t>
      </w:r>
      <w:r>
        <w:t>from</w:t>
      </w:r>
      <w:r>
        <w:rPr>
          <w:spacing w:val="-6"/>
        </w:rPr>
        <w:t xml:space="preserve"> </w:t>
      </w:r>
      <w:r>
        <w:t>administering</w:t>
      </w:r>
      <w:r>
        <w:rPr>
          <w:spacing w:val="-6"/>
        </w:rPr>
        <w:t xml:space="preserve"> </w:t>
      </w:r>
      <w:r>
        <w:t>the</w:t>
      </w:r>
      <w:r>
        <w:rPr>
          <w:spacing w:val="-6"/>
        </w:rPr>
        <w:t xml:space="preserve"> </w:t>
      </w:r>
      <w:r>
        <w:t>Medicare</w:t>
      </w:r>
      <w:r>
        <w:rPr>
          <w:spacing w:val="-8"/>
        </w:rPr>
        <w:t xml:space="preserve"> </w:t>
      </w:r>
      <w:r>
        <w:t>Prescription Payment Plan.</w:t>
      </w:r>
    </w:p>
    <w:p>
      <w:pPr>
        <w:spacing w:before="240"/>
        <w:ind w:left="440" w:right="0" w:firstLine="0"/>
        <w:jc w:val="left"/>
        <w:rPr>
          <w:rFonts w:ascii="Arial" w:hAnsi="Arial"/>
          <w:b/>
          <w:sz w:val="21"/>
        </w:rPr>
      </w:pPr>
      <w:bookmarkStart w:id="139" w:name="Lines 6 through 8, column e – Non-Benefi"/>
      <w:bookmarkEnd w:id="139"/>
      <w:r>
        <w:rPr>
          <w:rFonts w:ascii="Arial" w:hAnsi="Arial"/>
          <w:b/>
          <w:sz w:val="21"/>
        </w:rPr>
        <w:t>Lines</w:t>
      </w:r>
      <w:r>
        <w:rPr>
          <w:rFonts w:ascii="Arial" w:hAnsi="Arial"/>
          <w:b/>
          <w:spacing w:val="-5"/>
          <w:sz w:val="21"/>
        </w:rPr>
        <w:t xml:space="preserve"> </w:t>
      </w:r>
      <w:r>
        <w:rPr>
          <w:rFonts w:ascii="Arial" w:hAnsi="Arial"/>
          <w:b/>
          <w:sz w:val="21"/>
        </w:rPr>
        <w:t>6</w:t>
      </w:r>
      <w:r>
        <w:rPr>
          <w:rFonts w:ascii="Arial" w:hAnsi="Arial"/>
          <w:b/>
          <w:spacing w:val="-5"/>
          <w:sz w:val="21"/>
        </w:rPr>
        <w:t xml:space="preserve"> </w:t>
      </w:r>
      <w:r>
        <w:rPr>
          <w:rFonts w:ascii="Arial" w:hAnsi="Arial"/>
          <w:b/>
          <w:sz w:val="21"/>
        </w:rPr>
        <w:t>through</w:t>
      </w:r>
      <w:r>
        <w:rPr>
          <w:rFonts w:ascii="Arial" w:hAnsi="Arial"/>
          <w:b/>
          <w:spacing w:val="-3"/>
          <w:sz w:val="21"/>
        </w:rPr>
        <w:t xml:space="preserve"> </w:t>
      </w:r>
      <w:r>
        <w:rPr>
          <w:rFonts w:ascii="Arial" w:hAnsi="Arial"/>
          <w:b/>
          <w:sz w:val="21"/>
        </w:rPr>
        <w:t>8,</w:t>
      </w:r>
      <w:r>
        <w:rPr>
          <w:rFonts w:ascii="Arial" w:hAnsi="Arial"/>
          <w:b/>
          <w:spacing w:val="-6"/>
          <w:sz w:val="21"/>
        </w:rPr>
        <w:t xml:space="preserve"> </w:t>
      </w:r>
      <w:r>
        <w:rPr>
          <w:rFonts w:ascii="Arial" w:hAnsi="Arial"/>
          <w:b/>
          <w:sz w:val="21"/>
        </w:rPr>
        <w:t>column</w:t>
      </w:r>
      <w:r>
        <w:rPr>
          <w:rFonts w:ascii="Arial" w:hAnsi="Arial"/>
          <w:b/>
          <w:spacing w:val="-5"/>
          <w:sz w:val="21"/>
        </w:rPr>
        <w:t xml:space="preserve"> </w:t>
      </w:r>
      <w:r>
        <w:rPr>
          <w:rFonts w:ascii="Arial" w:hAnsi="Arial"/>
          <w:b/>
          <w:sz w:val="21"/>
        </w:rPr>
        <w:t>e</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Non-Benefit</w:t>
      </w:r>
      <w:r>
        <w:rPr>
          <w:rFonts w:ascii="Arial" w:hAnsi="Arial"/>
          <w:b/>
          <w:spacing w:val="-5"/>
          <w:sz w:val="21"/>
        </w:rPr>
        <w:t xml:space="preserve"> </w:t>
      </w:r>
      <w:r>
        <w:rPr>
          <w:rFonts w:ascii="Arial" w:hAnsi="Arial"/>
          <w:b/>
          <w:spacing w:val="-2"/>
          <w:sz w:val="21"/>
        </w:rPr>
        <w:t>Expenses</w:t>
      </w:r>
    </w:p>
    <w:p>
      <w:pPr>
        <w:pStyle w:val="BodyText"/>
        <w:spacing w:before="121"/>
        <w:ind w:left="440" w:right="979"/>
      </w:pPr>
      <w:r>
        <w:t>The</w:t>
      </w:r>
      <w:r>
        <w:rPr>
          <w:spacing w:val="-4"/>
        </w:rPr>
        <w:t xml:space="preserve"> </w:t>
      </w:r>
      <w:r>
        <w:t>values</w:t>
      </w:r>
      <w:r>
        <w:rPr>
          <w:spacing w:val="-3"/>
        </w:rPr>
        <w:t xml:space="preserve"> </w:t>
      </w:r>
      <w:r>
        <w:t>are</w:t>
      </w:r>
      <w:r>
        <w:rPr>
          <w:spacing w:val="-5"/>
        </w:rPr>
        <w:t xml:space="preserve"> </w:t>
      </w:r>
      <w:r>
        <w:t>calculated automatically</w:t>
      </w:r>
      <w:r>
        <w:rPr>
          <w:spacing w:val="-3"/>
        </w:rPr>
        <w:t xml:space="preserve"> </w:t>
      </w:r>
      <w:r>
        <w:t>in</w:t>
      </w:r>
      <w:r>
        <w:rPr>
          <w:spacing w:val="-3"/>
        </w:rPr>
        <w:t xml:space="preserve"> </w:t>
      </w:r>
      <w:r>
        <w:t>the</w:t>
      </w:r>
      <w:r>
        <w:rPr>
          <w:spacing w:val="-4"/>
        </w:rPr>
        <w:t xml:space="preserve"> </w:t>
      </w:r>
      <w:r>
        <w:t>BPT</w:t>
      </w:r>
      <w:r>
        <w:rPr>
          <w:spacing w:val="-3"/>
        </w:rPr>
        <w:t xml:space="preserve"> </w:t>
      </w:r>
      <w:r>
        <w:t>using</w:t>
      </w:r>
      <w:r>
        <w:rPr>
          <w:spacing w:val="-1"/>
        </w:rPr>
        <w:t xml:space="preserve"> </w:t>
      </w:r>
      <w:r>
        <w:t>values</w:t>
      </w:r>
      <w:r>
        <w:rPr>
          <w:spacing w:val="-4"/>
        </w:rPr>
        <w:t xml:space="preserve"> </w:t>
      </w:r>
      <w:r>
        <w:t>from</w:t>
      </w:r>
      <w:r>
        <w:rPr>
          <w:spacing w:val="-3"/>
        </w:rPr>
        <w:t xml:space="preserve"> </w:t>
      </w:r>
      <w:r>
        <w:t>lines</w:t>
      </w:r>
      <w:r>
        <w:rPr>
          <w:spacing w:val="-1"/>
        </w:rPr>
        <w:t xml:space="preserve"> </w:t>
      </w:r>
      <w:r>
        <w:t>1</w:t>
      </w:r>
      <w:r>
        <w:rPr>
          <w:spacing w:val="-3"/>
        </w:rPr>
        <w:t xml:space="preserve"> </w:t>
      </w:r>
      <w:r>
        <w:t>through</w:t>
      </w:r>
      <w:r>
        <w:rPr>
          <w:spacing w:val="-3"/>
        </w:rPr>
        <w:t xml:space="preserve"> </w:t>
      </w:r>
      <w:r>
        <w:t>5 and using values from Worksheet 5.</w:t>
      </w:r>
    </w:p>
    <w:p>
      <w:pPr>
        <w:spacing w:before="240"/>
        <w:ind w:left="440" w:right="0" w:firstLine="0"/>
        <w:jc w:val="left"/>
        <w:rPr>
          <w:rFonts w:ascii="Arial" w:hAnsi="Arial"/>
          <w:b/>
          <w:sz w:val="21"/>
        </w:rPr>
      </w:pPr>
      <w:bookmarkStart w:id="140" w:name="Lines 9 through 10, column e – Gain/Loss"/>
      <w:bookmarkEnd w:id="140"/>
      <w:r>
        <w:rPr>
          <w:rFonts w:ascii="Arial" w:hAnsi="Arial"/>
          <w:b/>
          <w:sz w:val="21"/>
        </w:rPr>
        <w:t>Lines</w:t>
      </w:r>
      <w:r>
        <w:rPr>
          <w:rFonts w:ascii="Arial" w:hAnsi="Arial"/>
          <w:b/>
          <w:spacing w:val="-5"/>
          <w:sz w:val="21"/>
        </w:rPr>
        <w:t xml:space="preserve"> </w:t>
      </w:r>
      <w:r>
        <w:rPr>
          <w:rFonts w:ascii="Arial" w:hAnsi="Arial"/>
          <w:b/>
          <w:sz w:val="21"/>
        </w:rPr>
        <w:t>9</w:t>
      </w:r>
      <w:r>
        <w:rPr>
          <w:rFonts w:ascii="Arial" w:hAnsi="Arial"/>
          <w:b/>
          <w:spacing w:val="-4"/>
          <w:sz w:val="21"/>
        </w:rPr>
        <w:t xml:space="preserve"> </w:t>
      </w:r>
      <w:r>
        <w:rPr>
          <w:rFonts w:ascii="Arial" w:hAnsi="Arial"/>
          <w:b/>
          <w:sz w:val="21"/>
        </w:rPr>
        <w:t>through</w:t>
      </w:r>
      <w:r>
        <w:rPr>
          <w:rFonts w:ascii="Arial" w:hAnsi="Arial"/>
          <w:b/>
          <w:spacing w:val="-3"/>
          <w:sz w:val="21"/>
        </w:rPr>
        <w:t xml:space="preserve"> </w:t>
      </w:r>
      <w:r>
        <w:rPr>
          <w:rFonts w:ascii="Arial" w:hAnsi="Arial"/>
          <w:b/>
          <w:sz w:val="21"/>
        </w:rPr>
        <w:t>10,</w:t>
      </w:r>
      <w:r>
        <w:rPr>
          <w:rFonts w:ascii="Arial" w:hAnsi="Arial"/>
          <w:b/>
          <w:spacing w:val="-5"/>
          <w:sz w:val="21"/>
        </w:rPr>
        <w:t xml:space="preserve"> </w:t>
      </w:r>
      <w:r>
        <w:rPr>
          <w:rFonts w:ascii="Arial" w:hAnsi="Arial"/>
          <w:b/>
          <w:sz w:val="21"/>
        </w:rPr>
        <w:t>column</w:t>
      </w:r>
      <w:r>
        <w:rPr>
          <w:rFonts w:ascii="Arial" w:hAnsi="Arial"/>
          <w:b/>
          <w:spacing w:val="-4"/>
          <w:sz w:val="21"/>
        </w:rPr>
        <w:t xml:space="preserve"> </w:t>
      </w:r>
      <w:r>
        <w:rPr>
          <w:rFonts w:ascii="Arial" w:hAnsi="Arial"/>
          <w:b/>
          <w:sz w:val="21"/>
        </w:rPr>
        <w:t>e</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Gain/Loss</w:t>
      </w:r>
      <w:r>
        <w:rPr>
          <w:rFonts w:ascii="Arial" w:hAnsi="Arial"/>
          <w:b/>
          <w:spacing w:val="-4"/>
          <w:sz w:val="21"/>
        </w:rPr>
        <w:t xml:space="preserve"> </w:t>
      </w:r>
      <w:r>
        <w:rPr>
          <w:rFonts w:ascii="Arial" w:hAnsi="Arial"/>
          <w:b/>
          <w:spacing w:val="-2"/>
          <w:sz w:val="21"/>
        </w:rPr>
        <w:t>Margin</w:t>
      </w:r>
    </w:p>
    <w:p>
      <w:pPr>
        <w:pStyle w:val="BodyText"/>
        <w:spacing w:before="118"/>
        <w:ind w:left="440" w:right="979"/>
      </w:pPr>
      <w:r>
        <w:t>The</w:t>
      </w:r>
      <w:r>
        <w:rPr>
          <w:spacing w:val="-5"/>
        </w:rPr>
        <w:t xml:space="preserve"> </w:t>
      </w:r>
      <w:r>
        <w:t>values</w:t>
      </w:r>
      <w:r>
        <w:rPr>
          <w:spacing w:val="-3"/>
        </w:rPr>
        <w:t xml:space="preserve"> </w:t>
      </w:r>
      <w:r>
        <w:t>are</w:t>
      </w:r>
      <w:r>
        <w:rPr>
          <w:spacing w:val="-5"/>
        </w:rPr>
        <w:t xml:space="preserve"> </w:t>
      </w:r>
      <w:r>
        <w:t>calculated</w:t>
      </w:r>
      <w:r>
        <w:rPr>
          <w:spacing w:val="-2"/>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1"/>
        </w:rPr>
        <w:t xml:space="preserve"> </w:t>
      </w:r>
      <w:r>
        <w:t>using</w:t>
      </w:r>
      <w:r>
        <w:rPr>
          <w:spacing w:val="-3"/>
        </w:rPr>
        <w:t xml:space="preserve"> </w:t>
      </w:r>
      <w:r>
        <w:t>values</w:t>
      </w:r>
      <w:r>
        <w:rPr>
          <w:spacing w:val="-3"/>
        </w:rPr>
        <w:t xml:space="preserve"> </w:t>
      </w:r>
      <w:r>
        <w:t>from</w:t>
      </w:r>
      <w:r>
        <w:rPr>
          <w:spacing w:val="-3"/>
        </w:rPr>
        <w:t xml:space="preserve"> </w:t>
      </w:r>
      <w:r>
        <w:t>Worksheets</w:t>
      </w:r>
      <w:r>
        <w:rPr>
          <w:spacing w:val="-3"/>
        </w:rPr>
        <w:t xml:space="preserve"> </w:t>
      </w:r>
      <w:r>
        <w:t>2</w:t>
      </w:r>
      <w:r>
        <w:rPr>
          <w:spacing w:val="-3"/>
        </w:rPr>
        <w:t xml:space="preserve"> </w:t>
      </w:r>
      <w:r>
        <w:t xml:space="preserve">and </w:t>
      </w:r>
      <w:r>
        <w:rPr>
          <w:spacing w:val="-6"/>
        </w:rPr>
        <w:t>5.</w:t>
      </w:r>
    </w:p>
    <w:p>
      <w:pPr>
        <w:spacing w:before="241"/>
        <w:ind w:left="440" w:right="0" w:firstLine="0"/>
        <w:jc w:val="left"/>
        <w:rPr>
          <w:rFonts w:ascii="Arial" w:hAnsi="Arial"/>
          <w:b/>
          <w:sz w:val="21"/>
        </w:rPr>
      </w:pPr>
      <w:bookmarkStart w:id="141" w:name="Line 11 – Total Gain/Loss Margin"/>
      <w:bookmarkEnd w:id="141"/>
      <w:r>
        <w:rPr>
          <w:rFonts w:ascii="Arial" w:hAnsi="Arial"/>
          <w:b/>
          <w:sz w:val="21"/>
        </w:rPr>
        <w:t>Line</w:t>
      </w:r>
      <w:r>
        <w:rPr>
          <w:rFonts w:ascii="Arial" w:hAnsi="Arial"/>
          <w:b/>
          <w:spacing w:val="-4"/>
          <w:sz w:val="21"/>
        </w:rPr>
        <w:t xml:space="preserve"> </w:t>
      </w:r>
      <w:r>
        <w:rPr>
          <w:rFonts w:ascii="Arial" w:hAnsi="Arial"/>
          <w:b/>
          <w:sz w:val="21"/>
        </w:rPr>
        <w:t>11</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Total</w:t>
      </w:r>
      <w:r>
        <w:rPr>
          <w:rFonts w:ascii="Arial" w:hAnsi="Arial"/>
          <w:b/>
          <w:spacing w:val="-5"/>
          <w:sz w:val="21"/>
        </w:rPr>
        <w:t xml:space="preserve"> </w:t>
      </w:r>
      <w:r>
        <w:rPr>
          <w:rFonts w:ascii="Arial" w:hAnsi="Arial"/>
          <w:b/>
          <w:sz w:val="21"/>
        </w:rPr>
        <w:t>Gain/Loss</w:t>
      </w:r>
      <w:r>
        <w:rPr>
          <w:rFonts w:ascii="Arial" w:hAnsi="Arial"/>
          <w:b/>
          <w:spacing w:val="-3"/>
          <w:sz w:val="21"/>
        </w:rPr>
        <w:t xml:space="preserve"> </w:t>
      </w:r>
      <w:r>
        <w:rPr>
          <w:rFonts w:ascii="Arial" w:hAnsi="Arial"/>
          <w:b/>
          <w:spacing w:val="-2"/>
          <w:sz w:val="21"/>
        </w:rPr>
        <w:t>Margin</w:t>
      </w:r>
    </w:p>
    <w:p>
      <w:pPr>
        <w:pStyle w:val="BodyText"/>
        <w:spacing w:before="121"/>
        <w:ind w:left="440"/>
      </w:pPr>
      <w:r>
        <w:t>Enter</w:t>
      </w:r>
      <w:r>
        <w:rPr>
          <w:spacing w:val="-1"/>
        </w:rPr>
        <w:t xml:space="preserve"> </w:t>
      </w:r>
      <w:r>
        <w:t>the</w:t>
      </w:r>
      <w:r>
        <w:rPr>
          <w:spacing w:val="-3"/>
        </w:rPr>
        <w:t xml:space="preserve"> </w:t>
      </w:r>
      <w:r>
        <w:t>estimated</w:t>
      </w:r>
      <w:r>
        <w:rPr>
          <w:spacing w:val="-1"/>
        </w:rPr>
        <w:t xml:space="preserve"> </w:t>
      </w:r>
      <w:r>
        <w:t>PMPM</w:t>
      </w:r>
      <w:r>
        <w:rPr>
          <w:spacing w:val="-1"/>
        </w:rPr>
        <w:t xml:space="preserve"> </w:t>
      </w:r>
      <w:r>
        <w:t>amount</w:t>
      </w:r>
      <w:r>
        <w:rPr>
          <w:spacing w:val="-1"/>
        </w:rPr>
        <w:t xml:space="preserve"> </w:t>
      </w:r>
      <w:r>
        <w:t>of</w:t>
      </w:r>
      <w:r>
        <w:rPr>
          <w:spacing w:val="-1"/>
        </w:rPr>
        <w:t xml:space="preserve"> </w:t>
      </w:r>
      <w:r>
        <w:t>gain</w:t>
      </w:r>
      <w:r>
        <w:rPr>
          <w:spacing w:val="-1"/>
        </w:rPr>
        <w:t xml:space="preserve"> </w:t>
      </w:r>
      <w:r>
        <w:t>or</w:t>
      </w:r>
      <w:r>
        <w:rPr>
          <w:spacing w:val="-1"/>
        </w:rPr>
        <w:t xml:space="preserve"> </w:t>
      </w:r>
      <w:r>
        <w:t>loss</w:t>
      </w:r>
      <w:r>
        <w:rPr>
          <w:spacing w:val="-1"/>
        </w:rPr>
        <w:t xml:space="preserve"> </w:t>
      </w:r>
      <w:r>
        <w:t>projected</w:t>
      </w:r>
      <w:r>
        <w:rPr>
          <w:spacing w:val="-1"/>
        </w:rPr>
        <w:t xml:space="preserve"> </w:t>
      </w:r>
      <w:r>
        <w:t>during</w:t>
      </w:r>
      <w:r>
        <w:rPr>
          <w:spacing w:val="-1"/>
        </w:rPr>
        <w:t xml:space="preserve"> </w:t>
      </w:r>
      <w:r>
        <w:t>the contract</w:t>
      </w:r>
      <w:r>
        <w:rPr>
          <w:spacing w:val="-1"/>
        </w:rPr>
        <w:t xml:space="preserve"> </w:t>
      </w:r>
      <w:r>
        <w:rPr>
          <w:spacing w:val="-2"/>
        </w:rPr>
        <w:t>period.</w:t>
      </w:r>
    </w:p>
    <w:p>
      <w:pPr>
        <w:pStyle w:val="BodyText"/>
        <w:spacing w:before="45"/>
        <w:ind w:left="0"/>
      </w:pPr>
    </w:p>
    <w:p>
      <w:pPr>
        <w:pStyle w:val="Heading2"/>
      </w:pPr>
      <w:bookmarkStart w:id="142" w:name="Section VI – Percentage of Revenue"/>
      <w:bookmarkEnd w:id="142"/>
      <w:bookmarkStart w:id="143" w:name="_bookmark39"/>
      <w:bookmarkEnd w:id="143"/>
      <w:r>
        <w:rPr>
          <w:smallCaps/>
        </w:rPr>
        <w:t>Section</w:t>
      </w:r>
      <w:r>
        <w:rPr>
          <w:smallCaps/>
          <w:spacing w:val="-15"/>
        </w:rPr>
        <w:t xml:space="preserve"> </w:t>
      </w:r>
      <w:r>
        <w:rPr>
          <w:smallCaps/>
        </w:rPr>
        <w:t>VI</w:t>
      </w:r>
      <w:r>
        <w:rPr>
          <w:smallCaps/>
          <w:spacing w:val="-15"/>
        </w:rPr>
        <w:t xml:space="preserve"> </w:t>
      </w:r>
      <w:r>
        <w:rPr>
          <w:smallCaps/>
        </w:rPr>
        <w:t>–</w:t>
      </w:r>
      <w:r>
        <w:rPr>
          <w:smallCaps/>
          <w:spacing w:val="-15"/>
        </w:rPr>
        <w:t xml:space="preserve"> </w:t>
      </w:r>
      <w:r>
        <w:rPr>
          <w:smallCaps/>
        </w:rPr>
        <w:t>Percentage</w:t>
      </w:r>
      <w:r>
        <w:rPr>
          <w:smallCaps/>
          <w:spacing w:val="-8"/>
        </w:rPr>
        <w:t xml:space="preserve"> </w:t>
      </w:r>
      <w:r>
        <w:rPr>
          <w:smallCaps/>
        </w:rPr>
        <w:t>of</w:t>
      </w:r>
      <w:r>
        <w:rPr>
          <w:smallCaps/>
          <w:spacing w:val="-5"/>
        </w:rPr>
        <w:t xml:space="preserve"> </w:t>
      </w:r>
      <w:r>
        <w:rPr>
          <w:smallCaps/>
          <w:spacing w:val="-2"/>
        </w:rPr>
        <w:t>Revenue</w:t>
      </w:r>
    </w:p>
    <w:p>
      <w:pPr>
        <w:pStyle w:val="BodyText"/>
        <w:spacing w:before="179"/>
        <w:ind w:left="440" w:right="979"/>
      </w:pPr>
      <w:r>
        <w:t>Section</w:t>
      </w:r>
      <w:r>
        <w:rPr>
          <w:spacing w:val="-3"/>
        </w:rPr>
        <w:t xml:space="preserve"> </w:t>
      </w:r>
      <w:r>
        <w:t>VI</w:t>
      </w:r>
      <w:r>
        <w:rPr>
          <w:spacing w:val="-7"/>
        </w:rPr>
        <w:t xml:space="preserve"> </w:t>
      </w:r>
      <w:r>
        <w:t>summarizes</w:t>
      </w:r>
      <w:r>
        <w:rPr>
          <w:spacing w:val="-3"/>
        </w:rPr>
        <w:t xml:space="preserve"> </w:t>
      </w:r>
      <w:r>
        <w:t>the</w:t>
      </w:r>
      <w:r>
        <w:rPr>
          <w:spacing w:val="-4"/>
        </w:rPr>
        <w:t xml:space="preserve"> </w:t>
      </w:r>
      <w:r>
        <w:t>components</w:t>
      </w:r>
      <w:r>
        <w:rPr>
          <w:spacing w:val="-3"/>
        </w:rPr>
        <w:t xml:space="preserve"> </w:t>
      </w:r>
      <w:r>
        <w:t>of</w:t>
      </w:r>
      <w:r>
        <w:rPr>
          <w:spacing w:val="-3"/>
        </w:rPr>
        <w:t xml:space="preserve"> </w:t>
      </w:r>
      <w:r>
        <w:t>the</w:t>
      </w:r>
      <w:r>
        <w:rPr>
          <w:spacing w:val="-4"/>
        </w:rPr>
        <w:t xml:space="preserve"> </w:t>
      </w:r>
      <w:r>
        <w:t>total</w:t>
      </w:r>
      <w:r>
        <w:rPr>
          <w:spacing w:val="-3"/>
        </w:rPr>
        <w:t xml:space="preserve"> </w:t>
      </w:r>
      <w:r>
        <w:t>basic</w:t>
      </w:r>
      <w:r>
        <w:rPr>
          <w:spacing w:val="-4"/>
        </w:rPr>
        <w:t xml:space="preserve"> </w:t>
      </w:r>
      <w:r>
        <w:t>bid</w:t>
      </w:r>
      <w:r>
        <w:rPr>
          <w:spacing w:val="-3"/>
        </w:rPr>
        <w:t xml:space="preserve"> </w:t>
      </w:r>
      <w:r>
        <w:t>amount</w:t>
      </w:r>
      <w:r>
        <w:rPr>
          <w:spacing w:val="-3"/>
        </w:rPr>
        <w:t xml:space="preserve"> </w:t>
      </w:r>
      <w:r>
        <w:t>and</w:t>
      </w:r>
      <w:r>
        <w:rPr>
          <w:spacing w:val="-3"/>
        </w:rPr>
        <w:t xml:space="preserve"> </w:t>
      </w:r>
      <w:r>
        <w:t>calculates the ratios of claims, non-benefit expenses and gain/loss margin to the total basic bid.</w:t>
      </w:r>
    </w:p>
    <w:p>
      <w:pPr>
        <w:spacing w:before="241"/>
        <w:ind w:left="440" w:right="0" w:firstLine="0"/>
        <w:jc w:val="left"/>
        <w:rPr>
          <w:rFonts w:ascii="Arial"/>
          <w:b/>
          <w:sz w:val="21"/>
        </w:rPr>
      </w:pPr>
      <w:bookmarkStart w:id="144" w:name="Lines 1 through 3, column j"/>
      <w:bookmarkEnd w:id="144"/>
      <w:r>
        <w:rPr>
          <w:rFonts w:ascii="Arial"/>
          <w:b/>
          <w:sz w:val="21"/>
        </w:rPr>
        <w:t>Lines</w:t>
      </w:r>
      <w:r>
        <w:rPr>
          <w:rFonts w:ascii="Arial"/>
          <w:b/>
          <w:spacing w:val="-5"/>
          <w:sz w:val="21"/>
        </w:rPr>
        <w:t xml:space="preserve"> </w:t>
      </w:r>
      <w:r>
        <w:rPr>
          <w:rFonts w:ascii="Arial"/>
          <w:b/>
          <w:sz w:val="21"/>
        </w:rPr>
        <w:t>1</w:t>
      </w:r>
      <w:r>
        <w:rPr>
          <w:rFonts w:ascii="Arial"/>
          <w:b/>
          <w:spacing w:val="-4"/>
          <w:sz w:val="21"/>
        </w:rPr>
        <w:t xml:space="preserve"> </w:t>
      </w:r>
      <w:r>
        <w:rPr>
          <w:rFonts w:ascii="Arial"/>
          <w:b/>
          <w:sz w:val="21"/>
        </w:rPr>
        <w:t>through</w:t>
      </w:r>
      <w:r>
        <w:rPr>
          <w:rFonts w:ascii="Arial"/>
          <w:b/>
          <w:spacing w:val="-3"/>
          <w:sz w:val="21"/>
        </w:rPr>
        <w:t xml:space="preserve"> </w:t>
      </w:r>
      <w:r>
        <w:rPr>
          <w:rFonts w:ascii="Arial"/>
          <w:b/>
          <w:sz w:val="21"/>
        </w:rPr>
        <w:t>3,</w:t>
      </w:r>
      <w:r>
        <w:rPr>
          <w:rFonts w:ascii="Arial"/>
          <w:b/>
          <w:spacing w:val="-6"/>
          <w:sz w:val="21"/>
        </w:rPr>
        <w:t xml:space="preserve"> </w:t>
      </w:r>
      <w:r>
        <w:rPr>
          <w:rFonts w:ascii="Arial"/>
          <w:b/>
          <w:sz w:val="21"/>
        </w:rPr>
        <w:t>column</w:t>
      </w:r>
      <w:r>
        <w:rPr>
          <w:rFonts w:ascii="Arial"/>
          <w:b/>
          <w:spacing w:val="-3"/>
          <w:sz w:val="21"/>
        </w:rPr>
        <w:t xml:space="preserve"> </w:t>
      </w:r>
      <w:r>
        <w:rPr>
          <w:rFonts w:ascii="Arial"/>
          <w:b/>
          <w:spacing w:val="-10"/>
          <w:sz w:val="21"/>
        </w:rPr>
        <w:t>j</w:t>
      </w:r>
    </w:p>
    <w:p>
      <w:pPr>
        <w:pStyle w:val="BodyText"/>
        <w:spacing w:before="118"/>
        <w:ind w:left="440" w:right="979"/>
      </w:pPr>
      <w:r>
        <w:t>The</w:t>
      </w:r>
      <w:r>
        <w:rPr>
          <w:spacing w:val="-5"/>
        </w:rPr>
        <w:t xml:space="preserve"> </w:t>
      </w:r>
      <w:r>
        <w:t>values</w:t>
      </w:r>
      <w:r>
        <w:rPr>
          <w:spacing w:val="-3"/>
        </w:rPr>
        <w:t xml:space="preserve"> </w:t>
      </w:r>
      <w:r>
        <w:t>are</w:t>
      </w:r>
      <w:r>
        <w:rPr>
          <w:spacing w:val="-5"/>
        </w:rPr>
        <w:t xml:space="preserve"> </w:t>
      </w:r>
      <w:r>
        <w:t>calculated</w:t>
      </w:r>
      <w:r>
        <w:rPr>
          <w:spacing w:val="-2"/>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3"/>
        </w:rPr>
        <w:t xml:space="preserve"> </w:t>
      </w:r>
      <w:r>
        <w:t>using</w:t>
      </w:r>
      <w:r>
        <w:rPr>
          <w:spacing w:val="-3"/>
        </w:rPr>
        <w:t xml:space="preserve"> </w:t>
      </w:r>
      <w:r>
        <w:t>values</w:t>
      </w:r>
      <w:r>
        <w:rPr>
          <w:spacing w:val="-3"/>
        </w:rPr>
        <w:t xml:space="preserve"> </w:t>
      </w:r>
      <w:r>
        <w:t>from Worksheets</w:t>
      </w:r>
      <w:r>
        <w:rPr>
          <w:spacing w:val="-3"/>
        </w:rPr>
        <w:t xml:space="preserve"> </w:t>
      </w:r>
      <w:r>
        <w:t>3,</w:t>
      </w:r>
      <w:r>
        <w:rPr>
          <w:spacing w:val="-3"/>
        </w:rPr>
        <w:t xml:space="preserve"> </w:t>
      </w:r>
      <w:r>
        <w:t>4, and 5.</w:t>
      </w:r>
    </w:p>
    <w:p>
      <w:pPr>
        <w:spacing w:before="240"/>
        <w:ind w:left="440" w:right="0" w:firstLine="0"/>
        <w:jc w:val="left"/>
        <w:rPr>
          <w:rFonts w:ascii="Arial"/>
          <w:b/>
          <w:sz w:val="21"/>
        </w:rPr>
      </w:pPr>
      <w:bookmarkStart w:id="145" w:name="Line 4, column j"/>
      <w:bookmarkEnd w:id="145"/>
      <w:r>
        <w:rPr>
          <w:rFonts w:ascii="Arial"/>
          <w:b/>
          <w:sz w:val="21"/>
        </w:rPr>
        <w:t>Line</w:t>
      </w:r>
      <w:r>
        <w:rPr>
          <w:rFonts w:ascii="Arial"/>
          <w:b/>
          <w:spacing w:val="-4"/>
          <w:sz w:val="21"/>
        </w:rPr>
        <w:t xml:space="preserve"> </w:t>
      </w:r>
      <w:r>
        <w:rPr>
          <w:rFonts w:ascii="Arial"/>
          <w:b/>
          <w:sz w:val="21"/>
        </w:rPr>
        <w:t>4,</w:t>
      </w:r>
      <w:r>
        <w:rPr>
          <w:rFonts w:ascii="Arial"/>
          <w:b/>
          <w:spacing w:val="-4"/>
          <w:sz w:val="21"/>
        </w:rPr>
        <w:t xml:space="preserve"> </w:t>
      </w:r>
      <w:r>
        <w:rPr>
          <w:rFonts w:ascii="Arial"/>
          <w:b/>
          <w:sz w:val="21"/>
        </w:rPr>
        <w:t>column</w:t>
      </w:r>
      <w:r>
        <w:rPr>
          <w:rFonts w:ascii="Arial"/>
          <w:b/>
          <w:spacing w:val="-3"/>
          <w:sz w:val="21"/>
        </w:rPr>
        <w:t xml:space="preserve"> </w:t>
      </w:r>
      <w:r>
        <w:rPr>
          <w:rFonts w:ascii="Arial"/>
          <w:b/>
          <w:spacing w:val="-10"/>
          <w:sz w:val="21"/>
        </w:rPr>
        <w:t>j</w:t>
      </w:r>
    </w:p>
    <w:p>
      <w:pPr>
        <w:pStyle w:val="BodyText"/>
        <w:spacing w:before="121"/>
        <w:ind w:left="440"/>
      </w:pPr>
      <w:r>
        <w:t>The</w:t>
      </w:r>
      <w:r>
        <w:rPr>
          <w:spacing w:val="-3"/>
        </w:rPr>
        <w:t xml:space="preserve"> </w:t>
      </w:r>
      <w:r>
        <w:t>value</w:t>
      </w:r>
      <w:r>
        <w:rPr>
          <w:spacing w:val="-1"/>
        </w:rPr>
        <w:t xml:space="preserve"> </w:t>
      </w:r>
      <w:r>
        <w:t>is calculated</w:t>
      </w:r>
      <w:r>
        <w:rPr>
          <w:spacing w:val="-1"/>
        </w:rPr>
        <w:t xml:space="preserve"> </w:t>
      </w:r>
      <w:r>
        <w:t>automatically in</w:t>
      </w:r>
      <w:r>
        <w:rPr>
          <w:spacing w:val="-1"/>
        </w:rPr>
        <w:t xml:space="preserve"> </w:t>
      </w:r>
      <w:r>
        <w:t>the</w:t>
      </w:r>
      <w:r>
        <w:rPr>
          <w:spacing w:val="-1"/>
        </w:rPr>
        <w:t xml:space="preserve"> </w:t>
      </w:r>
      <w:r>
        <w:t>BPT</w:t>
      </w:r>
      <w:r>
        <w:rPr>
          <w:spacing w:val="-4"/>
        </w:rPr>
        <w:t xml:space="preserve"> </w:t>
      </w:r>
      <w:r>
        <w:t>as the</w:t>
      </w:r>
      <w:r>
        <w:rPr>
          <w:spacing w:val="-1"/>
        </w:rPr>
        <w:t xml:space="preserve"> </w:t>
      </w:r>
      <w:r>
        <w:t>sum of</w:t>
      </w:r>
      <w:r>
        <w:rPr>
          <w:spacing w:val="-1"/>
        </w:rPr>
        <w:t xml:space="preserve"> </w:t>
      </w:r>
      <w:r>
        <w:t>lines 1</w:t>
      </w:r>
      <w:r>
        <w:rPr>
          <w:spacing w:val="-1"/>
        </w:rPr>
        <w:t xml:space="preserve"> </w:t>
      </w:r>
      <w:r>
        <w:t xml:space="preserve">through </w:t>
      </w:r>
      <w:r>
        <w:rPr>
          <w:spacing w:val="-5"/>
        </w:rPr>
        <w:t>3.</w:t>
      </w:r>
    </w:p>
    <w:p>
      <w:pPr>
        <w:spacing w:before="241"/>
        <w:ind w:left="440" w:right="0" w:firstLine="0"/>
        <w:jc w:val="left"/>
        <w:rPr>
          <w:rFonts w:ascii="Arial"/>
          <w:b/>
          <w:sz w:val="21"/>
        </w:rPr>
      </w:pPr>
      <w:bookmarkStart w:id="146" w:name="Lines 5a through 5c, column j"/>
      <w:bookmarkEnd w:id="146"/>
      <w:r>
        <w:rPr>
          <w:rFonts w:ascii="Arial"/>
          <w:b/>
          <w:sz w:val="21"/>
        </w:rPr>
        <w:t>Lines</w:t>
      </w:r>
      <w:r>
        <w:rPr>
          <w:rFonts w:ascii="Arial"/>
          <w:b/>
          <w:spacing w:val="-4"/>
          <w:sz w:val="21"/>
        </w:rPr>
        <w:t xml:space="preserve"> </w:t>
      </w:r>
      <w:r>
        <w:rPr>
          <w:rFonts w:ascii="Arial"/>
          <w:b/>
          <w:sz w:val="21"/>
        </w:rPr>
        <w:t>5a</w:t>
      </w:r>
      <w:r>
        <w:rPr>
          <w:rFonts w:ascii="Arial"/>
          <w:b/>
          <w:spacing w:val="-4"/>
          <w:sz w:val="21"/>
        </w:rPr>
        <w:t xml:space="preserve"> </w:t>
      </w:r>
      <w:r>
        <w:rPr>
          <w:rFonts w:ascii="Arial"/>
          <w:b/>
          <w:sz w:val="21"/>
        </w:rPr>
        <w:t>through</w:t>
      </w:r>
      <w:r>
        <w:rPr>
          <w:rFonts w:ascii="Arial"/>
          <w:b/>
          <w:spacing w:val="-4"/>
          <w:sz w:val="21"/>
        </w:rPr>
        <w:t xml:space="preserve"> </w:t>
      </w:r>
      <w:r>
        <w:rPr>
          <w:rFonts w:ascii="Arial"/>
          <w:b/>
          <w:sz w:val="21"/>
        </w:rPr>
        <w:t>5c,</w:t>
      </w:r>
      <w:r>
        <w:rPr>
          <w:rFonts w:ascii="Arial"/>
          <w:b/>
          <w:spacing w:val="-4"/>
          <w:sz w:val="21"/>
        </w:rPr>
        <w:t xml:space="preserve"> </w:t>
      </w:r>
      <w:r>
        <w:rPr>
          <w:rFonts w:ascii="Arial"/>
          <w:b/>
          <w:sz w:val="21"/>
        </w:rPr>
        <w:t>column</w:t>
      </w:r>
      <w:r>
        <w:rPr>
          <w:rFonts w:ascii="Arial"/>
          <w:b/>
          <w:spacing w:val="-4"/>
          <w:sz w:val="21"/>
        </w:rPr>
        <w:t xml:space="preserve"> </w:t>
      </w:r>
      <w:r>
        <w:rPr>
          <w:rFonts w:ascii="Arial"/>
          <w:b/>
          <w:spacing w:val="-10"/>
          <w:sz w:val="21"/>
        </w:rPr>
        <w:t>j</w:t>
      </w:r>
    </w:p>
    <w:p>
      <w:pPr>
        <w:pStyle w:val="BodyText"/>
        <w:spacing w:before="118"/>
        <w:ind w:left="440"/>
      </w:pPr>
      <w:r>
        <w:t>The</w:t>
      </w:r>
      <w:r>
        <w:rPr>
          <w:spacing w:val="-5"/>
        </w:rPr>
        <w:t xml:space="preserve"> </w:t>
      </w:r>
      <w:r>
        <w:t>values are</w:t>
      </w:r>
      <w:r>
        <w:rPr>
          <w:spacing w:val="-3"/>
        </w:rPr>
        <w:t xml:space="preserve"> </w:t>
      </w:r>
      <w:r>
        <w:t>calculated</w:t>
      </w:r>
      <w:r>
        <w:rPr>
          <w:spacing w:val="1"/>
        </w:rPr>
        <w:t xml:space="preserve"> </w:t>
      </w:r>
      <w:r>
        <w:t>automatically</w:t>
      </w:r>
      <w:r>
        <w:rPr>
          <w:spacing w:val="-1"/>
        </w:rPr>
        <w:t xml:space="preserve"> </w:t>
      </w:r>
      <w:r>
        <w:t>in the</w:t>
      </w:r>
      <w:r>
        <w:rPr>
          <w:spacing w:val="-1"/>
        </w:rPr>
        <w:t xml:space="preserve"> </w:t>
      </w:r>
      <w:r>
        <w:t>BPT</w:t>
      </w:r>
      <w:r>
        <w:rPr>
          <w:spacing w:val="-1"/>
        </w:rPr>
        <w:t xml:space="preserve"> </w:t>
      </w:r>
      <w:r>
        <w:t>as percentages</w:t>
      </w:r>
      <w:r>
        <w:rPr>
          <w:spacing w:val="1"/>
        </w:rPr>
        <w:t xml:space="preserve"> </w:t>
      </w:r>
      <w:r>
        <w:t>of the</w:t>
      </w:r>
      <w:r>
        <w:rPr>
          <w:spacing w:val="-3"/>
        </w:rPr>
        <w:t xml:space="preserve"> </w:t>
      </w:r>
      <w:r>
        <w:t xml:space="preserve">total basic </w:t>
      </w:r>
      <w:r>
        <w:rPr>
          <w:spacing w:val="-4"/>
        </w:rPr>
        <w:t>bid.</w:t>
      </w:r>
    </w:p>
    <w:p>
      <w:pPr>
        <w:pStyle w:val="BodyText"/>
        <w:spacing w:before="44"/>
        <w:ind w:left="0"/>
      </w:pPr>
    </w:p>
    <w:p>
      <w:pPr>
        <w:pStyle w:val="Heading2"/>
        <w:spacing w:before="1"/>
      </w:pPr>
      <w:bookmarkStart w:id="147" w:name="Section VII – Related Party"/>
      <w:bookmarkEnd w:id="147"/>
      <w:bookmarkStart w:id="148" w:name="_bookmark40"/>
      <w:bookmarkEnd w:id="148"/>
      <w:r>
        <w:rPr>
          <w:smallCaps/>
        </w:rPr>
        <w:t>Section</w:t>
      </w:r>
      <w:r>
        <w:rPr>
          <w:smallCaps/>
          <w:spacing w:val="-15"/>
        </w:rPr>
        <w:t xml:space="preserve"> </w:t>
      </w:r>
      <w:r>
        <w:rPr>
          <w:smallCaps/>
        </w:rPr>
        <w:t>VII</w:t>
      </w:r>
      <w:r>
        <w:rPr>
          <w:smallCaps/>
          <w:spacing w:val="-15"/>
        </w:rPr>
        <w:t xml:space="preserve"> </w:t>
      </w:r>
      <w:r>
        <w:rPr>
          <w:smallCaps/>
        </w:rPr>
        <w:t>–</w:t>
      </w:r>
      <w:r>
        <w:rPr>
          <w:smallCaps/>
          <w:spacing w:val="-15"/>
        </w:rPr>
        <w:t xml:space="preserve"> </w:t>
      </w:r>
      <w:r>
        <w:rPr>
          <w:smallCaps/>
        </w:rPr>
        <w:t>Related</w:t>
      </w:r>
      <w:r>
        <w:rPr>
          <w:smallCaps/>
          <w:spacing w:val="-5"/>
        </w:rPr>
        <w:t xml:space="preserve"> </w:t>
      </w:r>
      <w:r>
        <w:rPr>
          <w:smallCaps/>
          <w:spacing w:val="-4"/>
        </w:rPr>
        <w:t>Party</w:t>
      </w:r>
    </w:p>
    <w:p>
      <w:pPr>
        <w:pStyle w:val="BodyText"/>
        <w:spacing w:before="179"/>
        <w:ind w:left="440"/>
      </w:pPr>
      <w:r>
        <w:t>Section</w:t>
      </w:r>
      <w:r>
        <w:rPr>
          <w:spacing w:val="-1"/>
        </w:rPr>
        <w:t xml:space="preserve"> </w:t>
      </w:r>
      <w:r>
        <w:t>VII</w:t>
      </w:r>
      <w:r>
        <w:rPr>
          <w:spacing w:val="-5"/>
        </w:rPr>
        <w:t xml:space="preserve"> </w:t>
      </w:r>
      <w:r>
        <w:t>summarizes</w:t>
      </w:r>
      <w:r>
        <w:rPr>
          <w:spacing w:val="-1"/>
        </w:rPr>
        <w:t xml:space="preserve"> </w:t>
      </w:r>
      <w:r>
        <w:t>the</w:t>
      </w:r>
      <w:r>
        <w:rPr>
          <w:spacing w:val="-1"/>
        </w:rPr>
        <w:t xml:space="preserve"> </w:t>
      </w:r>
      <w:r>
        <w:t>components</w:t>
      </w:r>
      <w:r>
        <w:rPr>
          <w:spacing w:val="-1"/>
        </w:rPr>
        <w:t xml:space="preserve"> </w:t>
      </w:r>
      <w:r>
        <w:t>of</w:t>
      </w:r>
      <w:r>
        <w:rPr>
          <w:spacing w:val="-1"/>
        </w:rPr>
        <w:t xml:space="preserve"> </w:t>
      </w:r>
      <w:r>
        <w:t>related</w:t>
      </w:r>
      <w:r>
        <w:rPr>
          <w:spacing w:val="1"/>
        </w:rPr>
        <w:t xml:space="preserve"> </w:t>
      </w:r>
      <w:r>
        <w:rPr>
          <w:spacing w:val="-2"/>
        </w:rPr>
        <w:t>party.</w:t>
      </w:r>
    </w:p>
    <w:p>
      <w:pPr>
        <w:spacing w:before="241"/>
        <w:ind w:left="440" w:right="0" w:firstLine="0"/>
        <w:jc w:val="left"/>
        <w:rPr>
          <w:rFonts w:ascii="Arial" w:hAnsi="Arial"/>
          <w:b/>
          <w:sz w:val="21"/>
        </w:rPr>
      </w:pPr>
      <w:bookmarkStart w:id="149" w:name="Line 1 – Related-Party Allowed Cost PMPM"/>
      <w:bookmarkEnd w:id="149"/>
      <w:r>
        <w:rPr>
          <w:rFonts w:ascii="Arial" w:hAnsi="Arial"/>
          <w:b/>
          <w:sz w:val="21"/>
        </w:rPr>
        <w:t>Line</w:t>
      </w:r>
      <w:r>
        <w:rPr>
          <w:rFonts w:ascii="Arial" w:hAnsi="Arial"/>
          <w:b/>
          <w:spacing w:val="-6"/>
          <w:sz w:val="21"/>
        </w:rPr>
        <w:t xml:space="preserve"> </w:t>
      </w:r>
      <w:r>
        <w:rPr>
          <w:rFonts w:ascii="Arial" w:hAnsi="Arial"/>
          <w:b/>
          <w:sz w:val="21"/>
        </w:rPr>
        <w:t>1</w:t>
      </w:r>
      <w:r>
        <w:rPr>
          <w:rFonts w:ascii="Arial" w:hAnsi="Arial"/>
          <w:b/>
          <w:spacing w:val="-5"/>
          <w:sz w:val="21"/>
        </w:rPr>
        <w:t xml:space="preserve"> </w:t>
      </w:r>
      <w:r>
        <w:rPr>
          <w:rFonts w:ascii="Arial" w:hAnsi="Arial"/>
          <w:b/>
          <w:sz w:val="21"/>
        </w:rPr>
        <w:t>–</w:t>
      </w:r>
      <w:r>
        <w:rPr>
          <w:rFonts w:ascii="Arial" w:hAnsi="Arial"/>
          <w:b/>
          <w:spacing w:val="-7"/>
          <w:sz w:val="21"/>
        </w:rPr>
        <w:t xml:space="preserve"> </w:t>
      </w:r>
      <w:r>
        <w:rPr>
          <w:rFonts w:ascii="Arial" w:hAnsi="Arial"/>
          <w:b/>
          <w:sz w:val="21"/>
        </w:rPr>
        <w:t>Related-Party</w:t>
      </w:r>
      <w:r>
        <w:rPr>
          <w:rFonts w:ascii="Arial" w:hAnsi="Arial"/>
          <w:b/>
          <w:spacing w:val="-5"/>
          <w:sz w:val="21"/>
        </w:rPr>
        <w:t xml:space="preserve"> </w:t>
      </w:r>
      <w:r>
        <w:rPr>
          <w:rFonts w:ascii="Arial" w:hAnsi="Arial"/>
          <w:b/>
          <w:sz w:val="21"/>
        </w:rPr>
        <w:t>Allowed</w:t>
      </w:r>
      <w:r>
        <w:rPr>
          <w:rFonts w:ascii="Arial" w:hAnsi="Arial"/>
          <w:b/>
          <w:spacing w:val="-4"/>
          <w:sz w:val="21"/>
        </w:rPr>
        <w:t xml:space="preserve"> </w:t>
      </w:r>
      <w:r>
        <w:rPr>
          <w:rFonts w:ascii="Arial" w:hAnsi="Arial"/>
          <w:b/>
          <w:sz w:val="21"/>
        </w:rPr>
        <w:t>Cost</w:t>
      </w:r>
      <w:r>
        <w:rPr>
          <w:rFonts w:ascii="Arial" w:hAnsi="Arial"/>
          <w:b/>
          <w:spacing w:val="-6"/>
          <w:sz w:val="21"/>
        </w:rPr>
        <w:t xml:space="preserve"> </w:t>
      </w:r>
      <w:r>
        <w:rPr>
          <w:rFonts w:ascii="Arial" w:hAnsi="Arial"/>
          <w:b/>
          <w:spacing w:val="-4"/>
          <w:sz w:val="21"/>
        </w:rPr>
        <w:t>PMPM</w:t>
      </w:r>
    </w:p>
    <w:p>
      <w:pPr>
        <w:pStyle w:val="BodyText"/>
        <w:ind w:left="440" w:right="478"/>
      </w:pPr>
      <w:r>
        <w:t>Enter</w:t>
      </w:r>
      <w:r>
        <w:rPr>
          <w:spacing w:val="-3"/>
        </w:rPr>
        <w:t xml:space="preserve"> </w:t>
      </w:r>
      <w:r>
        <w:t>the</w:t>
      </w:r>
      <w:r>
        <w:rPr>
          <w:spacing w:val="-5"/>
        </w:rPr>
        <w:t xml:space="preserve"> </w:t>
      </w:r>
      <w:r>
        <w:t>best</w:t>
      </w:r>
      <w:r>
        <w:rPr>
          <w:spacing w:val="-3"/>
        </w:rPr>
        <w:t xml:space="preserve"> </w:t>
      </w:r>
      <w:r>
        <w:t>estimate</w:t>
      </w:r>
      <w:r>
        <w:rPr>
          <w:spacing w:val="-4"/>
        </w:rPr>
        <w:t xml:space="preserve"> </w:t>
      </w:r>
      <w:r>
        <w:t>of</w:t>
      </w:r>
      <w:r>
        <w:rPr>
          <w:spacing w:val="-2"/>
        </w:rPr>
        <w:t xml:space="preserve"> </w:t>
      </w:r>
      <w:r>
        <w:t>the</w:t>
      </w:r>
      <w:r>
        <w:rPr>
          <w:spacing w:val="-3"/>
        </w:rPr>
        <w:t xml:space="preserve"> </w:t>
      </w:r>
      <w:r>
        <w:t>plan</w:t>
      </w:r>
      <w:r>
        <w:rPr>
          <w:spacing w:val="-3"/>
        </w:rPr>
        <w:t xml:space="preserve"> </w:t>
      </w:r>
      <w:r>
        <w:t>sponsor’s</w:t>
      </w:r>
      <w:r>
        <w:rPr>
          <w:spacing w:val="-4"/>
        </w:rPr>
        <w:t xml:space="preserve"> </w:t>
      </w:r>
      <w:r>
        <w:t>total</w:t>
      </w:r>
      <w:r>
        <w:rPr>
          <w:spacing w:val="-3"/>
        </w:rPr>
        <w:t xml:space="preserve"> </w:t>
      </w:r>
      <w:r>
        <w:t>allowed</w:t>
      </w:r>
      <w:r>
        <w:rPr>
          <w:spacing w:val="-3"/>
        </w:rPr>
        <w:t xml:space="preserve"> </w:t>
      </w:r>
      <w:r>
        <w:t>PMPM</w:t>
      </w:r>
      <w:r>
        <w:rPr>
          <w:spacing w:val="-4"/>
        </w:rPr>
        <w:t xml:space="preserve"> </w:t>
      </w:r>
      <w:r>
        <w:t>cost</w:t>
      </w:r>
      <w:r>
        <w:rPr>
          <w:spacing w:val="-3"/>
        </w:rPr>
        <w:t xml:space="preserve"> </w:t>
      </w:r>
      <w:r>
        <w:t>for</w:t>
      </w:r>
      <w:r>
        <w:rPr>
          <w:spacing w:val="-4"/>
        </w:rPr>
        <w:t xml:space="preserve"> </w:t>
      </w:r>
      <w:r>
        <w:t>the</w:t>
      </w:r>
      <w:r>
        <w:rPr>
          <w:spacing w:val="-3"/>
        </w:rPr>
        <w:t xml:space="preserve"> </w:t>
      </w:r>
      <w:r>
        <w:t>sum</w:t>
      </w:r>
      <w:r>
        <w:rPr>
          <w:spacing w:val="-3"/>
        </w:rPr>
        <w:t xml:space="preserve"> </w:t>
      </w:r>
      <w:r>
        <w:t>of</w:t>
      </w:r>
      <w:r>
        <w:rPr>
          <w:spacing w:val="-3"/>
        </w:rPr>
        <w:t xml:space="preserve"> </w:t>
      </w:r>
      <w:r>
        <w:t xml:space="preserve">the </w:t>
      </w:r>
      <w:r>
        <w:rPr>
          <w:spacing w:val="-2"/>
        </w:rPr>
        <w:t>following:</w:t>
      </w:r>
    </w:p>
    <w:p>
      <w:pPr>
        <w:pStyle w:val="ListParagraph"/>
        <w:numPr>
          <w:ilvl w:val="0"/>
          <w:numId w:val="9"/>
        </w:numPr>
        <w:tabs>
          <w:tab w:val="left" w:pos="1159"/>
        </w:tabs>
        <w:spacing w:before="140" w:after="0" w:line="240" w:lineRule="auto"/>
        <w:ind w:left="1159" w:right="0" w:hanging="359"/>
        <w:jc w:val="left"/>
        <w:rPr>
          <w:sz w:val="24"/>
        </w:rPr>
      </w:pPr>
      <w:r>
        <w:rPr>
          <w:sz w:val="24"/>
        </w:rPr>
        <w:t>All</w:t>
      </w:r>
      <w:r>
        <w:rPr>
          <w:spacing w:val="-1"/>
          <w:sz w:val="24"/>
        </w:rPr>
        <w:t xml:space="preserve"> </w:t>
      </w:r>
      <w:r>
        <w:rPr>
          <w:sz w:val="24"/>
        </w:rPr>
        <w:t>related-party</w:t>
      </w:r>
      <w:r>
        <w:rPr>
          <w:spacing w:val="-1"/>
          <w:sz w:val="24"/>
        </w:rPr>
        <w:t xml:space="preserve"> </w:t>
      </w:r>
      <w:r>
        <w:rPr>
          <w:sz w:val="24"/>
        </w:rPr>
        <w:t>pharmacy</w:t>
      </w:r>
      <w:r>
        <w:rPr>
          <w:spacing w:val="-1"/>
          <w:sz w:val="24"/>
        </w:rPr>
        <w:t xml:space="preserve"> </w:t>
      </w:r>
      <w:r>
        <w:rPr>
          <w:sz w:val="24"/>
        </w:rPr>
        <w:t>services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bid, </w:t>
      </w:r>
      <w:r>
        <w:rPr>
          <w:spacing w:val="-5"/>
          <w:sz w:val="24"/>
        </w:rPr>
        <w:t>and</w:t>
      </w:r>
    </w:p>
    <w:p>
      <w:pPr>
        <w:pStyle w:val="ListParagraph"/>
        <w:numPr>
          <w:ilvl w:val="0"/>
          <w:numId w:val="9"/>
        </w:numPr>
        <w:tabs>
          <w:tab w:val="left" w:pos="1159"/>
        </w:tabs>
        <w:spacing w:before="141" w:after="0" w:line="240" w:lineRule="auto"/>
        <w:ind w:left="800" w:right="880" w:firstLine="0"/>
        <w:jc w:val="left"/>
        <w:rPr>
          <w:sz w:val="24"/>
        </w:rPr>
      </w:pPr>
      <w:r>
        <w:rPr>
          <w:sz w:val="24"/>
        </w:rPr>
        <w:t>Services</w:t>
      </w:r>
      <w:r>
        <w:rPr>
          <w:spacing w:val="-4"/>
          <w:sz w:val="24"/>
        </w:rPr>
        <w:t xml:space="preserve"> </w:t>
      </w:r>
      <w:r>
        <w:rPr>
          <w:sz w:val="24"/>
        </w:rPr>
        <w:t>that</w:t>
      </w:r>
      <w:r>
        <w:rPr>
          <w:spacing w:val="-4"/>
          <w:sz w:val="24"/>
        </w:rPr>
        <w:t xml:space="preserve"> </w:t>
      </w:r>
      <w:r>
        <w:rPr>
          <w:sz w:val="24"/>
        </w:rPr>
        <w:t>are</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entities</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same</w:t>
      </w:r>
      <w:r>
        <w:rPr>
          <w:spacing w:val="-4"/>
          <w:sz w:val="24"/>
        </w:rPr>
        <w:t xml:space="preserve"> </w:t>
      </w:r>
      <w:r>
        <w:rPr>
          <w:sz w:val="24"/>
        </w:rPr>
        <w:t>tax</w:t>
      </w:r>
      <w:r>
        <w:rPr>
          <w:spacing w:val="-4"/>
          <w:sz w:val="24"/>
        </w:rPr>
        <w:t xml:space="preserve"> </w:t>
      </w:r>
      <w:r>
        <w:rPr>
          <w:sz w:val="24"/>
        </w:rPr>
        <w:t>identification</w:t>
      </w:r>
      <w:r>
        <w:rPr>
          <w:spacing w:val="-4"/>
          <w:sz w:val="24"/>
        </w:rPr>
        <w:t xml:space="preserve"> </w:t>
      </w:r>
      <w:r>
        <w:rPr>
          <w:sz w:val="24"/>
        </w:rPr>
        <w:t>number</w:t>
      </w:r>
      <w:r>
        <w:rPr>
          <w:spacing w:val="-2"/>
          <w:sz w:val="24"/>
        </w:rPr>
        <w:t xml:space="preserve"> </w:t>
      </w:r>
      <w:r>
        <w:rPr>
          <w:sz w:val="24"/>
        </w:rPr>
        <w:t>and that are reported in the bid.</w:t>
      </w:r>
    </w:p>
    <w:p>
      <w:pPr>
        <w:pStyle w:val="BodyText"/>
        <w:spacing w:before="139"/>
        <w:ind w:left="440" w:right="979"/>
      </w:pPr>
      <w:r>
        <w:t>This</w:t>
      </w:r>
      <w:r>
        <w:rPr>
          <w:spacing w:val="-3"/>
        </w:rPr>
        <w:t xml:space="preserve"> </w:t>
      </w:r>
      <w:r>
        <w:t>entry</w:t>
      </w:r>
      <w:r>
        <w:rPr>
          <w:spacing w:val="-3"/>
        </w:rPr>
        <w:t xml:space="preserve"> </w:t>
      </w:r>
      <w:r>
        <w:t>should</w:t>
      </w:r>
      <w:r>
        <w:rPr>
          <w:spacing w:val="-3"/>
        </w:rPr>
        <w:t xml:space="preserve"> </w:t>
      </w:r>
      <w:r>
        <w:t>be</w:t>
      </w:r>
      <w:r>
        <w:rPr>
          <w:spacing w:val="-4"/>
        </w:rPr>
        <w:t xml:space="preserve"> </w:t>
      </w:r>
      <w:r>
        <w:t>based</w:t>
      </w:r>
      <w:r>
        <w:rPr>
          <w:spacing w:val="-3"/>
        </w:rPr>
        <w:t xml:space="preserve"> </w:t>
      </w:r>
      <w:r>
        <w:t>on</w:t>
      </w:r>
      <w:r>
        <w:rPr>
          <w:spacing w:val="-3"/>
        </w:rPr>
        <w:t xml:space="preserve"> </w:t>
      </w:r>
      <w:r>
        <w:t>the</w:t>
      </w:r>
      <w:r>
        <w:rPr>
          <w:spacing w:val="-3"/>
        </w:rPr>
        <w:t xml:space="preserve"> </w:t>
      </w:r>
      <w:r>
        <w:t>plan</w:t>
      </w:r>
      <w:r>
        <w:rPr>
          <w:spacing w:val="-3"/>
        </w:rPr>
        <w:t xml:space="preserve"> </w:t>
      </w:r>
      <w:r>
        <w:t>benefit.</w:t>
      </w:r>
      <w:r>
        <w:rPr>
          <w:spacing w:val="-1"/>
        </w:rPr>
        <w:t xml:space="preserve"> </w:t>
      </w:r>
      <w:r>
        <w:t>For</w:t>
      </w:r>
      <w:r>
        <w:rPr>
          <w:spacing w:val="-2"/>
        </w:rPr>
        <w:t xml:space="preserve"> </w:t>
      </w:r>
      <w:r>
        <w:t>defined</w:t>
      </w:r>
      <w:r>
        <w:rPr>
          <w:spacing w:val="-3"/>
        </w:rPr>
        <w:t xml:space="preserve"> </w:t>
      </w:r>
      <w:r>
        <w:t>standard</w:t>
      </w:r>
      <w:r>
        <w:rPr>
          <w:spacing w:val="-3"/>
        </w:rPr>
        <w:t xml:space="preserve"> </w:t>
      </w:r>
      <w:r>
        <w:t>plans,</w:t>
      </w:r>
      <w:r>
        <w:rPr>
          <w:spacing w:val="-3"/>
        </w:rPr>
        <w:t xml:space="preserve"> </w:t>
      </w:r>
      <w:r>
        <w:t>the</w:t>
      </w:r>
      <w:r>
        <w:rPr>
          <w:spacing w:val="-4"/>
        </w:rPr>
        <w:t xml:space="preserve"> </w:t>
      </w:r>
      <w:r>
        <w:t>related- party allowed cost PMPM should be based on the defined standard benefit. For alternative benefit plans, these costs should be based on the alternative benefit.</w:t>
      </w:r>
    </w:p>
    <w:p>
      <w:pPr>
        <w:spacing w:after="0"/>
        <w:sectPr>
          <w:pgSz w:w="12240" w:h="15840"/>
          <w:pgMar w:top="1340" w:right="1000" w:bottom="1080" w:left="1360" w:header="727" w:footer="891"/>
          <w:cols w:space="720"/>
        </w:sectPr>
      </w:pPr>
    </w:p>
    <w:p>
      <w:pPr>
        <w:spacing w:before="87"/>
        <w:ind w:left="440" w:right="0" w:firstLine="0"/>
        <w:jc w:val="left"/>
        <w:rPr>
          <w:rFonts w:ascii="Arial" w:hAnsi="Arial"/>
          <w:b/>
          <w:sz w:val="21"/>
        </w:rPr>
      </w:pPr>
      <w:bookmarkStart w:id="150" w:name="Line 2 – Related-Party Non-Benefit Expen"/>
      <w:bookmarkEnd w:id="150"/>
      <w:r>
        <w:rPr>
          <w:rFonts w:ascii="Arial" w:hAnsi="Arial"/>
          <w:b/>
          <w:sz w:val="21"/>
        </w:rPr>
        <w:t>Line</w:t>
      </w:r>
      <w:r>
        <w:rPr>
          <w:rFonts w:ascii="Arial" w:hAnsi="Arial"/>
          <w:b/>
          <w:spacing w:val="-9"/>
          <w:sz w:val="21"/>
        </w:rPr>
        <w:t xml:space="preserve"> </w:t>
      </w:r>
      <w:r>
        <w:rPr>
          <w:rFonts w:ascii="Arial" w:hAnsi="Arial"/>
          <w:b/>
          <w:sz w:val="21"/>
        </w:rPr>
        <w:t>2</w:t>
      </w:r>
      <w:r>
        <w:rPr>
          <w:rFonts w:ascii="Arial" w:hAnsi="Arial"/>
          <w:b/>
          <w:spacing w:val="-7"/>
          <w:sz w:val="21"/>
        </w:rPr>
        <w:t xml:space="preserve"> </w:t>
      </w:r>
      <w:r>
        <w:rPr>
          <w:rFonts w:ascii="Arial" w:hAnsi="Arial"/>
          <w:b/>
          <w:sz w:val="21"/>
        </w:rPr>
        <w:t>–</w:t>
      </w:r>
      <w:r>
        <w:rPr>
          <w:rFonts w:ascii="Arial" w:hAnsi="Arial"/>
          <w:b/>
          <w:spacing w:val="-8"/>
          <w:sz w:val="21"/>
        </w:rPr>
        <w:t xml:space="preserve"> </w:t>
      </w:r>
      <w:r>
        <w:rPr>
          <w:rFonts w:ascii="Arial" w:hAnsi="Arial"/>
          <w:b/>
          <w:sz w:val="21"/>
        </w:rPr>
        <w:t>Related-Party</w:t>
      </w:r>
      <w:r>
        <w:rPr>
          <w:rFonts w:ascii="Arial" w:hAnsi="Arial"/>
          <w:b/>
          <w:spacing w:val="-6"/>
          <w:sz w:val="21"/>
        </w:rPr>
        <w:t xml:space="preserve"> </w:t>
      </w:r>
      <w:r>
        <w:rPr>
          <w:rFonts w:ascii="Arial" w:hAnsi="Arial"/>
          <w:b/>
          <w:sz w:val="21"/>
        </w:rPr>
        <w:t>Non-Benefit</w:t>
      </w:r>
      <w:r>
        <w:rPr>
          <w:rFonts w:ascii="Arial" w:hAnsi="Arial"/>
          <w:b/>
          <w:spacing w:val="-8"/>
          <w:sz w:val="21"/>
        </w:rPr>
        <w:t xml:space="preserve"> </w:t>
      </w:r>
      <w:r>
        <w:rPr>
          <w:rFonts w:ascii="Arial" w:hAnsi="Arial"/>
          <w:b/>
          <w:sz w:val="21"/>
        </w:rPr>
        <w:t>Expense</w:t>
      </w:r>
      <w:r>
        <w:rPr>
          <w:rFonts w:ascii="Arial" w:hAnsi="Arial"/>
          <w:b/>
          <w:spacing w:val="-6"/>
          <w:sz w:val="21"/>
        </w:rPr>
        <w:t xml:space="preserve"> </w:t>
      </w:r>
      <w:r>
        <w:rPr>
          <w:rFonts w:ascii="Arial" w:hAnsi="Arial"/>
          <w:b/>
          <w:spacing w:val="-4"/>
          <w:sz w:val="21"/>
        </w:rPr>
        <w:t>PMPM</w:t>
      </w:r>
    </w:p>
    <w:p>
      <w:pPr>
        <w:pStyle w:val="BodyText"/>
        <w:spacing w:before="121"/>
        <w:ind w:left="440" w:right="816"/>
      </w:pPr>
      <w:r>
        <w:t>Enter the best estimate of the plan sponsor’s total PMPM cost for all related-party non- benefit expenses reported in the bid. This entry should be based on the plan benefit. For defined</w:t>
      </w:r>
      <w:r>
        <w:rPr>
          <w:spacing w:val="-1"/>
        </w:rPr>
        <w:t xml:space="preserve"> </w:t>
      </w:r>
      <w:r>
        <w:t>standard</w:t>
      </w:r>
      <w:r>
        <w:rPr>
          <w:spacing w:val="-1"/>
        </w:rPr>
        <w:t xml:space="preserve"> </w:t>
      </w:r>
      <w:r>
        <w:t>plans,</w:t>
      </w:r>
      <w:r>
        <w:rPr>
          <w:spacing w:val="-1"/>
        </w:rPr>
        <w:t xml:space="preserve"> </w:t>
      </w:r>
      <w:r>
        <w:t>the</w:t>
      </w:r>
      <w:r>
        <w:rPr>
          <w:spacing w:val="-2"/>
        </w:rPr>
        <w:t xml:space="preserve"> </w:t>
      </w:r>
      <w:r>
        <w:t>related-party</w:t>
      </w:r>
      <w:r>
        <w:rPr>
          <w:spacing w:val="-2"/>
        </w:rPr>
        <w:t xml:space="preserve"> </w:t>
      </w:r>
      <w:r>
        <w:t>non-benefit</w:t>
      </w:r>
      <w:r>
        <w:rPr>
          <w:spacing w:val="-1"/>
        </w:rPr>
        <w:t xml:space="preserve"> </w:t>
      </w:r>
      <w:r>
        <w:t>expense</w:t>
      </w:r>
      <w:r>
        <w:rPr>
          <w:spacing w:val="-1"/>
        </w:rPr>
        <w:t xml:space="preserve"> </w:t>
      </w:r>
      <w:r>
        <w:t>PMPM</w:t>
      </w:r>
      <w:r>
        <w:rPr>
          <w:spacing w:val="-1"/>
        </w:rPr>
        <w:t xml:space="preserve"> </w:t>
      </w:r>
      <w:r>
        <w:t>should</w:t>
      </w:r>
      <w:r>
        <w:rPr>
          <w:spacing w:val="-1"/>
        </w:rPr>
        <w:t xml:space="preserve"> </w:t>
      </w:r>
      <w:r>
        <w:t>be</w:t>
      </w:r>
      <w:r>
        <w:rPr>
          <w:spacing w:val="-2"/>
        </w:rPr>
        <w:t xml:space="preserve"> </w:t>
      </w:r>
      <w:r>
        <w:t>based</w:t>
      </w:r>
      <w:r>
        <w:rPr>
          <w:spacing w:val="-1"/>
        </w:rPr>
        <w:t xml:space="preserve"> </w:t>
      </w:r>
      <w:r>
        <w:t>on the</w:t>
      </w:r>
      <w:r>
        <w:rPr>
          <w:spacing w:val="-4"/>
        </w:rPr>
        <w:t xml:space="preserve"> </w:t>
      </w:r>
      <w:r>
        <w:t>defined</w:t>
      </w:r>
      <w:r>
        <w:rPr>
          <w:spacing w:val="-4"/>
        </w:rPr>
        <w:t xml:space="preserve"> </w:t>
      </w:r>
      <w:r>
        <w:t>standard</w:t>
      </w:r>
      <w:r>
        <w:rPr>
          <w:spacing w:val="-4"/>
        </w:rPr>
        <w:t xml:space="preserve"> </w:t>
      </w:r>
      <w:r>
        <w:t>benefit.</w:t>
      </w:r>
      <w:r>
        <w:rPr>
          <w:spacing w:val="-4"/>
        </w:rPr>
        <w:t xml:space="preserve"> </w:t>
      </w:r>
      <w:r>
        <w:t>For</w:t>
      </w:r>
      <w:r>
        <w:rPr>
          <w:spacing w:val="-3"/>
        </w:rPr>
        <w:t xml:space="preserve"> </w:t>
      </w:r>
      <w:r>
        <w:t>alternative</w:t>
      </w:r>
      <w:r>
        <w:rPr>
          <w:spacing w:val="-5"/>
        </w:rPr>
        <w:t xml:space="preserve"> </w:t>
      </w:r>
      <w:r>
        <w:t>benefit</w:t>
      </w:r>
      <w:r>
        <w:rPr>
          <w:spacing w:val="-4"/>
        </w:rPr>
        <w:t xml:space="preserve"> </w:t>
      </w:r>
      <w:r>
        <w:t>plans,</w:t>
      </w:r>
      <w:r>
        <w:rPr>
          <w:spacing w:val="-4"/>
        </w:rPr>
        <w:t xml:space="preserve"> </w:t>
      </w:r>
      <w:r>
        <w:t>these</w:t>
      </w:r>
      <w:r>
        <w:rPr>
          <w:spacing w:val="-5"/>
        </w:rPr>
        <w:t xml:space="preserve"> </w:t>
      </w:r>
      <w:r>
        <w:t>costs</w:t>
      </w:r>
      <w:r>
        <w:rPr>
          <w:spacing w:val="-4"/>
        </w:rPr>
        <w:t xml:space="preserve"> </w:t>
      </w:r>
      <w:r>
        <w:t>should</w:t>
      </w:r>
      <w:r>
        <w:rPr>
          <w:spacing w:val="-4"/>
        </w:rPr>
        <w:t xml:space="preserve"> </w:t>
      </w:r>
      <w:r>
        <w:t>be</w:t>
      </w:r>
      <w:r>
        <w:rPr>
          <w:spacing w:val="-5"/>
        </w:rPr>
        <w:t xml:space="preserve"> </w:t>
      </w:r>
      <w:r>
        <w:t>based</w:t>
      </w:r>
      <w:r>
        <w:rPr>
          <w:spacing w:val="-4"/>
        </w:rPr>
        <w:t xml:space="preserve"> </w:t>
      </w:r>
      <w:r>
        <w:t>on the alternative benefit.</w:t>
      </w:r>
    </w:p>
    <w:p>
      <w:pPr>
        <w:pStyle w:val="BodyText"/>
        <w:spacing w:before="45"/>
        <w:ind w:left="0"/>
      </w:pPr>
    </w:p>
    <w:p>
      <w:pPr>
        <w:spacing w:before="0"/>
        <w:ind w:left="440" w:right="0" w:firstLine="0"/>
        <w:jc w:val="left"/>
        <w:rPr>
          <w:rFonts w:ascii="Arial" w:hAnsi="Arial"/>
          <w:b/>
          <w:sz w:val="21"/>
        </w:rPr>
      </w:pPr>
      <w:bookmarkStart w:id="151" w:name="Section VIII – DIR #10 Projection"/>
      <w:bookmarkEnd w:id="151"/>
      <w:bookmarkStart w:id="152" w:name="_bookmark41"/>
      <w:bookmarkEnd w:id="152"/>
      <w:r>
        <w:rPr>
          <w:rFonts w:ascii="Arial" w:hAnsi="Arial"/>
          <w:b/>
          <w:sz w:val="26"/>
        </w:rPr>
        <w:t>S</w:t>
      </w:r>
      <w:r>
        <w:rPr>
          <w:rFonts w:ascii="Arial" w:hAnsi="Arial"/>
          <w:b/>
          <w:sz w:val="21"/>
        </w:rPr>
        <w:t>ECTION</w:t>
      </w:r>
      <w:r>
        <w:rPr>
          <w:rFonts w:ascii="Arial" w:hAnsi="Arial"/>
          <w:b/>
          <w:spacing w:val="-10"/>
          <w:sz w:val="21"/>
        </w:rPr>
        <w:t xml:space="preserve"> </w:t>
      </w:r>
      <w:r>
        <w:rPr>
          <w:rFonts w:ascii="Arial" w:hAnsi="Arial"/>
          <w:b/>
          <w:sz w:val="26"/>
        </w:rPr>
        <w:t>VIII</w:t>
      </w:r>
      <w:r>
        <w:rPr>
          <w:rFonts w:ascii="Arial" w:hAnsi="Arial"/>
          <w:b/>
          <w:spacing w:val="-18"/>
          <w:sz w:val="26"/>
        </w:rPr>
        <w:t xml:space="preserve"> </w:t>
      </w:r>
      <w:r>
        <w:rPr>
          <w:rFonts w:ascii="Arial" w:hAnsi="Arial"/>
          <w:b/>
          <w:sz w:val="26"/>
        </w:rPr>
        <w:t>–</w:t>
      </w:r>
      <w:r>
        <w:rPr>
          <w:rFonts w:ascii="Arial" w:hAnsi="Arial"/>
          <w:b/>
          <w:spacing w:val="-18"/>
          <w:sz w:val="26"/>
        </w:rPr>
        <w:t xml:space="preserve"> </w:t>
      </w:r>
      <w:r>
        <w:rPr>
          <w:rFonts w:ascii="Arial" w:hAnsi="Arial"/>
          <w:b/>
          <w:sz w:val="26"/>
        </w:rPr>
        <w:t>DIR</w:t>
      </w:r>
      <w:r>
        <w:rPr>
          <w:rFonts w:ascii="Arial" w:hAnsi="Arial"/>
          <w:b/>
          <w:spacing w:val="-17"/>
          <w:sz w:val="26"/>
        </w:rPr>
        <w:t xml:space="preserve"> </w:t>
      </w:r>
      <w:r>
        <w:rPr>
          <w:rFonts w:ascii="Arial" w:hAnsi="Arial"/>
          <w:b/>
          <w:sz w:val="26"/>
        </w:rPr>
        <w:t>#10</w:t>
      </w:r>
      <w:r>
        <w:rPr>
          <w:rFonts w:ascii="Arial" w:hAnsi="Arial"/>
          <w:b/>
          <w:spacing w:val="-18"/>
          <w:sz w:val="26"/>
        </w:rPr>
        <w:t xml:space="preserve"> </w:t>
      </w:r>
      <w:r>
        <w:rPr>
          <w:rFonts w:ascii="Arial" w:hAnsi="Arial"/>
          <w:b/>
          <w:spacing w:val="-2"/>
          <w:sz w:val="26"/>
        </w:rPr>
        <w:t>P</w:t>
      </w:r>
      <w:r>
        <w:rPr>
          <w:rFonts w:ascii="Arial" w:hAnsi="Arial"/>
          <w:b/>
          <w:spacing w:val="-2"/>
          <w:sz w:val="21"/>
        </w:rPr>
        <w:t>ROJECTION</w:t>
      </w:r>
    </w:p>
    <w:p>
      <w:pPr>
        <w:pStyle w:val="BodyText"/>
        <w:spacing w:before="177"/>
        <w:ind w:left="440" w:right="478"/>
      </w:pPr>
      <w:r>
        <w:t>Section</w:t>
      </w:r>
      <w:r>
        <w:rPr>
          <w:spacing w:val="-4"/>
        </w:rPr>
        <w:t xml:space="preserve"> </w:t>
      </w:r>
      <w:r>
        <w:t>VIII</w:t>
      </w:r>
      <w:r>
        <w:rPr>
          <w:spacing w:val="-8"/>
        </w:rPr>
        <w:t xml:space="preserve"> </w:t>
      </w:r>
      <w:r>
        <w:t>summarizes</w:t>
      </w:r>
      <w:r>
        <w:rPr>
          <w:spacing w:val="-2"/>
        </w:rPr>
        <w:t xml:space="preserve"> </w:t>
      </w:r>
      <w:r>
        <w:t>the</w:t>
      </w:r>
      <w:r>
        <w:rPr>
          <w:spacing w:val="-4"/>
        </w:rPr>
        <w:t xml:space="preserve"> </w:t>
      </w:r>
      <w:r>
        <w:t>DIR</w:t>
      </w:r>
      <w:r>
        <w:rPr>
          <w:spacing w:val="-4"/>
        </w:rPr>
        <w:t xml:space="preserve"> </w:t>
      </w:r>
      <w:r>
        <w:t>#10</w:t>
      </w:r>
      <w:r>
        <w:rPr>
          <w:spacing w:val="-3"/>
        </w:rPr>
        <w:t xml:space="preserve"> </w:t>
      </w:r>
      <w:r>
        <w:t>(Risk-Sharing</w:t>
      </w:r>
      <w:r>
        <w:rPr>
          <w:spacing w:val="-4"/>
        </w:rPr>
        <w:t xml:space="preserve"> </w:t>
      </w:r>
      <w:r>
        <w:t>Arrangement</w:t>
      </w:r>
      <w:r>
        <w:rPr>
          <w:spacing w:val="-4"/>
        </w:rPr>
        <w:t xml:space="preserve"> </w:t>
      </w:r>
      <w:r>
        <w:t>Payments</w:t>
      </w:r>
      <w:r>
        <w:rPr>
          <w:spacing w:val="-4"/>
        </w:rPr>
        <w:t xml:space="preserve"> </w:t>
      </w:r>
      <w:r>
        <w:t>and Adjustments) PMPM for the projection period.</w:t>
      </w:r>
    </w:p>
    <w:p>
      <w:pPr>
        <w:spacing w:before="240"/>
        <w:ind w:left="440" w:right="0" w:firstLine="0"/>
        <w:jc w:val="left"/>
        <w:rPr>
          <w:rFonts w:ascii="Arial" w:hAnsi="Arial"/>
          <w:b/>
          <w:sz w:val="21"/>
        </w:rPr>
      </w:pPr>
      <w:bookmarkStart w:id="153" w:name="Line 1, column n – Related-Party Allowed"/>
      <w:bookmarkEnd w:id="153"/>
      <w:r>
        <w:rPr>
          <w:rFonts w:ascii="Arial" w:hAnsi="Arial"/>
          <w:b/>
          <w:sz w:val="21"/>
        </w:rPr>
        <w:t>Line</w:t>
      </w:r>
      <w:r>
        <w:rPr>
          <w:rFonts w:ascii="Arial" w:hAnsi="Arial"/>
          <w:b/>
          <w:spacing w:val="-5"/>
          <w:sz w:val="21"/>
        </w:rPr>
        <w:t xml:space="preserve"> </w:t>
      </w:r>
      <w:r>
        <w:rPr>
          <w:rFonts w:ascii="Arial" w:hAnsi="Arial"/>
          <w:b/>
          <w:sz w:val="21"/>
        </w:rPr>
        <w:t>1,</w:t>
      </w:r>
      <w:r>
        <w:rPr>
          <w:rFonts w:ascii="Arial" w:hAnsi="Arial"/>
          <w:b/>
          <w:spacing w:val="-5"/>
          <w:sz w:val="21"/>
        </w:rPr>
        <w:t xml:space="preserve"> </w:t>
      </w:r>
      <w:r>
        <w:rPr>
          <w:rFonts w:ascii="Arial" w:hAnsi="Arial"/>
          <w:b/>
          <w:sz w:val="21"/>
        </w:rPr>
        <w:t>column</w:t>
      </w:r>
      <w:r>
        <w:rPr>
          <w:rFonts w:ascii="Arial" w:hAnsi="Arial"/>
          <w:b/>
          <w:spacing w:val="-5"/>
          <w:sz w:val="21"/>
        </w:rPr>
        <w:t xml:space="preserve"> </w:t>
      </w:r>
      <w:r>
        <w:rPr>
          <w:rFonts w:ascii="Arial" w:hAnsi="Arial"/>
          <w:b/>
          <w:sz w:val="21"/>
        </w:rPr>
        <w:t>n</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Related-Party</w:t>
      </w:r>
      <w:r>
        <w:rPr>
          <w:rFonts w:ascii="Arial" w:hAnsi="Arial"/>
          <w:b/>
          <w:spacing w:val="-4"/>
          <w:sz w:val="21"/>
        </w:rPr>
        <w:t xml:space="preserve"> </w:t>
      </w:r>
      <w:r>
        <w:rPr>
          <w:rFonts w:ascii="Arial" w:hAnsi="Arial"/>
          <w:b/>
          <w:sz w:val="21"/>
        </w:rPr>
        <w:t>Allowed</w:t>
      </w:r>
      <w:r>
        <w:rPr>
          <w:rFonts w:ascii="Arial" w:hAnsi="Arial"/>
          <w:b/>
          <w:spacing w:val="-6"/>
          <w:sz w:val="21"/>
        </w:rPr>
        <w:t xml:space="preserve"> </w:t>
      </w:r>
      <w:r>
        <w:rPr>
          <w:rFonts w:ascii="Arial" w:hAnsi="Arial"/>
          <w:b/>
          <w:sz w:val="21"/>
        </w:rPr>
        <w:t>Cost</w:t>
      </w:r>
      <w:r>
        <w:rPr>
          <w:rFonts w:ascii="Arial" w:hAnsi="Arial"/>
          <w:b/>
          <w:spacing w:val="-6"/>
          <w:sz w:val="21"/>
        </w:rPr>
        <w:t xml:space="preserve"> </w:t>
      </w:r>
      <w:r>
        <w:rPr>
          <w:rFonts w:ascii="Arial" w:hAnsi="Arial"/>
          <w:b/>
          <w:spacing w:val="-4"/>
          <w:sz w:val="21"/>
        </w:rPr>
        <w:t>PMPM</w:t>
      </w:r>
    </w:p>
    <w:p>
      <w:pPr>
        <w:pStyle w:val="BodyText"/>
        <w:spacing w:before="121"/>
        <w:ind w:left="440" w:right="816"/>
      </w:pPr>
      <w:r>
        <w:t>Enter</w:t>
      </w:r>
      <w:r>
        <w:rPr>
          <w:spacing w:val="-4"/>
        </w:rPr>
        <w:t xml:space="preserve"> </w:t>
      </w:r>
      <w:r>
        <w:t>the</w:t>
      </w:r>
      <w:r>
        <w:rPr>
          <w:spacing w:val="-3"/>
        </w:rPr>
        <w:t xml:space="preserve"> </w:t>
      </w:r>
      <w:r>
        <w:t>PMPM</w:t>
      </w:r>
      <w:r>
        <w:rPr>
          <w:spacing w:val="-3"/>
        </w:rPr>
        <w:t xml:space="preserve"> </w:t>
      </w:r>
      <w:r>
        <w:t>for</w:t>
      </w:r>
      <w:r>
        <w:rPr>
          <w:spacing w:val="-5"/>
        </w:rPr>
        <w:t xml:space="preserve"> </w:t>
      </w:r>
      <w:r>
        <w:t>DIR</w:t>
      </w:r>
      <w:r>
        <w:rPr>
          <w:spacing w:val="-1"/>
        </w:rPr>
        <w:t xml:space="preserve"> </w:t>
      </w:r>
      <w:r>
        <w:t>#10</w:t>
      </w:r>
      <w:r>
        <w:rPr>
          <w:spacing w:val="-3"/>
        </w:rPr>
        <w:t xml:space="preserve"> </w:t>
      </w:r>
      <w:r>
        <w:t>for</w:t>
      </w:r>
      <w:r>
        <w:rPr>
          <w:spacing w:val="-3"/>
        </w:rPr>
        <w:t xml:space="preserve"> </w:t>
      </w:r>
      <w:r>
        <w:t>the</w:t>
      </w:r>
      <w:r>
        <w:rPr>
          <w:spacing w:val="-5"/>
        </w:rPr>
        <w:t xml:space="preserve"> </w:t>
      </w:r>
      <w:r>
        <w:t>projection</w:t>
      </w:r>
      <w:r>
        <w:rPr>
          <w:spacing w:val="-3"/>
        </w:rPr>
        <w:t xml:space="preserve"> </w:t>
      </w:r>
      <w:r>
        <w:t>period.</w:t>
      </w:r>
      <w:r>
        <w:rPr>
          <w:spacing w:val="-3"/>
        </w:rPr>
        <w:t xml:space="preserve"> </w:t>
      </w:r>
      <w:r>
        <w:t>This</w:t>
      </w:r>
      <w:r>
        <w:rPr>
          <w:spacing w:val="-3"/>
        </w:rPr>
        <w:t xml:space="preserve"> </w:t>
      </w:r>
      <w:r>
        <w:t>entry</w:t>
      </w:r>
      <w:r>
        <w:rPr>
          <w:spacing w:val="-3"/>
        </w:rPr>
        <w:t xml:space="preserve"> </w:t>
      </w:r>
      <w:r>
        <w:t>should</w:t>
      </w:r>
      <w:r>
        <w:rPr>
          <w:spacing w:val="-3"/>
        </w:rPr>
        <w:t xml:space="preserve"> </w:t>
      </w:r>
      <w:r>
        <w:t>be</w:t>
      </w:r>
      <w:r>
        <w:rPr>
          <w:spacing w:val="-4"/>
        </w:rPr>
        <w:t xml:space="preserve"> </w:t>
      </w:r>
      <w:r>
        <w:t>based</w:t>
      </w:r>
      <w:r>
        <w:rPr>
          <w:spacing w:val="-3"/>
        </w:rPr>
        <w:t xml:space="preserve"> </w:t>
      </w:r>
      <w:r>
        <w:t>on</w:t>
      </w:r>
      <w:r>
        <w:rPr>
          <w:spacing w:val="-3"/>
        </w:rPr>
        <w:t xml:space="preserve"> </w:t>
      </w:r>
      <w:r>
        <w:t>the plan benefit. For defined standard plans, this amount should be based on the defined standard benefit. For alternative benefit plans, the amount should be based on the alternative benefit. The amount entered in this section is a subset of the total rebate amount entered elsewhere in the BPT and may be positive or negative depending on the direction</w:t>
      </w:r>
      <w:r>
        <w:rPr>
          <w:spacing w:val="-3"/>
        </w:rPr>
        <w:t xml:space="preserve"> </w:t>
      </w:r>
      <w:r>
        <w:t>of</w:t>
      </w:r>
      <w:r>
        <w:rPr>
          <w:spacing w:val="-4"/>
        </w:rPr>
        <w:t xml:space="preserve"> </w:t>
      </w:r>
      <w:r>
        <w:t>the</w:t>
      </w:r>
      <w:r>
        <w:rPr>
          <w:spacing w:val="-3"/>
        </w:rPr>
        <w:t xml:space="preserve"> </w:t>
      </w:r>
      <w:r>
        <w:t>payment.</w:t>
      </w:r>
      <w:r>
        <w:rPr>
          <w:spacing w:val="-2"/>
        </w:rPr>
        <w:t xml:space="preserve"> </w:t>
      </w:r>
      <w:r>
        <w:t>For</w:t>
      </w:r>
      <w:r>
        <w:rPr>
          <w:spacing w:val="-3"/>
        </w:rPr>
        <w:t xml:space="preserve"> </w:t>
      </w:r>
      <w:r>
        <w:t>example,</w:t>
      </w:r>
      <w:r>
        <w:rPr>
          <w:spacing w:val="-3"/>
        </w:rPr>
        <w:t xml:space="preserve"> </w:t>
      </w:r>
      <w:r>
        <w:t>if</w:t>
      </w:r>
      <w:r>
        <w:rPr>
          <w:spacing w:val="-3"/>
        </w:rPr>
        <w:t xml:space="preserve"> </w:t>
      </w:r>
      <w:r>
        <w:t>the</w:t>
      </w:r>
      <w:r>
        <w:rPr>
          <w:spacing w:val="-4"/>
        </w:rPr>
        <w:t xml:space="preserve"> </w:t>
      </w:r>
      <w:r>
        <w:t>payment</w:t>
      </w:r>
      <w:r>
        <w:rPr>
          <w:spacing w:val="-3"/>
        </w:rPr>
        <w:t xml:space="preserve"> </w:t>
      </w:r>
      <w:r>
        <w:t>was</w:t>
      </w:r>
      <w:r>
        <w:rPr>
          <w:spacing w:val="-3"/>
        </w:rPr>
        <w:t xml:space="preserve"> </w:t>
      </w:r>
      <w:r>
        <w:t>made</w:t>
      </w:r>
      <w:r>
        <w:rPr>
          <w:spacing w:val="-5"/>
        </w:rPr>
        <w:t xml:space="preserve"> </w:t>
      </w:r>
      <w:r>
        <w:t>from</w:t>
      </w:r>
      <w:r>
        <w:rPr>
          <w:spacing w:val="-3"/>
        </w:rPr>
        <w:t xml:space="preserve"> </w:t>
      </w:r>
      <w:r>
        <w:t>the</w:t>
      </w:r>
      <w:r>
        <w:rPr>
          <w:spacing w:val="-2"/>
        </w:rPr>
        <w:t xml:space="preserve"> </w:t>
      </w:r>
      <w:r>
        <w:t>plan</w:t>
      </w:r>
      <w:r>
        <w:rPr>
          <w:spacing w:val="-3"/>
        </w:rPr>
        <w:t xml:space="preserve"> </w:t>
      </w:r>
      <w:r>
        <w:t>sponsor</w:t>
      </w:r>
      <w:r>
        <w:rPr>
          <w:spacing w:val="-4"/>
        </w:rPr>
        <w:t xml:space="preserve"> </w:t>
      </w:r>
      <w:r>
        <w:t>to the provider the amount would be negative, whereas if the payment was made from the provider to the plan sponsor the amount would be positive.</w:t>
      </w:r>
    </w:p>
    <w:p>
      <w:pPr>
        <w:spacing w:after="0"/>
        <w:sectPr>
          <w:pgSz w:w="12240" w:h="15840"/>
          <w:pgMar w:top="1340" w:right="1000" w:bottom="1080" w:left="1360" w:header="727" w:footer="891"/>
          <w:cols w:space="720"/>
        </w:sectPr>
      </w:pPr>
    </w:p>
    <w:p>
      <w:pPr>
        <w:spacing w:before="187" w:line="322" w:lineRule="exact"/>
        <w:ind w:left="440" w:right="0" w:firstLine="0"/>
        <w:jc w:val="left"/>
        <w:rPr>
          <w:rFonts w:ascii="Arial" w:hAnsi="Arial"/>
          <w:b/>
          <w:sz w:val="28"/>
        </w:rPr>
      </w:pPr>
      <w:bookmarkStart w:id="154" w:name="PD Worksheet 3 – Rx Contract Period Proj"/>
      <w:bookmarkEnd w:id="154"/>
      <w:bookmarkStart w:id="155" w:name="_bookmark42"/>
      <w:bookmarkEnd w:id="155"/>
      <w:r>
        <w:rPr>
          <w:rFonts w:ascii="Arial" w:hAnsi="Arial"/>
          <w:b/>
          <w:sz w:val="28"/>
        </w:rPr>
        <w:t>PD</w:t>
      </w:r>
      <w:r>
        <w:rPr>
          <w:rFonts w:ascii="Arial" w:hAnsi="Arial"/>
          <w:b/>
          <w:spacing w:val="-5"/>
          <w:sz w:val="28"/>
        </w:rPr>
        <w:t xml:space="preserve"> </w:t>
      </w:r>
      <w:r>
        <w:rPr>
          <w:rFonts w:ascii="Arial" w:hAnsi="Arial"/>
          <w:b/>
          <w:sz w:val="28"/>
        </w:rPr>
        <w:t>WORKSHEET</w:t>
      </w:r>
      <w:r>
        <w:rPr>
          <w:rFonts w:ascii="Arial" w:hAnsi="Arial"/>
          <w:b/>
          <w:spacing w:val="-6"/>
          <w:sz w:val="28"/>
        </w:rPr>
        <w:t xml:space="preserve"> </w:t>
      </w:r>
      <w:r>
        <w:rPr>
          <w:rFonts w:ascii="Arial" w:hAnsi="Arial"/>
          <w:b/>
          <w:sz w:val="28"/>
        </w:rPr>
        <w:t>3</w:t>
      </w:r>
      <w:r>
        <w:rPr>
          <w:rFonts w:ascii="Arial" w:hAnsi="Arial"/>
          <w:b/>
          <w:spacing w:val="-4"/>
          <w:sz w:val="28"/>
        </w:rPr>
        <w:t xml:space="preserve"> </w:t>
      </w:r>
      <w:r>
        <w:rPr>
          <w:rFonts w:ascii="Arial" w:hAnsi="Arial"/>
          <w:b/>
          <w:sz w:val="28"/>
        </w:rPr>
        <w:t>–</w:t>
      </w:r>
      <w:r>
        <w:rPr>
          <w:rFonts w:ascii="Arial" w:hAnsi="Arial"/>
          <w:b/>
          <w:spacing w:val="-7"/>
          <w:sz w:val="28"/>
        </w:rPr>
        <w:t xml:space="preserve"> </w:t>
      </w:r>
      <w:r>
        <w:rPr>
          <w:rFonts w:ascii="Arial" w:hAnsi="Arial"/>
          <w:b/>
          <w:sz w:val="28"/>
        </w:rPr>
        <w:t>RX</w:t>
      </w:r>
      <w:r>
        <w:rPr>
          <w:rFonts w:ascii="Arial" w:hAnsi="Arial"/>
          <w:b/>
          <w:spacing w:val="-9"/>
          <w:sz w:val="28"/>
        </w:rPr>
        <w:t xml:space="preserve"> </w:t>
      </w:r>
      <w:r>
        <w:rPr>
          <w:rFonts w:ascii="Arial" w:hAnsi="Arial"/>
          <w:b/>
          <w:sz w:val="28"/>
        </w:rPr>
        <w:t>CONTRACT</w:t>
      </w:r>
      <w:r>
        <w:rPr>
          <w:rFonts w:ascii="Arial" w:hAnsi="Arial"/>
          <w:b/>
          <w:spacing w:val="-2"/>
          <w:sz w:val="28"/>
        </w:rPr>
        <w:t xml:space="preserve"> </w:t>
      </w:r>
      <w:r>
        <w:rPr>
          <w:rFonts w:ascii="Arial" w:hAnsi="Arial"/>
          <w:b/>
          <w:sz w:val="28"/>
        </w:rPr>
        <w:t>PERIOD</w:t>
      </w:r>
      <w:r>
        <w:rPr>
          <w:rFonts w:ascii="Arial" w:hAnsi="Arial"/>
          <w:b/>
          <w:spacing w:val="-5"/>
          <w:sz w:val="28"/>
        </w:rPr>
        <w:t xml:space="preserve"> </w:t>
      </w:r>
      <w:r>
        <w:rPr>
          <w:rFonts w:ascii="Arial" w:hAnsi="Arial"/>
          <w:b/>
          <w:sz w:val="28"/>
        </w:rPr>
        <w:t>PROJECTION</w:t>
      </w:r>
      <w:r>
        <w:rPr>
          <w:rFonts w:ascii="Arial" w:hAnsi="Arial"/>
          <w:b/>
          <w:spacing w:val="-5"/>
          <w:sz w:val="28"/>
        </w:rPr>
        <w:t xml:space="preserve"> FOR</w:t>
      </w:r>
    </w:p>
    <w:p>
      <w:pPr>
        <w:tabs>
          <w:tab w:val="left" w:pos="9110"/>
        </w:tabs>
        <w:spacing w:before="0"/>
        <w:ind w:left="411" w:right="0" w:firstLine="0"/>
        <w:jc w:val="left"/>
        <w:rPr>
          <w:rFonts w:ascii="Arial"/>
          <w:b/>
          <w:sz w:val="28"/>
        </w:rPr>
      </w:pPr>
      <w:r>
        <w:rPr>
          <w:rFonts w:ascii="Arial"/>
          <w:b/>
          <w:spacing w:val="-50"/>
          <w:sz w:val="28"/>
          <w:u w:val="single"/>
        </w:rPr>
        <w:t xml:space="preserve"> </w:t>
      </w:r>
      <w:r>
        <w:rPr>
          <w:rFonts w:ascii="Arial"/>
          <w:b/>
          <w:sz w:val="28"/>
          <w:u w:val="single"/>
        </w:rPr>
        <w:t>DEFINED</w:t>
      </w:r>
      <w:r>
        <w:rPr>
          <w:rFonts w:ascii="Arial"/>
          <w:b/>
          <w:spacing w:val="-10"/>
          <w:sz w:val="28"/>
          <w:u w:val="single"/>
        </w:rPr>
        <w:t xml:space="preserve"> </w:t>
      </w:r>
      <w:r>
        <w:rPr>
          <w:rFonts w:ascii="Arial"/>
          <w:b/>
          <w:sz w:val="28"/>
          <w:u w:val="single"/>
        </w:rPr>
        <w:t>STANDARD</w:t>
      </w:r>
      <w:r>
        <w:rPr>
          <w:rFonts w:ascii="Arial"/>
          <w:b/>
          <w:spacing w:val="-8"/>
          <w:sz w:val="28"/>
          <w:u w:val="single"/>
        </w:rPr>
        <w:t xml:space="preserve"> </w:t>
      </w:r>
      <w:r>
        <w:rPr>
          <w:rFonts w:ascii="Arial"/>
          <w:b/>
          <w:spacing w:val="-2"/>
          <w:sz w:val="28"/>
          <w:u w:val="single"/>
        </w:rPr>
        <w:t>COVERAGE</w:t>
      </w:r>
      <w:r>
        <w:rPr>
          <w:rFonts w:ascii="Arial"/>
          <w:b/>
          <w:sz w:val="28"/>
          <w:u w:val="single"/>
        </w:rPr>
        <w:tab/>
      </w:r>
    </w:p>
    <w:p>
      <w:pPr>
        <w:pStyle w:val="BodyText"/>
        <w:spacing w:before="269"/>
        <w:ind w:left="440" w:right="979"/>
      </w:pPr>
      <w:r>
        <w:t>Worksheet</w:t>
      </w:r>
      <w:r>
        <w:rPr>
          <w:spacing w:val="-4"/>
        </w:rPr>
        <w:t xml:space="preserve"> </w:t>
      </w:r>
      <w:r>
        <w:t>3</w:t>
      </w:r>
      <w:r>
        <w:rPr>
          <w:spacing w:val="-4"/>
        </w:rPr>
        <w:t xml:space="preserve"> </w:t>
      </w:r>
      <w:r>
        <w:t>develops</w:t>
      </w:r>
      <w:r>
        <w:rPr>
          <w:spacing w:val="-4"/>
        </w:rPr>
        <w:t xml:space="preserve"> </w:t>
      </w:r>
      <w:r>
        <w:t>the</w:t>
      </w:r>
      <w:r>
        <w:rPr>
          <w:spacing w:val="-5"/>
        </w:rPr>
        <w:t xml:space="preserve"> </w:t>
      </w:r>
      <w:r>
        <w:t>defined</w:t>
      </w:r>
      <w:r>
        <w:rPr>
          <w:spacing w:val="-4"/>
        </w:rPr>
        <w:t xml:space="preserve"> </w:t>
      </w:r>
      <w:r>
        <w:t>standard</w:t>
      </w:r>
      <w:r>
        <w:rPr>
          <w:spacing w:val="-5"/>
        </w:rPr>
        <w:t xml:space="preserve"> </w:t>
      </w:r>
      <w:r>
        <w:t>bid</w:t>
      </w:r>
      <w:r>
        <w:rPr>
          <w:spacing w:val="-4"/>
        </w:rPr>
        <w:t xml:space="preserve"> </w:t>
      </w:r>
      <w:r>
        <w:t>amount.</w:t>
      </w:r>
      <w:r>
        <w:rPr>
          <w:spacing w:val="-4"/>
        </w:rPr>
        <w:t xml:space="preserve"> </w:t>
      </w:r>
      <w:r>
        <w:t>Specifically,</w:t>
      </w:r>
      <w:r>
        <w:rPr>
          <w:spacing w:val="-4"/>
        </w:rPr>
        <w:t xml:space="preserve"> </w:t>
      </w:r>
      <w:r>
        <w:t>Section</w:t>
      </w:r>
      <w:r>
        <w:rPr>
          <w:spacing w:val="-4"/>
        </w:rPr>
        <w:t xml:space="preserve"> </w:t>
      </w:r>
      <w:r>
        <w:t>I</w:t>
      </w:r>
      <w:r>
        <w:rPr>
          <w:spacing w:val="-8"/>
        </w:rPr>
        <w:t xml:space="preserve"> </w:t>
      </w:r>
      <w:r>
        <w:t>displays general information about the plan; Section II collects contract period information; Section III summarizes the contract period Rx projection; Sections IV collects information pertaining to IRA Part D drug projection; and Section V summarizes components of the defined standard bid amount.</w:t>
      </w:r>
    </w:p>
    <w:p>
      <w:pPr>
        <w:pStyle w:val="BodyText"/>
        <w:ind w:left="440"/>
      </w:pPr>
      <w:r>
        <w:t>Sections</w:t>
      </w:r>
      <w:r>
        <w:rPr>
          <w:spacing w:val="-1"/>
        </w:rPr>
        <w:t xml:space="preserve"> </w:t>
      </w:r>
      <w:r>
        <w:t>II</w:t>
      </w:r>
      <w:r>
        <w:rPr>
          <w:spacing w:val="-2"/>
        </w:rPr>
        <w:t xml:space="preserve"> </w:t>
      </w:r>
      <w:r>
        <w:t>through</w:t>
      </w:r>
      <w:r>
        <w:rPr>
          <w:spacing w:val="-1"/>
        </w:rPr>
        <w:t xml:space="preserve"> </w:t>
      </w:r>
      <w:r>
        <w:t>V</w:t>
      </w:r>
      <w:r>
        <w:rPr>
          <w:spacing w:val="-1"/>
        </w:rPr>
        <w:t xml:space="preserve"> </w:t>
      </w:r>
      <w:r>
        <w:t>must be</w:t>
      </w:r>
      <w:r>
        <w:rPr>
          <w:spacing w:val="-1"/>
        </w:rPr>
        <w:t xml:space="preserve"> </w:t>
      </w:r>
      <w:r>
        <w:t>completed by</w:t>
      </w:r>
      <w:r>
        <w:rPr>
          <w:spacing w:val="-1"/>
        </w:rPr>
        <w:t xml:space="preserve"> </w:t>
      </w:r>
      <w:r>
        <w:t xml:space="preserve">all </w:t>
      </w:r>
      <w:r>
        <w:rPr>
          <w:spacing w:val="-2"/>
        </w:rPr>
        <w:t>plans.</w:t>
      </w:r>
    </w:p>
    <w:p>
      <w:pPr>
        <w:pStyle w:val="BodyText"/>
        <w:spacing w:before="45"/>
        <w:ind w:left="0"/>
      </w:pPr>
    </w:p>
    <w:p>
      <w:pPr>
        <w:pStyle w:val="Heading2"/>
      </w:pPr>
      <w:bookmarkStart w:id="156" w:name="_bookmark43"/>
      <w:bookmarkEnd w:id="156"/>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80"/>
        <w:ind w:left="440"/>
      </w:pPr>
      <w:r>
        <w:t>This</w:t>
      </w:r>
      <w:r>
        <w:rPr>
          <w:spacing w:val="-1"/>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1"/>
        </w:rPr>
        <w:t xml:space="preserve"> </w:t>
      </w:r>
      <w:r>
        <w:t>on</w:t>
      </w:r>
      <w:r>
        <w:rPr>
          <w:spacing w:val="1"/>
        </w:rPr>
        <w:t xml:space="preserve"> </w:t>
      </w:r>
      <w:r>
        <w:t>Worksheet</w:t>
      </w:r>
      <w:r>
        <w:rPr>
          <w:spacing w:val="-1"/>
        </w:rPr>
        <w:t xml:space="preserve"> </w:t>
      </w:r>
      <w:r>
        <w:t>1,</w:t>
      </w:r>
      <w:r>
        <w:rPr>
          <w:spacing w:val="-1"/>
        </w:rPr>
        <w:t xml:space="preserve"> </w:t>
      </w:r>
      <w:r>
        <w:t>Section</w:t>
      </w:r>
      <w:r>
        <w:rPr>
          <w:spacing w:val="-1"/>
        </w:rPr>
        <w:t xml:space="preserve"> </w:t>
      </w:r>
      <w:r>
        <w:rPr>
          <w:spacing w:val="-5"/>
        </w:rPr>
        <w:t>I.</w:t>
      </w:r>
    </w:p>
    <w:p>
      <w:pPr>
        <w:pStyle w:val="BodyText"/>
        <w:spacing w:before="45"/>
        <w:ind w:left="0"/>
      </w:pPr>
    </w:p>
    <w:p>
      <w:pPr>
        <w:pStyle w:val="Heading2"/>
      </w:pPr>
      <w:bookmarkStart w:id="157" w:name="Section II – Projection Data"/>
      <w:bookmarkEnd w:id="157"/>
      <w:bookmarkStart w:id="158" w:name="_bookmark44"/>
      <w:bookmarkEnd w:id="158"/>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Projection</w:t>
      </w:r>
      <w:r>
        <w:rPr>
          <w:smallCaps/>
          <w:spacing w:val="-12"/>
        </w:rPr>
        <w:t xml:space="preserve"> </w:t>
      </w:r>
      <w:r>
        <w:rPr>
          <w:smallCaps/>
          <w:spacing w:val="-4"/>
        </w:rPr>
        <w:t>Data</w:t>
      </w:r>
    </w:p>
    <w:p>
      <w:pPr>
        <w:spacing w:before="240"/>
        <w:ind w:left="440" w:right="0" w:firstLine="0"/>
        <w:jc w:val="left"/>
        <w:rPr>
          <w:rFonts w:ascii="Arial" w:hAnsi="Arial"/>
          <w:b/>
          <w:sz w:val="21"/>
        </w:rPr>
      </w:pPr>
      <w:bookmarkStart w:id="159" w:name="Line 1 – Projected Total Member Months"/>
      <w:bookmarkEnd w:id="159"/>
      <w:r>
        <w:rPr>
          <w:rFonts w:ascii="Arial" w:hAnsi="Arial"/>
          <w:b/>
          <w:sz w:val="21"/>
        </w:rPr>
        <w:t>Line</w:t>
      </w:r>
      <w:r>
        <w:rPr>
          <w:rFonts w:ascii="Arial" w:hAnsi="Arial"/>
          <w:b/>
          <w:spacing w:val="-4"/>
          <w:sz w:val="21"/>
        </w:rPr>
        <w:t xml:space="preserve"> </w:t>
      </w:r>
      <w:r>
        <w:rPr>
          <w:rFonts w:ascii="Arial" w:hAnsi="Arial"/>
          <w:b/>
          <w:sz w:val="21"/>
        </w:rPr>
        <w:t>1</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Projected</w:t>
      </w:r>
      <w:r>
        <w:rPr>
          <w:rFonts w:ascii="Arial" w:hAnsi="Arial"/>
          <w:b/>
          <w:spacing w:val="-5"/>
          <w:sz w:val="21"/>
        </w:rPr>
        <w:t xml:space="preserve"> </w:t>
      </w:r>
      <w:r>
        <w:rPr>
          <w:rFonts w:ascii="Arial" w:hAnsi="Arial"/>
          <w:b/>
          <w:sz w:val="21"/>
        </w:rPr>
        <w:t>Total</w:t>
      </w:r>
      <w:r>
        <w:rPr>
          <w:rFonts w:ascii="Arial" w:hAnsi="Arial"/>
          <w:b/>
          <w:spacing w:val="-4"/>
          <w:sz w:val="21"/>
        </w:rPr>
        <w:t xml:space="preserve"> </w:t>
      </w:r>
      <w:r>
        <w:rPr>
          <w:rFonts w:ascii="Arial" w:hAnsi="Arial"/>
          <w:b/>
          <w:sz w:val="21"/>
        </w:rPr>
        <w:t>Member</w:t>
      </w:r>
      <w:r>
        <w:rPr>
          <w:rFonts w:ascii="Arial" w:hAnsi="Arial"/>
          <w:b/>
          <w:spacing w:val="-4"/>
          <w:sz w:val="21"/>
        </w:rPr>
        <w:t xml:space="preserve"> </w:t>
      </w:r>
      <w:r>
        <w:rPr>
          <w:rFonts w:ascii="Arial" w:hAnsi="Arial"/>
          <w:b/>
          <w:spacing w:val="-2"/>
          <w:sz w:val="21"/>
        </w:rPr>
        <w:t>Months</w:t>
      </w:r>
    </w:p>
    <w:p>
      <w:pPr>
        <w:pStyle w:val="BodyText"/>
        <w:ind w:left="440" w:right="425"/>
      </w:pPr>
      <w:r>
        <w:t>The</w:t>
      </w:r>
      <w:r>
        <w:rPr>
          <w:spacing w:val="-5"/>
        </w:rPr>
        <w:t xml:space="preserve"> </w:t>
      </w:r>
      <w:r>
        <w:t>value</w:t>
      </w:r>
      <w:r>
        <w:rPr>
          <w:spacing w:val="-3"/>
        </w:rPr>
        <w:t xml:space="preserve"> </w:t>
      </w:r>
      <w:r>
        <w:t>is</w:t>
      </w:r>
      <w:r>
        <w:rPr>
          <w:spacing w:val="-3"/>
        </w:rPr>
        <w:t xml:space="preserve"> </w:t>
      </w:r>
      <w:r>
        <w:t>carried</w:t>
      </w:r>
      <w:r>
        <w:rPr>
          <w:spacing w:val="-1"/>
        </w:rPr>
        <w:t xml:space="preserve"> </w:t>
      </w:r>
      <w:r>
        <w:t>from Section</w:t>
      </w:r>
      <w:r>
        <w:rPr>
          <w:spacing w:val="-3"/>
        </w:rPr>
        <w:t xml:space="preserve"> </w:t>
      </w:r>
      <w:r>
        <w:t>III,</w:t>
      </w:r>
      <w:r>
        <w:rPr>
          <w:spacing w:val="-3"/>
        </w:rPr>
        <w:t xml:space="preserve"> </w:t>
      </w:r>
      <w:r>
        <w:t>line</w:t>
      </w:r>
      <w:r>
        <w:rPr>
          <w:spacing w:val="-4"/>
        </w:rPr>
        <w:t xml:space="preserve"> </w:t>
      </w:r>
      <w:r>
        <w:t>5,</w:t>
      </w:r>
      <w:r>
        <w:rPr>
          <w:spacing w:val="-3"/>
        </w:rPr>
        <w:t xml:space="preserve"> </w:t>
      </w:r>
      <w:r>
        <w:t>column</w:t>
      </w:r>
      <w:r>
        <w:rPr>
          <w:spacing w:val="-3"/>
        </w:rPr>
        <w:t xml:space="preserve"> </w:t>
      </w:r>
      <w:r>
        <w:t>e.</w:t>
      </w:r>
      <w:r>
        <w:rPr>
          <w:spacing w:val="-3"/>
        </w:rPr>
        <w:t xml:space="preserve"> </w:t>
      </w:r>
      <w:r>
        <w:t>For</w:t>
      </w:r>
      <w:r>
        <w:rPr>
          <w:spacing w:val="-2"/>
        </w:rPr>
        <w:t xml:space="preserve"> </w:t>
      </w:r>
      <w:r>
        <w:t>an</w:t>
      </w:r>
      <w:r>
        <w:rPr>
          <w:spacing w:val="-3"/>
        </w:rPr>
        <w:t xml:space="preserve"> </w:t>
      </w:r>
      <w:r>
        <w:t>MA-PD,</w:t>
      </w:r>
      <w:r>
        <w:rPr>
          <w:spacing w:val="-4"/>
        </w:rPr>
        <w:t xml:space="preserve"> </w:t>
      </w:r>
      <w:r>
        <w:t>Part</w:t>
      </w:r>
      <w:r>
        <w:rPr>
          <w:spacing w:val="-3"/>
        </w:rPr>
        <w:t xml:space="preserve"> </w:t>
      </w:r>
      <w:r>
        <w:t>D</w:t>
      </w:r>
      <w:r>
        <w:rPr>
          <w:spacing w:val="-3"/>
        </w:rPr>
        <w:t xml:space="preserve"> </w:t>
      </w:r>
      <w:r>
        <w:t>projected member months are the sum of projected member months for MA, ESRD and</w:t>
      </w:r>
    </w:p>
    <w:p>
      <w:pPr>
        <w:pStyle w:val="BodyText"/>
        <w:spacing w:before="0"/>
        <w:ind w:left="440"/>
      </w:pPr>
      <w:r>
        <w:t>hospice</w:t>
      </w:r>
      <w:r>
        <w:rPr>
          <w:spacing w:val="-2"/>
        </w:rPr>
        <w:t xml:space="preserve"> members.</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Line</w:t>
      </w:r>
      <w:r>
        <w:rPr>
          <w:rFonts w:ascii="Arial" w:hAnsi="Arial"/>
          <w:b/>
          <w:spacing w:val="-8"/>
          <w:sz w:val="21"/>
        </w:rPr>
        <w:t xml:space="preserve"> </w:t>
      </w:r>
      <w:r>
        <w:rPr>
          <w:rFonts w:ascii="Arial" w:hAnsi="Arial"/>
          <w:b/>
          <w:sz w:val="21"/>
        </w:rPr>
        <w:t>1a</w:t>
      </w:r>
      <w:r>
        <w:rPr>
          <w:rFonts w:ascii="Arial" w:hAnsi="Arial"/>
          <w:b/>
          <w:spacing w:val="-6"/>
          <w:sz w:val="21"/>
        </w:rPr>
        <w:t xml:space="preserve"> </w:t>
      </w:r>
      <w:r>
        <w:rPr>
          <w:rFonts w:ascii="Arial" w:hAnsi="Arial"/>
          <w:b/>
          <w:sz w:val="21"/>
        </w:rPr>
        <w:t>–</w:t>
      </w:r>
      <w:r>
        <w:rPr>
          <w:rFonts w:ascii="Arial" w:hAnsi="Arial"/>
          <w:b/>
          <w:spacing w:val="-7"/>
          <w:sz w:val="21"/>
        </w:rPr>
        <w:t xml:space="preserve"> </w:t>
      </w:r>
      <w:r>
        <w:rPr>
          <w:rFonts w:ascii="Arial" w:hAnsi="Arial"/>
          <w:b/>
          <w:sz w:val="21"/>
        </w:rPr>
        <w:t>Projected</w:t>
      </w:r>
      <w:r>
        <w:rPr>
          <w:rFonts w:ascii="Arial" w:hAnsi="Arial"/>
          <w:b/>
          <w:spacing w:val="-7"/>
          <w:sz w:val="21"/>
        </w:rPr>
        <w:t xml:space="preserve"> </w:t>
      </w:r>
      <w:r>
        <w:rPr>
          <w:rFonts w:ascii="Arial" w:hAnsi="Arial"/>
          <w:b/>
          <w:sz w:val="21"/>
        </w:rPr>
        <w:t>Low-Income</w:t>
      </w:r>
      <w:r>
        <w:rPr>
          <w:rFonts w:ascii="Arial" w:hAnsi="Arial"/>
          <w:b/>
          <w:spacing w:val="-6"/>
          <w:sz w:val="21"/>
        </w:rPr>
        <w:t xml:space="preserve"> </w:t>
      </w:r>
      <w:r>
        <w:rPr>
          <w:rFonts w:ascii="Arial" w:hAnsi="Arial"/>
          <w:b/>
          <w:sz w:val="21"/>
        </w:rPr>
        <w:t>Subsidy</w:t>
      </w:r>
      <w:r>
        <w:rPr>
          <w:rFonts w:ascii="Arial" w:hAnsi="Arial"/>
          <w:b/>
          <w:spacing w:val="-5"/>
          <w:sz w:val="21"/>
        </w:rPr>
        <w:t xml:space="preserve"> </w:t>
      </w:r>
      <w:r>
        <w:rPr>
          <w:rFonts w:ascii="Arial" w:hAnsi="Arial"/>
          <w:b/>
          <w:sz w:val="21"/>
        </w:rPr>
        <w:t>(LIS)</w:t>
      </w:r>
      <w:r>
        <w:rPr>
          <w:rFonts w:ascii="Arial" w:hAnsi="Arial"/>
          <w:b/>
          <w:spacing w:val="-7"/>
          <w:sz w:val="21"/>
        </w:rPr>
        <w:t xml:space="preserve"> </w:t>
      </w:r>
      <w:r>
        <w:rPr>
          <w:rFonts w:ascii="Arial" w:hAnsi="Arial"/>
          <w:b/>
          <w:sz w:val="21"/>
        </w:rPr>
        <w:t>Member</w:t>
      </w:r>
      <w:r>
        <w:rPr>
          <w:rFonts w:ascii="Arial" w:hAnsi="Arial"/>
          <w:b/>
          <w:spacing w:val="-5"/>
          <w:sz w:val="21"/>
        </w:rPr>
        <w:t xml:space="preserve"> </w:t>
      </w:r>
      <w:r>
        <w:rPr>
          <w:rFonts w:ascii="Arial" w:hAnsi="Arial"/>
          <w:b/>
          <w:spacing w:val="-2"/>
          <w:sz w:val="21"/>
        </w:rPr>
        <w:t>Months</w:t>
      </w:r>
    </w:p>
    <w:p>
      <w:pPr>
        <w:pStyle w:val="BodyText"/>
        <w:spacing w:before="118"/>
        <w:ind w:left="1160" w:right="918"/>
      </w:pPr>
      <w:r>
        <w:t>Enter</w:t>
      </w:r>
      <w:r>
        <w:rPr>
          <w:spacing w:val="-4"/>
        </w:rPr>
        <w:t xml:space="preserve"> </w:t>
      </w:r>
      <w:r>
        <w:t>the</w:t>
      </w:r>
      <w:r>
        <w:rPr>
          <w:spacing w:val="-5"/>
        </w:rPr>
        <w:t xml:space="preserve"> </w:t>
      </w:r>
      <w:r>
        <w:t>estimated</w:t>
      </w:r>
      <w:r>
        <w:rPr>
          <w:spacing w:val="-4"/>
        </w:rPr>
        <w:t xml:space="preserve"> </w:t>
      </w:r>
      <w:r>
        <w:t>number</w:t>
      </w:r>
      <w:r>
        <w:rPr>
          <w:spacing w:val="-4"/>
        </w:rPr>
        <w:t xml:space="preserve"> </w:t>
      </w:r>
      <w:r>
        <w:t>of</w:t>
      </w:r>
      <w:r>
        <w:rPr>
          <w:spacing w:val="-5"/>
        </w:rPr>
        <w:t xml:space="preserve"> </w:t>
      </w:r>
      <w:r>
        <w:t>member</w:t>
      </w:r>
      <w:r>
        <w:rPr>
          <w:spacing w:val="-4"/>
        </w:rPr>
        <w:t xml:space="preserve"> </w:t>
      </w:r>
      <w:r>
        <w:t>months</w:t>
      </w:r>
      <w:r>
        <w:rPr>
          <w:spacing w:val="-4"/>
        </w:rPr>
        <w:t xml:space="preserve"> </w:t>
      </w:r>
      <w:r>
        <w:t>for</w:t>
      </w:r>
      <w:r>
        <w:rPr>
          <w:spacing w:val="-4"/>
        </w:rPr>
        <w:t xml:space="preserve"> </w:t>
      </w:r>
      <w:r>
        <w:t>enrollees</w:t>
      </w:r>
      <w:r>
        <w:rPr>
          <w:spacing w:val="-4"/>
        </w:rPr>
        <w:t xml:space="preserve"> </w:t>
      </w:r>
      <w:r>
        <w:t>who</w:t>
      </w:r>
      <w:r>
        <w:rPr>
          <w:spacing w:val="-4"/>
        </w:rPr>
        <w:t xml:space="preserve"> </w:t>
      </w:r>
      <w:r>
        <w:t>will</w:t>
      </w:r>
      <w:r>
        <w:rPr>
          <w:spacing w:val="-4"/>
        </w:rPr>
        <w:t xml:space="preserve"> </w:t>
      </w:r>
      <w:r>
        <w:t>qualify</w:t>
      </w:r>
      <w:r>
        <w:rPr>
          <w:spacing w:val="-4"/>
        </w:rPr>
        <w:t xml:space="preserve"> </w:t>
      </w:r>
      <w:r>
        <w:t>for and obtain LIS status in the contract period.</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Line</w:t>
      </w:r>
      <w:r>
        <w:rPr>
          <w:rFonts w:ascii="Arial" w:hAnsi="Arial"/>
          <w:b/>
          <w:spacing w:val="-6"/>
          <w:sz w:val="21"/>
        </w:rPr>
        <w:t xml:space="preserve"> </w:t>
      </w:r>
      <w:r>
        <w:rPr>
          <w:rFonts w:ascii="Arial" w:hAnsi="Arial"/>
          <w:b/>
          <w:sz w:val="21"/>
        </w:rPr>
        <w:t>1b</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Projected</w:t>
      </w:r>
      <w:r>
        <w:rPr>
          <w:rFonts w:ascii="Arial" w:hAnsi="Arial"/>
          <w:b/>
          <w:spacing w:val="-4"/>
          <w:sz w:val="21"/>
        </w:rPr>
        <w:t xml:space="preserve"> </w:t>
      </w:r>
      <w:r>
        <w:rPr>
          <w:rFonts w:ascii="Arial" w:hAnsi="Arial"/>
          <w:b/>
          <w:sz w:val="21"/>
        </w:rPr>
        <w:t>non-LIS</w:t>
      </w:r>
      <w:r>
        <w:rPr>
          <w:rFonts w:ascii="Arial" w:hAnsi="Arial"/>
          <w:b/>
          <w:spacing w:val="-5"/>
          <w:sz w:val="21"/>
        </w:rPr>
        <w:t xml:space="preserve"> </w:t>
      </w:r>
      <w:r>
        <w:rPr>
          <w:rFonts w:ascii="Arial" w:hAnsi="Arial"/>
          <w:b/>
          <w:sz w:val="21"/>
        </w:rPr>
        <w:t>Member</w:t>
      </w:r>
      <w:r>
        <w:rPr>
          <w:rFonts w:ascii="Arial" w:hAnsi="Arial"/>
          <w:b/>
          <w:spacing w:val="-6"/>
          <w:sz w:val="21"/>
        </w:rPr>
        <w:t xml:space="preserve"> </w:t>
      </w:r>
      <w:r>
        <w:rPr>
          <w:rFonts w:ascii="Arial" w:hAnsi="Arial"/>
          <w:b/>
          <w:spacing w:val="-2"/>
          <w:sz w:val="21"/>
        </w:rPr>
        <w:t>Months</w:t>
      </w:r>
    </w:p>
    <w:p>
      <w:pPr>
        <w:pStyle w:val="BodyText"/>
        <w:ind w:left="1160" w:right="979"/>
      </w:pPr>
      <w:r>
        <w:t>The</w:t>
      </w:r>
      <w:r>
        <w:rPr>
          <w:spacing w:val="-6"/>
        </w:rPr>
        <w:t xml:space="preserve"> </w:t>
      </w:r>
      <w:r>
        <w:t>value</w:t>
      </w:r>
      <w:r>
        <w:rPr>
          <w:spacing w:val="-4"/>
        </w:rPr>
        <w:t xml:space="preserve"> </w:t>
      </w:r>
      <w:r>
        <w:t>is</w:t>
      </w:r>
      <w:r>
        <w:rPr>
          <w:spacing w:val="-4"/>
        </w:rPr>
        <w:t xml:space="preserve"> </w:t>
      </w:r>
      <w:r>
        <w:t>calculated</w:t>
      </w:r>
      <w:r>
        <w:rPr>
          <w:spacing w:val="-4"/>
        </w:rPr>
        <w:t xml:space="preserve"> </w:t>
      </w:r>
      <w:r>
        <w:t>automatically</w:t>
      </w:r>
      <w:r>
        <w:rPr>
          <w:spacing w:val="-4"/>
        </w:rPr>
        <w:t xml:space="preserve"> </w:t>
      </w:r>
      <w:r>
        <w:t>in</w:t>
      </w:r>
      <w:r>
        <w:rPr>
          <w:spacing w:val="-4"/>
        </w:rPr>
        <w:t xml:space="preserve"> </w:t>
      </w:r>
      <w:r>
        <w:t>the</w:t>
      </w:r>
      <w:r>
        <w:rPr>
          <w:spacing w:val="-5"/>
        </w:rPr>
        <w:t xml:space="preserve"> </w:t>
      </w:r>
      <w:r>
        <w:t>BPT</w:t>
      </w:r>
      <w:r>
        <w:rPr>
          <w:spacing w:val="-3"/>
        </w:rPr>
        <w:t xml:space="preserve"> </w:t>
      </w:r>
      <w:r>
        <w:t>as</w:t>
      </w:r>
      <w:r>
        <w:rPr>
          <w:spacing w:val="-4"/>
        </w:rPr>
        <w:t xml:space="preserve"> </w:t>
      </w:r>
      <w:r>
        <w:t>projected</w:t>
      </w:r>
      <w:r>
        <w:rPr>
          <w:spacing w:val="-5"/>
        </w:rPr>
        <w:t xml:space="preserve"> </w:t>
      </w:r>
      <w:r>
        <w:t>total</w:t>
      </w:r>
      <w:r>
        <w:rPr>
          <w:spacing w:val="-4"/>
        </w:rPr>
        <w:t xml:space="preserve"> </w:t>
      </w:r>
      <w:r>
        <w:t>member months minus projected low-income subsidy member months.</w:t>
      </w:r>
    </w:p>
    <w:p>
      <w:pPr>
        <w:spacing w:before="241"/>
        <w:ind w:left="440" w:right="0" w:firstLine="0"/>
        <w:jc w:val="left"/>
        <w:rPr>
          <w:rFonts w:ascii="Arial" w:hAnsi="Arial"/>
          <w:b/>
          <w:sz w:val="21"/>
        </w:rPr>
      </w:pPr>
      <w:bookmarkStart w:id="160" w:name="Line 2 – Projected Average Risk Score"/>
      <w:bookmarkEnd w:id="160"/>
      <w:r>
        <w:rPr>
          <w:rFonts w:ascii="Arial" w:hAnsi="Arial"/>
          <w:b/>
          <w:sz w:val="21"/>
        </w:rPr>
        <w:t>Line</w:t>
      </w:r>
      <w:r>
        <w:rPr>
          <w:rFonts w:ascii="Arial" w:hAnsi="Arial"/>
          <w:b/>
          <w:spacing w:val="-8"/>
          <w:sz w:val="21"/>
        </w:rPr>
        <w:t xml:space="preserve"> </w:t>
      </w:r>
      <w:r>
        <w:rPr>
          <w:rFonts w:ascii="Arial" w:hAnsi="Arial"/>
          <w:b/>
          <w:sz w:val="21"/>
        </w:rPr>
        <w:t>2</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Projected</w:t>
      </w:r>
      <w:r>
        <w:rPr>
          <w:rFonts w:ascii="Arial" w:hAnsi="Arial"/>
          <w:b/>
          <w:spacing w:val="-6"/>
          <w:sz w:val="21"/>
        </w:rPr>
        <w:t xml:space="preserve"> </w:t>
      </w:r>
      <w:r>
        <w:rPr>
          <w:rFonts w:ascii="Arial" w:hAnsi="Arial"/>
          <w:b/>
          <w:sz w:val="21"/>
        </w:rPr>
        <w:t>Average</w:t>
      </w:r>
      <w:r>
        <w:rPr>
          <w:rFonts w:ascii="Arial" w:hAnsi="Arial"/>
          <w:b/>
          <w:spacing w:val="-5"/>
          <w:sz w:val="21"/>
        </w:rPr>
        <w:t xml:space="preserve"> </w:t>
      </w:r>
      <w:r>
        <w:rPr>
          <w:rFonts w:ascii="Arial" w:hAnsi="Arial"/>
          <w:b/>
          <w:sz w:val="21"/>
        </w:rPr>
        <w:t>Risk</w:t>
      </w:r>
      <w:r>
        <w:rPr>
          <w:rFonts w:ascii="Arial" w:hAnsi="Arial"/>
          <w:b/>
          <w:spacing w:val="-5"/>
          <w:sz w:val="21"/>
        </w:rPr>
        <w:t xml:space="preserve"> </w:t>
      </w:r>
      <w:r>
        <w:rPr>
          <w:rFonts w:ascii="Arial" w:hAnsi="Arial"/>
          <w:b/>
          <w:spacing w:val="-2"/>
          <w:sz w:val="21"/>
        </w:rPr>
        <w:t>Score</w:t>
      </w:r>
    </w:p>
    <w:p>
      <w:pPr>
        <w:pStyle w:val="BodyText"/>
        <w:ind w:left="440"/>
      </w:pPr>
      <w:r>
        <w:t>The</w:t>
      </w:r>
      <w:r>
        <w:rPr>
          <w:spacing w:val="-3"/>
        </w:rPr>
        <w:t xml:space="preserve"> </w:t>
      </w:r>
      <w:r>
        <w:t>value</w:t>
      </w:r>
      <w:r>
        <w:rPr>
          <w:spacing w:val="-1"/>
        </w:rPr>
        <w:t xml:space="preserve"> </w:t>
      </w:r>
      <w:r>
        <w:t>is calculated</w:t>
      </w:r>
      <w:r>
        <w:rPr>
          <w:spacing w:val="-1"/>
        </w:rPr>
        <w:t xml:space="preserve"> </w:t>
      </w:r>
      <w:r>
        <w:t>based</w:t>
      </w:r>
      <w:r>
        <w:rPr>
          <w:spacing w:val="-1"/>
        </w:rPr>
        <w:t xml:space="preserve"> </w:t>
      </w:r>
      <w:r>
        <w:t>on the</w:t>
      </w:r>
      <w:r>
        <w:rPr>
          <w:spacing w:val="-1"/>
        </w:rPr>
        <w:t xml:space="preserve"> </w:t>
      </w:r>
      <w:r>
        <w:t>risk</w:t>
      </w:r>
      <w:r>
        <w:rPr>
          <w:spacing w:val="-1"/>
        </w:rPr>
        <w:t xml:space="preserve"> </w:t>
      </w:r>
      <w:r>
        <w:t>scores entered</w:t>
      </w:r>
      <w:r>
        <w:rPr>
          <w:spacing w:val="-1"/>
        </w:rPr>
        <w:t xml:space="preserve"> </w:t>
      </w:r>
      <w:r>
        <w:t>in</w:t>
      </w:r>
      <w:r>
        <w:rPr>
          <w:spacing w:val="-1"/>
        </w:rPr>
        <w:t xml:space="preserve"> </w:t>
      </w:r>
      <w:r>
        <w:t>lines 2a</w:t>
      </w:r>
      <w:r>
        <w:rPr>
          <w:spacing w:val="-3"/>
        </w:rPr>
        <w:t xml:space="preserve"> </w:t>
      </w:r>
      <w:r>
        <w:t xml:space="preserve">and </w:t>
      </w:r>
      <w:r>
        <w:rPr>
          <w:spacing w:val="-5"/>
        </w:rPr>
        <w:t>2b.</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Line</w:t>
      </w:r>
      <w:r>
        <w:rPr>
          <w:rFonts w:ascii="Arial" w:hAnsi="Arial"/>
          <w:b/>
          <w:spacing w:val="-4"/>
          <w:sz w:val="21"/>
        </w:rPr>
        <w:t xml:space="preserve"> </w:t>
      </w:r>
      <w:r>
        <w:rPr>
          <w:rFonts w:ascii="Arial" w:hAnsi="Arial"/>
          <w:b/>
          <w:sz w:val="21"/>
        </w:rPr>
        <w:t>2a</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Projected</w:t>
      </w:r>
      <w:r>
        <w:rPr>
          <w:rFonts w:ascii="Arial" w:hAnsi="Arial"/>
          <w:b/>
          <w:spacing w:val="-5"/>
          <w:sz w:val="21"/>
        </w:rPr>
        <w:t xml:space="preserve"> </w:t>
      </w:r>
      <w:r>
        <w:rPr>
          <w:rFonts w:ascii="Arial" w:hAnsi="Arial"/>
          <w:b/>
          <w:sz w:val="21"/>
        </w:rPr>
        <w:t>LIS</w:t>
      </w:r>
      <w:r>
        <w:rPr>
          <w:rFonts w:ascii="Arial" w:hAnsi="Arial"/>
          <w:b/>
          <w:spacing w:val="-5"/>
          <w:sz w:val="21"/>
        </w:rPr>
        <w:t xml:space="preserve"> </w:t>
      </w:r>
      <w:r>
        <w:rPr>
          <w:rFonts w:ascii="Arial" w:hAnsi="Arial"/>
          <w:b/>
          <w:sz w:val="21"/>
        </w:rPr>
        <w:t>Risk</w:t>
      </w:r>
      <w:r>
        <w:rPr>
          <w:rFonts w:ascii="Arial" w:hAnsi="Arial"/>
          <w:b/>
          <w:spacing w:val="-3"/>
          <w:sz w:val="21"/>
        </w:rPr>
        <w:t xml:space="preserve"> </w:t>
      </w:r>
      <w:r>
        <w:rPr>
          <w:rFonts w:ascii="Arial" w:hAnsi="Arial"/>
          <w:b/>
          <w:spacing w:val="-4"/>
          <w:sz w:val="21"/>
        </w:rPr>
        <w:t>Score</w:t>
      </w:r>
    </w:p>
    <w:p>
      <w:pPr>
        <w:pStyle w:val="BodyText"/>
        <w:spacing w:before="117"/>
        <w:ind w:left="1160" w:right="979"/>
      </w:pPr>
      <w:r>
        <w:t>Enter</w:t>
      </w:r>
      <w:r>
        <w:rPr>
          <w:spacing w:val="-3"/>
        </w:rPr>
        <w:t xml:space="preserve"> </w:t>
      </w:r>
      <w:r>
        <w:t>the</w:t>
      </w:r>
      <w:r>
        <w:rPr>
          <w:spacing w:val="-5"/>
        </w:rPr>
        <w:t xml:space="preserve"> </w:t>
      </w:r>
      <w:r>
        <w:t>estimated</w:t>
      </w:r>
      <w:r>
        <w:rPr>
          <w:spacing w:val="-3"/>
        </w:rPr>
        <w:t xml:space="preserve"> </w:t>
      </w:r>
      <w:r>
        <w:t>average</w:t>
      </w:r>
      <w:r>
        <w:rPr>
          <w:spacing w:val="-4"/>
        </w:rPr>
        <w:t xml:space="preserve"> </w:t>
      </w:r>
      <w:r>
        <w:t>Rx</w:t>
      </w:r>
      <w:r>
        <w:rPr>
          <w:spacing w:val="-3"/>
        </w:rPr>
        <w:t xml:space="preserve"> </w:t>
      </w:r>
      <w:r>
        <w:t>risk</w:t>
      </w:r>
      <w:r>
        <w:rPr>
          <w:spacing w:val="-3"/>
        </w:rPr>
        <w:t xml:space="preserve"> </w:t>
      </w:r>
      <w:r>
        <w:t>score</w:t>
      </w:r>
      <w:r>
        <w:rPr>
          <w:spacing w:val="-5"/>
        </w:rPr>
        <w:t xml:space="preserve"> </w:t>
      </w:r>
      <w:r>
        <w:t>for</w:t>
      </w:r>
      <w:r>
        <w:rPr>
          <w:spacing w:val="-3"/>
        </w:rPr>
        <w:t xml:space="preserve"> </w:t>
      </w:r>
      <w:r>
        <w:t>the</w:t>
      </w:r>
      <w:r>
        <w:rPr>
          <w:spacing w:val="-5"/>
        </w:rPr>
        <w:t xml:space="preserve"> </w:t>
      </w:r>
      <w:r>
        <w:t>enrollees</w:t>
      </w:r>
      <w:r>
        <w:rPr>
          <w:spacing w:val="-3"/>
        </w:rPr>
        <w:t xml:space="preserve"> </w:t>
      </w:r>
      <w:r>
        <w:t>who</w:t>
      </w:r>
      <w:r>
        <w:rPr>
          <w:spacing w:val="-3"/>
        </w:rPr>
        <w:t xml:space="preserve"> </w:t>
      </w:r>
      <w:r>
        <w:t>will</w:t>
      </w:r>
      <w:r>
        <w:rPr>
          <w:spacing w:val="-3"/>
        </w:rPr>
        <w:t xml:space="preserve"> </w:t>
      </w:r>
      <w:r>
        <w:t>qualify</w:t>
      </w:r>
      <w:r>
        <w:rPr>
          <w:spacing w:val="-2"/>
        </w:rPr>
        <w:t xml:space="preserve"> </w:t>
      </w:r>
      <w:r>
        <w:t>for and obtain LIS status in the contract period.</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Line</w:t>
      </w:r>
      <w:r>
        <w:rPr>
          <w:rFonts w:ascii="Arial" w:hAnsi="Arial"/>
          <w:b/>
          <w:spacing w:val="-4"/>
          <w:sz w:val="21"/>
        </w:rPr>
        <w:t xml:space="preserve"> </w:t>
      </w:r>
      <w:r>
        <w:rPr>
          <w:rFonts w:ascii="Arial" w:hAnsi="Arial"/>
          <w:b/>
          <w:sz w:val="21"/>
        </w:rPr>
        <w:t>2b</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Projected</w:t>
      </w:r>
      <w:r>
        <w:rPr>
          <w:rFonts w:ascii="Arial" w:hAnsi="Arial"/>
          <w:b/>
          <w:spacing w:val="-3"/>
          <w:sz w:val="21"/>
        </w:rPr>
        <w:t xml:space="preserve"> </w:t>
      </w:r>
      <w:r>
        <w:rPr>
          <w:rFonts w:ascii="Arial" w:hAnsi="Arial"/>
          <w:b/>
          <w:sz w:val="21"/>
        </w:rPr>
        <w:t>NLI</w:t>
      </w:r>
      <w:r>
        <w:rPr>
          <w:rFonts w:ascii="Arial" w:hAnsi="Arial"/>
          <w:b/>
          <w:spacing w:val="-4"/>
          <w:sz w:val="21"/>
        </w:rPr>
        <w:t xml:space="preserve"> </w:t>
      </w:r>
      <w:r>
        <w:rPr>
          <w:rFonts w:ascii="Arial" w:hAnsi="Arial"/>
          <w:b/>
          <w:sz w:val="21"/>
        </w:rPr>
        <w:t>Risk</w:t>
      </w:r>
      <w:r>
        <w:rPr>
          <w:rFonts w:ascii="Arial" w:hAnsi="Arial"/>
          <w:b/>
          <w:spacing w:val="-4"/>
          <w:sz w:val="21"/>
        </w:rPr>
        <w:t xml:space="preserve"> Score</w:t>
      </w:r>
    </w:p>
    <w:p>
      <w:pPr>
        <w:pStyle w:val="BodyText"/>
        <w:spacing w:before="121"/>
        <w:ind w:left="1160"/>
      </w:pPr>
      <w:r>
        <w:t>Enter</w:t>
      </w:r>
      <w:r>
        <w:rPr>
          <w:spacing w:val="-1"/>
        </w:rPr>
        <w:t xml:space="preserve"> </w:t>
      </w:r>
      <w:r>
        <w:t>the</w:t>
      </w:r>
      <w:r>
        <w:rPr>
          <w:spacing w:val="-2"/>
        </w:rPr>
        <w:t xml:space="preserve"> </w:t>
      </w:r>
      <w:r>
        <w:t>estimated average</w:t>
      </w:r>
      <w:r>
        <w:rPr>
          <w:spacing w:val="-1"/>
        </w:rPr>
        <w:t xml:space="preserve"> </w:t>
      </w:r>
      <w:r>
        <w:t>Rx risk</w:t>
      </w:r>
      <w:r>
        <w:rPr>
          <w:spacing w:val="-1"/>
        </w:rPr>
        <w:t xml:space="preserve"> </w:t>
      </w:r>
      <w:r>
        <w:t>score</w:t>
      </w:r>
      <w:r>
        <w:rPr>
          <w:spacing w:val="-2"/>
        </w:rPr>
        <w:t xml:space="preserve"> </w:t>
      </w:r>
      <w:r>
        <w:t>for the</w:t>
      </w:r>
      <w:r>
        <w:rPr>
          <w:spacing w:val="-2"/>
        </w:rPr>
        <w:t xml:space="preserve"> </w:t>
      </w:r>
      <w:r>
        <w:t xml:space="preserve">non-LIS </w:t>
      </w:r>
      <w:r>
        <w:rPr>
          <w:spacing w:val="-2"/>
        </w:rPr>
        <w:t>population.</w:t>
      </w:r>
    </w:p>
    <w:p>
      <w:pPr>
        <w:pStyle w:val="BodyText"/>
        <w:spacing w:before="45"/>
        <w:ind w:left="0"/>
      </w:pPr>
    </w:p>
    <w:p>
      <w:pPr>
        <w:pStyle w:val="Heading2"/>
      </w:pPr>
      <w:bookmarkStart w:id="161" w:name="Section III – Part D Covered Drug Claims"/>
      <w:bookmarkEnd w:id="161"/>
      <w:bookmarkStart w:id="162" w:name="_bookmark45"/>
      <w:bookmarkEnd w:id="162"/>
      <w:r>
        <w:rPr>
          <w:smallCaps/>
        </w:rPr>
        <w:t>Section</w:t>
      </w:r>
      <w:r>
        <w:rPr>
          <w:smallCaps/>
          <w:spacing w:val="-15"/>
        </w:rPr>
        <w:t xml:space="preserve"> </w:t>
      </w:r>
      <w:r>
        <w:rPr>
          <w:smallCaps/>
        </w:rPr>
        <w:t>III</w:t>
      </w:r>
      <w:r>
        <w:rPr>
          <w:smallCaps/>
          <w:spacing w:val="-15"/>
        </w:rPr>
        <w:t xml:space="preserve"> </w:t>
      </w:r>
      <w:r>
        <w:rPr>
          <w:smallCaps/>
        </w:rPr>
        <w:t>–</w:t>
      </w:r>
      <w:r>
        <w:rPr>
          <w:smallCaps/>
          <w:spacing w:val="-15"/>
        </w:rPr>
        <w:t xml:space="preserve"> </w:t>
      </w:r>
      <w:r>
        <w:rPr>
          <w:smallCaps/>
        </w:rPr>
        <w:t>Part</w:t>
      </w:r>
      <w:r>
        <w:rPr>
          <w:smallCaps/>
          <w:spacing w:val="9"/>
        </w:rPr>
        <w:t xml:space="preserve"> </w:t>
      </w:r>
      <w:r>
        <w:rPr>
          <w:smallCaps/>
        </w:rPr>
        <w:t>D</w:t>
      </w:r>
      <w:r>
        <w:rPr>
          <w:smallCaps/>
          <w:spacing w:val="-17"/>
        </w:rPr>
        <w:t xml:space="preserve"> </w:t>
      </w:r>
      <w:r>
        <w:rPr>
          <w:smallCaps/>
        </w:rPr>
        <w:t>Covered</w:t>
      </w:r>
      <w:r>
        <w:rPr>
          <w:smallCaps/>
          <w:spacing w:val="-5"/>
        </w:rPr>
        <w:t xml:space="preserve"> </w:t>
      </w:r>
      <w:r>
        <w:rPr>
          <w:smallCaps/>
        </w:rPr>
        <w:t>Drug</w:t>
      </w:r>
      <w:r>
        <w:rPr>
          <w:smallCaps/>
          <w:spacing w:val="-7"/>
        </w:rPr>
        <w:t xml:space="preserve"> </w:t>
      </w:r>
      <w:r>
        <w:rPr>
          <w:smallCaps/>
          <w:spacing w:val="-2"/>
        </w:rPr>
        <w:t>Claims</w:t>
      </w:r>
    </w:p>
    <w:p>
      <w:pPr>
        <w:pStyle w:val="BodyText"/>
        <w:spacing w:before="179"/>
        <w:ind w:left="440"/>
      </w:pPr>
      <w:r>
        <w:t>The</w:t>
      </w:r>
      <w:r>
        <w:rPr>
          <w:spacing w:val="-2"/>
        </w:rPr>
        <w:t xml:space="preserve"> </w:t>
      </w:r>
      <w:r>
        <w:t>entries</w:t>
      </w:r>
      <w:r>
        <w:rPr>
          <w:spacing w:val="-1"/>
        </w:rPr>
        <w:t xml:space="preserve"> </w:t>
      </w:r>
      <w:r>
        <w:t>in</w:t>
      </w:r>
      <w:r>
        <w:rPr>
          <w:spacing w:val="-1"/>
        </w:rPr>
        <w:t xml:space="preserve"> </w:t>
      </w:r>
      <w:r>
        <w:t>this</w:t>
      </w:r>
      <w:r>
        <w:rPr>
          <w:spacing w:val="-1"/>
        </w:rPr>
        <w:t xml:space="preserve"> </w:t>
      </w:r>
      <w:r>
        <w:t>section must reflect</w:t>
      </w:r>
      <w:r>
        <w:rPr>
          <w:spacing w:val="-1"/>
        </w:rPr>
        <w:t xml:space="preserve"> </w:t>
      </w:r>
      <w:r>
        <w:t>the</w:t>
      </w:r>
      <w:r>
        <w:rPr>
          <w:spacing w:val="-2"/>
        </w:rPr>
        <w:t xml:space="preserve"> </w:t>
      </w:r>
      <w:r>
        <w:t>risk</w:t>
      </w:r>
      <w:r>
        <w:rPr>
          <w:spacing w:val="-1"/>
        </w:rPr>
        <w:t xml:space="preserve"> </w:t>
      </w:r>
      <w:r>
        <w:t>score</w:t>
      </w:r>
      <w:r>
        <w:rPr>
          <w:spacing w:val="-2"/>
        </w:rPr>
        <w:t xml:space="preserve"> </w:t>
      </w:r>
      <w:r>
        <w:t>entered</w:t>
      </w:r>
      <w:r>
        <w:rPr>
          <w:spacing w:val="-1"/>
        </w:rPr>
        <w:t xml:space="preserve"> </w:t>
      </w:r>
      <w:r>
        <w:t>in</w:t>
      </w:r>
      <w:r>
        <w:rPr>
          <w:spacing w:val="-1"/>
        </w:rPr>
        <w:t xml:space="preserve"> </w:t>
      </w:r>
      <w:r>
        <w:t>Section</w:t>
      </w:r>
      <w:r>
        <w:rPr>
          <w:spacing w:val="2"/>
        </w:rPr>
        <w:t xml:space="preserve"> </w:t>
      </w:r>
      <w:r>
        <w:t>II,</w:t>
      </w:r>
      <w:r>
        <w:rPr>
          <w:spacing w:val="1"/>
        </w:rPr>
        <w:t xml:space="preserve"> </w:t>
      </w:r>
      <w:r>
        <w:t>line</w:t>
      </w:r>
      <w:r>
        <w:rPr>
          <w:spacing w:val="-1"/>
        </w:rPr>
        <w:t xml:space="preserve"> </w:t>
      </w:r>
      <w:r>
        <w:rPr>
          <w:spacing w:val="-5"/>
        </w:rPr>
        <w:t>2.</w:t>
      </w:r>
    </w:p>
    <w:p>
      <w:pPr>
        <w:spacing w:after="0"/>
        <w:sectPr>
          <w:headerReference w:type="default" r:id="rId25"/>
          <w:footerReference w:type="default" r:id="rId26"/>
          <w:pgSz w:w="12240" w:h="15840"/>
          <w:pgMar w:top="1340" w:right="1000" w:bottom="1080" w:left="1360" w:header="727" w:footer="891"/>
          <w:cols w:space="720"/>
        </w:sectPr>
      </w:pPr>
    </w:p>
    <w:p>
      <w:pPr>
        <w:spacing w:before="87"/>
        <w:ind w:left="440" w:right="0" w:firstLine="0"/>
        <w:jc w:val="left"/>
        <w:rPr>
          <w:rFonts w:ascii="Arial"/>
          <w:b/>
          <w:sz w:val="21"/>
        </w:rPr>
      </w:pPr>
      <w:r>
        <w:rPr>
          <w:rFonts w:ascii="Arial"/>
          <w:b/>
          <w:sz w:val="21"/>
        </w:rPr>
        <w:t>Lines</w:t>
      </w:r>
      <w:r>
        <w:rPr>
          <w:rFonts w:ascii="Arial"/>
          <w:b/>
          <w:spacing w:val="-5"/>
          <w:sz w:val="21"/>
        </w:rPr>
        <w:t xml:space="preserve"> </w:t>
      </w:r>
      <w:r>
        <w:rPr>
          <w:rFonts w:ascii="Arial"/>
          <w:b/>
          <w:sz w:val="21"/>
        </w:rPr>
        <w:t>1</w:t>
      </w:r>
      <w:r>
        <w:rPr>
          <w:rFonts w:ascii="Arial"/>
          <w:b/>
          <w:spacing w:val="-5"/>
          <w:sz w:val="21"/>
        </w:rPr>
        <w:t xml:space="preserve"> </w:t>
      </w:r>
      <w:r>
        <w:rPr>
          <w:rFonts w:ascii="Arial"/>
          <w:b/>
          <w:sz w:val="21"/>
        </w:rPr>
        <w:t>through</w:t>
      </w:r>
      <w:r>
        <w:rPr>
          <w:rFonts w:ascii="Arial"/>
          <w:b/>
          <w:spacing w:val="-5"/>
          <w:sz w:val="21"/>
        </w:rPr>
        <w:t xml:space="preserve"> </w:t>
      </w:r>
      <w:r>
        <w:rPr>
          <w:rFonts w:ascii="Arial"/>
          <w:b/>
          <w:spacing w:val="-10"/>
          <w:sz w:val="21"/>
        </w:rPr>
        <w:t>4</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5"/>
          <w:sz w:val="21"/>
        </w:rPr>
        <w:t xml:space="preserve"> </w:t>
      </w:r>
      <w:r>
        <w:rPr>
          <w:rFonts w:ascii="Arial" w:hAnsi="Arial"/>
          <w:b/>
          <w:sz w:val="21"/>
        </w:rPr>
        <w:t>d</w:t>
      </w:r>
      <w:r>
        <w:rPr>
          <w:rFonts w:ascii="Arial" w:hAnsi="Arial"/>
          <w:b/>
          <w:spacing w:val="-3"/>
          <w:sz w:val="21"/>
        </w:rPr>
        <w:t xml:space="preserve"> </w:t>
      </w:r>
      <w:r>
        <w:rPr>
          <w:rFonts w:ascii="Arial" w:hAnsi="Arial"/>
          <w:b/>
          <w:sz w:val="21"/>
        </w:rPr>
        <w:t>–</w:t>
      </w:r>
      <w:r>
        <w:rPr>
          <w:rFonts w:ascii="Arial" w:hAnsi="Arial"/>
          <w:b/>
          <w:spacing w:val="-2"/>
          <w:sz w:val="21"/>
        </w:rPr>
        <w:t xml:space="preserve"> </w:t>
      </w:r>
      <w:r>
        <w:rPr>
          <w:rFonts w:ascii="Arial" w:hAnsi="Arial"/>
          <w:b/>
          <w:sz w:val="21"/>
        </w:rPr>
        <w:t>Number</w:t>
      </w:r>
      <w:r>
        <w:rPr>
          <w:rFonts w:ascii="Arial" w:hAnsi="Arial"/>
          <w:b/>
          <w:spacing w:val="-3"/>
          <w:sz w:val="21"/>
        </w:rPr>
        <w:t xml:space="preserve"> </w:t>
      </w:r>
      <w:r>
        <w:rPr>
          <w:rFonts w:ascii="Arial" w:hAnsi="Arial"/>
          <w:b/>
          <w:sz w:val="21"/>
        </w:rPr>
        <w:t>of</w:t>
      </w:r>
      <w:r>
        <w:rPr>
          <w:rFonts w:ascii="Arial" w:hAnsi="Arial"/>
          <w:b/>
          <w:spacing w:val="-2"/>
          <w:sz w:val="21"/>
        </w:rPr>
        <w:t xml:space="preserve"> Members</w:t>
      </w:r>
    </w:p>
    <w:p>
      <w:pPr>
        <w:pStyle w:val="BodyText"/>
        <w:spacing w:before="118"/>
        <w:ind w:left="1160" w:right="979"/>
      </w:pPr>
      <w:r>
        <w:t>Enter the number of members expected to have total allowed claims in the allowed</w:t>
      </w:r>
      <w:r>
        <w:rPr>
          <w:spacing w:val="-3"/>
        </w:rPr>
        <w:t xml:space="preserve"> </w:t>
      </w:r>
      <w:r>
        <w:t>claim</w:t>
      </w:r>
      <w:r>
        <w:rPr>
          <w:spacing w:val="-3"/>
        </w:rPr>
        <w:t xml:space="preserve"> </w:t>
      </w:r>
      <w:r>
        <w:t>interval</w:t>
      </w:r>
      <w:r>
        <w:rPr>
          <w:spacing w:val="-3"/>
        </w:rPr>
        <w:t xml:space="preserve"> </w:t>
      </w:r>
      <w:r>
        <w:t>defined</w:t>
      </w:r>
      <w:r>
        <w:rPr>
          <w:spacing w:val="-3"/>
        </w:rPr>
        <w:t xml:space="preserve"> </w:t>
      </w:r>
      <w:r>
        <w:t>for</w:t>
      </w:r>
      <w:r>
        <w:rPr>
          <w:spacing w:val="-5"/>
        </w:rPr>
        <w:t xml:space="preserve"> </w:t>
      </w:r>
      <w:r>
        <w:t>each</w:t>
      </w:r>
      <w:r>
        <w:rPr>
          <w:spacing w:val="-3"/>
        </w:rPr>
        <w:t xml:space="preserve"> </w:t>
      </w:r>
      <w:r>
        <w:t>line.</w:t>
      </w:r>
      <w:r>
        <w:rPr>
          <w:spacing w:val="-3"/>
        </w:rPr>
        <w:t xml:space="preserve"> </w:t>
      </w:r>
      <w:r>
        <w:t>Do</w:t>
      </w:r>
      <w:r>
        <w:rPr>
          <w:spacing w:val="-3"/>
        </w:rPr>
        <w:t xml:space="preserve"> </w:t>
      </w:r>
      <w:r>
        <w:t>not</w:t>
      </w:r>
      <w:r>
        <w:rPr>
          <w:spacing w:val="-3"/>
        </w:rPr>
        <w:t xml:space="preserve"> </w:t>
      </w:r>
      <w:r>
        <w:t>include</w:t>
      </w:r>
      <w:r>
        <w:rPr>
          <w:spacing w:val="-3"/>
        </w:rPr>
        <w:t xml:space="preserve"> </w:t>
      </w:r>
      <w:r>
        <w:t>estimates</w:t>
      </w:r>
      <w:r>
        <w:rPr>
          <w:spacing w:val="-2"/>
        </w:rPr>
        <w:t xml:space="preserve"> </w:t>
      </w:r>
      <w:r>
        <w:t>for</w:t>
      </w:r>
      <w:r>
        <w:rPr>
          <w:spacing w:val="-5"/>
        </w:rPr>
        <w:t xml:space="preserve"> </w:t>
      </w:r>
      <w:r>
        <w:t>claims for which the Part D plan is the secondary payer.</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e</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Member</w:t>
      </w:r>
      <w:r>
        <w:rPr>
          <w:rFonts w:ascii="Arial" w:hAnsi="Arial"/>
          <w:b/>
          <w:spacing w:val="-3"/>
          <w:sz w:val="21"/>
        </w:rPr>
        <w:t xml:space="preserve"> </w:t>
      </w:r>
      <w:r>
        <w:rPr>
          <w:rFonts w:ascii="Arial" w:hAnsi="Arial"/>
          <w:b/>
          <w:spacing w:val="-2"/>
          <w:sz w:val="21"/>
        </w:rPr>
        <w:t>Months</w:t>
      </w:r>
    </w:p>
    <w:p>
      <w:pPr>
        <w:pStyle w:val="BodyText"/>
        <w:ind w:left="1160" w:right="918"/>
      </w:pPr>
      <w:r>
        <w:t>Enter</w:t>
      </w:r>
      <w:r>
        <w:rPr>
          <w:spacing w:val="-5"/>
        </w:rPr>
        <w:t xml:space="preserve"> </w:t>
      </w:r>
      <w:r>
        <w:t>the</w:t>
      </w:r>
      <w:r>
        <w:rPr>
          <w:spacing w:val="-3"/>
        </w:rPr>
        <w:t xml:space="preserve"> </w:t>
      </w:r>
      <w:r>
        <w:t>number</w:t>
      </w:r>
      <w:r>
        <w:rPr>
          <w:spacing w:val="-3"/>
        </w:rPr>
        <w:t xml:space="preserve"> </w:t>
      </w:r>
      <w:r>
        <w:t>of</w:t>
      </w:r>
      <w:r>
        <w:rPr>
          <w:spacing w:val="-3"/>
        </w:rPr>
        <w:t xml:space="preserve"> </w:t>
      </w:r>
      <w:r>
        <w:t>member</w:t>
      </w:r>
      <w:r>
        <w:rPr>
          <w:spacing w:val="-5"/>
        </w:rPr>
        <w:t xml:space="preserve"> </w:t>
      </w:r>
      <w:r>
        <w:t>months</w:t>
      </w:r>
      <w:r>
        <w:rPr>
          <w:spacing w:val="-2"/>
        </w:rPr>
        <w:t xml:space="preserve"> </w:t>
      </w:r>
      <w:r>
        <w:t>that</w:t>
      </w:r>
      <w:r>
        <w:rPr>
          <w:spacing w:val="-3"/>
        </w:rPr>
        <w:t xml:space="preserve"> </w:t>
      </w:r>
      <w:r>
        <w:t>are</w:t>
      </w:r>
      <w:r>
        <w:rPr>
          <w:spacing w:val="-5"/>
        </w:rPr>
        <w:t xml:space="preserve"> </w:t>
      </w:r>
      <w:r>
        <w:t>expected</w:t>
      </w:r>
      <w:r>
        <w:rPr>
          <w:spacing w:val="-3"/>
        </w:rPr>
        <w:t xml:space="preserve"> </w:t>
      </w:r>
      <w:r>
        <w:t>in</w:t>
      </w:r>
      <w:r>
        <w:rPr>
          <w:spacing w:val="-3"/>
        </w:rPr>
        <w:t xml:space="preserve"> </w:t>
      </w:r>
      <w:r>
        <w:t>the</w:t>
      </w:r>
      <w:r>
        <w:rPr>
          <w:spacing w:val="-3"/>
        </w:rPr>
        <w:t xml:space="preserve"> </w:t>
      </w:r>
      <w:r>
        <w:t>contract</w:t>
      </w:r>
      <w:r>
        <w:rPr>
          <w:spacing w:val="-3"/>
        </w:rPr>
        <w:t xml:space="preserve"> </w:t>
      </w:r>
      <w:r>
        <w:t>period</w:t>
      </w:r>
      <w:r>
        <w:rPr>
          <w:spacing w:val="-2"/>
        </w:rPr>
        <w:t xml:space="preserve"> </w:t>
      </w:r>
      <w:r>
        <w:t>that are associated with the number of members in column d for each line.</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8"/>
          <w:sz w:val="21"/>
        </w:rPr>
        <w:t xml:space="preserve"> </w:t>
      </w:r>
      <w:r>
        <w:rPr>
          <w:rFonts w:ascii="Arial" w:hAnsi="Arial"/>
          <w:b/>
          <w:sz w:val="21"/>
        </w:rPr>
        <w:t>h</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Average</w:t>
      </w:r>
      <w:r>
        <w:rPr>
          <w:rFonts w:ascii="Arial" w:hAnsi="Arial"/>
          <w:b/>
          <w:spacing w:val="-5"/>
          <w:sz w:val="21"/>
        </w:rPr>
        <w:t xml:space="preserve"> </w:t>
      </w:r>
      <w:r>
        <w:rPr>
          <w:rFonts w:ascii="Arial" w:hAnsi="Arial"/>
          <w:b/>
          <w:sz w:val="21"/>
        </w:rPr>
        <w:t>Amount</w:t>
      </w:r>
      <w:r>
        <w:rPr>
          <w:rFonts w:ascii="Arial" w:hAnsi="Arial"/>
          <w:b/>
          <w:spacing w:val="-6"/>
          <w:sz w:val="21"/>
        </w:rPr>
        <w:t xml:space="preserve"> </w:t>
      </w:r>
      <w:r>
        <w:rPr>
          <w:rFonts w:ascii="Arial" w:hAnsi="Arial"/>
          <w:b/>
          <w:sz w:val="21"/>
        </w:rPr>
        <w:t>Allowed</w:t>
      </w:r>
      <w:r>
        <w:rPr>
          <w:rFonts w:ascii="Arial" w:hAnsi="Arial"/>
          <w:b/>
          <w:spacing w:val="-4"/>
          <w:sz w:val="21"/>
        </w:rPr>
        <w:t xml:space="preserve"> PMPM</w:t>
      </w:r>
    </w:p>
    <w:p>
      <w:pPr>
        <w:pStyle w:val="BodyText"/>
        <w:spacing w:before="118"/>
        <w:ind w:left="1160" w:right="1649"/>
      </w:pPr>
      <w:r>
        <w:t>The</w:t>
      </w:r>
      <w:r>
        <w:rPr>
          <w:spacing w:val="-5"/>
        </w:rPr>
        <w:t xml:space="preserve"> </w:t>
      </w:r>
      <w:r>
        <w:t>value</w:t>
      </w:r>
      <w:r>
        <w:rPr>
          <w:spacing w:val="-4"/>
        </w:rPr>
        <w:t xml:space="preserve"> </w:t>
      </w:r>
      <w:r>
        <w:t>is</w:t>
      </w:r>
      <w:r>
        <w:rPr>
          <w:spacing w:val="-4"/>
        </w:rPr>
        <w:t xml:space="preserve"> </w:t>
      </w:r>
      <w:r>
        <w:t>calculated</w:t>
      </w:r>
      <w:r>
        <w:rPr>
          <w:spacing w:val="-4"/>
        </w:rPr>
        <w:t xml:space="preserve"> </w:t>
      </w:r>
      <w:r>
        <w:t>automatically</w:t>
      </w:r>
      <w:r>
        <w:rPr>
          <w:spacing w:val="-4"/>
        </w:rPr>
        <w:t xml:space="preserve"> </w:t>
      </w:r>
      <w:r>
        <w:t>in</w:t>
      </w:r>
      <w:r>
        <w:rPr>
          <w:spacing w:val="-4"/>
        </w:rPr>
        <w:t xml:space="preserve"> </w:t>
      </w:r>
      <w:r>
        <w:t>the</w:t>
      </w:r>
      <w:r>
        <w:rPr>
          <w:spacing w:val="-5"/>
        </w:rPr>
        <w:t xml:space="preserve"> </w:t>
      </w:r>
      <w:r>
        <w:t>BPT</w:t>
      </w:r>
      <w:r>
        <w:rPr>
          <w:spacing w:val="-6"/>
        </w:rPr>
        <w:t xml:space="preserve"> </w:t>
      </w:r>
      <w:r>
        <w:t>as</w:t>
      </w:r>
      <w:r>
        <w:rPr>
          <w:spacing w:val="-4"/>
        </w:rPr>
        <w:t xml:space="preserve"> </w:t>
      </w:r>
      <w:r>
        <w:t>column</w:t>
      </w:r>
      <w:r>
        <w:rPr>
          <w:spacing w:val="-4"/>
        </w:rPr>
        <w:t xml:space="preserve"> </w:t>
      </w:r>
      <w:r>
        <w:t>g</w:t>
      </w:r>
      <w:r>
        <w:rPr>
          <w:spacing w:val="-4"/>
        </w:rPr>
        <w:t xml:space="preserve"> </w:t>
      </w:r>
      <w:r>
        <w:t>divided</w:t>
      </w:r>
      <w:r>
        <w:rPr>
          <w:spacing w:val="-4"/>
        </w:rPr>
        <w:t xml:space="preserve"> </w:t>
      </w:r>
      <w:r>
        <w:t>by projected member months for each line.</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n</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Plan</w:t>
      </w:r>
      <w:r>
        <w:rPr>
          <w:rFonts w:ascii="Arial" w:hAnsi="Arial"/>
          <w:b/>
          <w:spacing w:val="-5"/>
          <w:sz w:val="21"/>
        </w:rPr>
        <w:t xml:space="preserve"> </w:t>
      </w:r>
      <w:r>
        <w:rPr>
          <w:rFonts w:ascii="Arial" w:hAnsi="Arial"/>
          <w:b/>
          <w:sz w:val="21"/>
        </w:rPr>
        <w:t>Liability</w:t>
      </w:r>
      <w:r>
        <w:rPr>
          <w:rFonts w:ascii="Arial" w:hAnsi="Arial"/>
          <w:b/>
          <w:spacing w:val="-3"/>
          <w:sz w:val="21"/>
        </w:rPr>
        <w:t xml:space="preserve"> </w:t>
      </w:r>
      <w:r>
        <w:rPr>
          <w:rFonts w:ascii="Arial" w:hAnsi="Arial"/>
          <w:b/>
          <w:spacing w:val="-4"/>
          <w:sz w:val="21"/>
        </w:rPr>
        <w:t>PMPM</w:t>
      </w:r>
    </w:p>
    <w:p>
      <w:pPr>
        <w:pStyle w:val="BodyText"/>
        <w:ind w:left="1160" w:right="478"/>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column</w:t>
      </w:r>
      <w:r>
        <w:rPr>
          <w:spacing w:val="-3"/>
        </w:rPr>
        <w:t xml:space="preserve"> </w:t>
      </w:r>
      <w:r>
        <w:t>h</w:t>
      </w:r>
      <w:r>
        <w:rPr>
          <w:spacing w:val="-3"/>
        </w:rPr>
        <w:t xml:space="preserve"> </w:t>
      </w:r>
      <w:r>
        <w:t>minus</w:t>
      </w:r>
      <w:r>
        <w:rPr>
          <w:spacing w:val="-3"/>
        </w:rPr>
        <w:t xml:space="preserve"> </w:t>
      </w:r>
      <w:r>
        <w:t>the</w:t>
      </w:r>
      <w:r>
        <w:rPr>
          <w:spacing w:val="-4"/>
        </w:rPr>
        <w:t xml:space="preserve"> </w:t>
      </w:r>
      <w:r>
        <w:t>sum</w:t>
      </w:r>
      <w:r>
        <w:rPr>
          <w:spacing w:val="-3"/>
        </w:rPr>
        <w:t xml:space="preserve"> </w:t>
      </w:r>
      <w:r>
        <w:t>of columns k through m for each line.</w:t>
      </w:r>
    </w:p>
    <w:p>
      <w:pPr>
        <w:spacing w:before="241"/>
        <w:ind w:left="440" w:right="0" w:firstLine="0"/>
        <w:jc w:val="left"/>
        <w:rPr>
          <w:rFonts w:ascii="Arial"/>
          <w:b/>
          <w:sz w:val="21"/>
        </w:rPr>
      </w:pPr>
      <w:bookmarkStart w:id="163" w:name="Lines 2 through 4"/>
      <w:bookmarkEnd w:id="163"/>
      <w:r>
        <w:rPr>
          <w:rFonts w:ascii="Arial"/>
          <w:b/>
          <w:sz w:val="21"/>
        </w:rPr>
        <w:t>Lines</w:t>
      </w:r>
      <w:r>
        <w:rPr>
          <w:rFonts w:ascii="Arial"/>
          <w:b/>
          <w:spacing w:val="-5"/>
          <w:sz w:val="21"/>
        </w:rPr>
        <w:t xml:space="preserve"> </w:t>
      </w:r>
      <w:r>
        <w:rPr>
          <w:rFonts w:ascii="Arial"/>
          <w:b/>
          <w:sz w:val="21"/>
        </w:rPr>
        <w:t>2</w:t>
      </w:r>
      <w:r>
        <w:rPr>
          <w:rFonts w:ascii="Arial"/>
          <w:b/>
          <w:spacing w:val="-5"/>
          <w:sz w:val="21"/>
        </w:rPr>
        <w:t xml:space="preserve"> </w:t>
      </w:r>
      <w:r>
        <w:rPr>
          <w:rFonts w:ascii="Arial"/>
          <w:b/>
          <w:sz w:val="21"/>
        </w:rPr>
        <w:t>through</w:t>
      </w:r>
      <w:r>
        <w:rPr>
          <w:rFonts w:ascii="Arial"/>
          <w:b/>
          <w:spacing w:val="-5"/>
          <w:sz w:val="21"/>
        </w:rPr>
        <w:t xml:space="preserve"> </w:t>
      </w:r>
      <w:r>
        <w:rPr>
          <w:rFonts w:ascii="Arial"/>
          <w:b/>
          <w:spacing w:val="-10"/>
          <w:sz w:val="21"/>
        </w:rPr>
        <w:t>4</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f</w:t>
      </w:r>
      <w:r>
        <w:rPr>
          <w:rFonts w:ascii="Arial" w:hAnsi="Arial"/>
          <w:b/>
          <w:spacing w:val="-4"/>
          <w:sz w:val="21"/>
        </w:rPr>
        <w:t xml:space="preserve"> </w:t>
      </w:r>
      <w:r>
        <w:rPr>
          <w:rFonts w:ascii="Arial" w:hAnsi="Arial"/>
          <w:b/>
          <w:sz w:val="21"/>
        </w:rPr>
        <w:t>–</w:t>
      </w:r>
      <w:r>
        <w:rPr>
          <w:rFonts w:ascii="Arial" w:hAnsi="Arial"/>
          <w:b/>
          <w:spacing w:val="-3"/>
          <w:sz w:val="21"/>
        </w:rPr>
        <w:t xml:space="preserve"> </w:t>
      </w:r>
      <w:r>
        <w:rPr>
          <w:rFonts w:ascii="Arial" w:hAnsi="Arial"/>
          <w:b/>
          <w:sz w:val="21"/>
        </w:rPr>
        <w:t>Number</w:t>
      </w:r>
      <w:r>
        <w:rPr>
          <w:rFonts w:ascii="Arial" w:hAnsi="Arial"/>
          <w:b/>
          <w:spacing w:val="-3"/>
          <w:sz w:val="21"/>
        </w:rPr>
        <w:t xml:space="preserve"> </w:t>
      </w:r>
      <w:r>
        <w:rPr>
          <w:rFonts w:ascii="Arial" w:hAnsi="Arial"/>
          <w:b/>
          <w:sz w:val="21"/>
        </w:rPr>
        <w:t>of</w:t>
      </w:r>
      <w:r>
        <w:rPr>
          <w:rFonts w:ascii="Arial" w:hAnsi="Arial"/>
          <w:b/>
          <w:spacing w:val="-3"/>
          <w:sz w:val="21"/>
        </w:rPr>
        <w:t xml:space="preserve"> </w:t>
      </w:r>
      <w:r>
        <w:rPr>
          <w:rFonts w:ascii="Arial" w:hAnsi="Arial"/>
          <w:b/>
          <w:spacing w:val="-2"/>
          <w:sz w:val="21"/>
        </w:rPr>
        <w:t>Scripts</w:t>
      </w:r>
    </w:p>
    <w:p>
      <w:pPr>
        <w:pStyle w:val="BodyText"/>
        <w:spacing w:before="118"/>
        <w:ind w:left="1160" w:right="1649"/>
      </w:pPr>
      <w:r>
        <w:t>Enter</w:t>
      </w:r>
      <w:r>
        <w:rPr>
          <w:spacing w:val="-6"/>
        </w:rPr>
        <w:t xml:space="preserve"> </w:t>
      </w:r>
      <w:r>
        <w:t>the</w:t>
      </w:r>
      <w:r>
        <w:rPr>
          <w:spacing w:val="-5"/>
        </w:rPr>
        <w:t xml:space="preserve"> </w:t>
      </w:r>
      <w:r>
        <w:t>estimated</w:t>
      </w:r>
      <w:r>
        <w:rPr>
          <w:spacing w:val="-4"/>
        </w:rPr>
        <w:t xml:space="preserve"> </w:t>
      </w:r>
      <w:r>
        <w:t>total number</w:t>
      </w:r>
      <w:r>
        <w:rPr>
          <w:spacing w:val="-6"/>
        </w:rPr>
        <w:t xml:space="preserve"> </w:t>
      </w:r>
      <w:r>
        <w:t>of</w:t>
      </w:r>
      <w:r>
        <w:rPr>
          <w:spacing w:val="-5"/>
        </w:rPr>
        <w:t xml:space="preserve"> </w:t>
      </w:r>
      <w:r>
        <w:t>prescriptions</w:t>
      </w:r>
      <w:r>
        <w:rPr>
          <w:spacing w:val="-4"/>
        </w:rPr>
        <w:t xml:space="preserve"> </w:t>
      </w:r>
      <w:r>
        <w:t>expected</w:t>
      </w:r>
      <w:r>
        <w:rPr>
          <w:spacing w:val="-4"/>
        </w:rPr>
        <w:t xml:space="preserve"> </w:t>
      </w:r>
      <w:r>
        <w:t>to</w:t>
      </w:r>
      <w:r>
        <w:rPr>
          <w:spacing w:val="-4"/>
        </w:rPr>
        <w:t xml:space="preserve"> </w:t>
      </w:r>
      <w:r>
        <w:t>be</w:t>
      </w:r>
      <w:r>
        <w:rPr>
          <w:spacing w:val="-5"/>
        </w:rPr>
        <w:t xml:space="preserve"> </w:t>
      </w:r>
      <w:r>
        <w:t>filled</w:t>
      </w:r>
      <w:r>
        <w:rPr>
          <w:spacing w:val="-4"/>
        </w:rPr>
        <w:t xml:space="preserve"> </w:t>
      </w:r>
      <w:r>
        <w:t>for Part D-covered drugs for the members in column d for each line.</w:t>
      </w:r>
    </w:p>
    <w:p>
      <w:pPr>
        <w:pStyle w:val="ListParagraph"/>
        <w:numPr>
          <w:ilvl w:val="0"/>
          <w:numId w:val="8"/>
        </w:numPr>
        <w:tabs>
          <w:tab w:val="left" w:pos="1159"/>
        </w:tabs>
        <w:spacing w:before="120"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g</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Projected</w:t>
      </w:r>
      <w:r>
        <w:rPr>
          <w:rFonts w:ascii="Arial" w:hAnsi="Arial"/>
          <w:b/>
          <w:spacing w:val="-6"/>
          <w:sz w:val="21"/>
        </w:rPr>
        <w:t xml:space="preserve"> </w:t>
      </w:r>
      <w:r>
        <w:rPr>
          <w:rFonts w:ascii="Arial" w:hAnsi="Arial"/>
          <w:b/>
          <w:sz w:val="21"/>
        </w:rPr>
        <w:t>Allowed</w:t>
      </w:r>
      <w:r>
        <w:rPr>
          <w:rFonts w:ascii="Arial" w:hAnsi="Arial"/>
          <w:b/>
          <w:spacing w:val="-5"/>
          <w:sz w:val="21"/>
        </w:rPr>
        <w:t xml:space="preserve"> </w:t>
      </w:r>
      <w:r>
        <w:rPr>
          <w:rFonts w:ascii="Arial" w:hAnsi="Arial"/>
          <w:b/>
          <w:spacing w:val="-2"/>
          <w:sz w:val="21"/>
        </w:rPr>
        <w:t>Amount</w:t>
      </w:r>
    </w:p>
    <w:p>
      <w:pPr>
        <w:pStyle w:val="BodyText"/>
        <w:spacing w:before="121"/>
        <w:ind w:left="1160" w:right="813"/>
      </w:pPr>
      <w:r>
        <w:t>Enter</w:t>
      </w:r>
      <w:r>
        <w:rPr>
          <w:spacing w:val="-6"/>
        </w:rPr>
        <w:t xml:space="preserve"> </w:t>
      </w:r>
      <w:r>
        <w:t>the</w:t>
      </w:r>
      <w:r>
        <w:rPr>
          <w:spacing w:val="-5"/>
        </w:rPr>
        <w:t xml:space="preserve"> </w:t>
      </w:r>
      <w:r>
        <w:t>estimated</w:t>
      </w:r>
      <w:r>
        <w:rPr>
          <w:spacing w:val="-4"/>
        </w:rPr>
        <w:t xml:space="preserve"> </w:t>
      </w:r>
      <w:r>
        <w:t>total</w:t>
      </w:r>
      <w:r>
        <w:rPr>
          <w:spacing w:val="-2"/>
        </w:rPr>
        <w:t xml:space="preserve"> </w:t>
      </w:r>
      <w:r>
        <w:t>allowed</w:t>
      </w:r>
      <w:r>
        <w:rPr>
          <w:spacing w:val="-4"/>
        </w:rPr>
        <w:t xml:space="preserve"> </w:t>
      </w:r>
      <w:r>
        <w:t>dollars</w:t>
      </w:r>
      <w:r>
        <w:rPr>
          <w:spacing w:val="-4"/>
        </w:rPr>
        <w:t xml:space="preserve"> </w:t>
      </w:r>
      <w:r>
        <w:t>for</w:t>
      </w:r>
      <w:r>
        <w:rPr>
          <w:spacing w:val="-2"/>
        </w:rPr>
        <w:t xml:space="preserve"> </w:t>
      </w:r>
      <w:r>
        <w:t>prescriptions</w:t>
      </w:r>
      <w:r>
        <w:rPr>
          <w:spacing w:val="-4"/>
        </w:rPr>
        <w:t xml:space="preserve"> </w:t>
      </w:r>
      <w:r>
        <w:t>expected</w:t>
      </w:r>
      <w:r>
        <w:rPr>
          <w:spacing w:val="-4"/>
        </w:rPr>
        <w:t xml:space="preserve"> </w:t>
      </w:r>
      <w:r>
        <w:t>to</w:t>
      </w:r>
      <w:r>
        <w:rPr>
          <w:spacing w:val="-4"/>
        </w:rPr>
        <w:t xml:space="preserve"> </w:t>
      </w:r>
      <w:r>
        <w:t>be</w:t>
      </w:r>
      <w:r>
        <w:rPr>
          <w:spacing w:val="-5"/>
        </w:rPr>
        <w:t xml:space="preserve"> </w:t>
      </w:r>
      <w:r>
        <w:t>filled</w:t>
      </w:r>
      <w:r>
        <w:rPr>
          <w:spacing w:val="-4"/>
        </w:rPr>
        <w:t xml:space="preserve"> </w:t>
      </w:r>
      <w:r>
        <w:t>for Part D-covered drugs for the members in column d for each line. Total allowed dollars must reflect the price paid to the dispensing provider at the point-of-sale and must be net of point-of-sale rebates and price concessions.</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2"/>
          <w:sz w:val="21"/>
        </w:rPr>
        <w:t xml:space="preserve"> </w:t>
      </w:r>
      <w:r>
        <w:rPr>
          <w:rFonts w:ascii="Arial" w:hAnsi="Arial"/>
          <w:b/>
          <w:sz w:val="21"/>
        </w:rPr>
        <w:t>i</w:t>
      </w:r>
      <w:r>
        <w:rPr>
          <w:rFonts w:ascii="Arial" w:hAnsi="Arial"/>
          <w:b/>
          <w:spacing w:val="-4"/>
          <w:sz w:val="21"/>
        </w:rPr>
        <w:t xml:space="preserve"> </w:t>
      </w:r>
      <w:r>
        <w:rPr>
          <w:rFonts w:ascii="Arial" w:hAnsi="Arial"/>
          <w:b/>
          <w:sz w:val="21"/>
        </w:rPr>
        <w:t>–</w:t>
      </w:r>
      <w:r>
        <w:rPr>
          <w:rFonts w:ascii="Arial" w:hAnsi="Arial"/>
          <w:b/>
          <w:spacing w:val="-2"/>
          <w:sz w:val="21"/>
        </w:rPr>
        <w:t xml:space="preserve"> </w:t>
      </w:r>
      <w:r>
        <w:rPr>
          <w:rFonts w:ascii="Arial" w:hAnsi="Arial"/>
          <w:b/>
          <w:sz w:val="21"/>
        </w:rPr>
        <w:t>Cost</w:t>
      </w:r>
      <w:r>
        <w:rPr>
          <w:rFonts w:ascii="Arial" w:hAnsi="Arial"/>
          <w:b/>
          <w:spacing w:val="-3"/>
          <w:sz w:val="21"/>
        </w:rPr>
        <w:t xml:space="preserve"> </w:t>
      </w:r>
      <w:r>
        <w:rPr>
          <w:rFonts w:ascii="Arial" w:hAnsi="Arial"/>
          <w:b/>
          <w:spacing w:val="-2"/>
          <w:sz w:val="21"/>
        </w:rPr>
        <w:t>Sharing</w:t>
      </w:r>
    </w:p>
    <w:p>
      <w:pPr>
        <w:pStyle w:val="BodyText"/>
        <w:spacing w:before="118"/>
        <w:ind w:left="1160" w:right="856"/>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the</w:t>
      </w:r>
      <w:r>
        <w:rPr>
          <w:spacing w:val="-3"/>
        </w:rPr>
        <w:t xml:space="preserve"> </w:t>
      </w:r>
      <w:r>
        <w:t>sum</w:t>
      </w:r>
      <w:r>
        <w:rPr>
          <w:spacing w:val="-3"/>
        </w:rPr>
        <w:t xml:space="preserve"> </w:t>
      </w:r>
      <w:r>
        <w:t>of</w:t>
      </w:r>
      <w:r>
        <w:rPr>
          <w:spacing w:val="-3"/>
        </w:rPr>
        <w:t xml:space="preserve"> </w:t>
      </w:r>
      <w:r>
        <w:t>columns k</w:t>
      </w:r>
      <w:r>
        <w:rPr>
          <w:spacing w:val="-3"/>
        </w:rPr>
        <w:t xml:space="preserve"> </w:t>
      </w:r>
      <w:r>
        <w:t>through l for each line.</w:t>
      </w:r>
    </w:p>
    <w:p>
      <w:pPr>
        <w:pStyle w:val="ListParagraph"/>
        <w:numPr>
          <w:ilvl w:val="0"/>
          <w:numId w:val="8"/>
        </w:numPr>
        <w:tabs>
          <w:tab w:val="left" w:pos="1159"/>
        </w:tabs>
        <w:spacing w:before="120" w:after="0" w:line="240" w:lineRule="auto"/>
        <w:ind w:left="1159" w:right="0" w:hanging="359"/>
        <w:jc w:val="left"/>
        <w:rPr>
          <w:rFonts w:ascii="Arial" w:hAnsi="Arial"/>
          <w:b/>
          <w:sz w:val="21"/>
        </w:rPr>
      </w:pPr>
      <w:r>
        <w:rPr>
          <w:rFonts w:ascii="Arial" w:hAnsi="Arial"/>
          <w:b/>
          <w:sz w:val="21"/>
        </w:rPr>
        <w:t>Column</w:t>
      </w:r>
      <w:r>
        <w:rPr>
          <w:rFonts w:ascii="Arial" w:hAnsi="Arial"/>
          <w:b/>
          <w:spacing w:val="-2"/>
          <w:sz w:val="21"/>
        </w:rPr>
        <w:t xml:space="preserve"> </w:t>
      </w:r>
      <w:r>
        <w:rPr>
          <w:rFonts w:ascii="Arial" w:hAnsi="Arial"/>
          <w:b/>
          <w:sz w:val="21"/>
        </w:rPr>
        <w:t>k</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PMPM</w:t>
      </w:r>
      <w:r>
        <w:rPr>
          <w:rFonts w:ascii="Arial" w:hAnsi="Arial"/>
          <w:b/>
          <w:spacing w:val="-3"/>
          <w:sz w:val="21"/>
        </w:rPr>
        <w:t xml:space="preserve"> </w:t>
      </w:r>
      <w:r>
        <w:rPr>
          <w:rFonts w:ascii="Arial" w:hAnsi="Arial"/>
          <w:b/>
          <w:spacing w:val="-2"/>
          <w:sz w:val="21"/>
        </w:rPr>
        <w:t>Deductible</w:t>
      </w:r>
    </w:p>
    <w:p>
      <w:pPr>
        <w:pStyle w:val="BodyText"/>
        <w:spacing w:before="121"/>
        <w:ind w:left="1160" w:right="979"/>
      </w:pPr>
      <w:r>
        <w:t>Enter</w:t>
      </w:r>
      <w:r>
        <w:rPr>
          <w:spacing w:val="-3"/>
        </w:rPr>
        <w:t xml:space="preserve"> </w:t>
      </w:r>
      <w:r>
        <w:t>the</w:t>
      </w:r>
      <w:r>
        <w:rPr>
          <w:spacing w:val="-5"/>
        </w:rPr>
        <w:t xml:space="preserve"> </w:t>
      </w:r>
      <w:r>
        <w:t>projected</w:t>
      </w:r>
      <w:r>
        <w:rPr>
          <w:spacing w:val="-3"/>
        </w:rPr>
        <w:t xml:space="preserve"> </w:t>
      </w:r>
      <w:r>
        <w:t>PMPM</w:t>
      </w:r>
      <w:r>
        <w:rPr>
          <w:spacing w:val="-3"/>
        </w:rPr>
        <w:t xml:space="preserve"> </w:t>
      </w:r>
      <w:r>
        <w:t>value</w:t>
      </w:r>
      <w:r>
        <w:rPr>
          <w:spacing w:val="-3"/>
        </w:rPr>
        <w:t xml:space="preserve"> </w:t>
      </w:r>
      <w:r>
        <w:t>of</w:t>
      </w:r>
      <w:r>
        <w:rPr>
          <w:spacing w:val="-5"/>
        </w:rPr>
        <w:t xml:space="preserve"> </w:t>
      </w:r>
      <w:r>
        <w:t>the</w:t>
      </w:r>
      <w:r>
        <w:rPr>
          <w:spacing w:val="-3"/>
        </w:rPr>
        <w:t xml:space="preserve"> </w:t>
      </w:r>
      <w:r>
        <w:t>deductible</w:t>
      </w:r>
      <w:r>
        <w:rPr>
          <w:spacing w:val="-3"/>
        </w:rPr>
        <w:t xml:space="preserve"> </w:t>
      </w:r>
      <w:r>
        <w:t>for</w:t>
      </w:r>
      <w:r>
        <w:rPr>
          <w:spacing w:val="-3"/>
        </w:rPr>
        <w:t xml:space="preserve"> </w:t>
      </w:r>
      <w:r>
        <w:t>the</w:t>
      </w:r>
      <w:r>
        <w:rPr>
          <w:spacing w:val="-5"/>
        </w:rPr>
        <w:t xml:space="preserve"> </w:t>
      </w:r>
      <w:r>
        <w:t>members</w:t>
      </w:r>
      <w:r>
        <w:rPr>
          <w:spacing w:val="-3"/>
        </w:rPr>
        <w:t xml:space="preserve"> </w:t>
      </w:r>
      <w:r>
        <w:t>in</w:t>
      </w:r>
      <w:r>
        <w:rPr>
          <w:spacing w:val="-1"/>
        </w:rPr>
        <w:t xml:space="preserve"> </w:t>
      </w:r>
      <w:r>
        <w:t>column</w:t>
      </w:r>
      <w:r>
        <w:rPr>
          <w:spacing w:val="-3"/>
        </w:rPr>
        <w:t xml:space="preserve"> </w:t>
      </w:r>
      <w:r>
        <w:t>d for each line.</w:t>
      </w:r>
    </w:p>
    <w:p>
      <w:pPr>
        <w:pStyle w:val="ListParagraph"/>
        <w:numPr>
          <w:ilvl w:val="0"/>
          <w:numId w:val="8"/>
        </w:numPr>
        <w:tabs>
          <w:tab w:val="left" w:pos="1159"/>
        </w:tabs>
        <w:spacing w:before="120"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z w:val="21"/>
        </w:rPr>
        <w:t>l</w:t>
      </w:r>
      <w:r>
        <w:rPr>
          <w:rFonts w:ascii="Arial" w:hAnsi="Arial"/>
          <w:b/>
          <w:spacing w:val="-5"/>
          <w:sz w:val="21"/>
        </w:rPr>
        <w:t xml:space="preserve"> </w:t>
      </w:r>
      <w:r>
        <w:rPr>
          <w:rFonts w:ascii="Arial" w:hAnsi="Arial"/>
          <w:b/>
          <w:sz w:val="21"/>
        </w:rPr>
        <w:t>–</w:t>
      </w:r>
      <w:r>
        <w:rPr>
          <w:rFonts w:ascii="Arial" w:hAnsi="Arial"/>
          <w:b/>
          <w:spacing w:val="-3"/>
          <w:sz w:val="21"/>
        </w:rPr>
        <w:t xml:space="preserve"> </w:t>
      </w:r>
      <w:r>
        <w:rPr>
          <w:rFonts w:ascii="Arial" w:hAnsi="Arial"/>
          <w:b/>
          <w:sz w:val="21"/>
        </w:rPr>
        <w:t>Other</w:t>
      </w:r>
      <w:r>
        <w:rPr>
          <w:rFonts w:ascii="Arial" w:hAnsi="Arial"/>
          <w:b/>
          <w:spacing w:val="-7"/>
          <w:sz w:val="21"/>
        </w:rPr>
        <w:t xml:space="preserve"> </w:t>
      </w:r>
      <w:r>
        <w:rPr>
          <w:rFonts w:ascii="Arial" w:hAnsi="Arial"/>
          <w:b/>
          <w:sz w:val="21"/>
        </w:rPr>
        <w:t>Cost</w:t>
      </w:r>
      <w:r>
        <w:rPr>
          <w:rFonts w:ascii="Arial" w:hAnsi="Arial"/>
          <w:b/>
          <w:spacing w:val="-6"/>
          <w:sz w:val="21"/>
        </w:rPr>
        <w:t xml:space="preserve"> </w:t>
      </w:r>
      <w:r>
        <w:rPr>
          <w:rFonts w:ascii="Arial" w:hAnsi="Arial"/>
          <w:b/>
          <w:sz w:val="21"/>
        </w:rPr>
        <w:t>Sharing</w:t>
      </w:r>
      <w:r>
        <w:rPr>
          <w:rFonts w:ascii="Arial" w:hAnsi="Arial"/>
          <w:b/>
          <w:spacing w:val="-2"/>
          <w:sz w:val="21"/>
        </w:rPr>
        <w:t xml:space="preserve"> </w:t>
      </w:r>
      <w:r>
        <w:rPr>
          <w:rFonts w:ascii="Arial" w:hAnsi="Arial"/>
          <w:b/>
          <w:spacing w:val="-4"/>
          <w:sz w:val="21"/>
        </w:rPr>
        <w:t>PMPM</w:t>
      </w:r>
    </w:p>
    <w:p>
      <w:pPr>
        <w:pStyle w:val="BodyText"/>
        <w:spacing w:before="121"/>
        <w:ind w:left="1160" w:right="979"/>
      </w:pPr>
      <w:r>
        <w:t>Enter</w:t>
      </w:r>
      <w:r>
        <w:rPr>
          <w:spacing w:val="-1"/>
        </w:rPr>
        <w:t xml:space="preserve"> </w:t>
      </w:r>
      <w:r>
        <w:t>the</w:t>
      </w:r>
      <w:r>
        <w:rPr>
          <w:spacing w:val="-3"/>
        </w:rPr>
        <w:t xml:space="preserve"> </w:t>
      </w:r>
      <w:r>
        <w:t>projected</w:t>
      </w:r>
      <w:r>
        <w:rPr>
          <w:spacing w:val="-1"/>
        </w:rPr>
        <w:t xml:space="preserve"> </w:t>
      </w:r>
      <w:r>
        <w:t>PMPM</w:t>
      </w:r>
      <w:r>
        <w:rPr>
          <w:spacing w:val="-1"/>
        </w:rPr>
        <w:t xml:space="preserve"> </w:t>
      </w:r>
      <w:r>
        <w:t>value</w:t>
      </w:r>
      <w:r>
        <w:rPr>
          <w:spacing w:val="-1"/>
        </w:rPr>
        <w:t xml:space="preserve"> </w:t>
      </w:r>
      <w:r>
        <w:t>of</w:t>
      </w:r>
      <w:r>
        <w:rPr>
          <w:spacing w:val="-3"/>
        </w:rPr>
        <w:t xml:space="preserve"> </w:t>
      </w:r>
      <w:r>
        <w:t>the</w:t>
      </w:r>
      <w:r>
        <w:rPr>
          <w:spacing w:val="-1"/>
        </w:rPr>
        <w:t xml:space="preserve"> </w:t>
      </w:r>
      <w:r>
        <w:t>25</w:t>
      </w:r>
      <w:r>
        <w:rPr>
          <w:spacing w:val="-1"/>
        </w:rPr>
        <w:t xml:space="preserve"> </w:t>
      </w:r>
      <w:r>
        <w:t>percent cost</w:t>
      </w:r>
      <w:r>
        <w:rPr>
          <w:spacing w:val="-1"/>
        </w:rPr>
        <w:t xml:space="preserve"> </w:t>
      </w:r>
      <w:r>
        <w:t>sharing</w:t>
      </w:r>
      <w:r>
        <w:rPr>
          <w:spacing w:val="-1"/>
        </w:rPr>
        <w:t xml:space="preserve"> </w:t>
      </w:r>
      <w:r>
        <w:t>between</w:t>
      </w:r>
      <w:r>
        <w:rPr>
          <w:spacing w:val="-1"/>
        </w:rPr>
        <w:t xml:space="preserve"> </w:t>
      </w:r>
      <w:r>
        <w:t>the deductible</w:t>
      </w:r>
      <w:r>
        <w:rPr>
          <w:spacing w:val="-3"/>
        </w:rPr>
        <w:t xml:space="preserve"> </w:t>
      </w:r>
      <w:r>
        <w:t>and catastrophic</w:t>
      </w:r>
      <w:r>
        <w:rPr>
          <w:spacing w:val="-1"/>
        </w:rPr>
        <w:t xml:space="preserve"> </w:t>
      </w:r>
      <w:r>
        <w:t>limit</w:t>
      </w:r>
      <w:r>
        <w:rPr>
          <w:spacing w:val="1"/>
        </w:rPr>
        <w:t xml:space="preserve"> </w:t>
      </w:r>
      <w:r>
        <w:t>for</w:t>
      </w:r>
      <w:r>
        <w:rPr>
          <w:spacing w:val="-2"/>
        </w:rPr>
        <w:t xml:space="preserve"> </w:t>
      </w:r>
      <w:r>
        <w:t>the</w:t>
      </w:r>
      <w:r>
        <w:rPr>
          <w:spacing w:val="-1"/>
        </w:rPr>
        <w:t xml:space="preserve"> </w:t>
      </w:r>
      <w:r>
        <w:t>members</w:t>
      </w:r>
      <w:r>
        <w:rPr>
          <w:spacing w:val="-1"/>
        </w:rPr>
        <w:t xml:space="preserve"> </w:t>
      </w:r>
      <w:r>
        <w:t>in column</w:t>
      </w:r>
      <w:r>
        <w:rPr>
          <w:spacing w:val="-1"/>
        </w:rPr>
        <w:t xml:space="preserve"> </w:t>
      </w:r>
      <w:r>
        <w:t>d</w:t>
      </w:r>
      <w:r>
        <w:rPr>
          <w:spacing w:val="-1"/>
        </w:rPr>
        <w:t xml:space="preserve"> </w:t>
      </w:r>
      <w:r>
        <w:t>for</w:t>
      </w:r>
      <w:r>
        <w:rPr>
          <w:spacing w:val="-1"/>
        </w:rPr>
        <w:t xml:space="preserve"> </w:t>
      </w:r>
      <w:r>
        <w:t xml:space="preserve">each </w:t>
      </w:r>
      <w:r>
        <w:rPr>
          <w:spacing w:val="-2"/>
        </w:rPr>
        <w:t>line.</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z w:val="21"/>
        </w:rPr>
        <w:t>o</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Federal</w:t>
      </w:r>
      <w:r>
        <w:rPr>
          <w:rFonts w:ascii="Arial" w:hAnsi="Arial"/>
          <w:b/>
          <w:spacing w:val="-4"/>
          <w:sz w:val="21"/>
        </w:rPr>
        <w:t xml:space="preserve"> </w:t>
      </w:r>
      <w:r>
        <w:rPr>
          <w:rFonts w:ascii="Arial" w:hAnsi="Arial"/>
          <w:b/>
          <w:sz w:val="21"/>
        </w:rPr>
        <w:t>LICS</w:t>
      </w:r>
      <w:r>
        <w:rPr>
          <w:rFonts w:ascii="Arial" w:hAnsi="Arial"/>
          <w:b/>
          <w:spacing w:val="-3"/>
          <w:sz w:val="21"/>
        </w:rPr>
        <w:t xml:space="preserve"> </w:t>
      </w:r>
      <w:r>
        <w:rPr>
          <w:rFonts w:ascii="Arial" w:hAnsi="Arial"/>
          <w:b/>
          <w:spacing w:val="-4"/>
          <w:sz w:val="21"/>
        </w:rPr>
        <w:t>PMPM</w:t>
      </w:r>
    </w:p>
    <w:p>
      <w:pPr>
        <w:pStyle w:val="BodyText"/>
        <w:spacing w:before="118"/>
        <w:ind w:left="1160" w:right="979"/>
      </w:pPr>
      <w:r>
        <w:t>Enter the projected amount of low-income cost sharing subsidy that will be received</w:t>
      </w:r>
      <w:r>
        <w:rPr>
          <w:spacing w:val="-3"/>
        </w:rPr>
        <w:t xml:space="preserve"> </w:t>
      </w:r>
      <w:r>
        <w:t>for</w:t>
      </w:r>
      <w:r>
        <w:rPr>
          <w:spacing w:val="-5"/>
        </w:rPr>
        <w:t xml:space="preserve"> </w:t>
      </w:r>
      <w:r>
        <w:t>the</w:t>
      </w:r>
      <w:r>
        <w:rPr>
          <w:spacing w:val="-3"/>
        </w:rPr>
        <w:t xml:space="preserve"> </w:t>
      </w:r>
      <w:r>
        <w:t>members</w:t>
      </w:r>
      <w:r>
        <w:rPr>
          <w:spacing w:val="-1"/>
        </w:rPr>
        <w:t xml:space="preserve"> </w:t>
      </w:r>
      <w:r>
        <w:t>in</w:t>
      </w:r>
      <w:r>
        <w:rPr>
          <w:spacing w:val="-3"/>
        </w:rPr>
        <w:t xml:space="preserve"> </w:t>
      </w:r>
      <w:r>
        <w:t>column</w:t>
      </w:r>
      <w:r>
        <w:rPr>
          <w:spacing w:val="-3"/>
        </w:rPr>
        <w:t xml:space="preserve"> </w:t>
      </w:r>
      <w:r>
        <w:t>d</w:t>
      </w:r>
      <w:r>
        <w:rPr>
          <w:spacing w:val="-3"/>
        </w:rPr>
        <w:t xml:space="preserve"> </w:t>
      </w:r>
      <w:r>
        <w:t>who</w:t>
      </w:r>
      <w:r>
        <w:rPr>
          <w:spacing w:val="-3"/>
        </w:rPr>
        <w:t xml:space="preserve"> </w:t>
      </w:r>
      <w:r>
        <w:t>are</w:t>
      </w:r>
      <w:r>
        <w:rPr>
          <w:spacing w:val="-5"/>
        </w:rPr>
        <w:t xml:space="preserve"> </w:t>
      </w:r>
      <w:r>
        <w:t>LIS-eligible</w:t>
      </w:r>
      <w:r>
        <w:rPr>
          <w:spacing w:val="-4"/>
        </w:rPr>
        <w:t xml:space="preserve"> </w:t>
      </w:r>
      <w:r>
        <w:t>divided</w:t>
      </w:r>
      <w:r>
        <w:rPr>
          <w:spacing w:val="-3"/>
        </w:rPr>
        <w:t xml:space="preserve"> </w:t>
      </w:r>
      <w:r>
        <w:t>by</w:t>
      </w:r>
      <w:r>
        <w:rPr>
          <w:spacing w:val="-3"/>
        </w:rPr>
        <w:t xml:space="preserve"> </w:t>
      </w:r>
      <w:r>
        <w:t>the</w:t>
      </w:r>
      <w:r>
        <w:rPr>
          <w:spacing w:val="-3"/>
        </w:rPr>
        <w:t xml:space="preserve"> </w:t>
      </w:r>
      <w:r>
        <w:t>total projected member months entered in Section II, line 1 for each line.</w:t>
      </w:r>
    </w:p>
    <w:p>
      <w:pPr>
        <w:spacing w:after="0"/>
        <w:sectPr>
          <w:pgSz w:w="12240" w:h="15840"/>
          <w:pgMar w:top="1340" w:right="1000" w:bottom="1080" w:left="1360" w:header="727" w:footer="891"/>
          <w:cols w:space="720"/>
        </w:sectPr>
      </w:pPr>
    </w:p>
    <w:p>
      <w:pPr>
        <w:spacing w:before="87"/>
        <w:ind w:left="440" w:right="0" w:firstLine="0"/>
        <w:jc w:val="left"/>
        <w:rPr>
          <w:rFonts w:ascii="Arial" w:hAnsi="Arial"/>
          <w:b/>
          <w:sz w:val="21"/>
        </w:rPr>
      </w:pPr>
      <w:bookmarkStart w:id="164" w:name="Line 4, column m – Federal Reinsurance P"/>
      <w:bookmarkEnd w:id="164"/>
      <w:r>
        <w:rPr>
          <w:rFonts w:ascii="Arial" w:hAnsi="Arial"/>
          <w:b/>
          <w:sz w:val="21"/>
        </w:rPr>
        <w:t>Line</w:t>
      </w:r>
      <w:r>
        <w:rPr>
          <w:rFonts w:ascii="Arial" w:hAnsi="Arial"/>
          <w:b/>
          <w:spacing w:val="-5"/>
          <w:sz w:val="21"/>
        </w:rPr>
        <w:t xml:space="preserve"> </w:t>
      </w:r>
      <w:r>
        <w:rPr>
          <w:rFonts w:ascii="Arial" w:hAnsi="Arial"/>
          <w:b/>
          <w:sz w:val="21"/>
        </w:rPr>
        <w:t>4,</w:t>
      </w:r>
      <w:r>
        <w:rPr>
          <w:rFonts w:ascii="Arial" w:hAnsi="Arial"/>
          <w:b/>
          <w:spacing w:val="-5"/>
          <w:sz w:val="21"/>
        </w:rPr>
        <w:t xml:space="preserve"> </w:t>
      </w:r>
      <w:r>
        <w:rPr>
          <w:rFonts w:ascii="Arial" w:hAnsi="Arial"/>
          <w:b/>
          <w:sz w:val="21"/>
        </w:rPr>
        <w:t>column</w:t>
      </w:r>
      <w:r>
        <w:rPr>
          <w:rFonts w:ascii="Arial" w:hAnsi="Arial"/>
          <w:b/>
          <w:spacing w:val="-4"/>
          <w:sz w:val="21"/>
        </w:rPr>
        <w:t xml:space="preserve"> </w:t>
      </w:r>
      <w:r>
        <w:rPr>
          <w:rFonts w:ascii="Arial" w:hAnsi="Arial"/>
          <w:b/>
          <w:sz w:val="21"/>
        </w:rPr>
        <w:t>m</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Federal</w:t>
      </w:r>
      <w:r>
        <w:rPr>
          <w:rFonts w:ascii="Arial" w:hAnsi="Arial"/>
          <w:b/>
          <w:spacing w:val="-5"/>
          <w:sz w:val="21"/>
        </w:rPr>
        <w:t xml:space="preserve"> </w:t>
      </w:r>
      <w:r>
        <w:rPr>
          <w:rFonts w:ascii="Arial" w:hAnsi="Arial"/>
          <w:b/>
          <w:sz w:val="21"/>
        </w:rPr>
        <w:t>Reinsurance</w:t>
      </w:r>
      <w:r>
        <w:rPr>
          <w:rFonts w:ascii="Arial" w:hAnsi="Arial"/>
          <w:b/>
          <w:spacing w:val="-7"/>
          <w:sz w:val="21"/>
        </w:rPr>
        <w:t xml:space="preserve"> </w:t>
      </w:r>
      <w:r>
        <w:rPr>
          <w:rFonts w:ascii="Arial" w:hAnsi="Arial"/>
          <w:b/>
          <w:spacing w:val="-4"/>
          <w:sz w:val="21"/>
        </w:rPr>
        <w:t>PMPM</w:t>
      </w:r>
    </w:p>
    <w:p>
      <w:pPr>
        <w:pStyle w:val="BodyText"/>
        <w:spacing w:before="121"/>
        <w:ind w:left="440" w:right="1035"/>
        <w:jc w:val="both"/>
      </w:pPr>
      <w:r>
        <w:t>Enter</w:t>
      </w:r>
      <w:r>
        <w:rPr>
          <w:spacing w:val="-3"/>
        </w:rPr>
        <w:t xml:space="preserve"> </w:t>
      </w:r>
      <w:r>
        <w:t>the</w:t>
      </w:r>
      <w:r>
        <w:rPr>
          <w:spacing w:val="-5"/>
        </w:rPr>
        <w:t xml:space="preserve"> </w:t>
      </w:r>
      <w:r>
        <w:t>projected</w:t>
      </w:r>
      <w:r>
        <w:rPr>
          <w:spacing w:val="-3"/>
        </w:rPr>
        <w:t xml:space="preserve"> </w:t>
      </w:r>
      <w:r>
        <w:t>amount</w:t>
      </w:r>
      <w:r>
        <w:rPr>
          <w:spacing w:val="-3"/>
        </w:rPr>
        <w:t xml:space="preserve"> </w:t>
      </w:r>
      <w:r>
        <w:t>of</w:t>
      </w:r>
      <w:r>
        <w:rPr>
          <w:spacing w:val="-2"/>
        </w:rPr>
        <w:t xml:space="preserve"> </w:t>
      </w:r>
      <w:r>
        <w:t>federal</w:t>
      </w:r>
      <w:r>
        <w:rPr>
          <w:spacing w:val="-3"/>
        </w:rPr>
        <w:t xml:space="preserve"> </w:t>
      </w:r>
      <w:r>
        <w:t>reinsurance</w:t>
      </w:r>
      <w:r>
        <w:rPr>
          <w:spacing w:val="-1"/>
        </w:rPr>
        <w:t xml:space="preserve"> </w:t>
      </w:r>
      <w:r>
        <w:t>that</w:t>
      </w:r>
      <w:r>
        <w:rPr>
          <w:spacing w:val="-3"/>
        </w:rPr>
        <w:t xml:space="preserve"> </w:t>
      </w:r>
      <w:r>
        <w:t>will</w:t>
      </w:r>
      <w:r>
        <w:rPr>
          <w:spacing w:val="-3"/>
        </w:rPr>
        <w:t xml:space="preserve"> </w:t>
      </w:r>
      <w:r>
        <w:t>be</w:t>
      </w:r>
      <w:r>
        <w:rPr>
          <w:spacing w:val="-4"/>
        </w:rPr>
        <w:t xml:space="preserve"> </w:t>
      </w:r>
      <w:r>
        <w:t>received</w:t>
      </w:r>
      <w:r>
        <w:rPr>
          <w:spacing w:val="-3"/>
        </w:rPr>
        <w:t xml:space="preserve"> </w:t>
      </w:r>
      <w:r>
        <w:t>for</w:t>
      </w:r>
      <w:r>
        <w:rPr>
          <w:spacing w:val="-5"/>
        </w:rPr>
        <w:t xml:space="preserve"> </w:t>
      </w:r>
      <w:r>
        <w:t>the</w:t>
      </w:r>
      <w:r>
        <w:rPr>
          <w:spacing w:val="-4"/>
        </w:rPr>
        <w:t xml:space="preserve"> </w:t>
      </w:r>
      <w:r>
        <w:t>members in</w:t>
      </w:r>
      <w:r>
        <w:rPr>
          <w:spacing w:val="-1"/>
        </w:rPr>
        <w:t xml:space="preserve"> </w:t>
      </w:r>
      <w:r>
        <w:t>column</w:t>
      </w:r>
      <w:r>
        <w:rPr>
          <w:spacing w:val="-1"/>
        </w:rPr>
        <w:t xml:space="preserve"> </w:t>
      </w:r>
      <w:r>
        <w:t>d</w:t>
      </w:r>
      <w:r>
        <w:rPr>
          <w:spacing w:val="-1"/>
        </w:rPr>
        <w:t xml:space="preserve"> </w:t>
      </w:r>
      <w:r>
        <w:t>divided</w:t>
      </w:r>
      <w:r>
        <w:rPr>
          <w:spacing w:val="-1"/>
        </w:rPr>
        <w:t xml:space="preserve"> </w:t>
      </w:r>
      <w:r>
        <w:t>by</w:t>
      </w:r>
      <w:r>
        <w:rPr>
          <w:spacing w:val="-1"/>
        </w:rPr>
        <w:t xml:space="preserve"> </w:t>
      </w:r>
      <w:r>
        <w:t>the</w:t>
      </w:r>
      <w:r>
        <w:rPr>
          <w:spacing w:val="-2"/>
        </w:rPr>
        <w:t xml:space="preserve"> </w:t>
      </w:r>
      <w:r>
        <w:t>total</w:t>
      </w:r>
      <w:r>
        <w:rPr>
          <w:spacing w:val="-1"/>
        </w:rPr>
        <w:t xml:space="preserve"> </w:t>
      </w:r>
      <w:r>
        <w:t>projected</w:t>
      </w:r>
      <w:r>
        <w:rPr>
          <w:spacing w:val="-1"/>
        </w:rPr>
        <w:t xml:space="preserve"> </w:t>
      </w:r>
      <w:r>
        <w:t>member</w:t>
      </w:r>
      <w:r>
        <w:rPr>
          <w:spacing w:val="-1"/>
        </w:rPr>
        <w:t xml:space="preserve"> </w:t>
      </w:r>
      <w:r>
        <w:t>months</w:t>
      </w:r>
      <w:r>
        <w:rPr>
          <w:spacing w:val="-1"/>
        </w:rPr>
        <w:t xml:space="preserve"> </w:t>
      </w:r>
      <w:r>
        <w:t>in Section</w:t>
      </w:r>
      <w:r>
        <w:rPr>
          <w:spacing w:val="-1"/>
        </w:rPr>
        <w:t xml:space="preserve"> </w:t>
      </w:r>
      <w:r>
        <w:t>II,</w:t>
      </w:r>
      <w:r>
        <w:rPr>
          <w:spacing w:val="-1"/>
        </w:rPr>
        <w:t xml:space="preserve"> </w:t>
      </w:r>
      <w:r>
        <w:t>line</w:t>
      </w:r>
      <w:r>
        <w:rPr>
          <w:spacing w:val="-1"/>
        </w:rPr>
        <w:t xml:space="preserve"> </w:t>
      </w:r>
      <w:r>
        <w:t>1</w:t>
      </w:r>
      <w:r>
        <w:rPr>
          <w:spacing w:val="-1"/>
        </w:rPr>
        <w:t xml:space="preserve"> </w:t>
      </w:r>
      <w:r>
        <w:t>for</w:t>
      </w:r>
      <w:r>
        <w:rPr>
          <w:spacing w:val="-3"/>
        </w:rPr>
        <w:t xml:space="preserve"> </w:t>
      </w:r>
      <w:r>
        <w:t xml:space="preserve">each </w:t>
      </w:r>
      <w:r>
        <w:rPr>
          <w:spacing w:val="-2"/>
        </w:rPr>
        <w:t>line.</w:t>
      </w:r>
    </w:p>
    <w:p>
      <w:pPr>
        <w:spacing w:before="240"/>
        <w:ind w:left="440" w:right="0" w:firstLine="0"/>
        <w:jc w:val="left"/>
        <w:rPr>
          <w:rFonts w:ascii="Arial" w:hAnsi="Arial"/>
          <w:b/>
          <w:sz w:val="21"/>
        </w:rPr>
      </w:pPr>
      <w:bookmarkStart w:id="165" w:name="Line 5 – Subtotal"/>
      <w:bookmarkEnd w:id="165"/>
      <w:r>
        <w:rPr>
          <w:rFonts w:ascii="Arial" w:hAnsi="Arial"/>
          <w:b/>
          <w:sz w:val="21"/>
        </w:rPr>
        <w:t>Line</w:t>
      </w:r>
      <w:r>
        <w:rPr>
          <w:rFonts w:ascii="Arial" w:hAnsi="Arial"/>
          <w:b/>
          <w:spacing w:val="-4"/>
          <w:sz w:val="21"/>
        </w:rPr>
        <w:t xml:space="preserve"> </w:t>
      </w:r>
      <w:r>
        <w:rPr>
          <w:rFonts w:ascii="Arial" w:hAnsi="Arial"/>
          <w:b/>
          <w:sz w:val="21"/>
        </w:rPr>
        <w:t>5</w:t>
      </w:r>
      <w:r>
        <w:rPr>
          <w:rFonts w:ascii="Arial" w:hAnsi="Arial"/>
          <w:b/>
          <w:spacing w:val="-2"/>
          <w:sz w:val="21"/>
        </w:rPr>
        <w:t xml:space="preserve"> </w:t>
      </w:r>
      <w:r>
        <w:rPr>
          <w:rFonts w:ascii="Arial" w:hAnsi="Arial"/>
          <w:b/>
          <w:sz w:val="21"/>
        </w:rPr>
        <w:t>–</w:t>
      </w:r>
      <w:r>
        <w:rPr>
          <w:rFonts w:ascii="Arial" w:hAnsi="Arial"/>
          <w:b/>
          <w:spacing w:val="-2"/>
          <w:sz w:val="21"/>
        </w:rPr>
        <w:t xml:space="preserve"> Subtotal</w:t>
      </w:r>
    </w:p>
    <w:p>
      <w:pPr>
        <w:pStyle w:val="BodyText"/>
        <w:spacing w:before="118"/>
        <w:ind w:left="440" w:right="967"/>
        <w:jc w:val="both"/>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3"/>
        </w:rPr>
        <w:t xml:space="preserve"> </w:t>
      </w:r>
      <w:r>
        <w:t>using</w:t>
      </w:r>
      <w:r>
        <w:rPr>
          <w:spacing w:val="-3"/>
        </w:rPr>
        <w:t xml:space="preserve"> </w:t>
      </w:r>
      <w:r>
        <w:t>values</w:t>
      </w:r>
      <w:r>
        <w:rPr>
          <w:spacing w:val="-3"/>
        </w:rPr>
        <w:t xml:space="preserve"> </w:t>
      </w:r>
      <w:r>
        <w:t>from</w:t>
      </w:r>
      <w:r>
        <w:rPr>
          <w:spacing w:val="-3"/>
        </w:rPr>
        <w:t xml:space="preserve"> </w:t>
      </w:r>
      <w:r>
        <w:t>lines</w:t>
      </w:r>
      <w:r>
        <w:rPr>
          <w:spacing w:val="-3"/>
        </w:rPr>
        <w:t xml:space="preserve"> </w:t>
      </w:r>
      <w:r>
        <w:t>1</w:t>
      </w:r>
      <w:r>
        <w:rPr>
          <w:spacing w:val="-3"/>
        </w:rPr>
        <w:t xml:space="preserve"> </w:t>
      </w:r>
      <w:r>
        <w:t>through</w:t>
      </w:r>
      <w:r>
        <w:rPr>
          <w:spacing w:val="-2"/>
        </w:rPr>
        <w:t xml:space="preserve"> </w:t>
      </w:r>
      <w:r>
        <w:t>4</w:t>
      </w:r>
      <w:r>
        <w:rPr>
          <w:spacing w:val="-3"/>
        </w:rPr>
        <w:t xml:space="preserve"> </w:t>
      </w:r>
      <w:r>
        <w:t>for each column.</w:t>
      </w:r>
    </w:p>
    <w:p>
      <w:pPr>
        <w:spacing w:before="241"/>
        <w:ind w:left="440" w:right="0" w:firstLine="0"/>
        <w:jc w:val="left"/>
        <w:rPr>
          <w:rFonts w:ascii="Arial" w:hAnsi="Arial"/>
          <w:b/>
          <w:sz w:val="21"/>
        </w:rPr>
      </w:pPr>
      <w:bookmarkStart w:id="166" w:name="Line 6 – Minus Rebates"/>
      <w:bookmarkEnd w:id="166"/>
      <w:r>
        <w:rPr>
          <w:rFonts w:ascii="Arial" w:hAnsi="Arial"/>
          <w:b/>
          <w:sz w:val="21"/>
        </w:rPr>
        <w:t>Line</w:t>
      </w:r>
      <w:r>
        <w:rPr>
          <w:rFonts w:ascii="Arial" w:hAnsi="Arial"/>
          <w:b/>
          <w:spacing w:val="-4"/>
          <w:sz w:val="21"/>
        </w:rPr>
        <w:t xml:space="preserve"> </w:t>
      </w:r>
      <w:r>
        <w:rPr>
          <w:rFonts w:ascii="Arial" w:hAnsi="Arial"/>
          <w:b/>
          <w:sz w:val="21"/>
        </w:rPr>
        <w:t>6</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Minus</w:t>
      </w:r>
      <w:r>
        <w:rPr>
          <w:rFonts w:ascii="Arial" w:hAnsi="Arial"/>
          <w:b/>
          <w:spacing w:val="-5"/>
          <w:sz w:val="21"/>
        </w:rPr>
        <w:t xml:space="preserve"> </w:t>
      </w:r>
      <w:r>
        <w:rPr>
          <w:rFonts w:ascii="Arial" w:hAnsi="Arial"/>
          <w:b/>
          <w:spacing w:val="-2"/>
          <w:sz w:val="21"/>
        </w:rPr>
        <w:t>Rebates</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g</w:t>
      </w:r>
    </w:p>
    <w:p>
      <w:pPr>
        <w:pStyle w:val="BodyText"/>
        <w:spacing w:before="118"/>
        <w:ind w:left="1160" w:right="655"/>
      </w:pPr>
      <w:r>
        <w:t>Enter the total amount of rebates expected to be received for the claims in lines 1 through</w:t>
      </w:r>
      <w:r>
        <w:rPr>
          <w:spacing w:val="-5"/>
        </w:rPr>
        <w:t xml:space="preserve"> </w:t>
      </w:r>
      <w:r>
        <w:t>4.</w:t>
      </w:r>
      <w:r>
        <w:rPr>
          <w:spacing w:val="-4"/>
        </w:rPr>
        <w:t xml:space="preserve"> </w:t>
      </w:r>
      <w:r>
        <w:t>Total</w:t>
      </w:r>
      <w:r>
        <w:rPr>
          <w:spacing w:val="-4"/>
        </w:rPr>
        <w:t xml:space="preserve"> </w:t>
      </w:r>
      <w:r>
        <w:t>rebates</w:t>
      </w:r>
      <w:r>
        <w:rPr>
          <w:spacing w:val="-4"/>
        </w:rPr>
        <w:t xml:space="preserve"> </w:t>
      </w:r>
      <w:r>
        <w:t>include</w:t>
      </w:r>
      <w:r>
        <w:rPr>
          <w:spacing w:val="-4"/>
        </w:rPr>
        <w:t xml:space="preserve"> </w:t>
      </w:r>
      <w:r>
        <w:t>all</w:t>
      </w:r>
      <w:r>
        <w:rPr>
          <w:spacing w:val="-4"/>
        </w:rPr>
        <w:t xml:space="preserve"> </w:t>
      </w:r>
      <w:r>
        <w:t>direct</w:t>
      </w:r>
      <w:r>
        <w:rPr>
          <w:spacing w:val="-3"/>
        </w:rPr>
        <w:t xml:space="preserve"> </w:t>
      </w:r>
      <w:r>
        <w:t>and</w:t>
      </w:r>
      <w:r>
        <w:rPr>
          <w:spacing w:val="-4"/>
        </w:rPr>
        <w:t xml:space="preserve"> </w:t>
      </w:r>
      <w:r>
        <w:t>indirect</w:t>
      </w:r>
      <w:r>
        <w:rPr>
          <w:spacing w:val="-4"/>
        </w:rPr>
        <w:t xml:space="preserve"> </w:t>
      </w:r>
      <w:r>
        <w:t>remuneration</w:t>
      </w:r>
      <w:r>
        <w:rPr>
          <w:spacing w:val="-4"/>
        </w:rPr>
        <w:t xml:space="preserve"> </w:t>
      </w:r>
      <w:r>
        <w:t>received</w:t>
      </w:r>
      <w:r>
        <w:rPr>
          <w:spacing w:val="-4"/>
        </w:rPr>
        <w:t xml:space="preserve"> </w:t>
      </w:r>
      <w:r>
        <w:t>after the point-of-sale transaction. Point-of-sale rebates reported in “Column g – Projected Allowed Amount” are not reported here. Report the rebates at the PBP level. If the Part D sponsor does not receive rebates at the PBP level, then an allocation</w:t>
      </w:r>
      <w:r>
        <w:rPr>
          <w:spacing w:val="-4"/>
        </w:rPr>
        <w:t xml:space="preserve"> </w:t>
      </w:r>
      <w:r>
        <w:t>methodology</w:t>
      </w:r>
      <w:r>
        <w:rPr>
          <w:spacing w:val="-4"/>
        </w:rPr>
        <w:t xml:space="preserve"> </w:t>
      </w:r>
      <w:r>
        <w:t>may</w:t>
      </w:r>
      <w:r>
        <w:rPr>
          <w:spacing w:val="-4"/>
        </w:rPr>
        <w:t xml:space="preserve"> </w:t>
      </w:r>
      <w:r>
        <w:t>be</w:t>
      </w:r>
      <w:r>
        <w:rPr>
          <w:spacing w:val="-5"/>
        </w:rPr>
        <w:t xml:space="preserve"> </w:t>
      </w:r>
      <w:r>
        <w:t>used.</w:t>
      </w:r>
      <w:r>
        <w:rPr>
          <w:spacing w:val="-4"/>
        </w:rPr>
        <w:t xml:space="preserve"> </w:t>
      </w:r>
      <w:r>
        <w:t>The</w:t>
      </w:r>
      <w:r>
        <w:rPr>
          <w:spacing w:val="-6"/>
        </w:rPr>
        <w:t xml:space="preserve"> </w:t>
      </w:r>
      <w:r>
        <w:t>methodology</w:t>
      </w:r>
      <w:r>
        <w:rPr>
          <w:spacing w:val="-4"/>
        </w:rPr>
        <w:t xml:space="preserve"> </w:t>
      </w:r>
      <w:r>
        <w:t>used</w:t>
      </w:r>
      <w:r>
        <w:rPr>
          <w:spacing w:val="-4"/>
        </w:rPr>
        <w:t xml:space="preserve"> </w:t>
      </w:r>
      <w:r>
        <w:t>for</w:t>
      </w:r>
      <w:r>
        <w:rPr>
          <w:spacing w:val="-6"/>
        </w:rPr>
        <w:t xml:space="preserve"> </w:t>
      </w:r>
      <w:r>
        <w:t>reporting</w:t>
      </w:r>
      <w:r>
        <w:rPr>
          <w:spacing w:val="-4"/>
        </w:rPr>
        <w:t xml:space="preserve"> </w:t>
      </w:r>
      <w:r>
        <w:t>rebates and all other types of DIR must be substantiated in the supporting documentation that is uploaded into HPMS with the initial bid submission.</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h</w:t>
      </w:r>
    </w:p>
    <w:p>
      <w:pPr>
        <w:pStyle w:val="BodyText"/>
        <w:ind w:left="1160" w:right="478"/>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column</w:t>
      </w:r>
      <w:r>
        <w:rPr>
          <w:spacing w:val="-3"/>
        </w:rPr>
        <w:t xml:space="preserve"> </w:t>
      </w:r>
      <w:r>
        <w:t>g</w:t>
      </w:r>
      <w:r>
        <w:rPr>
          <w:spacing w:val="-3"/>
        </w:rPr>
        <w:t xml:space="preserve"> </w:t>
      </w:r>
      <w:r>
        <w:t>divided</w:t>
      </w:r>
      <w:r>
        <w:rPr>
          <w:spacing w:val="-3"/>
        </w:rPr>
        <w:t xml:space="preserve"> </w:t>
      </w:r>
      <w:r>
        <w:t>by</w:t>
      </w:r>
      <w:r>
        <w:rPr>
          <w:spacing w:val="-3"/>
        </w:rPr>
        <w:t xml:space="preserve"> </w:t>
      </w:r>
      <w:r>
        <w:t>line 5, column e.</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pacing w:val="-10"/>
          <w:sz w:val="21"/>
        </w:rPr>
        <w:t>m</w:t>
      </w:r>
    </w:p>
    <w:p>
      <w:pPr>
        <w:pStyle w:val="BodyText"/>
        <w:spacing w:before="121"/>
        <w:ind w:left="1160"/>
      </w:pPr>
      <w:r>
        <w:t>Enter</w:t>
      </w:r>
      <w:r>
        <w:rPr>
          <w:spacing w:val="-4"/>
        </w:rPr>
        <w:t xml:space="preserve"> </w:t>
      </w:r>
      <w:r>
        <w:t>the</w:t>
      </w:r>
      <w:r>
        <w:rPr>
          <w:spacing w:val="-2"/>
        </w:rPr>
        <w:t xml:space="preserve"> </w:t>
      </w:r>
      <w:r>
        <w:t>estimated amount</w:t>
      </w:r>
      <w:r>
        <w:rPr>
          <w:spacing w:val="-1"/>
        </w:rPr>
        <w:t xml:space="preserve"> </w:t>
      </w:r>
      <w:r>
        <w:t>of</w:t>
      </w:r>
      <w:r>
        <w:rPr>
          <w:spacing w:val="-2"/>
        </w:rPr>
        <w:t xml:space="preserve"> </w:t>
      </w:r>
      <w:r>
        <w:t>rebates allocated</w:t>
      </w:r>
      <w:r>
        <w:rPr>
          <w:spacing w:val="-1"/>
        </w:rPr>
        <w:t xml:space="preserve"> </w:t>
      </w:r>
      <w:r>
        <w:t>to</w:t>
      </w:r>
      <w:r>
        <w:rPr>
          <w:spacing w:val="1"/>
        </w:rPr>
        <w:t xml:space="preserve"> </w:t>
      </w:r>
      <w:r>
        <w:t>federal</w:t>
      </w:r>
      <w:r>
        <w:rPr>
          <w:spacing w:val="-1"/>
        </w:rPr>
        <w:t xml:space="preserve"> </w:t>
      </w:r>
      <w:r>
        <w:rPr>
          <w:spacing w:val="-2"/>
        </w:rPr>
        <w:t>reinsurance.</w:t>
      </w:r>
    </w:p>
    <w:p>
      <w:pPr>
        <w:pStyle w:val="ListParagraph"/>
        <w:numPr>
          <w:ilvl w:val="0"/>
          <w:numId w:val="8"/>
        </w:numPr>
        <w:tabs>
          <w:tab w:val="left" w:pos="1159"/>
        </w:tabs>
        <w:spacing w:before="120"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n</w:t>
      </w:r>
    </w:p>
    <w:p>
      <w:pPr>
        <w:pStyle w:val="BodyText"/>
        <w:spacing w:before="118"/>
        <w:ind w:left="1160"/>
      </w:pPr>
      <w:r>
        <w:t>The</w:t>
      </w:r>
      <w:r>
        <w:rPr>
          <w:spacing w:val="-3"/>
        </w:rPr>
        <w:t xml:space="preserve"> </w:t>
      </w:r>
      <w:r>
        <w:t>value</w:t>
      </w:r>
      <w:r>
        <w:rPr>
          <w:spacing w:val="-2"/>
        </w:rPr>
        <w:t xml:space="preserve"> </w:t>
      </w:r>
      <w:r>
        <w:t>is calculated</w:t>
      </w:r>
      <w:r>
        <w:rPr>
          <w:spacing w:val="-1"/>
        </w:rPr>
        <w:t xml:space="preserve"> </w:t>
      </w:r>
      <w:r>
        <w:t>automatically</w:t>
      </w:r>
      <w:r>
        <w:rPr>
          <w:spacing w:val="-1"/>
        </w:rPr>
        <w:t xml:space="preserve"> </w:t>
      </w:r>
      <w:r>
        <w:t>in the</w:t>
      </w:r>
      <w:r>
        <w:rPr>
          <w:spacing w:val="-2"/>
        </w:rPr>
        <w:t xml:space="preserve"> </w:t>
      </w:r>
      <w:r>
        <w:t>BPT</w:t>
      </w:r>
      <w:r>
        <w:rPr>
          <w:spacing w:val="-3"/>
        </w:rPr>
        <w:t xml:space="preserve"> </w:t>
      </w:r>
      <w:r>
        <w:t>as</w:t>
      </w:r>
      <w:r>
        <w:rPr>
          <w:spacing w:val="-1"/>
        </w:rPr>
        <w:t xml:space="preserve"> </w:t>
      </w:r>
      <w:r>
        <w:t>column</w:t>
      </w:r>
      <w:r>
        <w:rPr>
          <w:spacing w:val="-1"/>
        </w:rPr>
        <w:t xml:space="preserve"> </w:t>
      </w:r>
      <w:r>
        <w:t>h minus</w:t>
      </w:r>
      <w:r>
        <w:rPr>
          <w:spacing w:val="-1"/>
        </w:rPr>
        <w:t xml:space="preserve"> </w:t>
      </w:r>
      <w:r>
        <w:t xml:space="preserve">column </w:t>
      </w:r>
      <w:r>
        <w:rPr>
          <w:spacing w:val="-5"/>
        </w:rPr>
        <w:t>m.</w:t>
      </w:r>
    </w:p>
    <w:p>
      <w:pPr>
        <w:spacing w:before="241"/>
        <w:ind w:left="440" w:right="0" w:firstLine="0"/>
        <w:jc w:val="left"/>
        <w:rPr>
          <w:rFonts w:ascii="Arial" w:hAnsi="Arial"/>
          <w:b/>
          <w:sz w:val="21"/>
        </w:rPr>
      </w:pPr>
      <w:bookmarkStart w:id="167" w:name="Line 7 – Plus Part D as Secondary"/>
      <w:bookmarkEnd w:id="167"/>
      <w:r>
        <w:rPr>
          <w:rFonts w:ascii="Arial" w:hAnsi="Arial"/>
          <w:b/>
          <w:sz w:val="21"/>
        </w:rPr>
        <w:t>Line</w:t>
      </w:r>
      <w:r>
        <w:rPr>
          <w:rFonts w:ascii="Arial" w:hAnsi="Arial"/>
          <w:b/>
          <w:spacing w:val="-3"/>
          <w:sz w:val="21"/>
        </w:rPr>
        <w:t xml:space="preserve"> </w:t>
      </w:r>
      <w:r>
        <w:rPr>
          <w:rFonts w:ascii="Arial" w:hAnsi="Arial"/>
          <w:b/>
          <w:sz w:val="21"/>
        </w:rPr>
        <w:t>7</w:t>
      </w:r>
      <w:r>
        <w:rPr>
          <w:rFonts w:ascii="Arial" w:hAnsi="Arial"/>
          <w:b/>
          <w:spacing w:val="-3"/>
          <w:sz w:val="21"/>
        </w:rPr>
        <w:t xml:space="preserve"> </w:t>
      </w:r>
      <w:r>
        <w:rPr>
          <w:rFonts w:ascii="Arial" w:hAnsi="Arial"/>
          <w:b/>
          <w:sz w:val="21"/>
        </w:rPr>
        <w:t>–</w:t>
      </w:r>
      <w:r>
        <w:rPr>
          <w:rFonts w:ascii="Arial" w:hAnsi="Arial"/>
          <w:b/>
          <w:spacing w:val="-2"/>
          <w:sz w:val="21"/>
        </w:rPr>
        <w:t xml:space="preserve"> </w:t>
      </w:r>
      <w:r>
        <w:rPr>
          <w:rFonts w:ascii="Arial" w:hAnsi="Arial"/>
          <w:b/>
          <w:sz w:val="21"/>
        </w:rPr>
        <w:t>Plus</w:t>
      </w:r>
      <w:r>
        <w:rPr>
          <w:rFonts w:ascii="Arial" w:hAnsi="Arial"/>
          <w:b/>
          <w:spacing w:val="-2"/>
          <w:sz w:val="21"/>
        </w:rPr>
        <w:t xml:space="preserve"> </w:t>
      </w:r>
      <w:r>
        <w:rPr>
          <w:rFonts w:ascii="Arial" w:hAnsi="Arial"/>
          <w:b/>
          <w:sz w:val="21"/>
        </w:rPr>
        <w:t>Part</w:t>
      </w:r>
      <w:r>
        <w:rPr>
          <w:rFonts w:ascii="Arial" w:hAnsi="Arial"/>
          <w:b/>
          <w:spacing w:val="-3"/>
          <w:sz w:val="21"/>
        </w:rPr>
        <w:t xml:space="preserve"> </w:t>
      </w:r>
      <w:r>
        <w:rPr>
          <w:rFonts w:ascii="Arial" w:hAnsi="Arial"/>
          <w:b/>
          <w:sz w:val="21"/>
        </w:rPr>
        <w:t>D</w:t>
      </w:r>
      <w:r>
        <w:rPr>
          <w:rFonts w:ascii="Arial" w:hAnsi="Arial"/>
          <w:b/>
          <w:spacing w:val="-2"/>
          <w:sz w:val="21"/>
        </w:rPr>
        <w:t xml:space="preserve"> </w:t>
      </w:r>
      <w:r>
        <w:rPr>
          <w:rFonts w:ascii="Arial" w:hAnsi="Arial"/>
          <w:b/>
          <w:sz w:val="21"/>
        </w:rPr>
        <w:t>as</w:t>
      </w:r>
      <w:r>
        <w:rPr>
          <w:rFonts w:ascii="Arial" w:hAnsi="Arial"/>
          <w:b/>
          <w:spacing w:val="-4"/>
          <w:sz w:val="21"/>
        </w:rPr>
        <w:t xml:space="preserve"> </w:t>
      </w:r>
      <w:r>
        <w:rPr>
          <w:rFonts w:ascii="Arial" w:hAnsi="Arial"/>
          <w:b/>
          <w:spacing w:val="-2"/>
          <w:sz w:val="21"/>
        </w:rPr>
        <w:t>Secondary</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g</w:t>
      </w:r>
    </w:p>
    <w:p>
      <w:pPr>
        <w:pStyle w:val="BodyText"/>
        <w:spacing w:before="118"/>
        <w:ind w:left="1160" w:right="478"/>
      </w:pPr>
      <w:r>
        <w:t>Enter,</w:t>
      </w:r>
      <w:r>
        <w:rPr>
          <w:spacing w:val="-3"/>
        </w:rPr>
        <w:t xml:space="preserve"> </w:t>
      </w:r>
      <w:r>
        <w:t>as</w:t>
      </w:r>
      <w:r>
        <w:rPr>
          <w:spacing w:val="-3"/>
        </w:rPr>
        <w:t xml:space="preserve"> </w:t>
      </w:r>
      <w:r>
        <w:t>a</w:t>
      </w:r>
      <w:r>
        <w:rPr>
          <w:spacing w:val="-4"/>
        </w:rPr>
        <w:t xml:space="preserve"> </w:t>
      </w:r>
      <w:r>
        <w:t>positive</w:t>
      </w:r>
      <w:r>
        <w:rPr>
          <w:spacing w:val="-4"/>
        </w:rPr>
        <w:t xml:space="preserve"> </w:t>
      </w:r>
      <w:r>
        <w:t>value,</w:t>
      </w:r>
      <w:r>
        <w:rPr>
          <w:spacing w:val="-3"/>
        </w:rPr>
        <w:t xml:space="preserve"> </w:t>
      </w:r>
      <w:r>
        <w:t>the</w:t>
      </w:r>
      <w:r>
        <w:rPr>
          <w:spacing w:val="-3"/>
        </w:rPr>
        <w:t xml:space="preserve"> </w:t>
      </w:r>
      <w:r>
        <w:t>projected</w:t>
      </w:r>
      <w:r>
        <w:rPr>
          <w:spacing w:val="-3"/>
        </w:rPr>
        <w:t xml:space="preserve"> </w:t>
      </w:r>
      <w:r>
        <w:t>total</w:t>
      </w:r>
      <w:r>
        <w:rPr>
          <w:spacing w:val="-3"/>
        </w:rPr>
        <w:t xml:space="preserve"> </w:t>
      </w:r>
      <w:r>
        <w:t>plan cost</w:t>
      </w:r>
      <w:r>
        <w:rPr>
          <w:spacing w:val="-3"/>
        </w:rPr>
        <w:t xml:space="preserve"> </w:t>
      </w:r>
      <w:r>
        <w:t>(CPP</w:t>
      </w:r>
      <w:r>
        <w:rPr>
          <w:spacing w:val="-3"/>
        </w:rPr>
        <w:t xml:space="preserve"> </w:t>
      </w:r>
      <w:r>
        <w:t>+</w:t>
      </w:r>
      <w:r>
        <w:rPr>
          <w:spacing w:val="-4"/>
        </w:rPr>
        <w:t xml:space="preserve"> </w:t>
      </w:r>
      <w:r>
        <w:t>NPP)</w:t>
      </w:r>
      <w:r>
        <w:rPr>
          <w:spacing w:val="-4"/>
        </w:rPr>
        <w:t xml:space="preserve"> </w:t>
      </w:r>
      <w:r>
        <w:t>for</w:t>
      </w:r>
      <w:r>
        <w:rPr>
          <w:spacing w:val="-4"/>
        </w:rPr>
        <w:t xml:space="preserve"> </w:t>
      </w:r>
      <w:r>
        <w:t>Part</w:t>
      </w:r>
      <w:r>
        <w:rPr>
          <w:spacing w:val="-3"/>
        </w:rPr>
        <w:t xml:space="preserve"> </w:t>
      </w:r>
      <w:r>
        <w:t>D- covered drugs for which the Part D plan is the secondary payer.</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h</w:t>
      </w:r>
    </w:p>
    <w:p>
      <w:pPr>
        <w:pStyle w:val="BodyText"/>
        <w:ind w:left="1160" w:right="478"/>
      </w:pPr>
      <w:r>
        <w:t>The</w:t>
      </w:r>
      <w:r>
        <w:rPr>
          <w:spacing w:val="-5"/>
        </w:rPr>
        <w:t xml:space="preserve"> </w:t>
      </w:r>
      <w:r>
        <w:t>value</w:t>
      </w:r>
      <w:r>
        <w:rPr>
          <w:spacing w:val="-3"/>
        </w:rPr>
        <w:t xml:space="preserve"> </w:t>
      </w:r>
      <w:r>
        <w:t>is</w:t>
      </w:r>
      <w:r>
        <w:rPr>
          <w:spacing w:val="-3"/>
        </w:rPr>
        <w:t xml:space="preserve"> </w:t>
      </w:r>
      <w:r>
        <w:t>calculated</w:t>
      </w:r>
      <w:r>
        <w:rPr>
          <w:spacing w:val="-3"/>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6"/>
        </w:rPr>
        <w:t xml:space="preserve"> </w:t>
      </w:r>
      <w:r>
        <w:t>as</w:t>
      </w:r>
      <w:r>
        <w:rPr>
          <w:spacing w:val="-3"/>
        </w:rPr>
        <w:t xml:space="preserve"> </w:t>
      </w:r>
      <w:r>
        <w:t>column</w:t>
      </w:r>
      <w:r>
        <w:rPr>
          <w:spacing w:val="-3"/>
        </w:rPr>
        <w:t xml:space="preserve"> </w:t>
      </w:r>
      <w:r>
        <w:t>g</w:t>
      </w:r>
      <w:r>
        <w:rPr>
          <w:spacing w:val="-3"/>
        </w:rPr>
        <w:t xml:space="preserve"> </w:t>
      </w:r>
      <w:r>
        <w:t>divided</w:t>
      </w:r>
      <w:r>
        <w:rPr>
          <w:spacing w:val="-3"/>
        </w:rPr>
        <w:t xml:space="preserve"> </w:t>
      </w:r>
      <w:r>
        <w:t>by</w:t>
      </w:r>
      <w:r>
        <w:rPr>
          <w:spacing w:val="-3"/>
        </w:rPr>
        <w:t xml:space="preserve"> </w:t>
      </w:r>
      <w:r>
        <w:t>line 5, column e.</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pacing w:val="-10"/>
          <w:sz w:val="21"/>
        </w:rPr>
        <w:t>m</w:t>
      </w:r>
    </w:p>
    <w:p>
      <w:pPr>
        <w:pStyle w:val="BodyText"/>
        <w:ind w:left="1160" w:right="979"/>
      </w:pPr>
      <w:r>
        <w:t>Enter,</w:t>
      </w:r>
      <w:r>
        <w:rPr>
          <w:spacing w:val="-3"/>
        </w:rPr>
        <w:t xml:space="preserve"> </w:t>
      </w:r>
      <w:r>
        <w:t>as</w:t>
      </w:r>
      <w:r>
        <w:rPr>
          <w:spacing w:val="-3"/>
        </w:rPr>
        <w:t xml:space="preserve"> </w:t>
      </w:r>
      <w:r>
        <w:t>a</w:t>
      </w:r>
      <w:r>
        <w:rPr>
          <w:spacing w:val="-4"/>
        </w:rPr>
        <w:t xml:space="preserve"> </w:t>
      </w:r>
      <w:r>
        <w:t>positive</w:t>
      </w:r>
      <w:r>
        <w:rPr>
          <w:spacing w:val="-4"/>
        </w:rPr>
        <w:t xml:space="preserve"> </w:t>
      </w:r>
      <w:r>
        <w:t>value,</w:t>
      </w:r>
      <w:r>
        <w:rPr>
          <w:spacing w:val="-3"/>
        </w:rPr>
        <w:t xml:space="preserve"> </w:t>
      </w:r>
      <w:r>
        <w:t>the</w:t>
      </w:r>
      <w:r>
        <w:rPr>
          <w:spacing w:val="-2"/>
        </w:rPr>
        <w:t xml:space="preserve"> </w:t>
      </w:r>
      <w:r>
        <w:t>projected</w:t>
      </w:r>
      <w:r>
        <w:rPr>
          <w:spacing w:val="-4"/>
        </w:rPr>
        <w:t xml:space="preserve"> </w:t>
      </w:r>
      <w:r>
        <w:t>PMPM</w:t>
      </w:r>
      <w:r>
        <w:rPr>
          <w:spacing w:val="-3"/>
        </w:rPr>
        <w:t xml:space="preserve"> </w:t>
      </w:r>
      <w:r>
        <w:t>plan</w:t>
      </w:r>
      <w:r>
        <w:rPr>
          <w:spacing w:val="-3"/>
        </w:rPr>
        <w:t xml:space="preserve"> </w:t>
      </w:r>
      <w:r>
        <w:t>liability</w:t>
      </w:r>
      <w:r>
        <w:rPr>
          <w:spacing w:val="-3"/>
        </w:rPr>
        <w:t xml:space="preserve"> </w:t>
      </w:r>
      <w:r>
        <w:t>for</w:t>
      </w:r>
      <w:r>
        <w:rPr>
          <w:spacing w:val="-4"/>
        </w:rPr>
        <w:t xml:space="preserve"> </w:t>
      </w:r>
      <w:r>
        <w:t>Part</w:t>
      </w:r>
      <w:r>
        <w:rPr>
          <w:spacing w:val="-3"/>
        </w:rPr>
        <w:t xml:space="preserve"> </w:t>
      </w:r>
      <w:r>
        <w:t>D-covered drugs attributable to federal reinsurance for which the Part D plan is the secondary payer.</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6"/>
          <w:sz w:val="21"/>
        </w:rPr>
        <w:t xml:space="preserve"> </w:t>
      </w:r>
      <w:r>
        <w:rPr>
          <w:rFonts w:ascii="Arial" w:hAnsi="Arial"/>
          <w:b/>
          <w:spacing w:val="-10"/>
          <w:sz w:val="21"/>
        </w:rPr>
        <w:t>n</w:t>
      </w:r>
    </w:p>
    <w:p>
      <w:pPr>
        <w:pStyle w:val="BodyText"/>
        <w:spacing w:before="118"/>
        <w:ind w:left="1160"/>
      </w:pPr>
      <w:r>
        <w:t>The</w:t>
      </w:r>
      <w:r>
        <w:rPr>
          <w:spacing w:val="-3"/>
        </w:rPr>
        <w:t xml:space="preserve"> </w:t>
      </w:r>
      <w:r>
        <w:t>value</w:t>
      </w:r>
      <w:r>
        <w:rPr>
          <w:spacing w:val="-1"/>
        </w:rPr>
        <w:t xml:space="preserve"> </w:t>
      </w:r>
      <w:r>
        <w:t>is calculated</w:t>
      </w:r>
      <w:r>
        <w:rPr>
          <w:spacing w:val="-1"/>
        </w:rPr>
        <w:t xml:space="preserve"> </w:t>
      </w:r>
      <w:r>
        <w:t>automatically</w:t>
      </w:r>
      <w:r>
        <w:rPr>
          <w:spacing w:val="-1"/>
        </w:rPr>
        <w:t xml:space="preserve"> </w:t>
      </w:r>
      <w:r>
        <w:t>in the</w:t>
      </w:r>
      <w:r>
        <w:rPr>
          <w:spacing w:val="-2"/>
        </w:rPr>
        <w:t xml:space="preserve"> </w:t>
      </w:r>
      <w:r>
        <w:t>BPT</w:t>
      </w:r>
      <w:r>
        <w:rPr>
          <w:spacing w:val="-3"/>
        </w:rPr>
        <w:t xml:space="preserve"> </w:t>
      </w:r>
      <w:r>
        <w:t>as</w:t>
      </w:r>
      <w:r>
        <w:rPr>
          <w:spacing w:val="-1"/>
        </w:rPr>
        <w:t xml:space="preserve"> </w:t>
      </w:r>
      <w:r>
        <w:t>column</w:t>
      </w:r>
      <w:r>
        <w:rPr>
          <w:spacing w:val="-1"/>
        </w:rPr>
        <w:t xml:space="preserve"> </w:t>
      </w:r>
      <w:r>
        <w:t>h minus</w:t>
      </w:r>
      <w:r>
        <w:rPr>
          <w:spacing w:val="-1"/>
        </w:rPr>
        <w:t xml:space="preserve"> </w:t>
      </w:r>
      <w:r>
        <w:t>column</w:t>
      </w:r>
      <w:r>
        <w:rPr>
          <w:spacing w:val="5"/>
        </w:rPr>
        <w:t xml:space="preserve"> </w:t>
      </w:r>
      <w:r>
        <w:rPr>
          <w:spacing w:val="-5"/>
        </w:rPr>
        <w:t>m.</w:t>
      </w:r>
    </w:p>
    <w:p>
      <w:pPr>
        <w:spacing w:after="0"/>
        <w:sectPr>
          <w:pgSz w:w="12240" w:h="15840"/>
          <w:pgMar w:top="1340" w:right="1000" w:bottom="1080" w:left="1360" w:header="727" w:footer="891"/>
          <w:cols w:space="720"/>
        </w:sectPr>
      </w:pPr>
    </w:p>
    <w:p>
      <w:pPr>
        <w:spacing w:before="87"/>
        <w:ind w:left="440" w:right="0" w:firstLine="0"/>
        <w:jc w:val="left"/>
        <w:rPr>
          <w:rFonts w:ascii="Arial" w:hAnsi="Arial"/>
          <w:b/>
          <w:sz w:val="21"/>
        </w:rPr>
      </w:pPr>
      <w:bookmarkStart w:id="168" w:name="Line 8, column n – Minus Manufacturer Di"/>
      <w:bookmarkEnd w:id="168"/>
      <w:r>
        <w:rPr>
          <w:rFonts w:ascii="Arial" w:hAnsi="Arial"/>
          <w:b/>
          <w:sz w:val="21"/>
        </w:rPr>
        <w:t>Line</w:t>
      </w:r>
      <w:r>
        <w:rPr>
          <w:rFonts w:ascii="Arial" w:hAnsi="Arial"/>
          <w:b/>
          <w:spacing w:val="-5"/>
          <w:sz w:val="21"/>
        </w:rPr>
        <w:t xml:space="preserve"> </w:t>
      </w:r>
      <w:r>
        <w:rPr>
          <w:rFonts w:ascii="Arial" w:hAnsi="Arial"/>
          <w:b/>
          <w:sz w:val="21"/>
        </w:rPr>
        <w:t>8,</w:t>
      </w:r>
      <w:r>
        <w:rPr>
          <w:rFonts w:ascii="Arial" w:hAnsi="Arial"/>
          <w:b/>
          <w:spacing w:val="-6"/>
          <w:sz w:val="21"/>
        </w:rPr>
        <w:t xml:space="preserve"> </w:t>
      </w:r>
      <w:r>
        <w:rPr>
          <w:rFonts w:ascii="Arial" w:hAnsi="Arial"/>
          <w:b/>
          <w:sz w:val="21"/>
        </w:rPr>
        <w:t>column</w:t>
      </w:r>
      <w:r>
        <w:rPr>
          <w:rFonts w:ascii="Arial" w:hAnsi="Arial"/>
          <w:b/>
          <w:spacing w:val="-6"/>
          <w:sz w:val="21"/>
        </w:rPr>
        <w:t xml:space="preserve"> </w:t>
      </w:r>
      <w:r>
        <w:rPr>
          <w:rFonts w:ascii="Arial" w:hAnsi="Arial"/>
          <w:b/>
          <w:sz w:val="21"/>
        </w:rPr>
        <w:t>n</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Minus</w:t>
      </w:r>
      <w:r>
        <w:rPr>
          <w:rFonts w:ascii="Arial" w:hAnsi="Arial"/>
          <w:b/>
          <w:spacing w:val="-5"/>
          <w:sz w:val="21"/>
        </w:rPr>
        <w:t xml:space="preserve"> </w:t>
      </w:r>
      <w:r>
        <w:rPr>
          <w:rFonts w:ascii="Arial" w:hAnsi="Arial"/>
          <w:b/>
          <w:sz w:val="21"/>
        </w:rPr>
        <w:t>Manufacturer</w:t>
      </w:r>
      <w:r>
        <w:rPr>
          <w:rFonts w:ascii="Arial" w:hAnsi="Arial"/>
          <w:b/>
          <w:spacing w:val="-5"/>
          <w:sz w:val="21"/>
        </w:rPr>
        <w:t xml:space="preserve"> </w:t>
      </w:r>
      <w:r>
        <w:rPr>
          <w:rFonts w:ascii="Arial" w:hAnsi="Arial"/>
          <w:b/>
          <w:spacing w:val="-2"/>
          <w:sz w:val="21"/>
        </w:rPr>
        <w:t>Discount</w:t>
      </w:r>
    </w:p>
    <w:p>
      <w:pPr>
        <w:pStyle w:val="BodyText"/>
        <w:spacing w:before="121"/>
        <w:ind w:left="440"/>
      </w:pPr>
      <w:r>
        <w:t>The</w:t>
      </w:r>
      <w:r>
        <w:rPr>
          <w:spacing w:val="-3"/>
        </w:rPr>
        <w:t xml:space="preserve"> </w:t>
      </w:r>
      <w:r>
        <w:t>value</w:t>
      </w:r>
      <w:r>
        <w:rPr>
          <w:spacing w:val="-1"/>
        </w:rPr>
        <w:t xml:space="preserve"> </w:t>
      </w:r>
      <w:r>
        <w:t>is calculated</w:t>
      </w:r>
      <w:r>
        <w:rPr>
          <w:spacing w:val="-1"/>
        </w:rPr>
        <w:t xml:space="preserve"> </w:t>
      </w:r>
      <w:r>
        <w:t>automatically</w:t>
      </w:r>
      <w:r>
        <w:rPr>
          <w:spacing w:val="-1"/>
        </w:rPr>
        <w:t xml:space="preserve"> </w:t>
      </w:r>
      <w:r>
        <w:t>in the</w:t>
      </w:r>
      <w:r>
        <w:rPr>
          <w:spacing w:val="-2"/>
        </w:rPr>
        <w:t xml:space="preserve"> </w:t>
      </w:r>
      <w:r>
        <w:t>BPT</w:t>
      </w:r>
      <w:r>
        <w:rPr>
          <w:spacing w:val="-2"/>
        </w:rPr>
        <w:t xml:space="preserve"> </w:t>
      </w:r>
      <w:r>
        <w:t>using</w:t>
      </w:r>
      <w:r>
        <w:rPr>
          <w:spacing w:val="1"/>
        </w:rPr>
        <w:t xml:space="preserve"> </w:t>
      </w:r>
      <w:r>
        <w:t>values</w:t>
      </w:r>
      <w:r>
        <w:rPr>
          <w:spacing w:val="-2"/>
        </w:rPr>
        <w:t xml:space="preserve"> </w:t>
      </w:r>
      <w:r>
        <w:t>from</w:t>
      </w:r>
      <w:r>
        <w:rPr>
          <w:spacing w:val="-1"/>
        </w:rPr>
        <w:t xml:space="preserve"> </w:t>
      </w:r>
      <w:r>
        <w:t>Worksheets 3</w:t>
      </w:r>
      <w:r>
        <w:rPr>
          <w:spacing w:val="-1"/>
        </w:rPr>
        <w:t xml:space="preserve"> </w:t>
      </w:r>
      <w:r>
        <w:t xml:space="preserve">and </w:t>
      </w:r>
      <w:r>
        <w:rPr>
          <w:spacing w:val="-5"/>
        </w:rPr>
        <w:t>6.</w:t>
      </w:r>
    </w:p>
    <w:p>
      <w:pPr>
        <w:spacing w:before="240"/>
        <w:ind w:left="440" w:right="0" w:firstLine="0"/>
        <w:jc w:val="left"/>
        <w:rPr>
          <w:rFonts w:ascii="Arial" w:hAnsi="Arial"/>
          <w:b/>
          <w:sz w:val="21"/>
        </w:rPr>
      </w:pPr>
      <w:bookmarkStart w:id="169" w:name="Line 9, columns g through o – Total"/>
      <w:bookmarkEnd w:id="169"/>
      <w:r>
        <w:rPr>
          <w:rFonts w:ascii="Arial" w:hAnsi="Arial"/>
          <w:b/>
          <w:sz w:val="21"/>
        </w:rPr>
        <w:t>Line</w:t>
      </w:r>
      <w:r>
        <w:rPr>
          <w:rFonts w:ascii="Arial" w:hAnsi="Arial"/>
          <w:b/>
          <w:spacing w:val="-4"/>
          <w:sz w:val="21"/>
        </w:rPr>
        <w:t xml:space="preserve"> </w:t>
      </w:r>
      <w:r>
        <w:rPr>
          <w:rFonts w:ascii="Arial" w:hAnsi="Arial"/>
          <w:b/>
          <w:sz w:val="21"/>
        </w:rPr>
        <w:t>9,</w:t>
      </w:r>
      <w:r>
        <w:rPr>
          <w:rFonts w:ascii="Arial" w:hAnsi="Arial"/>
          <w:b/>
          <w:spacing w:val="-4"/>
          <w:sz w:val="21"/>
        </w:rPr>
        <w:t xml:space="preserve"> </w:t>
      </w:r>
      <w:r>
        <w:rPr>
          <w:rFonts w:ascii="Arial" w:hAnsi="Arial"/>
          <w:b/>
          <w:sz w:val="21"/>
        </w:rPr>
        <w:t>columns</w:t>
      </w:r>
      <w:r>
        <w:rPr>
          <w:rFonts w:ascii="Arial" w:hAnsi="Arial"/>
          <w:b/>
          <w:spacing w:val="-4"/>
          <w:sz w:val="21"/>
        </w:rPr>
        <w:t xml:space="preserve"> </w:t>
      </w:r>
      <w:r>
        <w:rPr>
          <w:rFonts w:ascii="Arial" w:hAnsi="Arial"/>
          <w:b/>
          <w:sz w:val="21"/>
        </w:rPr>
        <w:t>g</w:t>
      </w:r>
      <w:r>
        <w:rPr>
          <w:rFonts w:ascii="Arial" w:hAnsi="Arial"/>
          <w:b/>
          <w:spacing w:val="-2"/>
          <w:sz w:val="21"/>
        </w:rPr>
        <w:t xml:space="preserve"> </w:t>
      </w:r>
      <w:r>
        <w:rPr>
          <w:rFonts w:ascii="Arial" w:hAnsi="Arial"/>
          <w:b/>
          <w:sz w:val="21"/>
        </w:rPr>
        <w:t>through</w:t>
      </w:r>
      <w:r>
        <w:rPr>
          <w:rFonts w:ascii="Arial" w:hAnsi="Arial"/>
          <w:b/>
          <w:spacing w:val="-3"/>
          <w:sz w:val="21"/>
        </w:rPr>
        <w:t xml:space="preserve"> </w:t>
      </w:r>
      <w:r>
        <w:rPr>
          <w:rFonts w:ascii="Arial" w:hAnsi="Arial"/>
          <w:b/>
          <w:sz w:val="21"/>
        </w:rPr>
        <w:t>o</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pacing w:val="-4"/>
          <w:sz w:val="21"/>
        </w:rPr>
        <w:t>Total</w:t>
      </w:r>
    </w:p>
    <w:p>
      <w:pPr>
        <w:pStyle w:val="BodyText"/>
        <w:spacing w:before="118"/>
        <w:ind w:left="440" w:right="979"/>
      </w:pPr>
      <w:r>
        <w:t>The</w:t>
      </w:r>
      <w:r>
        <w:rPr>
          <w:spacing w:val="-5"/>
        </w:rPr>
        <w:t xml:space="preserve"> </w:t>
      </w:r>
      <w:r>
        <w:t>values</w:t>
      </w:r>
      <w:r>
        <w:rPr>
          <w:spacing w:val="-3"/>
        </w:rPr>
        <w:t xml:space="preserve"> </w:t>
      </w:r>
      <w:r>
        <w:t>are</w:t>
      </w:r>
      <w:r>
        <w:rPr>
          <w:spacing w:val="-5"/>
        </w:rPr>
        <w:t xml:space="preserve"> </w:t>
      </w:r>
      <w:r>
        <w:t>calculated automatically</w:t>
      </w:r>
      <w:r>
        <w:rPr>
          <w:spacing w:val="-2"/>
        </w:rPr>
        <w:t xml:space="preserve"> </w:t>
      </w:r>
      <w:r>
        <w:t>in</w:t>
      </w:r>
      <w:r>
        <w:rPr>
          <w:spacing w:val="-3"/>
        </w:rPr>
        <w:t xml:space="preserve"> </w:t>
      </w:r>
      <w:r>
        <w:t>the</w:t>
      </w:r>
      <w:r>
        <w:rPr>
          <w:spacing w:val="-4"/>
        </w:rPr>
        <w:t xml:space="preserve"> </w:t>
      </w:r>
      <w:r>
        <w:t>BPT</w:t>
      </w:r>
      <w:r>
        <w:rPr>
          <w:spacing w:val="-2"/>
        </w:rPr>
        <w:t xml:space="preserve"> </w:t>
      </w:r>
      <w:r>
        <w:t>using</w:t>
      </w:r>
      <w:r>
        <w:rPr>
          <w:spacing w:val="-3"/>
        </w:rPr>
        <w:t xml:space="preserve"> </w:t>
      </w:r>
      <w:r>
        <w:t>values</w:t>
      </w:r>
      <w:r>
        <w:rPr>
          <w:spacing w:val="-3"/>
        </w:rPr>
        <w:t xml:space="preserve"> </w:t>
      </w:r>
      <w:r>
        <w:t>from</w:t>
      </w:r>
      <w:r>
        <w:rPr>
          <w:spacing w:val="-3"/>
        </w:rPr>
        <w:t xml:space="preserve"> </w:t>
      </w:r>
      <w:r>
        <w:t>lines</w:t>
      </w:r>
      <w:r>
        <w:rPr>
          <w:spacing w:val="-1"/>
        </w:rPr>
        <w:t xml:space="preserve"> </w:t>
      </w:r>
      <w:r>
        <w:t>5</w:t>
      </w:r>
      <w:r>
        <w:rPr>
          <w:spacing w:val="-3"/>
        </w:rPr>
        <w:t xml:space="preserve"> </w:t>
      </w:r>
      <w:r>
        <w:t>through</w:t>
      </w:r>
      <w:r>
        <w:rPr>
          <w:spacing w:val="-3"/>
        </w:rPr>
        <w:t xml:space="preserve"> </w:t>
      </w:r>
      <w:r>
        <w:t>8 for each column.</w:t>
      </w:r>
    </w:p>
    <w:p>
      <w:pPr>
        <w:pStyle w:val="BodyText"/>
        <w:spacing w:before="45"/>
        <w:ind w:left="0"/>
      </w:pPr>
    </w:p>
    <w:p>
      <w:pPr>
        <w:pStyle w:val="Heading2"/>
      </w:pPr>
      <w:bookmarkStart w:id="170" w:name="Section IV – IRA Part D Drug Projection"/>
      <w:bookmarkEnd w:id="170"/>
      <w:bookmarkStart w:id="171" w:name="_bookmark46"/>
      <w:bookmarkEnd w:id="171"/>
      <w:r>
        <w:rPr>
          <w:smallCaps/>
        </w:rPr>
        <w:t>Section</w:t>
      </w:r>
      <w:r>
        <w:rPr>
          <w:smallCaps/>
          <w:spacing w:val="-15"/>
        </w:rPr>
        <w:t xml:space="preserve"> </w:t>
      </w:r>
      <w:r>
        <w:rPr>
          <w:smallCaps/>
        </w:rPr>
        <w:t>IV</w:t>
      </w:r>
      <w:r>
        <w:rPr>
          <w:smallCaps/>
          <w:spacing w:val="-15"/>
        </w:rPr>
        <w:t xml:space="preserve"> </w:t>
      </w:r>
      <w:r>
        <w:rPr>
          <w:smallCaps/>
        </w:rPr>
        <w:t>–</w:t>
      </w:r>
      <w:r>
        <w:rPr>
          <w:smallCaps/>
          <w:spacing w:val="-15"/>
        </w:rPr>
        <w:t xml:space="preserve"> </w:t>
      </w:r>
      <w:r>
        <w:rPr>
          <w:smallCaps/>
        </w:rPr>
        <w:t>IRA</w:t>
      </w:r>
      <w:r>
        <w:rPr>
          <w:smallCaps/>
          <w:spacing w:val="-15"/>
        </w:rPr>
        <w:t xml:space="preserve"> </w:t>
      </w:r>
      <w:r>
        <w:rPr>
          <w:smallCaps/>
        </w:rPr>
        <w:t>Part</w:t>
      </w:r>
      <w:r>
        <w:rPr>
          <w:smallCaps/>
          <w:spacing w:val="-6"/>
        </w:rPr>
        <w:t xml:space="preserve"> </w:t>
      </w:r>
      <w:r>
        <w:rPr>
          <w:smallCaps/>
        </w:rPr>
        <w:t>D</w:t>
      </w:r>
      <w:r>
        <w:rPr>
          <w:smallCaps/>
          <w:spacing w:val="-15"/>
        </w:rPr>
        <w:t xml:space="preserve"> </w:t>
      </w:r>
      <w:r>
        <w:rPr>
          <w:smallCaps/>
        </w:rPr>
        <w:t>Drug</w:t>
      </w:r>
      <w:r>
        <w:rPr>
          <w:smallCaps/>
          <w:spacing w:val="-7"/>
        </w:rPr>
        <w:t xml:space="preserve"> </w:t>
      </w:r>
      <w:r>
        <w:rPr>
          <w:smallCaps/>
          <w:spacing w:val="-2"/>
        </w:rPr>
        <w:t>Projection</w:t>
      </w:r>
    </w:p>
    <w:p>
      <w:pPr>
        <w:pStyle w:val="BodyText"/>
        <w:spacing w:before="179"/>
        <w:ind w:left="440"/>
      </w:pPr>
      <w:r>
        <w:t>Section</w:t>
      </w:r>
      <w:r>
        <w:rPr>
          <w:spacing w:val="-4"/>
        </w:rPr>
        <w:t xml:space="preserve"> </w:t>
      </w:r>
      <w:r>
        <w:t>IV</w:t>
      </w:r>
      <w:r>
        <w:rPr>
          <w:spacing w:val="-3"/>
        </w:rPr>
        <w:t xml:space="preserve"> </w:t>
      </w:r>
      <w:r>
        <w:t>summarizes</w:t>
      </w:r>
      <w:r>
        <w:rPr>
          <w:spacing w:val="1"/>
        </w:rPr>
        <w:t xml:space="preserve"> </w:t>
      </w:r>
      <w:r>
        <w:t>components</w:t>
      </w:r>
      <w:r>
        <w:rPr>
          <w:spacing w:val="-1"/>
        </w:rPr>
        <w:t xml:space="preserve"> </w:t>
      </w:r>
      <w:r>
        <w:t>of</w:t>
      </w:r>
      <w:r>
        <w:rPr>
          <w:spacing w:val="2"/>
        </w:rPr>
        <w:t xml:space="preserve"> </w:t>
      </w:r>
      <w:r>
        <w:t>IRA</w:t>
      </w:r>
      <w:r>
        <w:rPr>
          <w:spacing w:val="-1"/>
        </w:rPr>
        <w:t xml:space="preserve"> </w:t>
      </w:r>
      <w:r>
        <w:t>Part</w:t>
      </w:r>
      <w:r>
        <w:rPr>
          <w:spacing w:val="1"/>
        </w:rPr>
        <w:t xml:space="preserve"> </w:t>
      </w:r>
      <w:r>
        <w:t>D</w:t>
      </w:r>
      <w:r>
        <w:rPr>
          <w:spacing w:val="-1"/>
        </w:rPr>
        <w:t xml:space="preserve"> </w:t>
      </w:r>
      <w:r>
        <w:t>Drug</w:t>
      </w:r>
      <w:r>
        <w:rPr>
          <w:spacing w:val="-1"/>
        </w:rPr>
        <w:t xml:space="preserve"> </w:t>
      </w:r>
      <w:r>
        <w:t>costs</w:t>
      </w:r>
      <w:r>
        <w:rPr>
          <w:spacing w:val="-1"/>
        </w:rPr>
        <w:t xml:space="preserve"> </w:t>
      </w:r>
      <w:r>
        <w:t>for</w:t>
      </w:r>
      <w:r>
        <w:rPr>
          <w:spacing w:val="-3"/>
        </w:rPr>
        <w:t xml:space="preserve"> </w:t>
      </w:r>
      <w:r>
        <w:t>the</w:t>
      </w:r>
      <w:r>
        <w:rPr>
          <w:spacing w:val="-1"/>
        </w:rPr>
        <w:t xml:space="preserve"> </w:t>
      </w:r>
      <w:r>
        <w:t>contract</w:t>
      </w:r>
      <w:r>
        <w:rPr>
          <w:spacing w:val="-1"/>
        </w:rPr>
        <w:t xml:space="preserve"> </w:t>
      </w:r>
      <w:r>
        <w:rPr>
          <w:spacing w:val="-2"/>
        </w:rPr>
        <w:t>period.</w:t>
      </w:r>
    </w:p>
    <w:p>
      <w:pPr>
        <w:spacing w:before="241"/>
        <w:ind w:left="440" w:right="0" w:firstLine="0"/>
        <w:jc w:val="left"/>
        <w:rPr>
          <w:rFonts w:ascii="Arial" w:hAnsi="Arial"/>
          <w:b/>
          <w:sz w:val="21"/>
        </w:rPr>
      </w:pPr>
      <w:bookmarkStart w:id="172" w:name="Line 1, columns d through f – Maximum Fa"/>
      <w:bookmarkEnd w:id="172"/>
      <w:r>
        <w:rPr>
          <w:rFonts w:ascii="Arial" w:hAnsi="Arial"/>
          <w:b/>
          <w:sz w:val="21"/>
        </w:rPr>
        <w:t>Line</w:t>
      </w:r>
      <w:r>
        <w:rPr>
          <w:rFonts w:ascii="Arial" w:hAnsi="Arial"/>
          <w:b/>
          <w:spacing w:val="-7"/>
          <w:sz w:val="21"/>
        </w:rPr>
        <w:t xml:space="preserve"> </w:t>
      </w:r>
      <w:r>
        <w:rPr>
          <w:rFonts w:ascii="Arial" w:hAnsi="Arial"/>
          <w:b/>
          <w:sz w:val="21"/>
        </w:rPr>
        <w:t>1,</w:t>
      </w:r>
      <w:r>
        <w:rPr>
          <w:rFonts w:ascii="Arial" w:hAnsi="Arial"/>
          <w:b/>
          <w:spacing w:val="-5"/>
          <w:sz w:val="21"/>
        </w:rPr>
        <w:t xml:space="preserve"> </w:t>
      </w:r>
      <w:r>
        <w:rPr>
          <w:rFonts w:ascii="Arial" w:hAnsi="Arial"/>
          <w:b/>
          <w:sz w:val="21"/>
        </w:rPr>
        <w:t>columns</w:t>
      </w:r>
      <w:r>
        <w:rPr>
          <w:rFonts w:ascii="Arial" w:hAnsi="Arial"/>
          <w:b/>
          <w:spacing w:val="-4"/>
          <w:sz w:val="21"/>
        </w:rPr>
        <w:t xml:space="preserve"> </w:t>
      </w:r>
      <w:r>
        <w:rPr>
          <w:rFonts w:ascii="Arial" w:hAnsi="Arial"/>
          <w:b/>
          <w:sz w:val="21"/>
        </w:rPr>
        <w:t>d</w:t>
      </w:r>
      <w:r>
        <w:rPr>
          <w:rFonts w:ascii="Arial" w:hAnsi="Arial"/>
          <w:b/>
          <w:spacing w:val="-3"/>
          <w:sz w:val="21"/>
        </w:rPr>
        <w:t xml:space="preserve"> </w:t>
      </w:r>
      <w:r>
        <w:rPr>
          <w:rFonts w:ascii="Arial" w:hAnsi="Arial"/>
          <w:b/>
          <w:sz w:val="21"/>
        </w:rPr>
        <w:t>through</w:t>
      </w:r>
      <w:r>
        <w:rPr>
          <w:rFonts w:ascii="Arial" w:hAnsi="Arial"/>
          <w:b/>
          <w:spacing w:val="-3"/>
          <w:sz w:val="21"/>
        </w:rPr>
        <w:t xml:space="preserve"> </w:t>
      </w:r>
      <w:r>
        <w:rPr>
          <w:rFonts w:ascii="Arial" w:hAnsi="Arial"/>
          <w:b/>
          <w:sz w:val="21"/>
        </w:rPr>
        <w:t>f</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Maximum</w:t>
      </w:r>
      <w:r>
        <w:rPr>
          <w:rFonts w:ascii="Arial" w:hAnsi="Arial"/>
          <w:b/>
          <w:spacing w:val="-4"/>
          <w:sz w:val="21"/>
        </w:rPr>
        <w:t xml:space="preserve"> </w:t>
      </w:r>
      <w:r>
        <w:rPr>
          <w:rFonts w:ascii="Arial" w:hAnsi="Arial"/>
          <w:b/>
          <w:sz w:val="21"/>
        </w:rPr>
        <w:t>Fair</w:t>
      </w:r>
      <w:r>
        <w:rPr>
          <w:rFonts w:ascii="Arial" w:hAnsi="Arial"/>
          <w:b/>
          <w:spacing w:val="-5"/>
          <w:sz w:val="21"/>
        </w:rPr>
        <w:t xml:space="preserve"> </w:t>
      </w:r>
      <w:r>
        <w:rPr>
          <w:rFonts w:ascii="Arial" w:hAnsi="Arial"/>
          <w:b/>
          <w:sz w:val="21"/>
        </w:rPr>
        <w:t>Price</w:t>
      </w:r>
      <w:r>
        <w:rPr>
          <w:rFonts w:ascii="Arial" w:hAnsi="Arial"/>
          <w:b/>
          <w:spacing w:val="-4"/>
          <w:sz w:val="21"/>
        </w:rPr>
        <w:t xml:space="preserve"> </w:t>
      </w:r>
      <w:r>
        <w:rPr>
          <w:rFonts w:ascii="Arial" w:hAnsi="Arial"/>
          <w:b/>
          <w:spacing w:val="-2"/>
          <w:sz w:val="21"/>
        </w:rPr>
        <w:t>Drugs</w:t>
      </w:r>
    </w:p>
    <w:p>
      <w:pPr>
        <w:pStyle w:val="BodyText"/>
        <w:spacing w:before="121"/>
        <w:ind w:left="440" w:right="918"/>
      </w:pPr>
      <w:r>
        <w:t>The Maximum Fair Price Drugs are defined as those drugs which were selected for negotiation for initial price applicability for CY2026. Enter the total number of scripts, total allowed dollars, and total cost sharing for the Maximum Fair Price Drugs for the projection</w:t>
      </w:r>
      <w:r>
        <w:rPr>
          <w:spacing w:val="-3"/>
        </w:rPr>
        <w:t xml:space="preserve"> </w:t>
      </w:r>
      <w:r>
        <w:t>period</w:t>
      </w:r>
      <w:r>
        <w:rPr>
          <w:spacing w:val="-3"/>
        </w:rPr>
        <w:t xml:space="preserve"> </w:t>
      </w:r>
      <w:r>
        <w:t>in</w:t>
      </w:r>
      <w:r>
        <w:rPr>
          <w:spacing w:val="-3"/>
        </w:rPr>
        <w:t xml:space="preserve"> </w:t>
      </w:r>
      <w:r>
        <w:t>these</w:t>
      </w:r>
      <w:r>
        <w:rPr>
          <w:spacing w:val="-2"/>
        </w:rPr>
        <w:t xml:space="preserve"> </w:t>
      </w:r>
      <w:r>
        <w:t>cells.</w:t>
      </w:r>
      <w:r>
        <w:rPr>
          <w:spacing w:val="-1"/>
        </w:rPr>
        <w:t xml:space="preserve"> </w:t>
      </w:r>
      <w:r>
        <w:t>The</w:t>
      </w:r>
      <w:r>
        <w:rPr>
          <w:spacing w:val="-5"/>
        </w:rPr>
        <w:t xml:space="preserve"> </w:t>
      </w:r>
      <w:r>
        <w:t>amounts</w:t>
      </w:r>
      <w:r>
        <w:rPr>
          <w:spacing w:val="-3"/>
        </w:rPr>
        <w:t xml:space="preserve"> </w:t>
      </w:r>
      <w:r>
        <w:t>entered</w:t>
      </w:r>
      <w:r>
        <w:rPr>
          <w:spacing w:val="-3"/>
        </w:rPr>
        <w:t xml:space="preserve"> </w:t>
      </w:r>
      <w:r>
        <w:t>in</w:t>
      </w:r>
      <w:r>
        <w:rPr>
          <w:spacing w:val="-3"/>
        </w:rPr>
        <w:t xml:space="preserve"> </w:t>
      </w:r>
      <w:r>
        <w:t>this</w:t>
      </w:r>
      <w:r>
        <w:rPr>
          <w:spacing w:val="-3"/>
        </w:rPr>
        <w:t xml:space="preserve"> </w:t>
      </w:r>
      <w:r>
        <w:t>section</w:t>
      </w:r>
      <w:r>
        <w:rPr>
          <w:spacing w:val="-3"/>
        </w:rPr>
        <w:t xml:space="preserve"> </w:t>
      </w:r>
      <w:r>
        <w:t>are</w:t>
      </w:r>
      <w:r>
        <w:rPr>
          <w:spacing w:val="-5"/>
        </w:rPr>
        <w:t xml:space="preserve"> </w:t>
      </w:r>
      <w:r>
        <w:t>a</w:t>
      </w:r>
      <w:r>
        <w:rPr>
          <w:spacing w:val="-4"/>
        </w:rPr>
        <w:t xml:space="preserve"> </w:t>
      </w:r>
      <w:r>
        <w:t>subset</w:t>
      </w:r>
      <w:r>
        <w:rPr>
          <w:spacing w:val="-3"/>
        </w:rPr>
        <w:t xml:space="preserve"> </w:t>
      </w:r>
      <w:r>
        <w:t>of</w:t>
      </w:r>
      <w:r>
        <w:rPr>
          <w:spacing w:val="-3"/>
        </w:rPr>
        <w:t xml:space="preserve"> </w:t>
      </w:r>
      <w:r>
        <w:t>those entered in Section III.</w:t>
      </w:r>
    </w:p>
    <w:p>
      <w:pPr>
        <w:pStyle w:val="BodyText"/>
        <w:spacing w:before="45"/>
        <w:ind w:left="0"/>
      </w:pPr>
    </w:p>
    <w:p>
      <w:pPr>
        <w:pStyle w:val="Heading2"/>
      </w:pPr>
      <w:bookmarkStart w:id="173" w:name="Section V – Defined Standard Coverage Bi"/>
      <w:bookmarkEnd w:id="173"/>
      <w:bookmarkStart w:id="174" w:name="_bookmark47"/>
      <w:bookmarkEnd w:id="174"/>
      <w:r>
        <w:rPr>
          <w:smallCaps/>
        </w:rPr>
        <w:t>Section</w:t>
      </w:r>
      <w:r>
        <w:rPr>
          <w:smallCaps/>
          <w:spacing w:val="-15"/>
        </w:rPr>
        <w:t xml:space="preserve"> </w:t>
      </w:r>
      <w:r>
        <w:rPr>
          <w:smallCaps/>
        </w:rPr>
        <w:t>V</w:t>
      </w:r>
      <w:r>
        <w:rPr>
          <w:smallCaps/>
          <w:spacing w:val="-15"/>
        </w:rPr>
        <w:t xml:space="preserve"> </w:t>
      </w:r>
      <w:r>
        <w:rPr>
          <w:smallCaps/>
        </w:rPr>
        <w:t>–</w:t>
      </w:r>
      <w:r>
        <w:rPr>
          <w:smallCaps/>
          <w:spacing w:val="-15"/>
        </w:rPr>
        <w:t xml:space="preserve"> </w:t>
      </w:r>
      <w:r>
        <w:rPr>
          <w:smallCaps/>
        </w:rPr>
        <w:t>Defined</w:t>
      </w:r>
      <w:r>
        <w:rPr>
          <w:smallCaps/>
          <w:spacing w:val="-11"/>
        </w:rPr>
        <w:t xml:space="preserve"> </w:t>
      </w:r>
      <w:r>
        <w:rPr>
          <w:smallCaps/>
        </w:rPr>
        <w:t>Standard</w:t>
      </w:r>
      <w:r>
        <w:rPr>
          <w:smallCaps/>
          <w:spacing w:val="-6"/>
        </w:rPr>
        <w:t xml:space="preserve"> </w:t>
      </w:r>
      <w:r>
        <w:rPr>
          <w:smallCaps/>
        </w:rPr>
        <w:t>Coverage</w:t>
      </w:r>
      <w:r>
        <w:rPr>
          <w:smallCaps/>
          <w:spacing w:val="-7"/>
        </w:rPr>
        <w:t xml:space="preserve"> </w:t>
      </w:r>
      <w:r>
        <w:rPr>
          <w:smallCaps/>
        </w:rPr>
        <w:t>Bid</w:t>
      </w:r>
      <w:r>
        <w:rPr>
          <w:smallCaps/>
          <w:spacing w:val="-7"/>
        </w:rPr>
        <w:t xml:space="preserve"> </w:t>
      </w:r>
      <w:r>
        <w:rPr>
          <w:smallCaps/>
          <w:spacing w:val="-2"/>
        </w:rPr>
        <w:t>Development</w:t>
      </w:r>
    </w:p>
    <w:p>
      <w:pPr>
        <w:pStyle w:val="BodyText"/>
        <w:spacing w:before="179"/>
        <w:ind w:left="440"/>
      </w:pPr>
      <w:r>
        <w:t>Section</w:t>
      </w:r>
      <w:r>
        <w:rPr>
          <w:spacing w:val="-3"/>
        </w:rPr>
        <w:t xml:space="preserve"> </w:t>
      </w:r>
      <w:r>
        <w:t>V</w:t>
      </w:r>
      <w:r>
        <w:rPr>
          <w:spacing w:val="-1"/>
        </w:rPr>
        <w:t xml:space="preserve"> </w:t>
      </w:r>
      <w:r>
        <w:t>summarizes the</w:t>
      </w:r>
      <w:r>
        <w:rPr>
          <w:spacing w:val="-2"/>
        </w:rPr>
        <w:t xml:space="preserve"> </w:t>
      </w:r>
      <w:r>
        <w:t>components of</w:t>
      </w:r>
      <w:r>
        <w:rPr>
          <w:spacing w:val="-1"/>
        </w:rPr>
        <w:t xml:space="preserve"> </w:t>
      </w:r>
      <w:r>
        <w:t>the</w:t>
      </w:r>
      <w:r>
        <w:rPr>
          <w:spacing w:val="-2"/>
        </w:rPr>
        <w:t xml:space="preserve"> </w:t>
      </w:r>
      <w:r>
        <w:t>defined standard</w:t>
      </w:r>
      <w:r>
        <w:rPr>
          <w:spacing w:val="-1"/>
        </w:rPr>
        <w:t xml:space="preserve"> </w:t>
      </w:r>
      <w:r>
        <w:t xml:space="preserve">bid </w:t>
      </w:r>
      <w:r>
        <w:rPr>
          <w:spacing w:val="-2"/>
        </w:rPr>
        <w:t>amount.</w:t>
      </w:r>
    </w:p>
    <w:p>
      <w:pPr>
        <w:spacing w:before="241"/>
        <w:ind w:left="440" w:right="0" w:firstLine="0"/>
        <w:jc w:val="left"/>
        <w:rPr>
          <w:rFonts w:ascii="Arial"/>
          <w:b/>
          <w:sz w:val="21"/>
        </w:rPr>
      </w:pPr>
      <w:bookmarkStart w:id="175" w:name="Lines 1 through 5, columns k and l"/>
      <w:bookmarkEnd w:id="175"/>
      <w:r>
        <w:rPr>
          <w:rFonts w:ascii="Arial"/>
          <w:b/>
          <w:sz w:val="21"/>
        </w:rPr>
        <w:t>Lines</w:t>
      </w:r>
      <w:r>
        <w:rPr>
          <w:rFonts w:ascii="Arial"/>
          <w:b/>
          <w:spacing w:val="-4"/>
          <w:sz w:val="21"/>
        </w:rPr>
        <w:t xml:space="preserve"> </w:t>
      </w:r>
      <w:r>
        <w:rPr>
          <w:rFonts w:ascii="Arial"/>
          <w:b/>
          <w:sz w:val="21"/>
        </w:rPr>
        <w:t>1</w:t>
      </w:r>
      <w:r>
        <w:rPr>
          <w:rFonts w:ascii="Arial"/>
          <w:b/>
          <w:spacing w:val="-4"/>
          <w:sz w:val="21"/>
        </w:rPr>
        <w:t xml:space="preserve"> </w:t>
      </w:r>
      <w:r>
        <w:rPr>
          <w:rFonts w:ascii="Arial"/>
          <w:b/>
          <w:sz w:val="21"/>
        </w:rPr>
        <w:t>through</w:t>
      </w:r>
      <w:r>
        <w:rPr>
          <w:rFonts w:ascii="Arial"/>
          <w:b/>
          <w:spacing w:val="-4"/>
          <w:sz w:val="21"/>
        </w:rPr>
        <w:t xml:space="preserve"> </w:t>
      </w:r>
      <w:r>
        <w:rPr>
          <w:rFonts w:ascii="Arial"/>
          <w:b/>
          <w:sz w:val="21"/>
        </w:rPr>
        <w:t>5,</w:t>
      </w:r>
      <w:r>
        <w:rPr>
          <w:rFonts w:ascii="Arial"/>
          <w:b/>
          <w:spacing w:val="-5"/>
          <w:sz w:val="21"/>
        </w:rPr>
        <w:t xml:space="preserve"> </w:t>
      </w:r>
      <w:r>
        <w:rPr>
          <w:rFonts w:ascii="Arial"/>
          <w:b/>
          <w:sz w:val="21"/>
        </w:rPr>
        <w:t>columns</w:t>
      </w:r>
      <w:r>
        <w:rPr>
          <w:rFonts w:ascii="Arial"/>
          <w:b/>
          <w:spacing w:val="-3"/>
          <w:sz w:val="21"/>
        </w:rPr>
        <w:t xml:space="preserve"> </w:t>
      </w:r>
      <w:r>
        <w:rPr>
          <w:rFonts w:ascii="Arial"/>
          <w:b/>
          <w:sz w:val="21"/>
        </w:rPr>
        <w:t>k</w:t>
      </w:r>
      <w:r>
        <w:rPr>
          <w:rFonts w:ascii="Arial"/>
          <w:b/>
          <w:spacing w:val="-4"/>
          <w:sz w:val="21"/>
        </w:rPr>
        <w:t xml:space="preserve"> </w:t>
      </w:r>
      <w:r>
        <w:rPr>
          <w:rFonts w:ascii="Arial"/>
          <w:b/>
          <w:sz w:val="21"/>
        </w:rPr>
        <w:t>and</w:t>
      </w:r>
      <w:r>
        <w:rPr>
          <w:rFonts w:ascii="Arial"/>
          <w:b/>
          <w:spacing w:val="-3"/>
          <w:sz w:val="21"/>
        </w:rPr>
        <w:t xml:space="preserve"> </w:t>
      </w:r>
      <w:r>
        <w:rPr>
          <w:rFonts w:ascii="Arial"/>
          <w:b/>
          <w:spacing w:val="-10"/>
          <w:sz w:val="21"/>
        </w:rPr>
        <w:t>l</w:t>
      </w:r>
    </w:p>
    <w:p>
      <w:pPr>
        <w:pStyle w:val="BodyText"/>
        <w:spacing w:before="118"/>
        <w:ind w:left="440"/>
      </w:pPr>
      <w:r>
        <w:t>The</w:t>
      </w:r>
      <w:r>
        <w:rPr>
          <w:spacing w:val="-3"/>
        </w:rPr>
        <w:t xml:space="preserve"> </w:t>
      </w:r>
      <w:r>
        <w:t>values</w:t>
      </w:r>
      <w:r>
        <w:rPr>
          <w:spacing w:val="-1"/>
        </w:rPr>
        <w:t xml:space="preserve"> </w:t>
      </w:r>
      <w:r>
        <w:t>are</w:t>
      </w:r>
      <w:r>
        <w:rPr>
          <w:spacing w:val="-2"/>
        </w:rPr>
        <w:t xml:space="preserve"> </w:t>
      </w:r>
      <w:r>
        <w:t>calculated automatically in</w:t>
      </w:r>
      <w:r>
        <w:rPr>
          <w:spacing w:val="-1"/>
        </w:rPr>
        <w:t xml:space="preserve"> </w:t>
      </w:r>
      <w:r>
        <w:t>the</w:t>
      </w:r>
      <w:r>
        <w:rPr>
          <w:spacing w:val="-1"/>
        </w:rPr>
        <w:t xml:space="preserve"> </w:t>
      </w:r>
      <w:r>
        <w:t>BPT</w:t>
      </w:r>
      <w:r>
        <w:rPr>
          <w:spacing w:val="-1"/>
        </w:rPr>
        <w:t xml:space="preserve"> </w:t>
      </w:r>
      <w:r>
        <w:t>using</w:t>
      </w:r>
      <w:r>
        <w:rPr>
          <w:spacing w:val="-1"/>
        </w:rPr>
        <w:t xml:space="preserve"> </w:t>
      </w:r>
      <w:r>
        <w:t>values in</w:t>
      </w:r>
      <w:r>
        <w:rPr>
          <w:spacing w:val="-1"/>
        </w:rPr>
        <w:t xml:space="preserve"> </w:t>
      </w:r>
      <w:r>
        <w:t>Worksheets 2</w:t>
      </w:r>
      <w:r>
        <w:rPr>
          <w:spacing w:val="-1"/>
        </w:rPr>
        <w:t xml:space="preserve"> </w:t>
      </w:r>
      <w:r>
        <w:t xml:space="preserve">and </w:t>
      </w:r>
      <w:r>
        <w:rPr>
          <w:spacing w:val="-5"/>
        </w:rPr>
        <w:t>3.</w:t>
      </w:r>
    </w:p>
    <w:p>
      <w:pPr>
        <w:spacing w:after="0"/>
        <w:sectPr>
          <w:pgSz w:w="12240" w:h="15840"/>
          <w:pgMar w:top="1340" w:right="1000" w:bottom="1080" w:left="1360" w:header="727" w:footer="891"/>
          <w:cols w:space="720"/>
        </w:sectPr>
      </w:pPr>
    </w:p>
    <w:p>
      <w:pPr>
        <w:spacing w:before="207" w:line="322" w:lineRule="exact"/>
        <w:ind w:left="440" w:right="0" w:firstLine="0"/>
        <w:jc w:val="left"/>
        <w:rPr>
          <w:rFonts w:ascii="Arial" w:hAnsi="Arial"/>
          <w:b/>
          <w:sz w:val="28"/>
        </w:rPr>
      </w:pPr>
      <w:bookmarkStart w:id="176" w:name="PD Worksheet 4 – Rx Standard Coverage wi"/>
      <w:bookmarkEnd w:id="176"/>
      <w:bookmarkStart w:id="177" w:name="_bookmark48"/>
      <w:bookmarkEnd w:id="177"/>
      <w:r>
        <w:rPr>
          <w:rFonts w:ascii="Arial" w:hAnsi="Arial"/>
          <w:b/>
          <w:sz w:val="28"/>
        </w:rPr>
        <w:t>PD</w:t>
      </w:r>
      <w:r>
        <w:rPr>
          <w:rFonts w:ascii="Arial" w:hAnsi="Arial"/>
          <w:b/>
          <w:spacing w:val="-5"/>
          <w:sz w:val="28"/>
        </w:rPr>
        <w:t xml:space="preserve"> </w:t>
      </w:r>
      <w:r>
        <w:rPr>
          <w:rFonts w:ascii="Arial" w:hAnsi="Arial"/>
          <w:b/>
          <w:sz w:val="28"/>
        </w:rPr>
        <w:t>WORKSHEET</w:t>
      </w:r>
      <w:r>
        <w:rPr>
          <w:rFonts w:ascii="Arial" w:hAnsi="Arial"/>
          <w:b/>
          <w:spacing w:val="-6"/>
          <w:sz w:val="28"/>
        </w:rPr>
        <w:t xml:space="preserve"> </w:t>
      </w:r>
      <w:r>
        <w:rPr>
          <w:rFonts w:ascii="Arial" w:hAnsi="Arial"/>
          <w:b/>
          <w:sz w:val="28"/>
        </w:rPr>
        <w:t>4</w:t>
      </w:r>
      <w:r>
        <w:rPr>
          <w:rFonts w:ascii="Arial" w:hAnsi="Arial"/>
          <w:b/>
          <w:spacing w:val="-3"/>
          <w:sz w:val="28"/>
        </w:rPr>
        <w:t xml:space="preserve"> </w:t>
      </w:r>
      <w:r>
        <w:rPr>
          <w:rFonts w:ascii="Arial" w:hAnsi="Arial"/>
          <w:b/>
          <w:sz w:val="28"/>
        </w:rPr>
        <w:t>–</w:t>
      </w:r>
      <w:r>
        <w:rPr>
          <w:rFonts w:ascii="Arial" w:hAnsi="Arial"/>
          <w:b/>
          <w:spacing w:val="-7"/>
          <w:sz w:val="28"/>
        </w:rPr>
        <w:t xml:space="preserve"> </w:t>
      </w:r>
      <w:r>
        <w:rPr>
          <w:rFonts w:ascii="Arial" w:hAnsi="Arial"/>
          <w:b/>
          <w:sz w:val="28"/>
        </w:rPr>
        <w:t>RX</w:t>
      </w:r>
      <w:r>
        <w:rPr>
          <w:rFonts w:ascii="Arial" w:hAnsi="Arial"/>
          <w:b/>
          <w:spacing w:val="-6"/>
          <w:sz w:val="28"/>
        </w:rPr>
        <w:t xml:space="preserve"> </w:t>
      </w:r>
      <w:r>
        <w:rPr>
          <w:rFonts w:ascii="Arial" w:hAnsi="Arial"/>
          <w:b/>
          <w:sz w:val="28"/>
        </w:rPr>
        <w:t>STANDARD</w:t>
      </w:r>
      <w:r>
        <w:rPr>
          <w:rFonts w:ascii="Arial" w:hAnsi="Arial"/>
          <w:b/>
          <w:spacing w:val="-6"/>
          <w:sz w:val="28"/>
        </w:rPr>
        <w:t xml:space="preserve"> </w:t>
      </w:r>
      <w:r>
        <w:rPr>
          <w:rFonts w:ascii="Arial" w:hAnsi="Arial"/>
          <w:b/>
          <w:sz w:val="28"/>
        </w:rPr>
        <w:t>COVERAGE</w:t>
      </w:r>
      <w:r>
        <w:rPr>
          <w:rFonts w:ascii="Arial" w:hAnsi="Arial"/>
          <w:b/>
          <w:spacing w:val="-3"/>
          <w:sz w:val="28"/>
        </w:rPr>
        <w:t xml:space="preserve"> </w:t>
      </w:r>
      <w:r>
        <w:rPr>
          <w:rFonts w:ascii="Arial" w:hAnsi="Arial"/>
          <w:b/>
          <w:spacing w:val="-4"/>
          <w:sz w:val="28"/>
        </w:rPr>
        <w:t>WITH</w:t>
      </w:r>
    </w:p>
    <w:p>
      <w:pPr>
        <w:tabs>
          <w:tab w:val="left" w:pos="9110"/>
        </w:tabs>
        <w:spacing w:before="0"/>
        <w:ind w:left="411" w:right="0" w:firstLine="0"/>
        <w:jc w:val="left"/>
        <w:rPr>
          <w:rFonts w:ascii="Arial"/>
          <w:b/>
          <w:sz w:val="28"/>
        </w:rPr>
      </w:pPr>
      <w:r>
        <w:rPr>
          <w:rFonts w:ascii="Arial"/>
          <w:b/>
          <w:spacing w:val="-52"/>
          <w:sz w:val="28"/>
          <w:u w:val="single"/>
        </w:rPr>
        <w:t xml:space="preserve"> </w:t>
      </w:r>
      <w:r>
        <w:rPr>
          <w:rFonts w:ascii="Arial"/>
          <w:b/>
          <w:sz w:val="28"/>
          <w:u w:val="single"/>
        </w:rPr>
        <w:t>ACTUARIALLY</w:t>
      </w:r>
      <w:r>
        <w:rPr>
          <w:rFonts w:ascii="Arial"/>
          <w:b/>
          <w:spacing w:val="-14"/>
          <w:sz w:val="28"/>
          <w:u w:val="single"/>
        </w:rPr>
        <w:t xml:space="preserve"> </w:t>
      </w:r>
      <w:r>
        <w:rPr>
          <w:rFonts w:ascii="Arial"/>
          <w:b/>
          <w:sz w:val="28"/>
          <w:u w:val="single"/>
        </w:rPr>
        <w:t>EQUIVALENT</w:t>
      </w:r>
      <w:r>
        <w:rPr>
          <w:rFonts w:ascii="Arial"/>
          <w:b/>
          <w:spacing w:val="-10"/>
          <w:sz w:val="28"/>
          <w:u w:val="single"/>
        </w:rPr>
        <w:t xml:space="preserve"> </w:t>
      </w:r>
      <w:r>
        <w:rPr>
          <w:rFonts w:ascii="Arial"/>
          <w:b/>
          <w:sz w:val="28"/>
          <w:u w:val="single"/>
        </w:rPr>
        <w:t>COST</w:t>
      </w:r>
      <w:r>
        <w:rPr>
          <w:rFonts w:ascii="Arial"/>
          <w:b/>
          <w:spacing w:val="-8"/>
          <w:sz w:val="28"/>
          <w:u w:val="single"/>
        </w:rPr>
        <w:t xml:space="preserve"> </w:t>
      </w:r>
      <w:r>
        <w:rPr>
          <w:rFonts w:ascii="Arial"/>
          <w:b/>
          <w:spacing w:val="-2"/>
          <w:sz w:val="28"/>
          <w:u w:val="single"/>
        </w:rPr>
        <w:t>SHARING</w:t>
      </w:r>
      <w:r>
        <w:rPr>
          <w:rFonts w:ascii="Arial"/>
          <w:b/>
          <w:sz w:val="28"/>
          <w:u w:val="single"/>
        </w:rPr>
        <w:tab/>
      </w:r>
    </w:p>
    <w:p>
      <w:pPr>
        <w:pStyle w:val="BodyText"/>
        <w:spacing w:before="270"/>
        <w:ind w:left="440" w:right="979"/>
      </w:pPr>
      <w:r>
        <w:t>Worksheet</w:t>
      </w:r>
      <w:r>
        <w:rPr>
          <w:spacing w:val="-4"/>
        </w:rPr>
        <w:t xml:space="preserve"> </w:t>
      </w:r>
      <w:r>
        <w:t>4</w:t>
      </w:r>
      <w:r>
        <w:rPr>
          <w:spacing w:val="-4"/>
        </w:rPr>
        <w:t xml:space="preserve"> </w:t>
      </w:r>
      <w:r>
        <w:t>must</w:t>
      </w:r>
      <w:r>
        <w:rPr>
          <w:spacing w:val="-4"/>
        </w:rPr>
        <w:t xml:space="preserve"> </w:t>
      </w:r>
      <w:r>
        <w:t>be</w:t>
      </w:r>
      <w:r>
        <w:rPr>
          <w:spacing w:val="-5"/>
        </w:rPr>
        <w:t xml:space="preserve"> </w:t>
      </w:r>
      <w:r>
        <w:t>completed</w:t>
      </w:r>
      <w:r>
        <w:rPr>
          <w:spacing w:val="-4"/>
        </w:rPr>
        <w:t xml:space="preserve"> </w:t>
      </w:r>
      <w:r>
        <w:t>when</w:t>
      </w:r>
      <w:r>
        <w:rPr>
          <w:spacing w:val="-4"/>
        </w:rPr>
        <w:t xml:space="preserve"> </w:t>
      </w:r>
      <w:r>
        <w:t>the</w:t>
      </w:r>
      <w:r>
        <w:rPr>
          <w:spacing w:val="-4"/>
        </w:rPr>
        <w:t xml:space="preserve"> </w:t>
      </w:r>
      <w:r>
        <w:t>plan</w:t>
      </w:r>
      <w:r>
        <w:rPr>
          <w:spacing w:val="-4"/>
        </w:rPr>
        <w:t xml:space="preserve"> </w:t>
      </w:r>
      <w:r>
        <w:t>benefit</w:t>
      </w:r>
      <w:r>
        <w:rPr>
          <w:spacing w:val="-4"/>
        </w:rPr>
        <w:t xml:space="preserve"> </w:t>
      </w:r>
      <w:r>
        <w:t>type</w:t>
      </w:r>
      <w:r>
        <w:rPr>
          <w:spacing w:val="-5"/>
        </w:rPr>
        <w:t xml:space="preserve"> </w:t>
      </w:r>
      <w:r>
        <w:t>is</w:t>
      </w:r>
      <w:r>
        <w:rPr>
          <w:spacing w:val="-4"/>
        </w:rPr>
        <w:t xml:space="preserve"> </w:t>
      </w:r>
      <w:r>
        <w:t>Actuarially</w:t>
      </w:r>
      <w:r>
        <w:rPr>
          <w:spacing w:val="-4"/>
        </w:rPr>
        <w:t xml:space="preserve"> </w:t>
      </w:r>
      <w:r>
        <w:t>Equivalent (AE). The test that must be satisfied to demonstrate actuarial equivalence is:</w:t>
      </w:r>
    </w:p>
    <w:p>
      <w:pPr>
        <w:pStyle w:val="ListParagraph"/>
        <w:numPr>
          <w:ilvl w:val="0"/>
          <w:numId w:val="7"/>
        </w:numPr>
        <w:tabs>
          <w:tab w:val="left" w:pos="1160"/>
        </w:tabs>
        <w:spacing w:before="120" w:after="0" w:line="240" w:lineRule="auto"/>
        <w:ind w:left="1160" w:right="990" w:hanging="360"/>
        <w:jc w:val="left"/>
        <w:rPr>
          <w:sz w:val="24"/>
        </w:rPr>
      </w:pPr>
      <w:r>
        <w:rPr>
          <w:sz w:val="24"/>
        </w:rPr>
        <w:t>The</w:t>
      </w:r>
      <w:r>
        <w:rPr>
          <w:spacing w:val="-6"/>
          <w:sz w:val="24"/>
        </w:rPr>
        <w:t xml:space="preserve"> </w:t>
      </w:r>
      <w:r>
        <w:rPr>
          <w:sz w:val="24"/>
        </w:rPr>
        <w:t>average</w:t>
      </w:r>
      <w:r>
        <w:rPr>
          <w:spacing w:val="-3"/>
          <w:sz w:val="24"/>
        </w:rPr>
        <w:t xml:space="preserve"> </w:t>
      </w:r>
      <w:r>
        <w:rPr>
          <w:sz w:val="24"/>
        </w:rPr>
        <w:t>coinsurance</w:t>
      </w:r>
      <w:r>
        <w:rPr>
          <w:spacing w:val="-3"/>
          <w:sz w:val="24"/>
        </w:rPr>
        <w:t xml:space="preserve"> </w:t>
      </w:r>
      <w:r>
        <w:rPr>
          <w:sz w:val="24"/>
        </w:rPr>
        <w:t>percentage</w:t>
      </w:r>
      <w:r>
        <w:rPr>
          <w:spacing w:val="-5"/>
          <w:sz w:val="24"/>
        </w:rPr>
        <w:t xml:space="preserve"> </w:t>
      </w:r>
      <w:r>
        <w:rPr>
          <w:sz w:val="24"/>
        </w:rPr>
        <w:t>for</w:t>
      </w:r>
      <w:r>
        <w:rPr>
          <w:spacing w:val="-4"/>
          <w:sz w:val="24"/>
        </w:rPr>
        <w:t xml:space="preserve"> </w:t>
      </w:r>
      <w:r>
        <w:rPr>
          <w:sz w:val="24"/>
        </w:rPr>
        <w:t>amounts</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deductible</w:t>
      </w:r>
      <w:r>
        <w:rPr>
          <w:spacing w:val="-4"/>
          <w:sz w:val="24"/>
        </w:rPr>
        <w:t xml:space="preserve"> </w:t>
      </w:r>
      <w:r>
        <w:rPr>
          <w:sz w:val="24"/>
        </w:rPr>
        <w:t>and</w:t>
      </w:r>
      <w:r>
        <w:rPr>
          <w:spacing w:val="-4"/>
          <w:sz w:val="24"/>
        </w:rPr>
        <w:t xml:space="preserve"> </w:t>
      </w:r>
      <w:r>
        <w:rPr>
          <w:sz w:val="24"/>
        </w:rPr>
        <w:t>the catastrophic threshold must be actuarially equivalent to 25 percent.</w:t>
      </w:r>
    </w:p>
    <w:p>
      <w:pPr>
        <w:pStyle w:val="BodyText"/>
        <w:spacing w:before="45"/>
        <w:ind w:left="0"/>
      </w:pPr>
    </w:p>
    <w:p>
      <w:pPr>
        <w:pStyle w:val="Heading2"/>
      </w:pPr>
      <w:bookmarkStart w:id="178" w:name="Considerations for Actuarially Equivalen"/>
      <w:bookmarkEnd w:id="178"/>
      <w:bookmarkStart w:id="179" w:name="_bookmark49"/>
      <w:bookmarkEnd w:id="179"/>
      <w:r>
        <w:rPr>
          <w:smallCaps/>
        </w:rPr>
        <w:t>Considerations</w:t>
      </w:r>
      <w:r>
        <w:rPr>
          <w:smallCaps/>
          <w:spacing w:val="-14"/>
        </w:rPr>
        <w:t xml:space="preserve"> </w:t>
      </w:r>
      <w:r>
        <w:rPr>
          <w:smallCaps/>
        </w:rPr>
        <w:t>for</w:t>
      </w:r>
      <w:r>
        <w:rPr>
          <w:smallCaps/>
          <w:spacing w:val="-13"/>
        </w:rPr>
        <w:t xml:space="preserve"> </w:t>
      </w:r>
      <w:r>
        <w:rPr>
          <w:smallCaps/>
        </w:rPr>
        <w:t>Actuarially</w:t>
      </w:r>
      <w:r>
        <w:rPr>
          <w:smallCaps/>
          <w:spacing w:val="-12"/>
        </w:rPr>
        <w:t xml:space="preserve"> </w:t>
      </w:r>
      <w:r>
        <w:rPr>
          <w:smallCaps/>
        </w:rPr>
        <w:t>Equivalent</w:t>
      </w:r>
      <w:r>
        <w:rPr>
          <w:smallCaps/>
          <w:spacing w:val="-9"/>
        </w:rPr>
        <w:t xml:space="preserve"> </w:t>
      </w:r>
      <w:r>
        <w:rPr>
          <w:smallCaps/>
          <w:spacing w:val="-2"/>
        </w:rPr>
        <w:t>Coverage</w:t>
      </w:r>
    </w:p>
    <w:p>
      <w:pPr>
        <w:pStyle w:val="BodyText"/>
        <w:spacing w:before="180"/>
        <w:ind w:left="440" w:right="842"/>
      </w:pPr>
      <w:r>
        <w:t>Although the average cost sharing between the deductible and catastrophic threshold must</w:t>
      </w:r>
      <w:r>
        <w:rPr>
          <w:spacing w:val="-3"/>
        </w:rPr>
        <w:t xml:space="preserve"> </w:t>
      </w:r>
      <w:r>
        <w:t>be</w:t>
      </w:r>
      <w:r>
        <w:rPr>
          <w:spacing w:val="-4"/>
        </w:rPr>
        <w:t xml:space="preserve"> </w:t>
      </w:r>
      <w:r>
        <w:t>25</w:t>
      </w:r>
      <w:r>
        <w:rPr>
          <w:spacing w:val="-3"/>
        </w:rPr>
        <w:t xml:space="preserve"> </w:t>
      </w:r>
      <w:r>
        <w:t>percent</w:t>
      </w:r>
      <w:r>
        <w:rPr>
          <w:spacing w:val="-3"/>
        </w:rPr>
        <w:t xml:space="preserve"> </w:t>
      </w:r>
      <w:r>
        <w:t>for</w:t>
      </w:r>
      <w:r>
        <w:rPr>
          <w:spacing w:val="-3"/>
        </w:rPr>
        <w:t xml:space="preserve"> </w:t>
      </w:r>
      <w:r>
        <w:t>an</w:t>
      </w:r>
      <w:r>
        <w:rPr>
          <w:spacing w:val="-1"/>
        </w:rPr>
        <w:t xml:space="preserve"> </w:t>
      </w:r>
      <w:r>
        <w:t>AE</w:t>
      </w:r>
      <w:r>
        <w:rPr>
          <w:spacing w:val="-4"/>
        </w:rPr>
        <w:t xml:space="preserve"> </w:t>
      </w:r>
      <w:r>
        <w:t>plan,</w:t>
      </w:r>
      <w:r>
        <w:rPr>
          <w:spacing w:val="-3"/>
        </w:rPr>
        <w:t xml:space="preserve"> </w:t>
      </w:r>
      <w:r>
        <w:t>it</w:t>
      </w:r>
      <w:r>
        <w:rPr>
          <w:spacing w:val="-3"/>
        </w:rPr>
        <w:t xml:space="preserve"> </w:t>
      </w:r>
      <w:r>
        <w:t>is</w:t>
      </w:r>
      <w:r>
        <w:rPr>
          <w:spacing w:val="-3"/>
        </w:rPr>
        <w:t xml:space="preserve"> </w:t>
      </w:r>
      <w:r>
        <w:t>expected</w:t>
      </w:r>
      <w:r>
        <w:rPr>
          <w:spacing w:val="-3"/>
        </w:rPr>
        <w:t xml:space="preserve"> </w:t>
      </w:r>
      <w:r>
        <w:t>that</w:t>
      </w:r>
      <w:r>
        <w:rPr>
          <w:spacing w:val="-3"/>
        </w:rPr>
        <w:t xml:space="preserve"> </w:t>
      </w:r>
      <w:r>
        <w:t>the</w:t>
      </w:r>
      <w:r>
        <w:rPr>
          <w:spacing w:val="-4"/>
        </w:rPr>
        <w:t xml:space="preserve"> </w:t>
      </w:r>
      <w:r>
        <w:t>cost</w:t>
      </w:r>
      <w:r>
        <w:rPr>
          <w:spacing w:val="-3"/>
        </w:rPr>
        <w:t xml:space="preserve"> </w:t>
      </w:r>
      <w:r>
        <w:t>sharing</w:t>
      </w:r>
      <w:r>
        <w:rPr>
          <w:spacing w:val="-3"/>
        </w:rPr>
        <w:t xml:space="preserve"> </w:t>
      </w:r>
      <w:r>
        <w:t>will</w:t>
      </w:r>
      <w:r>
        <w:rPr>
          <w:spacing w:val="-3"/>
        </w:rPr>
        <w:t xml:space="preserve"> </w:t>
      </w:r>
      <w:r>
        <w:t>be</w:t>
      </w:r>
      <w:r>
        <w:rPr>
          <w:spacing w:val="-3"/>
        </w:rPr>
        <w:t xml:space="preserve"> </w:t>
      </w:r>
      <w:r>
        <w:t>restructured to encourage more efficient drug use through tiered copays and/or coinsurance. As compared</w:t>
      </w:r>
      <w:r>
        <w:rPr>
          <w:spacing w:val="-3"/>
        </w:rPr>
        <w:t xml:space="preserve"> </w:t>
      </w:r>
      <w:r>
        <w:t>to</w:t>
      </w:r>
      <w:r>
        <w:rPr>
          <w:spacing w:val="-3"/>
        </w:rPr>
        <w:t xml:space="preserve"> </w:t>
      </w:r>
      <w:r>
        <w:t>DS</w:t>
      </w:r>
      <w:r>
        <w:rPr>
          <w:spacing w:val="-3"/>
        </w:rPr>
        <w:t xml:space="preserve"> </w:t>
      </w:r>
      <w:r>
        <w:t>plans,</w:t>
      </w:r>
      <w:r>
        <w:rPr>
          <w:spacing w:val="-3"/>
        </w:rPr>
        <w:t xml:space="preserve"> </w:t>
      </w:r>
      <w:r>
        <w:t>AE</w:t>
      </w:r>
      <w:r>
        <w:rPr>
          <w:spacing w:val="-3"/>
        </w:rPr>
        <w:t xml:space="preserve"> </w:t>
      </w:r>
      <w:r>
        <w:t>plans</w:t>
      </w:r>
      <w:r>
        <w:rPr>
          <w:spacing w:val="-3"/>
        </w:rPr>
        <w:t xml:space="preserve"> </w:t>
      </w:r>
      <w:r>
        <w:t>generally</w:t>
      </w:r>
      <w:r>
        <w:rPr>
          <w:spacing w:val="-3"/>
        </w:rPr>
        <w:t xml:space="preserve"> </w:t>
      </w:r>
      <w:r>
        <w:t>have</w:t>
      </w:r>
      <w:r>
        <w:rPr>
          <w:spacing w:val="-4"/>
        </w:rPr>
        <w:t xml:space="preserve"> </w:t>
      </w:r>
      <w:r>
        <w:t>higher</w:t>
      </w:r>
      <w:r>
        <w:rPr>
          <w:spacing w:val="-3"/>
        </w:rPr>
        <w:t xml:space="preserve"> </w:t>
      </w:r>
      <w:r>
        <w:t>generic,</w:t>
      </w:r>
      <w:r>
        <w:rPr>
          <w:spacing w:val="-3"/>
        </w:rPr>
        <w:t xml:space="preserve"> </w:t>
      </w:r>
      <w:r>
        <w:t>preferred</w:t>
      </w:r>
      <w:r>
        <w:rPr>
          <w:spacing w:val="-3"/>
        </w:rPr>
        <w:t xml:space="preserve"> </w:t>
      </w:r>
      <w:r>
        <w:t>brand,</w:t>
      </w:r>
      <w:r>
        <w:rPr>
          <w:spacing w:val="-3"/>
        </w:rPr>
        <w:t xml:space="preserve"> </w:t>
      </w:r>
      <w:r>
        <w:t>and</w:t>
      </w:r>
      <w:r>
        <w:rPr>
          <w:spacing w:val="-3"/>
        </w:rPr>
        <w:t xml:space="preserve"> </w:t>
      </w:r>
      <w:r>
        <w:t>mail service utilization and lower non-preferred brand utilization.</w:t>
      </w:r>
    </w:p>
    <w:p>
      <w:pPr>
        <w:pStyle w:val="BodyText"/>
        <w:ind w:left="440" w:right="816"/>
      </w:pPr>
      <w:r>
        <w:t>Part D sponsors must model the differences between the AE benefit and the DS benefit</w:t>
      </w:r>
      <w:r>
        <w:rPr>
          <w:spacing w:val="40"/>
        </w:rPr>
        <w:t xml:space="preserve"> </w:t>
      </w:r>
      <w:r>
        <w:t>by making adjustments in utilization and average allowed amounts by type of drug and point-of-sale</w:t>
      </w:r>
      <w:r>
        <w:rPr>
          <w:spacing w:val="-4"/>
        </w:rPr>
        <w:t xml:space="preserve"> </w:t>
      </w:r>
      <w:r>
        <w:t>(retail</w:t>
      </w:r>
      <w:r>
        <w:rPr>
          <w:spacing w:val="-3"/>
        </w:rPr>
        <w:t xml:space="preserve"> </w:t>
      </w:r>
      <w:r>
        <w:t>or</w:t>
      </w:r>
      <w:r>
        <w:rPr>
          <w:spacing w:val="-3"/>
        </w:rPr>
        <w:t xml:space="preserve"> </w:t>
      </w:r>
      <w:r>
        <w:t>mail</w:t>
      </w:r>
      <w:r>
        <w:rPr>
          <w:spacing w:val="-3"/>
        </w:rPr>
        <w:t xml:space="preserve"> </w:t>
      </w:r>
      <w:r>
        <w:t>order</w:t>
      </w:r>
      <w:r>
        <w:rPr>
          <w:spacing w:val="-3"/>
        </w:rPr>
        <w:t xml:space="preserve"> </w:t>
      </w:r>
      <w:r>
        <w:t>as</w:t>
      </w:r>
      <w:r>
        <w:rPr>
          <w:spacing w:val="-3"/>
        </w:rPr>
        <w:t xml:space="preserve"> </w:t>
      </w:r>
      <w:r>
        <w:t>defined</w:t>
      </w:r>
      <w:r>
        <w:rPr>
          <w:spacing w:val="-3"/>
        </w:rPr>
        <w:t xml:space="preserve"> </w:t>
      </w:r>
      <w:r>
        <w:t>by</w:t>
      </w:r>
      <w:r>
        <w:rPr>
          <w:spacing w:val="-3"/>
        </w:rPr>
        <w:t xml:space="preserve"> </w:t>
      </w:r>
      <w:r>
        <w:t>the</w:t>
      </w:r>
      <w:r>
        <w:rPr>
          <w:spacing w:val="-4"/>
        </w:rPr>
        <w:t xml:space="preserve"> </w:t>
      </w:r>
      <w:r>
        <w:t>PBP)</w:t>
      </w:r>
      <w:r>
        <w:rPr>
          <w:spacing w:val="-1"/>
        </w:rPr>
        <w:t xml:space="preserve"> </w:t>
      </w:r>
      <w:r>
        <w:t>in</w:t>
      </w:r>
      <w:r>
        <w:rPr>
          <w:spacing w:val="-3"/>
        </w:rPr>
        <w:t xml:space="preserve"> </w:t>
      </w:r>
      <w:r>
        <w:t>Worksheet</w:t>
      </w:r>
      <w:r>
        <w:rPr>
          <w:spacing w:val="-3"/>
        </w:rPr>
        <w:t xml:space="preserve"> </w:t>
      </w:r>
      <w:r>
        <w:t>6.</w:t>
      </w:r>
      <w:r>
        <w:rPr>
          <w:spacing w:val="-1"/>
        </w:rPr>
        <w:t xml:space="preserve"> </w:t>
      </w:r>
      <w:r>
        <w:t>The</w:t>
      </w:r>
      <w:r>
        <w:rPr>
          <w:spacing w:val="-5"/>
        </w:rPr>
        <w:t xml:space="preserve"> </w:t>
      </w:r>
      <w:r>
        <w:t>distribution of</w:t>
      </w:r>
      <w:r>
        <w:rPr>
          <w:spacing w:val="-2"/>
        </w:rPr>
        <w:t xml:space="preserve"> </w:t>
      </w:r>
      <w:r>
        <w:t>utilization</w:t>
      </w:r>
      <w:r>
        <w:rPr>
          <w:spacing w:val="-2"/>
        </w:rPr>
        <w:t xml:space="preserve"> </w:t>
      </w:r>
      <w:r>
        <w:t>between</w:t>
      </w:r>
      <w:r>
        <w:rPr>
          <w:spacing w:val="-2"/>
        </w:rPr>
        <w:t xml:space="preserve"> </w:t>
      </w:r>
      <w:r>
        <w:t>generic</w:t>
      </w:r>
      <w:r>
        <w:rPr>
          <w:spacing w:val="-4"/>
        </w:rPr>
        <w:t xml:space="preserve"> </w:t>
      </w:r>
      <w:r>
        <w:t>and</w:t>
      </w:r>
      <w:r>
        <w:rPr>
          <w:spacing w:val="-2"/>
        </w:rPr>
        <w:t xml:space="preserve"> </w:t>
      </w:r>
      <w:r>
        <w:t>brand,</w:t>
      </w:r>
      <w:r>
        <w:rPr>
          <w:spacing w:val="-2"/>
        </w:rPr>
        <w:t xml:space="preserve"> </w:t>
      </w:r>
      <w:r>
        <w:t>and</w:t>
      </w:r>
      <w:r>
        <w:rPr>
          <w:spacing w:val="-2"/>
        </w:rPr>
        <w:t xml:space="preserve"> </w:t>
      </w:r>
      <w:r>
        <w:t>between</w:t>
      </w:r>
      <w:r>
        <w:rPr>
          <w:spacing w:val="-2"/>
        </w:rPr>
        <w:t xml:space="preserve"> </w:t>
      </w:r>
      <w:r>
        <w:t>retail</w:t>
      </w:r>
      <w:r>
        <w:rPr>
          <w:spacing w:val="-2"/>
        </w:rPr>
        <w:t xml:space="preserve"> </w:t>
      </w:r>
      <w:r>
        <w:t>and</w:t>
      </w:r>
      <w:r>
        <w:rPr>
          <w:spacing w:val="-2"/>
        </w:rPr>
        <w:t xml:space="preserve"> </w:t>
      </w:r>
      <w:r>
        <w:t>mail,</w:t>
      </w:r>
      <w:r>
        <w:rPr>
          <w:spacing w:val="-2"/>
        </w:rPr>
        <w:t xml:space="preserve"> </w:t>
      </w:r>
      <w:r>
        <w:t>must</w:t>
      </w:r>
      <w:r>
        <w:rPr>
          <w:spacing w:val="-2"/>
        </w:rPr>
        <w:t xml:space="preserve"> </w:t>
      </w:r>
      <w:r>
        <w:t>be</w:t>
      </w:r>
      <w:r>
        <w:rPr>
          <w:spacing w:val="-2"/>
        </w:rPr>
        <w:t xml:space="preserve"> </w:t>
      </w:r>
      <w:r>
        <w:t>reasonable given the proposed benefit. Significant changes to the benefit are expected to result in meaningful differences in utilization when compared to the DS bid.</w:t>
      </w:r>
    </w:p>
    <w:p>
      <w:pPr>
        <w:pStyle w:val="BodyText"/>
        <w:spacing w:before="45"/>
        <w:ind w:left="0"/>
      </w:pPr>
    </w:p>
    <w:p>
      <w:pPr>
        <w:pStyle w:val="Heading2"/>
        <w:spacing w:before="1"/>
      </w:pPr>
      <w:bookmarkStart w:id="180" w:name="_bookmark50"/>
      <w:bookmarkEnd w:id="180"/>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77"/>
        <w:ind w:left="440"/>
      </w:pPr>
      <w:r>
        <w:t>This</w:t>
      </w:r>
      <w:r>
        <w:rPr>
          <w:spacing w:val="-4"/>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2"/>
        </w:rPr>
        <w:t xml:space="preserve"> </w:t>
      </w:r>
      <w:r>
        <w:t>on</w:t>
      </w:r>
      <w:r>
        <w:rPr>
          <w:spacing w:val="1"/>
        </w:rPr>
        <w:t xml:space="preserve"> </w:t>
      </w:r>
      <w:r>
        <w:t>Worksheet</w:t>
      </w:r>
      <w:r>
        <w:rPr>
          <w:spacing w:val="-1"/>
        </w:rPr>
        <w:t xml:space="preserve"> </w:t>
      </w:r>
      <w:r>
        <w:t>1,</w:t>
      </w:r>
      <w:r>
        <w:rPr>
          <w:spacing w:val="-1"/>
        </w:rPr>
        <w:t xml:space="preserve"> </w:t>
      </w:r>
      <w:r>
        <w:t>Section</w:t>
      </w:r>
      <w:r>
        <w:rPr>
          <w:spacing w:val="-1"/>
        </w:rPr>
        <w:t xml:space="preserve"> </w:t>
      </w:r>
      <w:r>
        <w:rPr>
          <w:spacing w:val="-5"/>
        </w:rPr>
        <w:t>I.</w:t>
      </w:r>
    </w:p>
    <w:p>
      <w:pPr>
        <w:pStyle w:val="BodyText"/>
        <w:spacing w:before="45"/>
        <w:ind w:left="0"/>
      </w:pPr>
    </w:p>
    <w:p>
      <w:pPr>
        <w:pStyle w:val="Heading2"/>
      </w:pPr>
      <w:bookmarkStart w:id="181" w:name="_bookmark51"/>
      <w:bookmarkEnd w:id="181"/>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Projection</w:t>
      </w:r>
      <w:r>
        <w:rPr>
          <w:smallCaps/>
          <w:spacing w:val="-12"/>
        </w:rPr>
        <w:t xml:space="preserve"> </w:t>
      </w:r>
      <w:r>
        <w:rPr>
          <w:smallCaps/>
          <w:spacing w:val="-4"/>
        </w:rPr>
        <w:t>Data</w:t>
      </w:r>
    </w:p>
    <w:p>
      <w:pPr>
        <w:pStyle w:val="BodyText"/>
        <w:spacing w:before="179"/>
        <w:ind w:left="440"/>
      </w:pPr>
      <w:r>
        <w:t>This</w:t>
      </w:r>
      <w:r>
        <w:rPr>
          <w:spacing w:val="-2"/>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1"/>
        </w:rPr>
        <w:t xml:space="preserve"> </w:t>
      </w:r>
      <w:r>
        <w:t>on</w:t>
      </w:r>
      <w:r>
        <w:rPr>
          <w:spacing w:val="2"/>
        </w:rPr>
        <w:t xml:space="preserve"> </w:t>
      </w:r>
      <w:r>
        <w:t>Worksheet</w:t>
      </w:r>
      <w:r>
        <w:rPr>
          <w:spacing w:val="-1"/>
        </w:rPr>
        <w:t xml:space="preserve"> </w:t>
      </w:r>
      <w:r>
        <w:t>3,</w:t>
      </w:r>
      <w:r>
        <w:rPr>
          <w:spacing w:val="-1"/>
        </w:rPr>
        <w:t xml:space="preserve"> </w:t>
      </w:r>
      <w:r>
        <w:t>Section</w:t>
      </w:r>
      <w:r>
        <w:rPr>
          <w:spacing w:val="-1"/>
        </w:rPr>
        <w:t xml:space="preserve"> </w:t>
      </w:r>
      <w:r>
        <w:rPr>
          <w:spacing w:val="-5"/>
        </w:rPr>
        <w:t>II.</w:t>
      </w:r>
    </w:p>
    <w:p>
      <w:pPr>
        <w:pStyle w:val="BodyText"/>
        <w:spacing w:before="45"/>
        <w:ind w:left="0"/>
      </w:pPr>
    </w:p>
    <w:p>
      <w:pPr>
        <w:pStyle w:val="Heading2"/>
      </w:pPr>
      <w:bookmarkStart w:id="182" w:name="Section III – Development of Bid for Def"/>
      <w:bookmarkEnd w:id="182"/>
      <w:bookmarkStart w:id="183" w:name="_bookmark52"/>
      <w:bookmarkEnd w:id="183"/>
      <w:r>
        <w:rPr>
          <w:smallCaps/>
        </w:rPr>
        <w:t>Section</w:t>
      </w:r>
      <w:r>
        <w:rPr>
          <w:smallCaps/>
          <w:spacing w:val="-15"/>
        </w:rPr>
        <w:t xml:space="preserve"> </w:t>
      </w:r>
      <w:r>
        <w:rPr>
          <w:smallCaps/>
        </w:rPr>
        <w:t>III</w:t>
      </w:r>
      <w:r>
        <w:rPr>
          <w:smallCaps/>
          <w:spacing w:val="-15"/>
        </w:rPr>
        <w:t xml:space="preserve"> </w:t>
      </w:r>
      <w:r>
        <w:rPr>
          <w:smallCaps/>
        </w:rPr>
        <w:t>–</w:t>
      </w:r>
      <w:r>
        <w:rPr>
          <w:smallCaps/>
          <w:spacing w:val="-15"/>
        </w:rPr>
        <w:t xml:space="preserve"> </w:t>
      </w:r>
      <w:r>
        <w:rPr>
          <w:smallCaps/>
        </w:rPr>
        <w:t>Development</w:t>
      </w:r>
      <w:r>
        <w:rPr>
          <w:smallCaps/>
          <w:spacing w:val="-6"/>
        </w:rPr>
        <w:t xml:space="preserve"> </w:t>
      </w:r>
      <w:r>
        <w:rPr>
          <w:smallCaps/>
        </w:rPr>
        <w:t>of</w:t>
      </w:r>
      <w:r>
        <w:rPr>
          <w:smallCaps/>
          <w:spacing w:val="-6"/>
        </w:rPr>
        <w:t xml:space="preserve"> </w:t>
      </w:r>
      <w:r>
        <w:rPr>
          <w:smallCaps/>
        </w:rPr>
        <w:t>Bid</w:t>
      </w:r>
      <w:r>
        <w:rPr>
          <w:smallCaps/>
          <w:spacing w:val="-6"/>
        </w:rPr>
        <w:t xml:space="preserve"> </w:t>
      </w:r>
      <w:r>
        <w:rPr>
          <w:smallCaps/>
        </w:rPr>
        <w:t>for</w:t>
      </w:r>
      <w:r>
        <w:rPr>
          <w:smallCaps/>
          <w:spacing w:val="-6"/>
        </w:rPr>
        <w:t xml:space="preserve"> </w:t>
      </w:r>
      <w:r>
        <w:rPr>
          <w:smallCaps/>
        </w:rPr>
        <w:t>Defined</w:t>
      </w:r>
      <w:r>
        <w:rPr>
          <w:smallCaps/>
          <w:spacing w:val="-6"/>
        </w:rPr>
        <w:t xml:space="preserve"> </w:t>
      </w:r>
      <w:r>
        <w:rPr>
          <w:smallCaps/>
        </w:rPr>
        <w:t>Standard</w:t>
      </w:r>
      <w:r>
        <w:rPr>
          <w:smallCaps/>
          <w:spacing w:val="-6"/>
        </w:rPr>
        <w:t xml:space="preserve"> </w:t>
      </w:r>
      <w:r>
        <w:rPr>
          <w:smallCaps/>
          <w:spacing w:val="-2"/>
        </w:rPr>
        <w:t>Coverage</w:t>
      </w:r>
    </w:p>
    <w:p>
      <w:pPr>
        <w:pStyle w:val="BodyText"/>
        <w:spacing w:before="179"/>
        <w:ind w:left="440"/>
      </w:pPr>
      <w:r>
        <w:t>This</w:t>
      </w:r>
      <w:r>
        <w:rPr>
          <w:spacing w:val="-2"/>
        </w:rPr>
        <w:t xml:space="preserve"> </w:t>
      </w:r>
      <w:r>
        <w:t>section</w:t>
      </w:r>
      <w:r>
        <w:rPr>
          <w:spacing w:val="-1"/>
        </w:rPr>
        <w:t xml:space="preserve"> </w:t>
      </w:r>
      <w:r>
        <w:t>displays</w:t>
      </w:r>
      <w:r>
        <w:rPr>
          <w:spacing w:val="-2"/>
        </w:rPr>
        <w:t xml:space="preserve"> </w:t>
      </w:r>
      <w:r>
        <w:t>information</w:t>
      </w:r>
      <w:r>
        <w:rPr>
          <w:spacing w:val="-1"/>
        </w:rPr>
        <w:t xml:space="preserve"> </w:t>
      </w:r>
      <w:r>
        <w:t>entered</w:t>
      </w:r>
      <w:r>
        <w:rPr>
          <w:spacing w:val="-2"/>
        </w:rPr>
        <w:t xml:space="preserve"> </w:t>
      </w:r>
      <w:r>
        <w:t>on</w:t>
      </w:r>
      <w:r>
        <w:rPr>
          <w:spacing w:val="1"/>
        </w:rPr>
        <w:t xml:space="preserve"> </w:t>
      </w:r>
      <w:r>
        <w:t>Worksheet</w:t>
      </w:r>
      <w:r>
        <w:rPr>
          <w:spacing w:val="-2"/>
        </w:rPr>
        <w:t xml:space="preserve"> </w:t>
      </w:r>
      <w:r>
        <w:t>3,</w:t>
      </w:r>
      <w:r>
        <w:rPr>
          <w:spacing w:val="1"/>
        </w:rPr>
        <w:t xml:space="preserve"> </w:t>
      </w:r>
      <w:r>
        <w:t>Sections III</w:t>
      </w:r>
      <w:r>
        <w:rPr>
          <w:spacing w:val="-2"/>
        </w:rPr>
        <w:t xml:space="preserve"> </w:t>
      </w:r>
      <w:r>
        <w:t>and</w:t>
      </w:r>
      <w:r>
        <w:rPr>
          <w:spacing w:val="1"/>
        </w:rPr>
        <w:t xml:space="preserve"> </w:t>
      </w:r>
      <w:r>
        <w:rPr>
          <w:spacing w:val="-5"/>
        </w:rPr>
        <w:t>V.</w:t>
      </w:r>
    </w:p>
    <w:p>
      <w:pPr>
        <w:pStyle w:val="BodyText"/>
        <w:spacing w:before="45"/>
        <w:ind w:left="0"/>
      </w:pPr>
    </w:p>
    <w:p>
      <w:pPr>
        <w:pStyle w:val="Heading2"/>
        <w:ind w:right="425"/>
      </w:pPr>
      <w:bookmarkStart w:id="184" w:name="Section IV – Development of Bid Componen"/>
      <w:bookmarkEnd w:id="184"/>
      <w:bookmarkStart w:id="185" w:name="_bookmark53"/>
      <w:bookmarkEnd w:id="185"/>
      <w:r>
        <w:rPr>
          <w:smallCaps/>
        </w:rPr>
        <w:t>Section</w:t>
      </w:r>
      <w:r>
        <w:rPr>
          <w:smallCaps/>
          <w:spacing w:val="-2"/>
        </w:rPr>
        <w:t xml:space="preserve"> </w:t>
      </w:r>
      <w:r>
        <w:rPr>
          <w:smallCaps/>
        </w:rPr>
        <w:t>IV</w:t>
      </w:r>
      <w:r>
        <w:rPr>
          <w:smallCaps/>
          <w:spacing w:val="-15"/>
        </w:rPr>
        <w:t xml:space="preserve"> </w:t>
      </w:r>
      <w:r>
        <w:rPr>
          <w:smallCaps/>
        </w:rPr>
        <w:t>–</w:t>
      </w:r>
      <w:r>
        <w:rPr>
          <w:smallCaps/>
          <w:spacing w:val="-15"/>
        </w:rPr>
        <w:t xml:space="preserve"> </w:t>
      </w:r>
      <w:r>
        <w:rPr>
          <w:smallCaps/>
        </w:rPr>
        <w:t>Development of Bid</w:t>
      </w:r>
      <w:r>
        <w:rPr>
          <w:smallCaps/>
          <w:spacing w:val="-1"/>
        </w:rPr>
        <w:t xml:space="preserve"> </w:t>
      </w:r>
      <w:r>
        <w:rPr>
          <w:smallCaps/>
        </w:rPr>
        <w:t>Components</w:t>
      </w:r>
      <w:r>
        <w:rPr>
          <w:smallCaps/>
          <w:spacing w:val="-4"/>
        </w:rPr>
        <w:t xml:space="preserve"> </w:t>
      </w:r>
      <w:r>
        <w:rPr>
          <w:smallCaps/>
        </w:rPr>
        <w:t>and Test</w:t>
      </w:r>
      <w:r>
        <w:rPr>
          <w:smallCaps/>
          <w:spacing w:val="-1"/>
        </w:rPr>
        <w:t xml:space="preserve"> </w:t>
      </w:r>
      <w:r>
        <w:rPr>
          <w:smallCaps/>
        </w:rPr>
        <w:t>for</w:t>
      </w:r>
      <w:r>
        <w:rPr>
          <w:smallCaps/>
          <w:spacing w:val="-3"/>
        </w:rPr>
        <w:t xml:space="preserve"> </w:t>
      </w:r>
      <w:r>
        <w:rPr>
          <w:smallCaps/>
        </w:rPr>
        <w:t xml:space="preserve">Actuarial </w:t>
      </w:r>
      <w:r>
        <w:rPr>
          <w:smallCaps/>
          <w:spacing w:val="-2"/>
        </w:rPr>
        <w:t>Equivalence</w:t>
      </w:r>
    </w:p>
    <w:p>
      <w:pPr>
        <w:pStyle w:val="BodyText"/>
        <w:spacing w:before="0"/>
        <w:ind w:left="0"/>
        <w:rPr>
          <w:rFonts w:ascii="Arial"/>
          <w:b/>
          <w:sz w:val="21"/>
        </w:rPr>
      </w:pPr>
    </w:p>
    <w:p>
      <w:pPr>
        <w:spacing w:before="0"/>
        <w:ind w:left="440" w:right="0" w:firstLine="0"/>
        <w:jc w:val="left"/>
        <w:rPr>
          <w:rFonts w:ascii="Arial"/>
          <w:b/>
          <w:sz w:val="21"/>
        </w:rPr>
      </w:pPr>
      <w:bookmarkStart w:id="186" w:name="Lines 1 through 14, columns e, i and l"/>
      <w:bookmarkEnd w:id="186"/>
      <w:r>
        <w:rPr>
          <w:rFonts w:ascii="Arial"/>
          <w:b/>
          <w:sz w:val="21"/>
        </w:rPr>
        <w:t>Lines</w:t>
      </w:r>
      <w:r>
        <w:rPr>
          <w:rFonts w:ascii="Arial"/>
          <w:b/>
          <w:spacing w:val="-4"/>
          <w:sz w:val="21"/>
        </w:rPr>
        <w:t xml:space="preserve"> </w:t>
      </w:r>
      <w:r>
        <w:rPr>
          <w:rFonts w:ascii="Arial"/>
          <w:b/>
          <w:sz w:val="21"/>
        </w:rPr>
        <w:t>1</w:t>
      </w:r>
      <w:r>
        <w:rPr>
          <w:rFonts w:ascii="Arial"/>
          <w:b/>
          <w:spacing w:val="-3"/>
          <w:sz w:val="21"/>
        </w:rPr>
        <w:t xml:space="preserve"> </w:t>
      </w:r>
      <w:r>
        <w:rPr>
          <w:rFonts w:ascii="Arial"/>
          <w:b/>
          <w:sz w:val="21"/>
        </w:rPr>
        <w:t>through</w:t>
      </w:r>
      <w:r>
        <w:rPr>
          <w:rFonts w:ascii="Arial"/>
          <w:b/>
          <w:spacing w:val="-3"/>
          <w:sz w:val="21"/>
        </w:rPr>
        <w:t xml:space="preserve"> </w:t>
      </w:r>
      <w:r>
        <w:rPr>
          <w:rFonts w:ascii="Arial"/>
          <w:b/>
          <w:sz w:val="21"/>
        </w:rPr>
        <w:t>14,</w:t>
      </w:r>
      <w:r>
        <w:rPr>
          <w:rFonts w:ascii="Arial"/>
          <w:b/>
          <w:spacing w:val="-4"/>
          <w:sz w:val="21"/>
        </w:rPr>
        <w:t xml:space="preserve"> </w:t>
      </w:r>
      <w:r>
        <w:rPr>
          <w:rFonts w:ascii="Arial"/>
          <w:b/>
          <w:sz w:val="21"/>
        </w:rPr>
        <w:t>columns</w:t>
      </w:r>
      <w:r>
        <w:rPr>
          <w:rFonts w:ascii="Arial"/>
          <w:b/>
          <w:spacing w:val="-3"/>
          <w:sz w:val="21"/>
        </w:rPr>
        <w:t xml:space="preserve"> </w:t>
      </w:r>
      <w:r>
        <w:rPr>
          <w:rFonts w:ascii="Arial"/>
          <w:b/>
          <w:sz w:val="21"/>
        </w:rPr>
        <w:t>e,</w:t>
      </w:r>
      <w:r>
        <w:rPr>
          <w:rFonts w:ascii="Arial"/>
          <w:b/>
          <w:spacing w:val="-5"/>
          <w:sz w:val="21"/>
        </w:rPr>
        <w:t xml:space="preserve"> </w:t>
      </w:r>
      <w:r>
        <w:rPr>
          <w:rFonts w:ascii="Arial"/>
          <w:b/>
          <w:sz w:val="21"/>
        </w:rPr>
        <w:t>i</w:t>
      </w:r>
      <w:r>
        <w:rPr>
          <w:rFonts w:ascii="Arial"/>
          <w:b/>
          <w:spacing w:val="-4"/>
          <w:sz w:val="21"/>
        </w:rPr>
        <w:t xml:space="preserve"> </w:t>
      </w:r>
      <w:r>
        <w:rPr>
          <w:rFonts w:ascii="Arial"/>
          <w:b/>
          <w:sz w:val="21"/>
        </w:rPr>
        <w:t>and</w:t>
      </w:r>
      <w:r>
        <w:rPr>
          <w:rFonts w:ascii="Arial"/>
          <w:b/>
          <w:spacing w:val="-2"/>
          <w:sz w:val="21"/>
        </w:rPr>
        <w:t xml:space="preserve"> </w:t>
      </w:r>
      <w:r>
        <w:rPr>
          <w:rFonts w:ascii="Arial"/>
          <w:b/>
          <w:spacing w:val="-10"/>
          <w:sz w:val="21"/>
        </w:rPr>
        <w:t>l</w:t>
      </w:r>
    </w:p>
    <w:p>
      <w:pPr>
        <w:pStyle w:val="BodyText"/>
        <w:spacing w:before="118"/>
        <w:ind w:left="440"/>
      </w:pPr>
      <w:r>
        <w:t>The</w:t>
      </w:r>
      <w:r>
        <w:rPr>
          <w:spacing w:val="-3"/>
        </w:rPr>
        <w:t xml:space="preserve"> </w:t>
      </w:r>
      <w:r>
        <w:t>values</w:t>
      </w:r>
      <w:r>
        <w:rPr>
          <w:spacing w:val="-2"/>
        </w:rPr>
        <w:t xml:space="preserve"> </w:t>
      </w:r>
      <w:r>
        <w:t>are</w:t>
      </w:r>
      <w:r>
        <w:rPr>
          <w:spacing w:val="-2"/>
        </w:rPr>
        <w:t xml:space="preserve"> </w:t>
      </w:r>
      <w:r>
        <w:t>carried</w:t>
      </w:r>
      <w:r>
        <w:rPr>
          <w:spacing w:val="-1"/>
        </w:rPr>
        <w:t xml:space="preserve"> </w:t>
      </w:r>
      <w:r>
        <w:t>from other</w:t>
      </w:r>
      <w:r>
        <w:rPr>
          <w:spacing w:val="-1"/>
        </w:rPr>
        <w:t xml:space="preserve"> </w:t>
      </w:r>
      <w:r>
        <w:t>worksheets in</w:t>
      </w:r>
      <w:r>
        <w:rPr>
          <w:spacing w:val="-1"/>
        </w:rPr>
        <w:t xml:space="preserve"> </w:t>
      </w:r>
      <w:r>
        <w:t xml:space="preserve">the </w:t>
      </w:r>
      <w:r>
        <w:rPr>
          <w:spacing w:val="-4"/>
        </w:rPr>
        <w:t>BPT.</w:t>
      </w:r>
    </w:p>
    <w:p>
      <w:pPr>
        <w:spacing w:before="241"/>
        <w:ind w:left="440" w:right="0" w:firstLine="0"/>
        <w:jc w:val="left"/>
        <w:rPr>
          <w:rFonts w:ascii="Arial" w:hAnsi="Arial"/>
          <w:b/>
          <w:sz w:val="21"/>
        </w:rPr>
      </w:pPr>
      <w:bookmarkStart w:id="187" w:name="Line 15 – Rebates"/>
      <w:bookmarkEnd w:id="187"/>
      <w:r>
        <w:rPr>
          <w:rFonts w:ascii="Arial" w:hAnsi="Arial"/>
          <w:b/>
          <w:sz w:val="21"/>
        </w:rPr>
        <w:t>Line</w:t>
      </w:r>
      <w:r>
        <w:rPr>
          <w:rFonts w:ascii="Arial" w:hAnsi="Arial"/>
          <w:b/>
          <w:spacing w:val="-3"/>
          <w:sz w:val="21"/>
        </w:rPr>
        <w:t xml:space="preserve"> </w:t>
      </w:r>
      <w:r>
        <w:rPr>
          <w:rFonts w:ascii="Arial" w:hAnsi="Arial"/>
          <w:b/>
          <w:sz w:val="21"/>
        </w:rPr>
        <w:t>15</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pacing w:val="-2"/>
          <w:sz w:val="21"/>
        </w:rPr>
        <w:t>Rebates</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pacing w:val="-10"/>
          <w:sz w:val="21"/>
        </w:rPr>
        <w:t>i</w:t>
      </w:r>
    </w:p>
    <w:p>
      <w:pPr>
        <w:pStyle w:val="BodyText"/>
        <w:ind w:left="1160"/>
      </w:pPr>
      <w:r>
        <w:t>Enter</w:t>
      </w:r>
      <w:r>
        <w:rPr>
          <w:spacing w:val="-4"/>
        </w:rPr>
        <w:t xml:space="preserve"> </w:t>
      </w:r>
      <w:r>
        <w:t>the</w:t>
      </w:r>
      <w:r>
        <w:rPr>
          <w:spacing w:val="-3"/>
        </w:rPr>
        <w:t xml:space="preserve"> </w:t>
      </w:r>
      <w:r>
        <w:t>estimated</w:t>
      </w:r>
      <w:r>
        <w:rPr>
          <w:spacing w:val="-1"/>
        </w:rPr>
        <w:t xml:space="preserve"> </w:t>
      </w:r>
      <w:r>
        <w:t>amount</w:t>
      </w:r>
      <w:r>
        <w:rPr>
          <w:spacing w:val="-1"/>
        </w:rPr>
        <w:t xml:space="preserve"> </w:t>
      </w:r>
      <w:r>
        <w:t>of</w:t>
      </w:r>
      <w:r>
        <w:rPr>
          <w:spacing w:val="-2"/>
        </w:rPr>
        <w:t xml:space="preserve"> </w:t>
      </w:r>
      <w:r>
        <w:t>rebates allocated</w:t>
      </w:r>
      <w:r>
        <w:rPr>
          <w:spacing w:val="-1"/>
        </w:rPr>
        <w:t xml:space="preserve"> </w:t>
      </w:r>
      <w:r>
        <w:t>to</w:t>
      </w:r>
      <w:r>
        <w:rPr>
          <w:spacing w:val="1"/>
        </w:rPr>
        <w:t xml:space="preserve"> </w:t>
      </w:r>
      <w:r>
        <w:t>federal</w:t>
      </w:r>
      <w:r>
        <w:rPr>
          <w:spacing w:val="-1"/>
        </w:rPr>
        <w:t xml:space="preserve"> </w:t>
      </w:r>
      <w:r>
        <w:rPr>
          <w:spacing w:val="-2"/>
        </w:rPr>
        <w:t>reinsurance.</w:t>
      </w:r>
    </w:p>
    <w:p>
      <w:pPr>
        <w:spacing w:after="0"/>
        <w:sectPr>
          <w:headerReference w:type="default" r:id="rId27"/>
          <w:footerReference w:type="default" r:id="rId28"/>
          <w:pgSz w:w="12240" w:h="15840"/>
          <w:pgMar w:top="1340" w:right="1000" w:bottom="1080" w:left="1360" w:header="727" w:footer="891"/>
          <w:cols w:space="720"/>
        </w:sectPr>
      </w:pPr>
    </w:p>
    <w:p>
      <w:pPr>
        <w:pStyle w:val="ListParagraph"/>
        <w:numPr>
          <w:ilvl w:val="0"/>
          <w:numId w:val="8"/>
        </w:numPr>
        <w:tabs>
          <w:tab w:val="left" w:pos="1159"/>
        </w:tabs>
        <w:spacing w:before="87" w:after="0" w:line="240" w:lineRule="auto"/>
        <w:ind w:left="1159" w:right="0" w:hanging="359"/>
        <w:jc w:val="left"/>
        <w:rPr>
          <w:rFonts w:ascii="Arial" w:hAnsi="Arial"/>
          <w:b/>
          <w:sz w:val="21"/>
        </w:rPr>
      </w:pPr>
      <w:r>
        <w:rPr>
          <w:rFonts w:ascii="Arial" w:hAnsi="Arial"/>
          <w:b/>
          <w:sz w:val="21"/>
        </w:rPr>
        <w:t>Column</w:t>
      </w:r>
      <w:r>
        <w:rPr>
          <w:rFonts w:ascii="Arial" w:hAnsi="Arial"/>
          <w:b/>
          <w:spacing w:val="-3"/>
          <w:sz w:val="21"/>
        </w:rPr>
        <w:t xml:space="preserve"> </w:t>
      </w:r>
      <w:r>
        <w:rPr>
          <w:rFonts w:ascii="Arial" w:hAnsi="Arial"/>
          <w:b/>
          <w:spacing w:val="-10"/>
          <w:sz w:val="21"/>
        </w:rPr>
        <w:t>l</w:t>
      </w:r>
    </w:p>
    <w:p>
      <w:pPr>
        <w:pStyle w:val="BodyText"/>
        <w:spacing w:before="121"/>
        <w:ind w:left="277" w:right="213"/>
        <w:jc w:val="center"/>
      </w:pPr>
      <w:r>
        <w:t>Enter</w:t>
      </w:r>
      <w:r>
        <w:rPr>
          <w:spacing w:val="-3"/>
        </w:rPr>
        <w:t xml:space="preserve"> </w:t>
      </w:r>
      <w:r>
        <w:t>the</w:t>
      </w:r>
      <w:r>
        <w:rPr>
          <w:spacing w:val="-2"/>
        </w:rPr>
        <w:t xml:space="preserve"> </w:t>
      </w:r>
      <w:r>
        <w:t>estimated total</w:t>
      </w:r>
      <w:r>
        <w:rPr>
          <w:spacing w:val="2"/>
        </w:rPr>
        <w:t xml:space="preserve"> </w:t>
      </w:r>
      <w:r>
        <w:t>amount of</w:t>
      </w:r>
      <w:r>
        <w:rPr>
          <w:spacing w:val="-2"/>
        </w:rPr>
        <w:t xml:space="preserve"> </w:t>
      </w:r>
      <w:r>
        <w:t>rebates</w:t>
      </w:r>
      <w:r>
        <w:rPr>
          <w:spacing w:val="-1"/>
        </w:rPr>
        <w:t xml:space="preserve"> </w:t>
      </w:r>
      <w:r>
        <w:t>expected</w:t>
      </w:r>
      <w:r>
        <w:rPr>
          <w:spacing w:val="-1"/>
        </w:rPr>
        <w:t xml:space="preserve"> </w:t>
      </w:r>
      <w:r>
        <w:t>to be</w:t>
      </w:r>
      <w:r>
        <w:rPr>
          <w:spacing w:val="-2"/>
        </w:rPr>
        <w:t xml:space="preserve"> </w:t>
      </w:r>
      <w:r>
        <w:t>received</w:t>
      </w:r>
      <w:r>
        <w:rPr>
          <w:spacing w:val="-1"/>
        </w:rPr>
        <w:t xml:space="preserve"> </w:t>
      </w:r>
      <w:r>
        <w:t>by</w:t>
      </w:r>
      <w:r>
        <w:rPr>
          <w:spacing w:val="-1"/>
        </w:rPr>
        <w:t xml:space="preserve"> </w:t>
      </w:r>
      <w:r>
        <w:t>the</w:t>
      </w:r>
      <w:r>
        <w:rPr>
          <w:spacing w:val="1"/>
        </w:rPr>
        <w:t xml:space="preserve"> </w:t>
      </w:r>
      <w:r>
        <w:rPr>
          <w:spacing w:val="-2"/>
        </w:rPr>
        <w:t>plan.</w:t>
      </w:r>
    </w:p>
    <w:p>
      <w:pPr>
        <w:spacing w:before="240"/>
        <w:ind w:left="440" w:right="0" w:firstLine="0"/>
        <w:jc w:val="left"/>
        <w:rPr>
          <w:rFonts w:ascii="Arial" w:hAnsi="Arial"/>
          <w:b/>
          <w:sz w:val="21"/>
        </w:rPr>
      </w:pPr>
      <w:bookmarkStart w:id="188" w:name="Line 16 – Test for Actuarial Equivalence"/>
      <w:bookmarkEnd w:id="188"/>
      <w:r>
        <w:rPr>
          <w:rFonts w:ascii="Arial" w:hAnsi="Arial"/>
          <w:b/>
          <w:sz w:val="21"/>
        </w:rPr>
        <w:t>Line</w:t>
      </w:r>
      <w:r>
        <w:rPr>
          <w:rFonts w:ascii="Arial" w:hAnsi="Arial"/>
          <w:b/>
          <w:spacing w:val="-4"/>
          <w:sz w:val="21"/>
        </w:rPr>
        <w:t xml:space="preserve"> </w:t>
      </w:r>
      <w:r>
        <w:rPr>
          <w:rFonts w:ascii="Arial" w:hAnsi="Arial"/>
          <w:b/>
          <w:sz w:val="21"/>
        </w:rPr>
        <w:t>16</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Test</w:t>
      </w:r>
      <w:r>
        <w:rPr>
          <w:rFonts w:ascii="Arial" w:hAnsi="Arial"/>
          <w:b/>
          <w:spacing w:val="-5"/>
          <w:sz w:val="21"/>
        </w:rPr>
        <w:t xml:space="preserve"> </w:t>
      </w:r>
      <w:r>
        <w:rPr>
          <w:rFonts w:ascii="Arial" w:hAnsi="Arial"/>
          <w:b/>
          <w:sz w:val="21"/>
        </w:rPr>
        <w:t>for</w:t>
      </w:r>
      <w:r>
        <w:rPr>
          <w:rFonts w:ascii="Arial" w:hAnsi="Arial"/>
          <w:b/>
          <w:spacing w:val="-6"/>
          <w:sz w:val="21"/>
        </w:rPr>
        <w:t xml:space="preserve"> </w:t>
      </w:r>
      <w:r>
        <w:rPr>
          <w:rFonts w:ascii="Arial" w:hAnsi="Arial"/>
          <w:b/>
          <w:sz w:val="21"/>
        </w:rPr>
        <w:t>Actuarial</w:t>
      </w:r>
      <w:r>
        <w:rPr>
          <w:rFonts w:ascii="Arial" w:hAnsi="Arial"/>
          <w:b/>
          <w:spacing w:val="-4"/>
          <w:sz w:val="21"/>
        </w:rPr>
        <w:t xml:space="preserve"> </w:t>
      </w:r>
      <w:r>
        <w:rPr>
          <w:rFonts w:ascii="Arial" w:hAnsi="Arial"/>
          <w:b/>
          <w:spacing w:val="-2"/>
          <w:sz w:val="21"/>
        </w:rPr>
        <w:t>Equivalence</w:t>
      </w:r>
    </w:p>
    <w:p>
      <w:pPr>
        <w:pStyle w:val="BodyText"/>
        <w:spacing w:before="118"/>
        <w:ind w:left="440" w:right="979"/>
      </w:pPr>
      <w:r>
        <w:t>The</w:t>
      </w:r>
      <w:r>
        <w:rPr>
          <w:spacing w:val="-5"/>
        </w:rPr>
        <w:t xml:space="preserve"> </w:t>
      </w:r>
      <w:r>
        <w:t>actuarial</w:t>
      </w:r>
      <w:r>
        <w:rPr>
          <w:spacing w:val="-4"/>
        </w:rPr>
        <w:t xml:space="preserve"> </w:t>
      </w:r>
      <w:r>
        <w:t>equivalence</w:t>
      </w:r>
      <w:r>
        <w:rPr>
          <w:spacing w:val="-5"/>
        </w:rPr>
        <w:t xml:space="preserve"> </w:t>
      </w:r>
      <w:r>
        <w:t>test</w:t>
      </w:r>
      <w:r>
        <w:rPr>
          <w:spacing w:val="-2"/>
        </w:rPr>
        <w:t xml:space="preserve"> </w:t>
      </w:r>
      <w:r>
        <w:t>is</w:t>
      </w:r>
      <w:r>
        <w:rPr>
          <w:spacing w:val="-4"/>
        </w:rPr>
        <w:t xml:space="preserve"> </w:t>
      </w:r>
      <w:r>
        <w:t>applied</w:t>
      </w:r>
      <w:r>
        <w:rPr>
          <w:spacing w:val="-4"/>
        </w:rPr>
        <w:t xml:space="preserve"> </w:t>
      </w:r>
      <w:r>
        <w:t>to</w:t>
      </w:r>
      <w:r>
        <w:rPr>
          <w:spacing w:val="-4"/>
        </w:rPr>
        <w:t xml:space="preserve"> </w:t>
      </w:r>
      <w:r>
        <w:t>certain</w:t>
      </w:r>
      <w:r>
        <w:rPr>
          <w:spacing w:val="-2"/>
        </w:rPr>
        <w:t xml:space="preserve"> </w:t>
      </w:r>
      <w:r>
        <w:t>values</w:t>
      </w:r>
      <w:r>
        <w:rPr>
          <w:spacing w:val="-4"/>
        </w:rPr>
        <w:t xml:space="preserve"> </w:t>
      </w:r>
      <w:r>
        <w:t>in</w:t>
      </w:r>
      <w:r>
        <w:rPr>
          <w:spacing w:val="-4"/>
        </w:rPr>
        <w:t xml:space="preserve"> </w:t>
      </w:r>
      <w:r>
        <w:t>Section</w:t>
      </w:r>
      <w:r>
        <w:rPr>
          <w:spacing w:val="-1"/>
        </w:rPr>
        <w:t xml:space="preserve"> </w:t>
      </w:r>
      <w:r>
        <w:t>IV</w:t>
      </w:r>
      <w:r>
        <w:rPr>
          <w:spacing w:val="-4"/>
        </w:rPr>
        <w:t xml:space="preserve"> </w:t>
      </w:r>
      <w:r>
        <w:t>to</w:t>
      </w:r>
      <w:r>
        <w:rPr>
          <w:spacing w:val="-4"/>
        </w:rPr>
        <w:t xml:space="preserve"> </w:t>
      </w:r>
      <w:r>
        <w:t>determine whether the proposed benefit plan qualifies as standard coverage with actuarially equivalent cost sharing.</w:t>
      </w:r>
    </w:p>
    <w:p>
      <w:pPr>
        <w:pStyle w:val="BodyText"/>
        <w:spacing w:before="45"/>
        <w:ind w:left="0"/>
      </w:pPr>
    </w:p>
    <w:p>
      <w:pPr>
        <w:pStyle w:val="Heading2"/>
      </w:pPr>
      <w:bookmarkStart w:id="189" w:name="Section V – Standard Coverage Bid Develo"/>
      <w:bookmarkEnd w:id="189"/>
      <w:bookmarkStart w:id="190" w:name="_bookmark54"/>
      <w:bookmarkEnd w:id="190"/>
      <w:r>
        <w:rPr>
          <w:smallCaps/>
        </w:rPr>
        <w:t>Section</w:t>
      </w:r>
      <w:r>
        <w:rPr>
          <w:smallCaps/>
          <w:spacing w:val="-2"/>
        </w:rPr>
        <w:t xml:space="preserve"> </w:t>
      </w:r>
      <w:r>
        <w:rPr>
          <w:smallCaps/>
        </w:rPr>
        <w:t>V</w:t>
      </w:r>
      <w:r>
        <w:rPr>
          <w:smallCaps/>
          <w:spacing w:val="-15"/>
        </w:rPr>
        <w:t xml:space="preserve"> </w:t>
      </w:r>
      <w:r>
        <w:rPr>
          <w:smallCaps/>
        </w:rPr>
        <w:t>–</w:t>
      </w:r>
      <w:r>
        <w:rPr>
          <w:smallCaps/>
          <w:spacing w:val="-15"/>
        </w:rPr>
        <w:t xml:space="preserve"> </w:t>
      </w:r>
      <w:r>
        <w:rPr>
          <w:smallCaps/>
        </w:rPr>
        <w:t>Standard Coverage</w:t>
      </w:r>
      <w:r>
        <w:rPr>
          <w:smallCaps/>
          <w:spacing w:val="-1"/>
        </w:rPr>
        <w:t xml:space="preserve"> </w:t>
      </w:r>
      <w:r>
        <w:rPr>
          <w:smallCaps/>
        </w:rPr>
        <w:t>Bid</w:t>
      </w:r>
      <w:r>
        <w:rPr>
          <w:smallCaps/>
          <w:spacing w:val="-1"/>
        </w:rPr>
        <w:t xml:space="preserve"> </w:t>
      </w:r>
      <w:r>
        <w:rPr>
          <w:smallCaps/>
        </w:rPr>
        <w:t>Development</w:t>
      </w:r>
      <w:r>
        <w:rPr>
          <w:smallCaps/>
          <w:spacing w:val="-2"/>
        </w:rPr>
        <w:t xml:space="preserve"> </w:t>
      </w:r>
      <w:r>
        <w:rPr>
          <w:smallCaps/>
        </w:rPr>
        <w:t>with Actuarially Equivalent Cost Sharing</w:t>
      </w:r>
    </w:p>
    <w:p>
      <w:pPr>
        <w:pStyle w:val="BodyText"/>
        <w:spacing w:before="0"/>
        <w:ind w:left="0"/>
        <w:rPr>
          <w:rFonts w:ascii="Arial"/>
          <w:b/>
          <w:sz w:val="21"/>
        </w:rPr>
      </w:pPr>
    </w:p>
    <w:p>
      <w:pPr>
        <w:spacing w:before="0"/>
        <w:ind w:left="440" w:right="0" w:firstLine="0"/>
        <w:jc w:val="left"/>
        <w:rPr>
          <w:rFonts w:ascii="Arial"/>
          <w:b/>
          <w:sz w:val="21"/>
        </w:rPr>
      </w:pPr>
      <w:bookmarkStart w:id="191" w:name="Lines 1 through 5"/>
      <w:bookmarkEnd w:id="191"/>
      <w:r>
        <w:rPr>
          <w:rFonts w:ascii="Arial"/>
          <w:b/>
          <w:sz w:val="21"/>
        </w:rPr>
        <w:t>Lines</w:t>
      </w:r>
      <w:r>
        <w:rPr>
          <w:rFonts w:ascii="Arial"/>
          <w:b/>
          <w:spacing w:val="-5"/>
          <w:sz w:val="21"/>
        </w:rPr>
        <w:t xml:space="preserve"> </w:t>
      </w:r>
      <w:r>
        <w:rPr>
          <w:rFonts w:ascii="Arial"/>
          <w:b/>
          <w:sz w:val="21"/>
        </w:rPr>
        <w:t>1</w:t>
      </w:r>
      <w:r>
        <w:rPr>
          <w:rFonts w:ascii="Arial"/>
          <w:b/>
          <w:spacing w:val="-5"/>
          <w:sz w:val="21"/>
        </w:rPr>
        <w:t xml:space="preserve"> </w:t>
      </w:r>
      <w:r>
        <w:rPr>
          <w:rFonts w:ascii="Arial"/>
          <w:b/>
          <w:sz w:val="21"/>
        </w:rPr>
        <w:t>through</w:t>
      </w:r>
      <w:r>
        <w:rPr>
          <w:rFonts w:ascii="Arial"/>
          <w:b/>
          <w:spacing w:val="-4"/>
          <w:sz w:val="21"/>
        </w:rPr>
        <w:t xml:space="preserve"> </w:t>
      </w:r>
      <w:r>
        <w:rPr>
          <w:rFonts w:ascii="Arial"/>
          <w:b/>
          <w:spacing w:val="-10"/>
          <w:sz w:val="21"/>
        </w:rPr>
        <w:t>5</w:t>
      </w:r>
    </w:p>
    <w:p>
      <w:pPr>
        <w:pStyle w:val="BodyText"/>
        <w:spacing w:before="118"/>
        <w:ind w:left="440" w:right="918"/>
      </w:pPr>
      <w:r>
        <w:t>The values are calculated automatically in the BPT from values in Section IV and from values on Worksheet 3. The amounts in the first column are calculated based on the plan’s</w:t>
      </w:r>
      <w:r>
        <w:rPr>
          <w:spacing w:val="-3"/>
        </w:rPr>
        <w:t xml:space="preserve"> </w:t>
      </w:r>
      <w:r>
        <w:t>risk</w:t>
      </w:r>
      <w:r>
        <w:rPr>
          <w:spacing w:val="-3"/>
        </w:rPr>
        <w:t xml:space="preserve"> </w:t>
      </w:r>
      <w:r>
        <w:t>score,</w:t>
      </w:r>
      <w:r>
        <w:rPr>
          <w:spacing w:val="-1"/>
        </w:rPr>
        <w:t xml:space="preserve"> </w:t>
      </w:r>
      <w:r>
        <w:t>while</w:t>
      </w:r>
      <w:r>
        <w:rPr>
          <w:spacing w:val="-3"/>
        </w:rPr>
        <w:t xml:space="preserve"> </w:t>
      </w:r>
      <w:r>
        <w:t>the</w:t>
      </w:r>
      <w:r>
        <w:rPr>
          <w:spacing w:val="-4"/>
        </w:rPr>
        <w:t xml:space="preserve"> </w:t>
      </w:r>
      <w:r>
        <w:t>amounts</w:t>
      </w:r>
      <w:r>
        <w:rPr>
          <w:spacing w:val="-3"/>
        </w:rPr>
        <w:t xml:space="preserve"> </w:t>
      </w:r>
      <w:r>
        <w:t>in</w:t>
      </w:r>
      <w:r>
        <w:rPr>
          <w:spacing w:val="-3"/>
        </w:rPr>
        <w:t xml:space="preserve"> </w:t>
      </w:r>
      <w:r>
        <w:t>the</w:t>
      </w:r>
      <w:r>
        <w:rPr>
          <w:spacing w:val="-4"/>
        </w:rPr>
        <w:t xml:space="preserve"> </w:t>
      </w:r>
      <w:r>
        <w:t>second</w:t>
      </w:r>
      <w:r>
        <w:rPr>
          <w:spacing w:val="-1"/>
        </w:rPr>
        <w:t xml:space="preserve"> </w:t>
      </w:r>
      <w:r>
        <w:t>column</w:t>
      </w:r>
      <w:r>
        <w:rPr>
          <w:spacing w:val="-2"/>
        </w:rPr>
        <w:t xml:space="preserve"> </w:t>
      </w:r>
      <w:r>
        <w:t>are</w:t>
      </w:r>
      <w:r>
        <w:rPr>
          <w:spacing w:val="-5"/>
        </w:rPr>
        <w:t xml:space="preserve"> </w:t>
      </w:r>
      <w:r>
        <w:t>based</w:t>
      </w:r>
      <w:r>
        <w:rPr>
          <w:spacing w:val="-3"/>
        </w:rPr>
        <w:t xml:space="preserve"> </w:t>
      </w:r>
      <w:r>
        <w:t>on</w:t>
      </w:r>
      <w:r>
        <w:rPr>
          <w:spacing w:val="-3"/>
        </w:rPr>
        <w:t xml:space="preserve"> </w:t>
      </w:r>
      <w:r>
        <w:t>a</w:t>
      </w:r>
      <w:r>
        <w:rPr>
          <w:spacing w:val="-4"/>
        </w:rPr>
        <w:t xml:space="preserve"> </w:t>
      </w:r>
      <w:r>
        <w:t>1.00</w:t>
      </w:r>
      <w:r>
        <w:rPr>
          <w:spacing w:val="-3"/>
        </w:rPr>
        <w:t xml:space="preserve"> </w:t>
      </w:r>
      <w:r>
        <w:t>risk</w:t>
      </w:r>
      <w:r>
        <w:rPr>
          <w:spacing w:val="-3"/>
        </w:rPr>
        <w:t xml:space="preserve"> </w:t>
      </w:r>
      <w:r>
        <w:t>score.</w:t>
      </w:r>
    </w:p>
    <w:p>
      <w:pPr>
        <w:spacing w:before="241"/>
        <w:ind w:left="440" w:right="0" w:firstLine="0"/>
        <w:jc w:val="left"/>
        <w:rPr>
          <w:rFonts w:ascii="Arial" w:hAnsi="Arial"/>
          <w:b/>
          <w:sz w:val="21"/>
        </w:rPr>
      </w:pPr>
      <w:bookmarkStart w:id="192" w:name="Line 6 – Gross Federal Reinsurance"/>
      <w:bookmarkEnd w:id="192"/>
      <w:r>
        <w:rPr>
          <w:rFonts w:ascii="Arial" w:hAnsi="Arial"/>
          <w:b/>
          <w:sz w:val="21"/>
        </w:rPr>
        <w:t>Line</w:t>
      </w:r>
      <w:r>
        <w:rPr>
          <w:rFonts w:ascii="Arial" w:hAnsi="Arial"/>
          <w:b/>
          <w:spacing w:val="-5"/>
          <w:sz w:val="21"/>
        </w:rPr>
        <w:t xml:space="preserve"> </w:t>
      </w:r>
      <w:r>
        <w:rPr>
          <w:rFonts w:ascii="Arial" w:hAnsi="Arial"/>
          <w:b/>
          <w:sz w:val="21"/>
        </w:rPr>
        <w:t>6</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Gross</w:t>
      </w:r>
      <w:r>
        <w:rPr>
          <w:rFonts w:ascii="Arial" w:hAnsi="Arial"/>
          <w:b/>
          <w:spacing w:val="-4"/>
          <w:sz w:val="21"/>
        </w:rPr>
        <w:t xml:space="preserve"> </w:t>
      </w:r>
      <w:r>
        <w:rPr>
          <w:rFonts w:ascii="Arial" w:hAnsi="Arial"/>
          <w:b/>
          <w:sz w:val="21"/>
        </w:rPr>
        <w:t>Federal</w:t>
      </w:r>
      <w:r>
        <w:rPr>
          <w:rFonts w:ascii="Arial" w:hAnsi="Arial"/>
          <w:b/>
          <w:spacing w:val="-4"/>
          <w:sz w:val="21"/>
        </w:rPr>
        <w:t xml:space="preserve"> </w:t>
      </w:r>
      <w:r>
        <w:rPr>
          <w:rFonts w:ascii="Arial" w:hAnsi="Arial"/>
          <w:b/>
          <w:spacing w:val="-2"/>
          <w:sz w:val="21"/>
        </w:rPr>
        <w:t>Reinsurance</w:t>
      </w:r>
    </w:p>
    <w:p>
      <w:pPr>
        <w:pStyle w:val="BodyText"/>
        <w:ind w:left="440" w:right="979"/>
      </w:pPr>
      <w:r>
        <w:t>Enter</w:t>
      </w:r>
      <w:r>
        <w:rPr>
          <w:spacing w:val="-3"/>
        </w:rPr>
        <w:t xml:space="preserve"> </w:t>
      </w:r>
      <w:r>
        <w:t>the</w:t>
      </w:r>
      <w:r>
        <w:rPr>
          <w:spacing w:val="-5"/>
        </w:rPr>
        <w:t xml:space="preserve"> </w:t>
      </w:r>
      <w:r>
        <w:t>projected</w:t>
      </w:r>
      <w:r>
        <w:rPr>
          <w:spacing w:val="-3"/>
        </w:rPr>
        <w:t xml:space="preserve"> </w:t>
      </w:r>
      <w:r>
        <w:t>average</w:t>
      </w:r>
      <w:r>
        <w:rPr>
          <w:spacing w:val="-3"/>
        </w:rPr>
        <w:t xml:space="preserve"> </w:t>
      </w:r>
      <w:r>
        <w:t>gross</w:t>
      </w:r>
      <w:r>
        <w:rPr>
          <w:spacing w:val="-3"/>
        </w:rPr>
        <w:t xml:space="preserve"> </w:t>
      </w:r>
      <w:r>
        <w:t>federal</w:t>
      </w:r>
      <w:r>
        <w:rPr>
          <w:spacing w:val="-3"/>
        </w:rPr>
        <w:t xml:space="preserve"> </w:t>
      </w:r>
      <w:r>
        <w:t>reinsurance</w:t>
      </w:r>
      <w:r>
        <w:rPr>
          <w:spacing w:val="-3"/>
        </w:rPr>
        <w:t xml:space="preserve"> </w:t>
      </w:r>
      <w:r>
        <w:t>PMPM</w:t>
      </w:r>
      <w:r>
        <w:rPr>
          <w:spacing w:val="-3"/>
        </w:rPr>
        <w:t xml:space="preserve"> </w:t>
      </w:r>
      <w:r>
        <w:t>for</w:t>
      </w:r>
      <w:r>
        <w:rPr>
          <w:spacing w:val="-5"/>
        </w:rPr>
        <w:t xml:space="preserve"> </w:t>
      </w:r>
      <w:r>
        <w:t>the</w:t>
      </w:r>
      <w:r>
        <w:rPr>
          <w:spacing w:val="-3"/>
        </w:rPr>
        <w:t xml:space="preserve"> </w:t>
      </w:r>
      <w:r>
        <w:t>risk</w:t>
      </w:r>
      <w:r>
        <w:rPr>
          <w:spacing w:val="-3"/>
        </w:rPr>
        <w:t xml:space="preserve"> </w:t>
      </w:r>
      <w:r>
        <w:t>score</w:t>
      </w:r>
      <w:r>
        <w:rPr>
          <w:spacing w:val="-5"/>
        </w:rPr>
        <w:t xml:space="preserve"> </w:t>
      </w:r>
      <w:r>
        <w:t>of</w:t>
      </w:r>
      <w:r>
        <w:rPr>
          <w:spacing w:val="-3"/>
        </w:rPr>
        <w:t xml:space="preserve"> </w:t>
      </w:r>
      <w:r>
        <w:t>the expected population.</w:t>
      </w:r>
    </w:p>
    <w:p>
      <w:pPr>
        <w:spacing w:before="241"/>
        <w:ind w:left="440" w:right="0" w:firstLine="0"/>
        <w:jc w:val="left"/>
        <w:rPr>
          <w:rFonts w:ascii="Arial" w:hAnsi="Arial"/>
          <w:b/>
          <w:sz w:val="21"/>
        </w:rPr>
      </w:pPr>
      <w:bookmarkStart w:id="193" w:name="Line 7 – LIS"/>
      <w:bookmarkEnd w:id="193"/>
      <w:r>
        <w:rPr>
          <w:rFonts w:ascii="Arial" w:hAnsi="Arial"/>
          <w:b/>
          <w:sz w:val="21"/>
        </w:rPr>
        <w:t>Line</w:t>
      </w:r>
      <w:r>
        <w:rPr>
          <w:rFonts w:ascii="Arial" w:hAnsi="Arial"/>
          <w:b/>
          <w:spacing w:val="-2"/>
          <w:sz w:val="21"/>
        </w:rPr>
        <w:t xml:space="preserve"> </w:t>
      </w:r>
      <w:r>
        <w:rPr>
          <w:rFonts w:ascii="Arial" w:hAnsi="Arial"/>
          <w:b/>
          <w:sz w:val="21"/>
        </w:rPr>
        <w:t>7</w:t>
      </w:r>
      <w:r>
        <w:rPr>
          <w:rFonts w:ascii="Arial" w:hAnsi="Arial"/>
          <w:b/>
          <w:spacing w:val="-2"/>
          <w:sz w:val="21"/>
        </w:rPr>
        <w:t xml:space="preserve"> </w:t>
      </w:r>
      <w:r>
        <w:rPr>
          <w:rFonts w:ascii="Arial" w:hAnsi="Arial"/>
          <w:b/>
          <w:sz w:val="21"/>
        </w:rPr>
        <w:t>–</w:t>
      </w:r>
      <w:r>
        <w:rPr>
          <w:rFonts w:ascii="Arial" w:hAnsi="Arial"/>
          <w:b/>
          <w:spacing w:val="-2"/>
          <w:sz w:val="21"/>
        </w:rPr>
        <w:t xml:space="preserve"> </w:t>
      </w:r>
      <w:r>
        <w:rPr>
          <w:rFonts w:ascii="Arial" w:hAnsi="Arial"/>
          <w:b/>
          <w:spacing w:val="-5"/>
          <w:sz w:val="21"/>
        </w:rPr>
        <w:t>LIS</w:t>
      </w:r>
    </w:p>
    <w:p>
      <w:pPr>
        <w:pStyle w:val="BodyText"/>
        <w:spacing w:before="118"/>
        <w:ind w:left="440" w:right="904"/>
      </w:pPr>
      <w:r>
        <w:t>Enter</w:t>
      </w:r>
      <w:r>
        <w:rPr>
          <w:spacing w:val="-3"/>
        </w:rPr>
        <w:t xml:space="preserve"> </w:t>
      </w:r>
      <w:r>
        <w:t>the</w:t>
      </w:r>
      <w:r>
        <w:rPr>
          <w:spacing w:val="-5"/>
        </w:rPr>
        <w:t xml:space="preserve"> </w:t>
      </w:r>
      <w:r>
        <w:t>projected</w:t>
      </w:r>
      <w:r>
        <w:rPr>
          <w:spacing w:val="-3"/>
        </w:rPr>
        <w:t xml:space="preserve"> </w:t>
      </w:r>
      <w:r>
        <w:t>average</w:t>
      </w:r>
      <w:r>
        <w:rPr>
          <w:spacing w:val="-3"/>
        </w:rPr>
        <w:t xml:space="preserve"> </w:t>
      </w:r>
      <w:r>
        <w:t>low-income</w:t>
      </w:r>
      <w:r>
        <w:rPr>
          <w:spacing w:val="-4"/>
        </w:rPr>
        <w:t xml:space="preserve"> </w:t>
      </w:r>
      <w:r>
        <w:t>cost</w:t>
      </w:r>
      <w:r>
        <w:rPr>
          <w:spacing w:val="-3"/>
        </w:rPr>
        <w:t xml:space="preserve"> </w:t>
      </w:r>
      <w:r>
        <w:t>sharing</w:t>
      </w:r>
      <w:r>
        <w:rPr>
          <w:spacing w:val="-3"/>
        </w:rPr>
        <w:t xml:space="preserve"> </w:t>
      </w:r>
      <w:r>
        <w:t>PMPM</w:t>
      </w:r>
      <w:r>
        <w:rPr>
          <w:spacing w:val="-3"/>
        </w:rPr>
        <w:t xml:space="preserve"> </w:t>
      </w:r>
      <w:r>
        <w:t>subsidy</w:t>
      </w:r>
      <w:r>
        <w:rPr>
          <w:spacing w:val="-3"/>
        </w:rPr>
        <w:t xml:space="preserve"> </w:t>
      </w:r>
      <w:r>
        <w:t>for</w:t>
      </w:r>
      <w:r>
        <w:rPr>
          <w:spacing w:val="-3"/>
        </w:rPr>
        <w:t xml:space="preserve"> </w:t>
      </w:r>
      <w:r>
        <w:t>the</w:t>
      </w:r>
      <w:r>
        <w:rPr>
          <w:spacing w:val="-4"/>
        </w:rPr>
        <w:t xml:space="preserve"> </w:t>
      </w:r>
      <w:r>
        <w:t>risk</w:t>
      </w:r>
      <w:r>
        <w:rPr>
          <w:spacing w:val="-3"/>
        </w:rPr>
        <w:t xml:space="preserve"> </w:t>
      </w:r>
      <w:r>
        <w:t>score</w:t>
      </w:r>
      <w:r>
        <w:rPr>
          <w:spacing w:val="-5"/>
        </w:rPr>
        <w:t xml:space="preserve"> </w:t>
      </w:r>
      <w:r>
        <w:t>of the expected population.</w:t>
      </w:r>
    </w:p>
    <w:p>
      <w:pPr>
        <w:spacing w:after="0"/>
        <w:sectPr>
          <w:pgSz w:w="12240" w:h="15840"/>
          <w:pgMar w:top="1340" w:right="1000" w:bottom="1080" w:left="1360" w:header="727" w:footer="891"/>
          <w:cols w:space="720"/>
        </w:sectPr>
      </w:pPr>
    </w:p>
    <w:p>
      <w:pPr>
        <w:pStyle w:val="Heading1"/>
        <w:tabs>
          <w:tab w:val="left" w:pos="9110"/>
        </w:tabs>
        <w:ind w:left="411"/>
        <w:rPr>
          <w:u w:val="none"/>
        </w:rPr>
      </w:pPr>
      <w:bookmarkStart w:id="194" w:name="PD Worksheet 5 – Rx Alternative Coverage"/>
      <w:bookmarkEnd w:id="194"/>
      <w:bookmarkStart w:id="195" w:name="_bookmark55"/>
      <w:bookmarkEnd w:id="195"/>
      <w:r>
        <w:rPr>
          <w:spacing w:val="-52"/>
          <w:u w:val="single"/>
        </w:rPr>
        <w:t xml:space="preserve"> </w:t>
      </w:r>
      <w:r>
        <w:rPr>
          <w:u w:val="single"/>
        </w:rPr>
        <w:t>PD</w:t>
      </w:r>
      <w:r>
        <w:rPr>
          <w:spacing w:val="-6"/>
          <w:u w:val="single"/>
        </w:rPr>
        <w:t xml:space="preserve"> </w:t>
      </w:r>
      <w:r>
        <w:rPr>
          <w:u w:val="single"/>
        </w:rPr>
        <w:t>WORKSHEET</w:t>
      </w:r>
      <w:r>
        <w:rPr>
          <w:spacing w:val="-4"/>
          <w:u w:val="single"/>
        </w:rPr>
        <w:t xml:space="preserve"> </w:t>
      </w:r>
      <w:r>
        <w:rPr>
          <w:u w:val="single"/>
        </w:rPr>
        <w:t>5</w:t>
      </w:r>
      <w:r>
        <w:rPr>
          <w:spacing w:val="-3"/>
          <w:u w:val="single"/>
        </w:rPr>
        <w:t xml:space="preserve"> </w:t>
      </w:r>
      <w:r>
        <w:rPr>
          <w:u w:val="single"/>
        </w:rPr>
        <w:t>–</w:t>
      </w:r>
      <w:r>
        <w:rPr>
          <w:spacing w:val="-6"/>
          <w:u w:val="single"/>
        </w:rPr>
        <w:t xml:space="preserve"> </w:t>
      </w:r>
      <w:r>
        <w:rPr>
          <w:u w:val="single"/>
        </w:rPr>
        <w:t>RX</w:t>
      </w:r>
      <w:r>
        <w:rPr>
          <w:spacing w:val="-6"/>
          <w:u w:val="single"/>
        </w:rPr>
        <w:t xml:space="preserve"> </w:t>
      </w:r>
      <w:r>
        <w:rPr>
          <w:u w:val="single"/>
        </w:rPr>
        <w:t>ALTERNATIVE</w:t>
      </w:r>
      <w:r>
        <w:rPr>
          <w:spacing w:val="-5"/>
          <w:u w:val="single"/>
        </w:rPr>
        <w:t xml:space="preserve"> </w:t>
      </w:r>
      <w:r>
        <w:rPr>
          <w:spacing w:val="-2"/>
          <w:u w:val="single"/>
        </w:rPr>
        <w:t>COVERAGE</w:t>
      </w:r>
      <w:r>
        <w:rPr>
          <w:u w:val="single"/>
        </w:rPr>
        <w:tab/>
      </w:r>
    </w:p>
    <w:p>
      <w:pPr>
        <w:pStyle w:val="BodyText"/>
        <w:spacing w:before="271"/>
        <w:ind w:left="440" w:right="915"/>
        <w:jc w:val="both"/>
      </w:pPr>
      <w:r>
        <w:t>Worksheet 5 must be completed when the plan benefit type is Basic Alternative (BA)</w:t>
      </w:r>
      <w:r>
        <w:rPr>
          <w:spacing w:val="-1"/>
        </w:rPr>
        <w:t xml:space="preserve"> </w:t>
      </w:r>
      <w:r>
        <w:t>or Enhanced</w:t>
      </w:r>
      <w:r>
        <w:rPr>
          <w:spacing w:val="-3"/>
        </w:rPr>
        <w:t xml:space="preserve"> </w:t>
      </w:r>
      <w:r>
        <w:t>Alternative</w:t>
      </w:r>
      <w:r>
        <w:rPr>
          <w:spacing w:val="-4"/>
        </w:rPr>
        <w:t xml:space="preserve"> </w:t>
      </w:r>
      <w:r>
        <w:t>(EA).</w:t>
      </w:r>
      <w:r>
        <w:rPr>
          <w:spacing w:val="-3"/>
        </w:rPr>
        <w:t xml:space="preserve"> </w:t>
      </w:r>
      <w:r>
        <w:t>The</w:t>
      </w:r>
      <w:r>
        <w:rPr>
          <w:spacing w:val="-5"/>
        </w:rPr>
        <w:t xml:space="preserve"> </w:t>
      </w:r>
      <w:r>
        <w:t>four</w:t>
      </w:r>
      <w:r>
        <w:rPr>
          <w:spacing w:val="-4"/>
        </w:rPr>
        <w:t xml:space="preserve"> </w:t>
      </w:r>
      <w:r>
        <w:t>tests</w:t>
      </w:r>
      <w:r>
        <w:rPr>
          <w:spacing w:val="-3"/>
        </w:rPr>
        <w:t xml:space="preserve"> </w:t>
      </w:r>
      <w:r>
        <w:t>that</w:t>
      </w:r>
      <w:r>
        <w:rPr>
          <w:spacing w:val="-4"/>
        </w:rPr>
        <w:t xml:space="preserve"> </w:t>
      </w:r>
      <w:r>
        <w:t>must</w:t>
      </w:r>
      <w:r>
        <w:rPr>
          <w:spacing w:val="-3"/>
        </w:rPr>
        <w:t xml:space="preserve"> </w:t>
      </w:r>
      <w:r>
        <w:t>be</w:t>
      </w:r>
      <w:r>
        <w:rPr>
          <w:spacing w:val="-4"/>
        </w:rPr>
        <w:t xml:space="preserve"> </w:t>
      </w:r>
      <w:r>
        <w:t>satisfied</w:t>
      </w:r>
      <w:r>
        <w:rPr>
          <w:spacing w:val="-3"/>
        </w:rPr>
        <w:t xml:space="preserve"> </w:t>
      </w:r>
      <w:r>
        <w:t>to</w:t>
      </w:r>
      <w:r>
        <w:rPr>
          <w:spacing w:val="-4"/>
        </w:rPr>
        <w:t xml:space="preserve"> </w:t>
      </w:r>
      <w:r>
        <w:t>demonstrate</w:t>
      </w:r>
      <w:r>
        <w:rPr>
          <w:spacing w:val="-3"/>
        </w:rPr>
        <w:t xml:space="preserve"> </w:t>
      </w:r>
      <w:r>
        <w:t>actuarial equivalence are as follows:</w:t>
      </w:r>
    </w:p>
    <w:p>
      <w:pPr>
        <w:pStyle w:val="ListParagraph"/>
        <w:numPr>
          <w:ilvl w:val="0"/>
          <w:numId w:val="7"/>
        </w:numPr>
        <w:tabs>
          <w:tab w:val="left" w:pos="1160"/>
        </w:tabs>
        <w:spacing w:before="120" w:after="0" w:line="240" w:lineRule="auto"/>
        <w:ind w:left="1160" w:right="0" w:hanging="360"/>
        <w:jc w:val="left"/>
        <w:rPr>
          <w:sz w:val="24"/>
        </w:rPr>
      </w:pPr>
      <w:r>
        <w:rPr>
          <w:sz w:val="24"/>
        </w:rPr>
        <w:t>The</w:t>
      </w:r>
      <w:r>
        <w:rPr>
          <w:spacing w:val="-3"/>
          <w:sz w:val="24"/>
        </w:rPr>
        <w:t xml:space="preserve"> </w:t>
      </w:r>
      <w:r>
        <w:rPr>
          <w:sz w:val="24"/>
        </w:rPr>
        <w:t>value</w:t>
      </w:r>
      <w:r>
        <w:rPr>
          <w:spacing w:val="-1"/>
          <w:sz w:val="24"/>
        </w:rPr>
        <w:t xml:space="preserve"> </w:t>
      </w:r>
      <w:r>
        <w:rPr>
          <w:sz w:val="24"/>
        </w:rPr>
        <w:t>of</w:t>
      </w:r>
      <w:r>
        <w:rPr>
          <w:spacing w:val="-2"/>
          <w:sz w:val="24"/>
        </w:rPr>
        <w:t xml:space="preserve"> </w:t>
      </w:r>
      <w:r>
        <w:rPr>
          <w:sz w:val="24"/>
        </w:rPr>
        <w:t>total</w:t>
      </w:r>
      <w:r>
        <w:rPr>
          <w:spacing w:val="1"/>
          <w:sz w:val="24"/>
        </w:rPr>
        <w:t xml:space="preserve"> </w:t>
      </w:r>
      <w:r>
        <w:rPr>
          <w:sz w:val="24"/>
        </w:rPr>
        <w:t>coverage</w:t>
      </w:r>
      <w:r>
        <w:rPr>
          <w:spacing w:val="-1"/>
          <w:sz w:val="24"/>
        </w:rPr>
        <w:t xml:space="preserve"> </w:t>
      </w:r>
      <w:r>
        <w:rPr>
          <w:sz w:val="24"/>
        </w:rPr>
        <w:t>is</w:t>
      </w:r>
      <w:r>
        <w:rPr>
          <w:spacing w:val="-1"/>
          <w:sz w:val="24"/>
        </w:rPr>
        <w:t xml:space="preserve"> </w:t>
      </w:r>
      <w:r>
        <w:rPr>
          <w:sz w:val="24"/>
        </w:rPr>
        <w:t>at</w:t>
      </w:r>
      <w:r>
        <w:rPr>
          <w:spacing w:val="-1"/>
          <w:sz w:val="24"/>
        </w:rPr>
        <w:t xml:space="preserve"> </w:t>
      </w:r>
      <w:r>
        <w:rPr>
          <w:sz w:val="24"/>
        </w:rPr>
        <w:t>least actuarially</w:t>
      </w:r>
      <w:r>
        <w:rPr>
          <w:spacing w:val="-1"/>
          <w:sz w:val="24"/>
        </w:rPr>
        <w:t xml:space="preserve"> </w:t>
      </w:r>
      <w:r>
        <w:rPr>
          <w:sz w:val="24"/>
        </w:rPr>
        <w:t>equivalent to</w:t>
      </w:r>
      <w:r>
        <w:rPr>
          <w:spacing w:val="-1"/>
          <w:sz w:val="24"/>
        </w:rPr>
        <w:t xml:space="preserve"> </w:t>
      </w:r>
      <w:r>
        <w:rPr>
          <w:sz w:val="24"/>
        </w:rPr>
        <w:t xml:space="preserve">DS </w:t>
      </w:r>
      <w:r>
        <w:rPr>
          <w:spacing w:val="-2"/>
          <w:sz w:val="24"/>
        </w:rPr>
        <w:t>coverage.</w:t>
      </w:r>
    </w:p>
    <w:p>
      <w:pPr>
        <w:pStyle w:val="ListParagraph"/>
        <w:numPr>
          <w:ilvl w:val="0"/>
          <w:numId w:val="7"/>
        </w:numPr>
        <w:tabs>
          <w:tab w:val="left" w:pos="1160"/>
        </w:tabs>
        <w:spacing w:before="38" w:after="0" w:line="240" w:lineRule="auto"/>
        <w:ind w:left="1160" w:right="2063" w:hanging="360"/>
        <w:jc w:val="left"/>
        <w:rPr>
          <w:sz w:val="24"/>
        </w:rPr>
      </w:pPr>
      <w:r>
        <w:rPr>
          <w:sz w:val="24"/>
        </w:rPr>
        <w:t>The</w:t>
      </w:r>
      <w:r>
        <w:rPr>
          <w:spacing w:val="-6"/>
          <w:sz w:val="24"/>
        </w:rPr>
        <w:t xml:space="preserve"> </w:t>
      </w:r>
      <w:r>
        <w:rPr>
          <w:sz w:val="24"/>
        </w:rPr>
        <w:t>alternative</w:t>
      </w:r>
      <w:r>
        <w:rPr>
          <w:spacing w:val="-5"/>
          <w:sz w:val="24"/>
        </w:rPr>
        <w:t xml:space="preserve"> </w:t>
      </w:r>
      <w:r>
        <w:rPr>
          <w:sz w:val="24"/>
        </w:rPr>
        <w:t>unsubsidized</w:t>
      </w:r>
      <w:r>
        <w:rPr>
          <w:spacing w:val="-4"/>
          <w:sz w:val="24"/>
        </w:rPr>
        <w:t xml:space="preserve"> </w:t>
      </w:r>
      <w:r>
        <w:rPr>
          <w:sz w:val="24"/>
        </w:rPr>
        <w:t>value</w:t>
      </w:r>
      <w:r>
        <w:rPr>
          <w:spacing w:val="-4"/>
          <w:sz w:val="24"/>
        </w:rPr>
        <w:t xml:space="preserve"> </w:t>
      </w:r>
      <w:r>
        <w:rPr>
          <w:sz w:val="24"/>
        </w:rPr>
        <w:t>of</w:t>
      </w:r>
      <w:r>
        <w:rPr>
          <w:spacing w:val="-4"/>
          <w:sz w:val="24"/>
        </w:rPr>
        <w:t xml:space="preserve"> </w:t>
      </w:r>
      <w:r>
        <w:rPr>
          <w:sz w:val="24"/>
        </w:rPr>
        <w:t>coverage</w:t>
      </w:r>
      <w:r>
        <w:rPr>
          <w:spacing w:val="-5"/>
          <w:sz w:val="24"/>
        </w:rPr>
        <w:t xml:space="preserve"> </w:t>
      </w:r>
      <w:r>
        <w:rPr>
          <w:sz w:val="24"/>
        </w:rPr>
        <w:t>is</w:t>
      </w:r>
      <w:r>
        <w:rPr>
          <w:spacing w:val="-4"/>
          <w:sz w:val="24"/>
        </w:rPr>
        <w:t xml:space="preserve"> </w:t>
      </w:r>
      <w:r>
        <w:rPr>
          <w:sz w:val="24"/>
        </w:rPr>
        <w:t>no</w:t>
      </w:r>
      <w:r>
        <w:rPr>
          <w:spacing w:val="-4"/>
          <w:sz w:val="24"/>
        </w:rPr>
        <w:t xml:space="preserve"> </w:t>
      </w:r>
      <w:r>
        <w:rPr>
          <w:sz w:val="24"/>
        </w:rPr>
        <w:t>less</w:t>
      </w:r>
      <w:r>
        <w:rPr>
          <w:spacing w:val="-4"/>
          <w:sz w:val="24"/>
        </w:rPr>
        <w:t xml:space="preserve"> </w:t>
      </w:r>
      <w:r>
        <w:rPr>
          <w:sz w:val="24"/>
        </w:rPr>
        <w:t>than</w:t>
      </w:r>
      <w:r>
        <w:rPr>
          <w:spacing w:val="-4"/>
          <w:sz w:val="24"/>
        </w:rPr>
        <w:t xml:space="preserve"> </w:t>
      </w:r>
      <w:r>
        <w:rPr>
          <w:sz w:val="24"/>
        </w:rPr>
        <w:t>the</w:t>
      </w:r>
      <w:r>
        <w:rPr>
          <w:spacing w:val="-5"/>
          <w:sz w:val="24"/>
        </w:rPr>
        <w:t xml:space="preserve"> </w:t>
      </w:r>
      <w:r>
        <w:rPr>
          <w:sz w:val="24"/>
        </w:rPr>
        <w:t>DS unsubsidized value of coverage.</w:t>
      </w:r>
    </w:p>
    <w:p>
      <w:pPr>
        <w:pStyle w:val="ListParagraph"/>
        <w:numPr>
          <w:ilvl w:val="0"/>
          <w:numId w:val="7"/>
        </w:numPr>
        <w:tabs>
          <w:tab w:val="left" w:pos="1160"/>
        </w:tabs>
        <w:spacing w:before="41" w:after="0" w:line="240" w:lineRule="auto"/>
        <w:ind w:left="1160" w:right="840" w:hanging="360"/>
        <w:jc w:val="left"/>
        <w:rPr>
          <w:sz w:val="24"/>
        </w:rPr>
      </w:pPr>
      <w:r>
        <w:rPr>
          <w:sz w:val="24"/>
        </w:rPr>
        <w:t>The average alternative benefits for beneficiaries with allowed drug costs at the catastrophic</w:t>
      </w:r>
      <w:r>
        <w:rPr>
          <w:spacing w:val="-5"/>
          <w:sz w:val="24"/>
        </w:rPr>
        <w:t xml:space="preserve"> </w:t>
      </w:r>
      <w:r>
        <w:rPr>
          <w:sz w:val="24"/>
        </w:rPr>
        <w:t>threshold</w:t>
      </w:r>
      <w:r>
        <w:rPr>
          <w:spacing w:val="-4"/>
          <w:sz w:val="24"/>
        </w:rPr>
        <w:t xml:space="preserve"> </w:t>
      </w:r>
      <w:r>
        <w:rPr>
          <w:sz w:val="24"/>
        </w:rPr>
        <w:t>are</w:t>
      </w:r>
      <w:r>
        <w:rPr>
          <w:spacing w:val="-5"/>
          <w:sz w:val="24"/>
        </w:rPr>
        <w:t xml:space="preserve"> </w:t>
      </w:r>
      <w:r>
        <w:rPr>
          <w:sz w:val="24"/>
        </w:rPr>
        <w:t>not</w:t>
      </w:r>
      <w:r>
        <w:rPr>
          <w:spacing w:val="-4"/>
          <w:sz w:val="24"/>
        </w:rPr>
        <w:t xml:space="preserve"> </w:t>
      </w:r>
      <w:r>
        <w:rPr>
          <w:sz w:val="24"/>
        </w:rPr>
        <w:t>less</w:t>
      </w:r>
      <w:r>
        <w:rPr>
          <w:spacing w:val="-4"/>
          <w:sz w:val="24"/>
        </w:rPr>
        <w:t xml:space="preserve"> </w:t>
      </w:r>
      <w:r>
        <w:rPr>
          <w:sz w:val="24"/>
        </w:rPr>
        <w:t>than</w:t>
      </w:r>
      <w:r>
        <w:rPr>
          <w:spacing w:val="-4"/>
          <w:sz w:val="24"/>
        </w:rPr>
        <w:t xml:space="preserve"> </w:t>
      </w:r>
      <w:r>
        <w:rPr>
          <w:sz w:val="24"/>
        </w:rPr>
        <w:t>the</w:t>
      </w:r>
      <w:r>
        <w:rPr>
          <w:spacing w:val="-4"/>
          <w:sz w:val="24"/>
        </w:rPr>
        <w:t xml:space="preserve"> </w:t>
      </w:r>
      <w:r>
        <w:rPr>
          <w:sz w:val="24"/>
        </w:rPr>
        <w:t>average</w:t>
      </w:r>
      <w:r>
        <w:rPr>
          <w:spacing w:val="-5"/>
          <w:sz w:val="24"/>
        </w:rPr>
        <w:t xml:space="preserve"> </w:t>
      </w:r>
      <w:r>
        <w:rPr>
          <w:sz w:val="24"/>
        </w:rPr>
        <w:t>DS</w:t>
      </w:r>
      <w:r>
        <w:rPr>
          <w:spacing w:val="-1"/>
          <w:sz w:val="24"/>
        </w:rPr>
        <w:t xml:space="preserve"> </w:t>
      </w:r>
      <w:r>
        <w:rPr>
          <w:sz w:val="24"/>
        </w:rPr>
        <w:t>benefits</w:t>
      </w:r>
      <w:r>
        <w:rPr>
          <w:spacing w:val="-4"/>
          <w:sz w:val="24"/>
        </w:rPr>
        <w:t xml:space="preserve"> </w:t>
      </w:r>
      <w:r>
        <w:rPr>
          <w:sz w:val="24"/>
        </w:rPr>
        <w:t>at</w:t>
      </w:r>
      <w:r>
        <w:rPr>
          <w:spacing w:val="-4"/>
          <w:sz w:val="24"/>
        </w:rPr>
        <w:t xml:space="preserve"> </w:t>
      </w:r>
      <w:r>
        <w:rPr>
          <w:sz w:val="24"/>
        </w:rPr>
        <w:t>the</w:t>
      </w:r>
      <w:r>
        <w:rPr>
          <w:spacing w:val="-3"/>
          <w:sz w:val="24"/>
        </w:rPr>
        <w:t xml:space="preserve"> </w:t>
      </w:r>
      <w:r>
        <w:rPr>
          <w:sz w:val="24"/>
        </w:rPr>
        <w:t xml:space="preserve">catastrophic </w:t>
      </w:r>
      <w:r>
        <w:rPr>
          <w:spacing w:val="-2"/>
          <w:sz w:val="24"/>
        </w:rPr>
        <w:t>threshold.</w:t>
      </w:r>
    </w:p>
    <w:p>
      <w:pPr>
        <w:pStyle w:val="ListParagraph"/>
        <w:numPr>
          <w:ilvl w:val="0"/>
          <w:numId w:val="7"/>
        </w:numPr>
        <w:tabs>
          <w:tab w:val="left" w:pos="1160"/>
        </w:tabs>
        <w:spacing w:before="41" w:after="0" w:line="240" w:lineRule="auto"/>
        <w:ind w:left="1160" w:right="0" w:hanging="360"/>
        <w:jc w:val="left"/>
        <w:rPr>
          <w:sz w:val="24"/>
        </w:rPr>
      </w:pPr>
      <w:r>
        <w:rPr>
          <w:sz w:val="24"/>
        </w:rPr>
        <w:t>The</w:t>
      </w:r>
      <w:r>
        <w:rPr>
          <w:spacing w:val="-3"/>
          <w:sz w:val="24"/>
        </w:rPr>
        <w:t xml:space="preserve"> </w:t>
      </w:r>
      <w:r>
        <w:rPr>
          <w:sz w:val="24"/>
        </w:rPr>
        <w:t>deductible is</w:t>
      </w:r>
      <w:r>
        <w:rPr>
          <w:spacing w:val="-1"/>
          <w:sz w:val="24"/>
        </w:rPr>
        <w:t xml:space="preserve"> </w:t>
      </w:r>
      <w:r>
        <w:rPr>
          <w:sz w:val="24"/>
        </w:rPr>
        <w:t>not greater</w:t>
      </w:r>
      <w:r>
        <w:rPr>
          <w:spacing w:val="-2"/>
          <w:sz w:val="24"/>
        </w:rPr>
        <w:t xml:space="preserve"> </w:t>
      </w:r>
      <w:r>
        <w:rPr>
          <w:sz w:val="24"/>
        </w:rPr>
        <w:t>than</w:t>
      </w:r>
      <w:r>
        <w:rPr>
          <w:spacing w:val="-1"/>
          <w:sz w:val="24"/>
        </w:rPr>
        <w:t xml:space="preserve"> </w:t>
      </w:r>
      <w:r>
        <w:rPr>
          <w:sz w:val="24"/>
        </w:rPr>
        <w:t>the</w:t>
      </w:r>
      <w:r>
        <w:rPr>
          <w:spacing w:val="-1"/>
          <w:sz w:val="24"/>
        </w:rPr>
        <w:t xml:space="preserve"> </w:t>
      </w:r>
      <w:r>
        <w:rPr>
          <w:sz w:val="24"/>
        </w:rPr>
        <w:t xml:space="preserve">DS </w:t>
      </w:r>
      <w:r>
        <w:rPr>
          <w:spacing w:val="-2"/>
          <w:sz w:val="24"/>
        </w:rPr>
        <w:t>deductible.</w:t>
      </w:r>
    </w:p>
    <w:p>
      <w:pPr>
        <w:pStyle w:val="BodyText"/>
        <w:spacing w:before="43"/>
        <w:ind w:left="0"/>
      </w:pPr>
    </w:p>
    <w:p>
      <w:pPr>
        <w:spacing w:before="0"/>
        <w:ind w:left="440" w:right="1649" w:firstLine="0"/>
        <w:jc w:val="left"/>
        <w:rPr>
          <w:rFonts w:ascii="Arial"/>
          <w:b/>
          <w:sz w:val="19"/>
        </w:rPr>
      </w:pPr>
      <w:bookmarkStart w:id="196" w:name="Considerations for Basic Alternative and"/>
      <w:bookmarkEnd w:id="196"/>
      <w:bookmarkStart w:id="197" w:name="_bookmark56"/>
      <w:bookmarkEnd w:id="197"/>
      <w:r>
        <w:rPr>
          <w:rFonts w:ascii="Arial"/>
          <w:b/>
          <w:sz w:val="24"/>
        </w:rPr>
        <w:t>C</w:t>
      </w:r>
      <w:r>
        <w:rPr>
          <w:rFonts w:ascii="Arial"/>
          <w:b/>
          <w:sz w:val="19"/>
        </w:rPr>
        <w:t>ONSIDERATIONS</w:t>
      </w:r>
      <w:r>
        <w:rPr>
          <w:rFonts w:ascii="Arial"/>
          <w:b/>
          <w:spacing w:val="-7"/>
          <w:sz w:val="19"/>
        </w:rPr>
        <w:t xml:space="preserve"> </w:t>
      </w:r>
      <w:r>
        <w:rPr>
          <w:rFonts w:ascii="Arial"/>
          <w:b/>
          <w:sz w:val="19"/>
        </w:rPr>
        <w:t>FOR</w:t>
      </w:r>
      <w:r>
        <w:rPr>
          <w:rFonts w:ascii="Arial"/>
          <w:b/>
          <w:spacing w:val="-6"/>
          <w:sz w:val="19"/>
        </w:rPr>
        <w:t xml:space="preserve"> </w:t>
      </w:r>
      <w:r>
        <w:rPr>
          <w:rFonts w:ascii="Arial"/>
          <w:b/>
          <w:sz w:val="24"/>
        </w:rPr>
        <w:t>B</w:t>
      </w:r>
      <w:r>
        <w:rPr>
          <w:rFonts w:ascii="Arial"/>
          <w:b/>
          <w:sz w:val="19"/>
        </w:rPr>
        <w:t>ASIC</w:t>
      </w:r>
      <w:r>
        <w:rPr>
          <w:rFonts w:ascii="Arial"/>
          <w:b/>
          <w:spacing w:val="-7"/>
          <w:sz w:val="19"/>
        </w:rPr>
        <w:t xml:space="preserve"> </w:t>
      </w:r>
      <w:r>
        <w:rPr>
          <w:rFonts w:ascii="Arial"/>
          <w:b/>
          <w:sz w:val="26"/>
        </w:rPr>
        <w:t>A</w:t>
      </w:r>
      <w:r>
        <w:rPr>
          <w:rFonts w:ascii="Arial"/>
          <w:b/>
          <w:sz w:val="21"/>
        </w:rPr>
        <w:t>LTERNATIVE</w:t>
      </w:r>
      <w:r>
        <w:rPr>
          <w:rFonts w:ascii="Arial"/>
          <w:b/>
          <w:spacing w:val="-11"/>
          <w:sz w:val="21"/>
        </w:rPr>
        <w:t xml:space="preserve"> </w:t>
      </w:r>
      <w:r>
        <w:rPr>
          <w:rFonts w:ascii="Arial"/>
          <w:b/>
          <w:sz w:val="19"/>
        </w:rPr>
        <w:t>AND</w:t>
      </w:r>
      <w:r>
        <w:rPr>
          <w:rFonts w:ascii="Arial"/>
          <w:b/>
          <w:spacing w:val="-7"/>
          <w:sz w:val="19"/>
        </w:rPr>
        <w:t xml:space="preserve"> </w:t>
      </w:r>
      <w:r>
        <w:rPr>
          <w:rFonts w:ascii="Arial"/>
          <w:b/>
          <w:sz w:val="24"/>
        </w:rPr>
        <w:t>E</w:t>
      </w:r>
      <w:r>
        <w:rPr>
          <w:rFonts w:ascii="Arial"/>
          <w:b/>
          <w:sz w:val="19"/>
        </w:rPr>
        <w:t>NHANCED</w:t>
      </w:r>
      <w:r>
        <w:rPr>
          <w:rFonts w:ascii="Arial"/>
          <w:b/>
          <w:spacing w:val="-7"/>
          <w:sz w:val="19"/>
        </w:rPr>
        <w:t xml:space="preserve"> </w:t>
      </w:r>
      <w:r>
        <w:rPr>
          <w:rFonts w:ascii="Arial"/>
          <w:b/>
          <w:sz w:val="24"/>
        </w:rPr>
        <w:t>A</w:t>
      </w:r>
      <w:r>
        <w:rPr>
          <w:rFonts w:ascii="Arial"/>
          <w:b/>
          <w:sz w:val="19"/>
        </w:rPr>
        <w:t xml:space="preserve">LTERNATIVE </w:t>
      </w:r>
      <w:r>
        <w:rPr>
          <w:rFonts w:ascii="Arial"/>
          <w:b/>
          <w:spacing w:val="-2"/>
          <w:sz w:val="24"/>
        </w:rPr>
        <w:t>C</w:t>
      </w:r>
      <w:r>
        <w:rPr>
          <w:rFonts w:ascii="Arial"/>
          <w:b/>
          <w:spacing w:val="-2"/>
          <w:sz w:val="19"/>
        </w:rPr>
        <w:t>OVERAGE</w:t>
      </w:r>
    </w:p>
    <w:p>
      <w:pPr>
        <w:pStyle w:val="BodyText"/>
        <w:spacing w:before="179"/>
        <w:ind w:left="440" w:right="822"/>
      </w:pPr>
      <w:r>
        <w:t>Although the average cost sharing between the deductible and catastrophic threshold</w:t>
      </w:r>
      <w:r>
        <w:rPr>
          <w:spacing w:val="40"/>
        </w:rPr>
        <w:t xml:space="preserve"> </w:t>
      </w:r>
      <w:r>
        <w:t>must be 25 percent for a BA and less than or equal to 25 percent for an EA plan, it is expected that the cost sharing will be restructured to encourage more efficient drug use through tiered copays and/or coinsurance. As compared to DS plans, BA and EA plans generally</w:t>
      </w:r>
      <w:r>
        <w:rPr>
          <w:spacing w:val="-3"/>
        </w:rPr>
        <w:t xml:space="preserve"> </w:t>
      </w:r>
      <w:r>
        <w:t>have</w:t>
      </w:r>
      <w:r>
        <w:rPr>
          <w:spacing w:val="-4"/>
        </w:rPr>
        <w:t xml:space="preserve"> </w:t>
      </w:r>
      <w:r>
        <w:t>higher</w:t>
      </w:r>
      <w:r>
        <w:rPr>
          <w:spacing w:val="-5"/>
        </w:rPr>
        <w:t xml:space="preserve"> </w:t>
      </w:r>
      <w:r>
        <w:t>generic,</w:t>
      </w:r>
      <w:r>
        <w:rPr>
          <w:spacing w:val="-3"/>
        </w:rPr>
        <w:t xml:space="preserve"> </w:t>
      </w:r>
      <w:r>
        <w:t>preferred</w:t>
      </w:r>
      <w:r>
        <w:rPr>
          <w:spacing w:val="-3"/>
        </w:rPr>
        <w:t xml:space="preserve"> </w:t>
      </w:r>
      <w:r>
        <w:t>brand</w:t>
      </w:r>
      <w:r>
        <w:rPr>
          <w:spacing w:val="-3"/>
        </w:rPr>
        <w:t xml:space="preserve"> </w:t>
      </w:r>
      <w:r>
        <w:t>and</w:t>
      </w:r>
      <w:r>
        <w:rPr>
          <w:spacing w:val="-3"/>
        </w:rPr>
        <w:t xml:space="preserve"> </w:t>
      </w:r>
      <w:r>
        <w:t>mail</w:t>
      </w:r>
      <w:r>
        <w:rPr>
          <w:spacing w:val="-3"/>
        </w:rPr>
        <w:t xml:space="preserve"> </w:t>
      </w:r>
      <w:r>
        <w:t>service</w:t>
      </w:r>
      <w:r>
        <w:rPr>
          <w:spacing w:val="-4"/>
        </w:rPr>
        <w:t xml:space="preserve"> </w:t>
      </w:r>
      <w:r>
        <w:t>utilization</w:t>
      </w:r>
      <w:r>
        <w:rPr>
          <w:spacing w:val="-3"/>
        </w:rPr>
        <w:t xml:space="preserve"> </w:t>
      </w:r>
      <w:r>
        <w:t>and</w:t>
      </w:r>
      <w:r>
        <w:rPr>
          <w:spacing w:val="-3"/>
        </w:rPr>
        <w:t xml:space="preserve"> </w:t>
      </w:r>
      <w:r>
        <w:t>lower</w:t>
      </w:r>
      <w:r>
        <w:rPr>
          <w:spacing w:val="-3"/>
        </w:rPr>
        <w:t xml:space="preserve"> </w:t>
      </w:r>
      <w:r>
        <w:t>non- preferred brand utilization.</w:t>
      </w:r>
    </w:p>
    <w:p>
      <w:pPr>
        <w:pStyle w:val="BodyText"/>
        <w:ind w:left="440" w:right="918"/>
      </w:pPr>
      <w:r>
        <w:t>Part D sponsors must model the differences between the BA or EA benefit and the DS benefit by making adjustments in utilization and average allowed amounts by type of drug and point-of-sale (retail or mail order as defined by the PBP) in Worksheet 6. The distribution of utilization between generic and brand, and between retail and mail, must be</w:t>
      </w:r>
      <w:r>
        <w:rPr>
          <w:spacing w:val="-5"/>
        </w:rPr>
        <w:t xml:space="preserve"> </w:t>
      </w:r>
      <w:r>
        <w:t>reasonable</w:t>
      </w:r>
      <w:r>
        <w:rPr>
          <w:spacing w:val="-4"/>
        </w:rPr>
        <w:t xml:space="preserve"> </w:t>
      </w:r>
      <w:r>
        <w:t>given</w:t>
      </w:r>
      <w:r>
        <w:rPr>
          <w:spacing w:val="-4"/>
        </w:rPr>
        <w:t xml:space="preserve"> </w:t>
      </w:r>
      <w:r>
        <w:t>the</w:t>
      </w:r>
      <w:r>
        <w:rPr>
          <w:spacing w:val="-4"/>
        </w:rPr>
        <w:t xml:space="preserve"> </w:t>
      </w:r>
      <w:r>
        <w:t>proposed</w:t>
      </w:r>
      <w:r>
        <w:rPr>
          <w:spacing w:val="-4"/>
        </w:rPr>
        <w:t xml:space="preserve"> </w:t>
      </w:r>
      <w:r>
        <w:t>benefit.</w:t>
      </w:r>
      <w:r>
        <w:rPr>
          <w:spacing w:val="-4"/>
        </w:rPr>
        <w:t xml:space="preserve"> </w:t>
      </w:r>
      <w:r>
        <w:t>Significant</w:t>
      </w:r>
      <w:r>
        <w:rPr>
          <w:spacing w:val="-4"/>
        </w:rPr>
        <w:t xml:space="preserve"> </w:t>
      </w:r>
      <w:r>
        <w:t>changes</w:t>
      </w:r>
      <w:r>
        <w:rPr>
          <w:spacing w:val="-4"/>
        </w:rPr>
        <w:t xml:space="preserve"> </w:t>
      </w:r>
      <w:r>
        <w:t>to</w:t>
      </w:r>
      <w:r>
        <w:rPr>
          <w:spacing w:val="-4"/>
        </w:rPr>
        <w:t xml:space="preserve"> </w:t>
      </w:r>
      <w:r>
        <w:t>the</w:t>
      </w:r>
      <w:r>
        <w:rPr>
          <w:spacing w:val="-5"/>
        </w:rPr>
        <w:t xml:space="preserve"> </w:t>
      </w:r>
      <w:r>
        <w:t>benefit</w:t>
      </w:r>
      <w:r>
        <w:rPr>
          <w:spacing w:val="-2"/>
        </w:rPr>
        <w:t xml:space="preserve"> </w:t>
      </w:r>
      <w:r>
        <w:t>are</w:t>
      </w:r>
      <w:r>
        <w:rPr>
          <w:spacing w:val="-6"/>
        </w:rPr>
        <w:t xml:space="preserve"> </w:t>
      </w:r>
      <w:r>
        <w:t>expected to result in meaningful differences in utilization when compared to the DS bid.</w:t>
      </w:r>
    </w:p>
    <w:p>
      <w:pPr>
        <w:pStyle w:val="BodyText"/>
        <w:spacing w:before="121"/>
        <w:ind w:left="440" w:right="816"/>
      </w:pPr>
      <w:r>
        <w:t>BA</w:t>
      </w:r>
      <w:r>
        <w:rPr>
          <w:spacing w:val="-3"/>
        </w:rPr>
        <w:t xml:space="preserve"> </w:t>
      </w:r>
      <w:r>
        <w:t>and</w:t>
      </w:r>
      <w:r>
        <w:rPr>
          <w:spacing w:val="-3"/>
        </w:rPr>
        <w:t xml:space="preserve"> </w:t>
      </w:r>
      <w:r>
        <w:t>EA</w:t>
      </w:r>
      <w:r>
        <w:rPr>
          <w:spacing w:val="-3"/>
        </w:rPr>
        <w:t xml:space="preserve"> </w:t>
      </w:r>
      <w:r>
        <w:t>plans</w:t>
      </w:r>
      <w:r>
        <w:rPr>
          <w:spacing w:val="-3"/>
        </w:rPr>
        <w:t xml:space="preserve"> </w:t>
      </w:r>
      <w:r>
        <w:t>may</w:t>
      </w:r>
      <w:r>
        <w:rPr>
          <w:spacing w:val="-3"/>
        </w:rPr>
        <w:t xml:space="preserve"> </w:t>
      </w:r>
      <w:r>
        <w:t>reduce</w:t>
      </w:r>
      <w:r>
        <w:rPr>
          <w:spacing w:val="-3"/>
        </w:rPr>
        <w:t xml:space="preserve"> </w:t>
      </w:r>
      <w:r>
        <w:t>the</w:t>
      </w:r>
      <w:r>
        <w:rPr>
          <w:spacing w:val="-3"/>
        </w:rPr>
        <w:t xml:space="preserve"> </w:t>
      </w:r>
      <w:r>
        <w:t>value</w:t>
      </w:r>
      <w:r>
        <w:rPr>
          <w:spacing w:val="-3"/>
        </w:rPr>
        <w:t xml:space="preserve"> </w:t>
      </w:r>
      <w:r>
        <w:t>of</w:t>
      </w:r>
      <w:r>
        <w:rPr>
          <w:spacing w:val="-3"/>
        </w:rPr>
        <w:t xml:space="preserve"> </w:t>
      </w:r>
      <w:r>
        <w:t>the</w:t>
      </w:r>
      <w:r>
        <w:rPr>
          <w:spacing w:val="-4"/>
        </w:rPr>
        <w:t xml:space="preserve"> </w:t>
      </w:r>
      <w:r>
        <w:t>deductible.</w:t>
      </w:r>
      <w:r>
        <w:rPr>
          <w:spacing w:val="-3"/>
        </w:rPr>
        <w:t xml:space="preserve"> </w:t>
      </w:r>
      <w:r>
        <w:t>Since</w:t>
      </w:r>
      <w:r>
        <w:rPr>
          <w:spacing w:val="-4"/>
        </w:rPr>
        <w:t xml:space="preserve"> </w:t>
      </w:r>
      <w:r>
        <w:t>the</w:t>
      </w:r>
      <w:r>
        <w:rPr>
          <w:spacing w:val="-3"/>
        </w:rPr>
        <w:t xml:space="preserve"> </w:t>
      </w:r>
      <w:r>
        <w:t>value</w:t>
      </w:r>
      <w:r>
        <w:rPr>
          <w:spacing w:val="-3"/>
        </w:rPr>
        <w:t xml:space="preserve"> </w:t>
      </w:r>
      <w:r>
        <w:t>of</w:t>
      </w:r>
      <w:r>
        <w:rPr>
          <w:spacing w:val="-3"/>
        </w:rPr>
        <w:t xml:space="preserve"> </w:t>
      </w:r>
      <w:r>
        <w:t>coverage</w:t>
      </w:r>
      <w:r>
        <w:rPr>
          <w:spacing w:val="-3"/>
        </w:rPr>
        <w:t xml:space="preserve"> </w:t>
      </w:r>
      <w:r>
        <w:t>up to the catastrophic threshold must remain the same relative to the DS, a supplemental premium will result unless the cost of the additional coverage is offset by savings in catastrophic coverage.</w:t>
      </w:r>
    </w:p>
    <w:p>
      <w:pPr>
        <w:pStyle w:val="BodyText"/>
        <w:spacing w:before="45"/>
        <w:ind w:left="0"/>
      </w:pPr>
    </w:p>
    <w:p>
      <w:pPr>
        <w:pStyle w:val="Heading2"/>
      </w:pPr>
      <w:bookmarkStart w:id="198" w:name="_bookmark57"/>
      <w:bookmarkEnd w:id="198"/>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79"/>
        <w:ind w:left="440"/>
      </w:pPr>
      <w:r>
        <w:t>This</w:t>
      </w:r>
      <w:r>
        <w:rPr>
          <w:spacing w:val="-1"/>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1"/>
        </w:rPr>
        <w:t xml:space="preserve"> </w:t>
      </w:r>
      <w:r>
        <w:t>on</w:t>
      </w:r>
      <w:r>
        <w:rPr>
          <w:spacing w:val="1"/>
        </w:rPr>
        <w:t xml:space="preserve"> </w:t>
      </w:r>
      <w:r>
        <w:t>Worksheet</w:t>
      </w:r>
      <w:r>
        <w:rPr>
          <w:spacing w:val="-1"/>
        </w:rPr>
        <w:t xml:space="preserve"> </w:t>
      </w:r>
      <w:r>
        <w:t>1,</w:t>
      </w:r>
      <w:r>
        <w:rPr>
          <w:spacing w:val="-1"/>
        </w:rPr>
        <w:t xml:space="preserve"> </w:t>
      </w:r>
      <w:r>
        <w:t xml:space="preserve">Section </w:t>
      </w:r>
      <w:r>
        <w:rPr>
          <w:spacing w:val="-5"/>
        </w:rPr>
        <w:t>I.</w:t>
      </w:r>
    </w:p>
    <w:p>
      <w:pPr>
        <w:pStyle w:val="BodyText"/>
        <w:spacing w:before="46"/>
        <w:ind w:left="0"/>
      </w:pPr>
    </w:p>
    <w:p>
      <w:pPr>
        <w:pStyle w:val="Heading2"/>
      </w:pPr>
      <w:bookmarkStart w:id="199" w:name="_bookmark58"/>
      <w:bookmarkEnd w:id="199"/>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Projection</w:t>
      </w:r>
      <w:r>
        <w:rPr>
          <w:smallCaps/>
          <w:spacing w:val="-12"/>
        </w:rPr>
        <w:t xml:space="preserve"> </w:t>
      </w:r>
      <w:r>
        <w:rPr>
          <w:smallCaps/>
          <w:spacing w:val="-4"/>
        </w:rPr>
        <w:t>Data</w:t>
      </w:r>
    </w:p>
    <w:p>
      <w:pPr>
        <w:pStyle w:val="BodyText"/>
        <w:spacing w:before="179"/>
        <w:ind w:left="440"/>
      </w:pPr>
      <w:r>
        <w:t>This</w:t>
      </w:r>
      <w:r>
        <w:rPr>
          <w:spacing w:val="-1"/>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1"/>
        </w:rPr>
        <w:t xml:space="preserve"> </w:t>
      </w:r>
      <w:r>
        <w:t>on</w:t>
      </w:r>
      <w:r>
        <w:rPr>
          <w:spacing w:val="1"/>
        </w:rPr>
        <w:t xml:space="preserve"> </w:t>
      </w:r>
      <w:r>
        <w:t>Worksheet</w:t>
      </w:r>
      <w:r>
        <w:rPr>
          <w:spacing w:val="-1"/>
        </w:rPr>
        <w:t xml:space="preserve"> </w:t>
      </w:r>
      <w:r>
        <w:t>3,</w:t>
      </w:r>
      <w:r>
        <w:rPr>
          <w:spacing w:val="-1"/>
        </w:rPr>
        <w:t xml:space="preserve"> </w:t>
      </w:r>
      <w:r>
        <w:t xml:space="preserve">Section </w:t>
      </w:r>
      <w:r>
        <w:rPr>
          <w:spacing w:val="-5"/>
        </w:rPr>
        <w:t>II.</w:t>
      </w:r>
    </w:p>
    <w:p>
      <w:pPr>
        <w:pStyle w:val="BodyText"/>
        <w:spacing w:before="45"/>
        <w:ind w:left="0"/>
      </w:pPr>
    </w:p>
    <w:p>
      <w:pPr>
        <w:pStyle w:val="Heading2"/>
      </w:pPr>
      <w:bookmarkStart w:id="200" w:name="_bookmark59"/>
      <w:bookmarkEnd w:id="200"/>
      <w:r>
        <w:rPr>
          <w:smallCaps/>
        </w:rPr>
        <w:t>Section</w:t>
      </w:r>
      <w:r>
        <w:rPr>
          <w:smallCaps/>
          <w:spacing w:val="-15"/>
        </w:rPr>
        <w:t xml:space="preserve"> </w:t>
      </w:r>
      <w:r>
        <w:rPr>
          <w:smallCaps/>
        </w:rPr>
        <w:t>III</w:t>
      </w:r>
      <w:r>
        <w:rPr>
          <w:smallCaps/>
          <w:spacing w:val="-15"/>
        </w:rPr>
        <w:t xml:space="preserve"> </w:t>
      </w:r>
      <w:r>
        <w:rPr>
          <w:smallCaps/>
        </w:rPr>
        <w:t>–</w:t>
      </w:r>
      <w:r>
        <w:rPr>
          <w:smallCaps/>
          <w:spacing w:val="-15"/>
        </w:rPr>
        <w:t xml:space="preserve"> </w:t>
      </w:r>
      <w:r>
        <w:rPr>
          <w:smallCaps/>
        </w:rPr>
        <w:t>Development</w:t>
      </w:r>
      <w:r>
        <w:rPr>
          <w:smallCaps/>
          <w:spacing w:val="-6"/>
        </w:rPr>
        <w:t xml:space="preserve"> </w:t>
      </w:r>
      <w:r>
        <w:rPr>
          <w:smallCaps/>
        </w:rPr>
        <w:t>of</w:t>
      </w:r>
      <w:r>
        <w:rPr>
          <w:smallCaps/>
          <w:spacing w:val="-6"/>
        </w:rPr>
        <w:t xml:space="preserve"> </w:t>
      </w:r>
      <w:r>
        <w:rPr>
          <w:smallCaps/>
        </w:rPr>
        <w:t>Bid</w:t>
      </w:r>
      <w:r>
        <w:rPr>
          <w:smallCaps/>
          <w:spacing w:val="-6"/>
        </w:rPr>
        <w:t xml:space="preserve"> </w:t>
      </w:r>
      <w:r>
        <w:rPr>
          <w:smallCaps/>
        </w:rPr>
        <w:t>for</w:t>
      </w:r>
      <w:r>
        <w:rPr>
          <w:smallCaps/>
          <w:spacing w:val="-6"/>
        </w:rPr>
        <w:t xml:space="preserve"> </w:t>
      </w:r>
      <w:r>
        <w:rPr>
          <w:smallCaps/>
        </w:rPr>
        <w:t>Defined</w:t>
      </w:r>
      <w:r>
        <w:rPr>
          <w:smallCaps/>
          <w:spacing w:val="-6"/>
        </w:rPr>
        <w:t xml:space="preserve"> </w:t>
      </w:r>
      <w:r>
        <w:rPr>
          <w:smallCaps/>
        </w:rPr>
        <w:t>Standard</w:t>
      </w:r>
      <w:r>
        <w:rPr>
          <w:smallCaps/>
          <w:spacing w:val="-6"/>
        </w:rPr>
        <w:t xml:space="preserve"> </w:t>
      </w:r>
      <w:r>
        <w:rPr>
          <w:smallCaps/>
          <w:spacing w:val="-2"/>
        </w:rPr>
        <w:t>Coverage</w:t>
      </w:r>
    </w:p>
    <w:p>
      <w:pPr>
        <w:pStyle w:val="BodyText"/>
        <w:spacing w:before="179"/>
        <w:ind w:left="440"/>
      </w:pPr>
      <w:r>
        <w:t>This</w:t>
      </w:r>
      <w:r>
        <w:rPr>
          <w:spacing w:val="-3"/>
        </w:rPr>
        <w:t xml:space="preserve"> </w:t>
      </w:r>
      <w:r>
        <w:t>section</w:t>
      </w:r>
      <w:r>
        <w:rPr>
          <w:spacing w:val="-1"/>
        </w:rPr>
        <w:t xml:space="preserve"> </w:t>
      </w:r>
      <w:r>
        <w:t>displays</w:t>
      </w:r>
      <w:r>
        <w:rPr>
          <w:spacing w:val="-1"/>
        </w:rPr>
        <w:t xml:space="preserve"> </w:t>
      </w:r>
      <w:r>
        <w:t>the</w:t>
      </w:r>
      <w:r>
        <w:rPr>
          <w:spacing w:val="-1"/>
        </w:rPr>
        <w:t xml:space="preserve"> </w:t>
      </w:r>
      <w:r>
        <w:t>information</w:t>
      </w:r>
      <w:r>
        <w:rPr>
          <w:spacing w:val="-1"/>
        </w:rPr>
        <w:t xml:space="preserve"> </w:t>
      </w:r>
      <w:r>
        <w:t>entered</w:t>
      </w:r>
      <w:r>
        <w:rPr>
          <w:spacing w:val="-1"/>
        </w:rPr>
        <w:t xml:space="preserve"> </w:t>
      </w:r>
      <w:r>
        <w:t>on</w:t>
      </w:r>
      <w:r>
        <w:rPr>
          <w:spacing w:val="1"/>
        </w:rPr>
        <w:t xml:space="preserve"> </w:t>
      </w:r>
      <w:r>
        <w:t>Worksheet 3,</w:t>
      </w:r>
      <w:r>
        <w:rPr>
          <w:spacing w:val="-1"/>
        </w:rPr>
        <w:t xml:space="preserve"> </w:t>
      </w:r>
      <w:r>
        <w:t>Sections</w:t>
      </w:r>
      <w:r>
        <w:rPr>
          <w:spacing w:val="-1"/>
        </w:rPr>
        <w:t xml:space="preserve"> </w:t>
      </w:r>
      <w:r>
        <w:t xml:space="preserve">III and </w:t>
      </w:r>
      <w:r>
        <w:rPr>
          <w:spacing w:val="-5"/>
        </w:rPr>
        <w:t>V.</w:t>
      </w:r>
    </w:p>
    <w:p>
      <w:pPr>
        <w:spacing w:after="0"/>
        <w:sectPr>
          <w:headerReference w:type="default" r:id="rId29"/>
          <w:footerReference w:type="default" r:id="rId30"/>
          <w:pgSz w:w="12240" w:h="15840"/>
          <w:pgMar w:top="1340" w:right="1000" w:bottom="1080" w:left="1360" w:header="727" w:footer="891"/>
          <w:cols w:space="720"/>
        </w:sectPr>
      </w:pPr>
    </w:p>
    <w:p>
      <w:pPr>
        <w:pStyle w:val="Heading2"/>
        <w:spacing w:before="88"/>
      </w:pPr>
      <w:bookmarkStart w:id="201" w:name="_bookmark60"/>
      <w:bookmarkEnd w:id="201"/>
      <w:r>
        <w:rPr>
          <w:smallCaps/>
        </w:rPr>
        <w:t>Section</w:t>
      </w:r>
      <w:r>
        <w:rPr>
          <w:smallCaps/>
          <w:spacing w:val="-15"/>
        </w:rPr>
        <w:t xml:space="preserve"> </w:t>
      </w:r>
      <w:r>
        <w:rPr>
          <w:smallCaps/>
        </w:rPr>
        <w:t>IV</w:t>
      </w:r>
      <w:r>
        <w:rPr>
          <w:smallCaps/>
          <w:spacing w:val="-15"/>
        </w:rPr>
        <w:t xml:space="preserve"> </w:t>
      </w:r>
      <w:r>
        <w:rPr>
          <w:smallCaps/>
        </w:rPr>
        <w:t>–</w:t>
      </w:r>
      <w:r>
        <w:rPr>
          <w:smallCaps/>
          <w:spacing w:val="-15"/>
        </w:rPr>
        <w:t xml:space="preserve"> </w:t>
      </w:r>
      <w:r>
        <w:rPr>
          <w:smallCaps/>
        </w:rPr>
        <w:t>Development</w:t>
      </w:r>
      <w:r>
        <w:rPr>
          <w:smallCaps/>
          <w:spacing w:val="-5"/>
        </w:rPr>
        <w:t xml:space="preserve"> </w:t>
      </w:r>
      <w:r>
        <w:rPr>
          <w:smallCaps/>
        </w:rPr>
        <w:t>of</w:t>
      </w:r>
      <w:r>
        <w:rPr>
          <w:smallCaps/>
          <w:spacing w:val="-5"/>
        </w:rPr>
        <w:t xml:space="preserve"> </w:t>
      </w:r>
      <w:r>
        <w:rPr>
          <w:smallCaps/>
        </w:rPr>
        <w:t>Bid</w:t>
      </w:r>
      <w:r>
        <w:rPr>
          <w:smallCaps/>
          <w:spacing w:val="-6"/>
        </w:rPr>
        <w:t xml:space="preserve"> </w:t>
      </w:r>
      <w:r>
        <w:rPr>
          <w:smallCaps/>
          <w:spacing w:val="-2"/>
        </w:rPr>
        <w:t>Components</w:t>
      </w:r>
    </w:p>
    <w:p>
      <w:pPr>
        <w:spacing w:before="240"/>
        <w:ind w:left="440" w:right="0" w:firstLine="0"/>
        <w:jc w:val="left"/>
        <w:rPr>
          <w:rFonts w:ascii="Arial"/>
          <w:b/>
          <w:sz w:val="21"/>
        </w:rPr>
      </w:pPr>
      <w:bookmarkStart w:id="202" w:name="Lines 1 through 3"/>
      <w:bookmarkEnd w:id="202"/>
      <w:r>
        <w:rPr>
          <w:rFonts w:ascii="Arial"/>
          <w:b/>
          <w:sz w:val="21"/>
        </w:rPr>
        <w:t>Lines</w:t>
      </w:r>
      <w:r>
        <w:rPr>
          <w:rFonts w:ascii="Arial"/>
          <w:b/>
          <w:spacing w:val="-5"/>
          <w:sz w:val="21"/>
        </w:rPr>
        <w:t xml:space="preserve"> </w:t>
      </w:r>
      <w:r>
        <w:rPr>
          <w:rFonts w:ascii="Arial"/>
          <w:b/>
          <w:sz w:val="21"/>
        </w:rPr>
        <w:t>1</w:t>
      </w:r>
      <w:r>
        <w:rPr>
          <w:rFonts w:ascii="Arial"/>
          <w:b/>
          <w:spacing w:val="-5"/>
          <w:sz w:val="21"/>
        </w:rPr>
        <w:t xml:space="preserve"> </w:t>
      </w:r>
      <w:r>
        <w:rPr>
          <w:rFonts w:ascii="Arial"/>
          <w:b/>
          <w:sz w:val="21"/>
        </w:rPr>
        <w:t>through</w:t>
      </w:r>
      <w:r>
        <w:rPr>
          <w:rFonts w:ascii="Arial"/>
          <w:b/>
          <w:spacing w:val="-4"/>
          <w:sz w:val="21"/>
        </w:rPr>
        <w:t xml:space="preserve"> </w:t>
      </w:r>
      <w:r>
        <w:rPr>
          <w:rFonts w:ascii="Arial"/>
          <w:b/>
          <w:spacing w:val="-10"/>
          <w:sz w:val="21"/>
        </w:rPr>
        <w:t>3</w:t>
      </w:r>
    </w:p>
    <w:p>
      <w:pPr>
        <w:pStyle w:val="ListParagraph"/>
        <w:numPr>
          <w:ilvl w:val="0"/>
          <w:numId w:val="8"/>
        </w:numPr>
        <w:tabs>
          <w:tab w:val="left" w:pos="1159"/>
        </w:tabs>
        <w:spacing w:before="119" w:after="0" w:line="240" w:lineRule="auto"/>
        <w:ind w:left="1159" w:right="0" w:hanging="359"/>
        <w:jc w:val="left"/>
        <w:rPr>
          <w:rFonts w:ascii="Arial" w:hAnsi="Arial"/>
          <w:b/>
          <w:sz w:val="21"/>
        </w:rPr>
      </w:pPr>
      <w:r>
        <w:rPr>
          <w:rFonts w:ascii="Arial" w:hAnsi="Arial"/>
          <w:b/>
          <w:sz w:val="21"/>
        </w:rPr>
        <w:t>Columns</w:t>
      </w:r>
      <w:r>
        <w:rPr>
          <w:rFonts w:ascii="Arial" w:hAnsi="Arial"/>
          <w:b/>
          <w:spacing w:val="-3"/>
          <w:sz w:val="21"/>
        </w:rPr>
        <w:t xml:space="preserve"> </w:t>
      </w:r>
      <w:r>
        <w:rPr>
          <w:rFonts w:ascii="Arial" w:hAnsi="Arial"/>
          <w:b/>
          <w:sz w:val="21"/>
        </w:rPr>
        <w:t>f,</w:t>
      </w:r>
      <w:r>
        <w:rPr>
          <w:rFonts w:ascii="Arial" w:hAnsi="Arial"/>
          <w:b/>
          <w:spacing w:val="-3"/>
          <w:sz w:val="21"/>
        </w:rPr>
        <w:t xml:space="preserve"> </w:t>
      </w:r>
      <w:r>
        <w:rPr>
          <w:rFonts w:ascii="Arial" w:hAnsi="Arial"/>
          <w:b/>
          <w:sz w:val="21"/>
        </w:rPr>
        <w:t>g</w:t>
      </w:r>
      <w:r>
        <w:rPr>
          <w:rFonts w:ascii="Arial" w:hAnsi="Arial"/>
          <w:b/>
          <w:spacing w:val="-2"/>
          <w:sz w:val="21"/>
        </w:rPr>
        <w:t xml:space="preserve"> </w:t>
      </w:r>
      <w:r>
        <w:rPr>
          <w:rFonts w:ascii="Arial" w:hAnsi="Arial"/>
          <w:b/>
          <w:sz w:val="21"/>
        </w:rPr>
        <w:t>and</w:t>
      </w:r>
      <w:r>
        <w:rPr>
          <w:rFonts w:ascii="Arial" w:hAnsi="Arial"/>
          <w:b/>
          <w:spacing w:val="-2"/>
          <w:sz w:val="21"/>
        </w:rPr>
        <w:t xml:space="preserve"> </w:t>
      </w:r>
      <w:r>
        <w:rPr>
          <w:rFonts w:ascii="Arial" w:hAnsi="Arial"/>
          <w:b/>
          <w:spacing w:val="-10"/>
          <w:sz w:val="21"/>
        </w:rPr>
        <w:t>m</w:t>
      </w:r>
    </w:p>
    <w:p>
      <w:pPr>
        <w:pStyle w:val="BodyText"/>
        <w:ind w:left="1160"/>
      </w:pPr>
      <w:r>
        <w:t>The</w:t>
      </w:r>
      <w:r>
        <w:rPr>
          <w:spacing w:val="-3"/>
        </w:rPr>
        <w:t xml:space="preserve"> </w:t>
      </w:r>
      <w:r>
        <w:t>values</w:t>
      </w:r>
      <w:r>
        <w:rPr>
          <w:spacing w:val="-1"/>
        </w:rPr>
        <w:t xml:space="preserve"> </w:t>
      </w:r>
      <w:r>
        <w:t>are</w:t>
      </w:r>
      <w:r>
        <w:rPr>
          <w:spacing w:val="-2"/>
        </w:rPr>
        <w:t xml:space="preserve"> </w:t>
      </w:r>
      <w:r>
        <w:t>carried</w:t>
      </w:r>
      <w:r>
        <w:rPr>
          <w:spacing w:val="-1"/>
        </w:rPr>
        <w:t xml:space="preserve"> </w:t>
      </w:r>
      <w:r>
        <w:t>from</w:t>
      </w:r>
      <w:r>
        <w:rPr>
          <w:spacing w:val="-1"/>
        </w:rPr>
        <w:t xml:space="preserve"> </w:t>
      </w:r>
      <w:r>
        <w:t>Worksheet 3</w:t>
      </w:r>
      <w:r>
        <w:rPr>
          <w:spacing w:val="-1"/>
        </w:rPr>
        <w:t xml:space="preserve"> </w:t>
      </w:r>
      <w:r>
        <w:t>in</w:t>
      </w:r>
      <w:r>
        <w:rPr>
          <w:spacing w:val="-1"/>
        </w:rPr>
        <w:t xml:space="preserve"> </w:t>
      </w:r>
      <w:r>
        <w:t xml:space="preserve">the </w:t>
      </w:r>
      <w:r>
        <w:rPr>
          <w:spacing w:val="-4"/>
        </w:rPr>
        <w:t>BPT.</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Columns</w:t>
      </w:r>
      <w:r>
        <w:rPr>
          <w:rFonts w:ascii="Arial" w:hAnsi="Arial"/>
          <w:b/>
          <w:spacing w:val="-5"/>
          <w:sz w:val="21"/>
        </w:rPr>
        <w:t xml:space="preserve"> </w:t>
      </w:r>
      <w:r>
        <w:rPr>
          <w:rFonts w:ascii="Arial" w:hAnsi="Arial"/>
          <w:b/>
          <w:sz w:val="21"/>
        </w:rPr>
        <w:t>i</w:t>
      </w:r>
      <w:r>
        <w:rPr>
          <w:rFonts w:ascii="Arial" w:hAnsi="Arial"/>
          <w:b/>
          <w:spacing w:val="-4"/>
          <w:sz w:val="21"/>
        </w:rPr>
        <w:t xml:space="preserve"> </w:t>
      </w:r>
      <w:r>
        <w:rPr>
          <w:rFonts w:ascii="Arial" w:hAnsi="Arial"/>
          <w:b/>
          <w:sz w:val="21"/>
        </w:rPr>
        <w:t>and</w:t>
      </w:r>
      <w:r>
        <w:rPr>
          <w:rFonts w:ascii="Arial" w:hAnsi="Arial"/>
          <w:b/>
          <w:spacing w:val="-1"/>
          <w:sz w:val="21"/>
        </w:rPr>
        <w:t xml:space="preserve"> </w:t>
      </w:r>
      <w:r>
        <w:rPr>
          <w:rFonts w:ascii="Arial" w:hAnsi="Arial"/>
          <w:b/>
          <w:spacing w:val="-10"/>
          <w:sz w:val="21"/>
        </w:rPr>
        <w:t>o</w:t>
      </w:r>
    </w:p>
    <w:p>
      <w:pPr>
        <w:pStyle w:val="BodyText"/>
        <w:spacing w:before="118"/>
        <w:ind w:left="1160"/>
      </w:pPr>
      <w:r>
        <w:t>The</w:t>
      </w:r>
      <w:r>
        <w:rPr>
          <w:spacing w:val="-3"/>
        </w:rPr>
        <w:t xml:space="preserve"> </w:t>
      </w:r>
      <w:r>
        <w:t>values</w:t>
      </w:r>
      <w:r>
        <w:rPr>
          <w:spacing w:val="-1"/>
        </w:rPr>
        <w:t xml:space="preserve"> </w:t>
      </w:r>
      <w:r>
        <w:t>are</w:t>
      </w:r>
      <w:r>
        <w:rPr>
          <w:spacing w:val="-3"/>
        </w:rPr>
        <w:t xml:space="preserve"> </w:t>
      </w:r>
      <w:r>
        <w:t>calculated automatically in</w:t>
      </w:r>
      <w:r>
        <w:rPr>
          <w:spacing w:val="-1"/>
        </w:rPr>
        <w:t xml:space="preserve"> </w:t>
      </w:r>
      <w:r>
        <w:t>the</w:t>
      </w:r>
      <w:r>
        <w:rPr>
          <w:spacing w:val="-2"/>
        </w:rPr>
        <w:t xml:space="preserve"> </w:t>
      </w:r>
      <w:r>
        <w:t>BPT</w:t>
      </w:r>
      <w:r>
        <w:rPr>
          <w:spacing w:val="-1"/>
        </w:rPr>
        <w:t xml:space="preserve"> </w:t>
      </w:r>
      <w:r>
        <w:t>as column</w:t>
      </w:r>
      <w:r>
        <w:rPr>
          <w:spacing w:val="-1"/>
        </w:rPr>
        <w:t xml:space="preserve"> </w:t>
      </w:r>
      <w:r>
        <w:t>f</w:t>
      </w:r>
      <w:r>
        <w:rPr>
          <w:spacing w:val="-1"/>
        </w:rPr>
        <w:t xml:space="preserve"> </w:t>
      </w:r>
      <w:r>
        <w:t>plus</w:t>
      </w:r>
      <w:r>
        <w:rPr>
          <w:spacing w:val="-1"/>
        </w:rPr>
        <w:t xml:space="preserve"> </w:t>
      </w:r>
      <w:r>
        <w:t xml:space="preserve">column </w:t>
      </w:r>
      <w:r>
        <w:rPr>
          <w:spacing w:val="-5"/>
        </w:rPr>
        <w:t>g.</w:t>
      </w:r>
    </w:p>
    <w:p>
      <w:pPr>
        <w:spacing w:before="240"/>
        <w:ind w:left="440" w:right="0" w:firstLine="0"/>
        <w:jc w:val="left"/>
        <w:rPr>
          <w:rFonts w:ascii="Arial"/>
          <w:b/>
          <w:sz w:val="21"/>
        </w:rPr>
      </w:pPr>
      <w:bookmarkStart w:id="203" w:name="Type of Deductible"/>
      <w:bookmarkEnd w:id="203"/>
      <w:r>
        <w:rPr>
          <w:rFonts w:ascii="Arial"/>
          <w:b/>
          <w:sz w:val="21"/>
        </w:rPr>
        <w:t>Type</w:t>
      </w:r>
      <w:r>
        <w:rPr>
          <w:rFonts w:ascii="Arial"/>
          <w:b/>
          <w:spacing w:val="-3"/>
          <w:sz w:val="21"/>
        </w:rPr>
        <w:t xml:space="preserve"> </w:t>
      </w:r>
      <w:r>
        <w:rPr>
          <w:rFonts w:ascii="Arial"/>
          <w:b/>
          <w:sz w:val="21"/>
        </w:rPr>
        <w:t>of</w:t>
      </w:r>
      <w:r>
        <w:rPr>
          <w:rFonts w:ascii="Arial"/>
          <w:b/>
          <w:spacing w:val="-2"/>
          <w:sz w:val="21"/>
        </w:rPr>
        <w:t xml:space="preserve"> Deductible</w:t>
      </w:r>
    </w:p>
    <w:p>
      <w:pPr>
        <w:pStyle w:val="BodyText"/>
        <w:spacing w:before="121"/>
        <w:ind w:left="440" w:right="655"/>
      </w:pPr>
      <w:r>
        <w:t>Select</w:t>
      </w:r>
      <w:r>
        <w:rPr>
          <w:spacing w:val="-3"/>
        </w:rPr>
        <w:t xml:space="preserve"> </w:t>
      </w:r>
      <w:r>
        <w:t>in</w:t>
      </w:r>
      <w:r>
        <w:rPr>
          <w:spacing w:val="-3"/>
        </w:rPr>
        <w:t xml:space="preserve"> </w:t>
      </w:r>
      <w:r>
        <w:t>cell</w:t>
      </w:r>
      <w:r>
        <w:rPr>
          <w:spacing w:val="-1"/>
        </w:rPr>
        <w:t xml:space="preserve"> </w:t>
      </w:r>
      <w:r>
        <w:t>I33</w:t>
      </w:r>
      <w:r>
        <w:rPr>
          <w:spacing w:val="-3"/>
        </w:rPr>
        <w:t xml:space="preserve"> </w:t>
      </w:r>
      <w:r>
        <w:t>the</w:t>
      </w:r>
      <w:r>
        <w:rPr>
          <w:spacing w:val="-3"/>
        </w:rPr>
        <w:t xml:space="preserve"> </w:t>
      </w:r>
      <w:r>
        <w:t>type</w:t>
      </w:r>
      <w:r>
        <w:rPr>
          <w:spacing w:val="-2"/>
        </w:rPr>
        <w:t xml:space="preserve"> </w:t>
      </w:r>
      <w:r>
        <w:t>of</w:t>
      </w:r>
      <w:r>
        <w:rPr>
          <w:spacing w:val="-3"/>
        </w:rPr>
        <w:t xml:space="preserve"> </w:t>
      </w:r>
      <w:r>
        <w:t>deductible</w:t>
      </w:r>
      <w:r>
        <w:rPr>
          <w:spacing w:val="-3"/>
        </w:rPr>
        <w:t xml:space="preserve"> </w:t>
      </w:r>
      <w:r>
        <w:t>consistent</w:t>
      </w:r>
      <w:r>
        <w:rPr>
          <w:spacing w:val="-1"/>
        </w:rPr>
        <w:t xml:space="preserve"> </w:t>
      </w:r>
      <w:r>
        <w:t>with</w:t>
      </w:r>
      <w:r>
        <w:rPr>
          <w:spacing w:val="-3"/>
        </w:rPr>
        <w:t xml:space="preserve"> </w:t>
      </w:r>
      <w:r>
        <w:t>the</w:t>
      </w:r>
      <w:r>
        <w:rPr>
          <w:spacing w:val="-4"/>
        </w:rPr>
        <w:t xml:space="preserve"> </w:t>
      </w:r>
      <w:r>
        <w:t>description</w:t>
      </w:r>
      <w:r>
        <w:rPr>
          <w:spacing w:val="-3"/>
        </w:rPr>
        <w:t xml:space="preserve"> </w:t>
      </w:r>
      <w:r>
        <w:t>in</w:t>
      </w:r>
      <w:r>
        <w:rPr>
          <w:spacing w:val="-3"/>
        </w:rPr>
        <w:t xml:space="preserve"> </w:t>
      </w:r>
      <w:r>
        <w:t>the</w:t>
      </w:r>
      <w:r>
        <w:rPr>
          <w:spacing w:val="-4"/>
        </w:rPr>
        <w:t xml:space="preserve"> </w:t>
      </w:r>
      <w:r>
        <w:t>PBP</w:t>
      </w:r>
      <w:r>
        <w:rPr>
          <w:spacing w:val="-3"/>
        </w:rPr>
        <w:t xml:space="preserve"> </w:t>
      </w:r>
      <w:r>
        <w:t>for</w:t>
      </w:r>
      <w:r>
        <w:rPr>
          <w:spacing w:val="-5"/>
        </w:rPr>
        <w:t xml:space="preserve"> </w:t>
      </w:r>
      <w:r>
        <w:t>the alternative coverage. The valid options are: “no deductible”, “applies to all tiers” or “applies to some tiers”.</w:t>
      </w:r>
    </w:p>
    <w:p>
      <w:pPr>
        <w:spacing w:before="241"/>
        <w:ind w:left="440" w:right="0" w:firstLine="0"/>
        <w:jc w:val="left"/>
        <w:rPr>
          <w:rFonts w:ascii="Arial"/>
          <w:b/>
          <w:sz w:val="21"/>
        </w:rPr>
      </w:pPr>
      <w:bookmarkStart w:id="204" w:name="Alternative Coverage Deductible Amount"/>
      <w:bookmarkEnd w:id="204"/>
      <w:r>
        <w:rPr>
          <w:rFonts w:ascii="Arial"/>
          <w:b/>
          <w:sz w:val="21"/>
        </w:rPr>
        <w:t>Alternative</w:t>
      </w:r>
      <w:r>
        <w:rPr>
          <w:rFonts w:ascii="Arial"/>
          <w:b/>
          <w:spacing w:val="-10"/>
          <w:sz w:val="21"/>
        </w:rPr>
        <w:t xml:space="preserve"> </w:t>
      </w:r>
      <w:r>
        <w:rPr>
          <w:rFonts w:ascii="Arial"/>
          <w:b/>
          <w:sz w:val="21"/>
        </w:rPr>
        <w:t>Coverage</w:t>
      </w:r>
      <w:r>
        <w:rPr>
          <w:rFonts w:ascii="Arial"/>
          <w:b/>
          <w:spacing w:val="-10"/>
          <w:sz w:val="21"/>
        </w:rPr>
        <w:t xml:space="preserve"> </w:t>
      </w:r>
      <w:r>
        <w:rPr>
          <w:rFonts w:ascii="Arial"/>
          <w:b/>
          <w:sz w:val="21"/>
        </w:rPr>
        <w:t>Deductible</w:t>
      </w:r>
      <w:r>
        <w:rPr>
          <w:rFonts w:ascii="Arial"/>
          <w:b/>
          <w:spacing w:val="-10"/>
          <w:sz w:val="21"/>
        </w:rPr>
        <w:t xml:space="preserve"> </w:t>
      </w:r>
      <w:r>
        <w:rPr>
          <w:rFonts w:ascii="Arial"/>
          <w:b/>
          <w:spacing w:val="-2"/>
          <w:sz w:val="21"/>
        </w:rPr>
        <w:t>Amount</w:t>
      </w:r>
    </w:p>
    <w:p>
      <w:pPr>
        <w:pStyle w:val="BodyText"/>
        <w:ind w:left="440" w:right="813"/>
      </w:pPr>
      <w:r>
        <w:t>Enter</w:t>
      </w:r>
      <w:r>
        <w:rPr>
          <w:spacing w:val="-5"/>
        </w:rPr>
        <w:t xml:space="preserve"> </w:t>
      </w:r>
      <w:r>
        <w:t>in</w:t>
      </w:r>
      <w:r>
        <w:rPr>
          <w:spacing w:val="-4"/>
        </w:rPr>
        <w:t xml:space="preserve"> </w:t>
      </w:r>
      <w:r>
        <w:t>cell</w:t>
      </w:r>
      <w:r>
        <w:rPr>
          <w:spacing w:val="-2"/>
        </w:rPr>
        <w:t xml:space="preserve"> </w:t>
      </w:r>
      <w:r>
        <w:t>I34</w:t>
      </w:r>
      <w:r>
        <w:rPr>
          <w:spacing w:val="-4"/>
        </w:rPr>
        <w:t xml:space="preserve"> </w:t>
      </w:r>
      <w:r>
        <w:t>the</w:t>
      </w:r>
      <w:r>
        <w:rPr>
          <w:spacing w:val="-2"/>
        </w:rPr>
        <w:t xml:space="preserve"> </w:t>
      </w:r>
      <w:r>
        <w:t>alternative</w:t>
      </w:r>
      <w:r>
        <w:rPr>
          <w:spacing w:val="-5"/>
        </w:rPr>
        <w:t xml:space="preserve"> </w:t>
      </w:r>
      <w:r>
        <w:t>coverage</w:t>
      </w:r>
      <w:r>
        <w:rPr>
          <w:spacing w:val="-5"/>
        </w:rPr>
        <w:t xml:space="preserve"> </w:t>
      </w:r>
      <w:r>
        <w:t>deductible</w:t>
      </w:r>
      <w:r>
        <w:rPr>
          <w:spacing w:val="-4"/>
        </w:rPr>
        <w:t xml:space="preserve"> </w:t>
      </w:r>
      <w:r>
        <w:t>amount</w:t>
      </w:r>
      <w:r>
        <w:rPr>
          <w:spacing w:val="-4"/>
        </w:rPr>
        <w:t xml:space="preserve"> </w:t>
      </w:r>
      <w:r>
        <w:t>consistent</w:t>
      </w:r>
      <w:r>
        <w:rPr>
          <w:spacing w:val="-4"/>
        </w:rPr>
        <w:t xml:space="preserve"> </w:t>
      </w:r>
      <w:r>
        <w:t>with</w:t>
      </w:r>
      <w:r>
        <w:rPr>
          <w:spacing w:val="-4"/>
        </w:rPr>
        <w:t xml:space="preserve"> </w:t>
      </w:r>
      <w:r>
        <w:t>the</w:t>
      </w:r>
      <w:r>
        <w:rPr>
          <w:spacing w:val="-4"/>
        </w:rPr>
        <w:t xml:space="preserve"> </w:t>
      </w:r>
      <w:r>
        <w:t>amount</w:t>
      </w:r>
      <w:r>
        <w:rPr>
          <w:spacing w:val="-4"/>
        </w:rPr>
        <w:t xml:space="preserve"> </w:t>
      </w:r>
      <w:r>
        <w:t>in the PBP. Plans with a non-uniform deductible must also enter their deductible amount in this cell.</w:t>
      </w:r>
    </w:p>
    <w:p>
      <w:pPr>
        <w:spacing w:before="241"/>
        <w:ind w:left="440" w:right="0" w:firstLine="0"/>
        <w:jc w:val="left"/>
        <w:rPr>
          <w:rFonts w:ascii="Arial"/>
          <w:b/>
          <w:sz w:val="21"/>
        </w:rPr>
      </w:pPr>
      <w:bookmarkStart w:id="205" w:name="Lines 4 through 21"/>
      <w:bookmarkEnd w:id="205"/>
      <w:r>
        <w:rPr>
          <w:rFonts w:ascii="Arial"/>
          <w:b/>
          <w:sz w:val="21"/>
        </w:rPr>
        <w:t>Lines</w:t>
      </w:r>
      <w:r>
        <w:rPr>
          <w:rFonts w:ascii="Arial"/>
          <w:b/>
          <w:spacing w:val="-5"/>
          <w:sz w:val="21"/>
        </w:rPr>
        <w:t xml:space="preserve"> </w:t>
      </w:r>
      <w:r>
        <w:rPr>
          <w:rFonts w:ascii="Arial"/>
          <w:b/>
          <w:sz w:val="21"/>
        </w:rPr>
        <w:t>4</w:t>
      </w:r>
      <w:r>
        <w:rPr>
          <w:rFonts w:ascii="Arial"/>
          <w:b/>
          <w:spacing w:val="-5"/>
          <w:sz w:val="21"/>
        </w:rPr>
        <w:t xml:space="preserve"> </w:t>
      </w:r>
      <w:r>
        <w:rPr>
          <w:rFonts w:ascii="Arial"/>
          <w:b/>
          <w:sz w:val="21"/>
        </w:rPr>
        <w:t>through</w:t>
      </w:r>
      <w:r>
        <w:rPr>
          <w:rFonts w:ascii="Arial"/>
          <w:b/>
          <w:spacing w:val="-4"/>
          <w:sz w:val="21"/>
        </w:rPr>
        <w:t xml:space="preserve"> </w:t>
      </w:r>
      <w:r>
        <w:rPr>
          <w:rFonts w:ascii="Arial"/>
          <w:b/>
          <w:spacing w:val="-5"/>
          <w:sz w:val="21"/>
        </w:rPr>
        <w:t>21</w:t>
      </w:r>
    </w:p>
    <w:p>
      <w:pPr>
        <w:pStyle w:val="BodyText"/>
        <w:spacing w:before="118"/>
        <w:ind w:left="440" w:right="979"/>
      </w:pPr>
      <w:r>
        <w:t>The</w:t>
      </w:r>
      <w:r>
        <w:rPr>
          <w:spacing w:val="-3"/>
        </w:rPr>
        <w:t xml:space="preserve"> </w:t>
      </w:r>
      <w:r>
        <w:t>values</w:t>
      </w:r>
      <w:r>
        <w:rPr>
          <w:spacing w:val="-1"/>
        </w:rPr>
        <w:t xml:space="preserve"> </w:t>
      </w:r>
      <w:r>
        <w:t>in</w:t>
      </w:r>
      <w:r>
        <w:rPr>
          <w:spacing w:val="-1"/>
        </w:rPr>
        <w:t xml:space="preserve"> </w:t>
      </w:r>
      <w:r>
        <w:t>columns</w:t>
      </w:r>
      <w:r>
        <w:rPr>
          <w:spacing w:val="-1"/>
        </w:rPr>
        <w:t xml:space="preserve"> </w:t>
      </w:r>
      <w:r>
        <w:t>f</w:t>
      </w:r>
      <w:r>
        <w:rPr>
          <w:spacing w:val="-1"/>
        </w:rPr>
        <w:t xml:space="preserve"> </w:t>
      </w:r>
      <w:r>
        <w:t>through</w:t>
      </w:r>
      <w:r>
        <w:rPr>
          <w:spacing w:val="-1"/>
        </w:rPr>
        <w:t xml:space="preserve"> </w:t>
      </w:r>
      <w:r>
        <w:t>o</w:t>
      </w:r>
      <w:r>
        <w:rPr>
          <w:spacing w:val="-1"/>
        </w:rPr>
        <w:t xml:space="preserve"> </w:t>
      </w:r>
      <w:r>
        <w:t>include</w:t>
      </w:r>
      <w:r>
        <w:rPr>
          <w:spacing w:val="-2"/>
        </w:rPr>
        <w:t xml:space="preserve"> </w:t>
      </w:r>
      <w:r>
        <w:t>Part D-covered</w:t>
      </w:r>
      <w:r>
        <w:rPr>
          <w:spacing w:val="-1"/>
        </w:rPr>
        <w:t xml:space="preserve"> </w:t>
      </w:r>
      <w:r>
        <w:t>drugs</w:t>
      </w:r>
      <w:r>
        <w:rPr>
          <w:spacing w:val="-1"/>
        </w:rPr>
        <w:t xml:space="preserve"> </w:t>
      </w:r>
      <w:r>
        <w:t>only;</w:t>
      </w:r>
      <w:r>
        <w:rPr>
          <w:spacing w:val="-1"/>
        </w:rPr>
        <w:t xml:space="preserve"> </w:t>
      </w:r>
      <w:r>
        <w:t>the</w:t>
      </w:r>
      <w:r>
        <w:rPr>
          <w:spacing w:val="-2"/>
        </w:rPr>
        <w:t xml:space="preserve"> </w:t>
      </w:r>
      <w:r>
        <w:t>values</w:t>
      </w:r>
      <w:r>
        <w:rPr>
          <w:spacing w:val="-1"/>
        </w:rPr>
        <w:t xml:space="preserve"> </w:t>
      </w:r>
      <w:r>
        <w:t>in column</w:t>
      </w:r>
      <w:r>
        <w:rPr>
          <w:spacing w:val="-3"/>
        </w:rPr>
        <w:t xml:space="preserve"> </w:t>
      </w:r>
      <w:r>
        <w:t>q</w:t>
      </w:r>
      <w:r>
        <w:rPr>
          <w:spacing w:val="-3"/>
        </w:rPr>
        <w:t xml:space="preserve"> </w:t>
      </w:r>
      <w:r>
        <w:t>include</w:t>
      </w:r>
      <w:r>
        <w:rPr>
          <w:spacing w:val="-4"/>
        </w:rPr>
        <w:t xml:space="preserve"> </w:t>
      </w:r>
      <w:r>
        <w:t>non-Part</w:t>
      </w:r>
      <w:r>
        <w:rPr>
          <w:spacing w:val="-3"/>
        </w:rPr>
        <w:t xml:space="preserve"> </w:t>
      </w:r>
      <w:r>
        <w:t>D-covered</w:t>
      </w:r>
      <w:r>
        <w:rPr>
          <w:spacing w:val="-3"/>
        </w:rPr>
        <w:t xml:space="preserve"> </w:t>
      </w:r>
      <w:r>
        <w:t>drugs</w:t>
      </w:r>
      <w:r>
        <w:rPr>
          <w:spacing w:val="-3"/>
        </w:rPr>
        <w:t xml:space="preserve"> </w:t>
      </w:r>
      <w:r>
        <w:t>only.</w:t>
      </w:r>
      <w:r>
        <w:rPr>
          <w:spacing w:val="-2"/>
        </w:rPr>
        <w:t xml:space="preserve"> </w:t>
      </w:r>
      <w:r>
        <w:t>The</w:t>
      </w:r>
      <w:r>
        <w:rPr>
          <w:spacing w:val="-5"/>
        </w:rPr>
        <w:t xml:space="preserve"> </w:t>
      </w:r>
      <w:r>
        <w:t>values</w:t>
      </w:r>
      <w:r>
        <w:rPr>
          <w:spacing w:val="-3"/>
        </w:rPr>
        <w:t xml:space="preserve"> </w:t>
      </w:r>
      <w:r>
        <w:t>are</w:t>
      </w:r>
      <w:r>
        <w:rPr>
          <w:spacing w:val="-5"/>
        </w:rPr>
        <w:t xml:space="preserve"> </w:t>
      </w:r>
      <w:r>
        <w:t>carried</w:t>
      </w:r>
      <w:r>
        <w:rPr>
          <w:spacing w:val="-3"/>
        </w:rPr>
        <w:t xml:space="preserve"> </w:t>
      </w:r>
      <w:r>
        <w:t>from</w:t>
      </w:r>
      <w:r>
        <w:rPr>
          <w:spacing w:val="-3"/>
        </w:rPr>
        <w:t xml:space="preserve"> </w:t>
      </w:r>
      <w:r>
        <w:t>other worksheets or are calculated automatically in the BPT, with the exception of the following, which must be entered:</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Line</w:t>
      </w:r>
      <w:r>
        <w:rPr>
          <w:rFonts w:ascii="Arial" w:hAnsi="Arial"/>
          <w:b/>
          <w:spacing w:val="-4"/>
          <w:sz w:val="21"/>
        </w:rPr>
        <w:t xml:space="preserve"> </w:t>
      </w:r>
      <w:r>
        <w:rPr>
          <w:rFonts w:ascii="Arial" w:hAnsi="Arial"/>
          <w:b/>
          <w:sz w:val="21"/>
        </w:rPr>
        <w:t>15,</w:t>
      </w:r>
      <w:r>
        <w:rPr>
          <w:rFonts w:ascii="Arial" w:hAnsi="Arial"/>
          <w:b/>
          <w:spacing w:val="-5"/>
          <w:sz w:val="21"/>
        </w:rPr>
        <w:t xml:space="preserve"> </w:t>
      </w:r>
      <w:r>
        <w:rPr>
          <w:rFonts w:ascii="Arial" w:hAnsi="Arial"/>
          <w:b/>
          <w:sz w:val="21"/>
        </w:rPr>
        <w:t>column</w:t>
      </w:r>
      <w:r>
        <w:rPr>
          <w:rFonts w:ascii="Arial" w:hAnsi="Arial"/>
          <w:b/>
          <w:spacing w:val="-3"/>
          <w:sz w:val="21"/>
        </w:rPr>
        <w:t xml:space="preserve"> </w:t>
      </w:r>
      <w:r>
        <w:rPr>
          <w:rFonts w:ascii="Arial" w:hAnsi="Arial"/>
          <w:b/>
          <w:sz w:val="21"/>
        </w:rPr>
        <w:t>m</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Federal</w:t>
      </w:r>
      <w:r>
        <w:rPr>
          <w:rFonts w:ascii="Arial" w:hAnsi="Arial"/>
          <w:b/>
          <w:spacing w:val="-5"/>
          <w:sz w:val="21"/>
        </w:rPr>
        <w:t xml:space="preserve"> </w:t>
      </w:r>
      <w:r>
        <w:rPr>
          <w:rFonts w:ascii="Arial" w:hAnsi="Arial"/>
          <w:b/>
          <w:spacing w:val="-2"/>
          <w:sz w:val="21"/>
        </w:rPr>
        <w:t>Reinsurance</w:t>
      </w:r>
    </w:p>
    <w:p>
      <w:pPr>
        <w:pStyle w:val="BodyText"/>
        <w:ind w:left="1160" w:right="918"/>
      </w:pPr>
      <w:r>
        <w:t>Enter</w:t>
      </w:r>
      <w:r>
        <w:rPr>
          <w:spacing w:val="-4"/>
        </w:rPr>
        <w:t xml:space="preserve"> </w:t>
      </w:r>
      <w:r>
        <w:t>the</w:t>
      </w:r>
      <w:r>
        <w:rPr>
          <w:spacing w:val="-4"/>
        </w:rPr>
        <w:t xml:space="preserve"> </w:t>
      </w:r>
      <w:r>
        <w:t>projected</w:t>
      </w:r>
      <w:r>
        <w:rPr>
          <w:spacing w:val="-3"/>
        </w:rPr>
        <w:t xml:space="preserve"> </w:t>
      </w:r>
      <w:r>
        <w:t>average</w:t>
      </w:r>
      <w:r>
        <w:rPr>
          <w:spacing w:val="-4"/>
        </w:rPr>
        <w:t xml:space="preserve"> </w:t>
      </w:r>
      <w:r>
        <w:t>gross</w:t>
      </w:r>
      <w:r>
        <w:rPr>
          <w:spacing w:val="-3"/>
        </w:rPr>
        <w:t xml:space="preserve"> </w:t>
      </w:r>
      <w:r>
        <w:t>federal</w:t>
      </w:r>
      <w:r>
        <w:rPr>
          <w:spacing w:val="-3"/>
        </w:rPr>
        <w:t xml:space="preserve"> </w:t>
      </w:r>
      <w:r>
        <w:t>reinsurance</w:t>
      </w:r>
      <w:r>
        <w:rPr>
          <w:spacing w:val="-4"/>
        </w:rPr>
        <w:t xml:space="preserve"> </w:t>
      </w:r>
      <w:r>
        <w:t>PMPM for</w:t>
      </w:r>
      <w:r>
        <w:rPr>
          <w:spacing w:val="-5"/>
        </w:rPr>
        <w:t xml:space="preserve"> </w:t>
      </w:r>
      <w:r>
        <w:t>the</w:t>
      </w:r>
      <w:r>
        <w:rPr>
          <w:spacing w:val="-3"/>
        </w:rPr>
        <w:t xml:space="preserve"> </w:t>
      </w:r>
      <w:r>
        <w:t>risk</w:t>
      </w:r>
      <w:r>
        <w:rPr>
          <w:spacing w:val="-3"/>
        </w:rPr>
        <w:t xml:space="preserve"> </w:t>
      </w:r>
      <w:r>
        <w:t>score</w:t>
      </w:r>
      <w:r>
        <w:rPr>
          <w:spacing w:val="-5"/>
        </w:rPr>
        <w:t xml:space="preserve"> </w:t>
      </w:r>
      <w:r>
        <w:t>of the expected population.</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Line</w:t>
      </w:r>
      <w:r>
        <w:rPr>
          <w:rFonts w:ascii="Arial" w:hAnsi="Arial"/>
          <w:b/>
          <w:spacing w:val="-4"/>
          <w:sz w:val="21"/>
        </w:rPr>
        <w:t xml:space="preserve"> </w:t>
      </w:r>
      <w:r>
        <w:rPr>
          <w:rFonts w:ascii="Arial" w:hAnsi="Arial"/>
          <w:b/>
          <w:sz w:val="21"/>
        </w:rPr>
        <w:t>17,</w:t>
      </w:r>
      <w:r>
        <w:rPr>
          <w:rFonts w:ascii="Arial" w:hAnsi="Arial"/>
          <w:b/>
          <w:spacing w:val="-5"/>
          <w:sz w:val="21"/>
        </w:rPr>
        <w:t xml:space="preserve"> </w:t>
      </w:r>
      <w:r>
        <w:rPr>
          <w:rFonts w:ascii="Arial" w:hAnsi="Arial"/>
          <w:b/>
          <w:sz w:val="21"/>
        </w:rPr>
        <w:t>column</w:t>
      </w:r>
      <w:r>
        <w:rPr>
          <w:rFonts w:ascii="Arial" w:hAnsi="Arial"/>
          <w:b/>
          <w:spacing w:val="-4"/>
          <w:sz w:val="21"/>
        </w:rPr>
        <w:t xml:space="preserve"> </w:t>
      </w:r>
      <w:r>
        <w:rPr>
          <w:rFonts w:ascii="Arial" w:hAnsi="Arial"/>
          <w:b/>
          <w:sz w:val="21"/>
        </w:rPr>
        <w:t>m</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Minus</w:t>
      </w:r>
      <w:r>
        <w:rPr>
          <w:rFonts w:ascii="Arial" w:hAnsi="Arial"/>
          <w:b/>
          <w:spacing w:val="-4"/>
          <w:sz w:val="21"/>
        </w:rPr>
        <w:t xml:space="preserve"> </w:t>
      </w:r>
      <w:r>
        <w:rPr>
          <w:rFonts w:ascii="Arial" w:hAnsi="Arial"/>
          <w:b/>
          <w:spacing w:val="-2"/>
          <w:sz w:val="21"/>
        </w:rPr>
        <w:t>Rebates</w:t>
      </w:r>
    </w:p>
    <w:p>
      <w:pPr>
        <w:pStyle w:val="BodyText"/>
        <w:spacing w:before="118"/>
        <w:ind w:left="1160"/>
      </w:pPr>
      <w:r>
        <w:t>Enter</w:t>
      </w:r>
      <w:r>
        <w:rPr>
          <w:spacing w:val="-4"/>
        </w:rPr>
        <w:t xml:space="preserve"> </w:t>
      </w:r>
      <w:r>
        <w:t>the</w:t>
      </w:r>
      <w:r>
        <w:rPr>
          <w:spacing w:val="-3"/>
        </w:rPr>
        <w:t xml:space="preserve"> </w:t>
      </w:r>
      <w:r>
        <w:t>estimated</w:t>
      </w:r>
      <w:r>
        <w:rPr>
          <w:spacing w:val="-1"/>
        </w:rPr>
        <w:t xml:space="preserve"> </w:t>
      </w:r>
      <w:r>
        <w:t>amount</w:t>
      </w:r>
      <w:r>
        <w:rPr>
          <w:spacing w:val="-1"/>
        </w:rPr>
        <w:t xml:space="preserve"> </w:t>
      </w:r>
      <w:r>
        <w:t>of</w:t>
      </w:r>
      <w:r>
        <w:rPr>
          <w:spacing w:val="-2"/>
        </w:rPr>
        <w:t xml:space="preserve"> </w:t>
      </w:r>
      <w:r>
        <w:t>rebates allocated</w:t>
      </w:r>
      <w:r>
        <w:rPr>
          <w:spacing w:val="-1"/>
        </w:rPr>
        <w:t xml:space="preserve"> </w:t>
      </w:r>
      <w:r>
        <w:t>to</w:t>
      </w:r>
      <w:r>
        <w:rPr>
          <w:spacing w:val="1"/>
        </w:rPr>
        <w:t xml:space="preserve"> </w:t>
      </w:r>
      <w:r>
        <w:t>federal</w:t>
      </w:r>
      <w:r>
        <w:rPr>
          <w:spacing w:val="-1"/>
        </w:rPr>
        <w:t xml:space="preserve"> </w:t>
      </w:r>
      <w:r>
        <w:rPr>
          <w:spacing w:val="-2"/>
        </w:rPr>
        <w:t>reinsurance.</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Line</w:t>
      </w:r>
      <w:r>
        <w:rPr>
          <w:rFonts w:ascii="Arial" w:hAnsi="Arial"/>
          <w:b/>
          <w:spacing w:val="-4"/>
          <w:sz w:val="21"/>
        </w:rPr>
        <w:t xml:space="preserve"> </w:t>
      </w:r>
      <w:r>
        <w:rPr>
          <w:rFonts w:ascii="Arial" w:hAnsi="Arial"/>
          <w:b/>
          <w:sz w:val="21"/>
        </w:rPr>
        <w:t>17,</w:t>
      </w:r>
      <w:r>
        <w:rPr>
          <w:rFonts w:ascii="Arial" w:hAnsi="Arial"/>
          <w:b/>
          <w:spacing w:val="-5"/>
          <w:sz w:val="21"/>
        </w:rPr>
        <w:t xml:space="preserve"> </w:t>
      </w:r>
      <w:r>
        <w:rPr>
          <w:rFonts w:ascii="Arial" w:hAnsi="Arial"/>
          <w:b/>
          <w:sz w:val="21"/>
        </w:rPr>
        <w:t>column</w:t>
      </w:r>
      <w:r>
        <w:rPr>
          <w:rFonts w:ascii="Arial" w:hAnsi="Arial"/>
          <w:b/>
          <w:spacing w:val="-3"/>
          <w:sz w:val="21"/>
        </w:rPr>
        <w:t xml:space="preserve"> </w:t>
      </w:r>
      <w:r>
        <w:rPr>
          <w:rFonts w:ascii="Arial" w:hAnsi="Arial"/>
          <w:b/>
          <w:sz w:val="21"/>
        </w:rPr>
        <w:t>o</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Minus</w:t>
      </w:r>
      <w:r>
        <w:rPr>
          <w:rFonts w:ascii="Arial" w:hAnsi="Arial"/>
          <w:b/>
          <w:spacing w:val="-4"/>
          <w:sz w:val="21"/>
        </w:rPr>
        <w:t xml:space="preserve"> </w:t>
      </w:r>
      <w:r>
        <w:rPr>
          <w:rFonts w:ascii="Arial" w:hAnsi="Arial"/>
          <w:b/>
          <w:spacing w:val="-2"/>
          <w:sz w:val="21"/>
        </w:rPr>
        <w:t>Rebates</w:t>
      </w:r>
    </w:p>
    <w:p>
      <w:pPr>
        <w:pStyle w:val="BodyText"/>
        <w:ind w:left="1160" w:right="2227"/>
      </w:pPr>
      <w:r>
        <w:t>Enter</w:t>
      </w:r>
      <w:r>
        <w:rPr>
          <w:spacing w:val="-5"/>
        </w:rPr>
        <w:t xml:space="preserve"> </w:t>
      </w:r>
      <w:r>
        <w:t>the</w:t>
      </w:r>
      <w:r>
        <w:rPr>
          <w:spacing w:val="-6"/>
        </w:rPr>
        <w:t xml:space="preserve"> </w:t>
      </w:r>
      <w:r>
        <w:t>estimated</w:t>
      </w:r>
      <w:r>
        <w:rPr>
          <w:spacing w:val="-5"/>
        </w:rPr>
        <w:t xml:space="preserve"> </w:t>
      </w:r>
      <w:r>
        <w:t>total</w:t>
      </w:r>
      <w:r>
        <w:rPr>
          <w:spacing w:val="-3"/>
        </w:rPr>
        <w:t xml:space="preserve"> </w:t>
      </w:r>
      <w:r>
        <w:t>rebates</w:t>
      </w:r>
      <w:r>
        <w:rPr>
          <w:spacing w:val="-4"/>
        </w:rPr>
        <w:t xml:space="preserve"> </w:t>
      </w:r>
      <w:r>
        <w:t>PMPM</w:t>
      </w:r>
      <w:r>
        <w:rPr>
          <w:spacing w:val="-5"/>
        </w:rPr>
        <w:t xml:space="preserve"> </w:t>
      </w:r>
      <w:r>
        <w:t>expected</w:t>
      </w:r>
      <w:r>
        <w:rPr>
          <w:spacing w:val="-3"/>
        </w:rPr>
        <w:t xml:space="preserve"> </w:t>
      </w:r>
      <w:r>
        <w:t>to</w:t>
      </w:r>
      <w:r>
        <w:rPr>
          <w:spacing w:val="-5"/>
        </w:rPr>
        <w:t xml:space="preserve"> </w:t>
      </w:r>
      <w:r>
        <w:t>be</w:t>
      </w:r>
      <w:r>
        <w:rPr>
          <w:spacing w:val="-5"/>
        </w:rPr>
        <w:t xml:space="preserve"> </w:t>
      </w:r>
      <w:r>
        <w:t>received</w:t>
      </w:r>
      <w:r>
        <w:rPr>
          <w:spacing w:val="-5"/>
        </w:rPr>
        <w:t xml:space="preserve"> </w:t>
      </w:r>
      <w:r>
        <w:t>for Part D-covered drugs.</w:t>
      </w:r>
    </w:p>
    <w:p>
      <w:pPr>
        <w:pStyle w:val="ListParagraph"/>
        <w:numPr>
          <w:ilvl w:val="0"/>
          <w:numId w:val="8"/>
        </w:numPr>
        <w:tabs>
          <w:tab w:val="left" w:pos="1159"/>
        </w:tabs>
        <w:spacing w:before="120" w:after="0" w:line="240" w:lineRule="auto"/>
        <w:ind w:left="1159" w:right="0" w:hanging="359"/>
        <w:jc w:val="left"/>
        <w:rPr>
          <w:rFonts w:ascii="Arial" w:hAnsi="Arial"/>
          <w:b/>
          <w:sz w:val="21"/>
        </w:rPr>
      </w:pPr>
      <w:r>
        <w:rPr>
          <w:rFonts w:ascii="Arial" w:hAnsi="Arial"/>
          <w:b/>
          <w:sz w:val="21"/>
        </w:rPr>
        <w:t>Line</w:t>
      </w:r>
      <w:r>
        <w:rPr>
          <w:rFonts w:ascii="Arial" w:hAnsi="Arial"/>
          <w:b/>
          <w:spacing w:val="-4"/>
          <w:sz w:val="21"/>
        </w:rPr>
        <w:t xml:space="preserve"> </w:t>
      </w:r>
      <w:r>
        <w:rPr>
          <w:rFonts w:ascii="Arial" w:hAnsi="Arial"/>
          <w:b/>
          <w:sz w:val="21"/>
        </w:rPr>
        <w:t>17,</w:t>
      </w:r>
      <w:r>
        <w:rPr>
          <w:rFonts w:ascii="Arial" w:hAnsi="Arial"/>
          <w:b/>
          <w:spacing w:val="-5"/>
          <w:sz w:val="21"/>
        </w:rPr>
        <w:t xml:space="preserve"> </w:t>
      </w:r>
      <w:r>
        <w:rPr>
          <w:rFonts w:ascii="Arial" w:hAnsi="Arial"/>
          <w:b/>
          <w:sz w:val="21"/>
        </w:rPr>
        <w:t>column</w:t>
      </w:r>
      <w:r>
        <w:rPr>
          <w:rFonts w:ascii="Arial" w:hAnsi="Arial"/>
          <w:b/>
          <w:spacing w:val="-3"/>
          <w:sz w:val="21"/>
        </w:rPr>
        <w:t xml:space="preserve"> </w:t>
      </w:r>
      <w:r>
        <w:rPr>
          <w:rFonts w:ascii="Arial" w:hAnsi="Arial"/>
          <w:b/>
          <w:sz w:val="21"/>
        </w:rPr>
        <w:t>q</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Minus</w:t>
      </w:r>
      <w:r>
        <w:rPr>
          <w:rFonts w:ascii="Arial" w:hAnsi="Arial"/>
          <w:b/>
          <w:spacing w:val="-4"/>
          <w:sz w:val="21"/>
        </w:rPr>
        <w:t xml:space="preserve"> </w:t>
      </w:r>
      <w:r>
        <w:rPr>
          <w:rFonts w:ascii="Arial" w:hAnsi="Arial"/>
          <w:b/>
          <w:spacing w:val="-2"/>
          <w:sz w:val="21"/>
        </w:rPr>
        <w:t>Rebates</w:t>
      </w:r>
    </w:p>
    <w:p>
      <w:pPr>
        <w:pStyle w:val="BodyText"/>
        <w:spacing w:before="121"/>
        <w:ind w:left="1160" w:right="2227"/>
      </w:pPr>
      <w:r>
        <w:t>Enter</w:t>
      </w:r>
      <w:r>
        <w:rPr>
          <w:spacing w:val="-5"/>
        </w:rPr>
        <w:t xml:space="preserve"> </w:t>
      </w:r>
      <w:r>
        <w:t>the</w:t>
      </w:r>
      <w:r>
        <w:rPr>
          <w:spacing w:val="-6"/>
        </w:rPr>
        <w:t xml:space="preserve"> </w:t>
      </w:r>
      <w:r>
        <w:t>estimated</w:t>
      </w:r>
      <w:r>
        <w:rPr>
          <w:spacing w:val="-5"/>
        </w:rPr>
        <w:t xml:space="preserve"> </w:t>
      </w:r>
      <w:r>
        <w:t>total</w:t>
      </w:r>
      <w:r>
        <w:rPr>
          <w:spacing w:val="-3"/>
        </w:rPr>
        <w:t xml:space="preserve"> </w:t>
      </w:r>
      <w:r>
        <w:t>rebates</w:t>
      </w:r>
      <w:r>
        <w:rPr>
          <w:spacing w:val="-4"/>
        </w:rPr>
        <w:t xml:space="preserve"> </w:t>
      </w:r>
      <w:r>
        <w:t>PMPM</w:t>
      </w:r>
      <w:r>
        <w:rPr>
          <w:spacing w:val="-5"/>
        </w:rPr>
        <w:t xml:space="preserve"> </w:t>
      </w:r>
      <w:r>
        <w:t>expected</w:t>
      </w:r>
      <w:r>
        <w:rPr>
          <w:spacing w:val="-3"/>
        </w:rPr>
        <w:t xml:space="preserve"> </w:t>
      </w:r>
      <w:r>
        <w:t>to</w:t>
      </w:r>
      <w:r>
        <w:rPr>
          <w:spacing w:val="-5"/>
        </w:rPr>
        <w:t xml:space="preserve"> </w:t>
      </w:r>
      <w:r>
        <w:t>be</w:t>
      </w:r>
      <w:r>
        <w:rPr>
          <w:spacing w:val="-5"/>
        </w:rPr>
        <w:t xml:space="preserve"> </w:t>
      </w:r>
      <w:r>
        <w:t>received</w:t>
      </w:r>
      <w:r>
        <w:rPr>
          <w:spacing w:val="-5"/>
        </w:rPr>
        <w:t xml:space="preserve"> </w:t>
      </w:r>
      <w:r>
        <w:t>for non-Part D-covered drugs.</w:t>
      </w:r>
    </w:p>
    <w:p>
      <w:pPr>
        <w:pStyle w:val="ListParagraph"/>
        <w:numPr>
          <w:ilvl w:val="0"/>
          <w:numId w:val="8"/>
        </w:numPr>
        <w:tabs>
          <w:tab w:val="left" w:pos="1159"/>
        </w:tabs>
        <w:spacing w:before="121" w:after="0" w:line="240" w:lineRule="auto"/>
        <w:ind w:left="1159" w:right="0" w:hanging="359"/>
        <w:jc w:val="left"/>
        <w:rPr>
          <w:rFonts w:ascii="Arial" w:hAnsi="Arial"/>
          <w:b/>
          <w:sz w:val="21"/>
        </w:rPr>
      </w:pPr>
      <w:r>
        <w:rPr>
          <w:rFonts w:ascii="Arial" w:hAnsi="Arial"/>
          <w:b/>
          <w:sz w:val="21"/>
        </w:rPr>
        <w:t>Line</w:t>
      </w:r>
      <w:r>
        <w:rPr>
          <w:rFonts w:ascii="Arial" w:hAnsi="Arial"/>
          <w:b/>
          <w:spacing w:val="-5"/>
          <w:sz w:val="21"/>
        </w:rPr>
        <w:t xml:space="preserve"> </w:t>
      </w:r>
      <w:r>
        <w:rPr>
          <w:rFonts w:ascii="Arial" w:hAnsi="Arial"/>
          <w:b/>
          <w:sz w:val="21"/>
        </w:rPr>
        <w:t>19,</w:t>
      </w:r>
      <w:r>
        <w:rPr>
          <w:rFonts w:ascii="Arial" w:hAnsi="Arial"/>
          <w:b/>
          <w:spacing w:val="-4"/>
          <w:sz w:val="21"/>
        </w:rPr>
        <w:t xml:space="preserve"> </w:t>
      </w:r>
      <w:r>
        <w:rPr>
          <w:rFonts w:ascii="Arial" w:hAnsi="Arial"/>
          <w:b/>
          <w:sz w:val="21"/>
        </w:rPr>
        <w:t>columns</w:t>
      </w:r>
      <w:r>
        <w:rPr>
          <w:rFonts w:ascii="Arial" w:hAnsi="Arial"/>
          <w:b/>
          <w:spacing w:val="-2"/>
          <w:sz w:val="21"/>
        </w:rPr>
        <w:t xml:space="preserve"> </w:t>
      </w:r>
      <w:r>
        <w:rPr>
          <w:rFonts w:ascii="Arial" w:hAnsi="Arial"/>
          <w:b/>
          <w:sz w:val="21"/>
        </w:rPr>
        <w:t>m,</w:t>
      </w:r>
      <w:r>
        <w:rPr>
          <w:rFonts w:ascii="Arial" w:hAnsi="Arial"/>
          <w:b/>
          <w:spacing w:val="-4"/>
          <w:sz w:val="21"/>
        </w:rPr>
        <w:t xml:space="preserve"> </w:t>
      </w:r>
      <w:r>
        <w:rPr>
          <w:rFonts w:ascii="Arial" w:hAnsi="Arial"/>
          <w:b/>
          <w:sz w:val="21"/>
        </w:rPr>
        <w:t>o</w:t>
      </w:r>
      <w:r>
        <w:rPr>
          <w:rFonts w:ascii="Arial" w:hAnsi="Arial"/>
          <w:b/>
          <w:spacing w:val="-3"/>
          <w:sz w:val="21"/>
        </w:rPr>
        <w:t xml:space="preserve"> </w:t>
      </w:r>
      <w:r>
        <w:rPr>
          <w:rFonts w:ascii="Arial" w:hAnsi="Arial"/>
          <w:b/>
          <w:sz w:val="21"/>
        </w:rPr>
        <w:t>and</w:t>
      </w:r>
      <w:r>
        <w:rPr>
          <w:rFonts w:ascii="Arial" w:hAnsi="Arial"/>
          <w:b/>
          <w:spacing w:val="-2"/>
          <w:sz w:val="21"/>
        </w:rPr>
        <w:t xml:space="preserve"> </w:t>
      </w:r>
      <w:r>
        <w:rPr>
          <w:rFonts w:ascii="Arial" w:hAnsi="Arial"/>
          <w:b/>
          <w:sz w:val="21"/>
        </w:rPr>
        <w:t>q</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Plus</w:t>
      </w:r>
      <w:r>
        <w:rPr>
          <w:rFonts w:ascii="Arial" w:hAnsi="Arial"/>
          <w:b/>
          <w:spacing w:val="-5"/>
          <w:sz w:val="21"/>
        </w:rPr>
        <w:t xml:space="preserve"> </w:t>
      </w:r>
      <w:r>
        <w:rPr>
          <w:rFonts w:ascii="Arial" w:hAnsi="Arial"/>
          <w:b/>
          <w:sz w:val="21"/>
        </w:rPr>
        <w:t>Part</w:t>
      </w:r>
      <w:r>
        <w:rPr>
          <w:rFonts w:ascii="Arial" w:hAnsi="Arial"/>
          <w:b/>
          <w:spacing w:val="-3"/>
          <w:sz w:val="21"/>
        </w:rPr>
        <w:t xml:space="preserve"> </w:t>
      </w:r>
      <w:r>
        <w:rPr>
          <w:rFonts w:ascii="Arial" w:hAnsi="Arial"/>
          <w:b/>
          <w:sz w:val="21"/>
        </w:rPr>
        <w:t>D</w:t>
      </w:r>
      <w:r>
        <w:rPr>
          <w:rFonts w:ascii="Arial" w:hAnsi="Arial"/>
          <w:b/>
          <w:spacing w:val="-2"/>
          <w:sz w:val="21"/>
        </w:rPr>
        <w:t xml:space="preserve"> </w:t>
      </w:r>
      <w:r>
        <w:rPr>
          <w:rFonts w:ascii="Arial" w:hAnsi="Arial"/>
          <w:b/>
          <w:sz w:val="21"/>
        </w:rPr>
        <w:t>as</w:t>
      </w:r>
      <w:r>
        <w:rPr>
          <w:rFonts w:ascii="Arial" w:hAnsi="Arial"/>
          <w:b/>
          <w:spacing w:val="-2"/>
          <w:sz w:val="21"/>
        </w:rPr>
        <w:t xml:space="preserve"> Secondary</w:t>
      </w:r>
    </w:p>
    <w:p>
      <w:pPr>
        <w:pStyle w:val="BodyText"/>
        <w:spacing w:before="118"/>
        <w:ind w:left="1160" w:right="813"/>
      </w:pPr>
      <w:r>
        <w:t>Enter,</w:t>
      </w:r>
      <w:r>
        <w:rPr>
          <w:spacing w:val="-3"/>
        </w:rPr>
        <w:t xml:space="preserve"> </w:t>
      </w:r>
      <w:r>
        <w:t>as</w:t>
      </w:r>
      <w:r>
        <w:rPr>
          <w:spacing w:val="-3"/>
        </w:rPr>
        <w:t xml:space="preserve"> </w:t>
      </w:r>
      <w:r>
        <w:t>a</w:t>
      </w:r>
      <w:r>
        <w:rPr>
          <w:spacing w:val="-4"/>
        </w:rPr>
        <w:t xml:space="preserve"> </w:t>
      </w:r>
      <w:r>
        <w:t>positive</w:t>
      </w:r>
      <w:r>
        <w:rPr>
          <w:spacing w:val="-4"/>
        </w:rPr>
        <w:t xml:space="preserve"> </w:t>
      </w:r>
      <w:r>
        <w:t>value,</w:t>
      </w:r>
      <w:r>
        <w:rPr>
          <w:spacing w:val="-3"/>
        </w:rPr>
        <w:t xml:space="preserve"> </w:t>
      </w:r>
      <w:r>
        <w:t>the</w:t>
      </w:r>
      <w:r>
        <w:rPr>
          <w:spacing w:val="-3"/>
        </w:rPr>
        <w:t xml:space="preserve"> </w:t>
      </w:r>
      <w:r>
        <w:t>projected</w:t>
      </w:r>
      <w:r>
        <w:rPr>
          <w:spacing w:val="-3"/>
        </w:rPr>
        <w:t xml:space="preserve"> </w:t>
      </w:r>
      <w:r>
        <w:t>plan</w:t>
      </w:r>
      <w:r>
        <w:rPr>
          <w:spacing w:val="-3"/>
        </w:rPr>
        <w:t xml:space="preserve"> </w:t>
      </w:r>
      <w:r>
        <w:t>liability</w:t>
      </w:r>
      <w:r>
        <w:rPr>
          <w:spacing w:val="-3"/>
        </w:rPr>
        <w:t xml:space="preserve"> </w:t>
      </w:r>
      <w:r>
        <w:t>PMPM</w:t>
      </w:r>
      <w:r>
        <w:rPr>
          <w:spacing w:val="-3"/>
        </w:rPr>
        <w:t xml:space="preserve"> </w:t>
      </w:r>
      <w:r>
        <w:t>for</w:t>
      </w:r>
      <w:r>
        <w:rPr>
          <w:spacing w:val="-5"/>
        </w:rPr>
        <w:t xml:space="preserve"> </w:t>
      </w:r>
      <w:r>
        <w:t>which</w:t>
      </w:r>
      <w:r>
        <w:rPr>
          <w:spacing w:val="-3"/>
        </w:rPr>
        <w:t xml:space="preserve"> </w:t>
      </w:r>
      <w:r>
        <w:t>the</w:t>
      </w:r>
      <w:r>
        <w:rPr>
          <w:spacing w:val="-3"/>
        </w:rPr>
        <w:t xml:space="preserve"> </w:t>
      </w:r>
      <w:r>
        <w:t>Part D plan is the secondary payer for reinsurance-eligible Part D-covered drugs,</w:t>
      </w:r>
    </w:p>
    <w:p>
      <w:pPr>
        <w:pStyle w:val="BodyText"/>
        <w:spacing w:before="0"/>
        <w:ind w:left="1160" w:right="478"/>
      </w:pPr>
      <w:r>
        <w:t>Part</w:t>
      </w:r>
      <w:r>
        <w:rPr>
          <w:spacing w:val="-4"/>
        </w:rPr>
        <w:t xml:space="preserve"> </w:t>
      </w:r>
      <w:r>
        <w:t>D-covered</w:t>
      </w:r>
      <w:r>
        <w:rPr>
          <w:spacing w:val="-4"/>
        </w:rPr>
        <w:t xml:space="preserve"> </w:t>
      </w:r>
      <w:r>
        <w:t>drugs</w:t>
      </w:r>
      <w:r>
        <w:rPr>
          <w:spacing w:val="-2"/>
        </w:rPr>
        <w:t xml:space="preserve"> </w:t>
      </w:r>
      <w:r>
        <w:t>and</w:t>
      </w:r>
      <w:r>
        <w:rPr>
          <w:spacing w:val="-4"/>
        </w:rPr>
        <w:t xml:space="preserve"> </w:t>
      </w:r>
      <w:r>
        <w:t>non-Part</w:t>
      </w:r>
      <w:r>
        <w:rPr>
          <w:spacing w:val="-4"/>
        </w:rPr>
        <w:t xml:space="preserve"> </w:t>
      </w:r>
      <w:r>
        <w:t>D-covered</w:t>
      </w:r>
      <w:r>
        <w:rPr>
          <w:spacing w:val="-4"/>
        </w:rPr>
        <w:t xml:space="preserve"> </w:t>
      </w:r>
      <w:r>
        <w:t>drugs</w:t>
      </w:r>
      <w:r>
        <w:rPr>
          <w:spacing w:val="-4"/>
        </w:rPr>
        <w:t xml:space="preserve"> </w:t>
      </w:r>
      <w:r>
        <w:t>in</w:t>
      </w:r>
      <w:r>
        <w:rPr>
          <w:spacing w:val="-4"/>
        </w:rPr>
        <w:t xml:space="preserve"> </w:t>
      </w:r>
      <w:r>
        <w:t>columns</w:t>
      </w:r>
      <w:r>
        <w:rPr>
          <w:spacing w:val="-2"/>
        </w:rPr>
        <w:t xml:space="preserve"> </w:t>
      </w:r>
      <w:r>
        <w:t>m,</w:t>
      </w:r>
      <w:r>
        <w:rPr>
          <w:spacing w:val="-4"/>
        </w:rPr>
        <w:t xml:space="preserve"> </w:t>
      </w:r>
      <w:r>
        <w:t>o,</w:t>
      </w:r>
      <w:r>
        <w:rPr>
          <w:spacing w:val="-4"/>
        </w:rPr>
        <w:t xml:space="preserve"> </w:t>
      </w:r>
      <w:r>
        <w:t>and</w:t>
      </w:r>
      <w:r>
        <w:rPr>
          <w:spacing w:val="-4"/>
        </w:rPr>
        <w:t xml:space="preserve"> </w:t>
      </w:r>
      <w:r>
        <w:t xml:space="preserve">q, </w:t>
      </w:r>
      <w:r>
        <w:rPr>
          <w:spacing w:val="-2"/>
        </w:rPr>
        <w:t>respectively.</w:t>
      </w:r>
    </w:p>
    <w:p>
      <w:pPr>
        <w:spacing w:after="0"/>
        <w:sectPr>
          <w:pgSz w:w="12240" w:h="15840"/>
          <w:pgMar w:top="1340" w:right="1000" w:bottom="1080" w:left="1360" w:header="727" w:footer="891"/>
          <w:cols w:space="720"/>
        </w:sectPr>
      </w:pPr>
    </w:p>
    <w:p>
      <w:pPr>
        <w:pStyle w:val="Heading2"/>
        <w:spacing w:before="88"/>
      </w:pPr>
      <w:bookmarkStart w:id="206" w:name="Section V – Development of Actuarial Equ"/>
      <w:bookmarkEnd w:id="206"/>
      <w:bookmarkStart w:id="207" w:name="_bookmark61"/>
      <w:bookmarkEnd w:id="207"/>
      <w:r>
        <w:rPr>
          <w:smallCaps/>
        </w:rPr>
        <w:t>Section</w:t>
      </w:r>
      <w:r>
        <w:rPr>
          <w:smallCaps/>
          <w:spacing w:val="-15"/>
        </w:rPr>
        <w:t xml:space="preserve"> </w:t>
      </w:r>
      <w:r>
        <w:rPr>
          <w:smallCaps/>
        </w:rPr>
        <w:t>V</w:t>
      </w:r>
      <w:r>
        <w:rPr>
          <w:smallCaps/>
          <w:spacing w:val="-15"/>
        </w:rPr>
        <w:t xml:space="preserve"> </w:t>
      </w:r>
      <w:r>
        <w:rPr>
          <w:smallCaps/>
        </w:rPr>
        <w:t>–</w:t>
      </w:r>
      <w:r>
        <w:rPr>
          <w:smallCaps/>
          <w:spacing w:val="-15"/>
        </w:rPr>
        <w:t xml:space="preserve"> </w:t>
      </w:r>
      <w:r>
        <w:rPr>
          <w:smallCaps/>
        </w:rPr>
        <w:t>Development</w:t>
      </w:r>
      <w:r>
        <w:rPr>
          <w:smallCaps/>
          <w:spacing w:val="-12"/>
        </w:rPr>
        <w:t xml:space="preserve"> </w:t>
      </w:r>
      <w:r>
        <w:rPr>
          <w:smallCaps/>
        </w:rPr>
        <w:t>of</w:t>
      </w:r>
      <w:r>
        <w:rPr>
          <w:smallCaps/>
          <w:spacing w:val="-7"/>
        </w:rPr>
        <w:t xml:space="preserve"> </w:t>
      </w:r>
      <w:r>
        <w:rPr>
          <w:smallCaps/>
        </w:rPr>
        <w:t>Actuarial</w:t>
      </w:r>
      <w:r>
        <w:rPr>
          <w:smallCaps/>
          <w:spacing w:val="-10"/>
        </w:rPr>
        <w:t xml:space="preserve"> </w:t>
      </w:r>
      <w:r>
        <w:rPr>
          <w:smallCaps/>
        </w:rPr>
        <w:t>Equivalence</w:t>
      </w:r>
      <w:r>
        <w:rPr>
          <w:smallCaps/>
          <w:spacing w:val="-9"/>
        </w:rPr>
        <w:t xml:space="preserve"> </w:t>
      </w:r>
      <w:r>
        <w:rPr>
          <w:smallCaps/>
          <w:spacing w:val="-4"/>
        </w:rPr>
        <w:t>Test</w:t>
      </w:r>
    </w:p>
    <w:p>
      <w:pPr>
        <w:spacing w:before="240"/>
        <w:ind w:left="440" w:right="0" w:firstLine="0"/>
        <w:jc w:val="left"/>
        <w:rPr>
          <w:rFonts w:ascii="Arial"/>
          <w:b/>
          <w:sz w:val="21"/>
        </w:rPr>
      </w:pPr>
      <w:bookmarkStart w:id="208" w:name="Lines 1 through 8"/>
      <w:bookmarkEnd w:id="208"/>
      <w:r>
        <w:rPr>
          <w:rFonts w:ascii="Arial"/>
          <w:b/>
          <w:sz w:val="21"/>
        </w:rPr>
        <w:t>Lines</w:t>
      </w:r>
      <w:r>
        <w:rPr>
          <w:rFonts w:ascii="Arial"/>
          <w:b/>
          <w:spacing w:val="-5"/>
          <w:sz w:val="21"/>
        </w:rPr>
        <w:t xml:space="preserve"> </w:t>
      </w:r>
      <w:r>
        <w:rPr>
          <w:rFonts w:ascii="Arial"/>
          <w:b/>
          <w:sz w:val="21"/>
        </w:rPr>
        <w:t>1</w:t>
      </w:r>
      <w:r>
        <w:rPr>
          <w:rFonts w:ascii="Arial"/>
          <w:b/>
          <w:spacing w:val="-5"/>
          <w:sz w:val="21"/>
        </w:rPr>
        <w:t xml:space="preserve"> </w:t>
      </w:r>
      <w:r>
        <w:rPr>
          <w:rFonts w:ascii="Arial"/>
          <w:b/>
          <w:sz w:val="21"/>
        </w:rPr>
        <w:t>through</w:t>
      </w:r>
      <w:r>
        <w:rPr>
          <w:rFonts w:ascii="Arial"/>
          <w:b/>
          <w:spacing w:val="-4"/>
          <w:sz w:val="21"/>
        </w:rPr>
        <w:t xml:space="preserve"> </w:t>
      </w:r>
      <w:r>
        <w:rPr>
          <w:rFonts w:ascii="Arial"/>
          <w:b/>
          <w:spacing w:val="-10"/>
          <w:sz w:val="21"/>
        </w:rPr>
        <w:t>8</w:t>
      </w:r>
    </w:p>
    <w:p>
      <w:pPr>
        <w:pStyle w:val="BodyText"/>
        <w:spacing w:before="118"/>
        <w:ind w:left="440" w:right="1505"/>
        <w:jc w:val="both"/>
      </w:pPr>
      <w:r>
        <w:t>The</w:t>
      </w:r>
      <w:r>
        <w:rPr>
          <w:spacing w:val="-5"/>
        </w:rPr>
        <w:t xml:space="preserve"> </w:t>
      </w:r>
      <w:r>
        <w:t>values</w:t>
      </w:r>
      <w:r>
        <w:rPr>
          <w:spacing w:val="-3"/>
        </w:rPr>
        <w:t xml:space="preserve"> </w:t>
      </w:r>
      <w:r>
        <w:t>are</w:t>
      </w:r>
      <w:r>
        <w:rPr>
          <w:spacing w:val="-5"/>
        </w:rPr>
        <w:t xml:space="preserve"> </w:t>
      </w:r>
      <w:r>
        <w:t>calculated</w:t>
      </w:r>
      <w:r>
        <w:rPr>
          <w:spacing w:val="-1"/>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3"/>
        </w:rPr>
        <w:t xml:space="preserve"> </w:t>
      </w:r>
      <w:r>
        <w:t>from</w:t>
      </w:r>
      <w:r>
        <w:rPr>
          <w:spacing w:val="-3"/>
        </w:rPr>
        <w:t xml:space="preserve"> </w:t>
      </w:r>
      <w:r>
        <w:t>values</w:t>
      </w:r>
      <w:r>
        <w:rPr>
          <w:spacing w:val="-3"/>
        </w:rPr>
        <w:t xml:space="preserve"> </w:t>
      </w:r>
      <w:r>
        <w:t>in</w:t>
      </w:r>
      <w:r>
        <w:rPr>
          <w:spacing w:val="-3"/>
        </w:rPr>
        <w:t xml:space="preserve"> </w:t>
      </w:r>
      <w:r>
        <w:t>Section</w:t>
      </w:r>
      <w:r>
        <w:rPr>
          <w:spacing w:val="-2"/>
        </w:rPr>
        <w:t xml:space="preserve"> </w:t>
      </w:r>
      <w:r>
        <w:t>IV.</w:t>
      </w:r>
      <w:r>
        <w:rPr>
          <w:spacing w:val="-1"/>
        </w:rPr>
        <w:t xml:space="preserve"> </w:t>
      </w:r>
      <w:r>
        <w:t>The amounts</w:t>
      </w:r>
      <w:r>
        <w:rPr>
          <w:spacing w:val="-3"/>
        </w:rPr>
        <w:t xml:space="preserve"> </w:t>
      </w:r>
      <w:r>
        <w:t>in</w:t>
      </w:r>
      <w:r>
        <w:rPr>
          <w:spacing w:val="-3"/>
        </w:rPr>
        <w:t xml:space="preserve"> </w:t>
      </w:r>
      <w:r>
        <w:t>the</w:t>
      </w:r>
      <w:r>
        <w:rPr>
          <w:spacing w:val="-4"/>
        </w:rPr>
        <w:t xml:space="preserve"> </w:t>
      </w:r>
      <w:r>
        <w:t>first</w:t>
      </w:r>
      <w:r>
        <w:rPr>
          <w:spacing w:val="-3"/>
        </w:rPr>
        <w:t xml:space="preserve"> </w:t>
      </w:r>
      <w:r>
        <w:t>column</w:t>
      </w:r>
      <w:r>
        <w:rPr>
          <w:spacing w:val="-2"/>
        </w:rPr>
        <w:t xml:space="preserve"> </w:t>
      </w:r>
      <w:r>
        <w:t>are</w:t>
      </w:r>
      <w:r>
        <w:rPr>
          <w:spacing w:val="-5"/>
        </w:rPr>
        <w:t xml:space="preserve"> </w:t>
      </w:r>
      <w:r>
        <w:t>calculated</w:t>
      </w:r>
      <w:r>
        <w:rPr>
          <w:spacing w:val="-3"/>
        </w:rPr>
        <w:t xml:space="preserve"> </w:t>
      </w:r>
      <w:r>
        <w:t>based</w:t>
      </w:r>
      <w:r>
        <w:rPr>
          <w:spacing w:val="-1"/>
        </w:rPr>
        <w:t xml:space="preserve"> </w:t>
      </w:r>
      <w:r>
        <w:t>on</w:t>
      </w:r>
      <w:r>
        <w:rPr>
          <w:spacing w:val="-3"/>
        </w:rPr>
        <w:t xml:space="preserve"> </w:t>
      </w:r>
      <w:r>
        <w:t>the</w:t>
      </w:r>
      <w:r>
        <w:rPr>
          <w:spacing w:val="-2"/>
        </w:rPr>
        <w:t xml:space="preserve"> </w:t>
      </w:r>
      <w:r>
        <w:t>plan’s</w:t>
      </w:r>
      <w:r>
        <w:rPr>
          <w:spacing w:val="-3"/>
        </w:rPr>
        <w:t xml:space="preserve"> </w:t>
      </w:r>
      <w:r>
        <w:t>risk</w:t>
      </w:r>
      <w:r>
        <w:rPr>
          <w:spacing w:val="-3"/>
        </w:rPr>
        <w:t xml:space="preserve"> </w:t>
      </w:r>
      <w:r>
        <w:t>score,</w:t>
      </w:r>
      <w:r>
        <w:rPr>
          <w:spacing w:val="-1"/>
        </w:rPr>
        <w:t xml:space="preserve"> </w:t>
      </w:r>
      <w:r>
        <w:t>while</w:t>
      </w:r>
      <w:r>
        <w:rPr>
          <w:spacing w:val="-3"/>
        </w:rPr>
        <w:t xml:space="preserve"> </w:t>
      </w:r>
      <w:r>
        <w:t>the amounts in the second column are based on a 1.00 risk score.</w:t>
      </w:r>
    </w:p>
    <w:p>
      <w:pPr>
        <w:spacing w:before="241"/>
        <w:ind w:left="440" w:right="0" w:firstLine="0"/>
        <w:jc w:val="left"/>
        <w:rPr>
          <w:rFonts w:ascii="Arial" w:hAnsi="Arial"/>
          <w:b/>
          <w:sz w:val="21"/>
        </w:rPr>
      </w:pPr>
      <w:bookmarkStart w:id="209" w:name="Line 9 – LIS"/>
      <w:bookmarkEnd w:id="209"/>
      <w:r>
        <w:rPr>
          <w:rFonts w:ascii="Arial" w:hAnsi="Arial"/>
          <w:b/>
          <w:sz w:val="21"/>
        </w:rPr>
        <w:t>Line</w:t>
      </w:r>
      <w:r>
        <w:rPr>
          <w:rFonts w:ascii="Arial" w:hAnsi="Arial"/>
          <w:b/>
          <w:spacing w:val="-2"/>
          <w:sz w:val="21"/>
        </w:rPr>
        <w:t xml:space="preserve"> </w:t>
      </w:r>
      <w:r>
        <w:rPr>
          <w:rFonts w:ascii="Arial" w:hAnsi="Arial"/>
          <w:b/>
          <w:sz w:val="21"/>
        </w:rPr>
        <w:t>9</w:t>
      </w:r>
      <w:r>
        <w:rPr>
          <w:rFonts w:ascii="Arial" w:hAnsi="Arial"/>
          <w:b/>
          <w:spacing w:val="-2"/>
          <w:sz w:val="21"/>
        </w:rPr>
        <w:t xml:space="preserve"> </w:t>
      </w:r>
      <w:r>
        <w:rPr>
          <w:rFonts w:ascii="Arial" w:hAnsi="Arial"/>
          <w:b/>
          <w:sz w:val="21"/>
        </w:rPr>
        <w:t>–</w:t>
      </w:r>
      <w:r>
        <w:rPr>
          <w:rFonts w:ascii="Arial" w:hAnsi="Arial"/>
          <w:b/>
          <w:spacing w:val="-2"/>
          <w:sz w:val="21"/>
        </w:rPr>
        <w:t xml:space="preserve"> </w:t>
      </w:r>
      <w:r>
        <w:rPr>
          <w:rFonts w:ascii="Arial" w:hAnsi="Arial"/>
          <w:b/>
          <w:spacing w:val="-5"/>
          <w:sz w:val="21"/>
        </w:rPr>
        <w:t>LIS</w:t>
      </w:r>
    </w:p>
    <w:p>
      <w:pPr>
        <w:pStyle w:val="BodyText"/>
        <w:ind w:left="440" w:right="904"/>
      </w:pPr>
      <w:r>
        <w:t>Enter</w:t>
      </w:r>
      <w:r>
        <w:rPr>
          <w:spacing w:val="-3"/>
        </w:rPr>
        <w:t xml:space="preserve"> </w:t>
      </w:r>
      <w:r>
        <w:t>the</w:t>
      </w:r>
      <w:r>
        <w:rPr>
          <w:spacing w:val="-5"/>
        </w:rPr>
        <w:t xml:space="preserve"> </w:t>
      </w:r>
      <w:r>
        <w:t>projected</w:t>
      </w:r>
      <w:r>
        <w:rPr>
          <w:spacing w:val="-3"/>
        </w:rPr>
        <w:t xml:space="preserve"> </w:t>
      </w:r>
      <w:r>
        <w:t>average</w:t>
      </w:r>
      <w:r>
        <w:rPr>
          <w:spacing w:val="-3"/>
        </w:rPr>
        <w:t xml:space="preserve"> </w:t>
      </w:r>
      <w:r>
        <w:t>low-income</w:t>
      </w:r>
      <w:r>
        <w:rPr>
          <w:spacing w:val="-4"/>
        </w:rPr>
        <w:t xml:space="preserve"> </w:t>
      </w:r>
      <w:r>
        <w:t>cost</w:t>
      </w:r>
      <w:r>
        <w:rPr>
          <w:spacing w:val="-3"/>
        </w:rPr>
        <w:t xml:space="preserve"> </w:t>
      </w:r>
      <w:r>
        <w:t>sharing</w:t>
      </w:r>
      <w:r>
        <w:rPr>
          <w:spacing w:val="-3"/>
        </w:rPr>
        <w:t xml:space="preserve"> </w:t>
      </w:r>
      <w:r>
        <w:t>PMPM</w:t>
      </w:r>
      <w:r>
        <w:rPr>
          <w:spacing w:val="-3"/>
        </w:rPr>
        <w:t xml:space="preserve"> </w:t>
      </w:r>
      <w:r>
        <w:t>subsidy</w:t>
      </w:r>
      <w:r>
        <w:rPr>
          <w:spacing w:val="-3"/>
        </w:rPr>
        <w:t xml:space="preserve"> </w:t>
      </w:r>
      <w:r>
        <w:t>for</w:t>
      </w:r>
      <w:r>
        <w:rPr>
          <w:spacing w:val="-3"/>
        </w:rPr>
        <w:t xml:space="preserve"> </w:t>
      </w:r>
      <w:r>
        <w:t>the</w:t>
      </w:r>
      <w:r>
        <w:rPr>
          <w:spacing w:val="-4"/>
        </w:rPr>
        <w:t xml:space="preserve"> </w:t>
      </w:r>
      <w:r>
        <w:t>risk</w:t>
      </w:r>
      <w:r>
        <w:rPr>
          <w:spacing w:val="-3"/>
        </w:rPr>
        <w:t xml:space="preserve"> </w:t>
      </w:r>
      <w:r>
        <w:t>score</w:t>
      </w:r>
      <w:r>
        <w:rPr>
          <w:spacing w:val="-5"/>
        </w:rPr>
        <w:t xml:space="preserve"> </w:t>
      </w:r>
      <w:r>
        <w:t>of the expected population.</w:t>
      </w:r>
    </w:p>
    <w:p>
      <w:pPr>
        <w:pStyle w:val="BodyText"/>
        <w:spacing w:before="45"/>
        <w:ind w:left="0"/>
      </w:pPr>
    </w:p>
    <w:p>
      <w:pPr>
        <w:pStyle w:val="Heading2"/>
      </w:pPr>
      <w:bookmarkStart w:id="210" w:name="Section VI – Tests for Alternative Cover"/>
      <w:bookmarkEnd w:id="210"/>
      <w:bookmarkStart w:id="211" w:name="_bookmark62"/>
      <w:bookmarkEnd w:id="211"/>
      <w:r>
        <w:rPr>
          <w:smallCaps/>
        </w:rPr>
        <w:t>Section</w:t>
      </w:r>
      <w:r>
        <w:rPr>
          <w:smallCaps/>
          <w:spacing w:val="-15"/>
        </w:rPr>
        <w:t xml:space="preserve"> </w:t>
      </w:r>
      <w:r>
        <w:rPr>
          <w:smallCaps/>
        </w:rPr>
        <w:t>VI</w:t>
      </w:r>
      <w:r>
        <w:rPr>
          <w:smallCaps/>
          <w:spacing w:val="-15"/>
        </w:rPr>
        <w:t xml:space="preserve"> </w:t>
      </w:r>
      <w:r>
        <w:rPr>
          <w:smallCaps/>
        </w:rPr>
        <w:t>–</w:t>
      </w:r>
      <w:r>
        <w:rPr>
          <w:smallCaps/>
          <w:spacing w:val="-15"/>
        </w:rPr>
        <w:t xml:space="preserve"> </w:t>
      </w:r>
      <w:r>
        <w:rPr>
          <w:smallCaps/>
        </w:rPr>
        <w:t>Tests</w:t>
      </w:r>
      <w:r>
        <w:rPr>
          <w:smallCaps/>
          <w:spacing w:val="-7"/>
        </w:rPr>
        <w:t xml:space="preserve"> </w:t>
      </w:r>
      <w:r>
        <w:rPr>
          <w:smallCaps/>
        </w:rPr>
        <w:t>for</w:t>
      </w:r>
      <w:r>
        <w:rPr>
          <w:smallCaps/>
          <w:spacing w:val="-5"/>
        </w:rPr>
        <w:t xml:space="preserve"> </w:t>
      </w:r>
      <w:r>
        <w:rPr>
          <w:smallCaps/>
        </w:rPr>
        <w:t>Alternative</w:t>
      </w:r>
      <w:r>
        <w:rPr>
          <w:smallCaps/>
          <w:spacing w:val="-7"/>
        </w:rPr>
        <w:t xml:space="preserve"> </w:t>
      </w:r>
      <w:r>
        <w:rPr>
          <w:smallCaps/>
          <w:spacing w:val="-2"/>
        </w:rPr>
        <w:t>Coverage</w:t>
      </w:r>
    </w:p>
    <w:p>
      <w:pPr>
        <w:pStyle w:val="BodyText"/>
        <w:spacing w:before="180"/>
        <w:ind w:left="440" w:right="979"/>
      </w:pPr>
      <w:r>
        <w:t>This</w:t>
      </w:r>
      <w:r>
        <w:rPr>
          <w:spacing w:val="-4"/>
        </w:rPr>
        <w:t xml:space="preserve"> </w:t>
      </w:r>
      <w:r>
        <w:t>section</w:t>
      </w:r>
      <w:r>
        <w:rPr>
          <w:spacing w:val="-4"/>
        </w:rPr>
        <w:t xml:space="preserve"> </w:t>
      </w:r>
      <w:r>
        <w:t>applies</w:t>
      </w:r>
      <w:r>
        <w:rPr>
          <w:spacing w:val="-4"/>
        </w:rPr>
        <w:t xml:space="preserve"> </w:t>
      </w:r>
      <w:r>
        <w:t>the</w:t>
      </w:r>
      <w:r>
        <w:rPr>
          <w:spacing w:val="-3"/>
        </w:rPr>
        <w:t xml:space="preserve"> </w:t>
      </w:r>
      <w:r>
        <w:t>four</w:t>
      </w:r>
      <w:r>
        <w:rPr>
          <w:spacing w:val="-5"/>
        </w:rPr>
        <w:t xml:space="preserve"> </w:t>
      </w:r>
      <w:r>
        <w:t>actuarial</w:t>
      </w:r>
      <w:r>
        <w:rPr>
          <w:spacing w:val="-4"/>
        </w:rPr>
        <w:t xml:space="preserve"> </w:t>
      </w:r>
      <w:r>
        <w:t>equivalence</w:t>
      </w:r>
      <w:r>
        <w:rPr>
          <w:spacing w:val="-3"/>
        </w:rPr>
        <w:t xml:space="preserve"> </w:t>
      </w:r>
      <w:r>
        <w:t>tests</w:t>
      </w:r>
      <w:r>
        <w:rPr>
          <w:spacing w:val="-4"/>
        </w:rPr>
        <w:t xml:space="preserve"> </w:t>
      </w:r>
      <w:r>
        <w:t>to</w:t>
      </w:r>
      <w:r>
        <w:rPr>
          <w:spacing w:val="-4"/>
        </w:rPr>
        <w:t xml:space="preserve"> </w:t>
      </w:r>
      <w:r>
        <w:t>certain</w:t>
      </w:r>
      <w:r>
        <w:rPr>
          <w:spacing w:val="-4"/>
        </w:rPr>
        <w:t xml:space="preserve"> </w:t>
      </w:r>
      <w:r>
        <w:t>values</w:t>
      </w:r>
      <w:r>
        <w:rPr>
          <w:spacing w:val="-4"/>
        </w:rPr>
        <w:t xml:space="preserve"> </w:t>
      </w:r>
      <w:r>
        <w:t>in</w:t>
      </w:r>
      <w:r>
        <w:rPr>
          <w:spacing w:val="-2"/>
        </w:rPr>
        <w:t xml:space="preserve"> </w:t>
      </w:r>
      <w:r>
        <w:t>Sections</w:t>
      </w:r>
      <w:r>
        <w:rPr>
          <w:spacing w:val="-4"/>
        </w:rPr>
        <w:t xml:space="preserve"> </w:t>
      </w:r>
      <w:r>
        <w:t xml:space="preserve">III through V to determine whether the proposed benefit plan qualifies as alternative </w:t>
      </w:r>
      <w:r>
        <w:rPr>
          <w:spacing w:val="-2"/>
        </w:rPr>
        <w:t>coverage.</w:t>
      </w:r>
    </w:p>
    <w:p>
      <w:pPr>
        <w:pStyle w:val="BodyText"/>
        <w:spacing w:before="45"/>
        <w:ind w:left="0"/>
      </w:pPr>
    </w:p>
    <w:p>
      <w:pPr>
        <w:pStyle w:val="Heading2"/>
      </w:pPr>
      <w:bookmarkStart w:id="212" w:name="Section VII – Development of Supplementa"/>
      <w:bookmarkEnd w:id="212"/>
      <w:bookmarkStart w:id="213" w:name="_bookmark63"/>
      <w:bookmarkEnd w:id="213"/>
      <w:r>
        <w:rPr>
          <w:smallCaps/>
        </w:rPr>
        <w:t>Section</w:t>
      </w:r>
      <w:r>
        <w:rPr>
          <w:smallCaps/>
          <w:spacing w:val="-15"/>
        </w:rPr>
        <w:t xml:space="preserve"> </w:t>
      </w:r>
      <w:r>
        <w:rPr>
          <w:smallCaps/>
        </w:rPr>
        <w:t>VII</w:t>
      </w:r>
      <w:r>
        <w:rPr>
          <w:smallCaps/>
          <w:spacing w:val="-15"/>
        </w:rPr>
        <w:t xml:space="preserve"> </w:t>
      </w:r>
      <w:r>
        <w:rPr>
          <w:smallCaps/>
        </w:rPr>
        <w:t>–</w:t>
      </w:r>
      <w:r>
        <w:rPr>
          <w:smallCaps/>
          <w:spacing w:val="-15"/>
        </w:rPr>
        <w:t xml:space="preserve"> </w:t>
      </w:r>
      <w:r>
        <w:rPr>
          <w:smallCaps/>
        </w:rPr>
        <w:t>Development</w:t>
      </w:r>
      <w:r>
        <w:rPr>
          <w:smallCaps/>
          <w:spacing w:val="-14"/>
        </w:rPr>
        <w:t xml:space="preserve"> </w:t>
      </w:r>
      <w:r>
        <w:rPr>
          <w:smallCaps/>
        </w:rPr>
        <w:t>of</w:t>
      </w:r>
      <w:r>
        <w:rPr>
          <w:smallCaps/>
          <w:spacing w:val="-8"/>
        </w:rPr>
        <w:t xml:space="preserve"> </w:t>
      </w:r>
      <w:r>
        <w:rPr>
          <w:smallCaps/>
        </w:rPr>
        <w:t>Supplemental</w:t>
      </w:r>
      <w:r>
        <w:rPr>
          <w:smallCaps/>
          <w:spacing w:val="-7"/>
        </w:rPr>
        <w:t xml:space="preserve"> </w:t>
      </w:r>
      <w:r>
        <w:rPr>
          <w:smallCaps/>
          <w:spacing w:val="-2"/>
        </w:rPr>
        <w:t>Premium</w:t>
      </w:r>
    </w:p>
    <w:p>
      <w:pPr>
        <w:spacing w:before="240"/>
        <w:ind w:left="440" w:right="0" w:firstLine="0"/>
        <w:jc w:val="left"/>
        <w:rPr>
          <w:rFonts w:ascii="Arial"/>
          <w:b/>
          <w:sz w:val="21"/>
        </w:rPr>
      </w:pPr>
      <w:bookmarkStart w:id="214" w:name="Lines 1 through 5 and 8"/>
      <w:bookmarkEnd w:id="214"/>
      <w:r>
        <w:rPr>
          <w:rFonts w:ascii="Arial"/>
          <w:b/>
          <w:sz w:val="21"/>
        </w:rPr>
        <w:t>Lines</w:t>
      </w:r>
      <w:r>
        <w:rPr>
          <w:rFonts w:ascii="Arial"/>
          <w:b/>
          <w:spacing w:val="-4"/>
          <w:sz w:val="21"/>
        </w:rPr>
        <w:t xml:space="preserve"> </w:t>
      </w:r>
      <w:r>
        <w:rPr>
          <w:rFonts w:ascii="Arial"/>
          <w:b/>
          <w:sz w:val="21"/>
        </w:rPr>
        <w:t>1</w:t>
      </w:r>
      <w:r>
        <w:rPr>
          <w:rFonts w:ascii="Arial"/>
          <w:b/>
          <w:spacing w:val="-4"/>
          <w:sz w:val="21"/>
        </w:rPr>
        <w:t xml:space="preserve"> </w:t>
      </w:r>
      <w:r>
        <w:rPr>
          <w:rFonts w:ascii="Arial"/>
          <w:b/>
          <w:sz w:val="21"/>
        </w:rPr>
        <w:t>through</w:t>
      </w:r>
      <w:r>
        <w:rPr>
          <w:rFonts w:ascii="Arial"/>
          <w:b/>
          <w:spacing w:val="-3"/>
          <w:sz w:val="21"/>
        </w:rPr>
        <w:t xml:space="preserve"> </w:t>
      </w:r>
      <w:r>
        <w:rPr>
          <w:rFonts w:ascii="Arial"/>
          <w:b/>
          <w:sz w:val="21"/>
        </w:rPr>
        <w:t>5</w:t>
      </w:r>
      <w:r>
        <w:rPr>
          <w:rFonts w:ascii="Arial"/>
          <w:b/>
          <w:spacing w:val="-5"/>
          <w:sz w:val="21"/>
        </w:rPr>
        <w:t xml:space="preserve"> </w:t>
      </w:r>
      <w:r>
        <w:rPr>
          <w:rFonts w:ascii="Arial"/>
          <w:b/>
          <w:sz w:val="21"/>
        </w:rPr>
        <w:t>and</w:t>
      </w:r>
      <w:r>
        <w:rPr>
          <w:rFonts w:ascii="Arial"/>
          <w:b/>
          <w:spacing w:val="-2"/>
          <w:sz w:val="21"/>
        </w:rPr>
        <w:t xml:space="preserve"> </w:t>
      </w:r>
      <w:r>
        <w:rPr>
          <w:rFonts w:ascii="Arial"/>
          <w:b/>
          <w:spacing w:val="-10"/>
          <w:sz w:val="21"/>
        </w:rPr>
        <w:t>8</w:t>
      </w:r>
    </w:p>
    <w:p>
      <w:pPr>
        <w:pStyle w:val="BodyText"/>
        <w:spacing w:before="118"/>
        <w:ind w:left="440"/>
      </w:pPr>
      <w:r>
        <w:t>The</w:t>
      </w:r>
      <w:r>
        <w:rPr>
          <w:spacing w:val="-5"/>
        </w:rPr>
        <w:t xml:space="preserve"> </w:t>
      </w:r>
      <w:r>
        <w:t>values</w:t>
      </w:r>
      <w:r>
        <w:rPr>
          <w:spacing w:val="-2"/>
        </w:rPr>
        <w:t xml:space="preserve"> </w:t>
      </w:r>
      <w:r>
        <w:t>are</w:t>
      </w:r>
      <w:r>
        <w:rPr>
          <w:spacing w:val="-3"/>
        </w:rPr>
        <w:t xml:space="preserve"> </w:t>
      </w:r>
      <w:r>
        <w:t>calculated automatically</w:t>
      </w:r>
      <w:r>
        <w:rPr>
          <w:spacing w:val="1"/>
        </w:rPr>
        <w:t xml:space="preserve"> </w:t>
      </w:r>
      <w:r>
        <w:t>in the</w:t>
      </w:r>
      <w:r>
        <w:rPr>
          <w:spacing w:val="-2"/>
        </w:rPr>
        <w:t xml:space="preserve"> </w:t>
      </w:r>
      <w:r>
        <w:t>BPT</w:t>
      </w:r>
      <w:r>
        <w:rPr>
          <w:spacing w:val="-1"/>
        </w:rPr>
        <w:t xml:space="preserve"> </w:t>
      </w:r>
      <w:r>
        <w:t>from</w:t>
      </w:r>
      <w:r>
        <w:rPr>
          <w:spacing w:val="-1"/>
        </w:rPr>
        <w:t xml:space="preserve"> </w:t>
      </w:r>
      <w:r>
        <w:t>values</w:t>
      </w:r>
      <w:r>
        <w:rPr>
          <w:spacing w:val="-1"/>
        </w:rPr>
        <w:t xml:space="preserve"> </w:t>
      </w:r>
      <w:r>
        <w:t>in</w:t>
      </w:r>
      <w:r>
        <w:rPr>
          <w:spacing w:val="-1"/>
        </w:rPr>
        <w:t xml:space="preserve"> </w:t>
      </w:r>
      <w:r>
        <w:t>Worksheet</w:t>
      </w:r>
      <w:r>
        <w:rPr>
          <w:spacing w:val="2"/>
        </w:rPr>
        <w:t xml:space="preserve"> </w:t>
      </w:r>
      <w:r>
        <w:rPr>
          <w:spacing w:val="-5"/>
        </w:rPr>
        <w:t>5.</w:t>
      </w:r>
    </w:p>
    <w:p>
      <w:pPr>
        <w:spacing w:before="241"/>
        <w:ind w:left="440" w:right="0" w:firstLine="0"/>
        <w:jc w:val="left"/>
        <w:rPr>
          <w:rFonts w:ascii="Arial" w:hAnsi="Arial"/>
          <w:b/>
          <w:sz w:val="21"/>
        </w:rPr>
      </w:pPr>
      <w:bookmarkStart w:id="215" w:name="Line 6 – Additional Non-Benefit Expenses"/>
      <w:bookmarkEnd w:id="215"/>
      <w:r>
        <w:rPr>
          <w:rFonts w:ascii="Arial" w:hAnsi="Arial"/>
          <w:b/>
          <w:sz w:val="21"/>
        </w:rPr>
        <w:t>Line</w:t>
      </w:r>
      <w:r>
        <w:rPr>
          <w:rFonts w:ascii="Arial" w:hAnsi="Arial"/>
          <w:b/>
          <w:spacing w:val="-6"/>
          <w:sz w:val="21"/>
        </w:rPr>
        <w:t xml:space="preserve"> </w:t>
      </w:r>
      <w:r>
        <w:rPr>
          <w:rFonts w:ascii="Arial" w:hAnsi="Arial"/>
          <w:b/>
          <w:sz w:val="21"/>
        </w:rPr>
        <w:t>6</w:t>
      </w:r>
      <w:r>
        <w:rPr>
          <w:rFonts w:ascii="Arial" w:hAnsi="Arial"/>
          <w:b/>
          <w:spacing w:val="-5"/>
          <w:sz w:val="21"/>
        </w:rPr>
        <w:t xml:space="preserve"> </w:t>
      </w:r>
      <w:r>
        <w:rPr>
          <w:rFonts w:ascii="Arial" w:hAnsi="Arial"/>
          <w:b/>
          <w:sz w:val="21"/>
        </w:rPr>
        <w:t>–</w:t>
      </w:r>
      <w:r>
        <w:rPr>
          <w:rFonts w:ascii="Arial" w:hAnsi="Arial"/>
          <w:b/>
          <w:spacing w:val="-7"/>
          <w:sz w:val="21"/>
        </w:rPr>
        <w:t xml:space="preserve"> </w:t>
      </w:r>
      <w:r>
        <w:rPr>
          <w:rFonts w:ascii="Arial" w:hAnsi="Arial"/>
          <w:b/>
          <w:sz w:val="21"/>
        </w:rPr>
        <w:t>Additional</w:t>
      </w:r>
      <w:r>
        <w:rPr>
          <w:rFonts w:ascii="Arial" w:hAnsi="Arial"/>
          <w:b/>
          <w:spacing w:val="-8"/>
          <w:sz w:val="21"/>
        </w:rPr>
        <w:t xml:space="preserve"> </w:t>
      </w:r>
      <w:r>
        <w:rPr>
          <w:rFonts w:ascii="Arial" w:hAnsi="Arial"/>
          <w:b/>
          <w:sz w:val="21"/>
        </w:rPr>
        <w:t>Non-Benefit</w:t>
      </w:r>
      <w:r>
        <w:rPr>
          <w:rFonts w:ascii="Arial" w:hAnsi="Arial"/>
          <w:b/>
          <w:spacing w:val="-6"/>
          <w:sz w:val="21"/>
        </w:rPr>
        <w:t xml:space="preserve"> </w:t>
      </w:r>
      <w:r>
        <w:rPr>
          <w:rFonts w:ascii="Arial" w:hAnsi="Arial"/>
          <w:b/>
          <w:spacing w:val="-2"/>
          <w:sz w:val="21"/>
        </w:rPr>
        <w:t>Expenses</w:t>
      </w:r>
    </w:p>
    <w:p>
      <w:pPr>
        <w:pStyle w:val="BodyText"/>
        <w:ind w:left="440"/>
      </w:pPr>
      <w:r>
        <w:t>The</w:t>
      </w:r>
      <w:r>
        <w:rPr>
          <w:spacing w:val="-6"/>
        </w:rPr>
        <w:t xml:space="preserve"> </w:t>
      </w:r>
      <w:r>
        <w:t>value</w:t>
      </w:r>
      <w:r>
        <w:rPr>
          <w:spacing w:val="-1"/>
        </w:rPr>
        <w:t xml:space="preserve"> </w:t>
      </w:r>
      <w:r>
        <w:t>is</w:t>
      </w:r>
      <w:r>
        <w:rPr>
          <w:spacing w:val="-2"/>
        </w:rPr>
        <w:t xml:space="preserve"> </w:t>
      </w:r>
      <w:r>
        <w:t>carried from Worksheet</w:t>
      </w:r>
      <w:r>
        <w:rPr>
          <w:spacing w:val="1"/>
        </w:rPr>
        <w:t xml:space="preserve"> </w:t>
      </w:r>
      <w:r>
        <w:rPr>
          <w:spacing w:val="-5"/>
        </w:rPr>
        <w:t>2.</w:t>
      </w:r>
    </w:p>
    <w:p>
      <w:pPr>
        <w:spacing w:before="241"/>
        <w:ind w:left="440" w:right="0" w:firstLine="0"/>
        <w:jc w:val="left"/>
        <w:rPr>
          <w:rFonts w:ascii="Arial" w:hAnsi="Arial"/>
          <w:b/>
          <w:sz w:val="21"/>
        </w:rPr>
      </w:pPr>
      <w:bookmarkStart w:id="216" w:name="Line 7 – Additional Gain/Loss Margin"/>
      <w:bookmarkEnd w:id="216"/>
      <w:r>
        <w:rPr>
          <w:rFonts w:ascii="Arial" w:hAnsi="Arial"/>
          <w:b/>
          <w:sz w:val="21"/>
        </w:rPr>
        <w:t>Line</w:t>
      </w:r>
      <w:r>
        <w:rPr>
          <w:rFonts w:ascii="Arial" w:hAnsi="Arial"/>
          <w:b/>
          <w:spacing w:val="-5"/>
          <w:sz w:val="21"/>
        </w:rPr>
        <w:t xml:space="preserve"> </w:t>
      </w:r>
      <w:r>
        <w:rPr>
          <w:rFonts w:ascii="Arial" w:hAnsi="Arial"/>
          <w:b/>
          <w:sz w:val="21"/>
        </w:rPr>
        <w:t>7</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Additional</w:t>
      </w:r>
      <w:r>
        <w:rPr>
          <w:rFonts w:ascii="Arial" w:hAnsi="Arial"/>
          <w:b/>
          <w:spacing w:val="-6"/>
          <w:sz w:val="21"/>
        </w:rPr>
        <w:t xml:space="preserve"> </w:t>
      </w:r>
      <w:r>
        <w:rPr>
          <w:rFonts w:ascii="Arial" w:hAnsi="Arial"/>
          <w:b/>
          <w:sz w:val="21"/>
        </w:rPr>
        <w:t>Gain/Loss</w:t>
      </w:r>
      <w:r>
        <w:rPr>
          <w:rFonts w:ascii="Arial" w:hAnsi="Arial"/>
          <w:b/>
          <w:spacing w:val="-4"/>
          <w:sz w:val="21"/>
        </w:rPr>
        <w:t xml:space="preserve"> </w:t>
      </w:r>
      <w:r>
        <w:rPr>
          <w:rFonts w:ascii="Arial" w:hAnsi="Arial"/>
          <w:b/>
          <w:spacing w:val="-2"/>
          <w:sz w:val="21"/>
        </w:rPr>
        <w:t>Margin</w:t>
      </w:r>
    </w:p>
    <w:p>
      <w:pPr>
        <w:pStyle w:val="BodyText"/>
        <w:spacing w:before="118"/>
        <w:ind w:left="440"/>
      </w:pPr>
      <w:r>
        <w:t>The</w:t>
      </w:r>
      <w:r>
        <w:rPr>
          <w:spacing w:val="-4"/>
        </w:rPr>
        <w:t xml:space="preserve"> </w:t>
      </w:r>
      <w:r>
        <w:t>value</w:t>
      </w:r>
      <w:r>
        <w:rPr>
          <w:spacing w:val="-1"/>
        </w:rPr>
        <w:t xml:space="preserve"> </w:t>
      </w:r>
      <w:r>
        <w:t>is</w:t>
      </w:r>
      <w:r>
        <w:rPr>
          <w:spacing w:val="-2"/>
        </w:rPr>
        <w:t xml:space="preserve"> </w:t>
      </w:r>
      <w:r>
        <w:t>carried from Worksheet</w:t>
      </w:r>
      <w:r>
        <w:rPr>
          <w:spacing w:val="-1"/>
        </w:rPr>
        <w:t xml:space="preserve"> </w:t>
      </w:r>
      <w:r>
        <w:rPr>
          <w:spacing w:val="-5"/>
        </w:rPr>
        <w:t>2.</w:t>
      </w:r>
    </w:p>
    <w:p>
      <w:pPr>
        <w:pStyle w:val="BodyText"/>
        <w:spacing w:before="45"/>
        <w:ind w:left="0"/>
      </w:pPr>
    </w:p>
    <w:p>
      <w:pPr>
        <w:pStyle w:val="Heading2"/>
      </w:pPr>
      <w:bookmarkStart w:id="217" w:name="Section VIII – Development of Induced Ut"/>
      <w:bookmarkEnd w:id="217"/>
      <w:bookmarkStart w:id="218" w:name="_bookmark64"/>
      <w:bookmarkEnd w:id="218"/>
      <w:r>
        <w:rPr>
          <w:smallCaps/>
        </w:rPr>
        <w:t>Section</w:t>
      </w:r>
      <w:r>
        <w:rPr>
          <w:smallCaps/>
          <w:spacing w:val="-15"/>
        </w:rPr>
        <w:t xml:space="preserve"> </w:t>
      </w:r>
      <w:r>
        <w:rPr>
          <w:smallCaps/>
        </w:rPr>
        <w:t>VIII</w:t>
      </w:r>
      <w:r>
        <w:rPr>
          <w:smallCaps/>
          <w:spacing w:val="-15"/>
        </w:rPr>
        <w:t xml:space="preserve"> </w:t>
      </w:r>
      <w:r>
        <w:rPr>
          <w:smallCaps/>
        </w:rPr>
        <w:t>–</w:t>
      </w:r>
      <w:r>
        <w:rPr>
          <w:smallCaps/>
          <w:spacing w:val="-15"/>
        </w:rPr>
        <w:t xml:space="preserve"> </w:t>
      </w:r>
      <w:r>
        <w:rPr>
          <w:smallCaps/>
        </w:rPr>
        <w:t>Development</w:t>
      </w:r>
      <w:r>
        <w:rPr>
          <w:smallCaps/>
          <w:spacing w:val="-14"/>
        </w:rPr>
        <w:t xml:space="preserve"> </w:t>
      </w:r>
      <w:r>
        <w:rPr>
          <w:smallCaps/>
        </w:rPr>
        <w:t>of</w:t>
      </w:r>
      <w:r>
        <w:rPr>
          <w:smallCaps/>
          <w:spacing w:val="-8"/>
        </w:rPr>
        <w:t xml:space="preserve"> </w:t>
      </w:r>
      <w:r>
        <w:rPr>
          <w:smallCaps/>
        </w:rPr>
        <w:t>Induced</w:t>
      </w:r>
      <w:r>
        <w:rPr>
          <w:smallCaps/>
          <w:spacing w:val="-10"/>
        </w:rPr>
        <w:t xml:space="preserve"> </w:t>
      </w:r>
      <w:r>
        <w:rPr>
          <w:smallCaps/>
        </w:rPr>
        <w:t>Utilization</w:t>
      </w:r>
      <w:r>
        <w:rPr>
          <w:smallCaps/>
          <w:spacing w:val="-9"/>
        </w:rPr>
        <w:t xml:space="preserve"> </w:t>
      </w:r>
      <w:r>
        <w:rPr>
          <w:smallCaps/>
          <w:spacing w:val="-2"/>
        </w:rPr>
        <w:t>Adjustment</w:t>
      </w:r>
    </w:p>
    <w:p>
      <w:pPr>
        <w:pStyle w:val="BodyText"/>
        <w:spacing w:before="179"/>
        <w:ind w:left="440" w:right="478"/>
      </w:pPr>
      <w:r>
        <w:t>This</w:t>
      </w:r>
      <w:r>
        <w:rPr>
          <w:spacing w:val="-4"/>
        </w:rPr>
        <w:t xml:space="preserve"> </w:t>
      </w:r>
      <w:r>
        <w:t>section</w:t>
      </w:r>
      <w:r>
        <w:rPr>
          <w:spacing w:val="-4"/>
        </w:rPr>
        <w:t xml:space="preserve"> </w:t>
      </w:r>
      <w:r>
        <w:t>summarizes</w:t>
      </w:r>
      <w:r>
        <w:rPr>
          <w:spacing w:val="-1"/>
        </w:rPr>
        <w:t xml:space="preserve"> </w:t>
      </w:r>
      <w:r>
        <w:t>the</w:t>
      </w:r>
      <w:r>
        <w:rPr>
          <w:spacing w:val="-4"/>
        </w:rPr>
        <w:t xml:space="preserve"> </w:t>
      </w:r>
      <w:r>
        <w:t>additional</w:t>
      </w:r>
      <w:r>
        <w:rPr>
          <w:spacing w:val="-4"/>
        </w:rPr>
        <w:t xml:space="preserve"> </w:t>
      </w:r>
      <w:r>
        <w:t>costs</w:t>
      </w:r>
      <w:r>
        <w:rPr>
          <w:spacing w:val="-3"/>
        </w:rPr>
        <w:t xml:space="preserve"> </w:t>
      </w:r>
      <w:r>
        <w:t>of</w:t>
      </w:r>
      <w:r>
        <w:rPr>
          <w:spacing w:val="-5"/>
        </w:rPr>
        <w:t xml:space="preserve"> </w:t>
      </w:r>
      <w:r>
        <w:t>DS</w:t>
      </w:r>
      <w:r>
        <w:rPr>
          <w:spacing w:val="-3"/>
        </w:rPr>
        <w:t xml:space="preserve"> </w:t>
      </w:r>
      <w:r>
        <w:t>coverage</w:t>
      </w:r>
      <w:r>
        <w:rPr>
          <w:spacing w:val="-3"/>
        </w:rPr>
        <w:t xml:space="preserve"> </w:t>
      </w:r>
      <w:r>
        <w:t>with</w:t>
      </w:r>
      <w:r>
        <w:rPr>
          <w:spacing w:val="-4"/>
        </w:rPr>
        <w:t xml:space="preserve"> </w:t>
      </w:r>
      <w:r>
        <w:t>respect</w:t>
      </w:r>
      <w:r>
        <w:rPr>
          <w:spacing w:val="-4"/>
        </w:rPr>
        <w:t xml:space="preserve"> </w:t>
      </w:r>
      <w:r>
        <w:t>to</w:t>
      </w:r>
      <w:r>
        <w:rPr>
          <w:spacing w:val="-4"/>
        </w:rPr>
        <w:t xml:space="preserve"> </w:t>
      </w:r>
      <w:r>
        <w:t>the</w:t>
      </w:r>
      <w:r>
        <w:rPr>
          <w:spacing w:val="-4"/>
        </w:rPr>
        <w:t xml:space="preserve"> </w:t>
      </w:r>
      <w:r>
        <w:t>enhanced alternative plan with supplemental benefits and is used to adjust allowable costs for risk corridor payments.</w:t>
      </w:r>
    </w:p>
    <w:p>
      <w:pPr>
        <w:spacing w:before="241"/>
        <w:ind w:left="440" w:right="0" w:firstLine="0"/>
        <w:jc w:val="left"/>
        <w:rPr>
          <w:rFonts w:ascii="Arial" w:hAnsi="Arial"/>
          <w:b/>
          <w:sz w:val="21"/>
        </w:rPr>
      </w:pPr>
      <w:bookmarkStart w:id="219" w:name="Line 2 – Impact of Alternative Utilizati"/>
      <w:bookmarkEnd w:id="219"/>
      <w:r>
        <w:rPr>
          <w:rFonts w:ascii="Arial" w:hAnsi="Arial"/>
          <w:b/>
          <w:sz w:val="21"/>
        </w:rPr>
        <w:t>Line</w:t>
      </w:r>
      <w:r>
        <w:rPr>
          <w:rFonts w:ascii="Arial" w:hAnsi="Arial"/>
          <w:b/>
          <w:spacing w:val="-8"/>
          <w:sz w:val="21"/>
        </w:rPr>
        <w:t xml:space="preserve"> </w:t>
      </w:r>
      <w:r>
        <w:rPr>
          <w:rFonts w:ascii="Arial" w:hAnsi="Arial"/>
          <w:b/>
          <w:sz w:val="21"/>
        </w:rPr>
        <w:t>2</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Impact</w:t>
      </w:r>
      <w:r>
        <w:rPr>
          <w:rFonts w:ascii="Arial" w:hAnsi="Arial"/>
          <w:b/>
          <w:spacing w:val="-6"/>
          <w:sz w:val="21"/>
        </w:rPr>
        <w:t xml:space="preserve"> </w:t>
      </w:r>
      <w:r>
        <w:rPr>
          <w:rFonts w:ascii="Arial" w:hAnsi="Arial"/>
          <w:b/>
          <w:sz w:val="21"/>
        </w:rPr>
        <w:t>of</w:t>
      </w:r>
      <w:r>
        <w:rPr>
          <w:rFonts w:ascii="Arial" w:hAnsi="Arial"/>
          <w:b/>
          <w:spacing w:val="-5"/>
          <w:sz w:val="21"/>
        </w:rPr>
        <w:t xml:space="preserve"> </w:t>
      </w:r>
      <w:r>
        <w:rPr>
          <w:rFonts w:ascii="Arial" w:hAnsi="Arial"/>
          <w:b/>
          <w:sz w:val="21"/>
        </w:rPr>
        <w:t>Alternative</w:t>
      </w:r>
      <w:r>
        <w:rPr>
          <w:rFonts w:ascii="Arial" w:hAnsi="Arial"/>
          <w:b/>
          <w:spacing w:val="-6"/>
          <w:sz w:val="21"/>
        </w:rPr>
        <w:t xml:space="preserve"> </w:t>
      </w:r>
      <w:r>
        <w:rPr>
          <w:rFonts w:ascii="Arial" w:hAnsi="Arial"/>
          <w:b/>
          <w:sz w:val="21"/>
        </w:rPr>
        <w:t>Utilization</w:t>
      </w:r>
      <w:r>
        <w:rPr>
          <w:rFonts w:ascii="Arial" w:hAnsi="Arial"/>
          <w:b/>
          <w:spacing w:val="-4"/>
          <w:sz w:val="21"/>
        </w:rPr>
        <w:t xml:space="preserve"> </w:t>
      </w:r>
      <w:r>
        <w:rPr>
          <w:rFonts w:ascii="Arial" w:hAnsi="Arial"/>
          <w:b/>
          <w:sz w:val="21"/>
        </w:rPr>
        <w:t>on</w:t>
      </w:r>
      <w:r>
        <w:rPr>
          <w:rFonts w:ascii="Arial" w:hAnsi="Arial"/>
          <w:b/>
          <w:spacing w:val="-4"/>
          <w:sz w:val="21"/>
        </w:rPr>
        <w:t xml:space="preserve"> </w:t>
      </w:r>
      <w:r>
        <w:rPr>
          <w:rFonts w:ascii="Arial" w:hAnsi="Arial"/>
          <w:b/>
          <w:sz w:val="21"/>
        </w:rPr>
        <w:t>Standard</w:t>
      </w:r>
      <w:r>
        <w:rPr>
          <w:rFonts w:ascii="Arial" w:hAnsi="Arial"/>
          <w:b/>
          <w:spacing w:val="-8"/>
          <w:sz w:val="21"/>
        </w:rPr>
        <w:t xml:space="preserve"> </w:t>
      </w:r>
      <w:r>
        <w:rPr>
          <w:rFonts w:ascii="Arial" w:hAnsi="Arial"/>
          <w:b/>
          <w:spacing w:val="-2"/>
          <w:sz w:val="21"/>
        </w:rPr>
        <w:t>Benefit</w:t>
      </w:r>
    </w:p>
    <w:p>
      <w:pPr>
        <w:pStyle w:val="BodyText"/>
        <w:ind w:left="440" w:right="816"/>
      </w:pPr>
      <w:r>
        <w:t>Enter</w:t>
      </w:r>
      <w:r>
        <w:rPr>
          <w:spacing w:val="-3"/>
        </w:rPr>
        <w:t xml:space="preserve"> </w:t>
      </w:r>
      <w:r>
        <w:t>the</w:t>
      </w:r>
      <w:r>
        <w:rPr>
          <w:spacing w:val="-5"/>
        </w:rPr>
        <w:t xml:space="preserve"> </w:t>
      </w:r>
      <w:r>
        <w:t>additional</w:t>
      </w:r>
      <w:r>
        <w:rPr>
          <w:spacing w:val="-3"/>
        </w:rPr>
        <w:t xml:space="preserve"> </w:t>
      </w:r>
      <w:r>
        <w:t>costs for</w:t>
      </w:r>
      <w:r>
        <w:rPr>
          <w:spacing w:val="-4"/>
        </w:rPr>
        <w:t xml:space="preserve"> </w:t>
      </w:r>
      <w:r>
        <w:t>Part</w:t>
      </w:r>
      <w:r>
        <w:rPr>
          <w:spacing w:val="-3"/>
        </w:rPr>
        <w:t xml:space="preserve"> </w:t>
      </w:r>
      <w:r>
        <w:t>D-covered</w:t>
      </w:r>
      <w:r>
        <w:rPr>
          <w:spacing w:val="-3"/>
        </w:rPr>
        <w:t xml:space="preserve"> </w:t>
      </w:r>
      <w:r>
        <w:t>drugs under</w:t>
      </w:r>
      <w:r>
        <w:rPr>
          <w:spacing w:val="-3"/>
        </w:rPr>
        <w:t xml:space="preserve"> </w:t>
      </w:r>
      <w:r>
        <w:t>a</w:t>
      </w:r>
      <w:r>
        <w:rPr>
          <w:spacing w:val="-5"/>
        </w:rPr>
        <w:t xml:space="preserve"> </w:t>
      </w:r>
      <w:r>
        <w:t>DS</w:t>
      </w:r>
      <w:r>
        <w:rPr>
          <w:spacing w:val="-3"/>
        </w:rPr>
        <w:t xml:space="preserve"> </w:t>
      </w:r>
      <w:r>
        <w:t>plan</w:t>
      </w:r>
      <w:r>
        <w:rPr>
          <w:spacing w:val="-3"/>
        </w:rPr>
        <w:t xml:space="preserve"> </w:t>
      </w:r>
      <w:r>
        <w:t>in</w:t>
      </w:r>
      <w:r>
        <w:rPr>
          <w:spacing w:val="-3"/>
        </w:rPr>
        <w:t xml:space="preserve"> </w:t>
      </w:r>
      <w:r>
        <w:t>the</w:t>
      </w:r>
      <w:r>
        <w:rPr>
          <w:spacing w:val="-4"/>
        </w:rPr>
        <w:t xml:space="preserve"> </w:t>
      </w:r>
      <w:r>
        <w:t>first</w:t>
      </w:r>
      <w:r>
        <w:rPr>
          <w:spacing w:val="-3"/>
        </w:rPr>
        <w:t xml:space="preserve"> </w:t>
      </w:r>
      <w:r>
        <w:t>column</w:t>
      </w:r>
      <w:r>
        <w:rPr>
          <w:spacing w:val="-3"/>
        </w:rPr>
        <w:t xml:space="preserve"> </w:t>
      </w:r>
      <w:r>
        <w:t>if the utilization of the EA plan was used to price the DS coverage in the bid. The adjustment applies to the EA plan type only and must be a positive value.</w:t>
      </w:r>
    </w:p>
    <w:p>
      <w:pPr>
        <w:spacing w:after="0"/>
        <w:sectPr>
          <w:pgSz w:w="12240" w:h="15840"/>
          <w:pgMar w:top="1340" w:right="1000" w:bottom="1080" w:left="1360" w:header="727" w:footer="891"/>
          <w:cols w:space="720"/>
        </w:sectPr>
      </w:pPr>
    </w:p>
    <w:p>
      <w:pPr>
        <w:spacing w:before="207"/>
        <w:ind w:left="440" w:right="0" w:firstLine="0"/>
        <w:jc w:val="left"/>
        <w:rPr>
          <w:rFonts w:ascii="Arial" w:hAnsi="Arial"/>
          <w:b/>
          <w:sz w:val="28"/>
        </w:rPr>
      </w:pPr>
      <w:bookmarkStart w:id="220" w:name="PD Worksheet 6 – Rx Script Projections f"/>
      <w:bookmarkEnd w:id="220"/>
      <w:bookmarkStart w:id="221" w:name="_bookmark65"/>
      <w:bookmarkEnd w:id="221"/>
      <w:r>
        <w:rPr>
          <w:rFonts w:ascii="Arial" w:hAnsi="Arial"/>
          <w:b/>
          <w:sz w:val="28"/>
        </w:rPr>
        <w:t>PD</w:t>
      </w:r>
      <w:r>
        <w:rPr>
          <w:rFonts w:ascii="Arial" w:hAnsi="Arial"/>
          <w:b/>
          <w:spacing w:val="-5"/>
          <w:sz w:val="28"/>
        </w:rPr>
        <w:t xml:space="preserve"> </w:t>
      </w:r>
      <w:r>
        <w:rPr>
          <w:rFonts w:ascii="Arial" w:hAnsi="Arial"/>
          <w:b/>
          <w:sz w:val="28"/>
        </w:rPr>
        <w:t>WORKSHEET</w:t>
      </w:r>
      <w:r>
        <w:rPr>
          <w:rFonts w:ascii="Arial" w:hAnsi="Arial"/>
          <w:b/>
          <w:spacing w:val="-6"/>
          <w:sz w:val="28"/>
        </w:rPr>
        <w:t xml:space="preserve"> </w:t>
      </w:r>
      <w:r>
        <w:rPr>
          <w:rFonts w:ascii="Arial" w:hAnsi="Arial"/>
          <w:b/>
          <w:sz w:val="28"/>
        </w:rPr>
        <w:t>6</w:t>
      </w:r>
      <w:r>
        <w:rPr>
          <w:rFonts w:ascii="Arial" w:hAnsi="Arial"/>
          <w:b/>
          <w:spacing w:val="-4"/>
          <w:sz w:val="28"/>
        </w:rPr>
        <w:t xml:space="preserve"> </w:t>
      </w:r>
      <w:r>
        <w:rPr>
          <w:rFonts w:ascii="Arial" w:hAnsi="Arial"/>
          <w:b/>
          <w:sz w:val="28"/>
        </w:rPr>
        <w:t>–</w:t>
      </w:r>
      <w:r>
        <w:rPr>
          <w:rFonts w:ascii="Arial" w:hAnsi="Arial"/>
          <w:b/>
          <w:spacing w:val="-7"/>
          <w:sz w:val="28"/>
        </w:rPr>
        <w:t xml:space="preserve"> </w:t>
      </w:r>
      <w:r>
        <w:rPr>
          <w:rFonts w:ascii="Arial" w:hAnsi="Arial"/>
          <w:b/>
          <w:sz w:val="28"/>
        </w:rPr>
        <w:t>RX</w:t>
      </w:r>
      <w:r>
        <w:rPr>
          <w:rFonts w:ascii="Arial" w:hAnsi="Arial"/>
          <w:b/>
          <w:spacing w:val="-6"/>
          <w:sz w:val="28"/>
        </w:rPr>
        <w:t xml:space="preserve"> </w:t>
      </w:r>
      <w:r>
        <w:rPr>
          <w:rFonts w:ascii="Arial" w:hAnsi="Arial"/>
          <w:b/>
          <w:sz w:val="28"/>
        </w:rPr>
        <w:t>SCRIPT</w:t>
      </w:r>
      <w:r>
        <w:rPr>
          <w:rFonts w:ascii="Arial" w:hAnsi="Arial"/>
          <w:b/>
          <w:spacing w:val="-6"/>
          <w:sz w:val="28"/>
        </w:rPr>
        <w:t xml:space="preserve"> </w:t>
      </w:r>
      <w:r>
        <w:rPr>
          <w:rFonts w:ascii="Arial" w:hAnsi="Arial"/>
          <w:b/>
          <w:sz w:val="28"/>
        </w:rPr>
        <w:t>PROJECTIONS</w:t>
      </w:r>
      <w:r>
        <w:rPr>
          <w:rFonts w:ascii="Arial" w:hAnsi="Arial"/>
          <w:b/>
          <w:spacing w:val="-7"/>
          <w:sz w:val="28"/>
        </w:rPr>
        <w:t xml:space="preserve"> </w:t>
      </w:r>
      <w:r>
        <w:rPr>
          <w:rFonts w:ascii="Arial" w:hAnsi="Arial"/>
          <w:b/>
          <w:sz w:val="28"/>
        </w:rPr>
        <w:t>FOR</w:t>
      </w:r>
      <w:r>
        <w:rPr>
          <w:rFonts w:ascii="Arial" w:hAnsi="Arial"/>
          <w:b/>
          <w:spacing w:val="-7"/>
          <w:sz w:val="28"/>
        </w:rPr>
        <w:t xml:space="preserve"> </w:t>
      </w:r>
      <w:r>
        <w:rPr>
          <w:rFonts w:ascii="Arial" w:hAnsi="Arial"/>
          <w:b/>
          <w:sz w:val="28"/>
        </w:rPr>
        <w:t>DEFINED STANDARD, ACTUARIALLY EQUIVALENT OR ALTERNATIVE</w:t>
      </w:r>
    </w:p>
    <w:p>
      <w:pPr>
        <w:tabs>
          <w:tab w:val="left" w:pos="9110"/>
        </w:tabs>
        <w:spacing w:before="0" w:line="321" w:lineRule="exact"/>
        <w:ind w:left="411" w:right="0" w:firstLine="0"/>
        <w:jc w:val="left"/>
        <w:rPr>
          <w:rFonts w:ascii="Arial"/>
          <w:b/>
          <w:sz w:val="28"/>
        </w:rPr>
      </w:pPr>
      <w:r>
        <w:rPr>
          <w:rFonts w:ascii="Arial"/>
          <w:b/>
          <w:spacing w:val="-50"/>
          <w:sz w:val="28"/>
          <w:u w:val="single"/>
        </w:rPr>
        <w:t xml:space="preserve"> </w:t>
      </w:r>
      <w:r>
        <w:rPr>
          <w:rFonts w:ascii="Arial"/>
          <w:b/>
          <w:spacing w:val="-2"/>
          <w:sz w:val="28"/>
          <w:u w:val="single"/>
        </w:rPr>
        <w:t>COVERAGE</w:t>
      </w:r>
      <w:r>
        <w:rPr>
          <w:rFonts w:ascii="Arial"/>
          <w:b/>
          <w:sz w:val="28"/>
          <w:u w:val="single"/>
        </w:rPr>
        <w:tab/>
      </w:r>
    </w:p>
    <w:p>
      <w:pPr>
        <w:pStyle w:val="BodyText"/>
        <w:spacing w:before="271"/>
        <w:ind w:left="440" w:right="816"/>
      </w:pPr>
      <w:r>
        <w:t>Worksheet 6 summarizes drug utilization and costs by type of drug and point-of-sale (retail or mail order as defined by the PBP) in different distributions of drug spending. In addition,</w:t>
      </w:r>
      <w:r>
        <w:rPr>
          <w:spacing w:val="-4"/>
        </w:rPr>
        <w:t xml:space="preserve"> </w:t>
      </w:r>
      <w:r>
        <w:t>Worksheet</w:t>
      </w:r>
      <w:r>
        <w:rPr>
          <w:spacing w:val="-4"/>
        </w:rPr>
        <w:t xml:space="preserve"> </w:t>
      </w:r>
      <w:r>
        <w:t>6</w:t>
      </w:r>
      <w:r>
        <w:rPr>
          <w:spacing w:val="-4"/>
        </w:rPr>
        <w:t xml:space="preserve"> </w:t>
      </w:r>
      <w:r>
        <w:t>illustrates</w:t>
      </w:r>
      <w:r>
        <w:rPr>
          <w:spacing w:val="-4"/>
        </w:rPr>
        <w:t xml:space="preserve"> </w:t>
      </w:r>
      <w:r>
        <w:t>the</w:t>
      </w:r>
      <w:r>
        <w:rPr>
          <w:spacing w:val="-5"/>
        </w:rPr>
        <w:t xml:space="preserve"> </w:t>
      </w:r>
      <w:r>
        <w:t>underlying</w:t>
      </w:r>
      <w:r>
        <w:rPr>
          <w:spacing w:val="-4"/>
        </w:rPr>
        <w:t xml:space="preserve"> </w:t>
      </w:r>
      <w:r>
        <w:t>assumptions</w:t>
      </w:r>
      <w:r>
        <w:rPr>
          <w:spacing w:val="-4"/>
        </w:rPr>
        <w:t xml:space="preserve"> </w:t>
      </w:r>
      <w:r>
        <w:t>used</w:t>
      </w:r>
      <w:r>
        <w:rPr>
          <w:spacing w:val="-4"/>
        </w:rPr>
        <w:t xml:space="preserve"> </w:t>
      </w:r>
      <w:r>
        <w:t>in</w:t>
      </w:r>
      <w:r>
        <w:rPr>
          <w:spacing w:val="-4"/>
        </w:rPr>
        <w:t xml:space="preserve"> </w:t>
      </w:r>
      <w:r>
        <w:t>the</w:t>
      </w:r>
      <w:r>
        <w:rPr>
          <w:spacing w:val="-4"/>
        </w:rPr>
        <w:t xml:space="preserve"> </w:t>
      </w:r>
      <w:r>
        <w:t>demonstration</w:t>
      </w:r>
      <w:r>
        <w:rPr>
          <w:spacing w:val="-4"/>
        </w:rPr>
        <w:t xml:space="preserve"> </w:t>
      </w:r>
      <w:r>
        <w:t>of the</w:t>
      </w:r>
      <w:r>
        <w:rPr>
          <w:spacing w:val="-1"/>
        </w:rPr>
        <w:t xml:space="preserve"> </w:t>
      </w:r>
      <w:r>
        <w:t>actuarial</w:t>
      </w:r>
      <w:r>
        <w:rPr>
          <w:spacing w:val="-1"/>
        </w:rPr>
        <w:t xml:space="preserve"> </w:t>
      </w:r>
      <w:r>
        <w:t>equivalence tests</w:t>
      </w:r>
      <w:r>
        <w:rPr>
          <w:spacing w:val="-1"/>
        </w:rPr>
        <w:t xml:space="preserve"> </w:t>
      </w:r>
      <w:r>
        <w:t>in</w:t>
      </w:r>
      <w:r>
        <w:rPr>
          <w:spacing w:val="-1"/>
        </w:rPr>
        <w:t xml:space="preserve"> </w:t>
      </w:r>
      <w:r>
        <w:t>Worksheets 4</w:t>
      </w:r>
      <w:r>
        <w:rPr>
          <w:spacing w:val="-1"/>
        </w:rPr>
        <w:t xml:space="preserve"> </w:t>
      </w:r>
      <w:r>
        <w:t>and 5.</w:t>
      </w:r>
      <w:r>
        <w:rPr>
          <w:spacing w:val="-1"/>
        </w:rPr>
        <w:t xml:space="preserve"> </w:t>
      </w:r>
      <w:r>
        <w:t>Section</w:t>
      </w:r>
      <w:r>
        <w:rPr>
          <w:spacing w:val="-1"/>
        </w:rPr>
        <w:t xml:space="preserve"> </w:t>
      </w:r>
      <w:r>
        <w:t>II</w:t>
      </w:r>
      <w:r>
        <w:rPr>
          <w:spacing w:val="-3"/>
        </w:rPr>
        <w:t xml:space="preserve"> </w:t>
      </w:r>
      <w:r>
        <w:t>collects</w:t>
      </w:r>
      <w:r>
        <w:rPr>
          <w:spacing w:val="-1"/>
        </w:rPr>
        <w:t xml:space="preserve"> </w:t>
      </w:r>
      <w:r>
        <w:t>data</w:t>
      </w:r>
      <w:r>
        <w:rPr>
          <w:spacing w:val="-2"/>
        </w:rPr>
        <w:t xml:space="preserve"> </w:t>
      </w:r>
      <w:r>
        <w:t>in</w:t>
      </w:r>
      <w:r>
        <w:rPr>
          <w:spacing w:val="-1"/>
        </w:rPr>
        <w:t xml:space="preserve"> </w:t>
      </w:r>
      <w:r>
        <w:t>a</w:t>
      </w:r>
      <w:r>
        <w:rPr>
          <w:spacing w:val="-1"/>
        </w:rPr>
        <w:t xml:space="preserve"> </w:t>
      </w:r>
      <w:r>
        <w:t>manner that supports an actuarial comparison of the proposed AE, BA or EA plan benefit type to DS coverage.</w:t>
      </w:r>
    </w:p>
    <w:p>
      <w:pPr>
        <w:pStyle w:val="BodyText"/>
        <w:spacing w:before="44"/>
        <w:ind w:left="0"/>
      </w:pPr>
    </w:p>
    <w:p>
      <w:pPr>
        <w:pStyle w:val="Heading2"/>
        <w:spacing w:before="1"/>
      </w:pPr>
      <w:bookmarkStart w:id="222" w:name="Considerations"/>
      <w:bookmarkEnd w:id="222"/>
      <w:bookmarkStart w:id="223" w:name="_bookmark66"/>
      <w:bookmarkEnd w:id="223"/>
      <w:r>
        <w:rPr>
          <w:smallCaps/>
          <w:spacing w:val="-2"/>
        </w:rPr>
        <w:t>Considerations</w:t>
      </w:r>
    </w:p>
    <w:p>
      <w:pPr>
        <w:pStyle w:val="BodyText"/>
        <w:spacing w:before="180"/>
        <w:ind w:left="440" w:right="821"/>
      </w:pPr>
      <w:r>
        <w:t>Although this worksheet is not a detailed model of the cost sharing structure of the AE, BA or EA plan design, the impact of tiered cost sharing and benefit management programs on utilization must be clearly demonstrated. The distribution of utilization between generic and brand, and between retail and mail, must be reasonable given the proposed benefit. Significant changes to the alternative benefit are expected to result in meaningful</w:t>
      </w:r>
      <w:r>
        <w:rPr>
          <w:spacing w:val="-1"/>
        </w:rPr>
        <w:t xml:space="preserve"> </w:t>
      </w:r>
      <w:r>
        <w:t>differences</w:t>
      </w:r>
      <w:r>
        <w:rPr>
          <w:spacing w:val="-1"/>
        </w:rPr>
        <w:t xml:space="preserve"> </w:t>
      </w:r>
      <w:r>
        <w:t>in</w:t>
      </w:r>
      <w:r>
        <w:rPr>
          <w:spacing w:val="-1"/>
        </w:rPr>
        <w:t xml:space="preserve"> </w:t>
      </w:r>
      <w:r>
        <w:t>utilization</w:t>
      </w:r>
      <w:r>
        <w:rPr>
          <w:spacing w:val="-1"/>
        </w:rPr>
        <w:t xml:space="preserve"> </w:t>
      </w:r>
      <w:r>
        <w:t>when</w:t>
      </w:r>
      <w:r>
        <w:rPr>
          <w:spacing w:val="-1"/>
        </w:rPr>
        <w:t xml:space="preserve"> </w:t>
      </w:r>
      <w:r>
        <w:t>compared</w:t>
      </w:r>
      <w:r>
        <w:rPr>
          <w:spacing w:val="-1"/>
        </w:rPr>
        <w:t xml:space="preserve"> </w:t>
      </w:r>
      <w:r>
        <w:t>to</w:t>
      </w:r>
      <w:r>
        <w:rPr>
          <w:spacing w:val="-1"/>
        </w:rPr>
        <w:t xml:space="preserve"> </w:t>
      </w:r>
      <w:r>
        <w:t>the</w:t>
      </w:r>
      <w:r>
        <w:rPr>
          <w:spacing w:val="-2"/>
        </w:rPr>
        <w:t xml:space="preserve"> </w:t>
      </w:r>
      <w:r>
        <w:t>DS</w:t>
      </w:r>
      <w:r>
        <w:rPr>
          <w:spacing w:val="-1"/>
        </w:rPr>
        <w:t xml:space="preserve"> </w:t>
      </w:r>
      <w:r>
        <w:t>bid.</w:t>
      </w:r>
      <w:r>
        <w:rPr>
          <w:spacing w:val="-1"/>
        </w:rPr>
        <w:t xml:space="preserve"> </w:t>
      </w:r>
      <w:r>
        <w:t>Part</w:t>
      </w:r>
      <w:r>
        <w:rPr>
          <w:spacing w:val="-1"/>
        </w:rPr>
        <w:t xml:space="preserve"> </w:t>
      </w:r>
      <w:r>
        <w:t>D sponsors</w:t>
      </w:r>
      <w:r>
        <w:rPr>
          <w:spacing w:val="-1"/>
        </w:rPr>
        <w:t xml:space="preserve"> </w:t>
      </w:r>
      <w:r>
        <w:t>must model</w:t>
      </w:r>
      <w:r>
        <w:rPr>
          <w:spacing w:val="-1"/>
        </w:rPr>
        <w:t xml:space="preserve"> </w:t>
      </w:r>
      <w:r>
        <w:t>the</w:t>
      </w:r>
      <w:r>
        <w:rPr>
          <w:spacing w:val="-1"/>
        </w:rPr>
        <w:t xml:space="preserve"> </w:t>
      </w:r>
      <w:r>
        <w:t>impact</w:t>
      </w:r>
      <w:r>
        <w:rPr>
          <w:spacing w:val="-1"/>
        </w:rPr>
        <w:t xml:space="preserve"> </w:t>
      </w:r>
      <w:r>
        <w:t>of</w:t>
      </w:r>
      <w:r>
        <w:rPr>
          <w:spacing w:val="-1"/>
        </w:rPr>
        <w:t xml:space="preserve"> </w:t>
      </w:r>
      <w:r>
        <w:t>the</w:t>
      </w:r>
      <w:r>
        <w:rPr>
          <w:spacing w:val="-2"/>
        </w:rPr>
        <w:t xml:space="preserve"> </w:t>
      </w:r>
      <w:r>
        <w:t>alternative</w:t>
      </w:r>
      <w:r>
        <w:rPr>
          <w:spacing w:val="-2"/>
        </w:rPr>
        <w:t xml:space="preserve"> </w:t>
      </w:r>
      <w:r>
        <w:t>benefit</w:t>
      </w:r>
      <w:r>
        <w:rPr>
          <w:spacing w:val="-1"/>
        </w:rPr>
        <w:t xml:space="preserve"> </w:t>
      </w:r>
      <w:r>
        <w:t>compared</w:t>
      </w:r>
      <w:r>
        <w:rPr>
          <w:spacing w:val="-1"/>
        </w:rPr>
        <w:t xml:space="preserve"> </w:t>
      </w:r>
      <w:r>
        <w:t>to</w:t>
      </w:r>
      <w:r>
        <w:rPr>
          <w:spacing w:val="-1"/>
        </w:rPr>
        <w:t xml:space="preserve"> </w:t>
      </w:r>
      <w:r>
        <w:t>the DS</w:t>
      </w:r>
      <w:r>
        <w:rPr>
          <w:spacing w:val="-1"/>
        </w:rPr>
        <w:t xml:space="preserve"> </w:t>
      </w:r>
      <w:r>
        <w:t>by</w:t>
      </w:r>
      <w:r>
        <w:rPr>
          <w:spacing w:val="-1"/>
        </w:rPr>
        <w:t xml:space="preserve"> </w:t>
      </w:r>
      <w:r>
        <w:t>making</w:t>
      </w:r>
      <w:r>
        <w:rPr>
          <w:spacing w:val="-1"/>
        </w:rPr>
        <w:t xml:space="preserve"> </w:t>
      </w:r>
      <w:r>
        <w:t>adjustments</w:t>
      </w:r>
      <w:r>
        <w:rPr>
          <w:spacing w:val="-1"/>
        </w:rPr>
        <w:t xml:space="preserve"> </w:t>
      </w:r>
      <w:r>
        <w:t>in utilization and average script pricing in Worksheet 6. The distributions must be based on the</w:t>
      </w:r>
      <w:r>
        <w:rPr>
          <w:spacing w:val="-3"/>
        </w:rPr>
        <w:t xml:space="preserve"> </w:t>
      </w:r>
      <w:r>
        <w:t>intervals</w:t>
      </w:r>
      <w:r>
        <w:rPr>
          <w:spacing w:val="-3"/>
        </w:rPr>
        <w:t xml:space="preserve"> </w:t>
      </w:r>
      <w:r>
        <w:t>defined</w:t>
      </w:r>
      <w:r>
        <w:rPr>
          <w:spacing w:val="-1"/>
        </w:rPr>
        <w:t xml:space="preserve"> </w:t>
      </w:r>
      <w:r>
        <w:t>for</w:t>
      </w:r>
      <w:r>
        <w:rPr>
          <w:spacing w:val="-2"/>
        </w:rPr>
        <w:t xml:space="preserve"> </w:t>
      </w:r>
      <w:r>
        <w:t>DS</w:t>
      </w:r>
      <w:r>
        <w:rPr>
          <w:spacing w:val="-3"/>
        </w:rPr>
        <w:t xml:space="preserve"> </w:t>
      </w:r>
      <w:r>
        <w:t>coverage.</w:t>
      </w:r>
      <w:r>
        <w:rPr>
          <w:spacing w:val="-3"/>
        </w:rPr>
        <w:t xml:space="preserve"> </w:t>
      </w:r>
      <w:r>
        <w:t>For</w:t>
      </w:r>
      <w:r>
        <w:rPr>
          <w:spacing w:val="-3"/>
        </w:rPr>
        <w:t xml:space="preserve"> </w:t>
      </w:r>
      <w:r>
        <w:t>purposes</w:t>
      </w:r>
      <w:r>
        <w:rPr>
          <w:spacing w:val="-3"/>
        </w:rPr>
        <w:t xml:space="preserve"> </w:t>
      </w:r>
      <w:r>
        <w:t>of</w:t>
      </w:r>
      <w:r>
        <w:rPr>
          <w:spacing w:val="-3"/>
        </w:rPr>
        <w:t xml:space="preserve"> </w:t>
      </w:r>
      <w:r>
        <w:t>modeling</w:t>
      </w:r>
      <w:r>
        <w:rPr>
          <w:spacing w:val="-3"/>
        </w:rPr>
        <w:t xml:space="preserve"> </w:t>
      </w:r>
      <w:r>
        <w:t>the</w:t>
      </w:r>
      <w:r>
        <w:rPr>
          <w:spacing w:val="-3"/>
        </w:rPr>
        <w:t xml:space="preserve"> </w:t>
      </w:r>
      <w:r>
        <w:t>alternative</w:t>
      </w:r>
      <w:r>
        <w:rPr>
          <w:spacing w:val="-4"/>
        </w:rPr>
        <w:t xml:space="preserve"> </w:t>
      </w:r>
      <w:r>
        <w:t>coverage, members must be reported in the claims interval in which they were reported under DS coverage</w:t>
      </w:r>
      <w:r>
        <w:rPr>
          <w:spacing w:val="-4"/>
        </w:rPr>
        <w:t xml:space="preserve"> </w:t>
      </w:r>
      <w:r>
        <w:t>even</w:t>
      </w:r>
      <w:r>
        <w:rPr>
          <w:spacing w:val="-3"/>
        </w:rPr>
        <w:t xml:space="preserve"> </w:t>
      </w:r>
      <w:r>
        <w:t>though</w:t>
      </w:r>
      <w:r>
        <w:rPr>
          <w:spacing w:val="-3"/>
        </w:rPr>
        <w:t xml:space="preserve"> </w:t>
      </w:r>
      <w:r>
        <w:t>their</w:t>
      </w:r>
      <w:r>
        <w:rPr>
          <w:spacing w:val="-3"/>
        </w:rPr>
        <w:t xml:space="preserve"> </w:t>
      </w:r>
      <w:r>
        <w:t>total</w:t>
      </w:r>
      <w:r>
        <w:rPr>
          <w:spacing w:val="-3"/>
        </w:rPr>
        <w:t xml:space="preserve"> </w:t>
      </w:r>
      <w:r>
        <w:t>drug</w:t>
      </w:r>
      <w:r>
        <w:rPr>
          <w:spacing w:val="-3"/>
        </w:rPr>
        <w:t xml:space="preserve"> </w:t>
      </w:r>
      <w:r>
        <w:t>spend</w:t>
      </w:r>
      <w:r>
        <w:rPr>
          <w:spacing w:val="-3"/>
        </w:rPr>
        <w:t xml:space="preserve"> </w:t>
      </w:r>
      <w:r>
        <w:t>may</w:t>
      </w:r>
      <w:r>
        <w:rPr>
          <w:spacing w:val="-2"/>
        </w:rPr>
        <w:t xml:space="preserve"> </w:t>
      </w:r>
      <w:r>
        <w:t>be</w:t>
      </w:r>
      <w:r>
        <w:rPr>
          <w:spacing w:val="-4"/>
        </w:rPr>
        <w:t xml:space="preserve"> </w:t>
      </w:r>
      <w:r>
        <w:t>different</w:t>
      </w:r>
      <w:r>
        <w:rPr>
          <w:spacing w:val="-3"/>
        </w:rPr>
        <w:t xml:space="preserve"> </w:t>
      </w:r>
      <w:r>
        <w:t>because</w:t>
      </w:r>
      <w:r>
        <w:rPr>
          <w:spacing w:val="-4"/>
        </w:rPr>
        <w:t xml:space="preserve"> </w:t>
      </w:r>
      <w:r>
        <w:t>of</w:t>
      </w:r>
      <w:r>
        <w:rPr>
          <w:spacing w:val="-3"/>
        </w:rPr>
        <w:t xml:space="preserve"> </w:t>
      </w:r>
      <w:r>
        <w:t>the</w:t>
      </w:r>
      <w:r>
        <w:rPr>
          <w:spacing w:val="-4"/>
        </w:rPr>
        <w:t xml:space="preserve"> </w:t>
      </w:r>
      <w:r>
        <w:t>impact</w:t>
      </w:r>
      <w:r>
        <w:rPr>
          <w:spacing w:val="-3"/>
        </w:rPr>
        <w:t xml:space="preserve"> </w:t>
      </w:r>
      <w:r>
        <w:t>of</w:t>
      </w:r>
      <w:r>
        <w:rPr>
          <w:spacing w:val="-3"/>
        </w:rPr>
        <w:t xml:space="preserve"> </w:t>
      </w:r>
      <w:r>
        <w:t>the alternative benefits. For example, lines 1 through 10 must reflect the utilization for the AE, BA or EA plan for members expected to have allowed costs less than or equal to the catastrophic threshold. In other words, the amounts summarized in columns i, j and k must be based on the same members represented in columns f, g, and h of each line.</w:t>
      </w:r>
    </w:p>
    <w:p>
      <w:pPr>
        <w:pStyle w:val="BodyText"/>
        <w:ind w:left="440" w:right="425"/>
      </w:pPr>
      <w:r>
        <w:t>For</w:t>
      </w:r>
      <w:r>
        <w:rPr>
          <w:spacing w:val="-3"/>
        </w:rPr>
        <w:t xml:space="preserve"> </w:t>
      </w:r>
      <w:r>
        <w:t>claims</w:t>
      </w:r>
      <w:r>
        <w:rPr>
          <w:spacing w:val="-3"/>
        </w:rPr>
        <w:t xml:space="preserve"> </w:t>
      </w:r>
      <w:r>
        <w:t>which</w:t>
      </w:r>
      <w:r>
        <w:rPr>
          <w:spacing w:val="-3"/>
        </w:rPr>
        <w:t xml:space="preserve"> </w:t>
      </w:r>
      <w:r>
        <w:t>straddle</w:t>
      </w:r>
      <w:r>
        <w:rPr>
          <w:spacing w:val="-4"/>
        </w:rPr>
        <w:t xml:space="preserve"> </w:t>
      </w:r>
      <w:r>
        <w:t>multiple</w:t>
      </w:r>
      <w:r>
        <w:rPr>
          <w:spacing w:val="-3"/>
        </w:rPr>
        <w:t xml:space="preserve"> </w:t>
      </w:r>
      <w:r>
        <w:t>coverage</w:t>
      </w:r>
      <w:r>
        <w:rPr>
          <w:spacing w:val="-4"/>
        </w:rPr>
        <w:t xml:space="preserve"> </w:t>
      </w:r>
      <w:r>
        <w:t>phases,</w:t>
      </w:r>
      <w:r>
        <w:rPr>
          <w:spacing w:val="-3"/>
        </w:rPr>
        <w:t xml:space="preserve"> </w:t>
      </w:r>
      <w:r>
        <w:t>the</w:t>
      </w:r>
      <w:r>
        <w:rPr>
          <w:spacing w:val="-3"/>
        </w:rPr>
        <w:t xml:space="preserve"> </w:t>
      </w:r>
      <w:r>
        <w:t>script</w:t>
      </w:r>
      <w:r>
        <w:rPr>
          <w:spacing w:val="-3"/>
        </w:rPr>
        <w:t xml:space="preserve"> </w:t>
      </w:r>
      <w:r>
        <w:t>count</w:t>
      </w:r>
      <w:r>
        <w:rPr>
          <w:spacing w:val="-3"/>
        </w:rPr>
        <w:t xml:space="preserve"> </w:t>
      </w:r>
      <w:r>
        <w:t>and</w:t>
      </w:r>
      <w:r>
        <w:rPr>
          <w:spacing w:val="-3"/>
        </w:rPr>
        <w:t xml:space="preserve"> </w:t>
      </w:r>
      <w:r>
        <w:t>dollars</w:t>
      </w:r>
      <w:r>
        <w:rPr>
          <w:spacing w:val="-3"/>
        </w:rPr>
        <w:t xml:space="preserve"> </w:t>
      </w:r>
      <w:r>
        <w:t>must</w:t>
      </w:r>
      <w:r>
        <w:rPr>
          <w:spacing w:val="-3"/>
        </w:rPr>
        <w:t xml:space="preserve"> </w:t>
      </w:r>
      <w:r>
        <w:t>be prorated and allocated into the appropriate phases.</w:t>
      </w:r>
    </w:p>
    <w:p>
      <w:pPr>
        <w:pStyle w:val="BodyText"/>
        <w:spacing w:before="45"/>
        <w:ind w:left="0"/>
      </w:pPr>
    </w:p>
    <w:p>
      <w:pPr>
        <w:pStyle w:val="Heading2"/>
      </w:pPr>
      <w:bookmarkStart w:id="224" w:name="_bookmark67"/>
      <w:bookmarkEnd w:id="224"/>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80"/>
        <w:ind w:left="440"/>
      </w:pPr>
      <w:r>
        <w:t>This</w:t>
      </w:r>
      <w:r>
        <w:rPr>
          <w:spacing w:val="-1"/>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1"/>
        </w:rPr>
        <w:t xml:space="preserve"> </w:t>
      </w:r>
      <w:r>
        <w:t>on</w:t>
      </w:r>
      <w:r>
        <w:rPr>
          <w:spacing w:val="1"/>
        </w:rPr>
        <w:t xml:space="preserve"> </w:t>
      </w:r>
      <w:r>
        <w:t>Worksheet</w:t>
      </w:r>
      <w:r>
        <w:rPr>
          <w:spacing w:val="-1"/>
        </w:rPr>
        <w:t xml:space="preserve"> </w:t>
      </w:r>
      <w:r>
        <w:t>1,</w:t>
      </w:r>
      <w:r>
        <w:rPr>
          <w:spacing w:val="-1"/>
        </w:rPr>
        <w:t xml:space="preserve"> </w:t>
      </w:r>
      <w:r>
        <w:t xml:space="preserve">Section </w:t>
      </w:r>
      <w:r>
        <w:rPr>
          <w:spacing w:val="-5"/>
        </w:rPr>
        <w:t>I.</w:t>
      </w:r>
    </w:p>
    <w:p>
      <w:pPr>
        <w:pStyle w:val="BodyText"/>
        <w:spacing w:before="44"/>
        <w:ind w:left="0"/>
      </w:pPr>
    </w:p>
    <w:p>
      <w:pPr>
        <w:pStyle w:val="Heading2"/>
        <w:spacing w:before="1"/>
      </w:pPr>
      <w:bookmarkStart w:id="225" w:name="Section II – Projections for Equivalence"/>
      <w:bookmarkEnd w:id="225"/>
      <w:bookmarkStart w:id="226" w:name="_bookmark68"/>
      <w:bookmarkEnd w:id="226"/>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Projections</w:t>
      </w:r>
      <w:r>
        <w:rPr>
          <w:smallCaps/>
          <w:spacing w:val="-15"/>
        </w:rPr>
        <w:t xml:space="preserve"> </w:t>
      </w:r>
      <w:r>
        <w:rPr>
          <w:smallCaps/>
        </w:rPr>
        <w:t>for</w:t>
      </w:r>
      <w:r>
        <w:rPr>
          <w:smallCaps/>
          <w:spacing w:val="-7"/>
        </w:rPr>
        <w:t xml:space="preserve"> </w:t>
      </w:r>
      <w:r>
        <w:rPr>
          <w:smallCaps/>
        </w:rPr>
        <w:t>Equivalence</w:t>
      </w:r>
      <w:r>
        <w:rPr>
          <w:smallCaps/>
          <w:spacing w:val="-10"/>
        </w:rPr>
        <w:t xml:space="preserve"> </w:t>
      </w:r>
      <w:r>
        <w:rPr>
          <w:smallCaps/>
          <w:spacing w:val="-2"/>
        </w:rPr>
        <w:t>Tests</w:t>
      </w:r>
    </w:p>
    <w:p>
      <w:pPr>
        <w:pStyle w:val="BodyText"/>
        <w:spacing w:before="177"/>
        <w:ind w:left="440" w:right="816"/>
      </w:pPr>
      <w:r>
        <w:rPr>
          <w:sz w:val="21"/>
        </w:rPr>
        <w:t xml:space="preserve">Data </w:t>
      </w:r>
      <w:r>
        <w:t>are collected for four levels of allowed costs on lines 1 through 40. The distribution of the population and Part D covered drug claims reported on Worksheet 3 must be used in</w:t>
      </w:r>
      <w:r>
        <w:rPr>
          <w:spacing w:val="-3"/>
        </w:rPr>
        <w:t xml:space="preserve"> </w:t>
      </w:r>
      <w:r>
        <w:t>completing</w:t>
      </w:r>
      <w:r>
        <w:rPr>
          <w:spacing w:val="-3"/>
        </w:rPr>
        <w:t xml:space="preserve"> </w:t>
      </w:r>
      <w:r>
        <w:t>this</w:t>
      </w:r>
      <w:r>
        <w:rPr>
          <w:spacing w:val="-3"/>
        </w:rPr>
        <w:t xml:space="preserve"> </w:t>
      </w:r>
      <w:r>
        <w:t>section.</w:t>
      </w:r>
      <w:r>
        <w:rPr>
          <w:spacing w:val="-3"/>
        </w:rPr>
        <w:t xml:space="preserve"> </w:t>
      </w:r>
      <w:r>
        <w:t>Columns</w:t>
      </w:r>
      <w:r>
        <w:rPr>
          <w:spacing w:val="-3"/>
        </w:rPr>
        <w:t xml:space="preserve"> </w:t>
      </w:r>
      <w:r>
        <w:t>f</w:t>
      </w:r>
      <w:r>
        <w:rPr>
          <w:spacing w:val="-3"/>
        </w:rPr>
        <w:t xml:space="preserve"> </w:t>
      </w:r>
      <w:r>
        <w:t>through</w:t>
      </w:r>
      <w:r>
        <w:rPr>
          <w:spacing w:val="-3"/>
        </w:rPr>
        <w:t xml:space="preserve"> </w:t>
      </w:r>
      <w:r>
        <w:t>h</w:t>
      </w:r>
      <w:r>
        <w:rPr>
          <w:spacing w:val="-3"/>
        </w:rPr>
        <w:t xml:space="preserve"> </w:t>
      </w:r>
      <w:r>
        <w:t>must</w:t>
      </w:r>
      <w:r>
        <w:rPr>
          <w:spacing w:val="-3"/>
        </w:rPr>
        <w:t xml:space="preserve"> </w:t>
      </w:r>
      <w:r>
        <w:t>be</w:t>
      </w:r>
      <w:r>
        <w:rPr>
          <w:spacing w:val="-4"/>
        </w:rPr>
        <w:t xml:space="preserve"> </w:t>
      </w:r>
      <w:r>
        <w:t>completed</w:t>
      </w:r>
      <w:r>
        <w:rPr>
          <w:spacing w:val="-3"/>
        </w:rPr>
        <w:t xml:space="preserve"> </w:t>
      </w:r>
      <w:r>
        <w:t>for</w:t>
      </w:r>
      <w:r>
        <w:rPr>
          <w:spacing w:val="-3"/>
        </w:rPr>
        <w:t xml:space="preserve"> </w:t>
      </w:r>
      <w:r>
        <w:t>all plans</w:t>
      </w:r>
      <w:r>
        <w:rPr>
          <w:spacing w:val="-3"/>
        </w:rPr>
        <w:t xml:space="preserve"> </w:t>
      </w:r>
      <w:r>
        <w:t>based</w:t>
      </w:r>
      <w:r>
        <w:rPr>
          <w:spacing w:val="-3"/>
        </w:rPr>
        <w:t xml:space="preserve"> </w:t>
      </w:r>
      <w:r>
        <w:t>on DS coverage; columns i through k must be completed when the plan benefit type is AE, BA or EA based on the alternative coverage. In developing the cost sharing values in columns h and k, do not model the impact of the deductible and LIS subsidy. To model column h, use the cost sharing structure of the DS plan; to model column k, use the cost sharing structure of the alternative (AE, BA or EA) plan.</w:t>
      </w:r>
    </w:p>
    <w:p>
      <w:pPr>
        <w:spacing w:after="0"/>
        <w:sectPr>
          <w:headerReference w:type="default" r:id="rId31"/>
          <w:footerReference w:type="default" r:id="rId32"/>
          <w:pgSz w:w="12240" w:h="15840"/>
          <w:pgMar w:top="1340" w:right="1000" w:bottom="1080" w:left="1360" w:header="727" w:footer="891"/>
          <w:cols w:space="720"/>
        </w:sectPr>
      </w:pPr>
    </w:p>
    <w:p>
      <w:pPr>
        <w:spacing w:before="87"/>
        <w:ind w:left="440" w:right="0" w:firstLine="0"/>
        <w:jc w:val="left"/>
        <w:rPr>
          <w:rFonts w:ascii="Arial" w:hAnsi="Arial"/>
          <w:b/>
          <w:sz w:val="21"/>
        </w:rPr>
      </w:pPr>
      <w:bookmarkStart w:id="227" w:name="Lines 1 through 10 – Population Not Exce"/>
      <w:bookmarkEnd w:id="227"/>
      <w:r>
        <w:rPr>
          <w:rFonts w:ascii="Arial" w:hAnsi="Arial"/>
          <w:b/>
          <w:sz w:val="21"/>
        </w:rPr>
        <w:t>Lines</w:t>
      </w:r>
      <w:r>
        <w:rPr>
          <w:rFonts w:ascii="Arial" w:hAnsi="Arial"/>
          <w:b/>
          <w:spacing w:val="-8"/>
          <w:sz w:val="21"/>
        </w:rPr>
        <w:t xml:space="preserve"> </w:t>
      </w:r>
      <w:r>
        <w:rPr>
          <w:rFonts w:ascii="Arial" w:hAnsi="Arial"/>
          <w:b/>
          <w:sz w:val="21"/>
        </w:rPr>
        <w:t>1</w:t>
      </w:r>
      <w:r>
        <w:rPr>
          <w:rFonts w:ascii="Arial" w:hAnsi="Arial"/>
          <w:b/>
          <w:spacing w:val="-6"/>
          <w:sz w:val="21"/>
        </w:rPr>
        <w:t xml:space="preserve"> </w:t>
      </w:r>
      <w:r>
        <w:rPr>
          <w:rFonts w:ascii="Arial" w:hAnsi="Arial"/>
          <w:b/>
          <w:sz w:val="21"/>
        </w:rPr>
        <w:t>through</w:t>
      </w:r>
      <w:r>
        <w:rPr>
          <w:rFonts w:ascii="Arial" w:hAnsi="Arial"/>
          <w:b/>
          <w:spacing w:val="-4"/>
          <w:sz w:val="21"/>
        </w:rPr>
        <w:t xml:space="preserve"> </w:t>
      </w:r>
      <w:r>
        <w:rPr>
          <w:rFonts w:ascii="Arial" w:hAnsi="Arial"/>
          <w:b/>
          <w:sz w:val="21"/>
        </w:rPr>
        <w:t>10</w:t>
      </w:r>
      <w:r>
        <w:rPr>
          <w:rFonts w:ascii="Arial" w:hAnsi="Arial"/>
          <w:b/>
          <w:spacing w:val="-6"/>
          <w:sz w:val="21"/>
        </w:rPr>
        <w:t xml:space="preserve"> </w:t>
      </w:r>
      <w:r>
        <w:rPr>
          <w:rFonts w:ascii="Arial" w:hAnsi="Arial"/>
          <w:b/>
          <w:sz w:val="21"/>
        </w:rPr>
        <w:t>–</w:t>
      </w:r>
      <w:r>
        <w:rPr>
          <w:rFonts w:ascii="Arial" w:hAnsi="Arial"/>
          <w:b/>
          <w:spacing w:val="-5"/>
          <w:sz w:val="21"/>
        </w:rPr>
        <w:t xml:space="preserve"> </w:t>
      </w:r>
      <w:r>
        <w:rPr>
          <w:rFonts w:ascii="Arial" w:hAnsi="Arial"/>
          <w:b/>
          <w:sz w:val="21"/>
        </w:rPr>
        <w:t>Population</w:t>
      </w:r>
      <w:r>
        <w:rPr>
          <w:rFonts w:ascii="Arial" w:hAnsi="Arial"/>
          <w:b/>
          <w:spacing w:val="-4"/>
          <w:sz w:val="21"/>
        </w:rPr>
        <w:t xml:space="preserve"> </w:t>
      </w:r>
      <w:r>
        <w:rPr>
          <w:rFonts w:ascii="Arial" w:hAnsi="Arial"/>
          <w:b/>
          <w:sz w:val="21"/>
        </w:rPr>
        <w:t>Not</w:t>
      </w:r>
      <w:r>
        <w:rPr>
          <w:rFonts w:ascii="Arial" w:hAnsi="Arial"/>
          <w:b/>
          <w:spacing w:val="-6"/>
          <w:sz w:val="21"/>
        </w:rPr>
        <w:t xml:space="preserve"> </w:t>
      </w:r>
      <w:r>
        <w:rPr>
          <w:rFonts w:ascii="Arial" w:hAnsi="Arial"/>
          <w:b/>
          <w:sz w:val="21"/>
        </w:rPr>
        <w:t>Exceeding</w:t>
      </w:r>
      <w:r>
        <w:rPr>
          <w:rFonts w:ascii="Arial" w:hAnsi="Arial"/>
          <w:b/>
          <w:spacing w:val="-5"/>
          <w:sz w:val="21"/>
        </w:rPr>
        <w:t xml:space="preserve"> </w:t>
      </w:r>
      <w:r>
        <w:rPr>
          <w:rFonts w:ascii="Arial" w:hAnsi="Arial"/>
          <w:b/>
          <w:sz w:val="21"/>
        </w:rPr>
        <w:t>the</w:t>
      </w:r>
      <w:r>
        <w:rPr>
          <w:rFonts w:ascii="Arial" w:hAnsi="Arial"/>
          <w:b/>
          <w:spacing w:val="-5"/>
          <w:sz w:val="21"/>
        </w:rPr>
        <w:t xml:space="preserve"> </w:t>
      </w:r>
      <w:r>
        <w:rPr>
          <w:rFonts w:ascii="Arial" w:hAnsi="Arial"/>
          <w:b/>
          <w:sz w:val="21"/>
        </w:rPr>
        <w:t>Catastrophic</w:t>
      </w:r>
      <w:r>
        <w:rPr>
          <w:rFonts w:ascii="Arial" w:hAnsi="Arial"/>
          <w:b/>
          <w:spacing w:val="-8"/>
          <w:sz w:val="21"/>
        </w:rPr>
        <w:t xml:space="preserve"> </w:t>
      </w:r>
      <w:r>
        <w:rPr>
          <w:rFonts w:ascii="Arial" w:hAnsi="Arial"/>
          <w:b/>
          <w:spacing w:val="-2"/>
          <w:sz w:val="21"/>
        </w:rPr>
        <w:t>Threshold</w:t>
      </w:r>
    </w:p>
    <w:p>
      <w:pPr>
        <w:pStyle w:val="BodyText"/>
        <w:spacing w:before="121"/>
        <w:ind w:left="440" w:right="478"/>
      </w:pPr>
      <w:r>
        <w:t>All</w:t>
      </w:r>
      <w:r>
        <w:rPr>
          <w:spacing w:val="-3"/>
        </w:rPr>
        <w:t xml:space="preserve"> </w:t>
      </w:r>
      <w:r>
        <w:t>utilization</w:t>
      </w:r>
      <w:r>
        <w:rPr>
          <w:spacing w:val="-3"/>
        </w:rPr>
        <w:t xml:space="preserve"> </w:t>
      </w:r>
      <w:r>
        <w:t>for</w:t>
      </w:r>
      <w:r>
        <w:rPr>
          <w:spacing w:val="-3"/>
        </w:rPr>
        <w:t xml:space="preserve"> </w:t>
      </w:r>
      <w:r>
        <w:t>members</w:t>
      </w:r>
      <w:r>
        <w:rPr>
          <w:spacing w:val="-3"/>
        </w:rPr>
        <w:t xml:space="preserve"> </w:t>
      </w:r>
      <w:r>
        <w:t>with</w:t>
      </w:r>
      <w:r>
        <w:rPr>
          <w:spacing w:val="-3"/>
        </w:rPr>
        <w:t xml:space="preserve"> </w:t>
      </w:r>
      <w:r>
        <w:t>projected</w:t>
      </w:r>
      <w:r>
        <w:rPr>
          <w:spacing w:val="-3"/>
        </w:rPr>
        <w:t xml:space="preserve"> </w:t>
      </w:r>
      <w:r>
        <w:t>total</w:t>
      </w:r>
      <w:r>
        <w:rPr>
          <w:spacing w:val="-3"/>
        </w:rPr>
        <w:t xml:space="preserve"> </w:t>
      </w:r>
      <w:r>
        <w:t>allowed</w:t>
      </w:r>
      <w:r>
        <w:rPr>
          <w:spacing w:val="-3"/>
        </w:rPr>
        <w:t xml:space="preserve"> </w:t>
      </w:r>
      <w:r>
        <w:t>costs less</w:t>
      </w:r>
      <w:r>
        <w:rPr>
          <w:spacing w:val="-3"/>
        </w:rPr>
        <w:t xml:space="preserve"> </w:t>
      </w:r>
      <w:r>
        <w:t>than</w:t>
      </w:r>
      <w:r>
        <w:rPr>
          <w:spacing w:val="-4"/>
        </w:rPr>
        <w:t xml:space="preserve"> </w:t>
      </w:r>
      <w:r>
        <w:t>or</w:t>
      </w:r>
      <w:r>
        <w:rPr>
          <w:spacing w:val="-2"/>
        </w:rPr>
        <w:t xml:space="preserve"> </w:t>
      </w:r>
      <w:r>
        <w:t>equal</w:t>
      </w:r>
      <w:r>
        <w:rPr>
          <w:spacing w:val="-3"/>
        </w:rPr>
        <w:t xml:space="preserve"> </w:t>
      </w:r>
      <w:r>
        <w:t>to</w:t>
      </w:r>
      <w:r>
        <w:rPr>
          <w:spacing w:val="-2"/>
        </w:rPr>
        <w:t xml:space="preserve"> </w:t>
      </w:r>
      <w:r>
        <w:t>the catastrophic threshold must be reported on these lines.</w:t>
      </w:r>
    </w:p>
    <w:p>
      <w:pPr>
        <w:pStyle w:val="ListParagraph"/>
        <w:numPr>
          <w:ilvl w:val="0"/>
          <w:numId w:val="6"/>
        </w:numPr>
        <w:tabs>
          <w:tab w:val="left" w:pos="1159"/>
        </w:tabs>
        <w:spacing w:before="120" w:after="0" w:line="240" w:lineRule="auto"/>
        <w:ind w:left="1159" w:right="0" w:hanging="359"/>
        <w:jc w:val="left"/>
        <w:rPr>
          <w:rFonts w:ascii="Arial" w:hAnsi="Arial"/>
          <w:b/>
          <w:sz w:val="21"/>
        </w:rPr>
      </w:pPr>
      <w:r>
        <w:rPr>
          <w:rFonts w:ascii="Arial" w:hAnsi="Arial"/>
          <w:b/>
          <w:sz w:val="21"/>
        </w:rPr>
        <w:t>Columns</w:t>
      </w:r>
      <w:r>
        <w:rPr>
          <w:rFonts w:ascii="Arial" w:hAnsi="Arial"/>
          <w:b/>
          <w:spacing w:val="-4"/>
          <w:sz w:val="21"/>
        </w:rPr>
        <w:t xml:space="preserve"> </w:t>
      </w:r>
      <w:r>
        <w:rPr>
          <w:rFonts w:ascii="Arial" w:hAnsi="Arial"/>
          <w:b/>
          <w:sz w:val="21"/>
        </w:rPr>
        <w:t>f</w:t>
      </w:r>
      <w:r>
        <w:rPr>
          <w:rFonts w:ascii="Arial" w:hAnsi="Arial"/>
          <w:b/>
          <w:spacing w:val="-5"/>
          <w:sz w:val="21"/>
        </w:rPr>
        <w:t xml:space="preserve"> </w:t>
      </w:r>
      <w:r>
        <w:rPr>
          <w:rFonts w:ascii="Arial" w:hAnsi="Arial"/>
          <w:b/>
          <w:sz w:val="21"/>
        </w:rPr>
        <w:t>through</w:t>
      </w:r>
      <w:r>
        <w:rPr>
          <w:rFonts w:ascii="Arial" w:hAnsi="Arial"/>
          <w:b/>
          <w:spacing w:val="-6"/>
          <w:sz w:val="21"/>
        </w:rPr>
        <w:t xml:space="preserve"> </w:t>
      </w:r>
      <w:r>
        <w:rPr>
          <w:rFonts w:ascii="Arial" w:hAnsi="Arial"/>
          <w:b/>
          <w:sz w:val="21"/>
        </w:rPr>
        <w:t>h</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Defined</w:t>
      </w:r>
      <w:r>
        <w:rPr>
          <w:rFonts w:ascii="Arial" w:hAnsi="Arial"/>
          <w:b/>
          <w:spacing w:val="-6"/>
          <w:sz w:val="21"/>
        </w:rPr>
        <w:t xml:space="preserve"> </w:t>
      </w:r>
      <w:r>
        <w:rPr>
          <w:rFonts w:ascii="Arial" w:hAnsi="Arial"/>
          <w:b/>
          <w:sz w:val="21"/>
        </w:rPr>
        <w:t>Standard</w:t>
      </w:r>
      <w:r>
        <w:rPr>
          <w:rFonts w:ascii="Arial" w:hAnsi="Arial"/>
          <w:b/>
          <w:spacing w:val="-2"/>
          <w:sz w:val="21"/>
        </w:rPr>
        <w:t xml:space="preserve"> Coverage</w:t>
      </w:r>
    </w:p>
    <w:p>
      <w:pPr>
        <w:pStyle w:val="BodyText"/>
        <w:spacing w:before="118"/>
        <w:ind w:left="1160" w:right="918"/>
      </w:pPr>
      <w:r>
        <w:t>Enter the projected total number of scripts, total allowed dollars, and total standard cost sharing for the population identified in Worksheet 3, Section III, cells D22 plus D23, using the cost sharing structure of the DS plan by point-of- sale</w:t>
      </w:r>
      <w:r>
        <w:rPr>
          <w:spacing w:val="-3"/>
        </w:rPr>
        <w:t xml:space="preserve"> </w:t>
      </w:r>
      <w:r>
        <w:t>(retail</w:t>
      </w:r>
      <w:r>
        <w:rPr>
          <w:spacing w:val="-3"/>
        </w:rPr>
        <w:t xml:space="preserve"> </w:t>
      </w:r>
      <w:r>
        <w:t>or</w:t>
      </w:r>
      <w:r>
        <w:rPr>
          <w:spacing w:val="-3"/>
        </w:rPr>
        <w:t xml:space="preserve"> </w:t>
      </w:r>
      <w:r>
        <w:t>mail</w:t>
      </w:r>
      <w:r>
        <w:rPr>
          <w:spacing w:val="-3"/>
        </w:rPr>
        <w:t xml:space="preserve"> </w:t>
      </w:r>
      <w:r>
        <w:t>order</w:t>
      </w:r>
      <w:r>
        <w:rPr>
          <w:spacing w:val="-2"/>
        </w:rPr>
        <w:t xml:space="preserve"> </w:t>
      </w:r>
      <w:r>
        <w:t>as</w:t>
      </w:r>
      <w:r>
        <w:rPr>
          <w:spacing w:val="-3"/>
        </w:rPr>
        <w:t xml:space="preserve"> </w:t>
      </w:r>
      <w:r>
        <w:t>defined</w:t>
      </w:r>
      <w:r>
        <w:rPr>
          <w:spacing w:val="-3"/>
        </w:rPr>
        <w:t xml:space="preserve"> </w:t>
      </w:r>
      <w:r>
        <w:t>by</w:t>
      </w:r>
      <w:r>
        <w:rPr>
          <w:spacing w:val="-3"/>
        </w:rPr>
        <w:t xml:space="preserve"> </w:t>
      </w:r>
      <w:r>
        <w:t>the</w:t>
      </w:r>
      <w:r>
        <w:rPr>
          <w:spacing w:val="-3"/>
        </w:rPr>
        <w:t xml:space="preserve"> </w:t>
      </w:r>
      <w:r>
        <w:t>PBP)</w:t>
      </w:r>
      <w:r>
        <w:rPr>
          <w:spacing w:val="-1"/>
        </w:rPr>
        <w:t xml:space="preserve"> </w:t>
      </w:r>
      <w:r>
        <w:t>and</w:t>
      </w:r>
      <w:r>
        <w:rPr>
          <w:spacing w:val="-3"/>
        </w:rPr>
        <w:t xml:space="preserve"> </w:t>
      </w:r>
      <w:r>
        <w:t>type</w:t>
      </w:r>
      <w:r>
        <w:rPr>
          <w:spacing w:val="-3"/>
        </w:rPr>
        <w:t xml:space="preserve"> </w:t>
      </w:r>
      <w:r>
        <w:t>of</w:t>
      </w:r>
      <w:r>
        <w:rPr>
          <w:spacing w:val="-4"/>
        </w:rPr>
        <w:t xml:space="preserve"> </w:t>
      </w:r>
      <w:r>
        <w:t>drug</w:t>
      </w:r>
      <w:r>
        <w:rPr>
          <w:spacing w:val="-3"/>
        </w:rPr>
        <w:t xml:space="preserve"> </w:t>
      </w:r>
      <w:r>
        <w:t>in</w:t>
      </w:r>
      <w:r>
        <w:rPr>
          <w:spacing w:val="-3"/>
        </w:rPr>
        <w:t xml:space="preserve"> </w:t>
      </w:r>
      <w:r>
        <w:t>columns</w:t>
      </w:r>
      <w:r>
        <w:rPr>
          <w:spacing w:val="-3"/>
        </w:rPr>
        <w:t xml:space="preserve"> </w:t>
      </w:r>
      <w:r>
        <w:t>f,</w:t>
      </w:r>
      <w:r>
        <w:rPr>
          <w:spacing w:val="-3"/>
        </w:rPr>
        <w:t xml:space="preserve"> </w:t>
      </w:r>
      <w:r>
        <w:t>g, and h, respectively, for each line. Calculate the cost sharing as if there were no deductible and LIS subsidy. Exclude claims subject to the deductible, which are reported in line 12. Exclude insulins and vaccines in lines 1 through 8. Report insulins and vaccines in lines 9 and 10.</w:t>
      </w:r>
    </w:p>
    <w:p>
      <w:pPr>
        <w:pStyle w:val="ListParagraph"/>
        <w:numPr>
          <w:ilvl w:val="0"/>
          <w:numId w:val="6"/>
        </w:numPr>
        <w:tabs>
          <w:tab w:val="left" w:pos="1159"/>
        </w:tabs>
        <w:spacing w:before="122" w:after="0" w:line="240" w:lineRule="auto"/>
        <w:ind w:left="1159" w:right="0" w:hanging="359"/>
        <w:jc w:val="left"/>
        <w:rPr>
          <w:rFonts w:ascii="Arial" w:hAnsi="Arial"/>
          <w:b/>
          <w:sz w:val="21"/>
        </w:rPr>
      </w:pPr>
      <w:r>
        <w:rPr>
          <w:rFonts w:ascii="Arial" w:hAnsi="Arial"/>
          <w:b/>
          <w:sz w:val="21"/>
        </w:rPr>
        <w:t>Columns</w:t>
      </w:r>
      <w:r>
        <w:rPr>
          <w:rFonts w:ascii="Arial" w:hAnsi="Arial"/>
          <w:b/>
          <w:spacing w:val="-7"/>
          <w:sz w:val="21"/>
        </w:rPr>
        <w:t xml:space="preserve"> </w:t>
      </w:r>
      <w:r>
        <w:rPr>
          <w:rFonts w:ascii="Arial" w:hAnsi="Arial"/>
          <w:b/>
          <w:sz w:val="21"/>
        </w:rPr>
        <w:t>i</w:t>
      </w:r>
      <w:r>
        <w:rPr>
          <w:rFonts w:ascii="Arial" w:hAnsi="Arial"/>
          <w:b/>
          <w:spacing w:val="-6"/>
          <w:sz w:val="21"/>
        </w:rPr>
        <w:t xml:space="preserve"> </w:t>
      </w:r>
      <w:r>
        <w:rPr>
          <w:rFonts w:ascii="Arial" w:hAnsi="Arial"/>
          <w:b/>
          <w:sz w:val="21"/>
        </w:rPr>
        <w:t>through</w:t>
      </w:r>
      <w:r>
        <w:rPr>
          <w:rFonts w:ascii="Arial" w:hAnsi="Arial"/>
          <w:b/>
          <w:spacing w:val="-4"/>
          <w:sz w:val="21"/>
        </w:rPr>
        <w:t xml:space="preserve"> </w:t>
      </w:r>
      <w:r>
        <w:rPr>
          <w:rFonts w:ascii="Arial" w:hAnsi="Arial"/>
          <w:b/>
          <w:sz w:val="21"/>
        </w:rPr>
        <w:t>k</w:t>
      </w:r>
      <w:r>
        <w:rPr>
          <w:rFonts w:ascii="Arial" w:hAnsi="Arial"/>
          <w:b/>
          <w:spacing w:val="-3"/>
          <w:sz w:val="21"/>
        </w:rPr>
        <w:t xml:space="preserve"> </w:t>
      </w:r>
      <w:r>
        <w:rPr>
          <w:rFonts w:ascii="Arial" w:hAnsi="Arial"/>
          <w:b/>
          <w:sz w:val="21"/>
        </w:rPr>
        <w:t>–</w:t>
      </w:r>
      <w:r>
        <w:rPr>
          <w:rFonts w:ascii="Arial" w:hAnsi="Arial"/>
          <w:b/>
          <w:spacing w:val="-7"/>
          <w:sz w:val="21"/>
        </w:rPr>
        <w:t xml:space="preserve"> </w:t>
      </w:r>
      <w:r>
        <w:rPr>
          <w:rFonts w:ascii="Arial" w:hAnsi="Arial"/>
          <w:b/>
          <w:sz w:val="21"/>
        </w:rPr>
        <w:t>Actuarially</w:t>
      </w:r>
      <w:r>
        <w:rPr>
          <w:rFonts w:ascii="Arial" w:hAnsi="Arial"/>
          <w:b/>
          <w:spacing w:val="-5"/>
          <w:sz w:val="21"/>
        </w:rPr>
        <w:t xml:space="preserve"> </w:t>
      </w:r>
      <w:r>
        <w:rPr>
          <w:rFonts w:ascii="Arial" w:hAnsi="Arial"/>
          <w:b/>
          <w:sz w:val="21"/>
        </w:rPr>
        <w:t>Equivalent</w:t>
      </w:r>
      <w:r>
        <w:rPr>
          <w:rFonts w:ascii="Arial" w:hAnsi="Arial"/>
          <w:b/>
          <w:spacing w:val="-5"/>
          <w:sz w:val="21"/>
        </w:rPr>
        <w:t xml:space="preserve"> </w:t>
      </w:r>
      <w:r>
        <w:rPr>
          <w:rFonts w:ascii="Arial" w:hAnsi="Arial"/>
          <w:b/>
          <w:sz w:val="21"/>
        </w:rPr>
        <w:t>or</w:t>
      </w:r>
      <w:r>
        <w:rPr>
          <w:rFonts w:ascii="Arial" w:hAnsi="Arial"/>
          <w:b/>
          <w:spacing w:val="-8"/>
          <w:sz w:val="21"/>
        </w:rPr>
        <w:t xml:space="preserve"> </w:t>
      </w:r>
      <w:r>
        <w:rPr>
          <w:rFonts w:ascii="Arial" w:hAnsi="Arial"/>
          <w:b/>
          <w:sz w:val="21"/>
        </w:rPr>
        <w:t>Alternative</w:t>
      </w:r>
      <w:r>
        <w:rPr>
          <w:rFonts w:ascii="Arial" w:hAnsi="Arial"/>
          <w:b/>
          <w:spacing w:val="-4"/>
          <w:sz w:val="21"/>
        </w:rPr>
        <w:t xml:space="preserve"> </w:t>
      </w:r>
      <w:r>
        <w:rPr>
          <w:rFonts w:ascii="Arial" w:hAnsi="Arial"/>
          <w:b/>
          <w:spacing w:val="-2"/>
          <w:sz w:val="21"/>
        </w:rPr>
        <w:t>Benefits</w:t>
      </w:r>
    </w:p>
    <w:p>
      <w:pPr>
        <w:pStyle w:val="BodyText"/>
        <w:ind w:left="1160" w:right="816"/>
      </w:pPr>
      <w:r>
        <w:t>When the plan benefit type is AE, BA or EA, enter the projected total number of scripts, total allowed dollars and total cost sharing for</w:t>
      </w:r>
      <w:r>
        <w:rPr>
          <w:spacing w:val="-1"/>
        </w:rPr>
        <w:t xml:space="preserve"> </w:t>
      </w:r>
      <w:r>
        <w:t>the population identified in Worksheet 3, Section III, cells D22 plus D23, using the cost sharing structure of the AE, BA or EA plan by point-of-sale (retail or mail order as defined by the PBP) and type of drug in columns i, j and k, respectively, for each line. Calculate the cost sharing as if there were no deductible and LIS subsidy. These values include changes to utilization patterns based on the difference between DS coverage and the proposed alternative coverage. Exclude claims subject to the deductible, which are</w:t>
      </w:r>
      <w:r>
        <w:rPr>
          <w:spacing w:val="-2"/>
        </w:rPr>
        <w:t xml:space="preserve"> </w:t>
      </w:r>
      <w:r>
        <w:t>reported in line 12. Exclude insulins and vaccines in lines 1 through</w:t>
      </w:r>
      <w:r>
        <w:rPr>
          <w:spacing w:val="-3"/>
        </w:rPr>
        <w:t xml:space="preserve"> </w:t>
      </w:r>
      <w:r>
        <w:t>8.</w:t>
      </w:r>
      <w:r>
        <w:rPr>
          <w:spacing w:val="-3"/>
        </w:rPr>
        <w:t xml:space="preserve"> </w:t>
      </w:r>
      <w:r>
        <w:t>Report</w:t>
      </w:r>
      <w:r>
        <w:rPr>
          <w:spacing w:val="-3"/>
        </w:rPr>
        <w:t xml:space="preserve"> </w:t>
      </w:r>
      <w:r>
        <w:t>insulins</w:t>
      </w:r>
      <w:r>
        <w:rPr>
          <w:spacing w:val="-3"/>
        </w:rPr>
        <w:t xml:space="preserve"> </w:t>
      </w:r>
      <w:r>
        <w:t>and</w:t>
      </w:r>
      <w:r>
        <w:rPr>
          <w:spacing w:val="-3"/>
        </w:rPr>
        <w:t xml:space="preserve"> </w:t>
      </w:r>
      <w:r>
        <w:t>vaccines</w:t>
      </w:r>
      <w:r>
        <w:rPr>
          <w:spacing w:val="-3"/>
        </w:rPr>
        <w:t xml:space="preserve"> </w:t>
      </w:r>
      <w:r>
        <w:t>in</w:t>
      </w:r>
      <w:r>
        <w:rPr>
          <w:spacing w:val="-3"/>
        </w:rPr>
        <w:t xml:space="preserve"> </w:t>
      </w:r>
      <w:r>
        <w:t>lines</w:t>
      </w:r>
      <w:r>
        <w:rPr>
          <w:spacing w:val="-3"/>
        </w:rPr>
        <w:t xml:space="preserve"> </w:t>
      </w:r>
      <w:r>
        <w:t>9</w:t>
      </w:r>
      <w:r>
        <w:rPr>
          <w:spacing w:val="-3"/>
        </w:rPr>
        <w:t xml:space="preserve"> </w:t>
      </w:r>
      <w:r>
        <w:t>and</w:t>
      </w:r>
      <w:r>
        <w:rPr>
          <w:spacing w:val="-3"/>
        </w:rPr>
        <w:t xml:space="preserve"> </w:t>
      </w:r>
      <w:r>
        <w:t>10.</w:t>
      </w:r>
      <w:r>
        <w:rPr>
          <w:spacing w:val="-3"/>
        </w:rPr>
        <w:t xml:space="preserve"> </w:t>
      </w:r>
      <w:r>
        <w:t>Exclude</w:t>
      </w:r>
      <w:r>
        <w:rPr>
          <w:spacing w:val="-3"/>
        </w:rPr>
        <w:t xml:space="preserve"> </w:t>
      </w:r>
      <w:r>
        <w:t>costs</w:t>
      </w:r>
      <w:r>
        <w:rPr>
          <w:spacing w:val="-3"/>
        </w:rPr>
        <w:t xml:space="preserve"> </w:t>
      </w:r>
      <w:r>
        <w:t>above</w:t>
      </w:r>
      <w:r>
        <w:rPr>
          <w:spacing w:val="-4"/>
        </w:rPr>
        <w:t xml:space="preserve"> </w:t>
      </w:r>
      <w:r>
        <w:t>the catastrophic threshold in lines 1 through 10. Report any costs above the catastrophic threshold in line 39.</w:t>
      </w:r>
    </w:p>
    <w:p>
      <w:pPr>
        <w:spacing w:before="241"/>
        <w:ind w:left="440" w:right="0" w:firstLine="0"/>
        <w:jc w:val="left"/>
        <w:rPr>
          <w:rFonts w:ascii="Arial" w:hAnsi="Arial"/>
          <w:b/>
          <w:sz w:val="21"/>
        </w:rPr>
      </w:pPr>
      <w:bookmarkStart w:id="228" w:name="Line 11, columns f through k – Total"/>
      <w:bookmarkEnd w:id="228"/>
      <w:r>
        <w:rPr>
          <w:rFonts w:ascii="Arial" w:hAnsi="Arial"/>
          <w:b/>
          <w:sz w:val="21"/>
        </w:rPr>
        <w:t>Line</w:t>
      </w:r>
      <w:r>
        <w:rPr>
          <w:rFonts w:ascii="Arial" w:hAnsi="Arial"/>
          <w:b/>
          <w:spacing w:val="-4"/>
          <w:sz w:val="21"/>
        </w:rPr>
        <w:t xml:space="preserve"> </w:t>
      </w:r>
      <w:r>
        <w:rPr>
          <w:rFonts w:ascii="Arial" w:hAnsi="Arial"/>
          <w:b/>
          <w:sz w:val="21"/>
        </w:rPr>
        <w:t>11,</w:t>
      </w:r>
      <w:r>
        <w:rPr>
          <w:rFonts w:ascii="Arial" w:hAnsi="Arial"/>
          <w:b/>
          <w:spacing w:val="-5"/>
          <w:sz w:val="21"/>
        </w:rPr>
        <w:t xml:space="preserve"> </w:t>
      </w:r>
      <w:r>
        <w:rPr>
          <w:rFonts w:ascii="Arial" w:hAnsi="Arial"/>
          <w:b/>
          <w:sz w:val="21"/>
        </w:rPr>
        <w:t>columns</w:t>
      </w:r>
      <w:r>
        <w:rPr>
          <w:rFonts w:ascii="Arial" w:hAnsi="Arial"/>
          <w:b/>
          <w:spacing w:val="-3"/>
          <w:sz w:val="21"/>
        </w:rPr>
        <w:t xml:space="preserve"> </w:t>
      </w:r>
      <w:r>
        <w:rPr>
          <w:rFonts w:ascii="Arial" w:hAnsi="Arial"/>
          <w:b/>
          <w:sz w:val="21"/>
        </w:rPr>
        <w:t>f</w:t>
      </w:r>
      <w:r>
        <w:rPr>
          <w:rFonts w:ascii="Arial" w:hAnsi="Arial"/>
          <w:b/>
          <w:spacing w:val="-5"/>
          <w:sz w:val="21"/>
        </w:rPr>
        <w:t xml:space="preserve"> </w:t>
      </w:r>
      <w:r>
        <w:rPr>
          <w:rFonts w:ascii="Arial" w:hAnsi="Arial"/>
          <w:b/>
          <w:sz w:val="21"/>
        </w:rPr>
        <w:t>through</w:t>
      </w:r>
      <w:r>
        <w:rPr>
          <w:rFonts w:ascii="Arial" w:hAnsi="Arial"/>
          <w:b/>
          <w:spacing w:val="-2"/>
          <w:sz w:val="21"/>
        </w:rPr>
        <w:t xml:space="preserve"> </w:t>
      </w:r>
      <w:r>
        <w:rPr>
          <w:rFonts w:ascii="Arial" w:hAnsi="Arial"/>
          <w:b/>
          <w:sz w:val="21"/>
        </w:rPr>
        <w:t>k</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pacing w:val="-4"/>
          <w:sz w:val="21"/>
        </w:rPr>
        <w:t>Total</w:t>
      </w:r>
    </w:p>
    <w:p>
      <w:pPr>
        <w:pStyle w:val="BodyText"/>
        <w:spacing w:before="118"/>
        <w:ind w:left="440" w:right="979"/>
      </w:pPr>
      <w:r>
        <w:t>The</w:t>
      </w:r>
      <w:r>
        <w:rPr>
          <w:spacing w:val="-5"/>
        </w:rPr>
        <w:t xml:space="preserve"> </w:t>
      </w:r>
      <w:r>
        <w:t>values</w:t>
      </w:r>
      <w:r>
        <w:rPr>
          <w:spacing w:val="-3"/>
        </w:rPr>
        <w:t xml:space="preserve"> </w:t>
      </w:r>
      <w:r>
        <w:t>are</w:t>
      </w:r>
      <w:r>
        <w:rPr>
          <w:spacing w:val="-5"/>
        </w:rPr>
        <w:t xml:space="preserve"> </w:t>
      </w:r>
      <w:r>
        <w:t>calculated</w:t>
      </w:r>
      <w:r>
        <w:rPr>
          <w:spacing w:val="-2"/>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3"/>
        </w:rPr>
        <w:t xml:space="preserve"> </w:t>
      </w:r>
      <w:r>
        <w:t>as</w:t>
      </w:r>
      <w:r>
        <w:rPr>
          <w:spacing w:val="-3"/>
        </w:rPr>
        <w:t xml:space="preserve"> </w:t>
      </w:r>
      <w:r>
        <w:t>the</w:t>
      </w:r>
      <w:r>
        <w:rPr>
          <w:spacing w:val="-3"/>
        </w:rPr>
        <w:t xml:space="preserve"> </w:t>
      </w:r>
      <w:r>
        <w:t>sum</w:t>
      </w:r>
      <w:r>
        <w:rPr>
          <w:spacing w:val="-3"/>
        </w:rPr>
        <w:t xml:space="preserve"> </w:t>
      </w:r>
      <w:r>
        <w:t>of</w:t>
      </w:r>
      <w:r>
        <w:rPr>
          <w:spacing w:val="-3"/>
        </w:rPr>
        <w:t xml:space="preserve"> </w:t>
      </w:r>
      <w:r>
        <w:t>lines</w:t>
      </w:r>
      <w:r>
        <w:rPr>
          <w:spacing w:val="-3"/>
        </w:rPr>
        <w:t xml:space="preserve"> </w:t>
      </w:r>
      <w:r>
        <w:t>1</w:t>
      </w:r>
      <w:r>
        <w:rPr>
          <w:spacing w:val="-3"/>
        </w:rPr>
        <w:t xml:space="preserve"> </w:t>
      </w:r>
      <w:r>
        <w:t>through 10</w:t>
      </w:r>
      <w:r>
        <w:rPr>
          <w:spacing w:val="-3"/>
        </w:rPr>
        <w:t xml:space="preserve"> </w:t>
      </w:r>
      <w:r>
        <w:t>for each column.</w:t>
      </w:r>
    </w:p>
    <w:p>
      <w:pPr>
        <w:spacing w:before="241"/>
        <w:ind w:left="440" w:right="1649" w:firstLine="0"/>
        <w:jc w:val="left"/>
        <w:rPr>
          <w:rFonts w:ascii="Arial" w:hAnsi="Arial"/>
          <w:b/>
          <w:sz w:val="21"/>
        </w:rPr>
      </w:pPr>
      <w:bookmarkStart w:id="229" w:name="Line 12, columns f, g, i and j – Claims "/>
      <w:bookmarkEnd w:id="229"/>
      <w:r>
        <w:rPr>
          <w:rFonts w:ascii="Arial" w:hAnsi="Arial"/>
          <w:b/>
          <w:sz w:val="21"/>
        </w:rPr>
        <w:t>Line</w:t>
      </w:r>
      <w:r>
        <w:rPr>
          <w:rFonts w:ascii="Arial" w:hAnsi="Arial"/>
          <w:b/>
          <w:spacing w:val="-3"/>
          <w:sz w:val="21"/>
        </w:rPr>
        <w:t xml:space="preserve"> </w:t>
      </w:r>
      <w:r>
        <w:rPr>
          <w:rFonts w:ascii="Arial" w:hAnsi="Arial"/>
          <w:b/>
          <w:sz w:val="21"/>
        </w:rPr>
        <w:t>12,</w:t>
      </w:r>
      <w:r>
        <w:rPr>
          <w:rFonts w:ascii="Arial" w:hAnsi="Arial"/>
          <w:b/>
          <w:spacing w:val="-3"/>
          <w:sz w:val="21"/>
        </w:rPr>
        <w:t xml:space="preserve"> </w:t>
      </w:r>
      <w:r>
        <w:rPr>
          <w:rFonts w:ascii="Arial" w:hAnsi="Arial"/>
          <w:b/>
          <w:sz w:val="21"/>
        </w:rPr>
        <w:t>columns</w:t>
      </w:r>
      <w:r>
        <w:rPr>
          <w:rFonts w:ascii="Arial" w:hAnsi="Arial"/>
          <w:b/>
          <w:spacing w:val="-3"/>
          <w:sz w:val="21"/>
        </w:rPr>
        <w:t xml:space="preserve"> </w:t>
      </w:r>
      <w:r>
        <w:rPr>
          <w:rFonts w:ascii="Arial" w:hAnsi="Arial"/>
          <w:b/>
          <w:sz w:val="21"/>
        </w:rPr>
        <w:t>f,</w:t>
      </w:r>
      <w:r>
        <w:rPr>
          <w:rFonts w:ascii="Arial" w:hAnsi="Arial"/>
          <w:b/>
          <w:spacing w:val="-3"/>
          <w:sz w:val="21"/>
        </w:rPr>
        <w:t xml:space="preserve"> </w:t>
      </w:r>
      <w:r>
        <w:rPr>
          <w:rFonts w:ascii="Arial" w:hAnsi="Arial"/>
          <w:b/>
          <w:sz w:val="21"/>
        </w:rPr>
        <w:t>g,</w:t>
      </w:r>
      <w:r>
        <w:rPr>
          <w:rFonts w:ascii="Arial" w:hAnsi="Arial"/>
          <w:b/>
          <w:spacing w:val="-4"/>
          <w:sz w:val="21"/>
        </w:rPr>
        <w:t xml:space="preserve"> </w:t>
      </w:r>
      <w:r>
        <w:rPr>
          <w:rFonts w:ascii="Arial" w:hAnsi="Arial"/>
          <w:b/>
          <w:sz w:val="21"/>
        </w:rPr>
        <w:t>i</w:t>
      </w:r>
      <w:r>
        <w:rPr>
          <w:rFonts w:ascii="Arial" w:hAnsi="Arial"/>
          <w:b/>
          <w:spacing w:val="-3"/>
          <w:sz w:val="21"/>
        </w:rPr>
        <w:t xml:space="preserve"> </w:t>
      </w:r>
      <w:r>
        <w:rPr>
          <w:rFonts w:ascii="Arial" w:hAnsi="Arial"/>
          <w:b/>
          <w:sz w:val="21"/>
        </w:rPr>
        <w:t>and</w:t>
      </w:r>
      <w:r>
        <w:rPr>
          <w:rFonts w:ascii="Arial" w:hAnsi="Arial"/>
          <w:b/>
          <w:spacing w:val="-2"/>
          <w:sz w:val="21"/>
        </w:rPr>
        <w:t xml:space="preserve"> </w:t>
      </w:r>
      <w:r>
        <w:rPr>
          <w:rFonts w:ascii="Arial" w:hAnsi="Arial"/>
          <w:b/>
          <w:sz w:val="21"/>
        </w:rPr>
        <w:t>j</w:t>
      </w:r>
      <w:r>
        <w:rPr>
          <w:rFonts w:ascii="Arial" w:hAnsi="Arial"/>
          <w:b/>
          <w:spacing w:val="-3"/>
          <w:sz w:val="21"/>
        </w:rPr>
        <w:t xml:space="preserve"> </w:t>
      </w:r>
      <w:r>
        <w:rPr>
          <w:rFonts w:ascii="Arial" w:hAnsi="Arial"/>
          <w:b/>
          <w:sz w:val="21"/>
        </w:rPr>
        <w:t>–</w:t>
      </w:r>
      <w:r>
        <w:rPr>
          <w:rFonts w:ascii="Arial" w:hAnsi="Arial"/>
          <w:b/>
          <w:spacing w:val="-3"/>
          <w:sz w:val="21"/>
        </w:rPr>
        <w:t xml:space="preserve"> </w:t>
      </w:r>
      <w:r>
        <w:rPr>
          <w:rFonts w:ascii="Arial" w:hAnsi="Arial"/>
          <w:b/>
          <w:sz w:val="21"/>
        </w:rPr>
        <w:t>Claims</w:t>
      </w:r>
      <w:r>
        <w:rPr>
          <w:rFonts w:ascii="Arial" w:hAnsi="Arial"/>
          <w:b/>
          <w:spacing w:val="-5"/>
          <w:sz w:val="21"/>
        </w:rPr>
        <w:t xml:space="preserve"> </w:t>
      </w:r>
      <w:r>
        <w:rPr>
          <w:rFonts w:ascii="Arial" w:hAnsi="Arial"/>
          <w:b/>
          <w:sz w:val="21"/>
        </w:rPr>
        <w:t>Subject</w:t>
      </w:r>
      <w:r>
        <w:rPr>
          <w:rFonts w:ascii="Arial" w:hAnsi="Arial"/>
          <w:b/>
          <w:spacing w:val="-3"/>
          <w:sz w:val="21"/>
        </w:rPr>
        <w:t xml:space="preserve"> </w:t>
      </w:r>
      <w:r>
        <w:rPr>
          <w:rFonts w:ascii="Arial" w:hAnsi="Arial"/>
          <w:b/>
          <w:sz w:val="21"/>
        </w:rPr>
        <w:t>to</w:t>
      </w:r>
      <w:r>
        <w:rPr>
          <w:rFonts w:ascii="Arial" w:hAnsi="Arial"/>
          <w:b/>
          <w:spacing w:val="-4"/>
          <w:sz w:val="21"/>
        </w:rPr>
        <w:t xml:space="preserve"> </w:t>
      </w:r>
      <w:r>
        <w:rPr>
          <w:rFonts w:ascii="Arial" w:hAnsi="Arial"/>
          <w:b/>
          <w:sz w:val="21"/>
        </w:rPr>
        <w:t>Deductible</w:t>
      </w:r>
      <w:r>
        <w:rPr>
          <w:rFonts w:ascii="Arial" w:hAnsi="Arial"/>
          <w:b/>
          <w:spacing w:val="-3"/>
          <w:sz w:val="21"/>
        </w:rPr>
        <w:t xml:space="preserve"> </w:t>
      </w:r>
      <w:r>
        <w:rPr>
          <w:rFonts w:ascii="Arial" w:hAnsi="Arial"/>
          <w:b/>
          <w:sz w:val="21"/>
        </w:rPr>
        <w:t xml:space="preserve">(&lt;=Catastrophic </w:t>
      </w:r>
      <w:r>
        <w:rPr>
          <w:rFonts w:ascii="Arial" w:hAnsi="Arial"/>
          <w:b/>
          <w:spacing w:val="-2"/>
          <w:sz w:val="21"/>
        </w:rPr>
        <w:t>Threshold)</w:t>
      </w:r>
    </w:p>
    <w:p>
      <w:pPr>
        <w:pStyle w:val="BodyText"/>
        <w:spacing w:before="119"/>
        <w:ind w:left="440" w:right="979"/>
      </w:pPr>
      <w:r>
        <w:t>For</w:t>
      </w:r>
      <w:r>
        <w:rPr>
          <w:spacing w:val="-3"/>
        </w:rPr>
        <w:t xml:space="preserve"> </w:t>
      </w:r>
      <w:r>
        <w:t>the</w:t>
      </w:r>
      <w:r>
        <w:rPr>
          <w:spacing w:val="-5"/>
        </w:rPr>
        <w:t xml:space="preserve"> </w:t>
      </w:r>
      <w:r>
        <w:t>population</w:t>
      </w:r>
      <w:r>
        <w:rPr>
          <w:spacing w:val="-3"/>
        </w:rPr>
        <w:t xml:space="preserve"> </w:t>
      </w:r>
      <w:r>
        <w:t>with</w:t>
      </w:r>
      <w:r>
        <w:rPr>
          <w:spacing w:val="-3"/>
        </w:rPr>
        <w:t xml:space="preserve"> </w:t>
      </w:r>
      <w:r>
        <w:t>allowed</w:t>
      </w:r>
      <w:r>
        <w:rPr>
          <w:spacing w:val="-3"/>
        </w:rPr>
        <w:t xml:space="preserve"> </w:t>
      </w:r>
      <w:r>
        <w:t>costs</w:t>
      </w:r>
      <w:r>
        <w:rPr>
          <w:spacing w:val="-3"/>
        </w:rPr>
        <w:t xml:space="preserve"> </w:t>
      </w:r>
      <w:r>
        <w:t>less</w:t>
      </w:r>
      <w:r>
        <w:rPr>
          <w:spacing w:val="-3"/>
        </w:rPr>
        <w:t xml:space="preserve"> </w:t>
      </w:r>
      <w:r>
        <w:t>than</w:t>
      </w:r>
      <w:r>
        <w:rPr>
          <w:spacing w:val="-2"/>
        </w:rPr>
        <w:t xml:space="preserve"> </w:t>
      </w:r>
      <w:r>
        <w:t>or</w:t>
      </w:r>
      <w:r>
        <w:rPr>
          <w:spacing w:val="-2"/>
        </w:rPr>
        <w:t xml:space="preserve"> </w:t>
      </w:r>
      <w:r>
        <w:t>equal</w:t>
      </w:r>
      <w:r>
        <w:rPr>
          <w:spacing w:val="-3"/>
        </w:rPr>
        <w:t xml:space="preserve"> </w:t>
      </w:r>
      <w:r>
        <w:t>to</w:t>
      </w:r>
      <w:r>
        <w:rPr>
          <w:spacing w:val="-2"/>
        </w:rPr>
        <w:t xml:space="preserve"> </w:t>
      </w:r>
      <w:r>
        <w:t>the</w:t>
      </w:r>
      <w:r>
        <w:rPr>
          <w:spacing w:val="-3"/>
        </w:rPr>
        <w:t xml:space="preserve"> </w:t>
      </w:r>
      <w:r>
        <w:t>catastrophic</w:t>
      </w:r>
      <w:r>
        <w:rPr>
          <w:spacing w:val="-3"/>
        </w:rPr>
        <w:t xml:space="preserve"> </w:t>
      </w:r>
      <w:r>
        <w:t>threshold, enter the number of scripts that are subject to the deductible in columns f and i.</w:t>
      </w:r>
    </w:p>
    <w:p>
      <w:pPr>
        <w:pStyle w:val="BodyText"/>
        <w:ind w:left="440" w:right="979"/>
      </w:pPr>
      <w:r>
        <w:t>For</w:t>
      </w:r>
      <w:r>
        <w:rPr>
          <w:spacing w:val="-3"/>
        </w:rPr>
        <w:t xml:space="preserve"> </w:t>
      </w:r>
      <w:r>
        <w:t>the</w:t>
      </w:r>
      <w:r>
        <w:rPr>
          <w:spacing w:val="-5"/>
        </w:rPr>
        <w:t xml:space="preserve"> </w:t>
      </w:r>
      <w:r>
        <w:t>population</w:t>
      </w:r>
      <w:r>
        <w:rPr>
          <w:spacing w:val="-3"/>
        </w:rPr>
        <w:t xml:space="preserve"> </w:t>
      </w:r>
      <w:r>
        <w:t>with</w:t>
      </w:r>
      <w:r>
        <w:rPr>
          <w:spacing w:val="-3"/>
        </w:rPr>
        <w:t xml:space="preserve"> </w:t>
      </w:r>
      <w:r>
        <w:t>allowed</w:t>
      </w:r>
      <w:r>
        <w:rPr>
          <w:spacing w:val="-3"/>
        </w:rPr>
        <w:t xml:space="preserve"> </w:t>
      </w:r>
      <w:r>
        <w:t>costs</w:t>
      </w:r>
      <w:r>
        <w:rPr>
          <w:spacing w:val="-3"/>
        </w:rPr>
        <w:t xml:space="preserve"> </w:t>
      </w:r>
      <w:r>
        <w:t>less</w:t>
      </w:r>
      <w:r>
        <w:rPr>
          <w:spacing w:val="-3"/>
        </w:rPr>
        <w:t xml:space="preserve"> </w:t>
      </w:r>
      <w:r>
        <w:t>than</w:t>
      </w:r>
      <w:r>
        <w:rPr>
          <w:spacing w:val="-2"/>
        </w:rPr>
        <w:t xml:space="preserve"> </w:t>
      </w:r>
      <w:r>
        <w:t>or</w:t>
      </w:r>
      <w:r>
        <w:rPr>
          <w:spacing w:val="-2"/>
        </w:rPr>
        <w:t xml:space="preserve"> </w:t>
      </w:r>
      <w:r>
        <w:t>equal</w:t>
      </w:r>
      <w:r>
        <w:rPr>
          <w:spacing w:val="-3"/>
        </w:rPr>
        <w:t xml:space="preserve"> </w:t>
      </w:r>
      <w:r>
        <w:t>to</w:t>
      </w:r>
      <w:r>
        <w:rPr>
          <w:spacing w:val="-2"/>
        </w:rPr>
        <w:t xml:space="preserve"> </w:t>
      </w:r>
      <w:r>
        <w:t>the</w:t>
      </w:r>
      <w:r>
        <w:rPr>
          <w:spacing w:val="-3"/>
        </w:rPr>
        <w:t xml:space="preserve"> </w:t>
      </w:r>
      <w:r>
        <w:t>catastrophic</w:t>
      </w:r>
      <w:r>
        <w:rPr>
          <w:spacing w:val="-3"/>
        </w:rPr>
        <w:t xml:space="preserve"> </w:t>
      </w:r>
      <w:r>
        <w:t>threshold, enter allowed costs that are subject to the deductible in columns g and j.</w:t>
      </w:r>
    </w:p>
    <w:p>
      <w:pPr>
        <w:spacing w:before="241"/>
        <w:ind w:left="440" w:right="0" w:firstLine="0"/>
        <w:jc w:val="left"/>
        <w:rPr>
          <w:rFonts w:ascii="Arial" w:hAnsi="Arial"/>
          <w:b/>
          <w:sz w:val="21"/>
        </w:rPr>
      </w:pPr>
      <w:bookmarkStart w:id="230" w:name="Line 13, columns g and j – Manufacturer "/>
      <w:bookmarkEnd w:id="230"/>
      <w:r>
        <w:rPr>
          <w:rFonts w:ascii="Arial" w:hAnsi="Arial"/>
          <w:b/>
          <w:sz w:val="21"/>
        </w:rPr>
        <w:t>Line</w:t>
      </w:r>
      <w:r>
        <w:rPr>
          <w:rFonts w:ascii="Arial" w:hAnsi="Arial"/>
          <w:b/>
          <w:spacing w:val="-8"/>
          <w:sz w:val="21"/>
        </w:rPr>
        <w:t xml:space="preserve"> </w:t>
      </w:r>
      <w:r>
        <w:rPr>
          <w:rFonts w:ascii="Arial" w:hAnsi="Arial"/>
          <w:b/>
          <w:sz w:val="21"/>
        </w:rPr>
        <w:t>13,</w:t>
      </w:r>
      <w:r>
        <w:rPr>
          <w:rFonts w:ascii="Arial" w:hAnsi="Arial"/>
          <w:b/>
          <w:spacing w:val="-7"/>
          <w:sz w:val="21"/>
        </w:rPr>
        <w:t xml:space="preserve"> </w:t>
      </w:r>
      <w:r>
        <w:rPr>
          <w:rFonts w:ascii="Arial" w:hAnsi="Arial"/>
          <w:b/>
          <w:sz w:val="21"/>
        </w:rPr>
        <w:t>columns</w:t>
      </w:r>
      <w:r>
        <w:rPr>
          <w:rFonts w:ascii="Arial" w:hAnsi="Arial"/>
          <w:b/>
          <w:spacing w:val="-5"/>
          <w:sz w:val="21"/>
        </w:rPr>
        <w:t xml:space="preserve"> </w:t>
      </w:r>
      <w:r>
        <w:rPr>
          <w:rFonts w:ascii="Arial" w:hAnsi="Arial"/>
          <w:b/>
          <w:sz w:val="21"/>
        </w:rPr>
        <w:t>g</w:t>
      </w:r>
      <w:r>
        <w:rPr>
          <w:rFonts w:ascii="Arial" w:hAnsi="Arial"/>
          <w:b/>
          <w:spacing w:val="-5"/>
          <w:sz w:val="21"/>
        </w:rPr>
        <w:t xml:space="preserve"> </w:t>
      </w:r>
      <w:r>
        <w:rPr>
          <w:rFonts w:ascii="Arial" w:hAnsi="Arial"/>
          <w:b/>
          <w:sz w:val="21"/>
        </w:rPr>
        <w:t>and</w:t>
      </w:r>
      <w:r>
        <w:rPr>
          <w:rFonts w:ascii="Arial" w:hAnsi="Arial"/>
          <w:b/>
          <w:spacing w:val="-5"/>
          <w:sz w:val="21"/>
        </w:rPr>
        <w:t xml:space="preserve"> </w:t>
      </w:r>
      <w:r>
        <w:rPr>
          <w:rFonts w:ascii="Arial" w:hAnsi="Arial"/>
          <w:b/>
          <w:sz w:val="21"/>
        </w:rPr>
        <w:t>j</w:t>
      </w:r>
      <w:r>
        <w:rPr>
          <w:rFonts w:ascii="Arial" w:hAnsi="Arial"/>
          <w:b/>
          <w:spacing w:val="-8"/>
          <w:sz w:val="21"/>
        </w:rPr>
        <w:t xml:space="preserve"> </w:t>
      </w:r>
      <w:r>
        <w:rPr>
          <w:rFonts w:ascii="Arial" w:hAnsi="Arial"/>
          <w:b/>
          <w:sz w:val="21"/>
        </w:rPr>
        <w:t>–</w:t>
      </w:r>
      <w:r>
        <w:rPr>
          <w:rFonts w:ascii="Arial" w:hAnsi="Arial"/>
          <w:b/>
          <w:spacing w:val="-6"/>
          <w:sz w:val="21"/>
        </w:rPr>
        <w:t xml:space="preserve"> </w:t>
      </w:r>
      <w:r>
        <w:rPr>
          <w:rFonts w:ascii="Arial" w:hAnsi="Arial"/>
          <w:b/>
          <w:sz w:val="21"/>
        </w:rPr>
        <w:t>Manufacturer</w:t>
      </w:r>
      <w:r>
        <w:rPr>
          <w:rFonts w:ascii="Arial" w:hAnsi="Arial"/>
          <w:b/>
          <w:spacing w:val="-9"/>
          <w:sz w:val="21"/>
        </w:rPr>
        <w:t xml:space="preserve"> </w:t>
      </w:r>
      <w:r>
        <w:rPr>
          <w:rFonts w:ascii="Arial" w:hAnsi="Arial"/>
          <w:b/>
          <w:sz w:val="21"/>
        </w:rPr>
        <w:t>Discount</w:t>
      </w:r>
      <w:r>
        <w:rPr>
          <w:rFonts w:ascii="Arial" w:hAnsi="Arial"/>
          <w:b/>
          <w:spacing w:val="-6"/>
          <w:sz w:val="21"/>
        </w:rPr>
        <w:t xml:space="preserve"> </w:t>
      </w:r>
      <w:r>
        <w:rPr>
          <w:rFonts w:ascii="Arial" w:hAnsi="Arial"/>
          <w:b/>
          <w:sz w:val="21"/>
        </w:rPr>
        <w:t>(&lt;=Catastrophic</w:t>
      </w:r>
      <w:r>
        <w:rPr>
          <w:rFonts w:ascii="Arial" w:hAnsi="Arial"/>
          <w:b/>
          <w:spacing w:val="-8"/>
          <w:sz w:val="21"/>
        </w:rPr>
        <w:t xml:space="preserve"> </w:t>
      </w:r>
      <w:r>
        <w:rPr>
          <w:rFonts w:ascii="Arial" w:hAnsi="Arial"/>
          <w:b/>
          <w:spacing w:val="-2"/>
          <w:sz w:val="21"/>
        </w:rPr>
        <w:t>Threshold)</w:t>
      </w:r>
    </w:p>
    <w:p>
      <w:pPr>
        <w:pStyle w:val="BodyText"/>
        <w:ind w:left="440" w:right="904"/>
      </w:pPr>
      <w:r>
        <w:t>For the population with allowed costs less than or equal to the catastrophic threshold, enter the manufacturer discount in columns g and j. This line must also include the subsidy</w:t>
      </w:r>
      <w:r>
        <w:rPr>
          <w:spacing w:val="-3"/>
        </w:rPr>
        <w:t xml:space="preserve"> </w:t>
      </w:r>
      <w:r>
        <w:t>for</w:t>
      </w:r>
      <w:r>
        <w:rPr>
          <w:spacing w:val="-3"/>
        </w:rPr>
        <w:t xml:space="preserve"> </w:t>
      </w:r>
      <w:r>
        <w:t>selected</w:t>
      </w:r>
      <w:r>
        <w:rPr>
          <w:spacing w:val="-3"/>
        </w:rPr>
        <w:t xml:space="preserve"> </w:t>
      </w:r>
      <w:r>
        <w:t>drugs</w:t>
      </w:r>
      <w:r>
        <w:rPr>
          <w:spacing w:val="-3"/>
        </w:rPr>
        <w:t xml:space="preserve"> </w:t>
      </w:r>
      <w:r>
        <w:t>for</w:t>
      </w:r>
      <w:r>
        <w:rPr>
          <w:spacing w:val="-5"/>
        </w:rPr>
        <w:t xml:space="preserve"> </w:t>
      </w:r>
      <w:r>
        <w:t>the</w:t>
      </w:r>
      <w:r>
        <w:rPr>
          <w:spacing w:val="-3"/>
        </w:rPr>
        <w:t xml:space="preserve"> </w:t>
      </w:r>
      <w:r>
        <w:t>population</w:t>
      </w:r>
      <w:r>
        <w:rPr>
          <w:spacing w:val="-3"/>
        </w:rPr>
        <w:t xml:space="preserve"> </w:t>
      </w:r>
      <w:r>
        <w:t>with</w:t>
      </w:r>
      <w:r>
        <w:rPr>
          <w:spacing w:val="-3"/>
        </w:rPr>
        <w:t xml:space="preserve"> </w:t>
      </w:r>
      <w:r>
        <w:t>allowed</w:t>
      </w:r>
      <w:r>
        <w:rPr>
          <w:spacing w:val="-3"/>
        </w:rPr>
        <w:t xml:space="preserve"> </w:t>
      </w:r>
      <w:r>
        <w:t>costs</w:t>
      </w:r>
      <w:r>
        <w:rPr>
          <w:spacing w:val="-3"/>
        </w:rPr>
        <w:t xml:space="preserve"> </w:t>
      </w:r>
      <w:r>
        <w:t>less</w:t>
      </w:r>
      <w:r>
        <w:rPr>
          <w:spacing w:val="-3"/>
        </w:rPr>
        <w:t xml:space="preserve"> </w:t>
      </w:r>
      <w:r>
        <w:t>than</w:t>
      </w:r>
      <w:r>
        <w:rPr>
          <w:spacing w:val="-1"/>
        </w:rPr>
        <w:t xml:space="preserve"> </w:t>
      </w:r>
      <w:r>
        <w:t>or</w:t>
      </w:r>
      <w:r>
        <w:rPr>
          <w:spacing w:val="-2"/>
        </w:rPr>
        <w:t xml:space="preserve"> </w:t>
      </w:r>
      <w:r>
        <w:t>equal</w:t>
      </w:r>
      <w:r>
        <w:rPr>
          <w:spacing w:val="-3"/>
        </w:rPr>
        <w:t xml:space="preserve"> </w:t>
      </w:r>
      <w:r>
        <w:t>to</w:t>
      </w:r>
      <w:r>
        <w:rPr>
          <w:spacing w:val="-3"/>
        </w:rPr>
        <w:t xml:space="preserve"> </w:t>
      </w:r>
      <w:r>
        <w:t>the catastrophic threshold.</w:t>
      </w:r>
    </w:p>
    <w:p>
      <w:pPr>
        <w:spacing w:after="0"/>
        <w:sectPr>
          <w:pgSz w:w="12240" w:h="15840"/>
          <w:pgMar w:top="1340" w:right="1000" w:bottom="1080" w:left="1360" w:header="727" w:footer="891"/>
          <w:cols w:space="720"/>
        </w:sectPr>
      </w:pPr>
    </w:p>
    <w:p>
      <w:pPr>
        <w:spacing w:before="87"/>
        <w:ind w:left="440" w:right="0" w:firstLine="0"/>
        <w:jc w:val="left"/>
        <w:rPr>
          <w:rFonts w:ascii="Arial" w:hAnsi="Arial"/>
          <w:b/>
          <w:sz w:val="21"/>
        </w:rPr>
      </w:pPr>
      <w:bookmarkStart w:id="231" w:name="Lines 14 through 23 – Population Exceedi"/>
      <w:bookmarkEnd w:id="231"/>
      <w:r>
        <w:rPr>
          <w:rFonts w:ascii="Arial" w:hAnsi="Arial"/>
          <w:b/>
          <w:sz w:val="21"/>
        </w:rPr>
        <w:t>Lines</w:t>
      </w:r>
      <w:r>
        <w:rPr>
          <w:rFonts w:ascii="Arial" w:hAnsi="Arial"/>
          <w:b/>
          <w:spacing w:val="-8"/>
          <w:sz w:val="21"/>
        </w:rPr>
        <w:t xml:space="preserve"> </w:t>
      </w:r>
      <w:r>
        <w:rPr>
          <w:rFonts w:ascii="Arial" w:hAnsi="Arial"/>
          <w:b/>
          <w:sz w:val="21"/>
        </w:rPr>
        <w:t>14</w:t>
      </w:r>
      <w:r>
        <w:rPr>
          <w:rFonts w:ascii="Arial" w:hAnsi="Arial"/>
          <w:b/>
          <w:spacing w:val="-5"/>
          <w:sz w:val="21"/>
        </w:rPr>
        <w:t xml:space="preserve"> </w:t>
      </w:r>
      <w:r>
        <w:rPr>
          <w:rFonts w:ascii="Arial" w:hAnsi="Arial"/>
          <w:b/>
          <w:sz w:val="21"/>
        </w:rPr>
        <w:t>through</w:t>
      </w:r>
      <w:r>
        <w:rPr>
          <w:rFonts w:ascii="Arial" w:hAnsi="Arial"/>
          <w:b/>
          <w:spacing w:val="-6"/>
          <w:sz w:val="21"/>
        </w:rPr>
        <w:t xml:space="preserve"> </w:t>
      </w:r>
      <w:r>
        <w:rPr>
          <w:rFonts w:ascii="Arial" w:hAnsi="Arial"/>
          <w:b/>
          <w:sz w:val="21"/>
        </w:rPr>
        <w:t>23</w:t>
      </w:r>
      <w:r>
        <w:rPr>
          <w:rFonts w:ascii="Arial" w:hAnsi="Arial"/>
          <w:b/>
          <w:spacing w:val="-5"/>
          <w:sz w:val="21"/>
        </w:rPr>
        <w:t xml:space="preserve"> </w:t>
      </w:r>
      <w:r>
        <w:rPr>
          <w:rFonts w:ascii="Arial" w:hAnsi="Arial"/>
          <w:b/>
          <w:sz w:val="21"/>
        </w:rPr>
        <w:t>–</w:t>
      </w:r>
      <w:r>
        <w:rPr>
          <w:rFonts w:ascii="Arial" w:hAnsi="Arial"/>
          <w:b/>
          <w:spacing w:val="-7"/>
          <w:sz w:val="21"/>
        </w:rPr>
        <w:t xml:space="preserve"> </w:t>
      </w:r>
      <w:r>
        <w:rPr>
          <w:rFonts w:ascii="Arial" w:hAnsi="Arial"/>
          <w:b/>
          <w:sz w:val="21"/>
        </w:rPr>
        <w:t>Population</w:t>
      </w:r>
      <w:r>
        <w:rPr>
          <w:rFonts w:ascii="Arial" w:hAnsi="Arial"/>
          <w:b/>
          <w:spacing w:val="-8"/>
          <w:sz w:val="21"/>
        </w:rPr>
        <w:t xml:space="preserve"> </w:t>
      </w:r>
      <w:r>
        <w:rPr>
          <w:rFonts w:ascii="Arial" w:hAnsi="Arial"/>
          <w:b/>
          <w:sz w:val="21"/>
        </w:rPr>
        <w:t>Exceeding</w:t>
      </w:r>
      <w:r>
        <w:rPr>
          <w:rFonts w:ascii="Arial" w:hAnsi="Arial"/>
          <w:b/>
          <w:spacing w:val="-4"/>
          <w:sz w:val="21"/>
        </w:rPr>
        <w:t xml:space="preserve"> </w:t>
      </w:r>
      <w:r>
        <w:rPr>
          <w:rFonts w:ascii="Arial" w:hAnsi="Arial"/>
          <w:b/>
          <w:sz w:val="21"/>
        </w:rPr>
        <w:t>the</w:t>
      </w:r>
      <w:r>
        <w:rPr>
          <w:rFonts w:ascii="Arial" w:hAnsi="Arial"/>
          <w:b/>
          <w:spacing w:val="-7"/>
          <w:sz w:val="21"/>
        </w:rPr>
        <w:t xml:space="preserve"> </w:t>
      </w:r>
      <w:r>
        <w:rPr>
          <w:rFonts w:ascii="Arial" w:hAnsi="Arial"/>
          <w:b/>
          <w:sz w:val="21"/>
        </w:rPr>
        <w:t>Catastrophic</w:t>
      </w:r>
      <w:r>
        <w:rPr>
          <w:rFonts w:ascii="Arial" w:hAnsi="Arial"/>
          <w:b/>
          <w:spacing w:val="-8"/>
          <w:sz w:val="21"/>
        </w:rPr>
        <w:t xml:space="preserve"> </w:t>
      </w:r>
      <w:r>
        <w:rPr>
          <w:rFonts w:ascii="Arial" w:hAnsi="Arial"/>
          <w:b/>
          <w:spacing w:val="-2"/>
          <w:sz w:val="21"/>
        </w:rPr>
        <w:t>Threshold</w:t>
      </w:r>
    </w:p>
    <w:p>
      <w:pPr>
        <w:pStyle w:val="BodyText"/>
        <w:spacing w:before="121"/>
        <w:ind w:left="440" w:right="1649"/>
      </w:pPr>
      <w:r>
        <w:t>All</w:t>
      </w:r>
      <w:r>
        <w:rPr>
          <w:spacing w:val="-4"/>
        </w:rPr>
        <w:t xml:space="preserve"> </w:t>
      </w:r>
      <w:r>
        <w:t>utilization</w:t>
      </w:r>
      <w:r>
        <w:rPr>
          <w:spacing w:val="-4"/>
        </w:rPr>
        <w:t xml:space="preserve"> </w:t>
      </w:r>
      <w:r>
        <w:t>for</w:t>
      </w:r>
      <w:r>
        <w:rPr>
          <w:spacing w:val="-4"/>
        </w:rPr>
        <w:t xml:space="preserve"> </w:t>
      </w:r>
      <w:r>
        <w:t>members</w:t>
      </w:r>
      <w:r>
        <w:rPr>
          <w:spacing w:val="-4"/>
        </w:rPr>
        <w:t xml:space="preserve"> </w:t>
      </w:r>
      <w:r>
        <w:t>with</w:t>
      </w:r>
      <w:r>
        <w:rPr>
          <w:spacing w:val="-4"/>
        </w:rPr>
        <w:t xml:space="preserve"> </w:t>
      </w:r>
      <w:r>
        <w:t>projected</w:t>
      </w:r>
      <w:r>
        <w:rPr>
          <w:spacing w:val="-4"/>
        </w:rPr>
        <w:t xml:space="preserve"> </w:t>
      </w:r>
      <w:r>
        <w:t>total</w:t>
      </w:r>
      <w:r>
        <w:rPr>
          <w:spacing w:val="-4"/>
        </w:rPr>
        <w:t xml:space="preserve"> </w:t>
      </w:r>
      <w:r>
        <w:t>allowed</w:t>
      </w:r>
      <w:r>
        <w:rPr>
          <w:spacing w:val="-4"/>
        </w:rPr>
        <w:t xml:space="preserve"> </w:t>
      </w:r>
      <w:r>
        <w:t>costs</w:t>
      </w:r>
      <w:r>
        <w:rPr>
          <w:spacing w:val="-1"/>
        </w:rPr>
        <w:t xml:space="preserve"> </w:t>
      </w:r>
      <w:r>
        <w:t>greater</w:t>
      </w:r>
      <w:r>
        <w:rPr>
          <w:spacing w:val="-6"/>
        </w:rPr>
        <w:t xml:space="preserve"> </w:t>
      </w:r>
      <w:r>
        <w:t>than</w:t>
      </w:r>
      <w:r>
        <w:rPr>
          <w:spacing w:val="-5"/>
        </w:rPr>
        <w:t xml:space="preserve"> </w:t>
      </w:r>
      <w:r>
        <w:t>the catastrophic threshold must be reported on these lines.</w:t>
      </w:r>
    </w:p>
    <w:p>
      <w:pPr>
        <w:pStyle w:val="ListParagraph"/>
        <w:numPr>
          <w:ilvl w:val="0"/>
          <w:numId w:val="6"/>
        </w:numPr>
        <w:tabs>
          <w:tab w:val="left" w:pos="1159"/>
        </w:tabs>
        <w:spacing w:before="120" w:after="0" w:line="240" w:lineRule="auto"/>
        <w:ind w:left="1159" w:right="0" w:hanging="359"/>
        <w:jc w:val="left"/>
        <w:rPr>
          <w:rFonts w:ascii="Arial" w:hAnsi="Arial"/>
          <w:b/>
          <w:sz w:val="21"/>
        </w:rPr>
      </w:pPr>
      <w:r>
        <w:rPr>
          <w:rFonts w:ascii="Arial" w:hAnsi="Arial"/>
          <w:b/>
          <w:sz w:val="21"/>
        </w:rPr>
        <w:t>Columns</w:t>
      </w:r>
      <w:r>
        <w:rPr>
          <w:rFonts w:ascii="Arial" w:hAnsi="Arial"/>
          <w:b/>
          <w:spacing w:val="-4"/>
          <w:sz w:val="21"/>
        </w:rPr>
        <w:t xml:space="preserve"> </w:t>
      </w:r>
      <w:r>
        <w:rPr>
          <w:rFonts w:ascii="Arial" w:hAnsi="Arial"/>
          <w:b/>
          <w:sz w:val="21"/>
        </w:rPr>
        <w:t>f</w:t>
      </w:r>
      <w:r>
        <w:rPr>
          <w:rFonts w:ascii="Arial" w:hAnsi="Arial"/>
          <w:b/>
          <w:spacing w:val="-5"/>
          <w:sz w:val="21"/>
        </w:rPr>
        <w:t xml:space="preserve"> </w:t>
      </w:r>
      <w:r>
        <w:rPr>
          <w:rFonts w:ascii="Arial" w:hAnsi="Arial"/>
          <w:b/>
          <w:sz w:val="21"/>
        </w:rPr>
        <w:t>through</w:t>
      </w:r>
      <w:r>
        <w:rPr>
          <w:rFonts w:ascii="Arial" w:hAnsi="Arial"/>
          <w:b/>
          <w:spacing w:val="-5"/>
          <w:sz w:val="21"/>
        </w:rPr>
        <w:t xml:space="preserve"> </w:t>
      </w:r>
      <w:r>
        <w:rPr>
          <w:rFonts w:ascii="Arial" w:hAnsi="Arial"/>
          <w:b/>
          <w:sz w:val="21"/>
        </w:rPr>
        <w:t>h</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Defined</w:t>
      </w:r>
      <w:r>
        <w:rPr>
          <w:rFonts w:ascii="Arial" w:hAnsi="Arial"/>
          <w:b/>
          <w:spacing w:val="-6"/>
          <w:sz w:val="21"/>
        </w:rPr>
        <w:t xml:space="preserve"> </w:t>
      </w:r>
      <w:r>
        <w:rPr>
          <w:rFonts w:ascii="Arial" w:hAnsi="Arial"/>
          <w:b/>
          <w:sz w:val="21"/>
        </w:rPr>
        <w:t>Standard</w:t>
      </w:r>
      <w:r>
        <w:rPr>
          <w:rFonts w:ascii="Arial" w:hAnsi="Arial"/>
          <w:b/>
          <w:spacing w:val="-2"/>
          <w:sz w:val="21"/>
        </w:rPr>
        <w:t xml:space="preserve"> Coverage</w:t>
      </w:r>
    </w:p>
    <w:p>
      <w:pPr>
        <w:pStyle w:val="BodyText"/>
        <w:spacing w:before="118"/>
        <w:ind w:left="1160" w:right="872"/>
      </w:pPr>
      <w:r>
        <w:t>Enter the projected total number of scripts, total allowed dollars, and total standard cost sharing for the population identified in Worksheet 3, Section III, cell</w:t>
      </w:r>
      <w:r>
        <w:rPr>
          <w:spacing w:val="-2"/>
        </w:rPr>
        <w:t xml:space="preserve"> </w:t>
      </w:r>
      <w:r>
        <w:t>D24,</w:t>
      </w:r>
      <w:r>
        <w:rPr>
          <w:spacing w:val="-3"/>
        </w:rPr>
        <w:t xml:space="preserve"> </w:t>
      </w:r>
      <w:r>
        <w:t>using</w:t>
      </w:r>
      <w:r>
        <w:rPr>
          <w:spacing w:val="-3"/>
        </w:rPr>
        <w:t xml:space="preserve"> </w:t>
      </w:r>
      <w:r>
        <w:t>the</w:t>
      </w:r>
      <w:r>
        <w:rPr>
          <w:spacing w:val="-3"/>
        </w:rPr>
        <w:t xml:space="preserve"> </w:t>
      </w:r>
      <w:r>
        <w:t>cost</w:t>
      </w:r>
      <w:r>
        <w:rPr>
          <w:spacing w:val="-2"/>
        </w:rPr>
        <w:t xml:space="preserve"> </w:t>
      </w:r>
      <w:r>
        <w:t>sharing</w:t>
      </w:r>
      <w:r>
        <w:rPr>
          <w:spacing w:val="-3"/>
        </w:rPr>
        <w:t xml:space="preserve"> </w:t>
      </w:r>
      <w:r>
        <w:t>structure</w:t>
      </w:r>
      <w:r>
        <w:rPr>
          <w:spacing w:val="-5"/>
        </w:rPr>
        <w:t xml:space="preserve"> </w:t>
      </w:r>
      <w:r>
        <w:t>of</w:t>
      </w:r>
      <w:r>
        <w:rPr>
          <w:spacing w:val="-3"/>
        </w:rPr>
        <w:t xml:space="preserve"> </w:t>
      </w:r>
      <w:r>
        <w:t>the</w:t>
      </w:r>
      <w:r>
        <w:rPr>
          <w:spacing w:val="-5"/>
        </w:rPr>
        <w:t xml:space="preserve"> </w:t>
      </w:r>
      <w:r>
        <w:t>DS</w:t>
      </w:r>
      <w:r>
        <w:rPr>
          <w:spacing w:val="-3"/>
        </w:rPr>
        <w:t xml:space="preserve"> </w:t>
      </w:r>
      <w:r>
        <w:t>plan</w:t>
      </w:r>
      <w:r>
        <w:rPr>
          <w:spacing w:val="-3"/>
        </w:rPr>
        <w:t xml:space="preserve"> </w:t>
      </w:r>
      <w:r>
        <w:t>by</w:t>
      </w:r>
      <w:r>
        <w:rPr>
          <w:spacing w:val="-3"/>
        </w:rPr>
        <w:t xml:space="preserve"> </w:t>
      </w:r>
      <w:r>
        <w:t>point-of-sale</w:t>
      </w:r>
      <w:r>
        <w:rPr>
          <w:spacing w:val="-3"/>
        </w:rPr>
        <w:t xml:space="preserve"> </w:t>
      </w:r>
      <w:r>
        <w:t>and</w:t>
      </w:r>
      <w:r>
        <w:rPr>
          <w:spacing w:val="-3"/>
        </w:rPr>
        <w:t xml:space="preserve"> </w:t>
      </w:r>
      <w:r>
        <w:t>type of drug in columns f, g and h, respectively, for each line. Calculate the cost sharing as if there were</w:t>
      </w:r>
      <w:r>
        <w:rPr>
          <w:spacing w:val="-2"/>
        </w:rPr>
        <w:t xml:space="preserve"> </w:t>
      </w:r>
      <w:r>
        <w:t>no deductible and LIS subsidy. Exclude claims subject to the deductible, which are reported in line 25. Exclude insulins and vaccines in lines 14 through 21. Report insulins and vaccines in lines 22 and 23.</w:t>
      </w:r>
    </w:p>
    <w:p>
      <w:pPr>
        <w:pStyle w:val="ListParagraph"/>
        <w:numPr>
          <w:ilvl w:val="0"/>
          <w:numId w:val="6"/>
        </w:numPr>
        <w:tabs>
          <w:tab w:val="left" w:pos="1159"/>
        </w:tabs>
        <w:spacing w:before="122" w:after="0" w:line="240" w:lineRule="auto"/>
        <w:ind w:left="1159" w:right="0" w:hanging="359"/>
        <w:jc w:val="left"/>
        <w:rPr>
          <w:rFonts w:ascii="Arial" w:hAnsi="Arial"/>
          <w:b/>
          <w:sz w:val="21"/>
        </w:rPr>
      </w:pPr>
      <w:r>
        <w:rPr>
          <w:rFonts w:ascii="Arial" w:hAnsi="Arial"/>
          <w:b/>
          <w:sz w:val="21"/>
        </w:rPr>
        <w:t>Columns</w:t>
      </w:r>
      <w:r>
        <w:rPr>
          <w:rFonts w:ascii="Arial" w:hAnsi="Arial"/>
          <w:b/>
          <w:spacing w:val="-5"/>
          <w:sz w:val="21"/>
        </w:rPr>
        <w:t xml:space="preserve"> </w:t>
      </w:r>
      <w:r>
        <w:rPr>
          <w:rFonts w:ascii="Arial" w:hAnsi="Arial"/>
          <w:b/>
          <w:sz w:val="21"/>
        </w:rPr>
        <w:t>i</w:t>
      </w:r>
      <w:r>
        <w:rPr>
          <w:rFonts w:ascii="Arial" w:hAnsi="Arial"/>
          <w:b/>
          <w:spacing w:val="-6"/>
          <w:sz w:val="21"/>
        </w:rPr>
        <w:t xml:space="preserve"> </w:t>
      </w:r>
      <w:r>
        <w:rPr>
          <w:rFonts w:ascii="Arial" w:hAnsi="Arial"/>
          <w:b/>
          <w:sz w:val="21"/>
        </w:rPr>
        <w:t>through</w:t>
      </w:r>
      <w:r>
        <w:rPr>
          <w:rFonts w:ascii="Arial" w:hAnsi="Arial"/>
          <w:b/>
          <w:spacing w:val="-4"/>
          <w:sz w:val="21"/>
        </w:rPr>
        <w:t xml:space="preserve"> </w:t>
      </w:r>
      <w:r>
        <w:rPr>
          <w:rFonts w:ascii="Arial" w:hAnsi="Arial"/>
          <w:b/>
          <w:sz w:val="21"/>
        </w:rPr>
        <w:t>k</w:t>
      </w:r>
      <w:r>
        <w:rPr>
          <w:rFonts w:ascii="Arial" w:hAnsi="Arial"/>
          <w:b/>
          <w:spacing w:val="-4"/>
          <w:sz w:val="21"/>
        </w:rPr>
        <w:t xml:space="preserve"> </w:t>
      </w:r>
      <w:r>
        <w:rPr>
          <w:rFonts w:ascii="Arial" w:hAnsi="Arial"/>
          <w:b/>
          <w:sz w:val="21"/>
        </w:rPr>
        <w:t>–</w:t>
      </w:r>
      <w:r>
        <w:rPr>
          <w:rFonts w:ascii="Arial" w:hAnsi="Arial"/>
          <w:b/>
          <w:spacing w:val="-7"/>
          <w:sz w:val="21"/>
        </w:rPr>
        <w:t xml:space="preserve"> </w:t>
      </w:r>
      <w:r>
        <w:rPr>
          <w:rFonts w:ascii="Arial" w:hAnsi="Arial"/>
          <w:b/>
          <w:sz w:val="21"/>
        </w:rPr>
        <w:t>Actuarially</w:t>
      </w:r>
      <w:r>
        <w:rPr>
          <w:rFonts w:ascii="Arial" w:hAnsi="Arial"/>
          <w:b/>
          <w:spacing w:val="-5"/>
          <w:sz w:val="21"/>
        </w:rPr>
        <w:t xml:space="preserve"> </w:t>
      </w:r>
      <w:r>
        <w:rPr>
          <w:rFonts w:ascii="Arial" w:hAnsi="Arial"/>
          <w:b/>
          <w:sz w:val="21"/>
        </w:rPr>
        <w:t>Equivalent</w:t>
      </w:r>
      <w:r>
        <w:rPr>
          <w:rFonts w:ascii="Arial" w:hAnsi="Arial"/>
          <w:b/>
          <w:spacing w:val="-5"/>
          <w:sz w:val="21"/>
        </w:rPr>
        <w:t xml:space="preserve"> </w:t>
      </w:r>
      <w:r>
        <w:rPr>
          <w:rFonts w:ascii="Arial" w:hAnsi="Arial"/>
          <w:b/>
          <w:sz w:val="21"/>
        </w:rPr>
        <w:t>or</w:t>
      </w:r>
      <w:r>
        <w:rPr>
          <w:rFonts w:ascii="Arial" w:hAnsi="Arial"/>
          <w:b/>
          <w:spacing w:val="-8"/>
          <w:sz w:val="21"/>
        </w:rPr>
        <w:t xml:space="preserve"> </w:t>
      </w:r>
      <w:r>
        <w:rPr>
          <w:rFonts w:ascii="Arial" w:hAnsi="Arial"/>
          <w:b/>
          <w:sz w:val="21"/>
        </w:rPr>
        <w:t>Alternative</w:t>
      </w:r>
      <w:r>
        <w:rPr>
          <w:rFonts w:ascii="Arial" w:hAnsi="Arial"/>
          <w:b/>
          <w:spacing w:val="-4"/>
          <w:sz w:val="21"/>
        </w:rPr>
        <w:t xml:space="preserve"> </w:t>
      </w:r>
      <w:r>
        <w:rPr>
          <w:rFonts w:ascii="Arial" w:hAnsi="Arial"/>
          <w:b/>
          <w:spacing w:val="-2"/>
          <w:sz w:val="21"/>
        </w:rPr>
        <w:t>Benefits</w:t>
      </w:r>
    </w:p>
    <w:p>
      <w:pPr>
        <w:pStyle w:val="BodyText"/>
        <w:ind w:left="1160" w:right="856"/>
      </w:pPr>
      <w:r>
        <w:t>When the plan benefit type is AE, BA or EA, enter the projected total number of scripts,</w:t>
      </w:r>
      <w:r>
        <w:rPr>
          <w:spacing w:val="-1"/>
        </w:rPr>
        <w:t xml:space="preserve"> </w:t>
      </w:r>
      <w:r>
        <w:t>total</w:t>
      </w:r>
      <w:r>
        <w:rPr>
          <w:spacing w:val="-1"/>
        </w:rPr>
        <w:t xml:space="preserve"> </w:t>
      </w:r>
      <w:r>
        <w:t>allowed</w:t>
      </w:r>
      <w:r>
        <w:rPr>
          <w:spacing w:val="-1"/>
        </w:rPr>
        <w:t xml:space="preserve"> </w:t>
      </w:r>
      <w:r>
        <w:t>dollars</w:t>
      </w:r>
      <w:r>
        <w:rPr>
          <w:spacing w:val="-1"/>
        </w:rPr>
        <w:t xml:space="preserve"> </w:t>
      </w:r>
      <w:r>
        <w:t>and</w:t>
      </w:r>
      <w:r>
        <w:rPr>
          <w:spacing w:val="-1"/>
        </w:rPr>
        <w:t xml:space="preserve"> </w:t>
      </w:r>
      <w:r>
        <w:t>total</w:t>
      </w:r>
      <w:r>
        <w:rPr>
          <w:spacing w:val="-1"/>
        </w:rPr>
        <w:t xml:space="preserve"> </w:t>
      </w:r>
      <w:r>
        <w:t>cost</w:t>
      </w:r>
      <w:r>
        <w:rPr>
          <w:spacing w:val="-1"/>
        </w:rPr>
        <w:t xml:space="preserve"> </w:t>
      </w:r>
      <w:r>
        <w:t>sharing for</w:t>
      </w:r>
      <w:r>
        <w:rPr>
          <w:spacing w:val="-3"/>
        </w:rPr>
        <w:t xml:space="preserve"> </w:t>
      </w:r>
      <w:r>
        <w:t>the</w:t>
      </w:r>
      <w:r>
        <w:rPr>
          <w:spacing w:val="-1"/>
        </w:rPr>
        <w:t xml:space="preserve"> </w:t>
      </w:r>
      <w:r>
        <w:t>population</w:t>
      </w:r>
      <w:r>
        <w:rPr>
          <w:spacing w:val="-1"/>
        </w:rPr>
        <w:t xml:space="preserve"> </w:t>
      </w:r>
      <w:r>
        <w:t>identified</w:t>
      </w:r>
      <w:r>
        <w:rPr>
          <w:spacing w:val="-1"/>
        </w:rPr>
        <w:t xml:space="preserve"> </w:t>
      </w:r>
      <w:r>
        <w:t>in Worksheet</w:t>
      </w:r>
      <w:r>
        <w:rPr>
          <w:spacing w:val="-3"/>
        </w:rPr>
        <w:t xml:space="preserve"> </w:t>
      </w:r>
      <w:r>
        <w:t>3,</w:t>
      </w:r>
      <w:r>
        <w:rPr>
          <w:spacing w:val="-3"/>
        </w:rPr>
        <w:t xml:space="preserve"> </w:t>
      </w:r>
      <w:r>
        <w:t>Section</w:t>
      </w:r>
      <w:r>
        <w:rPr>
          <w:spacing w:val="-3"/>
        </w:rPr>
        <w:t xml:space="preserve"> </w:t>
      </w:r>
      <w:r>
        <w:t>III,</w:t>
      </w:r>
      <w:r>
        <w:rPr>
          <w:spacing w:val="-1"/>
        </w:rPr>
        <w:t xml:space="preserve"> </w:t>
      </w:r>
      <w:r>
        <w:t>cell</w:t>
      </w:r>
      <w:r>
        <w:rPr>
          <w:spacing w:val="-2"/>
        </w:rPr>
        <w:t xml:space="preserve"> </w:t>
      </w:r>
      <w:r>
        <w:t>D24,</w:t>
      </w:r>
      <w:r>
        <w:rPr>
          <w:spacing w:val="-3"/>
        </w:rPr>
        <w:t xml:space="preserve"> </w:t>
      </w:r>
      <w:r>
        <w:t>using</w:t>
      </w:r>
      <w:r>
        <w:rPr>
          <w:spacing w:val="-3"/>
        </w:rPr>
        <w:t xml:space="preserve"> </w:t>
      </w:r>
      <w:r>
        <w:t>the</w:t>
      </w:r>
      <w:r>
        <w:rPr>
          <w:spacing w:val="-3"/>
        </w:rPr>
        <w:t xml:space="preserve"> </w:t>
      </w:r>
      <w:r>
        <w:t>cost</w:t>
      </w:r>
      <w:r>
        <w:rPr>
          <w:spacing w:val="-1"/>
        </w:rPr>
        <w:t xml:space="preserve"> </w:t>
      </w:r>
      <w:r>
        <w:t>sharing</w:t>
      </w:r>
      <w:r>
        <w:rPr>
          <w:spacing w:val="-3"/>
        </w:rPr>
        <w:t xml:space="preserve"> </w:t>
      </w:r>
      <w:r>
        <w:t>structure</w:t>
      </w:r>
      <w:r>
        <w:rPr>
          <w:spacing w:val="-5"/>
        </w:rPr>
        <w:t xml:space="preserve"> </w:t>
      </w:r>
      <w:r>
        <w:t>of</w:t>
      </w:r>
      <w:r>
        <w:rPr>
          <w:spacing w:val="-3"/>
        </w:rPr>
        <w:t xml:space="preserve"> </w:t>
      </w:r>
      <w:r>
        <w:t>the</w:t>
      </w:r>
      <w:r>
        <w:rPr>
          <w:spacing w:val="-5"/>
        </w:rPr>
        <w:t xml:space="preserve"> </w:t>
      </w:r>
      <w:r>
        <w:t>AE,</w:t>
      </w:r>
      <w:r>
        <w:rPr>
          <w:spacing w:val="-3"/>
        </w:rPr>
        <w:t xml:space="preserve"> </w:t>
      </w:r>
      <w:r>
        <w:t xml:space="preserve">BA or EA plan by point-of-sale and type of drug in columns i, j and k, respectively, for each line. Calculate the cost sharing as if there were no deductible and LIS subsidy. These values include changes to utilization patterns based on the difference between DS coverage and the proposed alternative coverage. Exclude claims subject to the deductible, which are reported in line 25. Exclude insulins and vaccines in lines 14 through 21. Report insulins and vaccines in lines 22 and </w:t>
      </w:r>
      <w:r>
        <w:rPr>
          <w:spacing w:val="-4"/>
        </w:rPr>
        <w:t>23.</w:t>
      </w:r>
    </w:p>
    <w:p>
      <w:pPr>
        <w:spacing w:before="241"/>
        <w:ind w:left="440" w:right="0" w:firstLine="0"/>
        <w:jc w:val="left"/>
        <w:rPr>
          <w:rFonts w:ascii="Arial" w:hAnsi="Arial"/>
          <w:b/>
          <w:sz w:val="21"/>
        </w:rPr>
      </w:pPr>
      <w:bookmarkStart w:id="232" w:name="Line 24, columns f through k – Total"/>
      <w:bookmarkEnd w:id="232"/>
      <w:r>
        <w:rPr>
          <w:rFonts w:ascii="Arial" w:hAnsi="Arial"/>
          <w:b/>
          <w:sz w:val="21"/>
        </w:rPr>
        <w:t>Line</w:t>
      </w:r>
      <w:r>
        <w:rPr>
          <w:rFonts w:ascii="Arial" w:hAnsi="Arial"/>
          <w:b/>
          <w:spacing w:val="-4"/>
          <w:sz w:val="21"/>
        </w:rPr>
        <w:t xml:space="preserve"> </w:t>
      </w:r>
      <w:r>
        <w:rPr>
          <w:rFonts w:ascii="Arial" w:hAnsi="Arial"/>
          <w:b/>
          <w:sz w:val="21"/>
        </w:rPr>
        <w:t>24,</w:t>
      </w:r>
      <w:r>
        <w:rPr>
          <w:rFonts w:ascii="Arial" w:hAnsi="Arial"/>
          <w:b/>
          <w:spacing w:val="-5"/>
          <w:sz w:val="21"/>
        </w:rPr>
        <w:t xml:space="preserve"> </w:t>
      </w:r>
      <w:r>
        <w:rPr>
          <w:rFonts w:ascii="Arial" w:hAnsi="Arial"/>
          <w:b/>
          <w:sz w:val="21"/>
        </w:rPr>
        <w:t>columns</w:t>
      </w:r>
      <w:r>
        <w:rPr>
          <w:rFonts w:ascii="Arial" w:hAnsi="Arial"/>
          <w:b/>
          <w:spacing w:val="-3"/>
          <w:sz w:val="21"/>
        </w:rPr>
        <w:t xml:space="preserve"> </w:t>
      </w:r>
      <w:r>
        <w:rPr>
          <w:rFonts w:ascii="Arial" w:hAnsi="Arial"/>
          <w:b/>
          <w:sz w:val="21"/>
        </w:rPr>
        <w:t>f</w:t>
      </w:r>
      <w:r>
        <w:rPr>
          <w:rFonts w:ascii="Arial" w:hAnsi="Arial"/>
          <w:b/>
          <w:spacing w:val="-5"/>
          <w:sz w:val="21"/>
        </w:rPr>
        <w:t xml:space="preserve"> </w:t>
      </w:r>
      <w:r>
        <w:rPr>
          <w:rFonts w:ascii="Arial" w:hAnsi="Arial"/>
          <w:b/>
          <w:sz w:val="21"/>
        </w:rPr>
        <w:t>through</w:t>
      </w:r>
      <w:r>
        <w:rPr>
          <w:rFonts w:ascii="Arial" w:hAnsi="Arial"/>
          <w:b/>
          <w:spacing w:val="-2"/>
          <w:sz w:val="21"/>
        </w:rPr>
        <w:t xml:space="preserve"> </w:t>
      </w:r>
      <w:r>
        <w:rPr>
          <w:rFonts w:ascii="Arial" w:hAnsi="Arial"/>
          <w:b/>
          <w:sz w:val="21"/>
        </w:rPr>
        <w:t>k</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pacing w:val="-4"/>
          <w:sz w:val="21"/>
        </w:rPr>
        <w:t>Total</w:t>
      </w:r>
    </w:p>
    <w:p>
      <w:pPr>
        <w:pStyle w:val="BodyText"/>
        <w:spacing w:before="118"/>
        <w:ind w:left="440" w:right="918"/>
      </w:pPr>
      <w:r>
        <w:t>The</w:t>
      </w:r>
      <w:r>
        <w:rPr>
          <w:spacing w:val="-5"/>
        </w:rPr>
        <w:t xml:space="preserve"> </w:t>
      </w:r>
      <w:r>
        <w:t>values</w:t>
      </w:r>
      <w:r>
        <w:rPr>
          <w:spacing w:val="-3"/>
        </w:rPr>
        <w:t xml:space="preserve"> </w:t>
      </w:r>
      <w:r>
        <w:t>are</w:t>
      </w:r>
      <w:r>
        <w:rPr>
          <w:spacing w:val="-5"/>
        </w:rPr>
        <w:t xml:space="preserve"> </w:t>
      </w:r>
      <w:r>
        <w:t>calculated</w:t>
      </w:r>
      <w:r>
        <w:rPr>
          <w:spacing w:val="-2"/>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3"/>
        </w:rPr>
        <w:t xml:space="preserve"> </w:t>
      </w:r>
      <w:r>
        <w:t>as</w:t>
      </w:r>
      <w:r>
        <w:rPr>
          <w:spacing w:val="-3"/>
        </w:rPr>
        <w:t xml:space="preserve"> </w:t>
      </w:r>
      <w:r>
        <w:t>the</w:t>
      </w:r>
      <w:r>
        <w:rPr>
          <w:spacing w:val="-3"/>
        </w:rPr>
        <w:t xml:space="preserve"> </w:t>
      </w:r>
      <w:r>
        <w:t>sum</w:t>
      </w:r>
      <w:r>
        <w:rPr>
          <w:spacing w:val="-3"/>
        </w:rPr>
        <w:t xml:space="preserve"> </w:t>
      </w:r>
      <w:r>
        <w:t>of</w:t>
      </w:r>
      <w:r>
        <w:rPr>
          <w:spacing w:val="-3"/>
        </w:rPr>
        <w:t xml:space="preserve"> </w:t>
      </w:r>
      <w:r>
        <w:t>lines</w:t>
      </w:r>
      <w:r>
        <w:rPr>
          <w:spacing w:val="-3"/>
        </w:rPr>
        <w:t xml:space="preserve"> </w:t>
      </w:r>
      <w:r>
        <w:t>14</w:t>
      </w:r>
      <w:r>
        <w:rPr>
          <w:spacing w:val="-3"/>
        </w:rPr>
        <w:t xml:space="preserve"> </w:t>
      </w:r>
      <w:r>
        <w:t>through</w:t>
      </w:r>
      <w:r>
        <w:rPr>
          <w:spacing w:val="-3"/>
        </w:rPr>
        <w:t xml:space="preserve"> </w:t>
      </w:r>
      <w:r>
        <w:t>23</w:t>
      </w:r>
      <w:r>
        <w:rPr>
          <w:spacing w:val="-3"/>
        </w:rPr>
        <w:t xml:space="preserve"> </w:t>
      </w:r>
      <w:r>
        <w:t>for each column.</w:t>
      </w:r>
    </w:p>
    <w:p>
      <w:pPr>
        <w:spacing w:before="241"/>
        <w:ind w:left="440" w:right="0" w:firstLine="0"/>
        <w:jc w:val="left"/>
        <w:rPr>
          <w:rFonts w:ascii="Arial" w:hAnsi="Arial"/>
          <w:b/>
          <w:sz w:val="21"/>
        </w:rPr>
      </w:pPr>
      <w:bookmarkStart w:id="233" w:name="Line 25, columns f, g, i and j – Claims "/>
      <w:bookmarkEnd w:id="233"/>
      <w:r>
        <w:rPr>
          <w:rFonts w:ascii="Arial" w:hAnsi="Arial"/>
          <w:b/>
          <w:sz w:val="21"/>
        </w:rPr>
        <w:t>Line</w:t>
      </w:r>
      <w:r>
        <w:rPr>
          <w:rFonts w:ascii="Arial" w:hAnsi="Arial"/>
          <w:b/>
          <w:spacing w:val="-7"/>
          <w:sz w:val="21"/>
        </w:rPr>
        <w:t xml:space="preserve"> </w:t>
      </w:r>
      <w:r>
        <w:rPr>
          <w:rFonts w:ascii="Arial" w:hAnsi="Arial"/>
          <w:b/>
          <w:sz w:val="21"/>
        </w:rPr>
        <w:t>25,</w:t>
      </w:r>
      <w:r>
        <w:rPr>
          <w:rFonts w:ascii="Arial" w:hAnsi="Arial"/>
          <w:b/>
          <w:spacing w:val="-5"/>
          <w:sz w:val="21"/>
        </w:rPr>
        <w:t xml:space="preserve"> </w:t>
      </w:r>
      <w:r>
        <w:rPr>
          <w:rFonts w:ascii="Arial" w:hAnsi="Arial"/>
          <w:b/>
          <w:sz w:val="21"/>
        </w:rPr>
        <w:t>columns</w:t>
      </w:r>
      <w:r>
        <w:rPr>
          <w:rFonts w:ascii="Arial" w:hAnsi="Arial"/>
          <w:b/>
          <w:spacing w:val="-5"/>
          <w:sz w:val="21"/>
        </w:rPr>
        <w:t xml:space="preserve"> </w:t>
      </w:r>
      <w:r>
        <w:rPr>
          <w:rFonts w:ascii="Arial" w:hAnsi="Arial"/>
          <w:b/>
          <w:sz w:val="21"/>
        </w:rPr>
        <w:t>f,</w:t>
      </w:r>
      <w:r>
        <w:rPr>
          <w:rFonts w:ascii="Arial" w:hAnsi="Arial"/>
          <w:b/>
          <w:spacing w:val="-5"/>
          <w:sz w:val="21"/>
        </w:rPr>
        <w:t xml:space="preserve"> </w:t>
      </w:r>
      <w:r>
        <w:rPr>
          <w:rFonts w:ascii="Arial" w:hAnsi="Arial"/>
          <w:b/>
          <w:sz w:val="21"/>
        </w:rPr>
        <w:t>g,</w:t>
      </w:r>
      <w:r>
        <w:rPr>
          <w:rFonts w:ascii="Arial" w:hAnsi="Arial"/>
          <w:b/>
          <w:spacing w:val="-5"/>
          <w:sz w:val="21"/>
        </w:rPr>
        <w:t xml:space="preserve"> </w:t>
      </w:r>
      <w:r>
        <w:rPr>
          <w:rFonts w:ascii="Arial" w:hAnsi="Arial"/>
          <w:b/>
          <w:sz w:val="21"/>
        </w:rPr>
        <w:t>i</w:t>
      </w:r>
      <w:r>
        <w:rPr>
          <w:rFonts w:ascii="Arial" w:hAnsi="Arial"/>
          <w:b/>
          <w:spacing w:val="-6"/>
          <w:sz w:val="21"/>
        </w:rPr>
        <w:t xml:space="preserve"> </w:t>
      </w:r>
      <w:r>
        <w:rPr>
          <w:rFonts w:ascii="Arial" w:hAnsi="Arial"/>
          <w:b/>
          <w:sz w:val="21"/>
        </w:rPr>
        <w:t>and</w:t>
      </w:r>
      <w:r>
        <w:rPr>
          <w:rFonts w:ascii="Arial" w:hAnsi="Arial"/>
          <w:b/>
          <w:spacing w:val="-3"/>
          <w:sz w:val="21"/>
        </w:rPr>
        <w:t xml:space="preserve"> </w:t>
      </w:r>
      <w:r>
        <w:rPr>
          <w:rFonts w:ascii="Arial" w:hAnsi="Arial"/>
          <w:b/>
          <w:sz w:val="21"/>
        </w:rPr>
        <w:t>j</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Claims</w:t>
      </w:r>
      <w:r>
        <w:rPr>
          <w:rFonts w:ascii="Arial" w:hAnsi="Arial"/>
          <w:b/>
          <w:spacing w:val="-7"/>
          <w:sz w:val="21"/>
        </w:rPr>
        <w:t xml:space="preserve"> </w:t>
      </w:r>
      <w:r>
        <w:rPr>
          <w:rFonts w:ascii="Arial" w:hAnsi="Arial"/>
          <w:b/>
          <w:sz w:val="21"/>
        </w:rPr>
        <w:t>Subject</w:t>
      </w:r>
      <w:r>
        <w:rPr>
          <w:rFonts w:ascii="Arial" w:hAnsi="Arial"/>
          <w:b/>
          <w:spacing w:val="-5"/>
          <w:sz w:val="21"/>
        </w:rPr>
        <w:t xml:space="preserve"> </w:t>
      </w:r>
      <w:r>
        <w:rPr>
          <w:rFonts w:ascii="Arial" w:hAnsi="Arial"/>
          <w:b/>
          <w:sz w:val="21"/>
        </w:rPr>
        <w:t>to</w:t>
      </w:r>
      <w:r>
        <w:rPr>
          <w:rFonts w:ascii="Arial" w:hAnsi="Arial"/>
          <w:b/>
          <w:spacing w:val="-7"/>
          <w:sz w:val="21"/>
        </w:rPr>
        <w:t xml:space="preserve"> </w:t>
      </w:r>
      <w:r>
        <w:rPr>
          <w:rFonts w:ascii="Arial" w:hAnsi="Arial"/>
          <w:b/>
          <w:sz w:val="21"/>
        </w:rPr>
        <w:t>Deductible</w:t>
      </w:r>
      <w:r>
        <w:rPr>
          <w:rFonts w:ascii="Arial" w:hAnsi="Arial"/>
          <w:b/>
          <w:spacing w:val="-4"/>
          <w:sz w:val="21"/>
        </w:rPr>
        <w:t xml:space="preserve"> </w:t>
      </w:r>
      <w:r>
        <w:rPr>
          <w:rFonts w:ascii="Arial" w:hAnsi="Arial"/>
          <w:b/>
          <w:sz w:val="21"/>
        </w:rPr>
        <w:t>(&gt;Catastrophic</w:t>
      </w:r>
      <w:r>
        <w:rPr>
          <w:rFonts w:ascii="Arial" w:hAnsi="Arial"/>
          <w:b/>
          <w:spacing w:val="-4"/>
          <w:sz w:val="21"/>
        </w:rPr>
        <w:t xml:space="preserve"> </w:t>
      </w:r>
      <w:r>
        <w:rPr>
          <w:rFonts w:ascii="Arial" w:hAnsi="Arial"/>
          <w:b/>
          <w:spacing w:val="-2"/>
          <w:sz w:val="21"/>
        </w:rPr>
        <w:t>Threshold)</w:t>
      </w:r>
    </w:p>
    <w:p>
      <w:pPr>
        <w:pStyle w:val="BodyText"/>
        <w:ind w:left="440" w:right="478"/>
      </w:pPr>
      <w:r>
        <w:t>For</w:t>
      </w:r>
      <w:r>
        <w:rPr>
          <w:spacing w:val="-3"/>
        </w:rPr>
        <w:t xml:space="preserve"> </w:t>
      </w:r>
      <w:r>
        <w:t>the</w:t>
      </w:r>
      <w:r>
        <w:rPr>
          <w:spacing w:val="-5"/>
        </w:rPr>
        <w:t xml:space="preserve"> </w:t>
      </w:r>
      <w:r>
        <w:t>population</w:t>
      </w:r>
      <w:r>
        <w:rPr>
          <w:spacing w:val="-3"/>
        </w:rPr>
        <w:t xml:space="preserve"> </w:t>
      </w:r>
      <w:r>
        <w:t>with</w:t>
      </w:r>
      <w:r>
        <w:rPr>
          <w:spacing w:val="-3"/>
        </w:rPr>
        <w:t xml:space="preserve"> </w:t>
      </w:r>
      <w:r>
        <w:t>allowed</w:t>
      </w:r>
      <w:r>
        <w:rPr>
          <w:spacing w:val="-3"/>
        </w:rPr>
        <w:t xml:space="preserve"> </w:t>
      </w:r>
      <w:r>
        <w:t>costs</w:t>
      </w:r>
      <w:r>
        <w:rPr>
          <w:spacing w:val="-3"/>
        </w:rPr>
        <w:t xml:space="preserve"> </w:t>
      </w:r>
      <w:r>
        <w:t>greater</w:t>
      </w:r>
      <w:r>
        <w:rPr>
          <w:spacing w:val="-3"/>
        </w:rPr>
        <w:t xml:space="preserve"> </w:t>
      </w:r>
      <w:r>
        <w:t>than</w:t>
      </w:r>
      <w:r>
        <w:rPr>
          <w:spacing w:val="-2"/>
        </w:rPr>
        <w:t xml:space="preserve"> </w:t>
      </w:r>
      <w:r>
        <w:t>the</w:t>
      </w:r>
      <w:r>
        <w:rPr>
          <w:spacing w:val="-3"/>
        </w:rPr>
        <w:t xml:space="preserve"> </w:t>
      </w:r>
      <w:r>
        <w:t>catastrophic</w:t>
      </w:r>
      <w:r>
        <w:rPr>
          <w:spacing w:val="-4"/>
        </w:rPr>
        <w:t xml:space="preserve"> </w:t>
      </w:r>
      <w:r>
        <w:t>threshold,</w:t>
      </w:r>
      <w:r>
        <w:rPr>
          <w:spacing w:val="-3"/>
        </w:rPr>
        <w:t xml:space="preserve"> </w:t>
      </w:r>
      <w:r>
        <w:t>enter</w:t>
      </w:r>
      <w:r>
        <w:rPr>
          <w:spacing w:val="-5"/>
        </w:rPr>
        <w:t xml:space="preserve"> </w:t>
      </w:r>
      <w:r>
        <w:t>the number of scripts that are subject to the deductible in columns f and i.</w:t>
      </w:r>
    </w:p>
    <w:p>
      <w:pPr>
        <w:pStyle w:val="BodyText"/>
        <w:ind w:left="440" w:right="979"/>
      </w:pPr>
      <w:r>
        <w:t>For</w:t>
      </w:r>
      <w:r>
        <w:rPr>
          <w:spacing w:val="-4"/>
        </w:rPr>
        <w:t xml:space="preserve"> </w:t>
      </w:r>
      <w:r>
        <w:t>the</w:t>
      </w:r>
      <w:r>
        <w:rPr>
          <w:spacing w:val="-6"/>
        </w:rPr>
        <w:t xml:space="preserve"> </w:t>
      </w:r>
      <w:r>
        <w:t>population</w:t>
      </w:r>
      <w:r>
        <w:rPr>
          <w:spacing w:val="-4"/>
        </w:rPr>
        <w:t xml:space="preserve"> </w:t>
      </w:r>
      <w:r>
        <w:t>with</w:t>
      </w:r>
      <w:r>
        <w:rPr>
          <w:spacing w:val="-3"/>
        </w:rPr>
        <w:t xml:space="preserve"> </w:t>
      </w:r>
      <w:r>
        <w:t>allowed</w:t>
      </w:r>
      <w:r>
        <w:rPr>
          <w:spacing w:val="-4"/>
        </w:rPr>
        <w:t xml:space="preserve"> </w:t>
      </w:r>
      <w:r>
        <w:t>costs</w:t>
      </w:r>
      <w:r>
        <w:rPr>
          <w:spacing w:val="-3"/>
        </w:rPr>
        <w:t xml:space="preserve"> </w:t>
      </w:r>
      <w:r>
        <w:t>greater</w:t>
      </w:r>
      <w:r>
        <w:rPr>
          <w:spacing w:val="-4"/>
        </w:rPr>
        <w:t xml:space="preserve"> </w:t>
      </w:r>
      <w:r>
        <w:t>than</w:t>
      </w:r>
      <w:r>
        <w:rPr>
          <w:spacing w:val="-2"/>
        </w:rPr>
        <w:t xml:space="preserve"> </w:t>
      </w:r>
      <w:r>
        <w:t>the</w:t>
      </w:r>
      <w:r>
        <w:rPr>
          <w:spacing w:val="-4"/>
        </w:rPr>
        <w:t xml:space="preserve"> </w:t>
      </w:r>
      <w:r>
        <w:t>catastrophic</w:t>
      </w:r>
      <w:r>
        <w:rPr>
          <w:spacing w:val="-5"/>
        </w:rPr>
        <w:t xml:space="preserve"> </w:t>
      </w:r>
      <w:r>
        <w:t>threshold,</w:t>
      </w:r>
      <w:r>
        <w:rPr>
          <w:spacing w:val="-4"/>
        </w:rPr>
        <w:t xml:space="preserve"> </w:t>
      </w:r>
      <w:r>
        <w:t>enter allowed costs that are subject to the deductible in columns g and j.</w:t>
      </w:r>
    </w:p>
    <w:p>
      <w:pPr>
        <w:spacing w:before="241"/>
        <w:ind w:left="440" w:right="0" w:firstLine="0"/>
        <w:jc w:val="left"/>
        <w:rPr>
          <w:rFonts w:ascii="Arial" w:hAnsi="Arial"/>
          <w:b/>
          <w:sz w:val="21"/>
        </w:rPr>
      </w:pPr>
      <w:bookmarkStart w:id="234" w:name="Line 26, columns g and j – Manufacturer "/>
      <w:bookmarkEnd w:id="234"/>
      <w:r>
        <w:rPr>
          <w:rFonts w:ascii="Arial" w:hAnsi="Arial"/>
          <w:b/>
          <w:sz w:val="21"/>
        </w:rPr>
        <w:t>Line</w:t>
      </w:r>
      <w:r>
        <w:rPr>
          <w:rFonts w:ascii="Arial" w:hAnsi="Arial"/>
          <w:b/>
          <w:spacing w:val="-8"/>
          <w:sz w:val="21"/>
        </w:rPr>
        <w:t xml:space="preserve"> </w:t>
      </w:r>
      <w:r>
        <w:rPr>
          <w:rFonts w:ascii="Arial" w:hAnsi="Arial"/>
          <w:b/>
          <w:sz w:val="21"/>
        </w:rPr>
        <w:t>26,</w:t>
      </w:r>
      <w:r>
        <w:rPr>
          <w:rFonts w:ascii="Arial" w:hAnsi="Arial"/>
          <w:b/>
          <w:spacing w:val="-7"/>
          <w:sz w:val="21"/>
        </w:rPr>
        <w:t xml:space="preserve"> </w:t>
      </w:r>
      <w:r>
        <w:rPr>
          <w:rFonts w:ascii="Arial" w:hAnsi="Arial"/>
          <w:b/>
          <w:sz w:val="21"/>
        </w:rPr>
        <w:t>columns</w:t>
      </w:r>
      <w:r>
        <w:rPr>
          <w:rFonts w:ascii="Arial" w:hAnsi="Arial"/>
          <w:b/>
          <w:spacing w:val="-5"/>
          <w:sz w:val="21"/>
        </w:rPr>
        <w:t xml:space="preserve"> </w:t>
      </w:r>
      <w:r>
        <w:rPr>
          <w:rFonts w:ascii="Arial" w:hAnsi="Arial"/>
          <w:b/>
          <w:sz w:val="21"/>
        </w:rPr>
        <w:t>g</w:t>
      </w:r>
      <w:r>
        <w:rPr>
          <w:rFonts w:ascii="Arial" w:hAnsi="Arial"/>
          <w:b/>
          <w:spacing w:val="-5"/>
          <w:sz w:val="21"/>
        </w:rPr>
        <w:t xml:space="preserve"> </w:t>
      </w:r>
      <w:r>
        <w:rPr>
          <w:rFonts w:ascii="Arial" w:hAnsi="Arial"/>
          <w:b/>
          <w:sz w:val="21"/>
        </w:rPr>
        <w:t>and</w:t>
      </w:r>
      <w:r>
        <w:rPr>
          <w:rFonts w:ascii="Arial" w:hAnsi="Arial"/>
          <w:b/>
          <w:spacing w:val="-4"/>
          <w:sz w:val="21"/>
        </w:rPr>
        <w:t xml:space="preserve"> </w:t>
      </w:r>
      <w:r>
        <w:rPr>
          <w:rFonts w:ascii="Arial" w:hAnsi="Arial"/>
          <w:b/>
          <w:sz w:val="21"/>
        </w:rPr>
        <w:t>j</w:t>
      </w:r>
      <w:r>
        <w:rPr>
          <w:rFonts w:ascii="Arial" w:hAnsi="Arial"/>
          <w:b/>
          <w:spacing w:val="-9"/>
          <w:sz w:val="21"/>
        </w:rPr>
        <w:t xml:space="preserve"> </w:t>
      </w:r>
      <w:r>
        <w:rPr>
          <w:rFonts w:ascii="Arial" w:hAnsi="Arial"/>
          <w:b/>
          <w:sz w:val="21"/>
        </w:rPr>
        <w:t>–</w:t>
      </w:r>
      <w:r>
        <w:rPr>
          <w:rFonts w:ascii="Arial" w:hAnsi="Arial"/>
          <w:b/>
          <w:spacing w:val="-5"/>
          <w:sz w:val="21"/>
        </w:rPr>
        <w:t xml:space="preserve"> </w:t>
      </w:r>
      <w:r>
        <w:rPr>
          <w:rFonts w:ascii="Arial" w:hAnsi="Arial"/>
          <w:b/>
          <w:sz w:val="21"/>
        </w:rPr>
        <w:t>Manufacturer</w:t>
      </w:r>
      <w:r>
        <w:rPr>
          <w:rFonts w:ascii="Arial" w:hAnsi="Arial"/>
          <w:b/>
          <w:spacing w:val="-10"/>
          <w:sz w:val="21"/>
        </w:rPr>
        <w:t xml:space="preserve"> </w:t>
      </w:r>
      <w:r>
        <w:rPr>
          <w:rFonts w:ascii="Arial" w:hAnsi="Arial"/>
          <w:b/>
          <w:sz w:val="21"/>
        </w:rPr>
        <w:t>Discount</w:t>
      </w:r>
      <w:r>
        <w:rPr>
          <w:rFonts w:ascii="Arial" w:hAnsi="Arial"/>
          <w:b/>
          <w:spacing w:val="-5"/>
          <w:sz w:val="21"/>
        </w:rPr>
        <w:t xml:space="preserve"> </w:t>
      </w:r>
      <w:r>
        <w:rPr>
          <w:rFonts w:ascii="Arial" w:hAnsi="Arial"/>
          <w:b/>
          <w:sz w:val="21"/>
        </w:rPr>
        <w:t>(&gt;Catastrophic</w:t>
      </w:r>
      <w:r>
        <w:rPr>
          <w:rFonts w:ascii="Arial" w:hAnsi="Arial"/>
          <w:b/>
          <w:spacing w:val="-8"/>
          <w:sz w:val="21"/>
        </w:rPr>
        <w:t xml:space="preserve"> </w:t>
      </w:r>
      <w:r>
        <w:rPr>
          <w:rFonts w:ascii="Arial" w:hAnsi="Arial"/>
          <w:b/>
          <w:spacing w:val="-2"/>
          <w:sz w:val="21"/>
        </w:rPr>
        <w:t>Threshold)</w:t>
      </w:r>
    </w:p>
    <w:p>
      <w:pPr>
        <w:pStyle w:val="BodyText"/>
        <w:spacing w:before="118"/>
        <w:ind w:left="440" w:right="979"/>
      </w:pPr>
      <w:r>
        <w:t>For</w:t>
      </w:r>
      <w:r>
        <w:rPr>
          <w:spacing w:val="-3"/>
        </w:rPr>
        <w:t xml:space="preserve"> </w:t>
      </w:r>
      <w:r>
        <w:t>the</w:t>
      </w:r>
      <w:r>
        <w:rPr>
          <w:spacing w:val="-5"/>
        </w:rPr>
        <w:t xml:space="preserve"> </w:t>
      </w:r>
      <w:r>
        <w:t>population</w:t>
      </w:r>
      <w:r>
        <w:rPr>
          <w:spacing w:val="-3"/>
        </w:rPr>
        <w:t xml:space="preserve"> </w:t>
      </w:r>
      <w:r>
        <w:t>with</w:t>
      </w:r>
      <w:r>
        <w:rPr>
          <w:spacing w:val="-3"/>
        </w:rPr>
        <w:t xml:space="preserve"> </w:t>
      </w:r>
      <w:r>
        <w:t>allowed</w:t>
      </w:r>
      <w:r>
        <w:rPr>
          <w:spacing w:val="-3"/>
        </w:rPr>
        <w:t xml:space="preserve"> </w:t>
      </w:r>
      <w:r>
        <w:t>costs</w:t>
      </w:r>
      <w:r>
        <w:rPr>
          <w:spacing w:val="-2"/>
        </w:rPr>
        <w:t xml:space="preserve"> </w:t>
      </w:r>
      <w:r>
        <w:t>greater</w:t>
      </w:r>
      <w:r>
        <w:rPr>
          <w:spacing w:val="-3"/>
        </w:rPr>
        <w:t xml:space="preserve"> </w:t>
      </w:r>
      <w:r>
        <w:t>than</w:t>
      </w:r>
      <w:r>
        <w:rPr>
          <w:spacing w:val="-2"/>
        </w:rPr>
        <w:t xml:space="preserve"> </w:t>
      </w:r>
      <w:r>
        <w:t>the</w:t>
      </w:r>
      <w:r>
        <w:rPr>
          <w:spacing w:val="-3"/>
        </w:rPr>
        <w:t xml:space="preserve"> </w:t>
      </w:r>
      <w:r>
        <w:t>catastrophic</w:t>
      </w:r>
      <w:r>
        <w:rPr>
          <w:spacing w:val="-4"/>
        </w:rPr>
        <w:t xml:space="preserve"> </w:t>
      </w:r>
      <w:r>
        <w:t>threshold,</w:t>
      </w:r>
      <w:r>
        <w:rPr>
          <w:spacing w:val="-3"/>
        </w:rPr>
        <w:t xml:space="preserve"> </w:t>
      </w:r>
      <w:r>
        <w:t>enter</w:t>
      </w:r>
      <w:r>
        <w:rPr>
          <w:spacing w:val="-4"/>
        </w:rPr>
        <w:t xml:space="preserve"> </w:t>
      </w:r>
      <w:r>
        <w:t xml:space="preserve">the manufacturer discount in columns g and j. This line must also include the subsidy for selected drugs for the population with allowed costs greater than the catastrophic </w:t>
      </w:r>
      <w:r>
        <w:rPr>
          <w:spacing w:val="-2"/>
        </w:rPr>
        <w:t>threshold.</w:t>
      </w:r>
    </w:p>
    <w:p>
      <w:pPr>
        <w:spacing w:before="241"/>
        <w:ind w:left="440" w:right="478" w:firstLine="0"/>
        <w:jc w:val="left"/>
        <w:rPr>
          <w:rFonts w:ascii="Arial" w:hAnsi="Arial"/>
          <w:b/>
          <w:sz w:val="21"/>
        </w:rPr>
      </w:pPr>
      <w:bookmarkStart w:id="235" w:name="Lines 27 through 36 – Amounts Allocated "/>
      <w:bookmarkEnd w:id="235"/>
      <w:r>
        <w:rPr>
          <w:rFonts w:ascii="Arial" w:hAnsi="Arial"/>
          <w:b/>
          <w:sz w:val="21"/>
        </w:rPr>
        <w:t>Lines</w:t>
      </w:r>
      <w:r>
        <w:rPr>
          <w:rFonts w:ascii="Arial" w:hAnsi="Arial"/>
          <w:b/>
          <w:spacing w:val="-3"/>
          <w:sz w:val="21"/>
        </w:rPr>
        <w:t xml:space="preserve"> </w:t>
      </w:r>
      <w:r>
        <w:rPr>
          <w:rFonts w:ascii="Arial" w:hAnsi="Arial"/>
          <w:b/>
          <w:sz w:val="21"/>
        </w:rPr>
        <w:t>27</w:t>
      </w:r>
      <w:r>
        <w:rPr>
          <w:rFonts w:ascii="Arial" w:hAnsi="Arial"/>
          <w:b/>
          <w:spacing w:val="-3"/>
          <w:sz w:val="21"/>
        </w:rPr>
        <w:t xml:space="preserve"> </w:t>
      </w:r>
      <w:r>
        <w:rPr>
          <w:rFonts w:ascii="Arial" w:hAnsi="Arial"/>
          <w:b/>
          <w:sz w:val="21"/>
        </w:rPr>
        <w:t>through</w:t>
      </w:r>
      <w:r>
        <w:rPr>
          <w:rFonts w:ascii="Arial" w:hAnsi="Arial"/>
          <w:b/>
          <w:spacing w:val="-3"/>
          <w:sz w:val="21"/>
        </w:rPr>
        <w:t xml:space="preserve"> </w:t>
      </w:r>
      <w:r>
        <w:rPr>
          <w:rFonts w:ascii="Arial" w:hAnsi="Arial"/>
          <w:b/>
          <w:sz w:val="21"/>
        </w:rPr>
        <w:t>36</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Amounts</w:t>
      </w:r>
      <w:r>
        <w:rPr>
          <w:rFonts w:ascii="Arial" w:hAnsi="Arial"/>
          <w:b/>
          <w:spacing w:val="-6"/>
          <w:sz w:val="21"/>
        </w:rPr>
        <w:t xml:space="preserve"> </w:t>
      </w:r>
      <w:r>
        <w:rPr>
          <w:rFonts w:ascii="Arial" w:hAnsi="Arial"/>
          <w:b/>
          <w:sz w:val="21"/>
        </w:rPr>
        <w:t>Allocated</w:t>
      </w:r>
      <w:r>
        <w:rPr>
          <w:rFonts w:ascii="Arial" w:hAnsi="Arial"/>
          <w:b/>
          <w:spacing w:val="-2"/>
          <w:sz w:val="21"/>
        </w:rPr>
        <w:t xml:space="preserve"> </w:t>
      </w:r>
      <w:r>
        <w:rPr>
          <w:rFonts w:ascii="Arial" w:hAnsi="Arial"/>
          <w:b/>
          <w:sz w:val="21"/>
        </w:rPr>
        <w:t>up</w:t>
      </w:r>
      <w:r>
        <w:rPr>
          <w:rFonts w:ascii="Arial" w:hAnsi="Arial"/>
          <w:b/>
          <w:spacing w:val="-2"/>
          <w:sz w:val="21"/>
        </w:rPr>
        <w:t xml:space="preserve"> </w:t>
      </w:r>
      <w:r>
        <w:rPr>
          <w:rFonts w:ascii="Arial" w:hAnsi="Arial"/>
          <w:b/>
          <w:sz w:val="21"/>
        </w:rPr>
        <w:t>to</w:t>
      </w:r>
      <w:r>
        <w:rPr>
          <w:rFonts w:ascii="Arial" w:hAnsi="Arial"/>
          <w:b/>
          <w:spacing w:val="-2"/>
          <w:sz w:val="21"/>
        </w:rPr>
        <w:t xml:space="preserve"> </w:t>
      </w:r>
      <w:r>
        <w:rPr>
          <w:rFonts w:ascii="Arial" w:hAnsi="Arial"/>
          <w:b/>
          <w:sz w:val="21"/>
        </w:rPr>
        <w:t>the</w:t>
      </w:r>
      <w:r>
        <w:rPr>
          <w:rFonts w:ascii="Arial" w:hAnsi="Arial"/>
          <w:b/>
          <w:spacing w:val="-3"/>
          <w:sz w:val="21"/>
        </w:rPr>
        <w:t xml:space="preserve"> </w:t>
      </w:r>
      <w:r>
        <w:rPr>
          <w:rFonts w:ascii="Arial" w:hAnsi="Arial"/>
          <w:b/>
          <w:sz w:val="21"/>
        </w:rPr>
        <w:t>Catastrophic</w:t>
      </w:r>
      <w:r>
        <w:rPr>
          <w:rFonts w:ascii="Arial" w:hAnsi="Arial"/>
          <w:b/>
          <w:spacing w:val="-6"/>
          <w:sz w:val="21"/>
        </w:rPr>
        <w:t xml:space="preserve"> </w:t>
      </w:r>
      <w:r>
        <w:rPr>
          <w:rFonts w:ascii="Arial" w:hAnsi="Arial"/>
          <w:b/>
          <w:sz w:val="21"/>
        </w:rPr>
        <w:t>Threshold</w:t>
      </w:r>
      <w:r>
        <w:rPr>
          <w:rFonts w:ascii="Arial" w:hAnsi="Arial"/>
          <w:b/>
          <w:spacing w:val="-3"/>
          <w:sz w:val="21"/>
        </w:rPr>
        <w:t xml:space="preserve"> </w:t>
      </w:r>
      <w:r>
        <w:rPr>
          <w:rFonts w:ascii="Arial" w:hAnsi="Arial"/>
          <w:b/>
          <w:sz w:val="21"/>
        </w:rPr>
        <w:t>for</w:t>
      </w:r>
      <w:r>
        <w:rPr>
          <w:rFonts w:ascii="Arial" w:hAnsi="Arial"/>
          <w:b/>
          <w:spacing w:val="-3"/>
          <w:sz w:val="21"/>
        </w:rPr>
        <w:t xml:space="preserve"> </w:t>
      </w:r>
      <w:r>
        <w:rPr>
          <w:rFonts w:ascii="Arial" w:hAnsi="Arial"/>
          <w:b/>
          <w:sz w:val="21"/>
        </w:rPr>
        <w:t>the Population Exceeding the Catastrophic Threshold</w:t>
      </w:r>
    </w:p>
    <w:p>
      <w:pPr>
        <w:pStyle w:val="BodyText"/>
        <w:spacing w:before="121"/>
        <w:ind w:left="440" w:right="979"/>
      </w:pPr>
      <w:r>
        <w:t>All utilization for total allowed costs up to the catastrophic threshold for members with projected</w:t>
      </w:r>
      <w:r>
        <w:rPr>
          <w:spacing w:val="-3"/>
        </w:rPr>
        <w:t xml:space="preserve"> </w:t>
      </w:r>
      <w:r>
        <w:t>total</w:t>
      </w:r>
      <w:r>
        <w:rPr>
          <w:spacing w:val="-3"/>
        </w:rPr>
        <w:t xml:space="preserve"> </w:t>
      </w:r>
      <w:r>
        <w:t>allowed</w:t>
      </w:r>
      <w:r>
        <w:rPr>
          <w:spacing w:val="-2"/>
        </w:rPr>
        <w:t xml:space="preserve"> </w:t>
      </w:r>
      <w:r>
        <w:t>costs</w:t>
      </w:r>
      <w:r>
        <w:rPr>
          <w:spacing w:val="-3"/>
        </w:rPr>
        <w:t xml:space="preserve"> </w:t>
      </w:r>
      <w:r>
        <w:t>greater</w:t>
      </w:r>
      <w:r>
        <w:rPr>
          <w:spacing w:val="-5"/>
        </w:rPr>
        <w:t xml:space="preserve"> </w:t>
      </w:r>
      <w:r>
        <w:t>than</w:t>
      </w:r>
      <w:r>
        <w:rPr>
          <w:spacing w:val="-2"/>
        </w:rPr>
        <w:t xml:space="preserve"> </w:t>
      </w:r>
      <w:r>
        <w:t>the</w:t>
      </w:r>
      <w:r>
        <w:rPr>
          <w:spacing w:val="-4"/>
        </w:rPr>
        <w:t xml:space="preserve"> </w:t>
      </w:r>
      <w:r>
        <w:t>catastrophic</w:t>
      </w:r>
      <w:r>
        <w:rPr>
          <w:spacing w:val="-3"/>
        </w:rPr>
        <w:t xml:space="preserve"> </w:t>
      </w:r>
      <w:r>
        <w:t>threshold</w:t>
      </w:r>
      <w:r>
        <w:rPr>
          <w:spacing w:val="-2"/>
        </w:rPr>
        <w:t xml:space="preserve"> </w:t>
      </w:r>
      <w:r>
        <w:t>must</w:t>
      </w:r>
      <w:r>
        <w:rPr>
          <w:spacing w:val="-3"/>
        </w:rPr>
        <w:t xml:space="preserve"> </w:t>
      </w:r>
      <w:r>
        <w:t>be</w:t>
      </w:r>
      <w:r>
        <w:rPr>
          <w:spacing w:val="-4"/>
        </w:rPr>
        <w:t xml:space="preserve"> </w:t>
      </w:r>
      <w:r>
        <w:t>reported</w:t>
      </w:r>
      <w:r>
        <w:rPr>
          <w:spacing w:val="-3"/>
        </w:rPr>
        <w:t xml:space="preserve"> </w:t>
      </w:r>
      <w:r>
        <w:t>on these lines. These amounts are a subset of the amounts reported in lines 14 through 23.</w:t>
      </w:r>
    </w:p>
    <w:p>
      <w:pPr>
        <w:spacing w:after="0"/>
        <w:sectPr>
          <w:pgSz w:w="12240" w:h="15840"/>
          <w:pgMar w:top="1340" w:right="1000" w:bottom="1080" w:left="1360" w:header="727" w:footer="891"/>
          <w:cols w:space="720"/>
        </w:sectPr>
      </w:pPr>
    </w:p>
    <w:p>
      <w:pPr>
        <w:pStyle w:val="ListParagraph"/>
        <w:numPr>
          <w:ilvl w:val="0"/>
          <w:numId w:val="6"/>
        </w:numPr>
        <w:tabs>
          <w:tab w:val="left" w:pos="1159"/>
        </w:tabs>
        <w:spacing w:before="87" w:after="0" w:line="240" w:lineRule="auto"/>
        <w:ind w:left="1159" w:right="0" w:hanging="359"/>
        <w:jc w:val="left"/>
        <w:rPr>
          <w:rFonts w:ascii="Arial" w:hAnsi="Arial"/>
          <w:b/>
          <w:sz w:val="21"/>
        </w:rPr>
      </w:pPr>
      <w:r>
        <w:rPr>
          <w:rFonts w:ascii="Arial" w:hAnsi="Arial"/>
          <w:b/>
          <w:sz w:val="21"/>
        </w:rPr>
        <w:t>Columns</w:t>
      </w:r>
      <w:r>
        <w:rPr>
          <w:rFonts w:ascii="Arial" w:hAnsi="Arial"/>
          <w:b/>
          <w:spacing w:val="-4"/>
          <w:sz w:val="21"/>
        </w:rPr>
        <w:t xml:space="preserve"> </w:t>
      </w:r>
      <w:r>
        <w:rPr>
          <w:rFonts w:ascii="Arial" w:hAnsi="Arial"/>
          <w:b/>
          <w:sz w:val="21"/>
        </w:rPr>
        <w:t>f</w:t>
      </w:r>
      <w:r>
        <w:rPr>
          <w:rFonts w:ascii="Arial" w:hAnsi="Arial"/>
          <w:b/>
          <w:spacing w:val="-5"/>
          <w:sz w:val="21"/>
        </w:rPr>
        <w:t xml:space="preserve"> </w:t>
      </w:r>
      <w:r>
        <w:rPr>
          <w:rFonts w:ascii="Arial" w:hAnsi="Arial"/>
          <w:b/>
          <w:sz w:val="21"/>
        </w:rPr>
        <w:t>through</w:t>
      </w:r>
      <w:r>
        <w:rPr>
          <w:rFonts w:ascii="Arial" w:hAnsi="Arial"/>
          <w:b/>
          <w:spacing w:val="-6"/>
          <w:sz w:val="21"/>
        </w:rPr>
        <w:t xml:space="preserve"> </w:t>
      </w:r>
      <w:r>
        <w:rPr>
          <w:rFonts w:ascii="Arial" w:hAnsi="Arial"/>
          <w:b/>
          <w:sz w:val="21"/>
        </w:rPr>
        <w:t>h</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Defined</w:t>
      </w:r>
      <w:r>
        <w:rPr>
          <w:rFonts w:ascii="Arial" w:hAnsi="Arial"/>
          <w:b/>
          <w:spacing w:val="-6"/>
          <w:sz w:val="21"/>
        </w:rPr>
        <w:t xml:space="preserve"> </w:t>
      </w:r>
      <w:r>
        <w:rPr>
          <w:rFonts w:ascii="Arial" w:hAnsi="Arial"/>
          <w:b/>
          <w:sz w:val="21"/>
        </w:rPr>
        <w:t>Standard</w:t>
      </w:r>
      <w:r>
        <w:rPr>
          <w:rFonts w:ascii="Arial" w:hAnsi="Arial"/>
          <w:b/>
          <w:spacing w:val="-2"/>
          <w:sz w:val="21"/>
        </w:rPr>
        <w:t xml:space="preserve"> Coverage</w:t>
      </w:r>
    </w:p>
    <w:p>
      <w:pPr>
        <w:pStyle w:val="BodyText"/>
        <w:spacing w:before="121"/>
        <w:ind w:left="1160" w:right="856"/>
      </w:pPr>
      <w:r>
        <w:t>Enter the projected total number of scripts, total allowed dollars, and total standard cost sharing, for amounts allocated up to the catastrophic threshold, for the population identified in Worksheet 3, Section III, cell D24, using the cost sharing</w:t>
      </w:r>
      <w:r>
        <w:rPr>
          <w:spacing w:val="-2"/>
        </w:rPr>
        <w:t xml:space="preserve"> </w:t>
      </w:r>
      <w:r>
        <w:t>structure</w:t>
      </w:r>
      <w:r>
        <w:rPr>
          <w:spacing w:val="-4"/>
        </w:rPr>
        <w:t xml:space="preserve"> </w:t>
      </w:r>
      <w:r>
        <w:t>of</w:t>
      </w:r>
      <w:r>
        <w:rPr>
          <w:spacing w:val="-2"/>
        </w:rPr>
        <w:t xml:space="preserve"> </w:t>
      </w:r>
      <w:r>
        <w:t>the</w:t>
      </w:r>
      <w:r>
        <w:rPr>
          <w:spacing w:val="-4"/>
        </w:rPr>
        <w:t xml:space="preserve"> </w:t>
      </w:r>
      <w:r>
        <w:t>DS</w:t>
      </w:r>
      <w:r>
        <w:rPr>
          <w:spacing w:val="-2"/>
        </w:rPr>
        <w:t xml:space="preserve"> </w:t>
      </w:r>
      <w:r>
        <w:t>plan</w:t>
      </w:r>
      <w:r>
        <w:rPr>
          <w:spacing w:val="-2"/>
        </w:rPr>
        <w:t xml:space="preserve"> </w:t>
      </w:r>
      <w:r>
        <w:t>by</w:t>
      </w:r>
      <w:r>
        <w:rPr>
          <w:spacing w:val="-1"/>
        </w:rPr>
        <w:t xml:space="preserve"> </w:t>
      </w:r>
      <w:r>
        <w:t>point-of-sale</w:t>
      </w:r>
      <w:r>
        <w:rPr>
          <w:spacing w:val="-3"/>
        </w:rPr>
        <w:t xml:space="preserve"> </w:t>
      </w:r>
      <w:r>
        <w:t>and</w:t>
      </w:r>
      <w:r>
        <w:rPr>
          <w:spacing w:val="-2"/>
        </w:rPr>
        <w:t xml:space="preserve"> </w:t>
      </w:r>
      <w:r>
        <w:t>type</w:t>
      </w:r>
      <w:r>
        <w:rPr>
          <w:spacing w:val="-2"/>
        </w:rPr>
        <w:t xml:space="preserve"> </w:t>
      </w:r>
      <w:r>
        <w:t>of</w:t>
      </w:r>
      <w:r>
        <w:rPr>
          <w:spacing w:val="-4"/>
        </w:rPr>
        <w:t xml:space="preserve"> </w:t>
      </w:r>
      <w:r>
        <w:t>drug,</w:t>
      </w:r>
      <w:r>
        <w:rPr>
          <w:spacing w:val="-2"/>
        </w:rPr>
        <w:t xml:space="preserve"> </w:t>
      </w:r>
      <w:r>
        <w:t>in</w:t>
      </w:r>
      <w:r>
        <w:rPr>
          <w:spacing w:val="-2"/>
        </w:rPr>
        <w:t xml:space="preserve"> </w:t>
      </w:r>
      <w:r>
        <w:t>columns</w:t>
      </w:r>
      <w:r>
        <w:rPr>
          <w:spacing w:val="-2"/>
        </w:rPr>
        <w:t xml:space="preserve"> </w:t>
      </w:r>
      <w:r>
        <w:t>f,</w:t>
      </w:r>
      <w:r>
        <w:rPr>
          <w:spacing w:val="-2"/>
        </w:rPr>
        <w:t xml:space="preserve"> </w:t>
      </w:r>
      <w:r>
        <w:t>g and h, respectively, for each line. Calculate the cost sharing as if there were no deductible and LIS subsidy. Exclude claims subject to the deductible, which are reported in line 25. Exclude insulins and vaccines in lines 27 through 34. Report insulins and vaccines in lines 35 and 36.</w:t>
      </w:r>
    </w:p>
    <w:p>
      <w:pPr>
        <w:pStyle w:val="ListParagraph"/>
        <w:numPr>
          <w:ilvl w:val="0"/>
          <w:numId w:val="6"/>
        </w:numPr>
        <w:tabs>
          <w:tab w:val="left" w:pos="1159"/>
        </w:tabs>
        <w:spacing w:before="120" w:after="0" w:line="240" w:lineRule="auto"/>
        <w:ind w:left="1159" w:right="0" w:hanging="359"/>
        <w:jc w:val="left"/>
        <w:rPr>
          <w:rFonts w:ascii="Arial" w:hAnsi="Arial"/>
          <w:b/>
          <w:sz w:val="21"/>
        </w:rPr>
      </w:pPr>
      <w:r>
        <w:rPr>
          <w:rFonts w:ascii="Arial" w:hAnsi="Arial"/>
          <w:b/>
          <w:sz w:val="21"/>
        </w:rPr>
        <w:t>Columns</w:t>
      </w:r>
      <w:r>
        <w:rPr>
          <w:rFonts w:ascii="Arial" w:hAnsi="Arial"/>
          <w:b/>
          <w:spacing w:val="-7"/>
          <w:sz w:val="21"/>
        </w:rPr>
        <w:t xml:space="preserve"> </w:t>
      </w:r>
      <w:r>
        <w:rPr>
          <w:rFonts w:ascii="Arial" w:hAnsi="Arial"/>
          <w:b/>
          <w:sz w:val="21"/>
        </w:rPr>
        <w:t>i</w:t>
      </w:r>
      <w:r>
        <w:rPr>
          <w:rFonts w:ascii="Arial" w:hAnsi="Arial"/>
          <w:b/>
          <w:spacing w:val="-6"/>
          <w:sz w:val="21"/>
        </w:rPr>
        <w:t xml:space="preserve"> </w:t>
      </w:r>
      <w:r>
        <w:rPr>
          <w:rFonts w:ascii="Arial" w:hAnsi="Arial"/>
          <w:b/>
          <w:sz w:val="21"/>
        </w:rPr>
        <w:t>through</w:t>
      </w:r>
      <w:r>
        <w:rPr>
          <w:rFonts w:ascii="Arial" w:hAnsi="Arial"/>
          <w:b/>
          <w:spacing w:val="-4"/>
          <w:sz w:val="21"/>
        </w:rPr>
        <w:t xml:space="preserve"> </w:t>
      </w:r>
      <w:r>
        <w:rPr>
          <w:rFonts w:ascii="Arial" w:hAnsi="Arial"/>
          <w:b/>
          <w:sz w:val="21"/>
        </w:rPr>
        <w:t>k</w:t>
      </w:r>
      <w:r>
        <w:rPr>
          <w:rFonts w:ascii="Arial" w:hAnsi="Arial"/>
          <w:b/>
          <w:spacing w:val="-3"/>
          <w:sz w:val="21"/>
        </w:rPr>
        <w:t xml:space="preserve"> </w:t>
      </w:r>
      <w:r>
        <w:rPr>
          <w:rFonts w:ascii="Arial" w:hAnsi="Arial"/>
          <w:b/>
          <w:sz w:val="21"/>
        </w:rPr>
        <w:t>–</w:t>
      </w:r>
      <w:r>
        <w:rPr>
          <w:rFonts w:ascii="Arial" w:hAnsi="Arial"/>
          <w:b/>
          <w:spacing w:val="-7"/>
          <w:sz w:val="21"/>
        </w:rPr>
        <w:t xml:space="preserve"> </w:t>
      </w:r>
      <w:r>
        <w:rPr>
          <w:rFonts w:ascii="Arial" w:hAnsi="Arial"/>
          <w:b/>
          <w:sz w:val="21"/>
        </w:rPr>
        <w:t>Actuarially</w:t>
      </w:r>
      <w:r>
        <w:rPr>
          <w:rFonts w:ascii="Arial" w:hAnsi="Arial"/>
          <w:b/>
          <w:spacing w:val="-5"/>
          <w:sz w:val="21"/>
        </w:rPr>
        <w:t xml:space="preserve"> </w:t>
      </w:r>
      <w:r>
        <w:rPr>
          <w:rFonts w:ascii="Arial" w:hAnsi="Arial"/>
          <w:b/>
          <w:sz w:val="21"/>
        </w:rPr>
        <w:t>Equivalent</w:t>
      </w:r>
      <w:r>
        <w:rPr>
          <w:rFonts w:ascii="Arial" w:hAnsi="Arial"/>
          <w:b/>
          <w:spacing w:val="-5"/>
          <w:sz w:val="21"/>
        </w:rPr>
        <w:t xml:space="preserve"> </w:t>
      </w:r>
      <w:r>
        <w:rPr>
          <w:rFonts w:ascii="Arial" w:hAnsi="Arial"/>
          <w:b/>
          <w:sz w:val="21"/>
        </w:rPr>
        <w:t>or</w:t>
      </w:r>
      <w:r>
        <w:rPr>
          <w:rFonts w:ascii="Arial" w:hAnsi="Arial"/>
          <w:b/>
          <w:spacing w:val="-8"/>
          <w:sz w:val="21"/>
        </w:rPr>
        <w:t xml:space="preserve"> </w:t>
      </w:r>
      <w:r>
        <w:rPr>
          <w:rFonts w:ascii="Arial" w:hAnsi="Arial"/>
          <w:b/>
          <w:sz w:val="21"/>
        </w:rPr>
        <w:t>Alternative</w:t>
      </w:r>
      <w:r>
        <w:rPr>
          <w:rFonts w:ascii="Arial" w:hAnsi="Arial"/>
          <w:b/>
          <w:spacing w:val="-4"/>
          <w:sz w:val="21"/>
        </w:rPr>
        <w:t xml:space="preserve"> </w:t>
      </w:r>
      <w:r>
        <w:rPr>
          <w:rFonts w:ascii="Arial" w:hAnsi="Arial"/>
          <w:b/>
          <w:spacing w:val="-2"/>
          <w:sz w:val="21"/>
        </w:rPr>
        <w:t>Benefits</w:t>
      </w:r>
    </w:p>
    <w:p>
      <w:pPr>
        <w:pStyle w:val="BodyText"/>
        <w:spacing w:before="118"/>
        <w:ind w:left="1160" w:right="813"/>
      </w:pPr>
      <w:r>
        <w:t>When the plan benefit type is AE, BA or EA, enter the projected total number of scripts,</w:t>
      </w:r>
      <w:r>
        <w:rPr>
          <w:spacing w:val="-4"/>
        </w:rPr>
        <w:t xml:space="preserve"> </w:t>
      </w:r>
      <w:r>
        <w:t>total</w:t>
      </w:r>
      <w:r>
        <w:rPr>
          <w:spacing w:val="-4"/>
        </w:rPr>
        <w:t xml:space="preserve"> </w:t>
      </w:r>
      <w:r>
        <w:t>allowed</w:t>
      </w:r>
      <w:r>
        <w:rPr>
          <w:spacing w:val="-4"/>
        </w:rPr>
        <w:t xml:space="preserve"> </w:t>
      </w:r>
      <w:r>
        <w:t>dollars</w:t>
      </w:r>
      <w:r>
        <w:rPr>
          <w:spacing w:val="-4"/>
        </w:rPr>
        <w:t xml:space="preserve"> </w:t>
      </w:r>
      <w:r>
        <w:t>and</w:t>
      </w:r>
      <w:r>
        <w:rPr>
          <w:spacing w:val="-4"/>
        </w:rPr>
        <w:t xml:space="preserve"> </w:t>
      </w:r>
      <w:r>
        <w:t>total</w:t>
      </w:r>
      <w:r>
        <w:rPr>
          <w:spacing w:val="-4"/>
        </w:rPr>
        <w:t xml:space="preserve"> </w:t>
      </w:r>
      <w:r>
        <w:t>cost</w:t>
      </w:r>
      <w:r>
        <w:rPr>
          <w:spacing w:val="-4"/>
        </w:rPr>
        <w:t xml:space="preserve"> </w:t>
      </w:r>
      <w:r>
        <w:t>sharing,</w:t>
      </w:r>
      <w:r>
        <w:rPr>
          <w:spacing w:val="-2"/>
        </w:rPr>
        <w:t xml:space="preserve"> </w:t>
      </w:r>
      <w:r>
        <w:t>for</w:t>
      </w:r>
      <w:r>
        <w:rPr>
          <w:spacing w:val="-6"/>
        </w:rPr>
        <w:t xml:space="preserve"> </w:t>
      </w:r>
      <w:r>
        <w:t>amounts</w:t>
      </w:r>
      <w:r>
        <w:rPr>
          <w:spacing w:val="-4"/>
        </w:rPr>
        <w:t xml:space="preserve"> </w:t>
      </w:r>
      <w:r>
        <w:t>allocated</w:t>
      </w:r>
      <w:r>
        <w:rPr>
          <w:spacing w:val="-4"/>
        </w:rPr>
        <w:t xml:space="preserve"> </w:t>
      </w:r>
      <w:r>
        <w:t>up</w:t>
      </w:r>
      <w:r>
        <w:rPr>
          <w:spacing w:val="-3"/>
        </w:rPr>
        <w:t xml:space="preserve"> </w:t>
      </w:r>
      <w:r>
        <w:t>to</w:t>
      </w:r>
      <w:r>
        <w:rPr>
          <w:spacing w:val="-4"/>
        </w:rPr>
        <w:t xml:space="preserve"> </w:t>
      </w:r>
      <w:r>
        <w:t>the catastrophic threshold, for the population identified in Worksheet 3, Section III, cell D24, using the cost sharing structure of the AE, BA or EA plan by point-of- sale and type of drug, in columns i, j and k, respectively, for each line. Calculate the cost sharing as if there were no deductible and LIS subsidy. These values include changes to utilization patterns based on the difference between</w:t>
      </w:r>
    </w:p>
    <w:p>
      <w:pPr>
        <w:pStyle w:val="BodyText"/>
        <w:spacing w:before="1"/>
        <w:ind w:left="1160" w:right="856"/>
      </w:pPr>
      <w:r>
        <w:t>DS</w:t>
      </w:r>
      <w:r>
        <w:rPr>
          <w:spacing w:val="-4"/>
        </w:rPr>
        <w:t xml:space="preserve"> </w:t>
      </w:r>
      <w:r>
        <w:t>coverage</w:t>
      </w:r>
      <w:r>
        <w:rPr>
          <w:spacing w:val="-5"/>
        </w:rPr>
        <w:t xml:space="preserve"> </w:t>
      </w:r>
      <w:r>
        <w:t>and</w:t>
      </w:r>
      <w:r>
        <w:rPr>
          <w:spacing w:val="-4"/>
        </w:rPr>
        <w:t xml:space="preserve"> </w:t>
      </w:r>
      <w:r>
        <w:t>the</w:t>
      </w:r>
      <w:r>
        <w:rPr>
          <w:spacing w:val="-4"/>
        </w:rPr>
        <w:t xml:space="preserve"> </w:t>
      </w:r>
      <w:r>
        <w:t>proposed</w:t>
      </w:r>
      <w:r>
        <w:rPr>
          <w:spacing w:val="-4"/>
        </w:rPr>
        <w:t xml:space="preserve"> </w:t>
      </w:r>
      <w:r>
        <w:t>alternative</w:t>
      </w:r>
      <w:r>
        <w:rPr>
          <w:spacing w:val="-3"/>
        </w:rPr>
        <w:t xml:space="preserve"> </w:t>
      </w:r>
      <w:r>
        <w:t>coverage.</w:t>
      </w:r>
      <w:r>
        <w:rPr>
          <w:spacing w:val="-4"/>
        </w:rPr>
        <w:t xml:space="preserve"> </w:t>
      </w:r>
      <w:r>
        <w:t>Exclude</w:t>
      </w:r>
      <w:r>
        <w:rPr>
          <w:spacing w:val="-4"/>
        </w:rPr>
        <w:t xml:space="preserve"> </w:t>
      </w:r>
      <w:r>
        <w:t>claims</w:t>
      </w:r>
      <w:r>
        <w:rPr>
          <w:spacing w:val="-4"/>
        </w:rPr>
        <w:t xml:space="preserve"> </w:t>
      </w:r>
      <w:r>
        <w:t>subject</w:t>
      </w:r>
      <w:r>
        <w:rPr>
          <w:spacing w:val="-4"/>
        </w:rPr>
        <w:t xml:space="preserve"> </w:t>
      </w:r>
      <w:r>
        <w:t>to</w:t>
      </w:r>
      <w:r>
        <w:rPr>
          <w:spacing w:val="-4"/>
        </w:rPr>
        <w:t xml:space="preserve"> </w:t>
      </w:r>
      <w:r>
        <w:t>the deductible, which are reported in line 25. Exclude insulins and vaccines in lines 27 through 34. Report insulins and vaccines in lines 35 and 36. Exclude costs above the catastrophic threshold in lines 27 through 36. Report any costs above the catastrophic threshold in line 39.</w:t>
      </w:r>
    </w:p>
    <w:p>
      <w:pPr>
        <w:spacing w:before="241"/>
        <w:ind w:left="440" w:right="0" w:firstLine="0"/>
        <w:jc w:val="left"/>
        <w:rPr>
          <w:rFonts w:ascii="Arial" w:hAnsi="Arial"/>
          <w:b/>
          <w:sz w:val="21"/>
        </w:rPr>
      </w:pPr>
      <w:bookmarkStart w:id="236" w:name="Line 37, columns f through k – Total"/>
      <w:bookmarkEnd w:id="236"/>
      <w:r>
        <w:rPr>
          <w:rFonts w:ascii="Arial" w:hAnsi="Arial"/>
          <w:b/>
          <w:sz w:val="21"/>
        </w:rPr>
        <w:t>Line</w:t>
      </w:r>
      <w:r>
        <w:rPr>
          <w:rFonts w:ascii="Arial" w:hAnsi="Arial"/>
          <w:b/>
          <w:spacing w:val="-4"/>
          <w:sz w:val="21"/>
        </w:rPr>
        <w:t xml:space="preserve"> </w:t>
      </w:r>
      <w:r>
        <w:rPr>
          <w:rFonts w:ascii="Arial" w:hAnsi="Arial"/>
          <w:b/>
          <w:sz w:val="21"/>
        </w:rPr>
        <w:t>37,</w:t>
      </w:r>
      <w:r>
        <w:rPr>
          <w:rFonts w:ascii="Arial" w:hAnsi="Arial"/>
          <w:b/>
          <w:spacing w:val="-5"/>
          <w:sz w:val="21"/>
        </w:rPr>
        <w:t xml:space="preserve"> </w:t>
      </w:r>
      <w:r>
        <w:rPr>
          <w:rFonts w:ascii="Arial" w:hAnsi="Arial"/>
          <w:b/>
          <w:sz w:val="21"/>
        </w:rPr>
        <w:t>columns</w:t>
      </w:r>
      <w:r>
        <w:rPr>
          <w:rFonts w:ascii="Arial" w:hAnsi="Arial"/>
          <w:b/>
          <w:spacing w:val="-3"/>
          <w:sz w:val="21"/>
        </w:rPr>
        <w:t xml:space="preserve"> </w:t>
      </w:r>
      <w:r>
        <w:rPr>
          <w:rFonts w:ascii="Arial" w:hAnsi="Arial"/>
          <w:b/>
          <w:sz w:val="21"/>
        </w:rPr>
        <w:t>f</w:t>
      </w:r>
      <w:r>
        <w:rPr>
          <w:rFonts w:ascii="Arial" w:hAnsi="Arial"/>
          <w:b/>
          <w:spacing w:val="-5"/>
          <w:sz w:val="21"/>
        </w:rPr>
        <w:t xml:space="preserve"> </w:t>
      </w:r>
      <w:r>
        <w:rPr>
          <w:rFonts w:ascii="Arial" w:hAnsi="Arial"/>
          <w:b/>
          <w:sz w:val="21"/>
        </w:rPr>
        <w:t>through</w:t>
      </w:r>
      <w:r>
        <w:rPr>
          <w:rFonts w:ascii="Arial" w:hAnsi="Arial"/>
          <w:b/>
          <w:spacing w:val="-2"/>
          <w:sz w:val="21"/>
        </w:rPr>
        <w:t xml:space="preserve"> </w:t>
      </w:r>
      <w:r>
        <w:rPr>
          <w:rFonts w:ascii="Arial" w:hAnsi="Arial"/>
          <w:b/>
          <w:sz w:val="21"/>
        </w:rPr>
        <w:t>k</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pacing w:val="-4"/>
          <w:sz w:val="21"/>
        </w:rPr>
        <w:t>Total</w:t>
      </w:r>
    </w:p>
    <w:p>
      <w:pPr>
        <w:pStyle w:val="BodyText"/>
        <w:spacing w:before="121"/>
        <w:ind w:left="440" w:right="918"/>
      </w:pPr>
      <w:r>
        <w:t>The</w:t>
      </w:r>
      <w:r>
        <w:rPr>
          <w:spacing w:val="-5"/>
        </w:rPr>
        <w:t xml:space="preserve"> </w:t>
      </w:r>
      <w:r>
        <w:t>values</w:t>
      </w:r>
      <w:r>
        <w:rPr>
          <w:spacing w:val="-3"/>
        </w:rPr>
        <w:t xml:space="preserve"> </w:t>
      </w:r>
      <w:r>
        <w:t>are</w:t>
      </w:r>
      <w:r>
        <w:rPr>
          <w:spacing w:val="-5"/>
        </w:rPr>
        <w:t xml:space="preserve"> </w:t>
      </w:r>
      <w:r>
        <w:t>calculated</w:t>
      </w:r>
      <w:r>
        <w:rPr>
          <w:spacing w:val="-2"/>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3"/>
        </w:rPr>
        <w:t xml:space="preserve"> </w:t>
      </w:r>
      <w:r>
        <w:t>as</w:t>
      </w:r>
      <w:r>
        <w:rPr>
          <w:spacing w:val="-3"/>
        </w:rPr>
        <w:t xml:space="preserve"> </w:t>
      </w:r>
      <w:r>
        <w:t>the</w:t>
      </w:r>
      <w:r>
        <w:rPr>
          <w:spacing w:val="-3"/>
        </w:rPr>
        <w:t xml:space="preserve"> </w:t>
      </w:r>
      <w:r>
        <w:t>sum</w:t>
      </w:r>
      <w:r>
        <w:rPr>
          <w:spacing w:val="-3"/>
        </w:rPr>
        <w:t xml:space="preserve"> </w:t>
      </w:r>
      <w:r>
        <w:t>of</w:t>
      </w:r>
      <w:r>
        <w:rPr>
          <w:spacing w:val="-3"/>
        </w:rPr>
        <w:t xml:space="preserve"> </w:t>
      </w:r>
      <w:r>
        <w:t>lines 27</w:t>
      </w:r>
      <w:r>
        <w:rPr>
          <w:spacing w:val="-3"/>
        </w:rPr>
        <w:t xml:space="preserve"> </w:t>
      </w:r>
      <w:r>
        <w:t>through</w:t>
      </w:r>
      <w:r>
        <w:rPr>
          <w:spacing w:val="-3"/>
        </w:rPr>
        <w:t xml:space="preserve"> </w:t>
      </w:r>
      <w:r>
        <w:t>36</w:t>
      </w:r>
      <w:r>
        <w:rPr>
          <w:spacing w:val="-3"/>
        </w:rPr>
        <w:t xml:space="preserve"> </w:t>
      </w:r>
      <w:r>
        <w:t>for each column.</w:t>
      </w:r>
    </w:p>
    <w:p>
      <w:pPr>
        <w:spacing w:before="238"/>
        <w:ind w:left="440" w:right="478" w:firstLine="0"/>
        <w:jc w:val="left"/>
        <w:rPr>
          <w:rFonts w:ascii="Arial" w:hAnsi="Arial"/>
          <w:b/>
          <w:sz w:val="21"/>
        </w:rPr>
      </w:pPr>
      <w:bookmarkStart w:id="237" w:name="Line 38, columns g and j – Manufacturer "/>
      <w:bookmarkEnd w:id="237"/>
      <w:r>
        <w:rPr>
          <w:rFonts w:ascii="Arial" w:hAnsi="Arial"/>
          <w:b/>
          <w:sz w:val="21"/>
        </w:rPr>
        <w:t>Line 38, columns g and j – Manufacturer Discount (Amounts Allocated up to the Catastrophic</w:t>
      </w:r>
      <w:r>
        <w:rPr>
          <w:rFonts w:ascii="Arial" w:hAnsi="Arial"/>
          <w:b/>
          <w:spacing w:val="-7"/>
          <w:sz w:val="21"/>
        </w:rPr>
        <w:t xml:space="preserve"> </w:t>
      </w:r>
      <w:r>
        <w:rPr>
          <w:rFonts w:ascii="Arial" w:hAnsi="Arial"/>
          <w:b/>
          <w:sz w:val="21"/>
        </w:rPr>
        <w:t>Threshold</w:t>
      </w:r>
      <w:r>
        <w:rPr>
          <w:rFonts w:ascii="Arial" w:hAnsi="Arial"/>
          <w:b/>
          <w:spacing w:val="-5"/>
          <w:sz w:val="21"/>
        </w:rPr>
        <w:t xml:space="preserve"> </w:t>
      </w:r>
      <w:r>
        <w:rPr>
          <w:rFonts w:ascii="Arial" w:hAnsi="Arial"/>
          <w:b/>
          <w:sz w:val="21"/>
        </w:rPr>
        <w:t>for</w:t>
      </w:r>
      <w:r>
        <w:rPr>
          <w:rFonts w:ascii="Arial" w:hAnsi="Arial"/>
          <w:b/>
          <w:spacing w:val="-4"/>
          <w:sz w:val="21"/>
        </w:rPr>
        <w:t xml:space="preserve"> </w:t>
      </w:r>
      <w:r>
        <w:rPr>
          <w:rFonts w:ascii="Arial" w:hAnsi="Arial"/>
          <w:b/>
          <w:sz w:val="21"/>
        </w:rPr>
        <w:t>the</w:t>
      </w:r>
      <w:r>
        <w:rPr>
          <w:rFonts w:ascii="Arial" w:hAnsi="Arial"/>
          <w:b/>
          <w:spacing w:val="-4"/>
          <w:sz w:val="21"/>
        </w:rPr>
        <w:t xml:space="preserve"> </w:t>
      </w:r>
      <w:r>
        <w:rPr>
          <w:rFonts w:ascii="Arial" w:hAnsi="Arial"/>
          <w:b/>
          <w:sz w:val="21"/>
        </w:rPr>
        <w:t>Population</w:t>
      </w:r>
      <w:r>
        <w:rPr>
          <w:rFonts w:ascii="Arial" w:hAnsi="Arial"/>
          <w:b/>
          <w:spacing w:val="-6"/>
          <w:sz w:val="21"/>
        </w:rPr>
        <w:t xml:space="preserve"> </w:t>
      </w:r>
      <w:r>
        <w:rPr>
          <w:rFonts w:ascii="Arial" w:hAnsi="Arial"/>
          <w:b/>
          <w:sz w:val="21"/>
        </w:rPr>
        <w:t>Exceeding</w:t>
      </w:r>
      <w:r>
        <w:rPr>
          <w:rFonts w:ascii="Arial" w:hAnsi="Arial"/>
          <w:b/>
          <w:spacing w:val="-3"/>
          <w:sz w:val="21"/>
        </w:rPr>
        <w:t xml:space="preserve"> </w:t>
      </w:r>
      <w:r>
        <w:rPr>
          <w:rFonts w:ascii="Arial" w:hAnsi="Arial"/>
          <w:b/>
          <w:sz w:val="21"/>
        </w:rPr>
        <w:t>the</w:t>
      </w:r>
      <w:r>
        <w:rPr>
          <w:rFonts w:ascii="Arial" w:hAnsi="Arial"/>
          <w:b/>
          <w:spacing w:val="-6"/>
          <w:sz w:val="21"/>
        </w:rPr>
        <w:t xml:space="preserve"> </w:t>
      </w:r>
      <w:r>
        <w:rPr>
          <w:rFonts w:ascii="Arial" w:hAnsi="Arial"/>
          <w:b/>
          <w:sz w:val="21"/>
        </w:rPr>
        <w:t>Catastrophic</w:t>
      </w:r>
      <w:r>
        <w:rPr>
          <w:rFonts w:ascii="Arial" w:hAnsi="Arial"/>
          <w:b/>
          <w:spacing w:val="-7"/>
          <w:sz w:val="21"/>
        </w:rPr>
        <w:t xml:space="preserve"> </w:t>
      </w:r>
      <w:r>
        <w:rPr>
          <w:rFonts w:ascii="Arial" w:hAnsi="Arial"/>
          <w:b/>
          <w:sz w:val="21"/>
        </w:rPr>
        <w:t>Threshold)</w:t>
      </w:r>
    </w:p>
    <w:p>
      <w:pPr>
        <w:pStyle w:val="BodyText"/>
        <w:spacing w:before="121"/>
        <w:ind w:left="440" w:right="918"/>
      </w:pPr>
      <w:r>
        <w:t>The</w:t>
      </w:r>
      <w:r>
        <w:rPr>
          <w:spacing w:val="-5"/>
        </w:rPr>
        <w:t xml:space="preserve"> </w:t>
      </w:r>
      <w:r>
        <w:t>value</w:t>
      </w:r>
      <w:r>
        <w:rPr>
          <w:spacing w:val="-4"/>
        </w:rPr>
        <w:t xml:space="preserve"> </w:t>
      </w:r>
      <w:r>
        <w:t>for</w:t>
      </w:r>
      <w:r>
        <w:rPr>
          <w:spacing w:val="-3"/>
        </w:rPr>
        <w:t xml:space="preserve"> </w:t>
      </w:r>
      <w:r>
        <w:t>column</w:t>
      </w:r>
      <w:r>
        <w:rPr>
          <w:spacing w:val="-3"/>
        </w:rPr>
        <w:t xml:space="preserve"> </w:t>
      </w:r>
      <w:r>
        <w:t>g</w:t>
      </w:r>
      <w:r>
        <w:rPr>
          <w:spacing w:val="-3"/>
        </w:rPr>
        <w:t xml:space="preserve"> </w:t>
      </w:r>
      <w:r>
        <w:t>is</w:t>
      </w:r>
      <w:r>
        <w:rPr>
          <w:spacing w:val="-2"/>
        </w:rPr>
        <w:t xml:space="preserve"> </w:t>
      </w:r>
      <w:r>
        <w:t>calculated</w:t>
      </w:r>
      <w:r>
        <w:rPr>
          <w:spacing w:val="-2"/>
        </w:rPr>
        <w:t xml:space="preserve"> </w:t>
      </w:r>
      <w:r>
        <w:t>automatically</w:t>
      </w:r>
      <w:r>
        <w:rPr>
          <w:spacing w:val="-3"/>
        </w:rPr>
        <w:t xml:space="preserve"> </w:t>
      </w:r>
      <w:r>
        <w:t>in</w:t>
      </w:r>
      <w:r>
        <w:rPr>
          <w:spacing w:val="-3"/>
        </w:rPr>
        <w:t xml:space="preserve"> </w:t>
      </w:r>
      <w:r>
        <w:t>the</w:t>
      </w:r>
      <w:r>
        <w:rPr>
          <w:spacing w:val="-4"/>
        </w:rPr>
        <w:t xml:space="preserve"> </w:t>
      </w:r>
      <w:r>
        <w:t>BPT</w:t>
      </w:r>
      <w:r>
        <w:rPr>
          <w:spacing w:val="-3"/>
        </w:rPr>
        <w:t xml:space="preserve"> </w:t>
      </w:r>
      <w:r>
        <w:t>as</w:t>
      </w:r>
      <w:r>
        <w:rPr>
          <w:spacing w:val="-3"/>
        </w:rPr>
        <w:t xml:space="preserve"> </w:t>
      </w:r>
      <w:r>
        <w:t>the</w:t>
      </w:r>
      <w:r>
        <w:rPr>
          <w:spacing w:val="-3"/>
        </w:rPr>
        <w:t xml:space="preserve"> </w:t>
      </w:r>
      <w:r>
        <w:t>difference</w:t>
      </w:r>
      <w:r>
        <w:rPr>
          <w:spacing w:val="-4"/>
        </w:rPr>
        <w:t xml:space="preserve"> </w:t>
      </w:r>
      <w:r>
        <w:t>between line 26 and line 40.</w:t>
      </w:r>
    </w:p>
    <w:p>
      <w:pPr>
        <w:pStyle w:val="BodyText"/>
        <w:ind w:left="440" w:right="918"/>
      </w:pPr>
      <w:r>
        <w:t>When the plan benefit type is AE, BA or EA, enter the manufacturer discount for amounts</w:t>
      </w:r>
      <w:r>
        <w:rPr>
          <w:spacing w:val="-3"/>
        </w:rPr>
        <w:t xml:space="preserve"> </w:t>
      </w:r>
      <w:r>
        <w:t>allocated</w:t>
      </w:r>
      <w:r>
        <w:rPr>
          <w:spacing w:val="-3"/>
        </w:rPr>
        <w:t xml:space="preserve"> </w:t>
      </w:r>
      <w:r>
        <w:t>up</w:t>
      </w:r>
      <w:r>
        <w:rPr>
          <w:spacing w:val="-3"/>
        </w:rPr>
        <w:t xml:space="preserve"> </w:t>
      </w:r>
      <w:r>
        <w:t>to</w:t>
      </w:r>
      <w:r>
        <w:rPr>
          <w:spacing w:val="-3"/>
        </w:rPr>
        <w:t xml:space="preserve"> </w:t>
      </w:r>
      <w:r>
        <w:t>the</w:t>
      </w:r>
      <w:r>
        <w:rPr>
          <w:spacing w:val="-3"/>
        </w:rPr>
        <w:t xml:space="preserve"> </w:t>
      </w:r>
      <w:r>
        <w:t>catastrophic</w:t>
      </w:r>
      <w:r>
        <w:rPr>
          <w:spacing w:val="-4"/>
        </w:rPr>
        <w:t xml:space="preserve"> </w:t>
      </w:r>
      <w:r>
        <w:t>threshold,</w:t>
      </w:r>
      <w:r>
        <w:rPr>
          <w:spacing w:val="-3"/>
        </w:rPr>
        <w:t xml:space="preserve"> </w:t>
      </w:r>
      <w:r>
        <w:t>for</w:t>
      </w:r>
      <w:r>
        <w:rPr>
          <w:spacing w:val="-5"/>
        </w:rPr>
        <w:t xml:space="preserve"> </w:t>
      </w:r>
      <w:r>
        <w:t>the</w:t>
      </w:r>
      <w:r>
        <w:rPr>
          <w:spacing w:val="-4"/>
        </w:rPr>
        <w:t xml:space="preserve"> </w:t>
      </w:r>
      <w:r>
        <w:t>population</w:t>
      </w:r>
      <w:r>
        <w:rPr>
          <w:spacing w:val="-3"/>
        </w:rPr>
        <w:t xml:space="preserve"> </w:t>
      </w:r>
      <w:r>
        <w:t>with</w:t>
      </w:r>
      <w:r>
        <w:rPr>
          <w:spacing w:val="-3"/>
        </w:rPr>
        <w:t xml:space="preserve"> </w:t>
      </w:r>
      <w:r>
        <w:t>allowed</w:t>
      </w:r>
      <w:r>
        <w:rPr>
          <w:spacing w:val="-3"/>
        </w:rPr>
        <w:t xml:space="preserve"> </w:t>
      </w:r>
      <w:r>
        <w:t>costs greater than the catastrophic threshold, in column j. This line must also include the subsidy for selected drugs for the population with allowed costs greater than the catastrophic threshold.</w:t>
      </w:r>
    </w:p>
    <w:p>
      <w:pPr>
        <w:spacing w:before="241"/>
        <w:ind w:left="440" w:right="0" w:firstLine="0"/>
        <w:jc w:val="left"/>
        <w:rPr>
          <w:rFonts w:ascii="Arial" w:hAnsi="Arial"/>
          <w:b/>
          <w:sz w:val="21"/>
        </w:rPr>
      </w:pPr>
      <w:bookmarkStart w:id="238" w:name="Line 39, columns f, g, i and j – Amounts"/>
      <w:bookmarkEnd w:id="238"/>
      <w:r>
        <w:rPr>
          <w:rFonts w:ascii="Arial" w:hAnsi="Arial"/>
          <w:b/>
          <w:sz w:val="21"/>
        </w:rPr>
        <w:t>Line</w:t>
      </w:r>
      <w:r>
        <w:rPr>
          <w:rFonts w:ascii="Arial" w:hAnsi="Arial"/>
          <w:b/>
          <w:spacing w:val="-7"/>
          <w:sz w:val="21"/>
        </w:rPr>
        <w:t xml:space="preserve"> </w:t>
      </w:r>
      <w:r>
        <w:rPr>
          <w:rFonts w:ascii="Arial" w:hAnsi="Arial"/>
          <w:b/>
          <w:sz w:val="21"/>
        </w:rPr>
        <w:t>39,</w:t>
      </w:r>
      <w:r>
        <w:rPr>
          <w:rFonts w:ascii="Arial" w:hAnsi="Arial"/>
          <w:b/>
          <w:spacing w:val="-5"/>
          <w:sz w:val="21"/>
        </w:rPr>
        <w:t xml:space="preserve"> </w:t>
      </w:r>
      <w:r>
        <w:rPr>
          <w:rFonts w:ascii="Arial" w:hAnsi="Arial"/>
          <w:b/>
          <w:sz w:val="21"/>
        </w:rPr>
        <w:t>columns</w:t>
      </w:r>
      <w:r>
        <w:rPr>
          <w:rFonts w:ascii="Arial" w:hAnsi="Arial"/>
          <w:b/>
          <w:spacing w:val="-5"/>
          <w:sz w:val="21"/>
        </w:rPr>
        <w:t xml:space="preserve"> </w:t>
      </w:r>
      <w:r>
        <w:rPr>
          <w:rFonts w:ascii="Arial" w:hAnsi="Arial"/>
          <w:b/>
          <w:sz w:val="21"/>
        </w:rPr>
        <w:t>f,</w:t>
      </w:r>
      <w:r>
        <w:rPr>
          <w:rFonts w:ascii="Arial" w:hAnsi="Arial"/>
          <w:b/>
          <w:spacing w:val="-5"/>
          <w:sz w:val="21"/>
        </w:rPr>
        <w:t xml:space="preserve"> </w:t>
      </w:r>
      <w:r>
        <w:rPr>
          <w:rFonts w:ascii="Arial" w:hAnsi="Arial"/>
          <w:b/>
          <w:sz w:val="21"/>
        </w:rPr>
        <w:t>g,</w:t>
      </w:r>
      <w:r>
        <w:rPr>
          <w:rFonts w:ascii="Arial" w:hAnsi="Arial"/>
          <w:b/>
          <w:spacing w:val="-5"/>
          <w:sz w:val="21"/>
        </w:rPr>
        <w:t xml:space="preserve"> </w:t>
      </w:r>
      <w:r>
        <w:rPr>
          <w:rFonts w:ascii="Arial" w:hAnsi="Arial"/>
          <w:b/>
          <w:sz w:val="21"/>
        </w:rPr>
        <w:t>i</w:t>
      </w:r>
      <w:r>
        <w:rPr>
          <w:rFonts w:ascii="Arial" w:hAnsi="Arial"/>
          <w:b/>
          <w:spacing w:val="-6"/>
          <w:sz w:val="21"/>
        </w:rPr>
        <w:t xml:space="preserve"> </w:t>
      </w:r>
      <w:r>
        <w:rPr>
          <w:rFonts w:ascii="Arial" w:hAnsi="Arial"/>
          <w:b/>
          <w:sz w:val="21"/>
        </w:rPr>
        <w:t>and</w:t>
      </w:r>
      <w:r>
        <w:rPr>
          <w:rFonts w:ascii="Arial" w:hAnsi="Arial"/>
          <w:b/>
          <w:spacing w:val="-3"/>
          <w:sz w:val="21"/>
        </w:rPr>
        <w:t xml:space="preserve"> </w:t>
      </w:r>
      <w:r>
        <w:rPr>
          <w:rFonts w:ascii="Arial" w:hAnsi="Arial"/>
          <w:b/>
          <w:sz w:val="21"/>
        </w:rPr>
        <w:t>j</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Amounts</w:t>
      </w:r>
      <w:r>
        <w:rPr>
          <w:rFonts w:ascii="Arial" w:hAnsi="Arial"/>
          <w:b/>
          <w:spacing w:val="-7"/>
          <w:sz w:val="21"/>
        </w:rPr>
        <w:t xml:space="preserve"> </w:t>
      </w:r>
      <w:r>
        <w:rPr>
          <w:rFonts w:ascii="Arial" w:hAnsi="Arial"/>
          <w:b/>
          <w:sz w:val="21"/>
        </w:rPr>
        <w:t>Allocated</w:t>
      </w:r>
      <w:r>
        <w:rPr>
          <w:rFonts w:ascii="Arial" w:hAnsi="Arial"/>
          <w:b/>
          <w:spacing w:val="-3"/>
          <w:sz w:val="21"/>
        </w:rPr>
        <w:t xml:space="preserve"> </w:t>
      </w:r>
      <w:r>
        <w:rPr>
          <w:rFonts w:ascii="Arial" w:hAnsi="Arial"/>
          <w:b/>
          <w:sz w:val="21"/>
        </w:rPr>
        <w:t>over</w:t>
      </w:r>
      <w:r>
        <w:rPr>
          <w:rFonts w:ascii="Arial" w:hAnsi="Arial"/>
          <w:b/>
          <w:spacing w:val="-4"/>
          <w:sz w:val="21"/>
        </w:rPr>
        <w:t xml:space="preserve"> </w:t>
      </w:r>
      <w:r>
        <w:rPr>
          <w:rFonts w:ascii="Arial" w:hAnsi="Arial"/>
          <w:b/>
          <w:sz w:val="21"/>
        </w:rPr>
        <w:t>the</w:t>
      </w:r>
      <w:r>
        <w:rPr>
          <w:rFonts w:ascii="Arial" w:hAnsi="Arial"/>
          <w:b/>
          <w:spacing w:val="-4"/>
          <w:sz w:val="21"/>
        </w:rPr>
        <w:t xml:space="preserve"> </w:t>
      </w:r>
      <w:r>
        <w:rPr>
          <w:rFonts w:ascii="Arial" w:hAnsi="Arial"/>
          <w:b/>
          <w:sz w:val="21"/>
        </w:rPr>
        <w:t>Catastrophic</w:t>
      </w:r>
      <w:r>
        <w:rPr>
          <w:rFonts w:ascii="Arial" w:hAnsi="Arial"/>
          <w:b/>
          <w:spacing w:val="-5"/>
          <w:sz w:val="21"/>
        </w:rPr>
        <w:t xml:space="preserve"> </w:t>
      </w:r>
      <w:r>
        <w:rPr>
          <w:rFonts w:ascii="Arial" w:hAnsi="Arial"/>
          <w:b/>
          <w:spacing w:val="-2"/>
          <w:sz w:val="21"/>
        </w:rPr>
        <w:t>Coverage</w:t>
      </w:r>
    </w:p>
    <w:p>
      <w:pPr>
        <w:pStyle w:val="BodyText"/>
        <w:spacing w:before="118"/>
        <w:ind w:left="440" w:right="816"/>
      </w:pPr>
      <w:r>
        <w:t>The</w:t>
      </w:r>
      <w:r>
        <w:rPr>
          <w:spacing w:val="-5"/>
        </w:rPr>
        <w:t xml:space="preserve"> </w:t>
      </w:r>
      <w:r>
        <w:t>values</w:t>
      </w:r>
      <w:r>
        <w:rPr>
          <w:spacing w:val="-4"/>
        </w:rPr>
        <w:t xml:space="preserve"> </w:t>
      </w:r>
      <w:r>
        <w:t>in</w:t>
      </w:r>
      <w:r>
        <w:rPr>
          <w:spacing w:val="-3"/>
        </w:rPr>
        <w:t xml:space="preserve"> </w:t>
      </w:r>
      <w:r>
        <w:t>columns</w:t>
      </w:r>
      <w:r>
        <w:rPr>
          <w:spacing w:val="-3"/>
        </w:rPr>
        <w:t xml:space="preserve"> </w:t>
      </w:r>
      <w:r>
        <w:t>f</w:t>
      </w:r>
      <w:r>
        <w:rPr>
          <w:spacing w:val="-1"/>
        </w:rPr>
        <w:t xml:space="preserve"> </w:t>
      </w:r>
      <w:r>
        <w:t>and</w:t>
      </w:r>
      <w:r>
        <w:rPr>
          <w:spacing w:val="-3"/>
        </w:rPr>
        <w:t xml:space="preserve"> </w:t>
      </w:r>
      <w:r>
        <w:t>g</w:t>
      </w:r>
      <w:r>
        <w:rPr>
          <w:spacing w:val="-3"/>
        </w:rPr>
        <w:t xml:space="preserve"> </w:t>
      </w:r>
      <w:r>
        <w:t>are</w:t>
      </w:r>
      <w:r>
        <w:rPr>
          <w:spacing w:val="-2"/>
        </w:rPr>
        <w:t xml:space="preserve"> </w:t>
      </w:r>
      <w:r>
        <w:t>calculated</w:t>
      </w:r>
      <w:r>
        <w:rPr>
          <w:spacing w:val="-3"/>
        </w:rPr>
        <w:t xml:space="preserve"> </w:t>
      </w:r>
      <w:r>
        <w:t>automatically</w:t>
      </w:r>
      <w:r>
        <w:rPr>
          <w:spacing w:val="-3"/>
        </w:rPr>
        <w:t xml:space="preserve"> </w:t>
      </w:r>
      <w:r>
        <w:t>as</w:t>
      </w:r>
      <w:r>
        <w:rPr>
          <w:spacing w:val="-3"/>
        </w:rPr>
        <w:t xml:space="preserve"> </w:t>
      </w:r>
      <w:r>
        <w:t>the</w:t>
      </w:r>
      <w:r>
        <w:rPr>
          <w:spacing w:val="-3"/>
        </w:rPr>
        <w:t xml:space="preserve"> </w:t>
      </w:r>
      <w:r>
        <w:t>difference</w:t>
      </w:r>
      <w:r>
        <w:rPr>
          <w:spacing w:val="-4"/>
        </w:rPr>
        <w:t xml:space="preserve"> </w:t>
      </w:r>
      <w:r>
        <w:t>between</w:t>
      </w:r>
      <w:r>
        <w:rPr>
          <w:spacing w:val="-3"/>
        </w:rPr>
        <w:t xml:space="preserve"> </w:t>
      </w:r>
      <w:r>
        <w:t>line 24 and line 37.</w:t>
      </w:r>
    </w:p>
    <w:p>
      <w:pPr>
        <w:pStyle w:val="BodyText"/>
        <w:ind w:left="440"/>
      </w:pPr>
      <w:r>
        <w:t>When</w:t>
      </w:r>
      <w:r>
        <w:rPr>
          <w:spacing w:val="-3"/>
        </w:rPr>
        <w:t xml:space="preserve"> </w:t>
      </w:r>
      <w:r>
        <w:t>the</w:t>
      </w:r>
      <w:r>
        <w:rPr>
          <w:spacing w:val="-3"/>
        </w:rPr>
        <w:t xml:space="preserve"> </w:t>
      </w:r>
      <w:r>
        <w:t>benefit</w:t>
      </w:r>
      <w:r>
        <w:rPr>
          <w:spacing w:val="-3"/>
        </w:rPr>
        <w:t xml:space="preserve"> </w:t>
      </w:r>
      <w:r>
        <w:t>plan</w:t>
      </w:r>
      <w:r>
        <w:rPr>
          <w:spacing w:val="-3"/>
        </w:rPr>
        <w:t xml:space="preserve"> </w:t>
      </w:r>
      <w:r>
        <w:t>type</w:t>
      </w:r>
      <w:r>
        <w:rPr>
          <w:spacing w:val="-4"/>
        </w:rPr>
        <w:t xml:space="preserve"> </w:t>
      </w:r>
      <w:r>
        <w:t>is</w:t>
      </w:r>
      <w:r>
        <w:rPr>
          <w:spacing w:val="-1"/>
        </w:rPr>
        <w:t xml:space="preserve"> </w:t>
      </w:r>
      <w:r>
        <w:t>AE,</w:t>
      </w:r>
      <w:r>
        <w:rPr>
          <w:spacing w:val="-3"/>
        </w:rPr>
        <w:t xml:space="preserve"> </w:t>
      </w:r>
      <w:r>
        <w:t>BA,</w:t>
      </w:r>
      <w:r>
        <w:rPr>
          <w:spacing w:val="-3"/>
        </w:rPr>
        <w:t xml:space="preserve"> </w:t>
      </w:r>
      <w:r>
        <w:t>or</w:t>
      </w:r>
      <w:r>
        <w:rPr>
          <w:spacing w:val="-5"/>
        </w:rPr>
        <w:t xml:space="preserve"> </w:t>
      </w:r>
      <w:r>
        <w:t>EA,</w:t>
      </w:r>
      <w:r>
        <w:rPr>
          <w:spacing w:val="-3"/>
        </w:rPr>
        <w:t xml:space="preserve"> </w:t>
      </w:r>
      <w:r>
        <w:t>enter</w:t>
      </w:r>
      <w:r>
        <w:rPr>
          <w:spacing w:val="-3"/>
        </w:rPr>
        <w:t xml:space="preserve"> </w:t>
      </w:r>
      <w:r>
        <w:t>all</w:t>
      </w:r>
      <w:r>
        <w:rPr>
          <w:spacing w:val="-3"/>
        </w:rPr>
        <w:t xml:space="preserve"> </w:t>
      </w:r>
      <w:r>
        <w:t>scripts</w:t>
      </w:r>
      <w:r>
        <w:rPr>
          <w:spacing w:val="-3"/>
        </w:rPr>
        <w:t xml:space="preserve"> </w:t>
      </w:r>
      <w:r>
        <w:t>and</w:t>
      </w:r>
      <w:r>
        <w:rPr>
          <w:spacing w:val="-2"/>
        </w:rPr>
        <w:t xml:space="preserve"> </w:t>
      </w:r>
      <w:r>
        <w:t>costs</w:t>
      </w:r>
      <w:r>
        <w:rPr>
          <w:spacing w:val="-3"/>
        </w:rPr>
        <w:t xml:space="preserve"> </w:t>
      </w:r>
      <w:r>
        <w:t>greater</w:t>
      </w:r>
      <w:r>
        <w:rPr>
          <w:spacing w:val="-5"/>
        </w:rPr>
        <w:t xml:space="preserve"> </w:t>
      </w:r>
      <w:r>
        <w:t>than</w:t>
      </w:r>
      <w:r>
        <w:rPr>
          <w:spacing w:val="-3"/>
        </w:rPr>
        <w:t xml:space="preserve"> </w:t>
      </w:r>
      <w:r>
        <w:t>the catastrophic threshold in columns i and j, respectively.</w:t>
      </w:r>
    </w:p>
    <w:p>
      <w:pPr>
        <w:spacing w:after="0"/>
        <w:sectPr>
          <w:pgSz w:w="12240" w:h="15840"/>
          <w:pgMar w:top="1340" w:right="1000" w:bottom="1080" w:left="1360" w:header="727" w:footer="891"/>
          <w:cols w:space="720"/>
        </w:sectPr>
      </w:pPr>
    </w:p>
    <w:p>
      <w:pPr>
        <w:spacing w:before="87"/>
        <w:ind w:left="440" w:right="478" w:firstLine="0"/>
        <w:jc w:val="left"/>
        <w:rPr>
          <w:rFonts w:ascii="Arial" w:hAnsi="Arial"/>
          <w:b/>
          <w:sz w:val="21"/>
        </w:rPr>
      </w:pPr>
      <w:bookmarkStart w:id="239" w:name="Line 40, columns g and j – Manufacturer "/>
      <w:bookmarkEnd w:id="239"/>
      <w:r>
        <w:rPr>
          <w:rFonts w:ascii="Arial" w:hAnsi="Arial"/>
          <w:b/>
          <w:sz w:val="21"/>
        </w:rPr>
        <w:t>Line</w:t>
      </w:r>
      <w:r>
        <w:rPr>
          <w:rFonts w:ascii="Arial" w:hAnsi="Arial"/>
          <w:b/>
          <w:spacing w:val="-3"/>
          <w:sz w:val="21"/>
        </w:rPr>
        <w:t xml:space="preserve"> </w:t>
      </w:r>
      <w:r>
        <w:rPr>
          <w:rFonts w:ascii="Arial" w:hAnsi="Arial"/>
          <w:b/>
          <w:sz w:val="21"/>
        </w:rPr>
        <w:t>40,</w:t>
      </w:r>
      <w:r>
        <w:rPr>
          <w:rFonts w:ascii="Arial" w:hAnsi="Arial"/>
          <w:b/>
          <w:spacing w:val="-4"/>
          <w:sz w:val="21"/>
        </w:rPr>
        <w:t xml:space="preserve"> </w:t>
      </w:r>
      <w:r>
        <w:rPr>
          <w:rFonts w:ascii="Arial" w:hAnsi="Arial"/>
          <w:b/>
          <w:sz w:val="21"/>
        </w:rPr>
        <w:t>columns</w:t>
      </w:r>
      <w:r>
        <w:rPr>
          <w:rFonts w:ascii="Arial" w:hAnsi="Arial"/>
          <w:b/>
          <w:spacing w:val="-3"/>
          <w:sz w:val="21"/>
        </w:rPr>
        <w:t xml:space="preserve"> </w:t>
      </w:r>
      <w:r>
        <w:rPr>
          <w:rFonts w:ascii="Arial" w:hAnsi="Arial"/>
          <w:b/>
          <w:sz w:val="21"/>
        </w:rPr>
        <w:t>g</w:t>
      </w:r>
      <w:r>
        <w:rPr>
          <w:rFonts w:ascii="Arial" w:hAnsi="Arial"/>
          <w:b/>
          <w:spacing w:val="-2"/>
          <w:sz w:val="21"/>
        </w:rPr>
        <w:t xml:space="preserve"> </w:t>
      </w:r>
      <w:r>
        <w:rPr>
          <w:rFonts w:ascii="Arial" w:hAnsi="Arial"/>
          <w:b/>
          <w:sz w:val="21"/>
        </w:rPr>
        <w:t>and</w:t>
      </w:r>
      <w:r>
        <w:rPr>
          <w:rFonts w:ascii="Arial" w:hAnsi="Arial"/>
          <w:b/>
          <w:spacing w:val="-2"/>
          <w:sz w:val="21"/>
        </w:rPr>
        <w:t xml:space="preserve"> </w:t>
      </w:r>
      <w:r>
        <w:rPr>
          <w:rFonts w:ascii="Arial" w:hAnsi="Arial"/>
          <w:b/>
          <w:sz w:val="21"/>
        </w:rPr>
        <w:t>j</w:t>
      </w:r>
      <w:r>
        <w:rPr>
          <w:rFonts w:ascii="Arial" w:hAnsi="Arial"/>
          <w:b/>
          <w:spacing w:val="-5"/>
          <w:sz w:val="21"/>
        </w:rPr>
        <w:t xml:space="preserve"> </w:t>
      </w:r>
      <w:r>
        <w:rPr>
          <w:rFonts w:ascii="Arial" w:hAnsi="Arial"/>
          <w:b/>
          <w:sz w:val="21"/>
        </w:rPr>
        <w:t>–</w:t>
      </w:r>
      <w:r>
        <w:rPr>
          <w:rFonts w:ascii="Arial" w:hAnsi="Arial"/>
          <w:b/>
          <w:spacing w:val="-3"/>
          <w:sz w:val="21"/>
        </w:rPr>
        <w:t xml:space="preserve"> </w:t>
      </w:r>
      <w:r>
        <w:rPr>
          <w:rFonts w:ascii="Arial" w:hAnsi="Arial"/>
          <w:b/>
          <w:sz w:val="21"/>
        </w:rPr>
        <w:t>Manufacturer</w:t>
      </w:r>
      <w:r>
        <w:rPr>
          <w:rFonts w:ascii="Arial" w:hAnsi="Arial"/>
          <w:b/>
          <w:spacing w:val="-7"/>
          <w:sz w:val="21"/>
        </w:rPr>
        <w:t xml:space="preserve"> </w:t>
      </w:r>
      <w:r>
        <w:rPr>
          <w:rFonts w:ascii="Arial" w:hAnsi="Arial"/>
          <w:b/>
          <w:sz w:val="21"/>
        </w:rPr>
        <w:t>Discount</w:t>
      </w:r>
      <w:r>
        <w:rPr>
          <w:rFonts w:ascii="Arial" w:hAnsi="Arial"/>
          <w:b/>
          <w:spacing w:val="-4"/>
          <w:sz w:val="21"/>
        </w:rPr>
        <w:t xml:space="preserve"> </w:t>
      </w:r>
      <w:r>
        <w:rPr>
          <w:rFonts w:ascii="Arial" w:hAnsi="Arial"/>
          <w:b/>
          <w:sz w:val="21"/>
        </w:rPr>
        <w:t>(Amounts</w:t>
      </w:r>
      <w:r>
        <w:rPr>
          <w:rFonts w:ascii="Arial" w:hAnsi="Arial"/>
          <w:b/>
          <w:spacing w:val="-6"/>
          <w:sz w:val="21"/>
        </w:rPr>
        <w:t xml:space="preserve"> </w:t>
      </w:r>
      <w:r>
        <w:rPr>
          <w:rFonts w:ascii="Arial" w:hAnsi="Arial"/>
          <w:b/>
          <w:sz w:val="21"/>
        </w:rPr>
        <w:t>Allocated</w:t>
      </w:r>
      <w:r>
        <w:rPr>
          <w:rFonts w:ascii="Arial" w:hAnsi="Arial"/>
          <w:b/>
          <w:spacing w:val="-3"/>
          <w:sz w:val="21"/>
        </w:rPr>
        <w:t xml:space="preserve"> </w:t>
      </w:r>
      <w:r>
        <w:rPr>
          <w:rFonts w:ascii="Arial" w:hAnsi="Arial"/>
          <w:b/>
          <w:sz w:val="21"/>
        </w:rPr>
        <w:t>over</w:t>
      </w:r>
      <w:r>
        <w:rPr>
          <w:rFonts w:ascii="Arial" w:hAnsi="Arial"/>
          <w:b/>
          <w:spacing w:val="-4"/>
          <w:sz w:val="21"/>
        </w:rPr>
        <w:t xml:space="preserve"> </w:t>
      </w:r>
      <w:r>
        <w:rPr>
          <w:rFonts w:ascii="Arial" w:hAnsi="Arial"/>
          <w:b/>
          <w:sz w:val="21"/>
        </w:rPr>
        <w:t>the Catastrophic Threshold)</w:t>
      </w:r>
    </w:p>
    <w:p>
      <w:pPr>
        <w:pStyle w:val="BodyText"/>
        <w:spacing w:before="119"/>
        <w:ind w:left="440" w:right="979"/>
      </w:pPr>
      <w:r>
        <w:t>The manufacture discount for total allowed costs over the catastrophic threshold for members</w:t>
      </w:r>
      <w:r>
        <w:rPr>
          <w:spacing w:val="-4"/>
        </w:rPr>
        <w:t xml:space="preserve"> </w:t>
      </w:r>
      <w:r>
        <w:t>with</w:t>
      </w:r>
      <w:r>
        <w:rPr>
          <w:spacing w:val="-4"/>
        </w:rPr>
        <w:t xml:space="preserve"> </w:t>
      </w:r>
      <w:r>
        <w:t>projected</w:t>
      </w:r>
      <w:r>
        <w:rPr>
          <w:spacing w:val="-4"/>
        </w:rPr>
        <w:t xml:space="preserve"> </w:t>
      </w:r>
      <w:r>
        <w:t>total</w:t>
      </w:r>
      <w:r>
        <w:rPr>
          <w:spacing w:val="-4"/>
        </w:rPr>
        <w:t xml:space="preserve"> </w:t>
      </w:r>
      <w:r>
        <w:t>allowed</w:t>
      </w:r>
      <w:r>
        <w:rPr>
          <w:spacing w:val="-4"/>
        </w:rPr>
        <w:t xml:space="preserve"> </w:t>
      </w:r>
      <w:r>
        <w:t>costs</w:t>
      </w:r>
      <w:r>
        <w:rPr>
          <w:spacing w:val="-4"/>
        </w:rPr>
        <w:t xml:space="preserve"> </w:t>
      </w:r>
      <w:r>
        <w:t>greater</w:t>
      </w:r>
      <w:r>
        <w:rPr>
          <w:spacing w:val="-4"/>
        </w:rPr>
        <w:t xml:space="preserve"> </w:t>
      </w:r>
      <w:r>
        <w:t>than</w:t>
      </w:r>
      <w:r>
        <w:rPr>
          <w:spacing w:val="-4"/>
        </w:rPr>
        <w:t xml:space="preserve"> </w:t>
      </w:r>
      <w:r>
        <w:t>the</w:t>
      </w:r>
      <w:r>
        <w:rPr>
          <w:spacing w:val="-5"/>
        </w:rPr>
        <w:t xml:space="preserve"> </w:t>
      </w:r>
      <w:r>
        <w:t>catastrophic</w:t>
      </w:r>
      <w:r>
        <w:rPr>
          <w:spacing w:val="-5"/>
        </w:rPr>
        <w:t xml:space="preserve"> </w:t>
      </w:r>
      <w:r>
        <w:t>threshold</w:t>
      </w:r>
      <w:r>
        <w:rPr>
          <w:spacing w:val="-4"/>
        </w:rPr>
        <w:t xml:space="preserve"> </w:t>
      </w:r>
      <w:r>
        <w:t>must be reported on this line.</w:t>
      </w:r>
    </w:p>
    <w:p>
      <w:pPr>
        <w:spacing w:before="241"/>
        <w:ind w:left="440" w:right="0" w:firstLine="0"/>
        <w:jc w:val="left"/>
        <w:rPr>
          <w:rFonts w:ascii="Arial" w:hAnsi="Arial"/>
          <w:b/>
          <w:sz w:val="21"/>
        </w:rPr>
      </w:pPr>
      <w:bookmarkStart w:id="240" w:name="Line 41, columns i through k – Non-Part "/>
      <w:bookmarkEnd w:id="240"/>
      <w:r>
        <w:rPr>
          <w:rFonts w:ascii="Arial" w:hAnsi="Arial"/>
          <w:b/>
          <w:sz w:val="21"/>
        </w:rPr>
        <w:t>Line</w:t>
      </w:r>
      <w:r>
        <w:rPr>
          <w:rFonts w:ascii="Arial" w:hAnsi="Arial"/>
          <w:b/>
          <w:spacing w:val="-7"/>
          <w:sz w:val="21"/>
        </w:rPr>
        <w:t xml:space="preserve"> </w:t>
      </w:r>
      <w:r>
        <w:rPr>
          <w:rFonts w:ascii="Arial" w:hAnsi="Arial"/>
          <w:b/>
          <w:sz w:val="21"/>
        </w:rPr>
        <w:t>41,</w:t>
      </w:r>
      <w:r>
        <w:rPr>
          <w:rFonts w:ascii="Arial" w:hAnsi="Arial"/>
          <w:b/>
          <w:spacing w:val="-5"/>
          <w:sz w:val="21"/>
        </w:rPr>
        <w:t xml:space="preserve"> </w:t>
      </w:r>
      <w:r>
        <w:rPr>
          <w:rFonts w:ascii="Arial" w:hAnsi="Arial"/>
          <w:b/>
          <w:sz w:val="21"/>
        </w:rPr>
        <w:t>columns</w:t>
      </w:r>
      <w:r>
        <w:rPr>
          <w:rFonts w:ascii="Arial" w:hAnsi="Arial"/>
          <w:b/>
          <w:spacing w:val="-4"/>
          <w:sz w:val="21"/>
        </w:rPr>
        <w:t xml:space="preserve"> </w:t>
      </w:r>
      <w:r>
        <w:rPr>
          <w:rFonts w:ascii="Arial" w:hAnsi="Arial"/>
          <w:b/>
          <w:sz w:val="21"/>
        </w:rPr>
        <w:t>i</w:t>
      </w:r>
      <w:r>
        <w:rPr>
          <w:rFonts w:ascii="Arial" w:hAnsi="Arial"/>
          <w:b/>
          <w:spacing w:val="-6"/>
          <w:sz w:val="21"/>
        </w:rPr>
        <w:t xml:space="preserve"> </w:t>
      </w:r>
      <w:r>
        <w:rPr>
          <w:rFonts w:ascii="Arial" w:hAnsi="Arial"/>
          <w:b/>
          <w:sz w:val="21"/>
        </w:rPr>
        <w:t>through</w:t>
      </w:r>
      <w:r>
        <w:rPr>
          <w:rFonts w:ascii="Arial" w:hAnsi="Arial"/>
          <w:b/>
          <w:spacing w:val="-3"/>
          <w:sz w:val="21"/>
        </w:rPr>
        <w:t xml:space="preserve"> </w:t>
      </w:r>
      <w:r>
        <w:rPr>
          <w:rFonts w:ascii="Arial" w:hAnsi="Arial"/>
          <w:b/>
          <w:sz w:val="21"/>
        </w:rPr>
        <w:t>k</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Non-Part</w:t>
      </w:r>
      <w:r>
        <w:rPr>
          <w:rFonts w:ascii="Arial" w:hAnsi="Arial"/>
          <w:b/>
          <w:spacing w:val="-5"/>
          <w:sz w:val="21"/>
        </w:rPr>
        <w:t xml:space="preserve"> </w:t>
      </w:r>
      <w:r>
        <w:rPr>
          <w:rFonts w:ascii="Arial" w:hAnsi="Arial"/>
          <w:b/>
          <w:sz w:val="21"/>
        </w:rPr>
        <w:t>D-Covered</w:t>
      </w:r>
      <w:r>
        <w:rPr>
          <w:rFonts w:ascii="Arial" w:hAnsi="Arial"/>
          <w:b/>
          <w:spacing w:val="-4"/>
          <w:sz w:val="21"/>
        </w:rPr>
        <w:t xml:space="preserve"> </w:t>
      </w:r>
      <w:r>
        <w:rPr>
          <w:rFonts w:ascii="Arial" w:hAnsi="Arial"/>
          <w:b/>
          <w:sz w:val="21"/>
        </w:rPr>
        <w:t>Drugs</w:t>
      </w:r>
      <w:r>
        <w:rPr>
          <w:rFonts w:ascii="Arial" w:hAnsi="Arial"/>
          <w:b/>
          <w:spacing w:val="-4"/>
          <w:sz w:val="21"/>
        </w:rPr>
        <w:t xml:space="preserve"> </w:t>
      </w:r>
      <w:r>
        <w:rPr>
          <w:rFonts w:ascii="Arial" w:hAnsi="Arial"/>
          <w:b/>
          <w:sz w:val="21"/>
        </w:rPr>
        <w:t>-</w:t>
      </w:r>
      <w:r>
        <w:rPr>
          <w:rFonts w:ascii="Arial" w:hAnsi="Arial"/>
          <w:b/>
          <w:spacing w:val="-5"/>
          <w:sz w:val="21"/>
        </w:rPr>
        <w:t xml:space="preserve"> </w:t>
      </w:r>
      <w:r>
        <w:rPr>
          <w:rFonts w:ascii="Arial" w:hAnsi="Arial"/>
          <w:b/>
          <w:sz w:val="21"/>
        </w:rPr>
        <w:t>All</w:t>
      </w:r>
      <w:r>
        <w:rPr>
          <w:rFonts w:ascii="Arial" w:hAnsi="Arial"/>
          <w:b/>
          <w:spacing w:val="-5"/>
          <w:sz w:val="21"/>
        </w:rPr>
        <w:t xml:space="preserve"> </w:t>
      </w:r>
      <w:r>
        <w:rPr>
          <w:rFonts w:ascii="Arial" w:hAnsi="Arial"/>
          <w:b/>
          <w:spacing w:val="-2"/>
          <w:sz w:val="21"/>
        </w:rPr>
        <w:t>Spending</w:t>
      </w:r>
    </w:p>
    <w:p>
      <w:pPr>
        <w:pStyle w:val="BodyText"/>
        <w:ind w:left="440" w:right="979"/>
      </w:pPr>
      <w:r>
        <w:t>When the plan benefit type is EA and the plan covers non-Part D drugs, enter the projected total number of scripts, total allowed dollars and total cost sharing, for the population</w:t>
      </w:r>
      <w:r>
        <w:rPr>
          <w:spacing w:val="-4"/>
        </w:rPr>
        <w:t xml:space="preserve"> </w:t>
      </w:r>
      <w:r>
        <w:t>identified</w:t>
      </w:r>
      <w:r>
        <w:rPr>
          <w:spacing w:val="-4"/>
        </w:rPr>
        <w:t xml:space="preserve"> </w:t>
      </w:r>
      <w:r>
        <w:t>in</w:t>
      </w:r>
      <w:r>
        <w:rPr>
          <w:spacing w:val="-4"/>
        </w:rPr>
        <w:t xml:space="preserve"> </w:t>
      </w:r>
      <w:r>
        <w:t>Worksheet</w:t>
      </w:r>
      <w:r>
        <w:rPr>
          <w:spacing w:val="-4"/>
        </w:rPr>
        <w:t xml:space="preserve"> </w:t>
      </w:r>
      <w:r>
        <w:t>3,</w:t>
      </w:r>
      <w:r>
        <w:rPr>
          <w:spacing w:val="-4"/>
        </w:rPr>
        <w:t xml:space="preserve"> </w:t>
      </w:r>
      <w:r>
        <w:t>Section</w:t>
      </w:r>
      <w:r>
        <w:rPr>
          <w:spacing w:val="-4"/>
        </w:rPr>
        <w:t xml:space="preserve"> </w:t>
      </w:r>
      <w:r>
        <w:t>III,</w:t>
      </w:r>
      <w:r>
        <w:rPr>
          <w:spacing w:val="-2"/>
        </w:rPr>
        <w:t xml:space="preserve"> </w:t>
      </w:r>
      <w:r>
        <w:t>using</w:t>
      </w:r>
      <w:r>
        <w:rPr>
          <w:spacing w:val="-4"/>
        </w:rPr>
        <w:t xml:space="preserve"> </w:t>
      </w:r>
      <w:r>
        <w:t>the</w:t>
      </w:r>
      <w:r>
        <w:rPr>
          <w:spacing w:val="-4"/>
        </w:rPr>
        <w:t xml:space="preserve"> </w:t>
      </w:r>
      <w:r>
        <w:t>cost</w:t>
      </w:r>
      <w:r>
        <w:rPr>
          <w:spacing w:val="-3"/>
        </w:rPr>
        <w:t xml:space="preserve"> </w:t>
      </w:r>
      <w:r>
        <w:t>sharing</w:t>
      </w:r>
      <w:r>
        <w:rPr>
          <w:spacing w:val="-4"/>
        </w:rPr>
        <w:t xml:space="preserve"> </w:t>
      </w:r>
      <w:r>
        <w:t>structure</w:t>
      </w:r>
      <w:r>
        <w:rPr>
          <w:spacing w:val="-5"/>
        </w:rPr>
        <w:t xml:space="preserve"> </w:t>
      </w:r>
      <w:r>
        <w:t>of</w:t>
      </w:r>
      <w:r>
        <w:rPr>
          <w:spacing w:val="-4"/>
        </w:rPr>
        <w:t xml:space="preserve"> </w:t>
      </w:r>
      <w:r>
        <w:t xml:space="preserve">the EA plan by point-of-sale and type of drug, in columns i, j and k, respectively, for each </w:t>
      </w:r>
      <w:r>
        <w:rPr>
          <w:spacing w:val="-2"/>
        </w:rPr>
        <w:t>line.</w:t>
      </w:r>
    </w:p>
    <w:p>
      <w:pPr>
        <w:pStyle w:val="BodyText"/>
        <w:spacing w:before="46"/>
        <w:ind w:left="0"/>
      </w:pPr>
    </w:p>
    <w:p>
      <w:pPr>
        <w:spacing w:before="0"/>
        <w:ind w:left="440" w:right="0" w:firstLine="0"/>
        <w:jc w:val="left"/>
        <w:rPr>
          <w:rFonts w:ascii="Arial"/>
          <w:b/>
          <w:sz w:val="26"/>
        </w:rPr>
      </w:pPr>
      <w:bookmarkStart w:id="241" w:name="Subsidy for Selected Drugs"/>
      <w:bookmarkEnd w:id="241"/>
      <w:r>
        <w:rPr>
          <w:rFonts w:ascii="Arial"/>
          <w:b/>
          <w:smallCaps/>
          <w:sz w:val="26"/>
        </w:rPr>
        <w:t>Subsidy</w:t>
      </w:r>
      <w:r>
        <w:rPr>
          <w:rFonts w:ascii="Arial"/>
          <w:b/>
          <w:smallCaps/>
          <w:spacing w:val="-9"/>
          <w:sz w:val="26"/>
        </w:rPr>
        <w:t xml:space="preserve"> </w:t>
      </w:r>
      <w:r>
        <w:rPr>
          <w:rFonts w:ascii="Arial"/>
          <w:b/>
          <w:smallCaps/>
          <w:sz w:val="26"/>
        </w:rPr>
        <w:t>for</w:t>
      </w:r>
      <w:r>
        <w:rPr>
          <w:rFonts w:ascii="Arial"/>
          <w:b/>
          <w:smallCaps/>
          <w:spacing w:val="-6"/>
          <w:sz w:val="26"/>
        </w:rPr>
        <w:t xml:space="preserve"> </w:t>
      </w:r>
      <w:r>
        <w:rPr>
          <w:rFonts w:ascii="Arial"/>
          <w:b/>
          <w:smallCaps/>
          <w:sz w:val="26"/>
        </w:rPr>
        <w:t>Selected</w:t>
      </w:r>
      <w:r>
        <w:rPr>
          <w:rFonts w:ascii="Arial"/>
          <w:b/>
          <w:smallCaps/>
          <w:spacing w:val="-7"/>
          <w:sz w:val="26"/>
        </w:rPr>
        <w:t xml:space="preserve"> </w:t>
      </w:r>
      <w:r>
        <w:rPr>
          <w:rFonts w:ascii="Arial"/>
          <w:b/>
          <w:smallCaps/>
          <w:spacing w:val="-4"/>
          <w:sz w:val="26"/>
        </w:rPr>
        <w:t>Drugs</w:t>
      </w:r>
    </w:p>
    <w:p>
      <w:pPr>
        <w:pStyle w:val="BodyText"/>
        <w:spacing w:before="179"/>
        <w:ind w:left="440" w:right="918"/>
      </w:pPr>
      <w:r>
        <w:t>When</w:t>
      </w:r>
      <w:r>
        <w:rPr>
          <w:spacing w:val="-3"/>
        </w:rPr>
        <w:t xml:space="preserve"> </w:t>
      </w:r>
      <w:r>
        <w:t>the</w:t>
      </w:r>
      <w:r>
        <w:rPr>
          <w:spacing w:val="-3"/>
        </w:rPr>
        <w:t xml:space="preserve"> </w:t>
      </w:r>
      <w:r>
        <w:t>plan</w:t>
      </w:r>
      <w:r>
        <w:rPr>
          <w:spacing w:val="-3"/>
        </w:rPr>
        <w:t xml:space="preserve"> </w:t>
      </w:r>
      <w:r>
        <w:t>benefit</w:t>
      </w:r>
      <w:r>
        <w:rPr>
          <w:spacing w:val="-3"/>
        </w:rPr>
        <w:t xml:space="preserve"> </w:t>
      </w:r>
      <w:r>
        <w:t>type</w:t>
      </w:r>
      <w:r>
        <w:rPr>
          <w:spacing w:val="-4"/>
        </w:rPr>
        <w:t xml:space="preserve"> </w:t>
      </w:r>
      <w:r>
        <w:t>is</w:t>
      </w:r>
      <w:r>
        <w:rPr>
          <w:spacing w:val="-3"/>
        </w:rPr>
        <w:t xml:space="preserve"> </w:t>
      </w:r>
      <w:r>
        <w:t>DS,</w:t>
      </w:r>
      <w:r>
        <w:rPr>
          <w:spacing w:val="-3"/>
        </w:rPr>
        <w:t xml:space="preserve"> </w:t>
      </w:r>
      <w:r>
        <w:t>enter</w:t>
      </w:r>
      <w:r>
        <w:rPr>
          <w:spacing w:val="-5"/>
        </w:rPr>
        <w:t xml:space="preserve"> </w:t>
      </w:r>
      <w:r>
        <w:t>the</w:t>
      </w:r>
      <w:r>
        <w:rPr>
          <w:spacing w:val="-3"/>
        </w:rPr>
        <w:t xml:space="preserve"> </w:t>
      </w:r>
      <w:r>
        <w:t>defined</w:t>
      </w:r>
      <w:r>
        <w:rPr>
          <w:spacing w:val="-3"/>
        </w:rPr>
        <w:t xml:space="preserve"> </w:t>
      </w:r>
      <w:r>
        <w:t>standard</w:t>
      </w:r>
      <w:r>
        <w:rPr>
          <w:spacing w:val="-3"/>
        </w:rPr>
        <w:t xml:space="preserve"> </w:t>
      </w:r>
      <w:r>
        <w:t>total</w:t>
      </w:r>
      <w:r>
        <w:rPr>
          <w:spacing w:val="-3"/>
        </w:rPr>
        <w:t xml:space="preserve"> </w:t>
      </w:r>
      <w:r>
        <w:t>dollars</w:t>
      </w:r>
      <w:r>
        <w:rPr>
          <w:spacing w:val="-3"/>
        </w:rPr>
        <w:t xml:space="preserve"> </w:t>
      </w:r>
      <w:r>
        <w:t>for</w:t>
      </w:r>
      <w:r>
        <w:rPr>
          <w:spacing w:val="-3"/>
        </w:rPr>
        <w:t xml:space="preserve"> </w:t>
      </w:r>
      <w:r>
        <w:t>the</w:t>
      </w:r>
      <w:r>
        <w:rPr>
          <w:spacing w:val="-5"/>
        </w:rPr>
        <w:t xml:space="preserve"> </w:t>
      </w:r>
      <w:r>
        <w:t>subsidy for selected drugs.</w:t>
      </w:r>
    </w:p>
    <w:p>
      <w:pPr>
        <w:pStyle w:val="BodyText"/>
        <w:ind w:left="440" w:right="979"/>
      </w:pPr>
      <w:r>
        <w:t>When</w:t>
      </w:r>
      <w:r>
        <w:rPr>
          <w:spacing w:val="-3"/>
        </w:rPr>
        <w:t xml:space="preserve"> </w:t>
      </w:r>
      <w:r>
        <w:t>the</w:t>
      </w:r>
      <w:r>
        <w:rPr>
          <w:spacing w:val="-3"/>
        </w:rPr>
        <w:t xml:space="preserve"> </w:t>
      </w:r>
      <w:r>
        <w:t>plan</w:t>
      </w:r>
      <w:r>
        <w:rPr>
          <w:spacing w:val="-3"/>
        </w:rPr>
        <w:t xml:space="preserve"> </w:t>
      </w:r>
      <w:r>
        <w:t>benefit</w:t>
      </w:r>
      <w:r>
        <w:rPr>
          <w:spacing w:val="-3"/>
        </w:rPr>
        <w:t xml:space="preserve"> </w:t>
      </w:r>
      <w:r>
        <w:t>type</w:t>
      </w:r>
      <w:r>
        <w:rPr>
          <w:spacing w:val="-4"/>
        </w:rPr>
        <w:t xml:space="preserve"> </w:t>
      </w:r>
      <w:r>
        <w:t>is</w:t>
      </w:r>
      <w:r>
        <w:rPr>
          <w:spacing w:val="-1"/>
        </w:rPr>
        <w:t xml:space="preserve"> </w:t>
      </w:r>
      <w:r>
        <w:t>AE,</w:t>
      </w:r>
      <w:r>
        <w:rPr>
          <w:spacing w:val="-3"/>
        </w:rPr>
        <w:t xml:space="preserve"> </w:t>
      </w:r>
      <w:r>
        <w:t>BA</w:t>
      </w:r>
      <w:r>
        <w:rPr>
          <w:spacing w:val="-3"/>
        </w:rPr>
        <w:t xml:space="preserve"> </w:t>
      </w:r>
      <w:r>
        <w:t>or</w:t>
      </w:r>
      <w:r>
        <w:rPr>
          <w:spacing w:val="-4"/>
        </w:rPr>
        <w:t xml:space="preserve"> </w:t>
      </w:r>
      <w:r>
        <w:t>EA,</w:t>
      </w:r>
      <w:r>
        <w:rPr>
          <w:spacing w:val="-3"/>
        </w:rPr>
        <w:t xml:space="preserve"> </w:t>
      </w:r>
      <w:r>
        <w:t>enter</w:t>
      </w:r>
      <w:r>
        <w:rPr>
          <w:spacing w:val="-3"/>
        </w:rPr>
        <w:t xml:space="preserve"> </w:t>
      </w:r>
      <w:r>
        <w:t>the</w:t>
      </w:r>
      <w:r>
        <w:rPr>
          <w:spacing w:val="-3"/>
        </w:rPr>
        <w:t xml:space="preserve"> </w:t>
      </w:r>
      <w:r>
        <w:t>defined</w:t>
      </w:r>
      <w:r>
        <w:rPr>
          <w:spacing w:val="-3"/>
        </w:rPr>
        <w:t xml:space="preserve"> </w:t>
      </w:r>
      <w:r>
        <w:t>standard</w:t>
      </w:r>
      <w:r>
        <w:rPr>
          <w:spacing w:val="-3"/>
        </w:rPr>
        <w:t xml:space="preserve"> </w:t>
      </w:r>
      <w:r>
        <w:t>total</w:t>
      </w:r>
      <w:r>
        <w:rPr>
          <w:spacing w:val="-3"/>
        </w:rPr>
        <w:t xml:space="preserve"> </w:t>
      </w:r>
      <w:r>
        <w:t>dollars</w:t>
      </w:r>
      <w:r>
        <w:rPr>
          <w:spacing w:val="-3"/>
        </w:rPr>
        <w:t xml:space="preserve"> </w:t>
      </w:r>
      <w:r>
        <w:t>for the subsidy for selected drugs and enter the alternative total dollars for the subsidy for selected drugs.</w:t>
      </w:r>
    </w:p>
    <w:p>
      <w:pPr>
        <w:spacing w:after="0"/>
        <w:sectPr>
          <w:pgSz w:w="12240" w:h="15840"/>
          <w:pgMar w:top="1340" w:right="1000" w:bottom="1080" w:left="1360" w:header="727" w:footer="891"/>
          <w:cols w:space="720"/>
        </w:sectPr>
      </w:pPr>
    </w:p>
    <w:p>
      <w:pPr>
        <w:pStyle w:val="Heading1"/>
        <w:tabs>
          <w:tab w:val="left" w:pos="9470"/>
        </w:tabs>
        <w:spacing w:before="187"/>
        <w:rPr>
          <w:u w:val="none"/>
        </w:rPr>
      </w:pPr>
      <w:bookmarkStart w:id="242" w:name="PD Worksheet 7 – Summary of Key Bid Elem"/>
      <w:bookmarkEnd w:id="242"/>
      <w:bookmarkStart w:id="243" w:name="_bookmark69"/>
      <w:bookmarkEnd w:id="243"/>
      <w:r>
        <w:rPr>
          <w:spacing w:val="-52"/>
          <w:u w:val="single"/>
        </w:rPr>
        <w:t xml:space="preserve"> </w:t>
      </w:r>
      <w:r>
        <w:rPr>
          <w:u w:val="single"/>
        </w:rPr>
        <w:t>PD</w:t>
      </w:r>
      <w:r>
        <w:rPr>
          <w:spacing w:val="-5"/>
          <w:u w:val="single"/>
        </w:rPr>
        <w:t xml:space="preserve"> </w:t>
      </w:r>
      <w:r>
        <w:rPr>
          <w:u w:val="single"/>
        </w:rPr>
        <w:t>WORKSHEET</w:t>
      </w:r>
      <w:r>
        <w:rPr>
          <w:spacing w:val="-4"/>
          <w:u w:val="single"/>
        </w:rPr>
        <w:t xml:space="preserve"> </w:t>
      </w:r>
      <w:r>
        <w:rPr>
          <w:u w:val="single"/>
        </w:rPr>
        <w:t>7</w:t>
      </w:r>
      <w:r>
        <w:rPr>
          <w:spacing w:val="-2"/>
          <w:u w:val="single"/>
        </w:rPr>
        <w:t xml:space="preserve"> </w:t>
      </w:r>
      <w:r>
        <w:rPr>
          <w:u w:val="single"/>
        </w:rPr>
        <w:t>–</w:t>
      </w:r>
      <w:r>
        <w:rPr>
          <w:spacing w:val="-5"/>
          <w:u w:val="single"/>
        </w:rPr>
        <w:t xml:space="preserve"> </w:t>
      </w:r>
      <w:r>
        <w:rPr>
          <w:u w:val="single"/>
        </w:rPr>
        <w:t>SUMMARY</w:t>
      </w:r>
      <w:r>
        <w:rPr>
          <w:spacing w:val="-2"/>
          <w:u w:val="single"/>
        </w:rPr>
        <w:t xml:space="preserve"> </w:t>
      </w:r>
      <w:r>
        <w:rPr>
          <w:u w:val="single"/>
        </w:rPr>
        <w:t>OF</w:t>
      </w:r>
      <w:r>
        <w:rPr>
          <w:spacing w:val="-3"/>
          <w:u w:val="single"/>
        </w:rPr>
        <w:t xml:space="preserve"> </w:t>
      </w:r>
      <w:r>
        <w:rPr>
          <w:u w:val="single"/>
        </w:rPr>
        <w:t>KEY</w:t>
      </w:r>
      <w:r>
        <w:rPr>
          <w:spacing w:val="-5"/>
          <w:u w:val="single"/>
        </w:rPr>
        <w:t xml:space="preserve"> </w:t>
      </w:r>
      <w:r>
        <w:rPr>
          <w:u w:val="single"/>
        </w:rPr>
        <w:t>BID</w:t>
      </w:r>
      <w:r>
        <w:rPr>
          <w:spacing w:val="-3"/>
          <w:u w:val="single"/>
        </w:rPr>
        <w:t xml:space="preserve"> </w:t>
      </w:r>
      <w:r>
        <w:rPr>
          <w:spacing w:val="-2"/>
          <w:u w:val="single"/>
        </w:rPr>
        <w:t>ELEMENTS</w:t>
      </w:r>
      <w:r>
        <w:rPr>
          <w:u w:val="single"/>
        </w:rPr>
        <w:tab/>
      </w:r>
    </w:p>
    <w:p>
      <w:pPr>
        <w:pStyle w:val="BodyText"/>
        <w:spacing w:before="269"/>
        <w:ind w:left="224"/>
      </w:pPr>
      <w:r>
        <w:t>Worksheet</w:t>
      </w:r>
      <w:r>
        <w:rPr>
          <w:spacing w:val="-3"/>
        </w:rPr>
        <w:t xml:space="preserve"> </w:t>
      </w:r>
      <w:r>
        <w:t>7</w:t>
      </w:r>
      <w:r>
        <w:rPr>
          <w:spacing w:val="-3"/>
        </w:rPr>
        <w:t xml:space="preserve"> </w:t>
      </w:r>
      <w:r>
        <w:t>summarizes</w:t>
      </w:r>
      <w:r>
        <w:rPr>
          <w:spacing w:val="-1"/>
        </w:rPr>
        <w:t xml:space="preserve"> </w:t>
      </w:r>
      <w:r>
        <w:t>key</w:t>
      </w:r>
      <w:r>
        <w:rPr>
          <w:spacing w:val="-3"/>
        </w:rPr>
        <w:t xml:space="preserve"> </w:t>
      </w:r>
      <w:r>
        <w:t>payment-related</w:t>
      </w:r>
      <w:r>
        <w:rPr>
          <w:spacing w:val="-3"/>
        </w:rPr>
        <w:t xml:space="preserve"> </w:t>
      </w:r>
      <w:r>
        <w:t>components</w:t>
      </w:r>
      <w:r>
        <w:rPr>
          <w:spacing w:val="-3"/>
        </w:rPr>
        <w:t xml:space="preserve"> </w:t>
      </w:r>
      <w:r>
        <w:t>of</w:t>
      </w:r>
      <w:r>
        <w:rPr>
          <w:spacing w:val="-3"/>
        </w:rPr>
        <w:t xml:space="preserve"> </w:t>
      </w:r>
      <w:r>
        <w:t>the</w:t>
      </w:r>
      <w:r>
        <w:rPr>
          <w:spacing w:val="-4"/>
        </w:rPr>
        <w:t xml:space="preserve"> </w:t>
      </w:r>
      <w:r>
        <w:t>bid</w:t>
      </w:r>
      <w:r>
        <w:rPr>
          <w:spacing w:val="-2"/>
        </w:rPr>
        <w:t xml:space="preserve"> </w:t>
      </w:r>
      <w:r>
        <w:t>and</w:t>
      </w:r>
      <w:r>
        <w:rPr>
          <w:spacing w:val="-3"/>
        </w:rPr>
        <w:t xml:space="preserve"> </w:t>
      </w:r>
      <w:r>
        <w:t>the</w:t>
      </w:r>
      <w:r>
        <w:rPr>
          <w:spacing w:val="-4"/>
        </w:rPr>
        <w:t xml:space="preserve"> </w:t>
      </w:r>
      <w:r>
        <w:t>Part</w:t>
      </w:r>
      <w:r>
        <w:rPr>
          <w:spacing w:val="-3"/>
        </w:rPr>
        <w:t xml:space="preserve"> </w:t>
      </w:r>
      <w:r>
        <w:t>D</w:t>
      </w:r>
      <w:r>
        <w:rPr>
          <w:spacing w:val="-4"/>
        </w:rPr>
        <w:t xml:space="preserve"> </w:t>
      </w:r>
      <w:r>
        <w:t>sponsor’s estimate of the national average monthly bid amount and calculates premiums.</w:t>
      </w:r>
    </w:p>
    <w:p>
      <w:pPr>
        <w:pStyle w:val="BodyText"/>
        <w:spacing w:before="45"/>
        <w:ind w:left="0"/>
      </w:pPr>
    </w:p>
    <w:p>
      <w:pPr>
        <w:pStyle w:val="Heading2"/>
        <w:ind w:left="224"/>
      </w:pPr>
      <w:bookmarkStart w:id="244" w:name="_bookmark70"/>
      <w:bookmarkEnd w:id="244"/>
      <w:r>
        <w:rPr>
          <w:smallCaps/>
        </w:rPr>
        <w:t>Section</w:t>
      </w:r>
      <w:r>
        <w:rPr>
          <w:smallCaps/>
          <w:spacing w:val="-15"/>
        </w:rPr>
        <w:t xml:space="preserve"> </w:t>
      </w:r>
      <w:r>
        <w:rPr>
          <w:smallCaps/>
        </w:rPr>
        <w:t>I</w:t>
      </w:r>
      <w:r>
        <w:rPr>
          <w:smallCaps/>
          <w:spacing w:val="-15"/>
        </w:rPr>
        <w:t xml:space="preserve"> </w:t>
      </w:r>
      <w:r>
        <w:rPr>
          <w:smallCaps/>
        </w:rPr>
        <w:t>–</w:t>
      </w:r>
      <w:r>
        <w:rPr>
          <w:smallCaps/>
          <w:spacing w:val="-15"/>
        </w:rPr>
        <w:t xml:space="preserve"> </w:t>
      </w:r>
      <w:r>
        <w:rPr>
          <w:smallCaps/>
        </w:rPr>
        <w:t>General</w:t>
      </w:r>
      <w:r>
        <w:rPr>
          <w:smallCaps/>
          <w:spacing w:val="-7"/>
        </w:rPr>
        <w:t xml:space="preserve"> </w:t>
      </w:r>
      <w:r>
        <w:rPr>
          <w:smallCaps/>
          <w:spacing w:val="-2"/>
        </w:rPr>
        <w:t>Information</w:t>
      </w:r>
    </w:p>
    <w:p>
      <w:pPr>
        <w:pStyle w:val="BodyText"/>
        <w:spacing w:before="179"/>
        <w:ind w:left="224"/>
      </w:pPr>
      <w:r>
        <w:t>This</w:t>
      </w:r>
      <w:r>
        <w:rPr>
          <w:spacing w:val="-1"/>
        </w:rPr>
        <w:t xml:space="preserve"> </w:t>
      </w:r>
      <w:r>
        <w:t>section</w:t>
      </w:r>
      <w:r>
        <w:rPr>
          <w:spacing w:val="-1"/>
        </w:rPr>
        <w:t xml:space="preserve"> </w:t>
      </w:r>
      <w:r>
        <w:t>displays</w:t>
      </w:r>
      <w:r>
        <w:rPr>
          <w:spacing w:val="-1"/>
        </w:rPr>
        <w:t xml:space="preserve"> </w:t>
      </w:r>
      <w:r>
        <w:t>the</w:t>
      </w:r>
      <w:r>
        <w:rPr>
          <w:spacing w:val="-2"/>
        </w:rPr>
        <w:t xml:space="preserve"> </w:t>
      </w:r>
      <w:r>
        <w:t>information</w:t>
      </w:r>
      <w:r>
        <w:rPr>
          <w:spacing w:val="-1"/>
        </w:rPr>
        <w:t xml:space="preserve"> </w:t>
      </w:r>
      <w:r>
        <w:t>entered</w:t>
      </w:r>
      <w:r>
        <w:rPr>
          <w:spacing w:val="-1"/>
        </w:rPr>
        <w:t xml:space="preserve"> </w:t>
      </w:r>
      <w:r>
        <w:t>on</w:t>
      </w:r>
      <w:r>
        <w:rPr>
          <w:spacing w:val="1"/>
        </w:rPr>
        <w:t xml:space="preserve"> </w:t>
      </w:r>
      <w:r>
        <w:t>Worksheet</w:t>
      </w:r>
      <w:r>
        <w:rPr>
          <w:spacing w:val="-1"/>
        </w:rPr>
        <w:t xml:space="preserve"> </w:t>
      </w:r>
      <w:r>
        <w:t>1,</w:t>
      </w:r>
      <w:r>
        <w:rPr>
          <w:spacing w:val="-1"/>
        </w:rPr>
        <w:t xml:space="preserve"> </w:t>
      </w:r>
      <w:r>
        <w:t xml:space="preserve">Section </w:t>
      </w:r>
      <w:r>
        <w:rPr>
          <w:spacing w:val="-5"/>
        </w:rPr>
        <w:t>I.</w:t>
      </w:r>
    </w:p>
    <w:p>
      <w:pPr>
        <w:pStyle w:val="BodyText"/>
        <w:spacing w:before="45"/>
        <w:ind w:left="0"/>
      </w:pPr>
    </w:p>
    <w:p>
      <w:pPr>
        <w:pStyle w:val="Heading2"/>
        <w:ind w:left="224"/>
      </w:pPr>
      <w:bookmarkStart w:id="245" w:name="Section II – 2026 Defined Standard Benef"/>
      <w:bookmarkEnd w:id="245"/>
      <w:bookmarkStart w:id="246" w:name="_bookmark71"/>
      <w:bookmarkEnd w:id="246"/>
      <w:r>
        <w:rPr>
          <w:smallCaps/>
        </w:rPr>
        <w:t>Section</w:t>
      </w:r>
      <w:r>
        <w:rPr>
          <w:smallCaps/>
          <w:spacing w:val="-15"/>
        </w:rPr>
        <w:t xml:space="preserve"> </w:t>
      </w:r>
      <w:r>
        <w:rPr>
          <w:smallCaps/>
        </w:rPr>
        <w:t>II</w:t>
      </w:r>
      <w:r>
        <w:rPr>
          <w:smallCaps/>
          <w:spacing w:val="-15"/>
        </w:rPr>
        <w:t xml:space="preserve"> </w:t>
      </w:r>
      <w:r>
        <w:rPr>
          <w:smallCaps/>
        </w:rPr>
        <w:t>–</w:t>
      </w:r>
      <w:r>
        <w:rPr>
          <w:smallCaps/>
          <w:spacing w:val="-15"/>
        </w:rPr>
        <w:t xml:space="preserve"> </w:t>
      </w:r>
      <w:r>
        <w:rPr>
          <w:smallCaps/>
        </w:rPr>
        <w:t>2026</w:t>
      </w:r>
      <w:r>
        <w:rPr>
          <w:smallCaps/>
          <w:spacing w:val="-15"/>
        </w:rPr>
        <w:t xml:space="preserve"> </w:t>
      </w:r>
      <w:r>
        <w:rPr>
          <w:smallCaps/>
        </w:rPr>
        <w:t>Defined</w:t>
      </w:r>
      <w:r>
        <w:rPr>
          <w:smallCaps/>
          <w:spacing w:val="-14"/>
        </w:rPr>
        <w:t xml:space="preserve"> </w:t>
      </w:r>
      <w:r>
        <w:rPr>
          <w:smallCaps/>
        </w:rPr>
        <w:t>Standard</w:t>
      </w:r>
      <w:r>
        <w:rPr>
          <w:smallCaps/>
          <w:spacing w:val="-7"/>
        </w:rPr>
        <w:t xml:space="preserve"> </w:t>
      </w:r>
      <w:r>
        <w:rPr>
          <w:smallCaps/>
        </w:rPr>
        <w:t>Benefit</w:t>
      </w:r>
      <w:r>
        <w:rPr>
          <w:smallCaps/>
          <w:spacing w:val="-5"/>
        </w:rPr>
        <w:t xml:space="preserve"> </w:t>
      </w:r>
      <w:r>
        <w:rPr>
          <w:smallCaps/>
          <w:spacing w:val="-2"/>
        </w:rPr>
        <w:t>Parameters</w:t>
      </w:r>
    </w:p>
    <w:p>
      <w:pPr>
        <w:spacing w:before="240"/>
        <w:ind w:left="224" w:right="0" w:firstLine="0"/>
        <w:jc w:val="left"/>
        <w:rPr>
          <w:rFonts w:ascii="Arial" w:hAnsi="Arial"/>
          <w:b/>
          <w:sz w:val="21"/>
        </w:rPr>
      </w:pPr>
      <w:bookmarkStart w:id="247" w:name="Line 1 – Deductible"/>
      <w:bookmarkEnd w:id="247"/>
      <w:r>
        <w:rPr>
          <w:rFonts w:ascii="Arial" w:hAnsi="Arial"/>
          <w:b/>
          <w:sz w:val="21"/>
        </w:rPr>
        <w:t>Line</w:t>
      </w:r>
      <w:r>
        <w:rPr>
          <w:rFonts w:ascii="Arial" w:hAnsi="Arial"/>
          <w:b/>
          <w:spacing w:val="-3"/>
          <w:sz w:val="21"/>
        </w:rPr>
        <w:t xml:space="preserve"> </w:t>
      </w:r>
      <w:r>
        <w:rPr>
          <w:rFonts w:ascii="Arial" w:hAnsi="Arial"/>
          <w:b/>
          <w:sz w:val="21"/>
        </w:rPr>
        <w:t>1</w:t>
      </w:r>
      <w:r>
        <w:rPr>
          <w:rFonts w:ascii="Arial" w:hAnsi="Arial"/>
          <w:b/>
          <w:spacing w:val="-2"/>
          <w:sz w:val="21"/>
        </w:rPr>
        <w:t xml:space="preserve"> </w:t>
      </w:r>
      <w:r>
        <w:rPr>
          <w:rFonts w:ascii="Arial" w:hAnsi="Arial"/>
          <w:b/>
          <w:sz w:val="21"/>
        </w:rPr>
        <w:t>–</w:t>
      </w:r>
      <w:r>
        <w:rPr>
          <w:rFonts w:ascii="Arial" w:hAnsi="Arial"/>
          <w:b/>
          <w:spacing w:val="-3"/>
          <w:sz w:val="21"/>
        </w:rPr>
        <w:t xml:space="preserve"> </w:t>
      </w:r>
      <w:r>
        <w:rPr>
          <w:rFonts w:ascii="Arial" w:hAnsi="Arial"/>
          <w:b/>
          <w:spacing w:val="-2"/>
          <w:sz w:val="21"/>
        </w:rPr>
        <w:t>Deductible</w:t>
      </w:r>
    </w:p>
    <w:p>
      <w:pPr>
        <w:pStyle w:val="BodyText"/>
        <w:spacing w:before="121"/>
        <w:ind w:left="224"/>
      </w:pPr>
      <w:r>
        <w:t>The</w:t>
      </w:r>
      <w:r>
        <w:rPr>
          <w:spacing w:val="-2"/>
        </w:rPr>
        <w:t xml:space="preserve"> </w:t>
      </w:r>
      <w:r>
        <w:t>cell</w:t>
      </w:r>
      <w:r>
        <w:rPr>
          <w:spacing w:val="-1"/>
        </w:rPr>
        <w:t xml:space="preserve"> </w:t>
      </w:r>
      <w:r>
        <w:t>is pre-populated</w:t>
      </w:r>
      <w:r>
        <w:rPr>
          <w:spacing w:val="1"/>
        </w:rPr>
        <w:t xml:space="preserve"> </w:t>
      </w:r>
      <w:r>
        <w:t>with</w:t>
      </w:r>
      <w:r>
        <w:rPr>
          <w:spacing w:val="-1"/>
        </w:rPr>
        <w:t xml:space="preserve"> </w:t>
      </w:r>
      <w:r>
        <w:t>the</w:t>
      </w:r>
      <w:r>
        <w:rPr>
          <w:spacing w:val="-1"/>
        </w:rPr>
        <w:t xml:space="preserve"> </w:t>
      </w:r>
      <w:r>
        <w:t>deductible for</w:t>
      </w:r>
      <w:r>
        <w:rPr>
          <w:spacing w:val="-1"/>
        </w:rPr>
        <w:t xml:space="preserve"> </w:t>
      </w:r>
      <w:r>
        <w:t>the</w:t>
      </w:r>
      <w:r>
        <w:rPr>
          <w:spacing w:val="-1"/>
        </w:rPr>
        <w:t xml:space="preserve"> </w:t>
      </w:r>
      <w:r>
        <w:t>DS plan</w:t>
      </w:r>
      <w:r>
        <w:rPr>
          <w:spacing w:val="-2"/>
        </w:rPr>
        <w:t xml:space="preserve"> </w:t>
      </w:r>
      <w:r>
        <w:t xml:space="preserve">benefit </w:t>
      </w:r>
      <w:r>
        <w:rPr>
          <w:spacing w:val="-2"/>
        </w:rPr>
        <w:t>type.</w:t>
      </w:r>
    </w:p>
    <w:p>
      <w:pPr>
        <w:spacing w:before="241"/>
        <w:ind w:left="224" w:right="0" w:firstLine="0"/>
        <w:jc w:val="left"/>
        <w:rPr>
          <w:rFonts w:ascii="Arial" w:hAnsi="Arial"/>
          <w:b/>
          <w:sz w:val="21"/>
        </w:rPr>
      </w:pPr>
      <w:bookmarkStart w:id="248" w:name="Line 2 – Out-of-Pocket Limit"/>
      <w:bookmarkEnd w:id="248"/>
      <w:r>
        <w:rPr>
          <w:rFonts w:ascii="Arial" w:hAnsi="Arial"/>
          <w:b/>
          <w:sz w:val="21"/>
        </w:rPr>
        <w:t>Line</w:t>
      </w:r>
      <w:r>
        <w:rPr>
          <w:rFonts w:ascii="Arial" w:hAnsi="Arial"/>
          <w:b/>
          <w:spacing w:val="-5"/>
          <w:sz w:val="21"/>
        </w:rPr>
        <w:t xml:space="preserve"> </w:t>
      </w:r>
      <w:r>
        <w:rPr>
          <w:rFonts w:ascii="Arial" w:hAnsi="Arial"/>
          <w:b/>
          <w:sz w:val="21"/>
        </w:rPr>
        <w:t>2</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Out-of-Pocket</w:t>
      </w:r>
      <w:r>
        <w:rPr>
          <w:rFonts w:ascii="Arial" w:hAnsi="Arial"/>
          <w:b/>
          <w:spacing w:val="-7"/>
          <w:sz w:val="21"/>
        </w:rPr>
        <w:t xml:space="preserve"> </w:t>
      </w:r>
      <w:r>
        <w:rPr>
          <w:rFonts w:ascii="Arial" w:hAnsi="Arial"/>
          <w:b/>
          <w:spacing w:val="-4"/>
          <w:sz w:val="21"/>
        </w:rPr>
        <w:t>Limit</w:t>
      </w:r>
    </w:p>
    <w:p>
      <w:pPr>
        <w:pStyle w:val="BodyText"/>
        <w:spacing w:before="118"/>
        <w:ind w:left="224"/>
      </w:pPr>
      <w:r>
        <w:t>The</w:t>
      </w:r>
      <w:r>
        <w:rPr>
          <w:spacing w:val="-2"/>
        </w:rPr>
        <w:t xml:space="preserve"> </w:t>
      </w:r>
      <w:r>
        <w:t>cell</w:t>
      </w:r>
      <w:r>
        <w:rPr>
          <w:spacing w:val="-1"/>
        </w:rPr>
        <w:t xml:space="preserve"> </w:t>
      </w:r>
      <w:r>
        <w:t>is pre-populated</w:t>
      </w:r>
      <w:r>
        <w:rPr>
          <w:spacing w:val="1"/>
        </w:rPr>
        <w:t xml:space="preserve"> </w:t>
      </w:r>
      <w:r>
        <w:t>with the</w:t>
      </w:r>
      <w:r>
        <w:rPr>
          <w:spacing w:val="-1"/>
        </w:rPr>
        <w:t xml:space="preserve"> </w:t>
      </w:r>
      <w:r>
        <w:t>OOP</w:t>
      </w:r>
      <w:r>
        <w:rPr>
          <w:spacing w:val="-1"/>
        </w:rPr>
        <w:t xml:space="preserve"> </w:t>
      </w:r>
      <w:r>
        <w:t>for</w:t>
      </w:r>
      <w:r>
        <w:rPr>
          <w:spacing w:val="-2"/>
        </w:rPr>
        <w:t xml:space="preserve"> </w:t>
      </w:r>
      <w:r>
        <w:t>the</w:t>
      </w:r>
      <w:r>
        <w:rPr>
          <w:spacing w:val="-2"/>
        </w:rPr>
        <w:t xml:space="preserve"> </w:t>
      </w:r>
      <w:r>
        <w:t>DS</w:t>
      </w:r>
      <w:r>
        <w:rPr>
          <w:spacing w:val="2"/>
        </w:rPr>
        <w:t xml:space="preserve"> </w:t>
      </w:r>
      <w:r>
        <w:t>plan</w:t>
      </w:r>
      <w:r>
        <w:rPr>
          <w:spacing w:val="-1"/>
        </w:rPr>
        <w:t xml:space="preserve"> </w:t>
      </w:r>
      <w:r>
        <w:t xml:space="preserve">benefit </w:t>
      </w:r>
      <w:r>
        <w:rPr>
          <w:spacing w:val="-2"/>
        </w:rPr>
        <w:t>type.</w:t>
      </w:r>
    </w:p>
    <w:p>
      <w:pPr>
        <w:pStyle w:val="BodyText"/>
        <w:spacing w:before="44"/>
        <w:ind w:left="0"/>
      </w:pPr>
    </w:p>
    <w:p>
      <w:pPr>
        <w:pStyle w:val="Heading2"/>
        <w:spacing w:before="1"/>
        <w:ind w:left="224"/>
      </w:pPr>
      <w:bookmarkStart w:id="249" w:name="Section III – Summary of Key Bid Element"/>
      <w:bookmarkEnd w:id="249"/>
      <w:bookmarkStart w:id="250" w:name="_bookmark72"/>
      <w:bookmarkEnd w:id="250"/>
      <w:r>
        <w:rPr>
          <w:smallCaps/>
        </w:rPr>
        <w:t>Section</w:t>
      </w:r>
      <w:r>
        <w:rPr>
          <w:smallCaps/>
          <w:spacing w:val="-12"/>
        </w:rPr>
        <w:t xml:space="preserve"> </w:t>
      </w:r>
      <w:r>
        <w:rPr>
          <w:smallCaps/>
        </w:rPr>
        <w:t>III</w:t>
      </w:r>
      <w:r>
        <w:rPr>
          <w:smallCaps/>
          <w:spacing w:val="-15"/>
        </w:rPr>
        <w:t xml:space="preserve"> </w:t>
      </w:r>
      <w:r>
        <w:rPr>
          <w:smallCaps/>
        </w:rPr>
        <w:t>–</w:t>
      </w:r>
      <w:r>
        <w:rPr>
          <w:smallCaps/>
          <w:spacing w:val="-15"/>
        </w:rPr>
        <w:t xml:space="preserve"> </w:t>
      </w:r>
      <w:r>
        <w:rPr>
          <w:smallCaps/>
        </w:rPr>
        <w:t>Summary</w:t>
      </w:r>
      <w:r>
        <w:rPr>
          <w:smallCaps/>
          <w:spacing w:val="-6"/>
        </w:rPr>
        <w:t xml:space="preserve"> </w:t>
      </w:r>
      <w:r>
        <w:rPr>
          <w:smallCaps/>
        </w:rPr>
        <w:t>of</w:t>
      </w:r>
      <w:r>
        <w:rPr>
          <w:smallCaps/>
          <w:spacing w:val="-4"/>
        </w:rPr>
        <w:t xml:space="preserve"> </w:t>
      </w:r>
      <w:r>
        <w:rPr>
          <w:smallCaps/>
        </w:rPr>
        <w:t>Key</w:t>
      </w:r>
      <w:r>
        <w:rPr>
          <w:smallCaps/>
          <w:spacing w:val="-6"/>
        </w:rPr>
        <w:t xml:space="preserve"> </w:t>
      </w:r>
      <w:r>
        <w:rPr>
          <w:smallCaps/>
        </w:rPr>
        <w:t>Bid</w:t>
      </w:r>
      <w:r>
        <w:rPr>
          <w:smallCaps/>
          <w:spacing w:val="-4"/>
        </w:rPr>
        <w:t xml:space="preserve"> </w:t>
      </w:r>
      <w:r>
        <w:rPr>
          <w:smallCaps/>
          <w:spacing w:val="-2"/>
        </w:rPr>
        <w:t>Elements</w:t>
      </w:r>
    </w:p>
    <w:p>
      <w:pPr>
        <w:spacing w:before="240"/>
        <w:ind w:left="224" w:right="0" w:firstLine="0"/>
        <w:jc w:val="left"/>
        <w:rPr>
          <w:rFonts w:ascii="Arial" w:hAnsi="Arial"/>
          <w:b/>
          <w:sz w:val="21"/>
        </w:rPr>
      </w:pPr>
      <w:bookmarkStart w:id="251" w:name="Line 1 – Standardized Part D Bid"/>
      <w:bookmarkEnd w:id="251"/>
      <w:r>
        <w:rPr>
          <w:rFonts w:ascii="Arial" w:hAnsi="Arial"/>
          <w:b/>
          <w:sz w:val="21"/>
        </w:rPr>
        <w:t>Line</w:t>
      </w:r>
      <w:r>
        <w:rPr>
          <w:rFonts w:ascii="Arial" w:hAnsi="Arial"/>
          <w:b/>
          <w:spacing w:val="-4"/>
          <w:sz w:val="21"/>
        </w:rPr>
        <w:t xml:space="preserve"> </w:t>
      </w:r>
      <w:r>
        <w:rPr>
          <w:rFonts w:ascii="Arial" w:hAnsi="Arial"/>
          <w:b/>
          <w:sz w:val="21"/>
        </w:rPr>
        <w:t>1</w:t>
      </w:r>
      <w:r>
        <w:rPr>
          <w:rFonts w:ascii="Arial" w:hAnsi="Arial"/>
          <w:b/>
          <w:spacing w:val="-4"/>
          <w:sz w:val="21"/>
        </w:rPr>
        <w:t xml:space="preserve"> </w:t>
      </w:r>
      <w:r>
        <w:rPr>
          <w:rFonts w:ascii="Arial" w:hAnsi="Arial"/>
          <w:b/>
          <w:sz w:val="21"/>
        </w:rPr>
        <w:t>–</w:t>
      </w:r>
      <w:r>
        <w:rPr>
          <w:rFonts w:ascii="Arial" w:hAnsi="Arial"/>
          <w:b/>
          <w:spacing w:val="-3"/>
          <w:sz w:val="21"/>
        </w:rPr>
        <w:t xml:space="preserve"> </w:t>
      </w:r>
      <w:r>
        <w:rPr>
          <w:rFonts w:ascii="Arial" w:hAnsi="Arial"/>
          <w:b/>
          <w:sz w:val="21"/>
        </w:rPr>
        <w:t>Standardized</w:t>
      </w:r>
      <w:r>
        <w:rPr>
          <w:rFonts w:ascii="Arial" w:hAnsi="Arial"/>
          <w:b/>
          <w:spacing w:val="-5"/>
          <w:sz w:val="21"/>
        </w:rPr>
        <w:t xml:space="preserve"> </w:t>
      </w:r>
      <w:r>
        <w:rPr>
          <w:rFonts w:ascii="Arial" w:hAnsi="Arial"/>
          <w:b/>
          <w:sz w:val="21"/>
        </w:rPr>
        <w:t>Part</w:t>
      </w:r>
      <w:r>
        <w:rPr>
          <w:rFonts w:ascii="Arial" w:hAnsi="Arial"/>
          <w:b/>
          <w:spacing w:val="-5"/>
          <w:sz w:val="21"/>
        </w:rPr>
        <w:t xml:space="preserve"> </w:t>
      </w:r>
      <w:r>
        <w:rPr>
          <w:rFonts w:ascii="Arial" w:hAnsi="Arial"/>
          <w:b/>
          <w:sz w:val="21"/>
        </w:rPr>
        <w:t>D</w:t>
      </w:r>
      <w:r>
        <w:rPr>
          <w:rFonts w:ascii="Arial" w:hAnsi="Arial"/>
          <w:b/>
          <w:spacing w:val="-2"/>
          <w:sz w:val="21"/>
        </w:rPr>
        <w:t xml:space="preserve"> </w:t>
      </w:r>
      <w:r>
        <w:rPr>
          <w:rFonts w:ascii="Arial" w:hAnsi="Arial"/>
          <w:b/>
          <w:spacing w:val="-5"/>
          <w:sz w:val="21"/>
        </w:rPr>
        <w:t>Bid</w:t>
      </w:r>
    </w:p>
    <w:p>
      <w:pPr>
        <w:pStyle w:val="BodyText"/>
        <w:ind w:left="224" w:right="478"/>
      </w:pPr>
      <w:r>
        <w:t>The</w:t>
      </w:r>
      <w:r>
        <w:rPr>
          <w:spacing w:val="-5"/>
        </w:rPr>
        <w:t xml:space="preserve"> </w:t>
      </w:r>
      <w:r>
        <w:t>value</w:t>
      </w:r>
      <w:r>
        <w:rPr>
          <w:spacing w:val="-3"/>
        </w:rPr>
        <w:t xml:space="preserve"> </w:t>
      </w:r>
      <w:r>
        <w:t>is</w:t>
      </w:r>
      <w:r>
        <w:rPr>
          <w:spacing w:val="-3"/>
        </w:rPr>
        <w:t xml:space="preserve"> </w:t>
      </w:r>
      <w:r>
        <w:t>carried</w:t>
      </w:r>
      <w:r>
        <w:rPr>
          <w:spacing w:val="-2"/>
        </w:rPr>
        <w:t xml:space="preserve"> </w:t>
      </w:r>
      <w:r>
        <w:t>from</w:t>
      </w:r>
      <w:r>
        <w:rPr>
          <w:spacing w:val="-1"/>
        </w:rPr>
        <w:t xml:space="preserve"> </w:t>
      </w:r>
      <w:r>
        <w:t>other</w:t>
      </w:r>
      <w:r>
        <w:rPr>
          <w:spacing w:val="-5"/>
        </w:rPr>
        <w:t xml:space="preserve"> </w:t>
      </w:r>
      <w:r>
        <w:t>worksheets</w:t>
      </w:r>
      <w:r>
        <w:rPr>
          <w:spacing w:val="-3"/>
        </w:rPr>
        <w:t xml:space="preserve"> </w:t>
      </w:r>
      <w:r>
        <w:t>in</w:t>
      </w:r>
      <w:r>
        <w:rPr>
          <w:spacing w:val="-3"/>
        </w:rPr>
        <w:t xml:space="preserve"> </w:t>
      </w:r>
      <w:r>
        <w:t>the</w:t>
      </w:r>
      <w:r>
        <w:rPr>
          <w:spacing w:val="-3"/>
        </w:rPr>
        <w:t xml:space="preserve"> </w:t>
      </w:r>
      <w:r>
        <w:t>BPT</w:t>
      </w:r>
      <w:r>
        <w:rPr>
          <w:spacing w:val="-3"/>
        </w:rPr>
        <w:t xml:space="preserve"> </w:t>
      </w:r>
      <w:r>
        <w:t>based</w:t>
      </w:r>
      <w:r>
        <w:rPr>
          <w:spacing w:val="-3"/>
        </w:rPr>
        <w:t xml:space="preserve"> </w:t>
      </w:r>
      <w:r>
        <w:t>on</w:t>
      </w:r>
      <w:r>
        <w:rPr>
          <w:spacing w:val="-3"/>
        </w:rPr>
        <w:t xml:space="preserve"> </w:t>
      </w:r>
      <w:r>
        <w:t>the</w:t>
      </w:r>
      <w:r>
        <w:rPr>
          <w:spacing w:val="-3"/>
        </w:rPr>
        <w:t xml:space="preserve"> </w:t>
      </w:r>
      <w:r>
        <w:t>plan</w:t>
      </w:r>
      <w:r>
        <w:rPr>
          <w:spacing w:val="-3"/>
        </w:rPr>
        <w:t xml:space="preserve"> </w:t>
      </w:r>
      <w:r>
        <w:t>benefit</w:t>
      </w:r>
      <w:r>
        <w:rPr>
          <w:spacing w:val="-3"/>
        </w:rPr>
        <w:t xml:space="preserve"> </w:t>
      </w:r>
      <w:r>
        <w:t>type</w:t>
      </w:r>
      <w:r>
        <w:rPr>
          <w:spacing w:val="-4"/>
        </w:rPr>
        <w:t xml:space="preserve"> </w:t>
      </w:r>
      <w:r>
        <w:t>(DS,</w:t>
      </w:r>
      <w:r>
        <w:rPr>
          <w:spacing w:val="-3"/>
        </w:rPr>
        <w:t xml:space="preserve"> </w:t>
      </w:r>
      <w:r>
        <w:t>AE, BA or EA).</w:t>
      </w:r>
    </w:p>
    <w:p>
      <w:pPr>
        <w:spacing w:before="240"/>
        <w:ind w:left="224" w:right="0" w:firstLine="0"/>
        <w:jc w:val="left"/>
        <w:rPr>
          <w:rFonts w:ascii="Arial" w:hAnsi="Arial"/>
          <w:b/>
          <w:sz w:val="21"/>
        </w:rPr>
      </w:pPr>
      <w:bookmarkStart w:id="252" w:name="Line 2 – National Average Monthly Bid Am"/>
      <w:bookmarkEnd w:id="252"/>
      <w:r>
        <w:rPr>
          <w:rFonts w:ascii="Arial" w:hAnsi="Arial"/>
          <w:b/>
          <w:sz w:val="21"/>
        </w:rPr>
        <w:t>Line</w:t>
      </w:r>
      <w:r>
        <w:rPr>
          <w:rFonts w:ascii="Arial" w:hAnsi="Arial"/>
          <w:b/>
          <w:spacing w:val="-6"/>
          <w:sz w:val="21"/>
        </w:rPr>
        <w:t xml:space="preserve"> </w:t>
      </w:r>
      <w:r>
        <w:rPr>
          <w:rFonts w:ascii="Arial" w:hAnsi="Arial"/>
          <w:b/>
          <w:sz w:val="21"/>
        </w:rPr>
        <w:t>2</w:t>
      </w:r>
      <w:r>
        <w:rPr>
          <w:rFonts w:ascii="Arial" w:hAnsi="Arial"/>
          <w:b/>
          <w:spacing w:val="-5"/>
          <w:sz w:val="21"/>
        </w:rPr>
        <w:t xml:space="preserve"> </w:t>
      </w:r>
      <w:r>
        <w:rPr>
          <w:rFonts w:ascii="Arial" w:hAnsi="Arial"/>
          <w:b/>
          <w:sz w:val="21"/>
        </w:rPr>
        <w:t>–</w:t>
      </w:r>
      <w:r>
        <w:rPr>
          <w:rFonts w:ascii="Arial" w:hAnsi="Arial"/>
          <w:b/>
          <w:spacing w:val="-6"/>
          <w:sz w:val="21"/>
        </w:rPr>
        <w:t xml:space="preserve"> </w:t>
      </w:r>
      <w:r>
        <w:rPr>
          <w:rFonts w:ascii="Arial" w:hAnsi="Arial"/>
          <w:b/>
          <w:sz w:val="21"/>
        </w:rPr>
        <w:t>National</w:t>
      </w:r>
      <w:r>
        <w:rPr>
          <w:rFonts w:ascii="Arial" w:hAnsi="Arial"/>
          <w:b/>
          <w:spacing w:val="-6"/>
          <w:sz w:val="21"/>
        </w:rPr>
        <w:t xml:space="preserve"> </w:t>
      </w:r>
      <w:r>
        <w:rPr>
          <w:rFonts w:ascii="Arial" w:hAnsi="Arial"/>
          <w:b/>
          <w:sz w:val="21"/>
        </w:rPr>
        <w:t>Average</w:t>
      </w:r>
      <w:r>
        <w:rPr>
          <w:rFonts w:ascii="Arial" w:hAnsi="Arial"/>
          <w:b/>
          <w:spacing w:val="-5"/>
          <w:sz w:val="21"/>
        </w:rPr>
        <w:t xml:space="preserve"> </w:t>
      </w:r>
      <w:r>
        <w:rPr>
          <w:rFonts w:ascii="Arial" w:hAnsi="Arial"/>
          <w:b/>
          <w:sz w:val="21"/>
        </w:rPr>
        <w:t>Monthly</w:t>
      </w:r>
      <w:r>
        <w:rPr>
          <w:rFonts w:ascii="Arial" w:hAnsi="Arial"/>
          <w:b/>
          <w:spacing w:val="-6"/>
          <w:sz w:val="21"/>
        </w:rPr>
        <w:t xml:space="preserve"> </w:t>
      </w:r>
      <w:r>
        <w:rPr>
          <w:rFonts w:ascii="Arial" w:hAnsi="Arial"/>
          <w:b/>
          <w:sz w:val="21"/>
        </w:rPr>
        <w:t>Bid</w:t>
      </w:r>
      <w:r>
        <w:rPr>
          <w:rFonts w:ascii="Arial" w:hAnsi="Arial"/>
          <w:b/>
          <w:spacing w:val="-7"/>
          <w:sz w:val="21"/>
        </w:rPr>
        <w:t xml:space="preserve"> </w:t>
      </w:r>
      <w:r>
        <w:rPr>
          <w:rFonts w:ascii="Arial" w:hAnsi="Arial"/>
          <w:b/>
          <w:sz w:val="21"/>
        </w:rPr>
        <w:t>Amount</w:t>
      </w:r>
      <w:r>
        <w:rPr>
          <w:rFonts w:ascii="Arial" w:hAnsi="Arial"/>
          <w:b/>
          <w:spacing w:val="-4"/>
          <w:sz w:val="21"/>
        </w:rPr>
        <w:t xml:space="preserve"> </w:t>
      </w:r>
      <w:r>
        <w:rPr>
          <w:rFonts w:ascii="Arial" w:hAnsi="Arial"/>
          <w:b/>
          <w:spacing w:val="-2"/>
          <w:sz w:val="21"/>
        </w:rPr>
        <w:t>(NAMBA)</w:t>
      </w:r>
    </w:p>
    <w:p>
      <w:pPr>
        <w:pStyle w:val="BodyText"/>
        <w:spacing w:before="119"/>
        <w:ind w:left="224" w:right="425"/>
      </w:pPr>
      <w:r>
        <w:t>Enter</w:t>
      </w:r>
      <w:r>
        <w:rPr>
          <w:spacing w:val="-2"/>
        </w:rPr>
        <w:t xml:space="preserve"> </w:t>
      </w:r>
      <w:r>
        <w:t>the</w:t>
      </w:r>
      <w:r>
        <w:rPr>
          <w:spacing w:val="-4"/>
        </w:rPr>
        <w:t xml:space="preserve"> </w:t>
      </w:r>
      <w:r>
        <w:t>Part</w:t>
      </w:r>
      <w:r>
        <w:rPr>
          <w:spacing w:val="-2"/>
        </w:rPr>
        <w:t xml:space="preserve"> </w:t>
      </w:r>
      <w:r>
        <w:t>D</w:t>
      </w:r>
      <w:r>
        <w:rPr>
          <w:spacing w:val="-3"/>
        </w:rPr>
        <w:t xml:space="preserve"> </w:t>
      </w:r>
      <w:r>
        <w:t>sponsor’s</w:t>
      </w:r>
      <w:r>
        <w:rPr>
          <w:spacing w:val="-1"/>
        </w:rPr>
        <w:t xml:space="preserve"> </w:t>
      </w:r>
      <w:r>
        <w:t>estimate</w:t>
      </w:r>
      <w:r>
        <w:rPr>
          <w:spacing w:val="-3"/>
        </w:rPr>
        <w:t xml:space="preserve"> </w:t>
      </w:r>
      <w:r>
        <w:t>of</w:t>
      </w:r>
      <w:r>
        <w:rPr>
          <w:spacing w:val="-2"/>
        </w:rPr>
        <w:t xml:space="preserve"> </w:t>
      </w:r>
      <w:r>
        <w:t>the</w:t>
      </w:r>
      <w:r>
        <w:rPr>
          <w:spacing w:val="-4"/>
        </w:rPr>
        <w:t xml:space="preserve"> </w:t>
      </w:r>
      <w:r>
        <w:t>NAMBA</w:t>
      </w:r>
      <w:r>
        <w:rPr>
          <w:spacing w:val="-2"/>
        </w:rPr>
        <w:t xml:space="preserve"> </w:t>
      </w:r>
      <w:r>
        <w:t>at</w:t>
      </w:r>
      <w:r>
        <w:rPr>
          <w:spacing w:val="-2"/>
        </w:rPr>
        <w:t xml:space="preserve"> </w:t>
      </w:r>
      <w:r>
        <w:t>the</w:t>
      </w:r>
      <w:r>
        <w:rPr>
          <w:spacing w:val="-3"/>
        </w:rPr>
        <w:t xml:space="preserve"> </w:t>
      </w:r>
      <w:r>
        <w:t>time</w:t>
      </w:r>
      <w:r>
        <w:rPr>
          <w:spacing w:val="-2"/>
        </w:rPr>
        <w:t xml:space="preserve"> </w:t>
      </w:r>
      <w:r>
        <w:t>of</w:t>
      </w:r>
      <w:r>
        <w:rPr>
          <w:spacing w:val="-4"/>
        </w:rPr>
        <w:t xml:space="preserve"> </w:t>
      </w:r>
      <w:r>
        <w:t>bid</w:t>
      </w:r>
      <w:r>
        <w:rPr>
          <w:spacing w:val="-2"/>
        </w:rPr>
        <w:t xml:space="preserve"> </w:t>
      </w:r>
      <w:r>
        <w:t>submission.</w:t>
      </w:r>
      <w:r>
        <w:rPr>
          <w:spacing w:val="-2"/>
        </w:rPr>
        <w:t xml:space="preserve"> </w:t>
      </w:r>
      <w:r>
        <w:t>The</w:t>
      </w:r>
      <w:r>
        <w:rPr>
          <w:spacing w:val="-4"/>
        </w:rPr>
        <w:t xml:space="preserve"> </w:t>
      </w:r>
      <w:r>
        <w:t xml:space="preserve">final NAMBA for CY2026 will be calculated and published by CMS after the initial June bid </w:t>
      </w:r>
      <w:r>
        <w:rPr>
          <w:spacing w:val="-2"/>
        </w:rPr>
        <w:t>submission.</w:t>
      </w:r>
    </w:p>
    <w:p>
      <w:pPr>
        <w:spacing w:before="240"/>
        <w:ind w:left="224" w:right="0" w:firstLine="0"/>
        <w:jc w:val="left"/>
        <w:rPr>
          <w:rFonts w:ascii="Arial" w:hAnsi="Arial"/>
          <w:b/>
          <w:sz w:val="21"/>
        </w:rPr>
      </w:pPr>
      <w:bookmarkStart w:id="253" w:name="Line 3 – Base Beneficiary Premium (BBP)"/>
      <w:bookmarkEnd w:id="253"/>
      <w:r>
        <w:rPr>
          <w:rFonts w:ascii="Arial" w:hAnsi="Arial"/>
          <w:b/>
          <w:sz w:val="21"/>
        </w:rPr>
        <w:t>Line</w:t>
      </w:r>
      <w:r>
        <w:rPr>
          <w:rFonts w:ascii="Arial" w:hAnsi="Arial"/>
          <w:b/>
          <w:spacing w:val="-6"/>
          <w:sz w:val="21"/>
        </w:rPr>
        <w:t xml:space="preserve"> </w:t>
      </w:r>
      <w:r>
        <w:rPr>
          <w:rFonts w:ascii="Arial" w:hAnsi="Arial"/>
          <w:b/>
          <w:sz w:val="21"/>
        </w:rPr>
        <w:t>3</w:t>
      </w:r>
      <w:r>
        <w:rPr>
          <w:rFonts w:ascii="Arial" w:hAnsi="Arial"/>
          <w:b/>
          <w:spacing w:val="-5"/>
          <w:sz w:val="21"/>
        </w:rPr>
        <w:t xml:space="preserve"> </w:t>
      </w:r>
      <w:r>
        <w:rPr>
          <w:rFonts w:ascii="Arial" w:hAnsi="Arial"/>
          <w:b/>
          <w:sz w:val="21"/>
        </w:rPr>
        <w:t>–</w:t>
      </w:r>
      <w:r>
        <w:rPr>
          <w:rFonts w:ascii="Arial" w:hAnsi="Arial"/>
          <w:b/>
          <w:spacing w:val="-7"/>
          <w:sz w:val="21"/>
        </w:rPr>
        <w:t xml:space="preserve"> </w:t>
      </w:r>
      <w:r>
        <w:rPr>
          <w:rFonts w:ascii="Arial" w:hAnsi="Arial"/>
          <w:b/>
          <w:sz w:val="21"/>
        </w:rPr>
        <w:t>Base</w:t>
      </w:r>
      <w:r>
        <w:rPr>
          <w:rFonts w:ascii="Arial" w:hAnsi="Arial"/>
          <w:b/>
          <w:spacing w:val="-6"/>
          <w:sz w:val="21"/>
        </w:rPr>
        <w:t xml:space="preserve"> </w:t>
      </w:r>
      <w:r>
        <w:rPr>
          <w:rFonts w:ascii="Arial" w:hAnsi="Arial"/>
          <w:b/>
          <w:sz w:val="21"/>
        </w:rPr>
        <w:t>Beneficiary</w:t>
      </w:r>
      <w:r>
        <w:rPr>
          <w:rFonts w:ascii="Arial" w:hAnsi="Arial"/>
          <w:b/>
          <w:spacing w:val="-5"/>
          <w:sz w:val="21"/>
        </w:rPr>
        <w:t xml:space="preserve"> </w:t>
      </w:r>
      <w:r>
        <w:rPr>
          <w:rFonts w:ascii="Arial" w:hAnsi="Arial"/>
          <w:b/>
          <w:sz w:val="21"/>
        </w:rPr>
        <w:t>Premium</w:t>
      </w:r>
      <w:r>
        <w:rPr>
          <w:rFonts w:ascii="Arial" w:hAnsi="Arial"/>
          <w:b/>
          <w:spacing w:val="-4"/>
          <w:sz w:val="21"/>
        </w:rPr>
        <w:t xml:space="preserve"> (BBP)</w:t>
      </w:r>
    </w:p>
    <w:p>
      <w:pPr>
        <w:pStyle w:val="BodyText"/>
        <w:spacing w:before="121"/>
        <w:ind w:left="224" w:right="918"/>
      </w:pPr>
      <w:r>
        <w:t>Enter the Part D sponsor’s estimate of the BBP. The NAMBA, basic Part D A/B rebate allocation</w:t>
      </w:r>
      <w:r>
        <w:rPr>
          <w:spacing w:val="-3"/>
        </w:rPr>
        <w:t xml:space="preserve"> </w:t>
      </w:r>
      <w:r>
        <w:t>reported</w:t>
      </w:r>
      <w:r>
        <w:rPr>
          <w:spacing w:val="-3"/>
        </w:rPr>
        <w:t xml:space="preserve"> </w:t>
      </w:r>
      <w:r>
        <w:t>on</w:t>
      </w:r>
      <w:r>
        <w:rPr>
          <w:spacing w:val="-3"/>
        </w:rPr>
        <w:t xml:space="preserve"> </w:t>
      </w:r>
      <w:r>
        <w:t>the</w:t>
      </w:r>
      <w:r>
        <w:rPr>
          <w:spacing w:val="-3"/>
        </w:rPr>
        <w:t xml:space="preserve"> </w:t>
      </w:r>
      <w:r>
        <w:t>MA</w:t>
      </w:r>
      <w:r>
        <w:rPr>
          <w:spacing w:val="-4"/>
        </w:rPr>
        <w:t xml:space="preserve"> </w:t>
      </w:r>
      <w:r>
        <w:t>BPT</w:t>
      </w:r>
      <w:r>
        <w:rPr>
          <w:spacing w:val="-2"/>
        </w:rPr>
        <w:t xml:space="preserve"> </w:t>
      </w:r>
      <w:r>
        <w:t>for</w:t>
      </w:r>
      <w:r>
        <w:rPr>
          <w:spacing w:val="-5"/>
        </w:rPr>
        <w:t xml:space="preserve"> </w:t>
      </w:r>
      <w:r>
        <w:t>MA</w:t>
      </w:r>
      <w:r>
        <w:rPr>
          <w:spacing w:val="-3"/>
        </w:rPr>
        <w:t xml:space="preserve"> </w:t>
      </w:r>
      <w:r>
        <w:t>plans</w:t>
      </w:r>
      <w:r>
        <w:rPr>
          <w:spacing w:val="-1"/>
        </w:rPr>
        <w:t xml:space="preserve"> </w:t>
      </w:r>
      <w:r>
        <w:t>and</w:t>
      </w:r>
      <w:r>
        <w:rPr>
          <w:spacing w:val="-3"/>
        </w:rPr>
        <w:t xml:space="preserve"> </w:t>
      </w:r>
      <w:r>
        <w:t>BBP</w:t>
      </w:r>
      <w:r>
        <w:rPr>
          <w:spacing w:val="-3"/>
        </w:rPr>
        <w:t xml:space="preserve"> </w:t>
      </w:r>
      <w:r>
        <w:t>will</w:t>
      </w:r>
      <w:r>
        <w:rPr>
          <w:spacing w:val="-3"/>
        </w:rPr>
        <w:t xml:space="preserve"> </w:t>
      </w:r>
      <w:r>
        <w:t>determine</w:t>
      </w:r>
      <w:r>
        <w:rPr>
          <w:spacing w:val="-4"/>
        </w:rPr>
        <w:t xml:space="preserve"> </w:t>
      </w:r>
      <w:r>
        <w:t>the</w:t>
      </w:r>
      <w:r>
        <w:rPr>
          <w:spacing w:val="-3"/>
        </w:rPr>
        <w:t xml:space="preserve"> </w:t>
      </w:r>
      <w:r>
        <w:t>plan’s</w:t>
      </w:r>
      <w:r>
        <w:rPr>
          <w:spacing w:val="-4"/>
        </w:rPr>
        <w:t xml:space="preserve"> </w:t>
      </w:r>
      <w:r>
        <w:t>basic Part D target premium. This value must be less than or equal to the value in Line 4.</w:t>
      </w:r>
    </w:p>
    <w:p>
      <w:pPr>
        <w:spacing w:before="240"/>
        <w:ind w:left="224" w:right="0" w:firstLine="0"/>
        <w:jc w:val="left"/>
        <w:rPr>
          <w:rFonts w:ascii="Arial" w:hAnsi="Arial"/>
          <w:b/>
          <w:sz w:val="21"/>
        </w:rPr>
      </w:pPr>
      <w:bookmarkStart w:id="254" w:name="Line 4 – Maximum Base Beneficiary Premiu"/>
      <w:bookmarkEnd w:id="254"/>
      <w:r>
        <w:rPr>
          <w:rFonts w:ascii="Arial" w:hAnsi="Arial"/>
          <w:b/>
          <w:sz w:val="21"/>
        </w:rPr>
        <w:t>Line</w:t>
      </w:r>
      <w:r>
        <w:rPr>
          <w:rFonts w:ascii="Arial" w:hAnsi="Arial"/>
          <w:b/>
          <w:spacing w:val="-6"/>
          <w:sz w:val="21"/>
        </w:rPr>
        <w:t xml:space="preserve"> </w:t>
      </w:r>
      <w:r>
        <w:rPr>
          <w:rFonts w:ascii="Arial" w:hAnsi="Arial"/>
          <w:b/>
          <w:sz w:val="21"/>
        </w:rPr>
        <w:t>4</w:t>
      </w:r>
      <w:r>
        <w:rPr>
          <w:rFonts w:ascii="Arial" w:hAnsi="Arial"/>
          <w:b/>
          <w:spacing w:val="-5"/>
          <w:sz w:val="21"/>
        </w:rPr>
        <w:t xml:space="preserve"> </w:t>
      </w:r>
      <w:r>
        <w:rPr>
          <w:rFonts w:ascii="Arial" w:hAnsi="Arial"/>
          <w:b/>
          <w:sz w:val="21"/>
        </w:rPr>
        <w:t>–</w:t>
      </w:r>
      <w:r>
        <w:rPr>
          <w:rFonts w:ascii="Arial" w:hAnsi="Arial"/>
          <w:b/>
          <w:spacing w:val="-5"/>
          <w:sz w:val="21"/>
        </w:rPr>
        <w:t xml:space="preserve"> </w:t>
      </w:r>
      <w:r>
        <w:rPr>
          <w:rFonts w:ascii="Arial" w:hAnsi="Arial"/>
          <w:b/>
          <w:sz w:val="21"/>
        </w:rPr>
        <w:t>Maximum</w:t>
      </w:r>
      <w:r>
        <w:rPr>
          <w:rFonts w:ascii="Arial" w:hAnsi="Arial"/>
          <w:b/>
          <w:spacing w:val="-8"/>
          <w:sz w:val="21"/>
        </w:rPr>
        <w:t xml:space="preserve"> </w:t>
      </w:r>
      <w:r>
        <w:rPr>
          <w:rFonts w:ascii="Arial" w:hAnsi="Arial"/>
          <w:b/>
          <w:sz w:val="21"/>
        </w:rPr>
        <w:t>Base</w:t>
      </w:r>
      <w:r>
        <w:rPr>
          <w:rFonts w:ascii="Arial" w:hAnsi="Arial"/>
          <w:b/>
          <w:spacing w:val="-5"/>
          <w:sz w:val="21"/>
        </w:rPr>
        <w:t xml:space="preserve"> </w:t>
      </w:r>
      <w:r>
        <w:rPr>
          <w:rFonts w:ascii="Arial" w:hAnsi="Arial"/>
          <w:b/>
          <w:sz w:val="21"/>
        </w:rPr>
        <w:t>Beneficiary</w:t>
      </w:r>
      <w:r>
        <w:rPr>
          <w:rFonts w:ascii="Arial" w:hAnsi="Arial"/>
          <w:b/>
          <w:spacing w:val="-7"/>
          <w:sz w:val="21"/>
        </w:rPr>
        <w:t xml:space="preserve"> </w:t>
      </w:r>
      <w:r>
        <w:rPr>
          <w:rFonts w:ascii="Arial" w:hAnsi="Arial"/>
          <w:b/>
          <w:spacing w:val="-2"/>
          <w:sz w:val="21"/>
        </w:rPr>
        <w:t>Premium</w:t>
      </w:r>
    </w:p>
    <w:p>
      <w:pPr>
        <w:pStyle w:val="BodyText"/>
        <w:spacing w:before="121"/>
        <w:ind w:left="224" w:right="477"/>
        <w:jc w:val="both"/>
      </w:pPr>
      <w:r>
        <w:t>This</w:t>
      </w:r>
      <w:r>
        <w:rPr>
          <w:spacing w:val="-3"/>
        </w:rPr>
        <w:t xml:space="preserve"> </w:t>
      </w:r>
      <w:r>
        <w:t>value</w:t>
      </w:r>
      <w:r>
        <w:rPr>
          <w:spacing w:val="-4"/>
        </w:rPr>
        <w:t xml:space="preserve"> </w:t>
      </w:r>
      <w:r>
        <w:t>is</w:t>
      </w:r>
      <w:r>
        <w:rPr>
          <w:spacing w:val="-3"/>
        </w:rPr>
        <w:t xml:space="preserve"> </w:t>
      </w:r>
      <w:r>
        <w:t>automatically</w:t>
      </w:r>
      <w:r>
        <w:rPr>
          <w:spacing w:val="-3"/>
        </w:rPr>
        <w:t xml:space="preserve"> </w:t>
      </w:r>
      <w:r>
        <w:t>calculated</w:t>
      </w:r>
      <w:r>
        <w:rPr>
          <w:spacing w:val="-3"/>
        </w:rPr>
        <w:t xml:space="preserve"> </w:t>
      </w:r>
      <w:r>
        <w:t>as</w:t>
      </w:r>
      <w:r>
        <w:rPr>
          <w:spacing w:val="-1"/>
        </w:rPr>
        <w:t xml:space="preserve"> </w:t>
      </w:r>
      <w:r>
        <w:t>the</w:t>
      </w:r>
      <w:r>
        <w:rPr>
          <w:spacing w:val="-4"/>
        </w:rPr>
        <w:t xml:space="preserve"> </w:t>
      </w:r>
      <w:r>
        <w:t>product</w:t>
      </w:r>
      <w:r>
        <w:rPr>
          <w:spacing w:val="-3"/>
        </w:rPr>
        <w:t xml:space="preserve"> </w:t>
      </w:r>
      <w:r>
        <w:t>of</w:t>
      </w:r>
      <w:r>
        <w:rPr>
          <w:spacing w:val="-3"/>
        </w:rPr>
        <w:t xml:space="preserve"> </w:t>
      </w:r>
      <w:r>
        <w:t>1.06</w:t>
      </w:r>
      <w:r>
        <w:rPr>
          <w:spacing w:val="-3"/>
        </w:rPr>
        <w:t xml:space="preserve"> </w:t>
      </w:r>
      <w:r>
        <w:t>and</w:t>
      </w:r>
      <w:r>
        <w:rPr>
          <w:spacing w:val="-3"/>
        </w:rPr>
        <w:t xml:space="preserve"> </w:t>
      </w:r>
      <w:r>
        <w:t>the</w:t>
      </w:r>
      <w:r>
        <w:rPr>
          <w:spacing w:val="-3"/>
        </w:rPr>
        <w:t xml:space="preserve"> </w:t>
      </w:r>
      <w:r>
        <w:t>Base</w:t>
      </w:r>
      <w:r>
        <w:rPr>
          <w:spacing w:val="-5"/>
        </w:rPr>
        <w:t xml:space="preserve"> </w:t>
      </w:r>
      <w:r>
        <w:t>Beneficiary</w:t>
      </w:r>
      <w:r>
        <w:rPr>
          <w:spacing w:val="-3"/>
        </w:rPr>
        <w:t xml:space="preserve"> </w:t>
      </w:r>
      <w:r>
        <w:t>Premium for</w:t>
      </w:r>
      <w:r>
        <w:rPr>
          <w:spacing w:val="-2"/>
        </w:rPr>
        <w:t xml:space="preserve"> </w:t>
      </w:r>
      <w:r>
        <w:t>CY2025. The</w:t>
      </w:r>
      <w:r>
        <w:rPr>
          <w:spacing w:val="-2"/>
        </w:rPr>
        <w:t xml:space="preserve"> </w:t>
      </w:r>
      <w:r>
        <w:t>input value in Line</w:t>
      </w:r>
      <w:r>
        <w:rPr>
          <w:spacing w:val="-1"/>
        </w:rPr>
        <w:t xml:space="preserve"> </w:t>
      </w:r>
      <w:r>
        <w:t>3 of</w:t>
      </w:r>
      <w:r>
        <w:rPr>
          <w:spacing w:val="-1"/>
        </w:rPr>
        <w:t xml:space="preserve"> </w:t>
      </w:r>
      <w:r>
        <w:t>this section must be less than or equal to the value on this line.</w:t>
      </w:r>
    </w:p>
    <w:p>
      <w:pPr>
        <w:spacing w:after="0"/>
        <w:jc w:val="both"/>
        <w:sectPr>
          <w:headerReference w:type="default" r:id="rId33"/>
          <w:footerReference w:type="default" r:id="rId34"/>
          <w:pgSz w:w="12240" w:h="15840"/>
          <w:pgMar w:top="1340" w:right="1000" w:bottom="940" w:left="1360" w:header="727" w:footer="747"/>
          <w:cols w:space="720"/>
        </w:sectPr>
      </w:pPr>
    </w:p>
    <w:p>
      <w:pPr>
        <w:spacing w:before="87"/>
        <w:ind w:left="224" w:right="0" w:firstLine="0"/>
        <w:jc w:val="left"/>
        <w:rPr>
          <w:rFonts w:ascii="Arial" w:hAnsi="Arial"/>
          <w:b/>
          <w:sz w:val="21"/>
        </w:rPr>
      </w:pPr>
      <w:bookmarkStart w:id="255" w:name="Lines 5 and 6 – Basic Part D Premium (pr"/>
      <w:bookmarkEnd w:id="255"/>
      <w:r>
        <w:rPr>
          <w:rFonts w:ascii="Arial" w:hAnsi="Arial"/>
          <w:b/>
          <w:sz w:val="21"/>
        </w:rPr>
        <w:t>Lines</w:t>
      </w:r>
      <w:r>
        <w:rPr>
          <w:rFonts w:ascii="Arial" w:hAnsi="Arial"/>
          <w:b/>
          <w:spacing w:val="-6"/>
          <w:sz w:val="21"/>
        </w:rPr>
        <w:t xml:space="preserve"> </w:t>
      </w:r>
      <w:r>
        <w:rPr>
          <w:rFonts w:ascii="Arial" w:hAnsi="Arial"/>
          <w:b/>
          <w:sz w:val="21"/>
        </w:rPr>
        <w:t>5</w:t>
      </w:r>
      <w:r>
        <w:rPr>
          <w:rFonts w:ascii="Arial" w:hAnsi="Arial"/>
          <w:b/>
          <w:spacing w:val="-4"/>
          <w:sz w:val="21"/>
        </w:rPr>
        <w:t xml:space="preserve"> </w:t>
      </w:r>
      <w:r>
        <w:rPr>
          <w:rFonts w:ascii="Arial" w:hAnsi="Arial"/>
          <w:b/>
          <w:sz w:val="21"/>
        </w:rPr>
        <w:t>and</w:t>
      </w:r>
      <w:r>
        <w:rPr>
          <w:rFonts w:ascii="Arial" w:hAnsi="Arial"/>
          <w:b/>
          <w:spacing w:val="-3"/>
          <w:sz w:val="21"/>
        </w:rPr>
        <w:t xml:space="preserve"> </w:t>
      </w:r>
      <w:r>
        <w:rPr>
          <w:rFonts w:ascii="Arial" w:hAnsi="Arial"/>
          <w:b/>
          <w:sz w:val="21"/>
        </w:rPr>
        <w:t>6</w:t>
      </w:r>
      <w:r>
        <w:rPr>
          <w:rFonts w:ascii="Arial" w:hAnsi="Arial"/>
          <w:b/>
          <w:spacing w:val="-3"/>
          <w:sz w:val="21"/>
        </w:rPr>
        <w:t xml:space="preserve"> </w:t>
      </w:r>
      <w:r>
        <w:rPr>
          <w:rFonts w:ascii="Arial" w:hAnsi="Arial"/>
          <w:b/>
          <w:sz w:val="21"/>
        </w:rPr>
        <w:t>–</w:t>
      </w:r>
      <w:r>
        <w:rPr>
          <w:rFonts w:ascii="Arial" w:hAnsi="Arial"/>
          <w:b/>
          <w:spacing w:val="-4"/>
          <w:sz w:val="21"/>
        </w:rPr>
        <w:t xml:space="preserve"> </w:t>
      </w:r>
      <w:r>
        <w:rPr>
          <w:rFonts w:ascii="Arial" w:hAnsi="Arial"/>
          <w:b/>
          <w:sz w:val="21"/>
        </w:rPr>
        <w:t>Basic</w:t>
      </w:r>
      <w:r>
        <w:rPr>
          <w:rFonts w:ascii="Arial" w:hAnsi="Arial"/>
          <w:b/>
          <w:spacing w:val="-4"/>
          <w:sz w:val="21"/>
        </w:rPr>
        <w:t xml:space="preserve"> </w:t>
      </w:r>
      <w:r>
        <w:rPr>
          <w:rFonts w:ascii="Arial" w:hAnsi="Arial"/>
          <w:b/>
          <w:sz w:val="21"/>
        </w:rPr>
        <w:t>Part</w:t>
      </w:r>
      <w:r>
        <w:rPr>
          <w:rFonts w:ascii="Arial" w:hAnsi="Arial"/>
          <w:b/>
          <w:spacing w:val="-4"/>
          <w:sz w:val="21"/>
        </w:rPr>
        <w:t xml:space="preserve"> </w:t>
      </w:r>
      <w:r>
        <w:rPr>
          <w:rFonts w:ascii="Arial" w:hAnsi="Arial"/>
          <w:b/>
          <w:sz w:val="21"/>
        </w:rPr>
        <w:t>D</w:t>
      </w:r>
      <w:r>
        <w:rPr>
          <w:rFonts w:ascii="Arial" w:hAnsi="Arial"/>
          <w:b/>
          <w:spacing w:val="-3"/>
          <w:sz w:val="21"/>
        </w:rPr>
        <w:t xml:space="preserve"> </w:t>
      </w:r>
      <w:r>
        <w:rPr>
          <w:rFonts w:ascii="Arial" w:hAnsi="Arial"/>
          <w:b/>
          <w:sz w:val="21"/>
        </w:rPr>
        <w:t>Premium</w:t>
      </w:r>
      <w:r>
        <w:rPr>
          <w:rFonts w:ascii="Arial" w:hAnsi="Arial"/>
          <w:b/>
          <w:spacing w:val="-5"/>
          <w:sz w:val="21"/>
        </w:rPr>
        <w:t xml:space="preserve"> </w:t>
      </w:r>
      <w:r>
        <w:rPr>
          <w:rFonts w:ascii="Arial" w:hAnsi="Arial"/>
          <w:b/>
          <w:sz w:val="21"/>
        </w:rPr>
        <w:t>(prior</w:t>
      </w:r>
      <w:r>
        <w:rPr>
          <w:rFonts w:ascii="Arial" w:hAnsi="Arial"/>
          <w:b/>
          <w:spacing w:val="-3"/>
          <w:sz w:val="21"/>
        </w:rPr>
        <w:t xml:space="preserve"> </w:t>
      </w:r>
      <w:r>
        <w:rPr>
          <w:rFonts w:ascii="Arial" w:hAnsi="Arial"/>
          <w:b/>
          <w:sz w:val="21"/>
        </w:rPr>
        <w:t>to</w:t>
      </w:r>
      <w:r>
        <w:rPr>
          <w:rFonts w:ascii="Arial" w:hAnsi="Arial"/>
          <w:b/>
          <w:spacing w:val="-3"/>
          <w:sz w:val="21"/>
        </w:rPr>
        <w:t xml:space="preserve"> </w:t>
      </w:r>
      <w:r>
        <w:rPr>
          <w:rFonts w:ascii="Arial" w:hAnsi="Arial"/>
          <w:b/>
          <w:sz w:val="21"/>
        </w:rPr>
        <w:t>A/B</w:t>
      </w:r>
      <w:r>
        <w:rPr>
          <w:rFonts w:ascii="Arial" w:hAnsi="Arial"/>
          <w:b/>
          <w:spacing w:val="-3"/>
          <w:sz w:val="21"/>
        </w:rPr>
        <w:t xml:space="preserve"> </w:t>
      </w:r>
      <w:r>
        <w:rPr>
          <w:rFonts w:ascii="Arial" w:hAnsi="Arial"/>
          <w:b/>
          <w:sz w:val="21"/>
        </w:rPr>
        <w:t>rebate</w:t>
      </w:r>
      <w:r>
        <w:rPr>
          <w:rFonts w:ascii="Arial" w:hAnsi="Arial"/>
          <w:b/>
          <w:spacing w:val="-4"/>
          <w:sz w:val="21"/>
        </w:rPr>
        <w:t xml:space="preserve"> </w:t>
      </w:r>
      <w:r>
        <w:rPr>
          <w:rFonts w:ascii="Arial" w:hAnsi="Arial"/>
          <w:b/>
          <w:spacing w:val="-2"/>
          <w:sz w:val="21"/>
        </w:rPr>
        <w:t>allocation)</w:t>
      </w:r>
    </w:p>
    <w:p>
      <w:pPr>
        <w:pStyle w:val="BodyText"/>
        <w:spacing w:before="121"/>
        <w:ind w:left="224" w:right="445"/>
      </w:pPr>
      <w:r>
        <w:t>The values are calculated automatically in the BPT. Line 5 is calculated as line 1 minus line 2 plus line 3. Line 6 reflects the value of the</w:t>
      </w:r>
      <w:r>
        <w:rPr>
          <w:spacing w:val="-1"/>
        </w:rPr>
        <w:t xml:space="preserve"> </w:t>
      </w:r>
      <w:r>
        <w:t>basic Part D premium from line 5 after the rounding rule</w:t>
      </w:r>
      <w:r>
        <w:rPr>
          <w:spacing w:val="-4"/>
        </w:rPr>
        <w:t xml:space="preserve"> </w:t>
      </w:r>
      <w:r>
        <w:t>selected</w:t>
      </w:r>
      <w:r>
        <w:rPr>
          <w:spacing w:val="-2"/>
        </w:rPr>
        <w:t xml:space="preserve"> </w:t>
      </w:r>
      <w:r>
        <w:t>on</w:t>
      </w:r>
      <w:r>
        <w:rPr>
          <w:spacing w:val="-2"/>
        </w:rPr>
        <w:t xml:space="preserve"> </w:t>
      </w:r>
      <w:r>
        <w:t>line</w:t>
      </w:r>
      <w:r>
        <w:rPr>
          <w:spacing w:val="-3"/>
        </w:rPr>
        <w:t xml:space="preserve"> </w:t>
      </w:r>
      <w:r>
        <w:t>14</w:t>
      </w:r>
      <w:r>
        <w:rPr>
          <w:spacing w:val="-2"/>
        </w:rPr>
        <w:t xml:space="preserve"> </w:t>
      </w:r>
      <w:r>
        <w:t>of</w:t>
      </w:r>
      <w:r>
        <w:rPr>
          <w:spacing w:val="-2"/>
        </w:rPr>
        <w:t xml:space="preserve"> </w:t>
      </w:r>
      <w:r>
        <w:t>this</w:t>
      </w:r>
      <w:r>
        <w:rPr>
          <w:spacing w:val="-2"/>
        </w:rPr>
        <w:t xml:space="preserve"> </w:t>
      </w:r>
      <w:r>
        <w:t>section</w:t>
      </w:r>
      <w:r>
        <w:rPr>
          <w:spacing w:val="-2"/>
        </w:rPr>
        <w:t xml:space="preserve"> </w:t>
      </w:r>
      <w:r>
        <w:t>has</w:t>
      </w:r>
      <w:r>
        <w:rPr>
          <w:spacing w:val="-2"/>
        </w:rPr>
        <w:t xml:space="preserve"> </w:t>
      </w:r>
      <w:r>
        <w:t>been applied.</w:t>
      </w:r>
      <w:r>
        <w:rPr>
          <w:spacing w:val="-2"/>
        </w:rPr>
        <w:t xml:space="preserve"> </w:t>
      </w:r>
      <w:r>
        <w:t>If</w:t>
      </w:r>
      <w:r>
        <w:rPr>
          <w:spacing w:val="-4"/>
        </w:rPr>
        <w:t xml:space="preserve"> </w:t>
      </w:r>
      <w:r>
        <w:t>the</w:t>
      </w:r>
      <w:r>
        <w:rPr>
          <w:spacing w:val="-2"/>
        </w:rPr>
        <w:t xml:space="preserve"> </w:t>
      </w:r>
      <w:r>
        <w:t>basic</w:t>
      </w:r>
      <w:r>
        <w:rPr>
          <w:spacing w:val="-3"/>
        </w:rPr>
        <w:t xml:space="preserve"> </w:t>
      </w:r>
      <w:r>
        <w:t>Part</w:t>
      </w:r>
      <w:r>
        <w:rPr>
          <w:spacing w:val="-2"/>
        </w:rPr>
        <w:t xml:space="preserve"> </w:t>
      </w:r>
      <w:r>
        <w:t>D</w:t>
      </w:r>
      <w:r>
        <w:rPr>
          <w:spacing w:val="-1"/>
        </w:rPr>
        <w:t xml:space="preserve"> </w:t>
      </w:r>
      <w:r>
        <w:t>premium</w:t>
      </w:r>
      <w:r>
        <w:rPr>
          <w:spacing w:val="-2"/>
        </w:rPr>
        <w:t xml:space="preserve"> </w:t>
      </w:r>
      <w:r>
        <w:t>is</w:t>
      </w:r>
      <w:r>
        <w:rPr>
          <w:spacing w:val="-2"/>
        </w:rPr>
        <w:t xml:space="preserve"> </w:t>
      </w:r>
      <w:r>
        <w:t>negative and the plan benefit type is DS, AE or BA, then the Part D sponsor is permitted to lower its estimate of the NAMBA and BBP. If the plan benefit type is EA, then the Part D sponsor is permitted to lower its estimate of the NAMBA and BBP or fully offset the negative basic premium with a supplemental Part D premium. The basic Part D premium, before and after the rounding rule is applied, will be updated based on the final NAMBA and BBP that are calculated and published by CMS after the initial June bid submission.</w:t>
      </w:r>
    </w:p>
    <w:p>
      <w:pPr>
        <w:spacing w:before="241"/>
        <w:ind w:left="224" w:right="0" w:firstLine="0"/>
        <w:jc w:val="left"/>
        <w:rPr>
          <w:rFonts w:ascii="Arial" w:hAnsi="Arial"/>
          <w:b/>
          <w:sz w:val="21"/>
        </w:rPr>
      </w:pPr>
      <w:bookmarkStart w:id="256" w:name="Lines 7 and 8 – Supplemental Part D Prem"/>
      <w:bookmarkEnd w:id="256"/>
      <w:r>
        <w:rPr>
          <w:rFonts w:ascii="Arial" w:hAnsi="Arial"/>
          <w:b/>
          <w:sz w:val="21"/>
        </w:rPr>
        <w:t>Lines</w:t>
      </w:r>
      <w:r>
        <w:rPr>
          <w:rFonts w:ascii="Arial" w:hAnsi="Arial"/>
          <w:b/>
          <w:spacing w:val="-7"/>
          <w:sz w:val="21"/>
        </w:rPr>
        <w:t xml:space="preserve"> </w:t>
      </w:r>
      <w:r>
        <w:rPr>
          <w:rFonts w:ascii="Arial" w:hAnsi="Arial"/>
          <w:b/>
          <w:sz w:val="21"/>
        </w:rPr>
        <w:t>7</w:t>
      </w:r>
      <w:r>
        <w:rPr>
          <w:rFonts w:ascii="Arial" w:hAnsi="Arial"/>
          <w:b/>
          <w:spacing w:val="-4"/>
          <w:sz w:val="21"/>
        </w:rPr>
        <w:t xml:space="preserve"> </w:t>
      </w:r>
      <w:r>
        <w:rPr>
          <w:rFonts w:ascii="Arial" w:hAnsi="Arial"/>
          <w:b/>
          <w:sz w:val="21"/>
        </w:rPr>
        <w:t>and</w:t>
      </w:r>
      <w:r>
        <w:rPr>
          <w:rFonts w:ascii="Arial" w:hAnsi="Arial"/>
          <w:b/>
          <w:spacing w:val="-3"/>
          <w:sz w:val="21"/>
        </w:rPr>
        <w:t xml:space="preserve"> </w:t>
      </w:r>
      <w:r>
        <w:rPr>
          <w:rFonts w:ascii="Arial" w:hAnsi="Arial"/>
          <w:b/>
          <w:sz w:val="21"/>
        </w:rPr>
        <w:t>8</w:t>
      </w:r>
      <w:r>
        <w:rPr>
          <w:rFonts w:ascii="Arial" w:hAnsi="Arial"/>
          <w:b/>
          <w:spacing w:val="-4"/>
          <w:sz w:val="21"/>
        </w:rPr>
        <w:t xml:space="preserve"> </w:t>
      </w:r>
      <w:r>
        <w:rPr>
          <w:rFonts w:ascii="Arial" w:hAnsi="Arial"/>
          <w:b/>
          <w:sz w:val="21"/>
        </w:rPr>
        <w:t>–</w:t>
      </w:r>
      <w:r>
        <w:rPr>
          <w:rFonts w:ascii="Arial" w:hAnsi="Arial"/>
          <w:b/>
          <w:spacing w:val="-4"/>
          <w:sz w:val="21"/>
        </w:rPr>
        <w:t xml:space="preserve"> </w:t>
      </w:r>
      <w:r>
        <w:rPr>
          <w:rFonts w:ascii="Arial" w:hAnsi="Arial"/>
          <w:b/>
          <w:sz w:val="21"/>
        </w:rPr>
        <w:t>Supplemental</w:t>
      </w:r>
      <w:r>
        <w:rPr>
          <w:rFonts w:ascii="Arial" w:hAnsi="Arial"/>
          <w:b/>
          <w:spacing w:val="-4"/>
          <w:sz w:val="21"/>
        </w:rPr>
        <w:t xml:space="preserve"> </w:t>
      </w:r>
      <w:r>
        <w:rPr>
          <w:rFonts w:ascii="Arial" w:hAnsi="Arial"/>
          <w:b/>
          <w:sz w:val="21"/>
        </w:rPr>
        <w:t>Part</w:t>
      </w:r>
      <w:r>
        <w:rPr>
          <w:rFonts w:ascii="Arial" w:hAnsi="Arial"/>
          <w:b/>
          <w:spacing w:val="-8"/>
          <w:sz w:val="21"/>
        </w:rPr>
        <w:t xml:space="preserve"> </w:t>
      </w:r>
      <w:r>
        <w:rPr>
          <w:rFonts w:ascii="Arial" w:hAnsi="Arial"/>
          <w:b/>
          <w:sz w:val="21"/>
        </w:rPr>
        <w:t>D</w:t>
      </w:r>
      <w:r>
        <w:rPr>
          <w:rFonts w:ascii="Arial" w:hAnsi="Arial"/>
          <w:b/>
          <w:spacing w:val="-3"/>
          <w:sz w:val="21"/>
        </w:rPr>
        <w:t xml:space="preserve"> </w:t>
      </w:r>
      <w:r>
        <w:rPr>
          <w:rFonts w:ascii="Arial" w:hAnsi="Arial"/>
          <w:b/>
          <w:sz w:val="21"/>
        </w:rPr>
        <w:t>Premium</w:t>
      </w:r>
      <w:r>
        <w:rPr>
          <w:rFonts w:ascii="Arial" w:hAnsi="Arial"/>
          <w:b/>
          <w:spacing w:val="-4"/>
          <w:sz w:val="21"/>
        </w:rPr>
        <w:t xml:space="preserve"> </w:t>
      </w:r>
      <w:r>
        <w:rPr>
          <w:rFonts w:ascii="Arial" w:hAnsi="Arial"/>
          <w:b/>
          <w:sz w:val="21"/>
        </w:rPr>
        <w:t>(prior</w:t>
      </w:r>
      <w:r>
        <w:rPr>
          <w:rFonts w:ascii="Arial" w:hAnsi="Arial"/>
          <w:b/>
          <w:spacing w:val="-4"/>
          <w:sz w:val="21"/>
        </w:rPr>
        <w:t xml:space="preserve"> </w:t>
      </w:r>
      <w:r>
        <w:rPr>
          <w:rFonts w:ascii="Arial" w:hAnsi="Arial"/>
          <w:b/>
          <w:sz w:val="21"/>
        </w:rPr>
        <w:t>to</w:t>
      </w:r>
      <w:r>
        <w:rPr>
          <w:rFonts w:ascii="Arial" w:hAnsi="Arial"/>
          <w:b/>
          <w:spacing w:val="-3"/>
          <w:sz w:val="21"/>
        </w:rPr>
        <w:t xml:space="preserve"> </w:t>
      </w:r>
      <w:r>
        <w:rPr>
          <w:rFonts w:ascii="Arial" w:hAnsi="Arial"/>
          <w:b/>
          <w:sz w:val="21"/>
        </w:rPr>
        <w:t>A/B</w:t>
      </w:r>
      <w:r>
        <w:rPr>
          <w:rFonts w:ascii="Arial" w:hAnsi="Arial"/>
          <w:b/>
          <w:spacing w:val="-3"/>
          <w:sz w:val="21"/>
        </w:rPr>
        <w:t xml:space="preserve"> </w:t>
      </w:r>
      <w:r>
        <w:rPr>
          <w:rFonts w:ascii="Arial" w:hAnsi="Arial"/>
          <w:b/>
          <w:sz w:val="21"/>
        </w:rPr>
        <w:t>rebate</w:t>
      </w:r>
      <w:r>
        <w:rPr>
          <w:rFonts w:ascii="Arial" w:hAnsi="Arial"/>
          <w:b/>
          <w:spacing w:val="-4"/>
          <w:sz w:val="21"/>
        </w:rPr>
        <w:t xml:space="preserve"> </w:t>
      </w:r>
      <w:r>
        <w:rPr>
          <w:rFonts w:ascii="Arial" w:hAnsi="Arial"/>
          <w:b/>
          <w:spacing w:val="-2"/>
          <w:sz w:val="21"/>
        </w:rPr>
        <w:t>allocation)</w:t>
      </w:r>
    </w:p>
    <w:p>
      <w:pPr>
        <w:pStyle w:val="BodyText"/>
        <w:spacing w:before="118"/>
        <w:ind w:left="224" w:right="478"/>
      </w:pPr>
      <w:r>
        <w:t>The values are calculated automatically in the BPT when supplemental benefits are offered. Line 7 is carried from Worksheet 5 of the BPT. Line 8 reflects the value of the supplemental Part</w:t>
      </w:r>
      <w:r>
        <w:rPr>
          <w:spacing w:val="-3"/>
        </w:rPr>
        <w:t xml:space="preserve"> </w:t>
      </w:r>
      <w:r>
        <w:t>D</w:t>
      </w:r>
      <w:r>
        <w:rPr>
          <w:spacing w:val="-3"/>
        </w:rPr>
        <w:t xml:space="preserve"> </w:t>
      </w:r>
      <w:r>
        <w:t>premium</w:t>
      </w:r>
      <w:r>
        <w:rPr>
          <w:spacing w:val="-2"/>
        </w:rPr>
        <w:t xml:space="preserve"> </w:t>
      </w:r>
      <w:r>
        <w:t>from</w:t>
      </w:r>
      <w:r>
        <w:rPr>
          <w:spacing w:val="-2"/>
        </w:rPr>
        <w:t xml:space="preserve"> </w:t>
      </w:r>
      <w:r>
        <w:t>line</w:t>
      </w:r>
      <w:r>
        <w:rPr>
          <w:spacing w:val="-2"/>
        </w:rPr>
        <w:t xml:space="preserve"> </w:t>
      </w:r>
      <w:r>
        <w:t>7</w:t>
      </w:r>
      <w:r>
        <w:rPr>
          <w:spacing w:val="-2"/>
        </w:rPr>
        <w:t xml:space="preserve"> </w:t>
      </w:r>
      <w:r>
        <w:t>after</w:t>
      </w:r>
      <w:r>
        <w:rPr>
          <w:spacing w:val="-2"/>
        </w:rPr>
        <w:t xml:space="preserve"> </w:t>
      </w:r>
      <w:r>
        <w:t>the</w:t>
      </w:r>
      <w:r>
        <w:rPr>
          <w:spacing w:val="-4"/>
        </w:rPr>
        <w:t xml:space="preserve"> </w:t>
      </w:r>
      <w:r>
        <w:t>rounding</w:t>
      </w:r>
      <w:r>
        <w:rPr>
          <w:spacing w:val="-2"/>
        </w:rPr>
        <w:t xml:space="preserve"> </w:t>
      </w:r>
      <w:r>
        <w:t>rule</w:t>
      </w:r>
      <w:r>
        <w:rPr>
          <w:spacing w:val="-3"/>
        </w:rPr>
        <w:t xml:space="preserve"> </w:t>
      </w:r>
      <w:r>
        <w:t>selected</w:t>
      </w:r>
      <w:r>
        <w:rPr>
          <w:spacing w:val="-2"/>
        </w:rPr>
        <w:t xml:space="preserve"> </w:t>
      </w:r>
      <w:r>
        <w:t>on</w:t>
      </w:r>
      <w:r>
        <w:rPr>
          <w:spacing w:val="-2"/>
        </w:rPr>
        <w:t xml:space="preserve"> </w:t>
      </w:r>
      <w:r>
        <w:t>line</w:t>
      </w:r>
      <w:r>
        <w:rPr>
          <w:spacing w:val="-3"/>
        </w:rPr>
        <w:t xml:space="preserve"> </w:t>
      </w:r>
      <w:r>
        <w:t>14</w:t>
      </w:r>
      <w:r>
        <w:rPr>
          <w:spacing w:val="-2"/>
        </w:rPr>
        <w:t xml:space="preserve"> </w:t>
      </w:r>
      <w:r>
        <w:t>of</w:t>
      </w:r>
      <w:r>
        <w:rPr>
          <w:spacing w:val="-2"/>
        </w:rPr>
        <w:t xml:space="preserve"> </w:t>
      </w:r>
      <w:r>
        <w:t>this</w:t>
      </w:r>
      <w:r>
        <w:rPr>
          <w:spacing w:val="-2"/>
        </w:rPr>
        <w:t xml:space="preserve"> </w:t>
      </w:r>
      <w:r>
        <w:t>section</w:t>
      </w:r>
      <w:r>
        <w:rPr>
          <w:spacing w:val="-2"/>
        </w:rPr>
        <w:t xml:space="preserve"> </w:t>
      </w:r>
      <w:r>
        <w:t>has</w:t>
      </w:r>
      <w:r>
        <w:rPr>
          <w:spacing w:val="-2"/>
        </w:rPr>
        <w:t xml:space="preserve"> </w:t>
      </w:r>
      <w:r>
        <w:t xml:space="preserve">been </w:t>
      </w:r>
      <w:r>
        <w:rPr>
          <w:spacing w:val="-2"/>
        </w:rPr>
        <w:t>applied.</w:t>
      </w:r>
    </w:p>
    <w:p>
      <w:pPr>
        <w:spacing w:before="241"/>
        <w:ind w:left="224" w:right="0" w:firstLine="0"/>
        <w:jc w:val="left"/>
        <w:rPr>
          <w:rFonts w:ascii="Arial" w:hAnsi="Arial"/>
          <w:b/>
          <w:sz w:val="21"/>
        </w:rPr>
      </w:pPr>
      <w:bookmarkStart w:id="257" w:name="Line 9 – Prospective Federal Reinsurance"/>
      <w:bookmarkEnd w:id="257"/>
      <w:r>
        <w:rPr>
          <w:rFonts w:ascii="Arial" w:hAnsi="Arial"/>
          <w:b/>
          <w:sz w:val="21"/>
        </w:rPr>
        <w:t>Line</w:t>
      </w:r>
      <w:r>
        <w:rPr>
          <w:rFonts w:ascii="Arial" w:hAnsi="Arial"/>
          <w:b/>
          <w:spacing w:val="-10"/>
          <w:sz w:val="21"/>
        </w:rPr>
        <w:t xml:space="preserve"> </w:t>
      </w:r>
      <w:r>
        <w:rPr>
          <w:rFonts w:ascii="Arial" w:hAnsi="Arial"/>
          <w:b/>
          <w:sz w:val="21"/>
        </w:rPr>
        <w:t>9</w:t>
      </w:r>
      <w:r>
        <w:rPr>
          <w:rFonts w:ascii="Arial" w:hAnsi="Arial"/>
          <w:b/>
          <w:spacing w:val="-7"/>
          <w:sz w:val="21"/>
        </w:rPr>
        <w:t xml:space="preserve"> </w:t>
      </w:r>
      <w:r>
        <w:rPr>
          <w:rFonts w:ascii="Arial" w:hAnsi="Arial"/>
          <w:b/>
          <w:sz w:val="21"/>
        </w:rPr>
        <w:t>–</w:t>
      </w:r>
      <w:r>
        <w:rPr>
          <w:rFonts w:ascii="Arial" w:hAnsi="Arial"/>
          <w:b/>
          <w:spacing w:val="-8"/>
          <w:sz w:val="21"/>
        </w:rPr>
        <w:t xml:space="preserve"> </w:t>
      </w:r>
      <w:r>
        <w:rPr>
          <w:rFonts w:ascii="Arial" w:hAnsi="Arial"/>
          <w:b/>
          <w:sz w:val="21"/>
        </w:rPr>
        <w:t>Prospective</w:t>
      </w:r>
      <w:r>
        <w:rPr>
          <w:rFonts w:ascii="Arial" w:hAnsi="Arial"/>
          <w:b/>
          <w:spacing w:val="-7"/>
          <w:sz w:val="21"/>
        </w:rPr>
        <w:t xml:space="preserve"> </w:t>
      </w:r>
      <w:r>
        <w:rPr>
          <w:rFonts w:ascii="Arial" w:hAnsi="Arial"/>
          <w:b/>
          <w:sz w:val="21"/>
        </w:rPr>
        <w:t>Federal</w:t>
      </w:r>
      <w:r>
        <w:rPr>
          <w:rFonts w:ascii="Arial" w:hAnsi="Arial"/>
          <w:b/>
          <w:spacing w:val="-9"/>
          <w:sz w:val="21"/>
        </w:rPr>
        <w:t xml:space="preserve"> </w:t>
      </w:r>
      <w:r>
        <w:rPr>
          <w:rFonts w:ascii="Arial" w:hAnsi="Arial"/>
          <w:b/>
          <w:sz w:val="21"/>
        </w:rPr>
        <w:t>Reinsurance</w:t>
      </w:r>
      <w:r>
        <w:rPr>
          <w:rFonts w:ascii="Arial" w:hAnsi="Arial"/>
          <w:b/>
          <w:spacing w:val="-7"/>
          <w:sz w:val="21"/>
        </w:rPr>
        <w:t xml:space="preserve"> </w:t>
      </w:r>
      <w:r>
        <w:rPr>
          <w:rFonts w:ascii="Arial" w:hAnsi="Arial"/>
          <w:b/>
          <w:sz w:val="21"/>
        </w:rPr>
        <w:t>(Non-</w:t>
      </w:r>
      <w:r>
        <w:rPr>
          <w:rFonts w:ascii="Arial" w:hAnsi="Arial"/>
          <w:b/>
          <w:spacing w:val="-2"/>
          <w:sz w:val="21"/>
        </w:rPr>
        <w:t>Standardized)</w:t>
      </w:r>
    </w:p>
    <w:p>
      <w:pPr>
        <w:pStyle w:val="BodyText"/>
        <w:ind w:left="224" w:right="478"/>
      </w:pPr>
      <w:r>
        <w:t>The</w:t>
      </w:r>
      <w:r>
        <w:rPr>
          <w:spacing w:val="-5"/>
        </w:rPr>
        <w:t xml:space="preserve"> </w:t>
      </w:r>
      <w:r>
        <w:t>value</w:t>
      </w:r>
      <w:r>
        <w:rPr>
          <w:spacing w:val="-3"/>
        </w:rPr>
        <w:t xml:space="preserve"> </w:t>
      </w:r>
      <w:r>
        <w:t>is</w:t>
      </w:r>
      <w:r>
        <w:rPr>
          <w:spacing w:val="-3"/>
        </w:rPr>
        <w:t xml:space="preserve"> </w:t>
      </w:r>
      <w:r>
        <w:t>carried</w:t>
      </w:r>
      <w:r>
        <w:rPr>
          <w:spacing w:val="-2"/>
        </w:rPr>
        <w:t xml:space="preserve"> </w:t>
      </w:r>
      <w:r>
        <w:t>from</w:t>
      </w:r>
      <w:r>
        <w:rPr>
          <w:spacing w:val="-1"/>
        </w:rPr>
        <w:t xml:space="preserve"> </w:t>
      </w:r>
      <w:r>
        <w:t>other</w:t>
      </w:r>
      <w:r>
        <w:rPr>
          <w:spacing w:val="-5"/>
        </w:rPr>
        <w:t xml:space="preserve"> </w:t>
      </w:r>
      <w:r>
        <w:t>worksheets</w:t>
      </w:r>
      <w:r>
        <w:rPr>
          <w:spacing w:val="-3"/>
        </w:rPr>
        <w:t xml:space="preserve"> </w:t>
      </w:r>
      <w:r>
        <w:t>in</w:t>
      </w:r>
      <w:r>
        <w:rPr>
          <w:spacing w:val="-3"/>
        </w:rPr>
        <w:t xml:space="preserve"> </w:t>
      </w:r>
      <w:r>
        <w:t>the</w:t>
      </w:r>
      <w:r>
        <w:rPr>
          <w:spacing w:val="-3"/>
        </w:rPr>
        <w:t xml:space="preserve"> </w:t>
      </w:r>
      <w:r>
        <w:t>BPT</w:t>
      </w:r>
      <w:r>
        <w:rPr>
          <w:spacing w:val="-3"/>
        </w:rPr>
        <w:t xml:space="preserve"> </w:t>
      </w:r>
      <w:r>
        <w:t>based</w:t>
      </w:r>
      <w:r>
        <w:rPr>
          <w:spacing w:val="-3"/>
        </w:rPr>
        <w:t xml:space="preserve"> </w:t>
      </w:r>
      <w:r>
        <w:t>on</w:t>
      </w:r>
      <w:r>
        <w:rPr>
          <w:spacing w:val="-3"/>
        </w:rPr>
        <w:t xml:space="preserve"> </w:t>
      </w:r>
      <w:r>
        <w:t>the</w:t>
      </w:r>
      <w:r>
        <w:rPr>
          <w:spacing w:val="-3"/>
        </w:rPr>
        <w:t xml:space="preserve"> </w:t>
      </w:r>
      <w:r>
        <w:t>plan</w:t>
      </w:r>
      <w:r>
        <w:rPr>
          <w:spacing w:val="-3"/>
        </w:rPr>
        <w:t xml:space="preserve"> </w:t>
      </w:r>
      <w:r>
        <w:t>benefit</w:t>
      </w:r>
      <w:r>
        <w:rPr>
          <w:spacing w:val="-3"/>
        </w:rPr>
        <w:t xml:space="preserve"> </w:t>
      </w:r>
      <w:r>
        <w:t>type</w:t>
      </w:r>
      <w:r>
        <w:rPr>
          <w:spacing w:val="-4"/>
        </w:rPr>
        <w:t xml:space="preserve"> </w:t>
      </w:r>
      <w:r>
        <w:t>(DS,</w:t>
      </w:r>
      <w:r>
        <w:rPr>
          <w:spacing w:val="-3"/>
        </w:rPr>
        <w:t xml:space="preserve"> </w:t>
      </w:r>
      <w:r>
        <w:t>AE, BA or EA).</w:t>
      </w:r>
    </w:p>
    <w:p>
      <w:pPr>
        <w:spacing w:before="241"/>
        <w:ind w:left="224" w:right="0" w:firstLine="0"/>
        <w:jc w:val="left"/>
        <w:rPr>
          <w:rFonts w:ascii="Arial" w:hAnsi="Arial"/>
          <w:b/>
          <w:sz w:val="21"/>
        </w:rPr>
      </w:pPr>
      <w:bookmarkStart w:id="258" w:name="Line 10 – Prospective Low-income Cost Sh"/>
      <w:bookmarkEnd w:id="258"/>
      <w:r>
        <w:rPr>
          <w:rFonts w:ascii="Arial" w:hAnsi="Arial"/>
          <w:b/>
          <w:sz w:val="21"/>
        </w:rPr>
        <w:t>Line</w:t>
      </w:r>
      <w:r>
        <w:rPr>
          <w:rFonts w:ascii="Arial" w:hAnsi="Arial"/>
          <w:b/>
          <w:spacing w:val="-9"/>
          <w:sz w:val="21"/>
        </w:rPr>
        <w:t xml:space="preserve"> </w:t>
      </w:r>
      <w:r>
        <w:rPr>
          <w:rFonts w:ascii="Arial" w:hAnsi="Arial"/>
          <w:b/>
          <w:sz w:val="21"/>
        </w:rPr>
        <w:t>10</w:t>
      </w:r>
      <w:r>
        <w:rPr>
          <w:rFonts w:ascii="Arial" w:hAnsi="Arial"/>
          <w:b/>
          <w:spacing w:val="-6"/>
          <w:sz w:val="21"/>
        </w:rPr>
        <w:t xml:space="preserve"> </w:t>
      </w:r>
      <w:r>
        <w:rPr>
          <w:rFonts w:ascii="Arial" w:hAnsi="Arial"/>
          <w:b/>
          <w:sz w:val="21"/>
        </w:rPr>
        <w:t>–</w:t>
      </w:r>
      <w:r>
        <w:rPr>
          <w:rFonts w:ascii="Arial" w:hAnsi="Arial"/>
          <w:b/>
          <w:spacing w:val="-9"/>
          <w:sz w:val="21"/>
        </w:rPr>
        <w:t xml:space="preserve"> </w:t>
      </w:r>
      <w:r>
        <w:rPr>
          <w:rFonts w:ascii="Arial" w:hAnsi="Arial"/>
          <w:b/>
          <w:sz w:val="21"/>
        </w:rPr>
        <w:t>Prospective</w:t>
      </w:r>
      <w:r>
        <w:rPr>
          <w:rFonts w:ascii="Arial" w:hAnsi="Arial"/>
          <w:b/>
          <w:spacing w:val="-6"/>
          <w:sz w:val="21"/>
        </w:rPr>
        <w:t xml:space="preserve"> </w:t>
      </w:r>
      <w:r>
        <w:rPr>
          <w:rFonts w:ascii="Arial" w:hAnsi="Arial"/>
          <w:b/>
          <w:sz w:val="21"/>
        </w:rPr>
        <w:t>Low-income</w:t>
      </w:r>
      <w:r>
        <w:rPr>
          <w:rFonts w:ascii="Arial" w:hAnsi="Arial"/>
          <w:b/>
          <w:spacing w:val="-7"/>
          <w:sz w:val="21"/>
        </w:rPr>
        <w:t xml:space="preserve"> </w:t>
      </w:r>
      <w:r>
        <w:rPr>
          <w:rFonts w:ascii="Arial" w:hAnsi="Arial"/>
          <w:b/>
          <w:sz w:val="21"/>
        </w:rPr>
        <w:t>Cost</w:t>
      </w:r>
      <w:r>
        <w:rPr>
          <w:rFonts w:ascii="Arial" w:hAnsi="Arial"/>
          <w:b/>
          <w:spacing w:val="-10"/>
          <w:sz w:val="21"/>
        </w:rPr>
        <w:t xml:space="preserve"> </w:t>
      </w:r>
      <w:r>
        <w:rPr>
          <w:rFonts w:ascii="Arial" w:hAnsi="Arial"/>
          <w:b/>
          <w:sz w:val="21"/>
        </w:rPr>
        <w:t>Sharing</w:t>
      </w:r>
      <w:r>
        <w:rPr>
          <w:rFonts w:ascii="Arial" w:hAnsi="Arial"/>
          <w:b/>
          <w:spacing w:val="-5"/>
          <w:sz w:val="21"/>
        </w:rPr>
        <w:t xml:space="preserve"> </w:t>
      </w:r>
      <w:r>
        <w:rPr>
          <w:rFonts w:ascii="Arial" w:hAnsi="Arial"/>
          <w:b/>
          <w:sz w:val="21"/>
        </w:rPr>
        <w:t>Subsidy</w:t>
      </w:r>
      <w:r>
        <w:rPr>
          <w:rFonts w:ascii="Arial" w:hAnsi="Arial"/>
          <w:b/>
          <w:spacing w:val="-6"/>
          <w:sz w:val="21"/>
        </w:rPr>
        <w:t xml:space="preserve"> </w:t>
      </w:r>
      <w:r>
        <w:rPr>
          <w:rFonts w:ascii="Arial" w:hAnsi="Arial"/>
          <w:b/>
          <w:sz w:val="21"/>
        </w:rPr>
        <w:t>(Non-</w:t>
      </w:r>
      <w:r>
        <w:rPr>
          <w:rFonts w:ascii="Arial" w:hAnsi="Arial"/>
          <w:b/>
          <w:spacing w:val="-2"/>
          <w:sz w:val="21"/>
        </w:rPr>
        <w:t>Standardized)</w:t>
      </w:r>
    </w:p>
    <w:p>
      <w:pPr>
        <w:pStyle w:val="BodyText"/>
        <w:spacing w:before="118"/>
        <w:ind w:left="224" w:right="478"/>
      </w:pPr>
      <w:r>
        <w:t>The</w:t>
      </w:r>
      <w:r>
        <w:rPr>
          <w:spacing w:val="-5"/>
        </w:rPr>
        <w:t xml:space="preserve"> </w:t>
      </w:r>
      <w:r>
        <w:t>value</w:t>
      </w:r>
      <w:r>
        <w:rPr>
          <w:spacing w:val="-3"/>
        </w:rPr>
        <w:t xml:space="preserve"> </w:t>
      </w:r>
      <w:r>
        <w:t>is</w:t>
      </w:r>
      <w:r>
        <w:rPr>
          <w:spacing w:val="-3"/>
        </w:rPr>
        <w:t xml:space="preserve"> </w:t>
      </w:r>
      <w:r>
        <w:t>carried</w:t>
      </w:r>
      <w:r>
        <w:rPr>
          <w:spacing w:val="-2"/>
        </w:rPr>
        <w:t xml:space="preserve"> </w:t>
      </w:r>
      <w:r>
        <w:t>from</w:t>
      </w:r>
      <w:r>
        <w:rPr>
          <w:spacing w:val="-1"/>
        </w:rPr>
        <w:t xml:space="preserve"> </w:t>
      </w:r>
      <w:r>
        <w:t>other</w:t>
      </w:r>
      <w:r>
        <w:rPr>
          <w:spacing w:val="-5"/>
        </w:rPr>
        <w:t xml:space="preserve"> </w:t>
      </w:r>
      <w:r>
        <w:t>worksheets</w:t>
      </w:r>
      <w:r>
        <w:rPr>
          <w:spacing w:val="-3"/>
        </w:rPr>
        <w:t xml:space="preserve"> </w:t>
      </w:r>
      <w:r>
        <w:t>in</w:t>
      </w:r>
      <w:r>
        <w:rPr>
          <w:spacing w:val="-3"/>
        </w:rPr>
        <w:t xml:space="preserve"> </w:t>
      </w:r>
      <w:r>
        <w:t>the</w:t>
      </w:r>
      <w:r>
        <w:rPr>
          <w:spacing w:val="-3"/>
        </w:rPr>
        <w:t xml:space="preserve"> </w:t>
      </w:r>
      <w:r>
        <w:t>BPT</w:t>
      </w:r>
      <w:r>
        <w:rPr>
          <w:spacing w:val="-3"/>
        </w:rPr>
        <w:t xml:space="preserve"> </w:t>
      </w:r>
      <w:r>
        <w:t>based</w:t>
      </w:r>
      <w:r>
        <w:rPr>
          <w:spacing w:val="-3"/>
        </w:rPr>
        <w:t xml:space="preserve"> </w:t>
      </w:r>
      <w:r>
        <w:t>on</w:t>
      </w:r>
      <w:r>
        <w:rPr>
          <w:spacing w:val="-3"/>
        </w:rPr>
        <w:t xml:space="preserve"> </w:t>
      </w:r>
      <w:r>
        <w:t>the</w:t>
      </w:r>
      <w:r>
        <w:rPr>
          <w:spacing w:val="-3"/>
        </w:rPr>
        <w:t xml:space="preserve"> </w:t>
      </w:r>
      <w:r>
        <w:t>plan</w:t>
      </w:r>
      <w:r>
        <w:rPr>
          <w:spacing w:val="-3"/>
        </w:rPr>
        <w:t xml:space="preserve"> </w:t>
      </w:r>
      <w:r>
        <w:t>benefit</w:t>
      </w:r>
      <w:r>
        <w:rPr>
          <w:spacing w:val="-3"/>
        </w:rPr>
        <w:t xml:space="preserve"> </w:t>
      </w:r>
      <w:r>
        <w:t>type</w:t>
      </w:r>
      <w:r>
        <w:rPr>
          <w:spacing w:val="-4"/>
        </w:rPr>
        <w:t xml:space="preserve"> </w:t>
      </w:r>
      <w:r>
        <w:t>(DS,</w:t>
      </w:r>
      <w:r>
        <w:rPr>
          <w:spacing w:val="-3"/>
        </w:rPr>
        <w:t xml:space="preserve"> </w:t>
      </w:r>
      <w:r>
        <w:t>AE, BA or EA).</w:t>
      </w:r>
    </w:p>
    <w:p>
      <w:pPr>
        <w:spacing w:before="241"/>
        <w:ind w:left="224" w:right="0" w:firstLine="0"/>
        <w:jc w:val="left"/>
        <w:rPr>
          <w:rFonts w:ascii="Arial" w:hAnsi="Arial"/>
          <w:b/>
          <w:sz w:val="21"/>
        </w:rPr>
      </w:pPr>
      <w:bookmarkStart w:id="259" w:name="Line 11 – Target Amount Adjustment (Allo"/>
      <w:bookmarkEnd w:id="259"/>
      <w:r>
        <w:rPr>
          <w:rFonts w:ascii="Arial" w:hAnsi="Arial"/>
          <w:b/>
          <w:sz w:val="21"/>
        </w:rPr>
        <w:t>Line</w:t>
      </w:r>
      <w:r>
        <w:rPr>
          <w:rFonts w:ascii="Arial" w:hAnsi="Arial"/>
          <w:b/>
          <w:spacing w:val="-4"/>
          <w:sz w:val="21"/>
        </w:rPr>
        <w:t xml:space="preserve"> </w:t>
      </w:r>
      <w:r>
        <w:rPr>
          <w:rFonts w:ascii="Arial" w:hAnsi="Arial"/>
          <w:b/>
          <w:sz w:val="21"/>
        </w:rPr>
        <w:t>11</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Target</w:t>
      </w:r>
      <w:r>
        <w:rPr>
          <w:rFonts w:ascii="Arial" w:hAnsi="Arial"/>
          <w:b/>
          <w:spacing w:val="-4"/>
          <w:sz w:val="21"/>
        </w:rPr>
        <w:t xml:space="preserve"> </w:t>
      </w:r>
      <w:r>
        <w:rPr>
          <w:rFonts w:ascii="Arial" w:hAnsi="Arial"/>
          <w:b/>
          <w:sz w:val="21"/>
        </w:rPr>
        <w:t>Amount</w:t>
      </w:r>
      <w:r>
        <w:rPr>
          <w:rFonts w:ascii="Arial" w:hAnsi="Arial"/>
          <w:b/>
          <w:spacing w:val="-6"/>
          <w:sz w:val="21"/>
        </w:rPr>
        <w:t xml:space="preserve"> </w:t>
      </w:r>
      <w:r>
        <w:rPr>
          <w:rFonts w:ascii="Arial" w:hAnsi="Arial"/>
          <w:b/>
          <w:sz w:val="21"/>
        </w:rPr>
        <w:t>Adjustment</w:t>
      </w:r>
      <w:r>
        <w:rPr>
          <w:rFonts w:ascii="Arial" w:hAnsi="Arial"/>
          <w:b/>
          <w:spacing w:val="-4"/>
          <w:sz w:val="21"/>
        </w:rPr>
        <w:t xml:space="preserve"> </w:t>
      </w:r>
      <w:r>
        <w:rPr>
          <w:rFonts w:ascii="Arial" w:hAnsi="Arial"/>
          <w:b/>
          <w:sz w:val="21"/>
        </w:rPr>
        <w:t>(Allowed</w:t>
      </w:r>
      <w:r>
        <w:rPr>
          <w:rFonts w:ascii="Arial" w:hAnsi="Arial"/>
          <w:b/>
          <w:spacing w:val="-5"/>
          <w:sz w:val="21"/>
        </w:rPr>
        <w:t xml:space="preserve"> </w:t>
      </w:r>
      <w:r>
        <w:rPr>
          <w:rFonts w:ascii="Arial" w:hAnsi="Arial"/>
          <w:b/>
          <w:sz w:val="21"/>
        </w:rPr>
        <w:t>Costs</w:t>
      </w:r>
      <w:r>
        <w:rPr>
          <w:rFonts w:ascii="Arial" w:hAnsi="Arial"/>
          <w:b/>
          <w:spacing w:val="-4"/>
          <w:sz w:val="21"/>
        </w:rPr>
        <w:t xml:space="preserve"> </w:t>
      </w:r>
      <w:r>
        <w:rPr>
          <w:rFonts w:ascii="Arial" w:hAnsi="Arial"/>
          <w:b/>
          <w:sz w:val="21"/>
        </w:rPr>
        <w:t>as</w:t>
      </w:r>
      <w:r>
        <w:rPr>
          <w:rFonts w:ascii="Arial" w:hAnsi="Arial"/>
          <w:b/>
          <w:spacing w:val="-4"/>
          <w:sz w:val="21"/>
        </w:rPr>
        <w:t xml:space="preserve"> </w:t>
      </w:r>
      <w:r>
        <w:rPr>
          <w:rFonts w:ascii="Arial" w:hAnsi="Arial"/>
          <w:b/>
          <w:sz w:val="21"/>
        </w:rPr>
        <w:t>a</w:t>
      </w:r>
      <w:r>
        <w:rPr>
          <w:rFonts w:ascii="Arial" w:hAnsi="Arial"/>
          <w:b/>
          <w:spacing w:val="-6"/>
          <w:sz w:val="21"/>
        </w:rPr>
        <w:t xml:space="preserve"> </w:t>
      </w:r>
      <w:r>
        <w:rPr>
          <w:rFonts w:ascii="Arial" w:hAnsi="Arial"/>
          <w:b/>
          <w:sz w:val="21"/>
        </w:rPr>
        <w:t>Ratio</w:t>
      </w:r>
      <w:r>
        <w:rPr>
          <w:rFonts w:ascii="Arial" w:hAnsi="Arial"/>
          <w:b/>
          <w:spacing w:val="-6"/>
          <w:sz w:val="21"/>
        </w:rPr>
        <w:t xml:space="preserve"> </w:t>
      </w:r>
      <w:r>
        <w:rPr>
          <w:rFonts w:ascii="Arial" w:hAnsi="Arial"/>
          <w:b/>
          <w:sz w:val="21"/>
        </w:rPr>
        <w:t>of</w:t>
      </w:r>
      <w:r>
        <w:rPr>
          <w:rFonts w:ascii="Arial" w:hAnsi="Arial"/>
          <w:b/>
          <w:spacing w:val="-3"/>
          <w:sz w:val="21"/>
        </w:rPr>
        <w:t xml:space="preserve"> </w:t>
      </w:r>
      <w:r>
        <w:rPr>
          <w:rFonts w:ascii="Arial" w:hAnsi="Arial"/>
          <w:b/>
          <w:spacing w:val="-4"/>
          <w:sz w:val="21"/>
        </w:rPr>
        <w:t>Bid)</w:t>
      </w:r>
    </w:p>
    <w:p>
      <w:pPr>
        <w:pStyle w:val="BodyText"/>
        <w:ind w:left="224" w:right="478"/>
      </w:pPr>
      <w:r>
        <w:t>The</w:t>
      </w:r>
      <w:r>
        <w:rPr>
          <w:spacing w:val="-4"/>
        </w:rPr>
        <w:t xml:space="preserve"> </w:t>
      </w:r>
      <w:r>
        <w:t>target</w:t>
      </w:r>
      <w:r>
        <w:rPr>
          <w:spacing w:val="-1"/>
        </w:rPr>
        <w:t xml:space="preserve"> </w:t>
      </w:r>
      <w:r>
        <w:t>adjustment</w:t>
      </w:r>
      <w:r>
        <w:rPr>
          <w:spacing w:val="-3"/>
        </w:rPr>
        <w:t xml:space="preserve"> </w:t>
      </w:r>
      <w:r>
        <w:t>is</w:t>
      </w:r>
      <w:r>
        <w:rPr>
          <w:spacing w:val="-3"/>
        </w:rPr>
        <w:t xml:space="preserve"> </w:t>
      </w:r>
      <w:r>
        <w:t>the</w:t>
      </w:r>
      <w:r>
        <w:rPr>
          <w:spacing w:val="-4"/>
        </w:rPr>
        <w:t xml:space="preserve"> </w:t>
      </w:r>
      <w:r>
        <w:t>allowed</w:t>
      </w:r>
      <w:r>
        <w:rPr>
          <w:spacing w:val="-3"/>
        </w:rPr>
        <w:t xml:space="preserve"> </w:t>
      </w:r>
      <w:r>
        <w:t>costs</w:t>
      </w:r>
      <w:r>
        <w:rPr>
          <w:spacing w:val="-3"/>
        </w:rPr>
        <w:t xml:space="preserve"> </w:t>
      </w:r>
      <w:r>
        <w:t>percentage</w:t>
      </w:r>
      <w:r>
        <w:rPr>
          <w:spacing w:val="-4"/>
        </w:rPr>
        <w:t xml:space="preserve"> </w:t>
      </w:r>
      <w:r>
        <w:t>of</w:t>
      </w:r>
      <w:r>
        <w:rPr>
          <w:spacing w:val="-3"/>
        </w:rPr>
        <w:t xml:space="preserve"> </w:t>
      </w:r>
      <w:r>
        <w:t>the</w:t>
      </w:r>
      <w:r>
        <w:rPr>
          <w:spacing w:val="-5"/>
        </w:rPr>
        <w:t xml:space="preserve"> </w:t>
      </w:r>
      <w:r>
        <w:t>bid</w:t>
      </w:r>
      <w:r>
        <w:rPr>
          <w:spacing w:val="-3"/>
        </w:rPr>
        <w:t xml:space="preserve"> </w:t>
      </w:r>
      <w:r>
        <w:t>and</w:t>
      </w:r>
      <w:r>
        <w:rPr>
          <w:spacing w:val="-3"/>
        </w:rPr>
        <w:t xml:space="preserve"> </w:t>
      </w:r>
      <w:r>
        <w:t>it</w:t>
      </w:r>
      <w:r>
        <w:rPr>
          <w:spacing w:val="-3"/>
        </w:rPr>
        <w:t xml:space="preserve"> </w:t>
      </w:r>
      <w:r>
        <w:t>is</w:t>
      </w:r>
      <w:r>
        <w:rPr>
          <w:spacing w:val="-3"/>
        </w:rPr>
        <w:t xml:space="preserve"> </w:t>
      </w:r>
      <w:r>
        <w:t>used</w:t>
      </w:r>
      <w:r>
        <w:rPr>
          <w:spacing w:val="-3"/>
        </w:rPr>
        <w:t xml:space="preserve"> </w:t>
      </w:r>
      <w:r>
        <w:t>in</w:t>
      </w:r>
      <w:r>
        <w:rPr>
          <w:spacing w:val="-3"/>
        </w:rPr>
        <w:t xml:space="preserve"> </w:t>
      </w:r>
      <w:r>
        <w:t>calculating</w:t>
      </w:r>
      <w:r>
        <w:rPr>
          <w:spacing w:val="-3"/>
        </w:rPr>
        <w:t xml:space="preserve"> </w:t>
      </w:r>
      <w:r>
        <w:t>the target amount for risk corridor payments. The value is calculated as—</w:t>
      </w:r>
    </w:p>
    <w:p>
      <w:pPr>
        <w:pStyle w:val="BodyText"/>
        <w:ind w:left="224"/>
      </w:pPr>
      <w:r>
        <w:t>[(1.00</w:t>
      </w:r>
      <w:r>
        <w:rPr>
          <w:spacing w:val="-5"/>
        </w:rPr>
        <w:t xml:space="preserve"> </w:t>
      </w:r>
      <w:r>
        <w:t>–</w:t>
      </w:r>
      <w:r>
        <w:rPr>
          <w:spacing w:val="-4"/>
        </w:rPr>
        <w:t xml:space="preserve"> </w:t>
      </w:r>
      <w:r>
        <w:t>administration</w:t>
      </w:r>
      <w:r>
        <w:rPr>
          <w:spacing w:val="-4"/>
        </w:rPr>
        <w:t xml:space="preserve"> </w:t>
      </w:r>
      <w:r>
        <w:t>cost</w:t>
      </w:r>
      <w:r>
        <w:rPr>
          <w:spacing w:val="-4"/>
        </w:rPr>
        <w:t xml:space="preserve"> </w:t>
      </w:r>
      <w:r>
        <w:t>percentage)</w:t>
      </w:r>
      <w:r>
        <w:rPr>
          <w:spacing w:val="-4"/>
        </w:rPr>
        <w:t xml:space="preserve"> </w:t>
      </w:r>
      <w:r>
        <w:t>X</w:t>
      </w:r>
      <w:r>
        <w:rPr>
          <w:spacing w:val="-4"/>
        </w:rPr>
        <w:t xml:space="preserve"> </w:t>
      </w:r>
      <w:r>
        <w:t>(total</w:t>
      </w:r>
      <w:r>
        <w:rPr>
          <w:spacing w:val="-4"/>
        </w:rPr>
        <w:t xml:space="preserve"> </w:t>
      </w:r>
      <w:r>
        <w:t>direct</w:t>
      </w:r>
      <w:r>
        <w:rPr>
          <w:spacing w:val="-4"/>
        </w:rPr>
        <w:t xml:space="preserve"> </w:t>
      </w:r>
      <w:r>
        <w:t>subsidy</w:t>
      </w:r>
      <w:r>
        <w:rPr>
          <w:spacing w:val="-4"/>
        </w:rPr>
        <w:t xml:space="preserve"> </w:t>
      </w:r>
      <w:r>
        <w:t>payments</w:t>
      </w:r>
      <w:r>
        <w:rPr>
          <w:spacing w:val="-4"/>
        </w:rPr>
        <w:t xml:space="preserve"> </w:t>
      </w:r>
      <w:r>
        <w:t>+</w:t>
      </w:r>
      <w:r>
        <w:rPr>
          <w:spacing w:val="-3"/>
        </w:rPr>
        <w:t xml:space="preserve"> </w:t>
      </w:r>
      <w:r>
        <w:t>total</w:t>
      </w:r>
      <w:r>
        <w:rPr>
          <w:spacing w:val="-4"/>
        </w:rPr>
        <w:t xml:space="preserve"> </w:t>
      </w:r>
      <w:r>
        <w:t>beneficiary premiums related to the standardized bid amount)]</w:t>
      </w:r>
    </w:p>
    <w:p>
      <w:pPr>
        <w:spacing w:before="241"/>
        <w:ind w:left="224" w:right="0" w:firstLine="0"/>
        <w:jc w:val="left"/>
        <w:rPr>
          <w:rFonts w:ascii="Arial" w:hAnsi="Arial"/>
          <w:b/>
          <w:sz w:val="21"/>
        </w:rPr>
      </w:pPr>
      <w:bookmarkStart w:id="260" w:name="Line 12 – Manufacturer Discount Amount ("/>
      <w:bookmarkEnd w:id="260"/>
      <w:r>
        <w:rPr>
          <w:rFonts w:ascii="Arial" w:hAnsi="Arial"/>
          <w:b/>
          <w:sz w:val="21"/>
        </w:rPr>
        <w:t>Line</w:t>
      </w:r>
      <w:r>
        <w:rPr>
          <w:rFonts w:ascii="Arial" w:hAnsi="Arial"/>
          <w:b/>
          <w:spacing w:val="-8"/>
          <w:sz w:val="21"/>
        </w:rPr>
        <w:t xml:space="preserve"> </w:t>
      </w:r>
      <w:r>
        <w:rPr>
          <w:rFonts w:ascii="Arial" w:hAnsi="Arial"/>
          <w:b/>
          <w:sz w:val="21"/>
        </w:rPr>
        <w:t>12</w:t>
      </w:r>
      <w:r>
        <w:rPr>
          <w:rFonts w:ascii="Arial" w:hAnsi="Arial"/>
          <w:b/>
          <w:spacing w:val="-6"/>
          <w:sz w:val="21"/>
        </w:rPr>
        <w:t xml:space="preserve"> </w:t>
      </w:r>
      <w:r>
        <w:rPr>
          <w:rFonts w:ascii="Arial" w:hAnsi="Arial"/>
          <w:b/>
          <w:sz w:val="21"/>
        </w:rPr>
        <w:t>–</w:t>
      </w:r>
      <w:r>
        <w:rPr>
          <w:rFonts w:ascii="Arial" w:hAnsi="Arial"/>
          <w:b/>
          <w:spacing w:val="-6"/>
          <w:sz w:val="21"/>
        </w:rPr>
        <w:t xml:space="preserve"> </w:t>
      </w:r>
      <w:r>
        <w:rPr>
          <w:rFonts w:ascii="Arial" w:hAnsi="Arial"/>
          <w:b/>
          <w:sz w:val="21"/>
        </w:rPr>
        <w:t>Manufacturer</w:t>
      </w:r>
      <w:r>
        <w:rPr>
          <w:rFonts w:ascii="Arial" w:hAnsi="Arial"/>
          <w:b/>
          <w:spacing w:val="-8"/>
          <w:sz w:val="21"/>
        </w:rPr>
        <w:t xml:space="preserve"> </w:t>
      </w:r>
      <w:r>
        <w:rPr>
          <w:rFonts w:ascii="Arial" w:hAnsi="Arial"/>
          <w:b/>
          <w:sz w:val="21"/>
        </w:rPr>
        <w:t>Discount</w:t>
      </w:r>
      <w:r>
        <w:rPr>
          <w:rFonts w:ascii="Arial" w:hAnsi="Arial"/>
          <w:b/>
          <w:spacing w:val="-6"/>
          <w:sz w:val="21"/>
        </w:rPr>
        <w:t xml:space="preserve"> </w:t>
      </w:r>
      <w:r>
        <w:rPr>
          <w:rFonts w:ascii="Arial" w:hAnsi="Arial"/>
          <w:b/>
          <w:sz w:val="21"/>
        </w:rPr>
        <w:t>Amount</w:t>
      </w:r>
      <w:r>
        <w:rPr>
          <w:rFonts w:ascii="Arial" w:hAnsi="Arial"/>
          <w:b/>
          <w:spacing w:val="-6"/>
          <w:sz w:val="21"/>
        </w:rPr>
        <w:t xml:space="preserve"> </w:t>
      </w:r>
      <w:r>
        <w:rPr>
          <w:rFonts w:ascii="Arial" w:hAnsi="Arial"/>
          <w:b/>
          <w:sz w:val="21"/>
        </w:rPr>
        <w:t>(exclusive</w:t>
      </w:r>
      <w:r>
        <w:rPr>
          <w:rFonts w:ascii="Arial" w:hAnsi="Arial"/>
          <w:b/>
          <w:spacing w:val="-6"/>
          <w:sz w:val="21"/>
        </w:rPr>
        <w:t xml:space="preserve"> </w:t>
      </w:r>
      <w:r>
        <w:rPr>
          <w:rFonts w:ascii="Arial" w:hAnsi="Arial"/>
          <w:b/>
          <w:sz w:val="21"/>
        </w:rPr>
        <w:t>of</w:t>
      </w:r>
      <w:r>
        <w:rPr>
          <w:rFonts w:ascii="Arial" w:hAnsi="Arial"/>
          <w:b/>
          <w:spacing w:val="-6"/>
          <w:sz w:val="21"/>
        </w:rPr>
        <w:t xml:space="preserve"> </w:t>
      </w:r>
      <w:r>
        <w:rPr>
          <w:rFonts w:ascii="Arial" w:hAnsi="Arial"/>
          <w:b/>
          <w:sz w:val="21"/>
        </w:rPr>
        <w:t>Selected</w:t>
      </w:r>
      <w:r>
        <w:rPr>
          <w:rFonts w:ascii="Arial" w:hAnsi="Arial"/>
          <w:b/>
          <w:spacing w:val="-5"/>
          <w:sz w:val="21"/>
        </w:rPr>
        <w:t xml:space="preserve"> </w:t>
      </w:r>
      <w:r>
        <w:rPr>
          <w:rFonts w:ascii="Arial" w:hAnsi="Arial"/>
          <w:b/>
          <w:sz w:val="21"/>
        </w:rPr>
        <w:t>Drug</w:t>
      </w:r>
      <w:r>
        <w:rPr>
          <w:rFonts w:ascii="Arial" w:hAnsi="Arial"/>
          <w:b/>
          <w:spacing w:val="-4"/>
          <w:sz w:val="21"/>
        </w:rPr>
        <w:t xml:space="preserve"> </w:t>
      </w:r>
      <w:r>
        <w:rPr>
          <w:rFonts w:ascii="Arial" w:hAnsi="Arial"/>
          <w:b/>
          <w:spacing w:val="-2"/>
          <w:sz w:val="21"/>
        </w:rPr>
        <w:t>Subsidy)</w:t>
      </w:r>
    </w:p>
    <w:p>
      <w:pPr>
        <w:pStyle w:val="BodyText"/>
        <w:spacing w:before="118"/>
        <w:ind w:left="224"/>
      </w:pPr>
      <w:r>
        <w:t>The</w:t>
      </w:r>
      <w:r>
        <w:rPr>
          <w:spacing w:val="-3"/>
        </w:rPr>
        <w:t xml:space="preserve"> </w:t>
      </w:r>
      <w:r>
        <w:t>value</w:t>
      </w:r>
      <w:r>
        <w:rPr>
          <w:spacing w:val="-1"/>
        </w:rPr>
        <w:t xml:space="preserve"> </w:t>
      </w:r>
      <w:r>
        <w:t>is</w:t>
      </w:r>
      <w:r>
        <w:rPr>
          <w:spacing w:val="-1"/>
        </w:rPr>
        <w:t xml:space="preserve"> </w:t>
      </w:r>
      <w:r>
        <w:t>carried from</w:t>
      </w:r>
      <w:r>
        <w:rPr>
          <w:spacing w:val="2"/>
        </w:rPr>
        <w:t xml:space="preserve"> </w:t>
      </w:r>
      <w:r>
        <w:t>Worksheet</w:t>
      </w:r>
      <w:r>
        <w:rPr>
          <w:spacing w:val="1"/>
        </w:rPr>
        <w:t xml:space="preserve"> </w:t>
      </w:r>
      <w:r>
        <w:t>6</w:t>
      </w:r>
      <w:r>
        <w:rPr>
          <w:spacing w:val="-1"/>
        </w:rPr>
        <w:t xml:space="preserve"> </w:t>
      </w:r>
      <w:r>
        <w:t>of</w:t>
      </w:r>
      <w:r>
        <w:rPr>
          <w:spacing w:val="-1"/>
        </w:rPr>
        <w:t xml:space="preserve"> </w:t>
      </w:r>
      <w:r>
        <w:t>the</w:t>
      </w:r>
      <w:r>
        <w:rPr>
          <w:spacing w:val="-2"/>
        </w:rPr>
        <w:t xml:space="preserve"> </w:t>
      </w:r>
      <w:r>
        <w:rPr>
          <w:spacing w:val="-4"/>
        </w:rPr>
        <w:t>BPT.</w:t>
      </w:r>
    </w:p>
    <w:p>
      <w:pPr>
        <w:spacing w:before="240"/>
        <w:ind w:left="224" w:right="0" w:firstLine="0"/>
        <w:jc w:val="left"/>
        <w:rPr>
          <w:rFonts w:ascii="Arial" w:hAnsi="Arial"/>
          <w:b/>
          <w:sz w:val="21"/>
        </w:rPr>
      </w:pPr>
      <w:bookmarkStart w:id="261" w:name="Line 13 – Selected Drug Subsidy Amount"/>
      <w:bookmarkEnd w:id="261"/>
      <w:r>
        <w:rPr>
          <w:rFonts w:ascii="Arial" w:hAnsi="Arial"/>
          <w:b/>
          <w:sz w:val="21"/>
        </w:rPr>
        <w:t>Line</w:t>
      </w:r>
      <w:r>
        <w:rPr>
          <w:rFonts w:ascii="Arial" w:hAnsi="Arial"/>
          <w:b/>
          <w:spacing w:val="-4"/>
          <w:sz w:val="21"/>
        </w:rPr>
        <w:t xml:space="preserve"> </w:t>
      </w:r>
      <w:r>
        <w:rPr>
          <w:rFonts w:ascii="Arial" w:hAnsi="Arial"/>
          <w:b/>
          <w:sz w:val="21"/>
        </w:rPr>
        <w:t>13</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Selected</w:t>
      </w:r>
      <w:r>
        <w:rPr>
          <w:rFonts w:ascii="Arial" w:hAnsi="Arial"/>
          <w:b/>
          <w:spacing w:val="-6"/>
          <w:sz w:val="21"/>
        </w:rPr>
        <w:t xml:space="preserve"> </w:t>
      </w:r>
      <w:r>
        <w:rPr>
          <w:rFonts w:ascii="Arial" w:hAnsi="Arial"/>
          <w:b/>
          <w:sz w:val="21"/>
        </w:rPr>
        <w:t>Drug</w:t>
      </w:r>
      <w:r>
        <w:rPr>
          <w:rFonts w:ascii="Arial" w:hAnsi="Arial"/>
          <w:b/>
          <w:spacing w:val="-3"/>
          <w:sz w:val="21"/>
        </w:rPr>
        <w:t xml:space="preserve"> </w:t>
      </w:r>
      <w:r>
        <w:rPr>
          <w:rFonts w:ascii="Arial" w:hAnsi="Arial"/>
          <w:b/>
          <w:sz w:val="21"/>
        </w:rPr>
        <w:t>Subsidy</w:t>
      </w:r>
      <w:r>
        <w:rPr>
          <w:rFonts w:ascii="Arial" w:hAnsi="Arial"/>
          <w:b/>
          <w:spacing w:val="-3"/>
          <w:sz w:val="21"/>
        </w:rPr>
        <w:t xml:space="preserve"> </w:t>
      </w:r>
      <w:r>
        <w:rPr>
          <w:rFonts w:ascii="Arial" w:hAnsi="Arial"/>
          <w:b/>
          <w:spacing w:val="-2"/>
          <w:sz w:val="21"/>
        </w:rPr>
        <w:t>Amount</w:t>
      </w:r>
    </w:p>
    <w:p>
      <w:pPr>
        <w:pStyle w:val="BodyText"/>
        <w:ind w:left="224"/>
      </w:pPr>
      <w:r>
        <w:t>The</w:t>
      </w:r>
      <w:r>
        <w:rPr>
          <w:spacing w:val="-3"/>
        </w:rPr>
        <w:t xml:space="preserve"> </w:t>
      </w:r>
      <w:r>
        <w:t>value</w:t>
      </w:r>
      <w:r>
        <w:rPr>
          <w:spacing w:val="-1"/>
        </w:rPr>
        <w:t xml:space="preserve"> </w:t>
      </w:r>
      <w:r>
        <w:t>is</w:t>
      </w:r>
      <w:r>
        <w:rPr>
          <w:spacing w:val="-1"/>
        </w:rPr>
        <w:t xml:space="preserve"> </w:t>
      </w:r>
      <w:r>
        <w:t>carried from</w:t>
      </w:r>
      <w:r>
        <w:rPr>
          <w:spacing w:val="2"/>
        </w:rPr>
        <w:t xml:space="preserve"> </w:t>
      </w:r>
      <w:r>
        <w:t>Worksheet</w:t>
      </w:r>
      <w:r>
        <w:rPr>
          <w:spacing w:val="-1"/>
        </w:rPr>
        <w:t xml:space="preserve"> </w:t>
      </w:r>
      <w:r>
        <w:t>6</w:t>
      </w:r>
      <w:r>
        <w:rPr>
          <w:spacing w:val="-1"/>
        </w:rPr>
        <w:t xml:space="preserve"> </w:t>
      </w:r>
      <w:r>
        <w:t>of</w:t>
      </w:r>
      <w:r>
        <w:rPr>
          <w:spacing w:val="-1"/>
        </w:rPr>
        <w:t xml:space="preserve"> </w:t>
      </w:r>
      <w:r>
        <w:t>the</w:t>
      </w:r>
      <w:r>
        <w:rPr>
          <w:spacing w:val="-2"/>
        </w:rPr>
        <w:t xml:space="preserve"> </w:t>
      </w:r>
      <w:r>
        <w:rPr>
          <w:spacing w:val="-4"/>
        </w:rPr>
        <w:t>BPT.</w:t>
      </w:r>
    </w:p>
    <w:p>
      <w:pPr>
        <w:spacing w:before="242"/>
        <w:ind w:left="224" w:right="0" w:firstLine="0"/>
        <w:jc w:val="left"/>
        <w:rPr>
          <w:rFonts w:ascii="Arial" w:hAnsi="Arial"/>
          <w:b/>
          <w:sz w:val="21"/>
        </w:rPr>
      </w:pPr>
      <w:bookmarkStart w:id="262" w:name="Line 14 – Rounding Rule"/>
      <w:bookmarkEnd w:id="262"/>
      <w:r>
        <w:rPr>
          <w:rFonts w:ascii="Arial" w:hAnsi="Arial"/>
          <w:b/>
          <w:sz w:val="21"/>
        </w:rPr>
        <w:t>Line</w:t>
      </w:r>
      <w:r>
        <w:rPr>
          <w:rFonts w:ascii="Arial" w:hAnsi="Arial"/>
          <w:b/>
          <w:spacing w:val="-6"/>
          <w:sz w:val="21"/>
        </w:rPr>
        <w:t xml:space="preserve"> </w:t>
      </w:r>
      <w:r>
        <w:rPr>
          <w:rFonts w:ascii="Arial" w:hAnsi="Arial"/>
          <w:b/>
          <w:sz w:val="21"/>
        </w:rPr>
        <w:t>14</w:t>
      </w:r>
      <w:r>
        <w:rPr>
          <w:rFonts w:ascii="Arial" w:hAnsi="Arial"/>
          <w:b/>
          <w:spacing w:val="-4"/>
          <w:sz w:val="21"/>
        </w:rPr>
        <w:t xml:space="preserve"> </w:t>
      </w:r>
      <w:r>
        <w:rPr>
          <w:rFonts w:ascii="Arial" w:hAnsi="Arial"/>
          <w:b/>
          <w:sz w:val="21"/>
        </w:rPr>
        <w:t>–</w:t>
      </w:r>
      <w:r>
        <w:rPr>
          <w:rFonts w:ascii="Arial" w:hAnsi="Arial"/>
          <w:b/>
          <w:spacing w:val="-6"/>
          <w:sz w:val="21"/>
        </w:rPr>
        <w:t xml:space="preserve"> </w:t>
      </w:r>
      <w:r>
        <w:rPr>
          <w:rFonts w:ascii="Arial" w:hAnsi="Arial"/>
          <w:b/>
          <w:sz w:val="21"/>
        </w:rPr>
        <w:t>Rounding</w:t>
      </w:r>
      <w:r>
        <w:rPr>
          <w:rFonts w:ascii="Arial" w:hAnsi="Arial"/>
          <w:b/>
          <w:spacing w:val="-2"/>
          <w:sz w:val="21"/>
        </w:rPr>
        <w:t xml:space="preserve"> </w:t>
      </w:r>
      <w:r>
        <w:rPr>
          <w:rFonts w:ascii="Arial" w:hAnsi="Arial"/>
          <w:b/>
          <w:spacing w:val="-4"/>
          <w:sz w:val="21"/>
        </w:rPr>
        <w:t>Rule</w:t>
      </w:r>
    </w:p>
    <w:p>
      <w:pPr>
        <w:pStyle w:val="BodyText"/>
        <w:ind w:left="224" w:right="566"/>
      </w:pPr>
      <w:r>
        <w:t>Select the option from the drop-down box that corresponds to the preferred method for rounding the Part D premium. The valid options are $0.10 and $0.50. MA-PD plans are required</w:t>
      </w:r>
      <w:r>
        <w:rPr>
          <w:spacing w:val="-3"/>
        </w:rPr>
        <w:t xml:space="preserve"> </w:t>
      </w:r>
      <w:r>
        <w:t>to</w:t>
      </w:r>
      <w:r>
        <w:rPr>
          <w:spacing w:val="-3"/>
        </w:rPr>
        <w:t xml:space="preserve"> </w:t>
      </w:r>
      <w:r>
        <w:t>round</w:t>
      </w:r>
      <w:r>
        <w:rPr>
          <w:spacing w:val="-3"/>
        </w:rPr>
        <w:t xml:space="preserve"> </w:t>
      </w:r>
      <w:r>
        <w:t>to</w:t>
      </w:r>
      <w:r>
        <w:rPr>
          <w:spacing w:val="-3"/>
        </w:rPr>
        <w:t xml:space="preserve"> </w:t>
      </w:r>
      <w:r>
        <w:t>the</w:t>
      </w:r>
      <w:r>
        <w:rPr>
          <w:spacing w:val="-4"/>
        </w:rPr>
        <w:t xml:space="preserve"> </w:t>
      </w:r>
      <w:r>
        <w:t>nearest</w:t>
      </w:r>
      <w:r>
        <w:rPr>
          <w:spacing w:val="-3"/>
        </w:rPr>
        <w:t xml:space="preserve"> </w:t>
      </w:r>
      <w:r>
        <w:t>$0.10;</w:t>
      </w:r>
      <w:r>
        <w:rPr>
          <w:spacing w:val="-1"/>
        </w:rPr>
        <w:t xml:space="preserve"> </w:t>
      </w:r>
      <w:r>
        <w:t>Part</w:t>
      </w:r>
      <w:r>
        <w:rPr>
          <w:spacing w:val="-3"/>
        </w:rPr>
        <w:t xml:space="preserve"> </w:t>
      </w:r>
      <w:r>
        <w:t>D</w:t>
      </w:r>
      <w:r>
        <w:rPr>
          <w:spacing w:val="-4"/>
        </w:rPr>
        <w:t xml:space="preserve"> </w:t>
      </w:r>
      <w:r>
        <w:t>plans</w:t>
      </w:r>
      <w:r>
        <w:rPr>
          <w:spacing w:val="-3"/>
        </w:rPr>
        <w:t xml:space="preserve"> </w:t>
      </w:r>
      <w:r>
        <w:t>are</w:t>
      </w:r>
      <w:r>
        <w:rPr>
          <w:spacing w:val="-4"/>
        </w:rPr>
        <w:t xml:space="preserve"> </w:t>
      </w:r>
      <w:r>
        <w:t>permitted</w:t>
      </w:r>
      <w:r>
        <w:rPr>
          <w:spacing w:val="-3"/>
        </w:rPr>
        <w:t xml:space="preserve"> </w:t>
      </w:r>
      <w:r>
        <w:t>to</w:t>
      </w:r>
      <w:r>
        <w:rPr>
          <w:spacing w:val="-3"/>
        </w:rPr>
        <w:t xml:space="preserve"> </w:t>
      </w:r>
      <w:r>
        <w:t>round</w:t>
      </w:r>
      <w:r>
        <w:rPr>
          <w:spacing w:val="-3"/>
        </w:rPr>
        <w:t xml:space="preserve"> </w:t>
      </w:r>
      <w:r>
        <w:t>to</w:t>
      </w:r>
      <w:r>
        <w:rPr>
          <w:spacing w:val="-3"/>
        </w:rPr>
        <w:t xml:space="preserve"> </w:t>
      </w:r>
      <w:r>
        <w:t>either</w:t>
      </w:r>
      <w:r>
        <w:rPr>
          <w:spacing w:val="-5"/>
        </w:rPr>
        <w:t xml:space="preserve"> </w:t>
      </w:r>
      <w:r>
        <w:t>the</w:t>
      </w:r>
      <w:r>
        <w:rPr>
          <w:spacing w:val="-3"/>
        </w:rPr>
        <w:t xml:space="preserve"> </w:t>
      </w:r>
      <w:r>
        <w:t>nearest</w:t>
      </w:r>
    </w:p>
    <w:p>
      <w:pPr>
        <w:pStyle w:val="BodyText"/>
        <w:spacing w:before="0"/>
        <w:ind w:left="224"/>
      </w:pPr>
      <w:r>
        <w:t>$0.10</w:t>
      </w:r>
      <w:r>
        <w:rPr>
          <w:spacing w:val="-1"/>
        </w:rPr>
        <w:t xml:space="preserve"> </w:t>
      </w:r>
      <w:r>
        <w:t>or</w:t>
      </w:r>
      <w:r>
        <w:rPr>
          <w:spacing w:val="-1"/>
        </w:rPr>
        <w:t xml:space="preserve"> </w:t>
      </w:r>
      <w:r>
        <w:t>the</w:t>
      </w:r>
      <w:r>
        <w:rPr>
          <w:spacing w:val="-2"/>
        </w:rPr>
        <w:t xml:space="preserve"> </w:t>
      </w:r>
      <w:r>
        <w:t xml:space="preserve">nearest </w:t>
      </w:r>
      <w:r>
        <w:rPr>
          <w:spacing w:val="-2"/>
        </w:rPr>
        <w:t>$0.50.</w:t>
      </w:r>
    </w:p>
    <w:p>
      <w:pPr>
        <w:spacing w:after="0"/>
        <w:sectPr>
          <w:pgSz w:w="12240" w:h="15840"/>
          <w:pgMar w:top="1340" w:right="1000" w:bottom="940" w:left="1360" w:header="727" w:footer="747"/>
          <w:cols w:space="720"/>
        </w:sectPr>
      </w:pPr>
    </w:p>
    <w:p>
      <w:pPr>
        <w:pStyle w:val="Heading2"/>
        <w:spacing w:before="88"/>
        <w:ind w:left="224"/>
      </w:pPr>
      <w:bookmarkStart w:id="263" w:name="Section IV – Part D Bid Pricing Tool Con"/>
      <w:bookmarkEnd w:id="263"/>
      <w:bookmarkStart w:id="264" w:name="_bookmark73"/>
      <w:bookmarkEnd w:id="264"/>
      <w:r>
        <w:rPr>
          <w:smallCaps/>
        </w:rPr>
        <w:t>Section</w:t>
      </w:r>
      <w:r>
        <w:rPr>
          <w:smallCaps/>
          <w:spacing w:val="-15"/>
        </w:rPr>
        <w:t xml:space="preserve"> </w:t>
      </w:r>
      <w:r>
        <w:rPr>
          <w:smallCaps/>
        </w:rPr>
        <w:t>IV</w:t>
      </w:r>
      <w:r>
        <w:rPr>
          <w:smallCaps/>
          <w:spacing w:val="-15"/>
        </w:rPr>
        <w:t xml:space="preserve"> </w:t>
      </w:r>
      <w:r>
        <w:rPr>
          <w:smallCaps/>
        </w:rPr>
        <w:t>–</w:t>
      </w:r>
      <w:r>
        <w:rPr>
          <w:smallCaps/>
          <w:spacing w:val="-15"/>
        </w:rPr>
        <w:t xml:space="preserve"> </w:t>
      </w:r>
      <w:r>
        <w:rPr>
          <w:smallCaps/>
        </w:rPr>
        <w:t>Part</w:t>
      </w:r>
      <w:r>
        <w:rPr>
          <w:smallCaps/>
          <w:spacing w:val="7"/>
        </w:rPr>
        <w:t xml:space="preserve"> </w:t>
      </w:r>
      <w:r>
        <w:rPr>
          <w:smallCaps/>
        </w:rPr>
        <w:t>D</w:t>
      </w:r>
      <w:r>
        <w:rPr>
          <w:smallCaps/>
          <w:spacing w:val="-17"/>
        </w:rPr>
        <w:t xml:space="preserve"> </w:t>
      </w:r>
      <w:r>
        <w:rPr>
          <w:smallCaps/>
        </w:rPr>
        <w:t>Bid</w:t>
      </w:r>
      <w:r>
        <w:rPr>
          <w:smallCaps/>
          <w:spacing w:val="-5"/>
        </w:rPr>
        <w:t xml:space="preserve"> </w:t>
      </w:r>
      <w:r>
        <w:rPr>
          <w:smallCaps/>
        </w:rPr>
        <w:t>Pricing</w:t>
      </w:r>
      <w:r>
        <w:rPr>
          <w:smallCaps/>
          <w:spacing w:val="-9"/>
        </w:rPr>
        <w:t xml:space="preserve"> </w:t>
      </w:r>
      <w:r>
        <w:rPr>
          <w:smallCaps/>
        </w:rPr>
        <w:t>Tool</w:t>
      </w:r>
      <w:r>
        <w:rPr>
          <w:smallCaps/>
          <w:spacing w:val="-6"/>
        </w:rPr>
        <w:t xml:space="preserve"> </w:t>
      </w:r>
      <w:r>
        <w:rPr>
          <w:smallCaps/>
        </w:rPr>
        <w:t>Contacts</w:t>
      </w:r>
      <w:r>
        <w:rPr>
          <w:smallCaps/>
          <w:spacing w:val="-8"/>
        </w:rPr>
        <w:t xml:space="preserve"> </w:t>
      </w:r>
      <w:r>
        <w:rPr>
          <w:smallCaps/>
        </w:rPr>
        <w:t>and</w:t>
      </w:r>
      <w:r>
        <w:rPr>
          <w:smallCaps/>
          <w:spacing w:val="-4"/>
        </w:rPr>
        <w:t xml:space="preserve"> </w:t>
      </w:r>
      <w:r>
        <w:rPr>
          <w:smallCaps/>
        </w:rPr>
        <w:t>Date</w:t>
      </w:r>
      <w:r>
        <w:rPr>
          <w:smallCaps/>
          <w:spacing w:val="-6"/>
        </w:rPr>
        <w:t xml:space="preserve"> </w:t>
      </w:r>
      <w:r>
        <w:rPr>
          <w:smallCaps/>
          <w:spacing w:val="-2"/>
        </w:rPr>
        <w:t>Prepared</w:t>
      </w:r>
    </w:p>
    <w:p>
      <w:pPr>
        <w:pStyle w:val="BodyText"/>
        <w:spacing w:before="180"/>
        <w:ind w:left="224" w:right="478"/>
      </w:pPr>
      <w:r>
        <w:t>Part</w:t>
      </w:r>
      <w:r>
        <w:rPr>
          <w:spacing w:val="-4"/>
        </w:rPr>
        <w:t xml:space="preserve"> </w:t>
      </w:r>
      <w:r>
        <w:t>D</w:t>
      </w:r>
      <w:r>
        <w:rPr>
          <w:spacing w:val="-4"/>
        </w:rPr>
        <w:t xml:space="preserve"> </w:t>
      </w:r>
      <w:r>
        <w:t>sponsors</w:t>
      </w:r>
      <w:r>
        <w:rPr>
          <w:spacing w:val="-4"/>
        </w:rPr>
        <w:t xml:space="preserve"> </w:t>
      </w:r>
      <w:r>
        <w:t>must</w:t>
      </w:r>
      <w:r>
        <w:rPr>
          <w:spacing w:val="-2"/>
        </w:rPr>
        <w:t xml:space="preserve"> </w:t>
      </w:r>
      <w:r>
        <w:t>identify</w:t>
      </w:r>
      <w:r>
        <w:rPr>
          <w:spacing w:val="-3"/>
        </w:rPr>
        <w:t xml:space="preserve"> </w:t>
      </w:r>
      <w:r>
        <w:t>three</w:t>
      </w:r>
      <w:r>
        <w:rPr>
          <w:spacing w:val="-4"/>
        </w:rPr>
        <w:t xml:space="preserve"> </w:t>
      </w:r>
      <w:r>
        <w:t>persons</w:t>
      </w:r>
      <w:r>
        <w:rPr>
          <w:spacing w:val="-1"/>
        </w:rPr>
        <w:t xml:space="preserve"> </w:t>
      </w:r>
      <w:r>
        <w:t>as</w:t>
      </w:r>
      <w:r>
        <w:rPr>
          <w:spacing w:val="-3"/>
        </w:rPr>
        <w:t xml:space="preserve"> </w:t>
      </w:r>
      <w:r>
        <w:t>plan</w:t>
      </w:r>
      <w:r>
        <w:rPr>
          <w:spacing w:val="-3"/>
        </w:rPr>
        <w:t xml:space="preserve"> </w:t>
      </w:r>
      <w:r>
        <w:t>bid</w:t>
      </w:r>
      <w:r>
        <w:rPr>
          <w:spacing w:val="-3"/>
        </w:rPr>
        <w:t xml:space="preserve"> </w:t>
      </w:r>
      <w:r>
        <w:t>contact,</w:t>
      </w:r>
      <w:r>
        <w:rPr>
          <w:spacing w:val="-2"/>
        </w:rPr>
        <w:t xml:space="preserve"> </w:t>
      </w:r>
      <w:r>
        <w:t>Part</w:t>
      </w:r>
      <w:r>
        <w:rPr>
          <w:spacing w:val="-3"/>
        </w:rPr>
        <w:t xml:space="preserve"> </w:t>
      </w:r>
      <w:r>
        <w:t>D</w:t>
      </w:r>
      <w:r>
        <w:rPr>
          <w:spacing w:val="-4"/>
        </w:rPr>
        <w:t xml:space="preserve"> </w:t>
      </w:r>
      <w:r>
        <w:t>certifying</w:t>
      </w:r>
      <w:r>
        <w:rPr>
          <w:spacing w:val="-3"/>
        </w:rPr>
        <w:t xml:space="preserve"> </w:t>
      </w:r>
      <w:r>
        <w:t>actuary</w:t>
      </w:r>
      <w:r>
        <w:rPr>
          <w:spacing w:val="-1"/>
        </w:rPr>
        <w:t xml:space="preserve"> </w:t>
      </w:r>
      <w:r>
        <w:t>and Part D additional actuarial BPT contact. However, the Part D sponsor may designate a centralized mailbox as the e-mail for any of the three contacts.</w:t>
      </w:r>
    </w:p>
    <w:p>
      <w:pPr>
        <w:pStyle w:val="BodyText"/>
        <w:ind w:left="224" w:right="478"/>
      </w:pPr>
      <w:r>
        <w:t>The</w:t>
      </w:r>
      <w:r>
        <w:rPr>
          <w:spacing w:val="-5"/>
        </w:rPr>
        <w:t xml:space="preserve"> </w:t>
      </w:r>
      <w:r>
        <w:t>Part</w:t>
      </w:r>
      <w:r>
        <w:rPr>
          <w:spacing w:val="-3"/>
        </w:rPr>
        <w:t xml:space="preserve"> </w:t>
      </w:r>
      <w:r>
        <w:t>D</w:t>
      </w:r>
      <w:r>
        <w:rPr>
          <w:spacing w:val="-4"/>
        </w:rPr>
        <w:t xml:space="preserve"> </w:t>
      </w:r>
      <w:r>
        <w:t>certifying</w:t>
      </w:r>
      <w:r>
        <w:rPr>
          <w:spacing w:val="-3"/>
        </w:rPr>
        <w:t xml:space="preserve"> </w:t>
      </w:r>
      <w:r>
        <w:t>actuary</w:t>
      </w:r>
      <w:r>
        <w:rPr>
          <w:spacing w:val="-3"/>
        </w:rPr>
        <w:t xml:space="preserve"> </w:t>
      </w:r>
      <w:r>
        <w:t>and</w:t>
      </w:r>
      <w:r>
        <w:rPr>
          <w:spacing w:val="-2"/>
        </w:rPr>
        <w:t xml:space="preserve"> </w:t>
      </w:r>
      <w:r>
        <w:t>Part</w:t>
      </w:r>
      <w:r>
        <w:rPr>
          <w:spacing w:val="-3"/>
        </w:rPr>
        <w:t xml:space="preserve"> </w:t>
      </w:r>
      <w:r>
        <w:t>D</w:t>
      </w:r>
      <w:r>
        <w:rPr>
          <w:spacing w:val="-2"/>
        </w:rPr>
        <w:t xml:space="preserve"> </w:t>
      </w:r>
      <w:r>
        <w:t>additional</w:t>
      </w:r>
      <w:r>
        <w:rPr>
          <w:spacing w:val="-3"/>
        </w:rPr>
        <w:t xml:space="preserve"> </w:t>
      </w:r>
      <w:r>
        <w:t>actuarial</w:t>
      </w:r>
      <w:r>
        <w:rPr>
          <w:spacing w:val="-3"/>
        </w:rPr>
        <w:t xml:space="preserve"> </w:t>
      </w:r>
      <w:r>
        <w:t>BPT</w:t>
      </w:r>
      <w:r>
        <w:rPr>
          <w:spacing w:val="-3"/>
        </w:rPr>
        <w:t xml:space="preserve"> </w:t>
      </w:r>
      <w:r>
        <w:t>contact</w:t>
      </w:r>
      <w:r>
        <w:rPr>
          <w:spacing w:val="-1"/>
        </w:rPr>
        <w:t xml:space="preserve"> </w:t>
      </w:r>
      <w:r>
        <w:t>must</w:t>
      </w:r>
      <w:r>
        <w:rPr>
          <w:spacing w:val="-3"/>
        </w:rPr>
        <w:t xml:space="preserve"> </w:t>
      </w:r>
      <w:r>
        <w:t>be</w:t>
      </w:r>
      <w:r>
        <w:rPr>
          <w:spacing w:val="-4"/>
        </w:rPr>
        <w:t xml:space="preserve"> </w:t>
      </w:r>
      <w:r>
        <w:t>readily available and authorized to discuss the development of the pricing of the bid.</w:t>
      </w:r>
    </w:p>
    <w:p>
      <w:pPr>
        <w:pStyle w:val="BodyText"/>
        <w:ind w:left="224" w:right="813"/>
      </w:pPr>
      <w:r>
        <w:t>In this section, enter</w:t>
      </w:r>
      <w:r>
        <w:rPr>
          <w:spacing w:val="-2"/>
        </w:rPr>
        <w:t xml:space="preserve"> </w:t>
      </w:r>
      <w:r>
        <w:t>the name, phone</w:t>
      </w:r>
      <w:r>
        <w:rPr>
          <w:spacing w:val="-2"/>
        </w:rPr>
        <w:t xml:space="preserve"> </w:t>
      </w:r>
      <w:r>
        <w:t>number and e-mail information for all three</w:t>
      </w:r>
      <w:r>
        <w:rPr>
          <w:spacing w:val="-1"/>
        </w:rPr>
        <w:t xml:space="preserve"> </w:t>
      </w:r>
      <w:r>
        <w:t>contacts; credentials are a required input for the certifying actuary. For the phone number, enter all ten</w:t>
      </w:r>
      <w:r>
        <w:rPr>
          <w:spacing w:val="-4"/>
        </w:rPr>
        <w:t xml:space="preserve"> </w:t>
      </w:r>
      <w:r>
        <w:t>digits</w:t>
      </w:r>
      <w:r>
        <w:rPr>
          <w:spacing w:val="-3"/>
        </w:rPr>
        <w:t xml:space="preserve"> </w:t>
      </w:r>
      <w:r>
        <w:t>consecutively</w:t>
      </w:r>
      <w:r>
        <w:rPr>
          <w:spacing w:val="-3"/>
        </w:rPr>
        <w:t xml:space="preserve"> </w:t>
      </w:r>
      <w:r>
        <w:t>without</w:t>
      </w:r>
      <w:r>
        <w:rPr>
          <w:spacing w:val="-3"/>
        </w:rPr>
        <w:t xml:space="preserve"> </w:t>
      </w:r>
      <w:r>
        <w:t>parentheses</w:t>
      </w:r>
      <w:r>
        <w:rPr>
          <w:spacing w:val="-3"/>
        </w:rPr>
        <w:t xml:space="preserve"> </w:t>
      </w:r>
      <w:r>
        <w:t>or</w:t>
      </w:r>
      <w:r>
        <w:rPr>
          <w:spacing w:val="-3"/>
        </w:rPr>
        <w:t xml:space="preserve"> </w:t>
      </w:r>
      <w:r>
        <w:t>dashes.</w:t>
      </w:r>
      <w:r>
        <w:rPr>
          <w:spacing w:val="-3"/>
        </w:rPr>
        <w:t xml:space="preserve"> </w:t>
      </w:r>
      <w:r>
        <w:t>Do</w:t>
      </w:r>
      <w:r>
        <w:rPr>
          <w:spacing w:val="-3"/>
        </w:rPr>
        <w:t xml:space="preserve"> </w:t>
      </w:r>
      <w:r>
        <w:t>not</w:t>
      </w:r>
      <w:r>
        <w:rPr>
          <w:spacing w:val="-3"/>
        </w:rPr>
        <w:t xml:space="preserve"> </w:t>
      </w:r>
      <w:r>
        <w:t>leave</w:t>
      </w:r>
      <w:r>
        <w:rPr>
          <w:spacing w:val="-4"/>
        </w:rPr>
        <w:t xml:space="preserve"> </w:t>
      </w:r>
      <w:r>
        <w:t>any</w:t>
      </w:r>
      <w:r>
        <w:rPr>
          <w:spacing w:val="-3"/>
        </w:rPr>
        <w:t xml:space="preserve"> </w:t>
      </w:r>
      <w:r>
        <w:t>part</w:t>
      </w:r>
      <w:r>
        <w:rPr>
          <w:spacing w:val="-3"/>
        </w:rPr>
        <w:t xml:space="preserve"> </w:t>
      </w:r>
      <w:r>
        <w:t>of</w:t>
      </w:r>
      <w:r>
        <w:rPr>
          <w:spacing w:val="-4"/>
        </w:rPr>
        <w:t xml:space="preserve"> </w:t>
      </w:r>
      <w:r>
        <w:t>this</w:t>
      </w:r>
      <w:r>
        <w:rPr>
          <w:spacing w:val="-3"/>
        </w:rPr>
        <w:t xml:space="preserve"> </w:t>
      </w:r>
      <w:r>
        <w:t xml:space="preserve">section </w:t>
      </w:r>
      <w:r>
        <w:rPr>
          <w:spacing w:val="-2"/>
        </w:rPr>
        <w:t>blank.</w:t>
      </w:r>
    </w:p>
    <w:p>
      <w:pPr>
        <w:pStyle w:val="BodyText"/>
        <w:spacing w:before="118"/>
        <w:ind w:left="224" w:right="979"/>
      </w:pPr>
      <w:r>
        <w:t>Section</w:t>
      </w:r>
      <w:r>
        <w:rPr>
          <w:spacing w:val="-3"/>
        </w:rPr>
        <w:t xml:space="preserve"> </w:t>
      </w:r>
      <w:r>
        <w:t>IV</w:t>
      </w:r>
      <w:r>
        <w:rPr>
          <w:spacing w:val="-5"/>
        </w:rPr>
        <w:t xml:space="preserve"> </w:t>
      </w:r>
      <w:r>
        <w:t>also</w:t>
      </w:r>
      <w:r>
        <w:rPr>
          <w:spacing w:val="-3"/>
        </w:rPr>
        <w:t xml:space="preserve"> </w:t>
      </w:r>
      <w:r>
        <w:t>contains</w:t>
      </w:r>
      <w:r>
        <w:rPr>
          <w:spacing w:val="-1"/>
        </w:rPr>
        <w:t xml:space="preserve"> </w:t>
      </w:r>
      <w:r>
        <w:t>a</w:t>
      </w:r>
      <w:r>
        <w:rPr>
          <w:spacing w:val="-4"/>
        </w:rPr>
        <w:t xml:space="preserve"> </w:t>
      </w:r>
      <w:r>
        <w:t>field</w:t>
      </w:r>
      <w:r>
        <w:rPr>
          <w:spacing w:val="-3"/>
        </w:rPr>
        <w:t xml:space="preserve"> </w:t>
      </w:r>
      <w:r>
        <w:t>labeled</w:t>
      </w:r>
      <w:r>
        <w:rPr>
          <w:spacing w:val="-2"/>
        </w:rPr>
        <w:t xml:space="preserve"> </w:t>
      </w:r>
      <w:r>
        <w:t>“Date</w:t>
      </w:r>
      <w:r>
        <w:rPr>
          <w:spacing w:val="-4"/>
        </w:rPr>
        <w:t xml:space="preserve"> </w:t>
      </w:r>
      <w:r>
        <w:t>Prepared.”</w:t>
      </w:r>
      <w:r>
        <w:rPr>
          <w:spacing w:val="-2"/>
        </w:rPr>
        <w:t xml:space="preserve"> </w:t>
      </w:r>
      <w:r>
        <w:t>This</w:t>
      </w:r>
      <w:r>
        <w:rPr>
          <w:spacing w:val="-3"/>
        </w:rPr>
        <w:t xml:space="preserve"> </w:t>
      </w:r>
      <w:r>
        <w:t>field</w:t>
      </w:r>
      <w:r>
        <w:rPr>
          <w:spacing w:val="-3"/>
        </w:rPr>
        <w:t xml:space="preserve"> </w:t>
      </w:r>
      <w:r>
        <w:t>is</w:t>
      </w:r>
      <w:r>
        <w:rPr>
          <w:spacing w:val="-3"/>
        </w:rPr>
        <w:t xml:space="preserve"> </w:t>
      </w:r>
      <w:r>
        <w:t>populated</w:t>
      </w:r>
      <w:r>
        <w:rPr>
          <w:spacing w:val="-3"/>
        </w:rPr>
        <w:t xml:space="preserve"> </w:t>
      </w:r>
      <w:r>
        <w:t>with</w:t>
      </w:r>
      <w:r>
        <w:rPr>
          <w:spacing w:val="-3"/>
        </w:rPr>
        <w:t xml:space="preserve"> </w:t>
      </w:r>
      <w:r>
        <w:t>a date/time stamp during the BPT finalization.</w:t>
      </w:r>
    </w:p>
    <w:p>
      <w:pPr>
        <w:pStyle w:val="BodyText"/>
        <w:spacing w:before="45"/>
        <w:ind w:left="0"/>
      </w:pPr>
    </w:p>
    <w:p>
      <w:pPr>
        <w:pStyle w:val="Heading2"/>
        <w:ind w:left="224"/>
      </w:pPr>
      <w:bookmarkStart w:id="265" w:name="Section V – Working Model Text Box"/>
      <w:bookmarkEnd w:id="265"/>
      <w:bookmarkStart w:id="266" w:name="_bookmark74"/>
      <w:bookmarkEnd w:id="266"/>
      <w:r>
        <w:rPr>
          <w:smallCaps/>
        </w:rPr>
        <w:t>Section</w:t>
      </w:r>
      <w:r>
        <w:rPr>
          <w:smallCaps/>
          <w:spacing w:val="-13"/>
        </w:rPr>
        <w:t xml:space="preserve"> </w:t>
      </w:r>
      <w:r>
        <w:rPr>
          <w:smallCaps/>
        </w:rPr>
        <w:t>V</w:t>
      </w:r>
      <w:r>
        <w:rPr>
          <w:smallCaps/>
          <w:spacing w:val="-15"/>
        </w:rPr>
        <w:t xml:space="preserve"> </w:t>
      </w:r>
      <w:r>
        <w:rPr>
          <w:smallCaps/>
        </w:rPr>
        <w:t>–</w:t>
      </w:r>
      <w:r>
        <w:rPr>
          <w:smallCaps/>
          <w:spacing w:val="-15"/>
        </w:rPr>
        <w:t xml:space="preserve"> </w:t>
      </w:r>
      <w:r>
        <w:rPr>
          <w:smallCaps/>
        </w:rPr>
        <w:t>Working</w:t>
      </w:r>
      <w:r>
        <w:rPr>
          <w:smallCaps/>
          <w:spacing w:val="-6"/>
        </w:rPr>
        <w:t xml:space="preserve"> </w:t>
      </w:r>
      <w:r>
        <w:rPr>
          <w:smallCaps/>
        </w:rPr>
        <w:t>Model</w:t>
      </w:r>
      <w:r>
        <w:rPr>
          <w:smallCaps/>
          <w:spacing w:val="-8"/>
        </w:rPr>
        <w:t xml:space="preserve"> </w:t>
      </w:r>
      <w:r>
        <w:rPr>
          <w:smallCaps/>
        </w:rPr>
        <w:t>Text</w:t>
      </w:r>
      <w:r>
        <w:rPr>
          <w:smallCaps/>
          <w:spacing w:val="-4"/>
        </w:rPr>
        <w:t xml:space="preserve"> </w:t>
      </w:r>
      <w:r>
        <w:rPr>
          <w:smallCaps/>
          <w:spacing w:val="-5"/>
        </w:rPr>
        <w:t>Box</w:t>
      </w:r>
    </w:p>
    <w:p>
      <w:pPr>
        <w:pStyle w:val="BodyText"/>
        <w:spacing w:before="179"/>
        <w:ind w:left="224" w:right="696"/>
        <w:jc w:val="both"/>
      </w:pPr>
      <w:r>
        <w:t>This</w:t>
      </w:r>
      <w:r>
        <w:rPr>
          <w:spacing w:val="-2"/>
        </w:rPr>
        <w:t xml:space="preserve"> </w:t>
      </w:r>
      <w:r>
        <w:t>section</w:t>
      </w:r>
      <w:r>
        <w:rPr>
          <w:spacing w:val="-3"/>
        </w:rPr>
        <w:t xml:space="preserve"> </w:t>
      </w:r>
      <w:r>
        <w:t>contains</w:t>
      </w:r>
      <w:r>
        <w:rPr>
          <w:spacing w:val="-2"/>
        </w:rPr>
        <w:t xml:space="preserve"> </w:t>
      </w:r>
      <w:r>
        <w:t>multiple</w:t>
      </w:r>
      <w:r>
        <w:rPr>
          <w:spacing w:val="-3"/>
        </w:rPr>
        <w:t xml:space="preserve"> </w:t>
      </w:r>
      <w:r>
        <w:t>cells</w:t>
      </w:r>
      <w:r>
        <w:rPr>
          <w:spacing w:val="-2"/>
        </w:rPr>
        <w:t xml:space="preserve"> </w:t>
      </w:r>
      <w:r>
        <w:t>that</w:t>
      </w:r>
      <w:r>
        <w:rPr>
          <w:spacing w:val="-1"/>
        </w:rPr>
        <w:t xml:space="preserve"> </w:t>
      </w:r>
      <w:r>
        <w:t>may</w:t>
      </w:r>
      <w:r>
        <w:rPr>
          <w:spacing w:val="-3"/>
        </w:rPr>
        <w:t xml:space="preserve"> </w:t>
      </w:r>
      <w:r>
        <w:t>be</w:t>
      </w:r>
      <w:r>
        <w:rPr>
          <w:spacing w:val="-3"/>
        </w:rPr>
        <w:t xml:space="preserve"> </w:t>
      </w:r>
      <w:r>
        <w:t>used</w:t>
      </w:r>
      <w:r>
        <w:rPr>
          <w:spacing w:val="-2"/>
        </w:rPr>
        <w:t xml:space="preserve"> </w:t>
      </w:r>
      <w:r>
        <w:t>by</w:t>
      </w:r>
      <w:r>
        <w:rPr>
          <w:spacing w:val="-3"/>
        </w:rPr>
        <w:t xml:space="preserve"> </w:t>
      </w:r>
      <w:r>
        <w:t>bid</w:t>
      </w:r>
      <w:r>
        <w:rPr>
          <w:spacing w:val="-2"/>
        </w:rPr>
        <w:t xml:space="preserve"> </w:t>
      </w:r>
      <w:r>
        <w:t>preparers</w:t>
      </w:r>
      <w:r>
        <w:rPr>
          <w:spacing w:val="-3"/>
        </w:rPr>
        <w:t xml:space="preserve"> </w:t>
      </w:r>
      <w:r>
        <w:t>to</w:t>
      </w:r>
      <w:r>
        <w:rPr>
          <w:spacing w:val="-2"/>
        </w:rPr>
        <w:t xml:space="preserve"> </w:t>
      </w:r>
      <w:r>
        <w:t>enter</w:t>
      </w:r>
      <w:r>
        <w:rPr>
          <w:spacing w:val="-3"/>
        </w:rPr>
        <w:t xml:space="preserve"> </w:t>
      </w:r>
      <w:r>
        <w:t>internal</w:t>
      </w:r>
      <w:r>
        <w:rPr>
          <w:spacing w:val="-2"/>
        </w:rPr>
        <w:t xml:space="preserve"> </w:t>
      </w:r>
      <w:r>
        <w:t>notes– for</w:t>
      </w:r>
      <w:r>
        <w:rPr>
          <w:spacing w:val="-6"/>
        </w:rPr>
        <w:t xml:space="preserve"> </w:t>
      </w:r>
      <w:r>
        <w:t>example,</w:t>
      </w:r>
      <w:r>
        <w:rPr>
          <w:spacing w:val="-4"/>
        </w:rPr>
        <w:t xml:space="preserve"> </w:t>
      </w:r>
      <w:r>
        <w:t>to</w:t>
      </w:r>
      <w:r>
        <w:rPr>
          <w:spacing w:val="-4"/>
        </w:rPr>
        <w:t xml:space="preserve"> </w:t>
      </w:r>
      <w:r>
        <w:t>facilitate</w:t>
      </w:r>
      <w:r>
        <w:rPr>
          <w:spacing w:val="-3"/>
        </w:rPr>
        <w:t xml:space="preserve"> </w:t>
      </w:r>
      <w:r>
        <w:t>communication</w:t>
      </w:r>
      <w:r>
        <w:rPr>
          <w:spacing w:val="-4"/>
        </w:rPr>
        <w:t xml:space="preserve"> </w:t>
      </w:r>
      <w:r>
        <w:t>between</w:t>
      </w:r>
      <w:r>
        <w:rPr>
          <w:spacing w:val="-2"/>
        </w:rPr>
        <w:t xml:space="preserve"> </w:t>
      </w:r>
      <w:r>
        <w:t>BPT</w:t>
      </w:r>
      <w:r>
        <w:rPr>
          <w:spacing w:val="-4"/>
        </w:rPr>
        <w:t xml:space="preserve"> </w:t>
      </w:r>
      <w:r>
        <w:t>and</w:t>
      </w:r>
      <w:r>
        <w:rPr>
          <w:spacing w:val="-4"/>
        </w:rPr>
        <w:t xml:space="preserve"> </w:t>
      </w:r>
      <w:r>
        <w:t>PBP</w:t>
      </w:r>
      <w:r>
        <w:rPr>
          <w:spacing w:val="-4"/>
        </w:rPr>
        <w:t xml:space="preserve"> </w:t>
      </w:r>
      <w:r>
        <w:t>preparers</w:t>
      </w:r>
      <w:r>
        <w:rPr>
          <w:spacing w:val="-3"/>
        </w:rPr>
        <w:t xml:space="preserve"> </w:t>
      </w:r>
      <w:r>
        <w:t>or to</w:t>
      </w:r>
      <w:r>
        <w:rPr>
          <w:spacing w:val="-3"/>
        </w:rPr>
        <w:t xml:space="preserve"> </w:t>
      </w:r>
      <w:r>
        <w:t>track</w:t>
      </w:r>
      <w:r>
        <w:rPr>
          <w:spacing w:val="-4"/>
        </w:rPr>
        <w:t xml:space="preserve"> </w:t>
      </w:r>
      <w:r>
        <w:t>internal version schemes.</w:t>
      </w:r>
    </w:p>
    <w:p>
      <w:pPr>
        <w:pStyle w:val="BodyText"/>
        <w:spacing w:before="121"/>
        <w:ind w:left="224" w:right="566"/>
      </w:pPr>
      <w:r>
        <w:t>Section V will be deleted from the finalized file and therefore will not be uploaded to HPMS. Bid</w:t>
      </w:r>
      <w:r>
        <w:rPr>
          <w:spacing w:val="-3"/>
        </w:rPr>
        <w:t xml:space="preserve"> </w:t>
      </w:r>
      <w:r>
        <w:t>preparers</w:t>
      </w:r>
      <w:r>
        <w:rPr>
          <w:spacing w:val="-3"/>
        </w:rPr>
        <w:t xml:space="preserve"> </w:t>
      </w:r>
      <w:r>
        <w:t>must</w:t>
      </w:r>
      <w:r>
        <w:rPr>
          <w:spacing w:val="-3"/>
        </w:rPr>
        <w:t xml:space="preserve"> </w:t>
      </w:r>
      <w:r>
        <w:t>not</w:t>
      </w:r>
      <w:r>
        <w:rPr>
          <w:spacing w:val="-3"/>
        </w:rPr>
        <w:t xml:space="preserve"> </w:t>
      </w:r>
      <w:r>
        <w:t>enter</w:t>
      </w:r>
      <w:r>
        <w:rPr>
          <w:spacing w:val="-3"/>
        </w:rPr>
        <w:t xml:space="preserve"> </w:t>
      </w:r>
      <w:r>
        <w:t>information</w:t>
      </w:r>
      <w:r>
        <w:rPr>
          <w:spacing w:val="-3"/>
        </w:rPr>
        <w:t xml:space="preserve"> </w:t>
      </w:r>
      <w:r>
        <w:t>in</w:t>
      </w:r>
      <w:r>
        <w:rPr>
          <w:spacing w:val="-3"/>
        </w:rPr>
        <w:t xml:space="preserve"> </w:t>
      </w:r>
      <w:r>
        <w:t>this</w:t>
      </w:r>
      <w:r>
        <w:rPr>
          <w:spacing w:val="-3"/>
        </w:rPr>
        <w:t xml:space="preserve"> </w:t>
      </w:r>
      <w:r>
        <w:t>section</w:t>
      </w:r>
      <w:r>
        <w:rPr>
          <w:spacing w:val="-3"/>
        </w:rPr>
        <w:t xml:space="preserve"> </w:t>
      </w:r>
      <w:r>
        <w:t>meant</w:t>
      </w:r>
      <w:r>
        <w:rPr>
          <w:spacing w:val="-3"/>
        </w:rPr>
        <w:t xml:space="preserve"> </w:t>
      </w:r>
      <w:r>
        <w:t>to</w:t>
      </w:r>
      <w:r>
        <w:rPr>
          <w:spacing w:val="-3"/>
        </w:rPr>
        <w:t xml:space="preserve"> </w:t>
      </w:r>
      <w:r>
        <w:t>be</w:t>
      </w:r>
      <w:r>
        <w:rPr>
          <w:spacing w:val="-4"/>
        </w:rPr>
        <w:t xml:space="preserve"> </w:t>
      </w:r>
      <w:r>
        <w:t>communicated</w:t>
      </w:r>
      <w:r>
        <w:rPr>
          <w:spacing w:val="-3"/>
        </w:rPr>
        <w:t xml:space="preserve"> </w:t>
      </w:r>
      <w:r>
        <w:t>to</w:t>
      </w:r>
      <w:r>
        <w:rPr>
          <w:spacing w:val="-3"/>
        </w:rPr>
        <w:t xml:space="preserve"> </w:t>
      </w:r>
      <w:r>
        <w:t>CMS</w:t>
      </w:r>
      <w:r>
        <w:rPr>
          <w:spacing w:val="-3"/>
        </w:rPr>
        <w:t xml:space="preserve"> </w:t>
      </w:r>
      <w:r>
        <w:t>or to CMS reviewers, as CMS will not have access to it. Section V will not be deleted from the working file or the backup file during finalization.</w:t>
      </w:r>
    </w:p>
    <w:p>
      <w:pPr>
        <w:spacing w:after="0"/>
        <w:sectPr>
          <w:pgSz w:w="12240" w:h="15840"/>
          <w:pgMar w:top="1340" w:right="1000" w:bottom="940" w:left="1360" w:header="727" w:footer="747"/>
          <w:cols w:space="720"/>
        </w:sectPr>
      </w:pPr>
    </w:p>
    <w:p>
      <w:pPr>
        <w:pStyle w:val="Heading1"/>
        <w:numPr>
          <w:ilvl w:val="0"/>
          <w:numId w:val="17"/>
        </w:numPr>
        <w:tabs>
          <w:tab w:val="left" w:pos="644"/>
        </w:tabs>
        <w:spacing w:before="207" w:after="0" w:line="240" w:lineRule="auto"/>
        <w:ind w:left="644" w:right="0" w:hanging="420"/>
        <w:jc w:val="left"/>
        <w:rPr>
          <w:u w:val="none"/>
        </w:rPr>
      </w:pPr>
      <w:bookmarkStart w:id="267" w:name="IV. Appendices"/>
      <w:bookmarkEnd w:id="267"/>
      <w:bookmarkStart w:id="268" w:name="_bookmark75"/>
      <w:bookmarkEnd w:id="268"/>
      <w:r>
        <w:rPr>
          <w:spacing w:val="-2"/>
          <w:u w:val="none"/>
        </w:rPr>
        <w:t>APPENDICES</w:t>
      </w:r>
    </w:p>
    <w:p>
      <w:pPr>
        <w:pStyle w:val="Heading1"/>
        <w:tabs>
          <w:tab w:val="left" w:pos="9470"/>
        </w:tabs>
        <w:spacing w:before="239"/>
        <w:rPr>
          <w:u w:val="none"/>
        </w:rPr>
      </w:pPr>
      <w:bookmarkStart w:id="269" w:name="Appendix A – Actuarial Certification"/>
      <w:bookmarkEnd w:id="269"/>
      <w:bookmarkStart w:id="270" w:name="_bookmark76"/>
      <w:bookmarkEnd w:id="270"/>
      <w:r>
        <w:rPr>
          <w:spacing w:val="-52"/>
          <w:u w:val="single"/>
        </w:rPr>
        <w:t xml:space="preserve"> </w:t>
      </w:r>
      <w:r>
        <w:rPr>
          <w:u w:val="single"/>
        </w:rPr>
        <w:t>APPENDIX</w:t>
      </w:r>
      <w:r>
        <w:rPr>
          <w:spacing w:val="-6"/>
          <w:u w:val="single"/>
        </w:rPr>
        <w:t xml:space="preserve"> </w:t>
      </w:r>
      <w:r>
        <w:rPr>
          <w:u w:val="single"/>
        </w:rPr>
        <w:t>A</w:t>
      </w:r>
      <w:r>
        <w:rPr>
          <w:spacing w:val="-7"/>
          <w:u w:val="single"/>
        </w:rPr>
        <w:t xml:space="preserve"> </w:t>
      </w:r>
      <w:r>
        <w:rPr>
          <w:u w:val="single"/>
        </w:rPr>
        <w:t>–</w:t>
      </w:r>
      <w:r>
        <w:rPr>
          <w:spacing w:val="-4"/>
          <w:u w:val="single"/>
        </w:rPr>
        <w:t xml:space="preserve"> </w:t>
      </w:r>
      <w:r>
        <w:rPr>
          <w:u w:val="single"/>
        </w:rPr>
        <w:t>ACTUARIAL</w:t>
      </w:r>
      <w:r>
        <w:rPr>
          <w:spacing w:val="-2"/>
          <w:u w:val="single"/>
        </w:rPr>
        <w:t xml:space="preserve"> CERTIFICATION</w:t>
      </w:r>
      <w:r>
        <w:rPr>
          <w:u w:val="single"/>
        </w:rPr>
        <w:tab/>
      </w:r>
    </w:p>
    <w:p>
      <w:pPr>
        <w:pStyle w:val="BodyText"/>
        <w:spacing w:before="110"/>
        <w:ind w:left="0"/>
        <w:rPr>
          <w:rFonts w:ascii="Arial"/>
          <w:b/>
          <w:sz w:val="21"/>
        </w:rPr>
      </w:pPr>
    </w:p>
    <w:p>
      <w:pPr>
        <w:pStyle w:val="Heading2"/>
        <w:spacing w:before="1"/>
        <w:ind w:left="224"/>
      </w:pPr>
      <w:bookmarkStart w:id="271" w:name="General"/>
      <w:bookmarkEnd w:id="271"/>
      <w:bookmarkStart w:id="272" w:name="_bookmark77"/>
      <w:bookmarkEnd w:id="272"/>
      <w:r>
        <w:rPr>
          <w:smallCaps/>
          <w:spacing w:val="-2"/>
        </w:rPr>
        <w:t>General</w:t>
      </w:r>
    </w:p>
    <w:p>
      <w:pPr>
        <w:pStyle w:val="BodyText"/>
        <w:spacing w:before="179"/>
        <w:ind w:left="224" w:right="478"/>
      </w:pPr>
      <w:r>
        <w:t>CMS requires an actuarial certification to accompany every bid submitted to HPMS. If a certification</w:t>
      </w:r>
      <w:r>
        <w:rPr>
          <w:spacing w:val="-4"/>
        </w:rPr>
        <w:t xml:space="preserve"> </w:t>
      </w:r>
      <w:r>
        <w:t>is</w:t>
      </w:r>
      <w:r>
        <w:rPr>
          <w:spacing w:val="-4"/>
        </w:rPr>
        <w:t xml:space="preserve"> </w:t>
      </w:r>
      <w:r>
        <w:t>not</w:t>
      </w:r>
      <w:r>
        <w:rPr>
          <w:spacing w:val="-4"/>
        </w:rPr>
        <w:t xml:space="preserve"> </w:t>
      </w:r>
      <w:r>
        <w:t>submitted</w:t>
      </w:r>
      <w:r>
        <w:rPr>
          <w:spacing w:val="-4"/>
        </w:rPr>
        <w:t xml:space="preserve"> </w:t>
      </w:r>
      <w:r>
        <w:t>via</w:t>
      </w:r>
      <w:r>
        <w:rPr>
          <w:spacing w:val="-4"/>
        </w:rPr>
        <w:t xml:space="preserve"> </w:t>
      </w:r>
      <w:r>
        <w:t>the</w:t>
      </w:r>
      <w:r>
        <w:rPr>
          <w:spacing w:val="-5"/>
        </w:rPr>
        <w:t xml:space="preserve"> </w:t>
      </w:r>
      <w:r>
        <w:t>HPMS</w:t>
      </w:r>
      <w:r>
        <w:rPr>
          <w:spacing w:val="-3"/>
        </w:rPr>
        <w:t xml:space="preserve"> </w:t>
      </w:r>
      <w:r>
        <w:t>certification</w:t>
      </w:r>
      <w:r>
        <w:rPr>
          <w:spacing w:val="-4"/>
        </w:rPr>
        <w:t xml:space="preserve"> </w:t>
      </w:r>
      <w:r>
        <w:t>module,</w:t>
      </w:r>
      <w:r>
        <w:rPr>
          <w:spacing w:val="-4"/>
        </w:rPr>
        <w:t xml:space="preserve"> </w:t>
      </w:r>
      <w:r>
        <w:t>the</w:t>
      </w:r>
      <w:r>
        <w:rPr>
          <w:spacing w:val="-4"/>
        </w:rPr>
        <w:t xml:space="preserve"> </w:t>
      </w:r>
      <w:r>
        <w:t>bid</w:t>
      </w:r>
      <w:r>
        <w:rPr>
          <w:spacing w:val="-1"/>
        </w:rPr>
        <w:t xml:space="preserve"> </w:t>
      </w:r>
      <w:r>
        <w:t>will</w:t>
      </w:r>
      <w:r>
        <w:rPr>
          <w:spacing w:val="-4"/>
        </w:rPr>
        <w:t xml:space="preserve"> </w:t>
      </w:r>
      <w:r>
        <w:t>not</w:t>
      </w:r>
      <w:r>
        <w:rPr>
          <w:spacing w:val="-4"/>
        </w:rPr>
        <w:t xml:space="preserve"> </w:t>
      </w:r>
      <w:r>
        <w:t>be</w:t>
      </w:r>
      <w:r>
        <w:rPr>
          <w:spacing w:val="-4"/>
        </w:rPr>
        <w:t xml:space="preserve"> </w:t>
      </w:r>
      <w:r>
        <w:t>considered for CMS review and approval. Every Part D BPT requires a certification. Likewise, every</w:t>
      </w:r>
    </w:p>
    <w:p>
      <w:pPr>
        <w:pStyle w:val="BodyText"/>
        <w:spacing w:before="0"/>
        <w:ind w:left="224"/>
      </w:pPr>
      <w:r>
        <w:t>MA</w:t>
      </w:r>
      <w:r>
        <w:rPr>
          <w:spacing w:val="-2"/>
        </w:rPr>
        <w:t xml:space="preserve"> </w:t>
      </w:r>
      <w:r>
        <w:t>BPT</w:t>
      </w:r>
      <w:r>
        <w:rPr>
          <w:spacing w:val="-1"/>
        </w:rPr>
        <w:t xml:space="preserve"> </w:t>
      </w:r>
      <w:r>
        <w:t>requires</w:t>
      </w:r>
      <w:r>
        <w:rPr>
          <w:spacing w:val="-1"/>
        </w:rPr>
        <w:t xml:space="preserve"> </w:t>
      </w:r>
      <w:r>
        <w:t>a</w:t>
      </w:r>
      <w:r>
        <w:rPr>
          <w:spacing w:val="-2"/>
        </w:rPr>
        <w:t xml:space="preserve"> certification.</w:t>
      </w:r>
    </w:p>
    <w:p>
      <w:pPr>
        <w:pStyle w:val="BodyText"/>
        <w:ind w:left="224" w:right="478"/>
      </w:pPr>
      <w:r>
        <w:t>A</w:t>
      </w:r>
      <w:r>
        <w:rPr>
          <w:spacing w:val="-3"/>
        </w:rPr>
        <w:t xml:space="preserve"> </w:t>
      </w:r>
      <w:r>
        <w:t>qualified</w:t>
      </w:r>
      <w:r>
        <w:rPr>
          <w:spacing w:val="-3"/>
        </w:rPr>
        <w:t xml:space="preserve"> </w:t>
      </w:r>
      <w:r>
        <w:t>actuary</w:t>
      </w:r>
      <w:r>
        <w:rPr>
          <w:spacing w:val="-3"/>
        </w:rPr>
        <w:t xml:space="preserve"> </w:t>
      </w:r>
      <w:r>
        <w:t>who</w:t>
      </w:r>
      <w:r>
        <w:rPr>
          <w:spacing w:val="-3"/>
        </w:rPr>
        <w:t xml:space="preserve"> </w:t>
      </w:r>
      <w:r>
        <w:t>is</w:t>
      </w:r>
      <w:r>
        <w:rPr>
          <w:spacing w:val="-3"/>
        </w:rPr>
        <w:t xml:space="preserve"> </w:t>
      </w:r>
      <w:r>
        <w:t>a</w:t>
      </w:r>
      <w:r>
        <w:rPr>
          <w:spacing w:val="-3"/>
        </w:rPr>
        <w:t xml:space="preserve"> </w:t>
      </w:r>
      <w:r>
        <w:t>member</w:t>
      </w:r>
      <w:r>
        <w:rPr>
          <w:spacing w:val="-3"/>
        </w:rPr>
        <w:t xml:space="preserve"> </w:t>
      </w:r>
      <w:r>
        <w:t>of</w:t>
      </w:r>
      <w:r>
        <w:rPr>
          <w:spacing w:val="-5"/>
        </w:rPr>
        <w:t xml:space="preserve"> </w:t>
      </w:r>
      <w:r>
        <w:t>the</w:t>
      </w:r>
      <w:r>
        <w:rPr>
          <w:spacing w:val="-2"/>
        </w:rPr>
        <w:t xml:space="preserve"> </w:t>
      </w:r>
      <w:r>
        <w:t>American</w:t>
      </w:r>
      <w:r>
        <w:rPr>
          <w:spacing w:val="-3"/>
        </w:rPr>
        <w:t xml:space="preserve"> </w:t>
      </w:r>
      <w:r>
        <w:t>Academy</w:t>
      </w:r>
      <w:r>
        <w:rPr>
          <w:spacing w:val="-3"/>
        </w:rPr>
        <w:t xml:space="preserve"> </w:t>
      </w:r>
      <w:r>
        <w:t>of</w:t>
      </w:r>
      <w:r>
        <w:rPr>
          <w:spacing w:val="-2"/>
        </w:rPr>
        <w:t xml:space="preserve"> </w:t>
      </w:r>
      <w:r>
        <w:t>Actuaries</w:t>
      </w:r>
      <w:r>
        <w:rPr>
          <w:spacing w:val="-1"/>
        </w:rPr>
        <w:t xml:space="preserve"> </w:t>
      </w:r>
      <w:r>
        <w:t>(MAAA)</w:t>
      </w:r>
      <w:r>
        <w:rPr>
          <w:spacing w:val="-3"/>
        </w:rPr>
        <w:t xml:space="preserve"> </w:t>
      </w:r>
      <w:r>
        <w:t>must complete the certification. The objective of obtaining an actuarial certification is to place greater responsibility on the actuary’s professional judgment and to hold that person accountable for the reasonableness of the assumptions and projections.</w:t>
      </w:r>
    </w:p>
    <w:p>
      <w:pPr>
        <w:spacing w:before="241"/>
        <w:ind w:left="224" w:right="0" w:firstLine="0"/>
        <w:jc w:val="left"/>
        <w:rPr>
          <w:rFonts w:ascii="Arial"/>
          <w:b/>
          <w:sz w:val="21"/>
        </w:rPr>
      </w:pPr>
      <w:bookmarkStart w:id="273" w:name="Certification Module"/>
      <w:bookmarkEnd w:id="273"/>
      <w:r>
        <w:rPr>
          <w:rFonts w:ascii="Arial"/>
          <w:b/>
          <w:sz w:val="21"/>
        </w:rPr>
        <w:t>Certification</w:t>
      </w:r>
      <w:r>
        <w:rPr>
          <w:rFonts w:ascii="Arial"/>
          <w:b/>
          <w:spacing w:val="-9"/>
          <w:sz w:val="21"/>
        </w:rPr>
        <w:t xml:space="preserve"> </w:t>
      </w:r>
      <w:r>
        <w:rPr>
          <w:rFonts w:ascii="Arial"/>
          <w:b/>
          <w:spacing w:val="-2"/>
          <w:sz w:val="21"/>
        </w:rPr>
        <w:t>Module</w:t>
      </w:r>
    </w:p>
    <w:p>
      <w:pPr>
        <w:pStyle w:val="BodyText"/>
        <w:spacing w:before="118"/>
        <w:ind w:left="584"/>
      </w:pPr>
      <w:r>
        <w:t>The</w:t>
      </w:r>
      <w:r>
        <w:rPr>
          <w:spacing w:val="-3"/>
        </w:rPr>
        <w:t xml:space="preserve"> </w:t>
      </w:r>
      <w:r>
        <w:t>certification module contains the</w:t>
      </w:r>
      <w:r>
        <w:rPr>
          <w:spacing w:val="-2"/>
        </w:rPr>
        <w:t xml:space="preserve"> </w:t>
      </w:r>
      <w:r>
        <w:t xml:space="preserve">following </w:t>
      </w:r>
      <w:r>
        <w:rPr>
          <w:spacing w:val="-2"/>
        </w:rPr>
        <w:t>features:</w:t>
      </w:r>
    </w:p>
    <w:p>
      <w:pPr>
        <w:pStyle w:val="ListParagraph"/>
        <w:numPr>
          <w:ilvl w:val="0"/>
          <w:numId w:val="5"/>
        </w:numPr>
        <w:tabs>
          <w:tab w:val="left" w:pos="944"/>
        </w:tabs>
        <w:spacing w:before="41" w:after="0" w:line="240" w:lineRule="auto"/>
        <w:ind w:left="944" w:right="0" w:hanging="360"/>
        <w:jc w:val="left"/>
        <w:rPr>
          <w:sz w:val="24"/>
        </w:rPr>
      </w:pPr>
      <w:r>
        <w:rPr>
          <w:sz w:val="24"/>
        </w:rPr>
        <w:t>Standardized</w:t>
      </w:r>
      <w:r>
        <w:rPr>
          <w:spacing w:val="-4"/>
          <w:sz w:val="24"/>
        </w:rPr>
        <w:t xml:space="preserve"> </w:t>
      </w:r>
      <w:r>
        <w:rPr>
          <w:sz w:val="24"/>
        </w:rPr>
        <w:t>required</w:t>
      </w:r>
      <w:r>
        <w:rPr>
          <w:spacing w:val="-3"/>
          <w:sz w:val="24"/>
        </w:rPr>
        <w:t xml:space="preserve"> </w:t>
      </w:r>
      <w:r>
        <w:rPr>
          <w:spacing w:val="-2"/>
          <w:sz w:val="24"/>
        </w:rPr>
        <w:t>language.</w:t>
      </w:r>
    </w:p>
    <w:p>
      <w:pPr>
        <w:pStyle w:val="ListParagraph"/>
        <w:numPr>
          <w:ilvl w:val="0"/>
          <w:numId w:val="5"/>
        </w:numPr>
        <w:tabs>
          <w:tab w:val="left" w:pos="944"/>
        </w:tabs>
        <w:spacing w:before="41" w:after="0" w:line="240" w:lineRule="auto"/>
        <w:ind w:left="944" w:right="0" w:hanging="360"/>
        <w:jc w:val="left"/>
        <w:rPr>
          <w:sz w:val="24"/>
        </w:rPr>
      </w:pPr>
      <w:r>
        <w:rPr>
          <w:sz w:val="24"/>
        </w:rPr>
        <w:t>The</w:t>
      </w:r>
      <w:r>
        <w:rPr>
          <w:spacing w:val="-5"/>
          <w:sz w:val="24"/>
        </w:rPr>
        <w:t xml:space="preserve"> </w:t>
      </w:r>
      <w:r>
        <w:rPr>
          <w:sz w:val="24"/>
        </w:rPr>
        <w:t>ability</w:t>
      </w:r>
      <w:r>
        <w:rPr>
          <w:spacing w:val="-1"/>
          <w:sz w:val="24"/>
        </w:rPr>
        <w:t xml:space="preserve"> </w:t>
      </w:r>
      <w:r>
        <w:rPr>
          <w:sz w:val="24"/>
        </w:rPr>
        <w:t>to append</w:t>
      </w:r>
      <w:r>
        <w:rPr>
          <w:spacing w:val="-1"/>
          <w:sz w:val="24"/>
        </w:rPr>
        <w:t xml:space="preserve"> </w:t>
      </w:r>
      <w:r>
        <w:rPr>
          <w:sz w:val="24"/>
        </w:rPr>
        <w:t>free-form</w:t>
      </w:r>
      <w:r>
        <w:rPr>
          <w:spacing w:val="-1"/>
          <w:sz w:val="24"/>
        </w:rPr>
        <w:t xml:space="preserve"> </w:t>
      </w:r>
      <w:r>
        <w:rPr>
          <w:sz w:val="24"/>
        </w:rPr>
        <w:t>text language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required</w:t>
      </w:r>
      <w:r>
        <w:rPr>
          <w:spacing w:val="-1"/>
          <w:sz w:val="24"/>
        </w:rPr>
        <w:t xml:space="preserve"> </w:t>
      </w:r>
      <w:r>
        <w:rPr>
          <w:sz w:val="24"/>
        </w:rPr>
        <w:t>standardized</w:t>
      </w:r>
      <w:r>
        <w:rPr>
          <w:spacing w:val="2"/>
          <w:sz w:val="24"/>
        </w:rPr>
        <w:t xml:space="preserve"> </w:t>
      </w:r>
      <w:r>
        <w:rPr>
          <w:spacing w:val="-2"/>
          <w:sz w:val="24"/>
        </w:rPr>
        <w:t>language.</w:t>
      </w:r>
    </w:p>
    <w:p>
      <w:pPr>
        <w:pStyle w:val="ListParagraph"/>
        <w:numPr>
          <w:ilvl w:val="0"/>
          <w:numId w:val="5"/>
        </w:numPr>
        <w:tabs>
          <w:tab w:val="left" w:pos="944"/>
        </w:tabs>
        <w:spacing w:before="38" w:after="0" w:line="240" w:lineRule="auto"/>
        <w:ind w:left="944" w:right="0" w:hanging="360"/>
        <w:jc w:val="left"/>
        <w:rPr>
          <w:sz w:val="24"/>
        </w:rPr>
      </w:pPr>
      <w:r>
        <w:rPr>
          <w:sz w:val="24"/>
        </w:rPr>
        <w:t>A</w:t>
      </w:r>
      <w:r>
        <w:rPr>
          <w:spacing w:val="-3"/>
          <w:sz w:val="24"/>
        </w:rPr>
        <w:t xml:space="preserve"> </w:t>
      </w:r>
      <w:r>
        <w:rPr>
          <w:sz w:val="24"/>
        </w:rPr>
        <w:t>summary of</w:t>
      </w:r>
      <w:r>
        <w:rPr>
          <w:spacing w:val="-2"/>
          <w:sz w:val="24"/>
        </w:rPr>
        <w:t xml:space="preserve"> </w:t>
      </w:r>
      <w:r>
        <w:rPr>
          <w:sz w:val="24"/>
        </w:rPr>
        <w:t>key information from the</w:t>
      </w:r>
      <w:r>
        <w:rPr>
          <w:spacing w:val="-1"/>
          <w:sz w:val="24"/>
        </w:rPr>
        <w:t xml:space="preserve"> </w:t>
      </w:r>
      <w:r>
        <w:rPr>
          <w:sz w:val="24"/>
        </w:rPr>
        <w:t xml:space="preserve">submitted </w:t>
      </w:r>
      <w:r>
        <w:rPr>
          <w:spacing w:val="-2"/>
          <w:sz w:val="24"/>
        </w:rPr>
        <w:t>bids.</w:t>
      </w:r>
    </w:p>
    <w:p>
      <w:pPr>
        <w:pStyle w:val="ListParagraph"/>
        <w:numPr>
          <w:ilvl w:val="0"/>
          <w:numId w:val="5"/>
        </w:numPr>
        <w:tabs>
          <w:tab w:val="left" w:pos="944"/>
        </w:tabs>
        <w:spacing w:before="41" w:after="0" w:line="240" w:lineRule="auto"/>
        <w:ind w:left="944" w:right="752" w:hanging="360"/>
        <w:jc w:val="left"/>
        <w:rPr>
          <w:sz w:val="24"/>
        </w:rPr>
      </w:pPr>
      <w:r>
        <w:rPr>
          <w:sz w:val="24"/>
        </w:rPr>
        <w:t>Links</w:t>
      </w:r>
      <w:r>
        <w:rPr>
          <w:spacing w:val="-3"/>
          <w:sz w:val="24"/>
        </w:rPr>
        <w:t xml:space="preserve"> </w:t>
      </w:r>
      <w:r>
        <w:rPr>
          <w:sz w:val="24"/>
        </w:rPr>
        <w:t>to</w:t>
      </w:r>
      <w:r>
        <w:rPr>
          <w:spacing w:val="-3"/>
          <w:sz w:val="24"/>
        </w:rPr>
        <w:t xml:space="preserve"> </w:t>
      </w:r>
      <w:r>
        <w:rPr>
          <w:sz w:val="24"/>
        </w:rPr>
        <w:t>additional</w:t>
      </w:r>
      <w:r>
        <w:rPr>
          <w:spacing w:val="-3"/>
          <w:sz w:val="24"/>
        </w:rPr>
        <w:t xml:space="preserve"> </w:t>
      </w:r>
      <w:r>
        <w:rPr>
          <w:sz w:val="24"/>
        </w:rPr>
        <w:t>information</w:t>
      </w:r>
      <w:r>
        <w:rPr>
          <w:spacing w:val="-3"/>
          <w:sz w:val="24"/>
        </w:rPr>
        <w:t xml:space="preserve"> </w:t>
      </w:r>
      <w:r>
        <w:rPr>
          <w:sz w:val="24"/>
        </w:rPr>
        <w:t>regarding</w:t>
      </w:r>
      <w:r>
        <w:rPr>
          <w:spacing w:val="-3"/>
          <w:sz w:val="24"/>
        </w:rPr>
        <w:t xml:space="preserve"> </w:t>
      </w:r>
      <w:r>
        <w:rPr>
          <w:sz w:val="24"/>
        </w:rPr>
        <w:t>the</w:t>
      </w:r>
      <w:r>
        <w:rPr>
          <w:spacing w:val="-3"/>
          <w:sz w:val="24"/>
        </w:rPr>
        <w:t xml:space="preserve"> </w:t>
      </w:r>
      <w:r>
        <w:rPr>
          <w:sz w:val="24"/>
        </w:rPr>
        <w:t>bid</w:t>
      </w:r>
      <w:r>
        <w:rPr>
          <w:spacing w:val="-1"/>
          <w:sz w:val="24"/>
        </w:rPr>
        <w:t xml:space="preserve"> </w:t>
      </w:r>
      <w:r>
        <w:rPr>
          <w:sz w:val="24"/>
        </w:rPr>
        <w:t>package,</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PBP,</w:t>
      </w:r>
      <w:r>
        <w:rPr>
          <w:spacing w:val="-3"/>
          <w:sz w:val="24"/>
        </w:rPr>
        <w:t xml:space="preserve"> </w:t>
      </w:r>
      <w:r>
        <w:rPr>
          <w:sz w:val="24"/>
        </w:rPr>
        <w:t>BPT</w:t>
      </w:r>
      <w:r>
        <w:rPr>
          <w:spacing w:val="-2"/>
          <w:sz w:val="24"/>
        </w:rPr>
        <w:t xml:space="preserve"> </w:t>
      </w:r>
      <w:r>
        <w:rPr>
          <w:sz w:val="24"/>
        </w:rPr>
        <w:t>and supporting documentation.</w:t>
      </w:r>
    </w:p>
    <w:p>
      <w:pPr>
        <w:pStyle w:val="ListParagraph"/>
        <w:numPr>
          <w:ilvl w:val="0"/>
          <w:numId w:val="5"/>
        </w:numPr>
        <w:tabs>
          <w:tab w:val="left" w:pos="944"/>
        </w:tabs>
        <w:spacing w:before="41" w:after="0" w:line="240" w:lineRule="auto"/>
        <w:ind w:left="944" w:right="0" w:hanging="360"/>
        <w:jc w:val="left"/>
        <w:rPr>
          <w:sz w:val="24"/>
        </w:rPr>
      </w:pPr>
      <w:r>
        <w:rPr>
          <w:sz w:val="24"/>
        </w:rPr>
        <w:t>The</w:t>
      </w:r>
      <w:r>
        <w:rPr>
          <w:spacing w:val="-3"/>
          <w:sz w:val="24"/>
        </w:rPr>
        <w:t xml:space="preserve"> </w:t>
      </w:r>
      <w:r>
        <w:rPr>
          <w:sz w:val="24"/>
        </w:rPr>
        <w:t>ability</w:t>
      </w:r>
      <w:r>
        <w:rPr>
          <w:spacing w:val="-1"/>
          <w:sz w:val="24"/>
        </w:rPr>
        <w:t xml:space="preserve"> </w:t>
      </w:r>
      <w:r>
        <w:rPr>
          <w:sz w:val="24"/>
        </w:rPr>
        <w:t>to certify</w:t>
      </w:r>
      <w:r>
        <w:rPr>
          <w:spacing w:val="-1"/>
          <w:sz w:val="24"/>
        </w:rPr>
        <w:t xml:space="preserve"> </w:t>
      </w:r>
      <w:r>
        <w:rPr>
          <w:sz w:val="24"/>
        </w:rPr>
        <w:t>multiple</w:t>
      </w:r>
      <w:r>
        <w:rPr>
          <w:spacing w:val="-1"/>
          <w:sz w:val="24"/>
        </w:rPr>
        <w:t xml:space="preserve"> </w:t>
      </w:r>
      <w:r>
        <w:rPr>
          <w:spacing w:val="-2"/>
          <w:sz w:val="24"/>
        </w:rPr>
        <w:t>bids/contracts.</w:t>
      </w:r>
    </w:p>
    <w:p>
      <w:pPr>
        <w:pStyle w:val="ListParagraph"/>
        <w:numPr>
          <w:ilvl w:val="0"/>
          <w:numId w:val="5"/>
        </w:numPr>
        <w:tabs>
          <w:tab w:val="left" w:pos="944"/>
        </w:tabs>
        <w:spacing w:before="39" w:after="0" w:line="240" w:lineRule="auto"/>
        <w:ind w:left="944" w:right="0" w:hanging="360"/>
        <w:jc w:val="left"/>
        <w:rPr>
          <w:sz w:val="24"/>
        </w:rPr>
      </w:pPr>
      <w:r>
        <w:rPr>
          <w:sz w:val="24"/>
        </w:rPr>
        <w:t>The</w:t>
      </w:r>
      <w:r>
        <w:rPr>
          <w:spacing w:val="-5"/>
          <w:sz w:val="24"/>
        </w:rPr>
        <w:t xml:space="preserve"> </w:t>
      </w:r>
      <w:r>
        <w:rPr>
          <w:sz w:val="24"/>
        </w:rPr>
        <w:t>ability to</w:t>
      </w:r>
      <w:r>
        <w:rPr>
          <w:spacing w:val="-1"/>
          <w:sz w:val="24"/>
        </w:rPr>
        <w:t xml:space="preserve"> </w:t>
      </w:r>
      <w:r>
        <w:rPr>
          <w:sz w:val="24"/>
        </w:rPr>
        <w:t>print and</w:t>
      </w:r>
      <w:r>
        <w:rPr>
          <w:spacing w:val="-1"/>
          <w:sz w:val="24"/>
        </w:rPr>
        <w:t xml:space="preserve"> </w:t>
      </w:r>
      <w:r>
        <w:rPr>
          <w:sz w:val="24"/>
        </w:rPr>
        <w:t>save</w:t>
      </w:r>
      <w:r>
        <w:rPr>
          <w:spacing w:val="-1"/>
          <w:sz w:val="24"/>
        </w:rPr>
        <w:t xml:space="preserve"> </w:t>
      </w:r>
      <w:r>
        <w:rPr>
          <w:sz w:val="24"/>
        </w:rPr>
        <w:t>the</w:t>
      </w:r>
      <w:r>
        <w:rPr>
          <w:spacing w:val="-1"/>
          <w:sz w:val="24"/>
        </w:rPr>
        <w:t xml:space="preserve"> </w:t>
      </w:r>
      <w:r>
        <w:rPr>
          <w:sz w:val="24"/>
        </w:rPr>
        <w:t xml:space="preserve">submitted </w:t>
      </w:r>
      <w:r>
        <w:rPr>
          <w:spacing w:val="-2"/>
          <w:sz w:val="24"/>
        </w:rPr>
        <w:t>certification.</w:t>
      </w:r>
    </w:p>
    <w:p>
      <w:pPr>
        <w:pStyle w:val="BodyText"/>
        <w:ind w:left="224" w:right="485"/>
      </w:pPr>
      <w:r>
        <w:t>An initial actuarial certification must be submitted via the HPMS certification module in June. The actuary must also certify the final bid (that is pending CMS approval) via the certification module in August following the CMS publication of the Part D national average monthly bid amount, the Part D base beneficiary premium, the Part D regional low-income premium subsidy amounts and the MA regional benchmarks. Actuaries are not required to certify every intermittent resubmission throughout the bid review process, but they may do so if they wish. Note that in the event that the PBP changes after the final bid is certified, the bid that is uploaded</w:t>
      </w:r>
      <w:r>
        <w:rPr>
          <w:spacing w:val="-3"/>
        </w:rPr>
        <w:t xml:space="preserve"> </w:t>
      </w:r>
      <w:r>
        <w:t>into</w:t>
      </w:r>
      <w:r>
        <w:rPr>
          <w:spacing w:val="-3"/>
        </w:rPr>
        <w:t xml:space="preserve"> </w:t>
      </w:r>
      <w:r>
        <w:t>HPMS</w:t>
      </w:r>
      <w:r>
        <w:rPr>
          <w:spacing w:val="-3"/>
        </w:rPr>
        <w:t xml:space="preserve"> </w:t>
      </w:r>
      <w:r>
        <w:t>with</w:t>
      </w:r>
      <w:r>
        <w:rPr>
          <w:spacing w:val="-3"/>
        </w:rPr>
        <w:t xml:space="preserve"> </w:t>
      </w:r>
      <w:r>
        <w:t>the</w:t>
      </w:r>
      <w:r>
        <w:rPr>
          <w:spacing w:val="-3"/>
        </w:rPr>
        <w:t xml:space="preserve"> </w:t>
      </w:r>
      <w:r>
        <w:t>revised</w:t>
      </w:r>
      <w:r>
        <w:rPr>
          <w:spacing w:val="-3"/>
        </w:rPr>
        <w:t xml:space="preserve"> </w:t>
      </w:r>
      <w:r>
        <w:t>PBP</w:t>
      </w:r>
      <w:r>
        <w:rPr>
          <w:spacing w:val="-3"/>
        </w:rPr>
        <w:t xml:space="preserve"> </w:t>
      </w:r>
      <w:r>
        <w:t>must</w:t>
      </w:r>
      <w:r>
        <w:rPr>
          <w:spacing w:val="-3"/>
        </w:rPr>
        <w:t xml:space="preserve"> </w:t>
      </w:r>
      <w:r>
        <w:t>be</w:t>
      </w:r>
      <w:r>
        <w:rPr>
          <w:spacing w:val="-4"/>
        </w:rPr>
        <w:t xml:space="preserve"> </w:t>
      </w:r>
      <w:r>
        <w:t>recertified</w:t>
      </w:r>
      <w:r>
        <w:rPr>
          <w:spacing w:val="-3"/>
        </w:rPr>
        <w:t xml:space="preserve"> </w:t>
      </w:r>
      <w:r>
        <w:t>whether</w:t>
      </w:r>
      <w:r>
        <w:rPr>
          <w:spacing w:val="-5"/>
        </w:rPr>
        <w:t xml:space="preserve"> </w:t>
      </w:r>
      <w:r>
        <w:t>or</w:t>
      </w:r>
      <w:r>
        <w:rPr>
          <w:spacing w:val="-3"/>
        </w:rPr>
        <w:t xml:space="preserve"> </w:t>
      </w:r>
      <w:r>
        <w:t>not</w:t>
      </w:r>
      <w:r>
        <w:rPr>
          <w:spacing w:val="-3"/>
        </w:rPr>
        <w:t xml:space="preserve"> </w:t>
      </w:r>
      <w:r>
        <w:t>the</w:t>
      </w:r>
      <w:r>
        <w:rPr>
          <w:spacing w:val="-4"/>
        </w:rPr>
        <w:t xml:space="preserve"> </w:t>
      </w:r>
      <w:r>
        <w:t>BPT changes.</w:t>
      </w:r>
    </w:p>
    <w:p>
      <w:pPr>
        <w:pStyle w:val="BodyText"/>
        <w:ind w:left="224" w:right="566"/>
      </w:pPr>
      <w:r>
        <w:t>Material</w:t>
      </w:r>
      <w:r>
        <w:rPr>
          <w:spacing w:val="-3"/>
        </w:rPr>
        <w:t xml:space="preserve"> </w:t>
      </w:r>
      <w:r>
        <w:t>changes</w:t>
      </w:r>
      <w:r>
        <w:rPr>
          <w:spacing w:val="-3"/>
        </w:rPr>
        <w:t xml:space="preserve"> </w:t>
      </w:r>
      <w:r>
        <w:t>to</w:t>
      </w:r>
      <w:r>
        <w:rPr>
          <w:spacing w:val="-3"/>
        </w:rPr>
        <w:t xml:space="preserve"> </w:t>
      </w:r>
      <w:r>
        <w:t>the</w:t>
      </w:r>
      <w:r>
        <w:rPr>
          <w:spacing w:val="-4"/>
        </w:rPr>
        <w:t xml:space="preserve"> </w:t>
      </w:r>
      <w:r>
        <w:t>certification</w:t>
      </w:r>
      <w:r>
        <w:rPr>
          <w:spacing w:val="-3"/>
        </w:rPr>
        <w:t xml:space="preserve"> </w:t>
      </w:r>
      <w:r>
        <w:t>language</w:t>
      </w:r>
      <w:r>
        <w:rPr>
          <w:spacing w:val="-3"/>
        </w:rPr>
        <w:t xml:space="preserve"> </w:t>
      </w:r>
      <w:r>
        <w:t>(after</w:t>
      </w:r>
      <w:r>
        <w:rPr>
          <w:spacing w:val="-3"/>
        </w:rPr>
        <w:t xml:space="preserve"> </w:t>
      </w:r>
      <w:r>
        <w:t>the</w:t>
      </w:r>
      <w:r>
        <w:rPr>
          <w:spacing w:val="-5"/>
        </w:rPr>
        <w:t xml:space="preserve"> </w:t>
      </w:r>
      <w:r>
        <w:t>initial</w:t>
      </w:r>
      <w:r>
        <w:rPr>
          <w:spacing w:val="-3"/>
        </w:rPr>
        <w:t xml:space="preserve"> </w:t>
      </w:r>
      <w:r>
        <w:t>June</w:t>
      </w:r>
      <w:r>
        <w:rPr>
          <w:spacing w:val="-3"/>
        </w:rPr>
        <w:t xml:space="preserve"> </w:t>
      </w:r>
      <w:r>
        <w:t>certification</w:t>
      </w:r>
      <w:r>
        <w:rPr>
          <w:spacing w:val="-3"/>
        </w:rPr>
        <w:t xml:space="preserve"> </w:t>
      </w:r>
      <w:r>
        <w:t>submission) are not allowed without prior written permission from the CMS Office of the Actuary.</w:t>
      </w:r>
    </w:p>
    <w:p>
      <w:pPr>
        <w:pStyle w:val="BodyText"/>
        <w:ind w:left="224" w:right="478"/>
      </w:pPr>
      <w:r>
        <w:t>Multiple</w:t>
      </w:r>
      <w:r>
        <w:rPr>
          <w:spacing w:val="-4"/>
        </w:rPr>
        <w:t xml:space="preserve"> </w:t>
      </w:r>
      <w:r>
        <w:t>actuaries</w:t>
      </w:r>
      <w:r>
        <w:rPr>
          <w:spacing w:val="-3"/>
        </w:rPr>
        <w:t xml:space="preserve"> </w:t>
      </w:r>
      <w:r>
        <w:t>may</w:t>
      </w:r>
      <w:r>
        <w:rPr>
          <w:spacing w:val="-3"/>
        </w:rPr>
        <w:t xml:space="preserve"> </w:t>
      </w:r>
      <w:r>
        <w:t>be</w:t>
      </w:r>
      <w:r>
        <w:rPr>
          <w:spacing w:val="-3"/>
        </w:rPr>
        <w:t xml:space="preserve"> </w:t>
      </w:r>
      <w:r>
        <w:t>assigned</w:t>
      </w:r>
      <w:r>
        <w:rPr>
          <w:spacing w:val="-3"/>
        </w:rPr>
        <w:t xml:space="preserve"> </w:t>
      </w:r>
      <w:r>
        <w:t>to</w:t>
      </w:r>
      <w:r>
        <w:rPr>
          <w:spacing w:val="-3"/>
        </w:rPr>
        <w:t xml:space="preserve"> </w:t>
      </w:r>
      <w:r>
        <w:t>one</w:t>
      </w:r>
      <w:r>
        <w:rPr>
          <w:spacing w:val="-3"/>
        </w:rPr>
        <w:t xml:space="preserve"> </w:t>
      </w:r>
      <w:r>
        <w:t>contract</w:t>
      </w:r>
      <w:r>
        <w:rPr>
          <w:spacing w:val="-3"/>
        </w:rPr>
        <w:t xml:space="preserve"> </w:t>
      </w:r>
      <w:r>
        <w:t>to</w:t>
      </w:r>
      <w:r>
        <w:rPr>
          <w:spacing w:val="-3"/>
        </w:rPr>
        <w:t xml:space="preserve"> </w:t>
      </w:r>
      <w:r>
        <w:t>perform</w:t>
      </w:r>
      <w:r>
        <w:rPr>
          <w:spacing w:val="-3"/>
        </w:rPr>
        <w:t xml:space="preserve"> </w:t>
      </w:r>
      <w:r>
        <w:t>the</w:t>
      </w:r>
      <w:r>
        <w:rPr>
          <w:spacing w:val="-3"/>
        </w:rPr>
        <w:t xml:space="preserve"> </w:t>
      </w:r>
      <w:r>
        <w:t>certifications.</w:t>
      </w:r>
      <w:r>
        <w:rPr>
          <w:spacing w:val="-3"/>
        </w:rPr>
        <w:t xml:space="preserve"> </w:t>
      </w:r>
      <w:r>
        <w:t>For</w:t>
      </w:r>
      <w:r>
        <w:rPr>
          <w:spacing w:val="-3"/>
        </w:rPr>
        <w:t xml:space="preserve"> </w:t>
      </w:r>
      <w:r>
        <w:t>example,</w:t>
      </w:r>
      <w:r>
        <w:rPr>
          <w:spacing w:val="-1"/>
        </w:rPr>
        <w:t xml:space="preserve"> </w:t>
      </w:r>
      <w:r>
        <w:t>a consulting actuary may certify the Part D portion of a bid, while an internal plan staff actuary may certify the MA portion of the bid. Also, one actuary may certify plan Hxxxx-001, while a different</w:t>
      </w:r>
      <w:r>
        <w:rPr>
          <w:spacing w:val="-2"/>
        </w:rPr>
        <w:t xml:space="preserve"> </w:t>
      </w:r>
      <w:r>
        <w:t>actuary</w:t>
      </w:r>
      <w:r>
        <w:rPr>
          <w:spacing w:val="-4"/>
        </w:rPr>
        <w:t xml:space="preserve"> </w:t>
      </w:r>
      <w:r>
        <w:t>may</w:t>
      </w:r>
      <w:r>
        <w:rPr>
          <w:spacing w:val="-4"/>
        </w:rPr>
        <w:t xml:space="preserve"> </w:t>
      </w:r>
      <w:r>
        <w:t>certify</w:t>
      </w:r>
      <w:r>
        <w:rPr>
          <w:spacing w:val="-4"/>
        </w:rPr>
        <w:t xml:space="preserve"> </w:t>
      </w:r>
      <w:r>
        <w:t>plan</w:t>
      </w:r>
      <w:r>
        <w:rPr>
          <w:spacing w:val="-4"/>
        </w:rPr>
        <w:t xml:space="preserve"> </w:t>
      </w:r>
      <w:r>
        <w:t>Hxxxx-002.</w:t>
      </w:r>
      <w:r>
        <w:rPr>
          <w:spacing w:val="-4"/>
        </w:rPr>
        <w:t xml:space="preserve"> </w:t>
      </w:r>
      <w:r>
        <w:t>The</w:t>
      </w:r>
      <w:r>
        <w:rPr>
          <w:spacing w:val="-4"/>
        </w:rPr>
        <w:t xml:space="preserve"> </w:t>
      </w:r>
      <w:r>
        <w:t>instructions</w:t>
      </w:r>
      <w:r>
        <w:rPr>
          <w:spacing w:val="-4"/>
        </w:rPr>
        <w:t xml:space="preserve"> </w:t>
      </w:r>
      <w:r>
        <w:t>contained</w:t>
      </w:r>
      <w:r>
        <w:rPr>
          <w:spacing w:val="-4"/>
        </w:rPr>
        <w:t xml:space="preserve"> </w:t>
      </w:r>
      <w:r>
        <w:t>in</w:t>
      </w:r>
      <w:r>
        <w:rPr>
          <w:spacing w:val="-4"/>
        </w:rPr>
        <w:t xml:space="preserve"> </w:t>
      </w:r>
      <w:r>
        <w:t>this</w:t>
      </w:r>
      <w:r>
        <w:rPr>
          <w:spacing w:val="-4"/>
        </w:rPr>
        <w:t xml:space="preserve"> </w:t>
      </w:r>
      <w:r>
        <w:t>appendix</w:t>
      </w:r>
      <w:r>
        <w:rPr>
          <w:spacing w:val="-1"/>
        </w:rPr>
        <w:t xml:space="preserve"> </w:t>
      </w:r>
      <w:r>
        <w:t>must be followed by all certifying actuaries.</w:t>
      </w:r>
    </w:p>
    <w:p>
      <w:pPr>
        <w:pStyle w:val="BodyText"/>
        <w:spacing w:before="121"/>
        <w:ind w:left="224" w:right="478"/>
      </w:pPr>
      <w:r>
        <w:t>Additional information regarding the actuarial certification process (including technical instructions</w:t>
      </w:r>
      <w:r>
        <w:rPr>
          <w:spacing w:val="-3"/>
        </w:rPr>
        <w:t xml:space="preserve"> </w:t>
      </w:r>
      <w:r>
        <w:t>for</w:t>
      </w:r>
      <w:r>
        <w:rPr>
          <w:spacing w:val="-5"/>
        </w:rPr>
        <w:t xml:space="preserve"> </w:t>
      </w:r>
      <w:r>
        <w:t>completing</w:t>
      </w:r>
      <w:r>
        <w:rPr>
          <w:spacing w:val="-3"/>
        </w:rPr>
        <w:t xml:space="preserve"> </w:t>
      </w:r>
      <w:r>
        <w:t>the</w:t>
      </w:r>
      <w:r>
        <w:rPr>
          <w:spacing w:val="-3"/>
        </w:rPr>
        <w:t xml:space="preserve"> </w:t>
      </w:r>
      <w:r>
        <w:t>HPMS</w:t>
      </w:r>
      <w:r>
        <w:rPr>
          <w:spacing w:val="-3"/>
        </w:rPr>
        <w:t xml:space="preserve"> </w:t>
      </w:r>
      <w:r>
        <w:t>certification</w:t>
      </w:r>
      <w:r>
        <w:rPr>
          <w:spacing w:val="-3"/>
        </w:rPr>
        <w:t xml:space="preserve"> </w:t>
      </w:r>
      <w:r>
        <w:t>module)</w:t>
      </w:r>
      <w:r>
        <w:rPr>
          <w:spacing w:val="-4"/>
        </w:rPr>
        <w:t xml:space="preserve"> </w:t>
      </w:r>
      <w:r>
        <w:t>will</w:t>
      </w:r>
      <w:r>
        <w:rPr>
          <w:spacing w:val="-3"/>
        </w:rPr>
        <w:t xml:space="preserve"> </w:t>
      </w:r>
      <w:r>
        <w:t>be</w:t>
      </w:r>
      <w:r>
        <w:rPr>
          <w:spacing w:val="-4"/>
        </w:rPr>
        <w:t xml:space="preserve"> </w:t>
      </w:r>
      <w:r>
        <w:t>included</w:t>
      </w:r>
      <w:r>
        <w:rPr>
          <w:spacing w:val="-3"/>
        </w:rPr>
        <w:t xml:space="preserve"> </w:t>
      </w:r>
      <w:r>
        <w:t>in</w:t>
      </w:r>
      <w:r>
        <w:rPr>
          <w:spacing w:val="-2"/>
        </w:rPr>
        <w:t xml:space="preserve"> </w:t>
      </w:r>
      <w:r>
        <w:t>an</w:t>
      </w:r>
      <w:r>
        <w:rPr>
          <w:spacing w:val="-3"/>
        </w:rPr>
        <w:t xml:space="preserve"> </w:t>
      </w:r>
      <w:r>
        <w:t>initial actuarial certification deadline memorandum released via HPMS.</w:t>
      </w:r>
    </w:p>
    <w:p>
      <w:pPr>
        <w:spacing w:after="0"/>
        <w:sectPr>
          <w:headerReference w:type="default" r:id="rId35"/>
          <w:footerReference w:type="default" r:id="rId36"/>
          <w:pgSz w:w="12240" w:h="15840"/>
          <w:pgMar w:top="1340" w:right="1000" w:bottom="940" w:left="1360" w:header="727" w:footer="747"/>
          <w:cols w:space="720"/>
        </w:sectPr>
      </w:pPr>
    </w:p>
    <w:p>
      <w:pPr>
        <w:pStyle w:val="BodyText"/>
        <w:spacing w:before="87"/>
        <w:ind w:left="224" w:right="478"/>
      </w:pPr>
      <w:r>
        <w:t>Detailed</w:t>
      </w:r>
      <w:r>
        <w:rPr>
          <w:spacing w:val="-4"/>
        </w:rPr>
        <w:t xml:space="preserve"> </w:t>
      </w:r>
      <w:r>
        <w:t>instructions</w:t>
      </w:r>
      <w:r>
        <w:rPr>
          <w:spacing w:val="-4"/>
        </w:rPr>
        <w:t xml:space="preserve"> </w:t>
      </w:r>
      <w:r>
        <w:t>regarding</w:t>
      </w:r>
      <w:r>
        <w:rPr>
          <w:spacing w:val="-4"/>
        </w:rPr>
        <w:t xml:space="preserve"> </w:t>
      </w:r>
      <w:r>
        <w:t>how</w:t>
      </w:r>
      <w:r>
        <w:rPr>
          <w:spacing w:val="-5"/>
        </w:rPr>
        <w:t xml:space="preserve"> </w:t>
      </w:r>
      <w:r>
        <w:t>to</w:t>
      </w:r>
      <w:r>
        <w:rPr>
          <w:spacing w:val="-4"/>
        </w:rPr>
        <w:t xml:space="preserve"> </w:t>
      </w:r>
      <w:r>
        <w:t>apply</w:t>
      </w:r>
      <w:r>
        <w:rPr>
          <w:spacing w:val="-4"/>
        </w:rPr>
        <w:t xml:space="preserve"> </w:t>
      </w:r>
      <w:r>
        <w:t>for</w:t>
      </w:r>
      <w:r>
        <w:rPr>
          <w:spacing w:val="-3"/>
        </w:rPr>
        <w:t xml:space="preserve"> </w:t>
      </w:r>
      <w:r>
        <w:t>access</w:t>
      </w:r>
      <w:r>
        <w:rPr>
          <w:spacing w:val="-4"/>
        </w:rPr>
        <w:t xml:space="preserve"> </w:t>
      </w:r>
      <w:r>
        <w:t>to</w:t>
      </w:r>
      <w:r>
        <w:rPr>
          <w:spacing w:val="-4"/>
        </w:rPr>
        <w:t xml:space="preserve"> </w:t>
      </w:r>
      <w:r>
        <w:t>the</w:t>
      </w:r>
      <w:r>
        <w:rPr>
          <w:spacing w:val="-4"/>
        </w:rPr>
        <w:t xml:space="preserve"> </w:t>
      </w:r>
      <w:r>
        <w:t>certification</w:t>
      </w:r>
      <w:r>
        <w:rPr>
          <w:spacing w:val="-2"/>
        </w:rPr>
        <w:t xml:space="preserve"> </w:t>
      </w:r>
      <w:r>
        <w:t>module are</w:t>
      </w:r>
      <w:r>
        <w:rPr>
          <w:spacing w:val="-6"/>
        </w:rPr>
        <w:t xml:space="preserve"> </w:t>
      </w:r>
      <w:r>
        <w:t xml:space="preserve">released via an HPMS memorandum regarding consultant access or electronic signature access to </w:t>
      </w:r>
      <w:r>
        <w:rPr>
          <w:spacing w:val="-2"/>
        </w:rPr>
        <w:t>HPMS.</w:t>
      </w:r>
    </w:p>
    <w:p>
      <w:pPr>
        <w:spacing w:before="240"/>
        <w:ind w:left="224" w:right="0" w:firstLine="0"/>
        <w:jc w:val="left"/>
        <w:rPr>
          <w:rFonts w:ascii="Arial"/>
          <w:b/>
          <w:sz w:val="21"/>
        </w:rPr>
      </w:pPr>
      <w:bookmarkStart w:id="274" w:name="Required Certification Elements"/>
      <w:bookmarkEnd w:id="274"/>
      <w:r>
        <w:rPr>
          <w:rFonts w:ascii="Arial"/>
          <w:b/>
          <w:sz w:val="21"/>
        </w:rPr>
        <w:t>Required</w:t>
      </w:r>
      <w:r>
        <w:rPr>
          <w:rFonts w:ascii="Arial"/>
          <w:b/>
          <w:spacing w:val="-10"/>
          <w:sz w:val="21"/>
        </w:rPr>
        <w:t xml:space="preserve"> </w:t>
      </w:r>
      <w:r>
        <w:rPr>
          <w:rFonts w:ascii="Arial"/>
          <w:b/>
          <w:sz w:val="21"/>
        </w:rPr>
        <w:t>Certification</w:t>
      </w:r>
      <w:r>
        <w:rPr>
          <w:rFonts w:ascii="Arial"/>
          <w:b/>
          <w:spacing w:val="-10"/>
          <w:sz w:val="21"/>
        </w:rPr>
        <w:t xml:space="preserve"> </w:t>
      </w:r>
      <w:r>
        <w:rPr>
          <w:rFonts w:ascii="Arial"/>
          <w:b/>
          <w:spacing w:val="-2"/>
          <w:sz w:val="21"/>
        </w:rPr>
        <w:t>Elements</w:t>
      </w:r>
    </w:p>
    <w:p>
      <w:pPr>
        <w:pStyle w:val="BodyText"/>
        <w:spacing w:before="121"/>
        <w:ind w:left="224" w:right="478"/>
      </w:pPr>
      <w:r>
        <w:t>The</w:t>
      </w:r>
      <w:r>
        <w:rPr>
          <w:spacing w:val="-6"/>
        </w:rPr>
        <w:t xml:space="preserve"> </w:t>
      </w:r>
      <w:r>
        <w:t>certification</w:t>
      </w:r>
      <w:r>
        <w:rPr>
          <w:spacing w:val="-4"/>
        </w:rPr>
        <w:t xml:space="preserve"> </w:t>
      </w:r>
      <w:r>
        <w:t>module</w:t>
      </w:r>
      <w:r>
        <w:rPr>
          <w:spacing w:val="-3"/>
        </w:rPr>
        <w:t xml:space="preserve"> </w:t>
      </w:r>
      <w:r>
        <w:t>contains</w:t>
      </w:r>
      <w:r>
        <w:rPr>
          <w:spacing w:val="-4"/>
        </w:rPr>
        <w:t xml:space="preserve"> </w:t>
      </w:r>
      <w:r>
        <w:t>the</w:t>
      </w:r>
      <w:r>
        <w:rPr>
          <w:spacing w:val="-5"/>
        </w:rPr>
        <w:t xml:space="preserve"> </w:t>
      </w:r>
      <w:r>
        <w:t>following</w:t>
      </w:r>
      <w:r>
        <w:rPr>
          <w:spacing w:val="-4"/>
        </w:rPr>
        <w:t xml:space="preserve"> </w:t>
      </w:r>
      <w:r>
        <w:t>information</w:t>
      </w:r>
      <w:r>
        <w:rPr>
          <w:spacing w:val="-3"/>
        </w:rPr>
        <w:t xml:space="preserve"> </w:t>
      </w:r>
      <w:r>
        <w:t>as</w:t>
      </w:r>
      <w:r>
        <w:rPr>
          <w:spacing w:val="-4"/>
        </w:rPr>
        <w:t xml:space="preserve"> </w:t>
      </w:r>
      <w:r>
        <w:t>part</w:t>
      </w:r>
      <w:r>
        <w:rPr>
          <w:spacing w:val="-4"/>
        </w:rPr>
        <w:t xml:space="preserve"> </w:t>
      </w:r>
      <w:r>
        <w:t>of</w:t>
      </w:r>
      <w:r>
        <w:rPr>
          <w:spacing w:val="-5"/>
        </w:rPr>
        <w:t xml:space="preserve"> </w:t>
      </w:r>
      <w:r>
        <w:t>the</w:t>
      </w:r>
      <w:r>
        <w:rPr>
          <w:spacing w:val="-5"/>
        </w:rPr>
        <w:t xml:space="preserve"> </w:t>
      </w:r>
      <w:r>
        <w:t xml:space="preserve">standardized </w:t>
      </w:r>
      <w:r>
        <w:rPr>
          <w:spacing w:val="-2"/>
        </w:rPr>
        <w:t>language:</w:t>
      </w:r>
    </w:p>
    <w:p>
      <w:pPr>
        <w:pStyle w:val="ListParagraph"/>
        <w:numPr>
          <w:ilvl w:val="0"/>
          <w:numId w:val="5"/>
        </w:numPr>
        <w:tabs>
          <w:tab w:val="left" w:pos="944"/>
        </w:tabs>
        <w:spacing w:before="120" w:after="0" w:line="240" w:lineRule="auto"/>
        <w:ind w:left="944" w:right="0" w:hanging="360"/>
        <w:jc w:val="left"/>
        <w:rPr>
          <w:sz w:val="24"/>
        </w:rPr>
      </w:pPr>
      <w:r>
        <w:rPr>
          <w:sz w:val="24"/>
        </w:rPr>
        <w:t>The</w:t>
      </w:r>
      <w:r>
        <w:rPr>
          <w:spacing w:val="-6"/>
          <w:sz w:val="24"/>
        </w:rPr>
        <w:t xml:space="preserve"> </w:t>
      </w:r>
      <w:r>
        <w:rPr>
          <w:sz w:val="24"/>
        </w:rPr>
        <w:t>certifying</w:t>
      </w:r>
      <w:r>
        <w:rPr>
          <w:spacing w:val="-1"/>
          <w:sz w:val="24"/>
        </w:rPr>
        <w:t xml:space="preserve"> </w:t>
      </w:r>
      <w:r>
        <w:rPr>
          <w:sz w:val="24"/>
        </w:rPr>
        <w:t>actuary’s</w:t>
      </w:r>
      <w:r>
        <w:rPr>
          <w:spacing w:val="-1"/>
          <w:sz w:val="24"/>
        </w:rPr>
        <w:t xml:space="preserve"> </w:t>
      </w:r>
      <w:r>
        <w:rPr>
          <w:sz w:val="24"/>
        </w:rPr>
        <w:t>name/user ID</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date,</w:t>
      </w:r>
      <w:r>
        <w:rPr>
          <w:spacing w:val="-1"/>
          <w:sz w:val="24"/>
        </w:rPr>
        <w:t xml:space="preserve"> </w:t>
      </w:r>
      <w:r>
        <w:rPr>
          <w:sz w:val="24"/>
        </w:rPr>
        <w:t>“stamped”</w:t>
      </w:r>
      <w:r>
        <w:rPr>
          <w:spacing w:val="-1"/>
          <w:sz w:val="24"/>
        </w:rPr>
        <w:t xml:space="preserve"> </w:t>
      </w:r>
      <w:r>
        <w:rPr>
          <w:sz w:val="24"/>
        </w:rPr>
        <w:t>when</w:t>
      </w:r>
      <w:r>
        <w:rPr>
          <w:spacing w:val="1"/>
          <w:sz w:val="24"/>
        </w:rPr>
        <w:t xml:space="preserve"> </w:t>
      </w:r>
      <w:r>
        <w:rPr>
          <w:spacing w:val="-2"/>
          <w:sz w:val="24"/>
        </w:rPr>
        <w:t>completed.</w:t>
      </w:r>
    </w:p>
    <w:p>
      <w:pPr>
        <w:pStyle w:val="ListParagraph"/>
        <w:numPr>
          <w:ilvl w:val="0"/>
          <w:numId w:val="5"/>
        </w:numPr>
        <w:tabs>
          <w:tab w:val="left" w:pos="944"/>
        </w:tabs>
        <w:spacing w:before="38" w:after="0" w:line="240" w:lineRule="auto"/>
        <w:ind w:left="944" w:right="869" w:hanging="360"/>
        <w:jc w:val="left"/>
        <w:rPr>
          <w:sz w:val="24"/>
        </w:rPr>
      </w:pPr>
      <w:r>
        <w:rPr>
          <w:sz w:val="24"/>
        </w:rPr>
        <w:t>Declaration that the actuary submitting the certification is a member of the American</w:t>
      </w:r>
      <w:r>
        <w:rPr>
          <w:spacing w:val="-4"/>
          <w:sz w:val="24"/>
        </w:rPr>
        <w:t xml:space="preserve"> </w:t>
      </w:r>
      <w:r>
        <w:rPr>
          <w:sz w:val="24"/>
        </w:rPr>
        <w:t>Academy</w:t>
      </w:r>
      <w:r>
        <w:rPr>
          <w:spacing w:val="-4"/>
          <w:sz w:val="24"/>
        </w:rPr>
        <w:t xml:space="preserve"> </w:t>
      </w:r>
      <w:r>
        <w:rPr>
          <w:sz w:val="24"/>
        </w:rPr>
        <w:t>of</w:t>
      </w:r>
      <w:r>
        <w:rPr>
          <w:spacing w:val="-4"/>
          <w:sz w:val="24"/>
        </w:rPr>
        <w:t xml:space="preserve"> </w:t>
      </w:r>
      <w:r>
        <w:rPr>
          <w:sz w:val="24"/>
        </w:rPr>
        <w:t>Actuaries</w:t>
      </w:r>
      <w:r>
        <w:rPr>
          <w:spacing w:val="-4"/>
          <w:sz w:val="24"/>
        </w:rPr>
        <w:t xml:space="preserve"> </w:t>
      </w:r>
      <w:r>
        <w:rPr>
          <w:sz w:val="24"/>
        </w:rPr>
        <w:t>(MAAA).</w:t>
      </w:r>
      <w:r>
        <w:rPr>
          <w:spacing w:val="-4"/>
          <w:sz w:val="24"/>
        </w:rPr>
        <w:t xml:space="preserve"> </w:t>
      </w:r>
      <w:r>
        <w:rPr>
          <w:sz w:val="24"/>
        </w:rPr>
        <w:t>As</w:t>
      </w:r>
      <w:r>
        <w:rPr>
          <w:spacing w:val="-4"/>
          <w:sz w:val="24"/>
        </w:rPr>
        <w:t xml:space="preserve"> </w:t>
      </w:r>
      <w:r>
        <w:rPr>
          <w:sz w:val="24"/>
        </w:rPr>
        <w:t>such,</w:t>
      </w:r>
      <w:r>
        <w:rPr>
          <w:spacing w:val="-4"/>
          <w:sz w:val="24"/>
        </w:rPr>
        <w:t xml:space="preserve"> </w:t>
      </w:r>
      <w:r>
        <w:rPr>
          <w:sz w:val="24"/>
        </w:rPr>
        <w:t>the</w:t>
      </w:r>
      <w:r>
        <w:rPr>
          <w:spacing w:val="-4"/>
          <w:sz w:val="24"/>
        </w:rPr>
        <w:t xml:space="preserve"> </w:t>
      </w:r>
      <w:r>
        <w:rPr>
          <w:sz w:val="24"/>
        </w:rPr>
        <w:t>actuary</w:t>
      </w:r>
      <w:r>
        <w:rPr>
          <w:spacing w:val="-4"/>
          <w:sz w:val="24"/>
        </w:rPr>
        <w:t xml:space="preserve"> </w:t>
      </w:r>
      <w:r>
        <w:rPr>
          <w:sz w:val="24"/>
        </w:rPr>
        <w:t>is</w:t>
      </w:r>
      <w:r>
        <w:rPr>
          <w:spacing w:val="-4"/>
          <w:sz w:val="24"/>
        </w:rPr>
        <w:t xml:space="preserve"> </w:t>
      </w:r>
      <w:r>
        <w:rPr>
          <w:sz w:val="24"/>
        </w:rPr>
        <w:t>familiar</w:t>
      </w:r>
      <w:r>
        <w:rPr>
          <w:spacing w:val="-3"/>
          <w:sz w:val="24"/>
        </w:rPr>
        <w:t xml:space="preserve"> </w:t>
      </w:r>
      <w:r>
        <w:rPr>
          <w:sz w:val="24"/>
        </w:rPr>
        <w:t>with</w:t>
      </w:r>
      <w:r>
        <w:rPr>
          <w:spacing w:val="-4"/>
          <w:sz w:val="24"/>
        </w:rPr>
        <w:t xml:space="preserve"> </w:t>
      </w:r>
      <w:r>
        <w:rPr>
          <w:sz w:val="24"/>
        </w:rPr>
        <w:t>the</w:t>
      </w:r>
    </w:p>
    <w:p>
      <w:pPr>
        <w:pStyle w:val="BodyText"/>
        <w:spacing w:before="0"/>
        <w:ind w:right="478"/>
      </w:pPr>
      <w:r>
        <w:t>requirements</w:t>
      </w:r>
      <w:r>
        <w:rPr>
          <w:spacing w:val="-4"/>
        </w:rPr>
        <w:t xml:space="preserve"> </w:t>
      </w:r>
      <w:r>
        <w:t>for</w:t>
      </w:r>
      <w:r>
        <w:rPr>
          <w:spacing w:val="-4"/>
        </w:rPr>
        <w:t xml:space="preserve"> </w:t>
      </w:r>
      <w:r>
        <w:t>preparing</w:t>
      </w:r>
      <w:r>
        <w:rPr>
          <w:spacing w:val="-3"/>
        </w:rPr>
        <w:t xml:space="preserve"> </w:t>
      </w:r>
      <w:r>
        <w:t>Medicare</w:t>
      </w:r>
      <w:r>
        <w:rPr>
          <w:spacing w:val="-5"/>
        </w:rPr>
        <w:t xml:space="preserve"> </w:t>
      </w:r>
      <w:r>
        <w:t>Advantage</w:t>
      </w:r>
      <w:r>
        <w:rPr>
          <w:spacing w:val="-5"/>
        </w:rPr>
        <w:t xml:space="preserve"> </w:t>
      </w:r>
      <w:r>
        <w:t>and</w:t>
      </w:r>
      <w:r>
        <w:rPr>
          <w:spacing w:val="-4"/>
        </w:rPr>
        <w:t xml:space="preserve"> </w:t>
      </w:r>
      <w:r>
        <w:t>Prescription</w:t>
      </w:r>
      <w:r>
        <w:rPr>
          <w:spacing w:val="-4"/>
        </w:rPr>
        <w:t xml:space="preserve"> </w:t>
      </w:r>
      <w:r>
        <w:t>Drug</w:t>
      </w:r>
      <w:r>
        <w:rPr>
          <w:spacing w:val="-5"/>
        </w:rPr>
        <w:t xml:space="preserve"> </w:t>
      </w:r>
      <w:r>
        <w:t>bid</w:t>
      </w:r>
      <w:r>
        <w:rPr>
          <w:spacing w:val="-2"/>
        </w:rPr>
        <w:t xml:space="preserve"> </w:t>
      </w:r>
      <w:r>
        <w:t>submissions and meets the Academy’s qualification standards for doing so.</w:t>
      </w:r>
    </w:p>
    <w:p>
      <w:pPr>
        <w:pStyle w:val="ListParagraph"/>
        <w:numPr>
          <w:ilvl w:val="0"/>
          <w:numId w:val="5"/>
        </w:numPr>
        <w:tabs>
          <w:tab w:val="left" w:pos="944"/>
        </w:tabs>
        <w:spacing w:before="42" w:after="0" w:line="240" w:lineRule="auto"/>
        <w:ind w:left="944" w:right="0" w:hanging="360"/>
        <w:jc w:val="left"/>
        <w:rPr>
          <w:sz w:val="24"/>
        </w:rPr>
      </w:pPr>
      <w:r>
        <w:rPr>
          <w:sz w:val="24"/>
        </w:rPr>
        <w:t>The</w:t>
      </w:r>
      <w:r>
        <w:rPr>
          <w:spacing w:val="-5"/>
          <w:sz w:val="24"/>
        </w:rPr>
        <w:t xml:space="preserve"> </w:t>
      </w:r>
      <w:r>
        <w:rPr>
          <w:sz w:val="24"/>
        </w:rPr>
        <w:t>specific contract number, plan ID and segment</w:t>
      </w:r>
      <w:r>
        <w:rPr>
          <w:spacing w:val="-1"/>
          <w:sz w:val="24"/>
        </w:rPr>
        <w:t xml:space="preserve"> </w:t>
      </w:r>
      <w:r>
        <w:rPr>
          <w:sz w:val="24"/>
        </w:rPr>
        <w:t>ID of the</w:t>
      </w:r>
      <w:r>
        <w:rPr>
          <w:spacing w:val="-3"/>
          <w:sz w:val="24"/>
        </w:rPr>
        <w:t xml:space="preserve"> </w:t>
      </w:r>
      <w:r>
        <w:rPr>
          <w:sz w:val="24"/>
        </w:rPr>
        <w:t>bid(s)</w:t>
      </w:r>
      <w:r>
        <w:rPr>
          <w:spacing w:val="-3"/>
          <w:sz w:val="24"/>
        </w:rPr>
        <w:t xml:space="preserve"> </w:t>
      </w:r>
      <w:r>
        <w:rPr>
          <w:sz w:val="24"/>
        </w:rPr>
        <w:t xml:space="preserve">being </w:t>
      </w:r>
      <w:r>
        <w:rPr>
          <w:spacing w:val="-2"/>
          <w:sz w:val="24"/>
        </w:rPr>
        <w:t>certified.</w:t>
      </w:r>
    </w:p>
    <w:p>
      <w:pPr>
        <w:pStyle w:val="ListParagraph"/>
        <w:numPr>
          <w:ilvl w:val="0"/>
          <w:numId w:val="5"/>
        </w:numPr>
        <w:tabs>
          <w:tab w:val="left" w:pos="944"/>
        </w:tabs>
        <w:spacing w:before="40" w:after="0" w:line="240" w:lineRule="auto"/>
        <w:ind w:left="944" w:right="0" w:hanging="360"/>
        <w:jc w:val="left"/>
        <w:rPr>
          <w:sz w:val="24"/>
        </w:rPr>
      </w:pPr>
      <w:r>
        <w:rPr>
          <w:sz w:val="24"/>
        </w:rPr>
        <w:t>The</w:t>
      </w:r>
      <w:r>
        <w:rPr>
          <w:spacing w:val="-3"/>
          <w:sz w:val="24"/>
        </w:rPr>
        <w:t xml:space="preserve"> </w:t>
      </w:r>
      <w:r>
        <w:rPr>
          <w:sz w:val="24"/>
        </w:rPr>
        <w:t>contract year of</w:t>
      </w:r>
      <w:r>
        <w:rPr>
          <w:spacing w:val="-2"/>
          <w:sz w:val="24"/>
        </w:rPr>
        <w:t xml:space="preserve"> </w:t>
      </w:r>
      <w:r>
        <w:rPr>
          <w:sz w:val="24"/>
        </w:rPr>
        <w:t>the bid(s)</w:t>
      </w:r>
      <w:r>
        <w:rPr>
          <w:spacing w:val="-2"/>
          <w:sz w:val="24"/>
        </w:rPr>
        <w:t xml:space="preserve"> </w:t>
      </w:r>
      <w:r>
        <w:rPr>
          <w:sz w:val="24"/>
        </w:rPr>
        <w:t>contained in the</w:t>
      </w:r>
      <w:r>
        <w:rPr>
          <w:spacing w:val="-1"/>
          <w:sz w:val="24"/>
        </w:rPr>
        <w:t xml:space="preserve"> </w:t>
      </w:r>
      <w:r>
        <w:rPr>
          <w:spacing w:val="-2"/>
          <w:sz w:val="24"/>
        </w:rPr>
        <w:t>certification.</w:t>
      </w:r>
    </w:p>
    <w:p>
      <w:pPr>
        <w:pStyle w:val="ListParagraph"/>
        <w:numPr>
          <w:ilvl w:val="0"/>
          <w:numId w:val="5"/>
        </w:numPr>
        <w:tabs>
          <w:tab w:val="left" w:pos="944"/>
        </w:tabs>
        <w:spacing w:before="39" w:after="0" w:line="240" w:lineRule="auto"/>
        <w:ind w:left="944" w:right="648" w:hanging="360"/>
        <w:jc w:val="left"/>
        <w:rPr>
          <w:sz w:val="24"/>
        </w:rPr>
      </w:pPr>
      <w:r>
        <w:rPr>
          <w:sz w:val="24"/>
        </w:rPr>
        <w:t>Indication</w:t>
      </w:r>
      <w:r>
        <w:rPr>
          <w:spacing w:val="-3"/>
          <w:sz w:val="24"/>
        </w:rPr>
        <w:t xml:space="preserve"> </w:t>
      </w:r>
      <w:r>
        <w:rPr>
          <w:sz w:val="24"/>
        </w:rPr>
        <w:t>of</w:t>
      </w:r>
      <w:r>
        <w:rPr>
          <w:spacing w:val="-4"/>
          <w:sz w:val="24"/>
        </w:rPr>
        <w:t xml:space="preserve"> </w:t>
      </w:r>
      <w:r>
        <w:rPr>
          <w:sz w:val="24"/>
        </w:rPr>
        <w:t>whether</w:t>
      </w:r>
      <w:r>
        <w:rPr>
          <w:spacing w:val="-3"/>
          <w:sz w:val="24"/>
        </w:rPr>
        <w:t xml:space="preserve"> </w:t>
      </w:r>
      <w:r>
        <w:rPr>
          <w:sz w:val="24"/>
        </w:rPr>
        <w:t>the</w:t>
      </w:r>
      <w:r>
        <w:rPr>
          <w:spacing w:val="-3"/>
          <w:sz w:val="24"/>
        </w:rPr>
        <w:t xml:space="preserve"> </w:t>
      </w:r>
      <w:r>
        <w:rPr>
          <w:sz w:val="24"/>
        </w:rPr>
        <w:t>certification</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MA</w:t>
      </w:r>
      <w:r>
        <w:rPr>
          <w:spacing w:val="-4"/>
          <w:sz w:val="24"/>
        </w:rPr>
        <w:t xml:space="preserve"> </w:t>
      </w:r>
      <w:r>
        <w:rPr>
          <w:sz w:val="24"/>
        </w:rPr>
        <w:t>bid(s),</w:t>
      </w:r>
      <w:r>
        <w:rPr>
          <w:spacing w:val="-3"/>
          <w:sz w:val="24"/>
        </w:rPr>
        <w:t xml:space="preserve"> </w:t>
      </w:r>
      <w:r>
        <w:rPr>
          <w:sz w:val="24"/>
        </w:rPr>
        <w:t>the</w:t>
      </w:r>
      <w:r>
        <w:rPr>
          <w:spacing w:val="-4"/>
          <w:sz w:val="24"/>
        </w:rPr>
        <w:t xml:space="preserve"> </w:t>
      </w:r>
      <w:r>
        <w:rPr>
          <w:sz w:val="24"/>
        </w:rPr>
        <w:t>PD</w:t>
      </w:r>
      <w:r>
        <w:rPr>
          <w:spacing w:val="-3"/>
          <w:sz w:val="24"/>
        </w:rPr>
        <w:t xml:space="preserve"> </w:t>
      </w:r>
      <w:r>
        <w:rPr>
          <w:sz w:val="24"/>
        </w:rPr>
        <w:t>(Part</w:t>
      </w:r>
      <w:r>
        <w:rPr>
          <w:spacing w:val="-2"/>
          <w:sz w:val="24"/>
        </w:rPr>
        <w:t xml:space="preserve"> </w:t>
      </w:r>
      <w:r>
        <w:rPr>
          <w:sz w:val="24"/>
        </w:rPr>
        <w:t>D)</w:t>
      </w:r>
      <w:r>
        <w:rPr>
          <w:spacing w:val="-4"/>
          <w:sz w:val="24"/>
        </w:rPr>
        <w:t xml:space="preserve"> </w:t>
      </w:r>
      <w:r>
        <w:rPr>
          <w:sz w:val="24"/>
        </w:rPr>
        <w:t>bid(s) or both.</w:t>
      </w:r>
    </w:p>
    <w:p>
      <w:pPr>
        <w:pStyle w:val="ListParagraph"/>
        <w:numPr>
          <w:ilvl w:val="0"/>
          <w:numId w:val="5"/>
        </w:numPr>
        <w:tabs>
          <w:tab w:val="left" w:pos="944"/>
        </w:tabs>
        <w:spacing w:before="41" w:after="0" w:line="240" w:lineRule="auto"/>
        <w:ind w:left="944" w:right="1526" w:hanging="360"/>
        <w:jc w:val="left"/>
        <w:rPr>
          <w:sz w:val="24"/>
        </w:rPr>
      </w:pPr>
      <w:r>
        <w:rPr>
          <w:sz w:val="24"/>
        </w:rPr>
        <w:t>Attestation</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bid(s)</w:t>
      </w:r>
      <w:r>
        <w:rPr>
          <w:spacing w:val="-4"/>
          <w:sz w:val="24"/>
        </w:rPr>
        <w:t xml:space="preserve"> </w:t>
      </w:r>
      <w:r>
        <w:rPr>
          <w:sz w:val="24"/>
        </w:rPr>
        <w:t>are</w:t>
      </w:r>
      <w:r>
        <w:rPr>
          <w:spacing w:val="-5"/>
          <w:sz w:val="24"/>
        </w:rPr>
        <w:t xml:space="preserve"> </w:t>
      </w:r>
      <w:r>
        <w:rPr>
          <w:sz w:val="24"/>
        </w:rPr>
        <w:t>in</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applicable</w:t>
      </w:r>
      <w:r>
        <w:rPr>
          <w:spacing w:val="-4"/>
          <w:sz w:val="24"/>
        </w:rPr>
        <w:t xml:space="preserve"> </w:t>
      </w:r>
      <w:r>
        <w:rPr>
          <w:sz w:val="24"/>
        </w:rPr>
        <w:t>laws,</w:t>
      </w:r>
      <w:hyperlink w:anchor="_bookmark78" w:history="1">
        <w:r>
          <w:rPr>
            <w:sz w:val="24"/>
            <w:vertAlign w:val="superscript"/>
          </w:rPr>
          <w:t>1</w:t>
        </w:r>
      </w:hyperlink>
      <w:r>
        <w:rPr>
          <w:spacing w:val="-3"/>
          <w:sz w:val="24"/>
          <w:vertAlign w:val="baseline"/>
        </w:rPr>
        <w:t xml:space="preserve"> </w:t>
      </w:r>
      <w:r>
        <w:rPr>
          <w:sz w:val="24"/>
          <w:vertAlign w:val="baseline"/>
        </w:rPr>
        <w:t>rules</w:t>
      </w:r>
      <w:hyperlink w:anchor="_bookmark79" w:history="1">
        <w:r>
          <w:rPr>
            <w:sz w:val="24"/>
            <w:vertAlign w:val="baseline"/>
          </w:rPr>
          <w:t>,</w:t>
        </w:r>
        <w:r>
          <w:rPr>
            <w:sz w:val="24"/>
            <w:vertAlign w:val="superscript"/>
          </w:rPr>
          <w:t>2</w:t>
        </w:r>
      </w:hyperlink>
      <w:r>
        <w:rPr>
          <w:sz w:val="24"/>
          <w:vertAlign w:val="baseline"/>
        </w:rPr>
        <w:t xml:space="preserve"> CY2026 bid instructions and current CMS guidance.</w:t>
      </w:r>
    </w:p>
    <w:p>
      <w:pPr>
        <w:pStyle w:val="ListParagraph"/>
        <w:numPr>
          <w:ilvl w:val="0"/>
          <w:numId w:val="5"/>
        </w:numPr>
        <w:tabs>
          <w:tab w:val="left" w:pos="944"/>
        </w:tabs>
        <w:spacing w:before="38" w:after="0" w:line="240" w:lineRule="auto"/>
        <w:ind w:left="944" w:right="568" w:hanging="360"/>
        <w:jc w:val="left"/>
        <w:rPr>
          <w:sz w:val="24"/>
        </w:rPr>
      </w:pPr>
      <w:r>
        <w:rPr>
          <w:sz w:val="24"/>
        </w:rPr>
        <w:t>Attestation that, in accordance with Federal law, the bid(s) are based on the “average revenue</w:t>
      </w:r>
      <w:r>
        <w:rPr>
          <w:spacing w:val="-4"/>
          <w:sz w:val="24"/>
        </w:rPr>
        <w:t xml:space="preserve"> </w:t>
      </w:r>
      <w:r>
        <w:rPr>
          <w:sz w:val="24"/>
        </w:rPr>
        <w:t>requirements</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payment</w:t>
      </w:r>
      <w:r>
        <w:rPr>
          <w:spacing w:val="-5"/>
          <w:sz w:val="24"/>
        </w:rPr>
        <w:t xml:space="preserve"> </w:t>
      </w:r>
      <w:r>
        <w:rPr>
          <w:sz w:val="24"/>
        </w:rPr>
        <w:t>area</w:t>
      </w:r>
      <w:r>
        <w:rPr>
          <w:spacing w:val="-4"/>
          <w:sz w:val="24"/>
        </w:rPr>
        <w:t xml:space="preserve"> </w:t>
      </w:r>
      <w:r>
        <w:rPr>
          <w:sz w:val="24"/>
        </w:rPr>
        <w:t>for</w:t>
      </w:r>
      <w:r>
        <w:rPr>
          <w:spacing w:val="-6"/>
          <w:sz w:val="24"/>
        </w:rPr>
        <w:t xml:space="preserve"> </w:t>
      </w:r>
      <w:r>
        <w:rPr>
          <w:sz w:val="24"/>
        </w:rPr>
        <w:t>a</w:t>
      </w:r>
      <w:r>
        <w:rPr>
          <w:spacing w:val="-5"/>
          <w:sz w:val="24"/>
        </w:rPr>
        <w:t xml:space="preserve"> </w:t>
      </w:r>
      <w:r>
        <w:rPr>
          <w:sz w:val="24"/>
        </w:rPr>
        <w:t>Medicare</w:t>
      </w:r>
      <w:r>
        <w:rPr>
          <w:spacing w:val="-5"/>
          <w:sz w:val="24"/>
        </w:rPr>
        <w:t xml:space="preserve"> </w:t>
      </w:r>
      <w:r>
        <w:rPr>
          <w:sz w:val="24"/>
        </w:rPr>
        <w:t>Advantage/Prescription</w:t>
      </w:r>
      <w:r>
        <w:rPr>
          <w:spacing w:val="-5"/>
          <w:sz w:val="24"/>
        </w:rPr>
        <w:t xml:space="preserve"> </w:t>
      </w:r>
      <w:r>
        <w:rPr>
          <w:sz w:val="24"/>
        </w:rPr>
        <w:t>Drug enrollee with a national average risk profile.”</w:t>
      </w:r>
    </w:p>
    <w:p>
      <w:pPr>
        <w:pStyle w:val="ListParagraph"/>
        <w:numPr>
          <w:ilvl w:val="0"/>
          <w:numId w:val="5"/>
        </w:numPr>
        <w:tabs>
          <w:tab w:val="left" w:pos="944"/>
        </w:tabs>
        <w:spacing w:before="41" w:after="0" w:line="240" w:lineRule="auto"/>
        <w:ind w:left="944" w:right="1008" w:hanging="360"/>
        <w:jc w:val="left"/>
        <w:rPr>
          <w:sz w:val="24"/>
        </w:rPr>
      </w:pPr>
      <w:r>
        <w:rPr>
          <w:sz w:val="24"/>
        </w:rPr>
        <w:t>Attestation</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data</w:t>
      </w:r>
      <w:r>
        <w:rPr>
          <w:spacing w:val="-3"/>
          <w:sz w:val="24"/>
        </w:rPr>
        <w:t xml:space="preserve"> </w:t>
      </w:r>
      <w:r>
        <w:rPr>
          <w:sz w:val="24"/>
        </w:rPr>
        <w:t>and</w:t>
      </w:r>
      <w:r>
        <w:rPr>
          <w:spacing w:val="-3"/>
          <w:sz w:val="24"/>
        </w:rPr>
        <w:t xml:space="preserve"> </w:t>
      </w:r>
      <w:r>
        <w:rPr>
          <w:sz w:val="24"/>
        </w:rPr>
        <w:t>assumptions</w:t>
      </w:r>
      <w:r>
        <w:rPr>
          <w:spacing w:val="-3"/>
          <w:sz w:val="24"/>
        </w:rPr>
        <w:t xml:space="preserve"> </w:t>
      </w:r>
      <w:r>
        <w:rPr>
          <w:sz w:val="24"/>
        </w:rPr>
        <w:t>used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development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bid(s)</w:t>
      </w:r>
      <w:r>
        <w:rPr>
          <w:spacing w:val="-5"/>
          <w:sz w:val="24"/>
        </w:rPr>
        <w:t xml:space="preserve"> </w:t>
      </w:r>
      <w:r>
        <w:rPr>
          <w:sz w:val="24"/>
        </w:rPr>
        <w:t>are reasonable for the plan’s benefit package (PBP).</w:t>
      </w:r>
    </w:p>
    <w:p>
      <w:pPr>
        <w:pStyle w:val="ListParagraph"/>
        <w:numPr>
          <w:ilvl w:val="0"/>
          <w:numId w:val="5"/>
        </w:numPr>
        <w:tabs>
          <w:tab w:val="left" w:pos="944"/>
        </w:tabs>
        <w:spacing w:before="41" w:after="0" w:line="240" w:lineRule="auto"/>
        <w:ind w:left="944" w:right="469" w:hanging="360"/>
        <w:jc w:val="left"/>
        <w:rPr>
          <w:sz w:val="24"/>
        </w:rPr>
      </w:pPr>
      <w:r>
        <w:rPr>
          <w:sz w:val="24"/>
        </w:rPr>
        <w:t>Attestation that the bid(s) were prepared in compliance with the current standards of practice,</w:t>
      </w:r>
      <w:r>
        <w:rPr>
          <w:spacing w:val="-2"/>
          <w:sz w:val="24"/>
        </w:rPr>
        <w:t xml:space="preserve"> </w:t>
      </w:r>
      <w:r>
        <w:rPr>
          <w:sz w:val="24"/>
        </w:rPr>
        <w:t>as</w:t>
      </w:r>
      <w:r>
        <w:rPr>
          <w:spacing w:val="-4"/>
          <w:sz w:val="24"/>
        </w:rPr>
        <w:t xml:space="preserve"> </w:t>
      </w:r>
      <w:r>
        <w:rPr>
          <w:sz w:val="24"/>
        </w:rPr>
        <w:t>promulgated</w:t>
      </w:r>
      <w:r>
        <w:rPr>
          <w:spacing w:val="-2"/>
          <w:sz w:val="24"/>
        </w:rPr>
        <w:t xml:space="preserve"> </w:t>
      </w:r>
      <w:r>
        <w:rPr>
          <w:sz w:val="24"/>
        </w:rPr>
        <w:t>by</w:t>
      </w:r>
      <w:r>
        <w:rPr>
          <w:spacing w:val="-4"/>
          <w:sz w:val="24"/>
        </w:rPr>
        <w:t xml:space="preserve"> </w:t>
      </w:r>
      <w:r>
        <w:rPr>
          <w:sz w:val="24"/>
        </w:rPr>
        <w:t>the</w:t>
      </w:r>
      <w:r>
        <w:rPr>
          <w:spacing w:val="-4"/>
          <w:sz w:val="24"/>
        </w:rPr>
        <w:t xml:space="preserve"> </w:t>
      </w:r>
      <w:r>
        <w:rPr>
          <w:sz w:val="24"/>
        </w:rPr>
        <w:t>Actuarial</w:t>
      </w:r>
      <w:r>
        <w:rPr>
          <w:spacing w:val="-4"/>
          <w:sz w:val="24"/>
        </w:rPr>
        <w:t xml:space="preserve"> </w:t>
      </w:r>
      <w:r>
        <w:rPr>
          <w:sz w:val="24"/>
        </w:rPr>
        <w:t>Standards</w:t>
      </w:r>
      <w:r>
        <w:rPr>
          <w:spacing w:val="-4"/>
          <w:sz w:val="24"/>
        </w:rPr>
        <w:t xml:space="preserve"> </w:t>
      </w:r>
      <w:r>
        <w:rPr>
          <w:sz w:val="24"/>
        </w:rPr>
        <w:t>Board</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American</w:t>
      </w:r>
      <w:r>
        <w:rPr>
          <w:spacing w:val="-4"/>
          <w:sz w:val="24"/>
        </w:rPr>
        <w:t xml:space="preserve"> </w:t>
      </w:r>
      <w:r>
        <w:rPr>
          <w:sz w:val="24"/>
        </w:rPr>
        <w:t>Academy</w:t>
      </w:r>
      <w:r>
        <w:rPr>
          <w:spacing w:val="-4"/>
          <w:sz w:val="24"/>
        </w:rPr>
        <w:t xml:space="preserve"> </w:t>
      </w:r>
      <w:r>
        <w:rPr>
          <w:sz w:val="24"/>
        </w:rPr>
        <w:t xml:space="preserve">of </w:t>
      </w:r>
      <w:r>
        <w:rPr>
          <w:spacing w:val="-2"/>
          <w:sz w:val="24"/>
        </w:rPr>
        <w:t>Actuaries.</w:t>
      </w:r>
      <w:hyperlink w:anchor="_bookmark80" w:history="1">
        <w:r>
          <w:rPr>
            <w:spacing w:val="-2"/>
            <w:sz w:val="24"/>
            <w:vertAlign w:val="superscript"/>
          </w:rPr>
          <w:t>3</w:t>
        </w:r>
      </w:hyperlink>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12"/>
        <w:ind w:left="0"/>
        <w:rPr>
          <w:sz w:val="20"/>
        </w:rPr>
      </w:pPr>
      <w:r>
        <mc:AlternateContent>
          <mc:Choice Requires="wps">
            <w:drawing>
              <wp:anchor distT="0" distB="0" distL="0" distR="0" simplePos="0" relativeHeight="251668480" behindDoc="1" locked="0" layoutInCell="1" allowOverlap="1">
                <wp:simplePos x="0" y="0"/>
                <wp:positionH relativeFrom="page">
                  <wp:posOffset>1006144</wp:posOffset>
                </wp:positionH>
                <wp:positionV relativeFrom="paragraph">
                  <wp:posOffset>168965</wp:posOffset>
                </wp:positionV>
                <wp:extent cx="1829435" cy="6350"/>
                <wp:effectExtent l="0" t="0" r="0" b="0"/>
                <wp:wrapTopAndBottom/>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1829435" cy="6350"/>
                        </a:xfrm>
                        <a:custGeom>
                          <a:avLst/>
                          <a:gdLst/>
                          <a:rect l="l" t="t" r="r" b="b"/>
                          <a:pathLst>
                            <a:path fill="norm" h="6350" w="1829435" stroke="1">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39" style="width:144.02pt;height:0.48pt;margin-top:13.3pt;margin-left:79.22pt;mso-position-horizontal-relative:page;mso-wrap-distance-left:0;mso-wrap-distance-right:0;position:absolute;z-index:-251646976" filled="t" fillcolor="black" stroked="f">
                <v:fill type="solid"/>
                <w10:wrap type="topAndBottom"/>
              </v:rect>
            </w:pict>
          </mc:Fallback>
        </mc:AlternateContent>
      </w:r>
    </w:p>
    <w:p>
      <w:pPr>
        <w:pStyle w:val="BodyText"/>
        <w:spacing w:before="0"/>
        <w:ind w:left="0"/>
        <w:rPr>
          <w:sz w:val="20"/>
        </w:rPr>
      </w:pPr>
    </w:p>
    <w:p>
      <w:pPr>
        <w:spacing w:before="1"/>
        <w:ind w:left="224" w:right="0" w:firstLine="0"/>
        <w:jc w:val="left"/>
        <w:rPr>
          <w:sz w:val="20"/>
        </w:rPr>
      </w:pPr>
      <w:bookmarkStart w:id="275" w:name="_bookmark78"/>
      <w:bookmarkEnd w:id="275"/>
      <w:r>
        <w:rPr>
          <w:sz w:val="20"/>
          <w:vertAlign w:val="superscript"/>
        </w:rPr>
        <w:t>1</w:t>
      </w:r>
      <w:r>
        <w:rPr>
          <w:spacing w:val="-5"/>
          <w:sz w:val="20"/>
          <w:vertAlign w:val="baseline"/>
        </w:rPr>
        <w:t xml:space="preserve"> </w:t>
      </w:r>
      <w:r>
        <w:rPr>
          <w:sz w:val="20"/>
          <w:vertAlign w:val="baseline"/>
        </w:rPr>
        <w:t>Social</w:t>
      </w:r>
      <w:r>
        <w:rPr>
          <w:spacing w:val="-5"/>
          <w:sz w:val="20"/>
          <w:vertAlign w:val="baseline"/>
        </w:rPr>
        <w:t xml:space="preserve"> </w:t>
      </w:r>
      <w:r>
        <w:rPr>
          <w:sz w:val="20"/>
          <w:vertAlign w:val="baseline"/>
        </w:rPr>
        <w:t>Security</w:t>
      </w:r>
      <w:r>
        <w:rPr>
          <w:spacing w:val="-5"/>
          <w:sz w:val="20"/>
          <w:vertAlign w:val="baseline"/>
        </w:rPr>
        <w:t xml:space="preserve"> </w:t>
      </w:r>
      <w:r>
        <w:rPr>
          <w:sz w:val="20"/>
          <w:vertAlign w:val="baseline"/>
        </w:rPr>
        <w:t>Act</w:t>
      </w:r>
      <w:r>
        <w:rPr>
          <w:spacing w:val="-2"/>
          <w:sz w:val="20"/>
          <w:vertAlign w:val="baseline"/>
        </w:rPr>
        <w:t xml:space="preserve"> </w:t>
      </w:r>
      <w:r>
        <w:rPr>
          <w:sz w:val="20"/>
          <w:vertAlign w:val="baseline"/>
        </w:rPr>
        <w:t>sections</w:t>
      </w:r>
      <w:r>
        <w:rPr>
          <w:spacing w:val="-6"/>
          <w:sz w:val="20"/>
          <w:vertAlign w:val="baseline"/>
        </w:rPr>
        <w:t xml:space="preserve"> </w:t>
      </w:r>
      <w:r>
        <w:rPr>
          <w:sz w:val="20"/>
          <w:vertAlign w:val="baseline"/>
        </w:rPr>
        <w:t>1851</w:t>
      </w:r>
      <w:r>
        <w:rPr>
          <w:spacing w:val="-4"/>
          <w:sz w:val="20"/>
          <w:vertAlign w:val="baseline"/>
        </w:rPr>
        <w:t xml:space="preserve"> </w:t>
      </w:r>
      <w:r>
        <w:rPr>
          <w:sz w:val="20"/>
          <w:vertAlign w:val="baseline"/>
        </w:rPr>
        <w:t>through</w:t>
      </w:r>
      <w:r>
        <w:rPr>
          <w:spacing w:val="-3"/>
          <w:sz w:val="20"/>
          <w:vertAlign w:val="baseline"/>
        </w:rPr>
        <w:t xml:space="preserve"> </w:t>
      </w:r>
      <w:r>
        <w:rPr>
          <w:sz w:val="20"/>
          <w:vertAlign w:val="baseline"/>
        </w:rPr>
        <w:t>1859;</w:t>
      </w:r>
      <w:r>
        <w:rPr>
          <w:spacing w:val="-6"/>
          <w:sz w:val="20"/>
          <w:vertAlign w:val="baseline"/>
        </w:rPr>
        <w:t xml:space="preserve"> </w:t>
      </w:r>
      <w:r>
        <w:rPr>
          <w:sz w:val="20"/>
          <w:vertAlign w:val="baseline"/>
        </w:rPr>
        <w:t>and</w:t>
      </w:r>
      <w:r>
        <w:rPr>
          <w:spacing w:val="-4"/>
          <w:sz w:val="20"/>
          <w:vertAlign w:val="baseline"/>
        </w:rPr>
        <w:t xml:space="preserve"> </w:t>
      </w:r>
      <w:r>
        <w:rPr>
          <w:sz w:val="20"/>
          <w:vertAlign w:val="baseline"/>
        </w:rPr>
        <w:t>Social</w:t>
      </w:r>
      <w:r>
        <w:rPr>
          <w:spacing w:val="-6"/>
          <w:sz w:val="20"/>
          <w:vertAlign w:val="baseline"/>
        </w:rPr>
        <w:t xml:space="preserve"> </w:t>
      </w:r>
      <w:r>
        <w:rPr>
          <w:sz w:val="20"/>
          <w:vertAlign w:val="baseline"/>
        </w:rPr>
        <w:t>Security</w:t>
      </w:r>
      <w:r>
        <w:rPr>
          <w:spacing w:val="-5"/>
          <w:sz w:val="20"/>
          <w:vertAlign w:val="baseline"/>
        </w:rPr>
        <w:t xml:space="preserve"> </w:t>
      </w:r>
      <w:r>
        <w:rPr>
          <w:sz w:val="20"/>
          <w:vertAlign w:val="baseline"/>
        </w:rPr>
        <w:t>Act</w:t>
      </w:r>
      <w:r>
        <w:rPr>
          <w:spacing w:val="2"/>
          <w:sz w:val="20"/>
          <w:vertAlign w:val="baseline"/>
        </w:rPr>
        <w:t xml:space="preserve"> </w:t>
      </w:r>
      <w:r>
        <w:rPr>
          <w:sz w:val="20"/>
          <w:vertAlign w:val="baseline"/>
        </w:rPr>
        <w:t>sections</w:t>
      </w:r>
      <w:r>
        <w:rPr>
          <w:spacing w:val="-6"/>
          <w:sz w:val="20"/>
          <w:vertAlign w:val="baseline"/>
        </w:rPr>
        <w:t xml:space="preserve"> </w:t>
      </w:r>
      <w:r>
        <w:rPr>
          <w:sz w:val="20"/>
          <w:vertAlign w:val="baseline"/>
        </w:rPr>
        <w:t>1860D-1</w:t>
      </w:r>
      <w:r>
        <w:rPr>
          <w:spacing w:val="-4"/>
          <w:sz w:val="20"/>
          <w:vertAlign w:val="baseline"/>
        </w:rPr>
        <w:t xml:space="preserve"> </w:t>
      </w:r>
      <w:r>
        <w:rPr>
          <w:sz w:val="20"/>
          <w:vertAlign w:val="baseline"/>
        </w:rPr>
        <w:t>through</w:t>
      </w:r>
      <w:r>
        <w:rPr>
          <w:spacing w:val="-5"/>
          <w:sz w:val="20"/>
          <w:vertAlign w:val="baseline"/>
        </w:rPr>
        <w:t xml:space="preserve"> </w:t>
      </w:r>
      <w:r>
        <w:rPr>
          <w:sz w:val="20"/>
          <w:vertAlign w:val="baseline"/>
        </w:rPr>
        <w:t>1860D-</w:t>
      </w:r>
      <w:r>
        <w:rPr>
          <w:spacing w:val="-5"/>
          <w:sz w:val="20"/>
          <w:vertAlign w:val="baseline"/>
        </w:rPr>
        <w:t>42.</w:t>
      </w:r>
    </w:p>
    <w:p>
      <w:pPr>
        <w:spacing w:before="120"/>
        <w:ind w:left="224" w:right="0" w:firstLine="0"/>
        <w:jc w:val="left"/>
        <w:rPr>
          <w:sz w:val="20"/>
        </w:rPr>
      </w:pPr>
      <w:bookmarkStart w:id="276" w:name="_bookmark79"/>
      <w:bookmarkEnd w:id="276"/>
      <w:r>
        <w:rPr>
          <w:sz w:val="20"/>
          <w:vertAlign w:val="superscript"/>
        </w:rPr>
        <w:t>2</w:t>
      </w:r>
      <w:r>
        <w:rPr>
          <w:spacing w:val="-3"/>
          <w:sz w:val="20"/>
          <w:vertAlign w:val="baseline"/>
        </w:rPr>
        <w:t xml:space="preserve"> </w:t>
      </w:r>
      <w:r>
        <w:rPr>
          <w:sz w:val="20"/>
          <w:vertAlign w:val="baseline"/>
        </w:rPr>
        <w:t>42</w:t>
      </w:r>
      <w:r>
        <w:rPr>
          <w:spacing w:val="-1"/>
          <w:sz w:val="20"/>
          <w:vertAlign w:val="baseline"/>
        </w:rPr>
        <w:t xml:space="preserve"> </w:t>
      </w:r>
      <w:r>
        <w:rPr>
          <w:sz w:val="20"/>
          <w:vertAlign w:val="baseline"/>
        </w:rPr>
        <w:t>CFR</w:t>
      </w:r>
      <w:r>
        <w:rPr>
          <w:spacing w:val="-3"/>
          <w:sz w:val="20"/>
          <w:vertAlign w:val="baseline"/>
        </w:rPr>
        <w:t xml:space="preserve"> </w:t>
      </w:r>
      <w:r>
        <w:rPr>
          <w:sz w:val="20"/>
          <w:vertAlign w:val="baseline"/>
        </w:rPr>
        <w:t>Parts</w:t>
      </w:r>
      <w:r>
        <w:rPr>
          <w:spacing w:val="-3"/>
          <w:sz w:val="20"/>
          <w:vertAlign w:val="baseline"/>
        </w:rPr>
        <w:t xml:space="preserve"> </w:t>
      </w:r>
      <w:r>
        <w:rPr>
          <w:sz w:val="20"/>
          <w:vertAlign w:val="baseline"/>
        </w:rPr>
        <w:t>400,</w:t>
      </w:r>
      <w:r>
        <w:rPr>
          <w:spacing w:val="-2"/>
          <w:sz w:val="20"/>
          <w:vertAlign w:val="baseline"/>
        </w:rPr>
        <w:t xml:space="preserve"> </w:t>
      </w:r>
      <w:r>
        <w:rPr>
          <w:sz w:val="20"/>
          <w:vertAlign w:val="baseline"/>
        </w:rPr>
        <w:t>403,</w:t>
      </w:r>
      <w:r>
        <w:rPr>
          <w:spacing w:val="-2"/>
          <w:sz w:val="20"/>
          <w:vertAlign w:val="baseline"/>
        </w:rPr>
        <w:t xml:space="preserve"> </w:t>
      </w:r>
      <w:r>
        <w:rPr>
          <w:sz w:val="20"/>
          <w:vertAlign w:val="baseline"/>
        </w:rPr>
        <w:t>411,</w:t>
      </w:r>
      <w:r>
        <w:rPr>
          <w:spacing w:val="-4"/>
          <w:sz w:val="20"/>
          <w:vertAlign w:val="baseline"/>
        </w:rPr>
        <w:t xml:space="preserve"> </w:t>
      </w:r>
      <w:r>
        <w:rPr>
          <w:sz w:val="20"/>
          <w:vertAlign w:val="baseline"/>
        </w:rPr>
        <w:t>417,</w:t>
      </w:r>
      <w:r>
        <w:rPr>
          <w:spacing w:val="-4"/>
          <w:sz w:val="20"/>
          <w:vertAlign w:val="baseline"/>
        </w:rPr>
        <w:t xml:space="preserve"> </w:t>
      </w:r>
      <w:r>
        <w:rPr>
          <w:sz w:val="20"/>
          <w:vertAlign w:val="baseline"/>
        </w:rPr>
        <w:t>422,</w:t>
      </w:r>
      <w:r>
        <w:rPr>
          <w:spacing w:val="-4"/>
          <w:sz w:val="20"/>
          <w:vertAlign w:val="baseline"/>
        </w:rPr>
        <w:t xml:space="preserve"> </w:t>
      </w:r>
      <w:r>
        <w:rPr>
          <w:sz w:val="20"/>
          <w:vertAlign w:val="baseline"/>
        </w:rPr>
        <w:t>and</w:t>
      </w:r>
      <w:r>
        <w:rPr>
          <w:spacing w:val="-3"/>
          <w:sz w:val="20"/>
          <w:vertAlign w:val="baseline"/>
        </w:rPr>
        <w:t xml:space="preserve"> </w:t>
      </w:r>
      <w:r>
        <w:rPr>
          <w:spacing w:val="-5"/>
          <w:sz w:val="20"/>
          <w:vertAlign w:val="baseline"/>
        </w:rPr>
        <w:t>423</w:t>
      </w:r>
    </w:p>
    <w:p>
      <w:pPr>
        <w:spacing w:before="121"/>
        <w:ind w:left="224" w:right="0" w:firstLine="0"/>
        <w:jc w:val="left"/>
        <w:rPr>
          <w:sz w:val="20"/>
        </w:rPr>
      </w:pPr>
      <w:bookmarkStart w:id="277" w:name="_bookmark80"/>
      <w:bookmarkEnd w:id="277"/>
      <w:r>
        <w:rPr>
          <w:sz w:val="20"/>
          <w:vertAlign w:val="superscript"/>
        </w:rPr>
        <w:t>3</w:t>
      </w:r>
      <w:r>
        <w:rPr>
          <w:spacing w:val="-4"/>
          <w:sz w:val="20"/>
          <w:vertAlign w:val="baseline"/>
        </w:rPr>
        <w:t xml:space="preserve"> </w:t>
      </w:r>
      <w:r>
        <w:rPr>
          <w:sz w:val="20"/>
          <w:vertAlign w:val="baseline"/>
        </w:rPr>
        <w:t>Emphasis</w:t>
      </w:r>
      <w:r>
        <w:rPr>
          <w:spacing w:val="-5"/>
          <w:sz w:val="20"/>
          <w:vertAlign w:val="baseline"/>
        </w:rPr>
        <w:t xml:space="preserve"> </w:t>
      </w:r>
      <w:r>
        <w:rPr>
          <w:sz w:val="20"/>
          <w:vertAlign w:val="baseline"/>
        </w:rPr>
        <w:t>is</w:t>
      </w:r>
      <w:r>
        <w:rPr>
          <w:spacing w:val="-4"/>
          <w:sz w:val="20"/>
          <w:vertAlign w:val="baseline"/>
        </w:rPr>
        <w:t xml:space="preserve"> </w:t>
      </w:r>
      <w:r>
        <w:rPr>
          <w:sz w:val="20"/>
          <w:vertAlign w:val="baseline"/>
        </w:rPr>
        <w:t>placed</w:t>
      </w:r>
      <w:r>
        <w:rPr>
          <w:spacing w:val="-3"/>
          <w:sz w:val="20"/>
          <w:vertAlign w:val="baseline"/>
        </w:rPr>
        <w:t xml:space="preserve"> </w:t>
      </w:r>
      <w:r>
        <w:rPr>
          <w:sz w:val="20"/>
          <w:vertAlign w:val="baseline"/>
        </w:rPr>
        <w:t>on,</w:t>
      </w:r>
      <w:r>
        <w:rPr>
          <w:spacing w:val="-6"/>
          <w:sz w:val="20"/>
          <w:vertAlign w:val="baseline"/>
        </w:rPr>
        <w:t xml:space="preserve"> </w:t>
      </w:r>
      <w:r>
        <w:rPr>
          <w:sz w:val="20"/>
          <w:vertAlign w:val="baseline"/>
        </w:rPr>
        <w:t>but</w:t>
      </w:r>
      <w:r>
        <w:rPr>
          <w:spacing w:val="-6"/>
          <w:sz w:val="20"/>
          <w:vertAlign w:val="baseline"/>
        </w:rPr>
        <w:t xml:space="preserve"> </w:t>
      </w:r>
      <w:r>
        <w:rPr>
          <w:sz w:val="20"/>
          <w:vertAlign w:val="baseline"/>
        </w:rPr>
        <w:t>not</w:t>
      </w:r>
      <w:r>
        <w:rPr>
          <w:spacing w:val="-5"/>
          <w:sz w:val="20"/>
          <w:vertAlign w:val="baseline"/>
        </w:rPr>
        <w:t xml:space="preserve"> </w:t>
      </w:r>
      <w:r>
        <w:rPr>
          <w:sz w:val="20"/>
          <w:vertAlign w:val="baseline"/>
        </w:rPr>
        <w:t>limited</w:t>
      </w:r>
      <w:r>
        <w:rPr>
          <w:spacing w:val="-2"/>
          <w:sz w:val="20"/>
          <w:vertAlign w:val="baseline"/>
        </w:rPr>
        <w:t xml:space="preserve"> </w:t>
      </w:r>
      <w:r>
        <w:rPr>
          <w:sz w:val="20"/>
          <w:vertAlign w:val="baseline"/>
        </w:rPr>
        <w:t>to,</w:t>
      </w:r>
      <w:r>
        <w:rPr>
          <w:spacing w:val="-1"/>
          <w:sz w:val="20"/>
          <w:vertAlign w:val="baseline"/>
        </w:rPr>
        <w:t xml:space="preserve"> </w:t>
      </w:r>
      <w:r>
        <w:rPr>
          <w:sz w:val="20"/>
          <w:vertAlign w:val="baseline"/>
        </w:rPr>
        <w:t>the</w:t>
      </w:r>
      <w:r>
        <w:rPr>
          <w:spacing w:val="-4"/>
          <w:sz w:val="20"/>
          <w:vertAlign w:val="baseline"/>
        </w:rPr>
        <w:t xml:space="preserve"> </w:t>
      </w:r>
      <w:r>
        <w:rPr>
          <w:sz w:val="20"/>
          <w:vertAlign w:val="baseline"/>
        </w:rPr>
        <w:t>following</w:t>
      </w:r>
      <w:r>
        <w:rPr>
          <w:spacing w:val="-2"/>
          <w:sz w:val="20"/>
          <w:vertAlign w:val="baseline"/>
        </w:rPr>
        <w:t xml:space="preserve"> </w:t>
      </w:r>
      <w:r>
        <w:rPr>
          <w:sz w:val="20"/>
          <w:vertAlign w:val="baseline"/>
        </w:rPr>
        <w:t>Actuarial</w:t>
      </w:r>
      <w:r>
        <w:rPr>
          <w:spacing w:val="-4"/>
          <w:sz w:val="20"/>
          <w:vertAlign w:val="baseline"/>
        </w:rPr>
        <w:t xml:space="preserve"> </w:t>
      </w:r>
      <w:r>
        <w:rPr>
          <w:sz w:val="20"/>
          <w:vertAlign w:val="baseline"/>
        </w:rPr>
        <w:t>Standards</w:t>
      </w:r>
      <w:r>
        <w:rPr>
          <w:spacing w:val="-4"/>
          <w:sz w:val="20"/>
          <w:vertAlign w:val="baseline"/>
        </w:rPr>
        <w:t xml:space="preserve"> </w:t>
      </w:r>
      <w:r>
        <w:rPr>
          <w:sz w:val="20"/>
          <w:vertAlign w:val="baseline"/>
        </w:rPr>
        <w:t>of</w:t>
      </w:r>
      <w:r>
        <w:rPr>
          <w:spacing w:val="-4"/>
          <w:sz w:val="20"/>
          <w:vertAlign w:val="baseline"/>
        </w:rPr>
        <w:t xml:space="preserve"> </w:t>
      </w:r>
      <w:r>
        <w:rPr>
          <w:sz w:val="20"/>
          <w:vertAlign w:val="baseline"/>
        </w:rPr>
        <w:t>Practice</w:t>
      </w:r>
      <w:r>
        <w:rPr>
          <w:spacing w:val="-3"/>
          <w:sz w:val="20"/>
          <w:vertAlign w:val="baseline"/>
        </w:rPr>
        <w:t xml:space="preserve"> </w:t>
      </w:r>
      <w:r>
        <w:rPr>
          <w:spacing w:val="-2"/>
          <w:sz w:val="20"/>
          <w:vertAlign w:val="baseline"/>
        </w:rPr>
        <w:t>(ASOPs):</w:t>
      </w:r>
    </w:p>
    <w:p>
      <w:pPr>
        <w:pStyle w:val="ListParagraph"/>
        <w:numPr>
          <w:ilvl w:val="0"/>
          <w:numId w:val="5"/>
        </w:numPr>
        <w:tabs>
          <w:tab w:val="left" w:pos="944"/>
        </w:tabs>
        <w:spacing w:before="149" w:after="0" w:line="240" w:lineRule="auto"/>
        <w:ind w:left="944" w:right="0" w:hanging="360"/>
        <w:jc w:val="left"/>
        <w:rPr>
          <w:sz w:val="20"/>
        </w:rPr>
      </w:pPr>
      <w:r>
        <w:rPr>
          <w:sz w:val="20"/>
        </w:rPr>
        <w:t>ASOP</w:t>
      </w:r>
      <w:r>
        <w:rPr>
          <w:spacing w:val="-5"/>
          <w:sz w:val="20"/>
        </w:rPr>
        <w:t xml:space="preserve"> </w:t>
      </w:r>
      <w:r>
        <w:rPr>
          <w:sz w:val="20"/>
        </w:rPr>
        <w:t>No.</w:t>
      </w:r>
      <w:r>
        <w:rPr>
          <w:spacing w:val="-4"/>
          <w:sz w:val="20"/>
        </w:rPr>
        <w:t xml:space="preserve"> </w:t>
      </w:r>
      <w:r>
        <w:rPr>
          <w:sz w:val="20"/>
        </w:rPr>
        <w:t>5,</w:t>
      </w:r>
      <w:r>
        <w:rPr>
          <w:spacing w:val="-3"/>
          <w:sz w:val="20"/>
        </w:rPr>
        <w:t xml:space="preserve"> </w:t>
      </w:r>
      <w:r>
        <w:rPr>
          <w:i/>
          <w:sz w:val="20"/>
        </w:rPr>
        <w:t>Incurred</w:t>
      </w:r>
      <w:r>
        <w:rPr>
          <w:i/>
          <w:spacing w:val="-4"/>
          <w:sz w:val="20"/>
        </w:rPr>
        <w:t xml:space="preserve"> </w:t>
      </w:r>
      <w:r>
        <w:rPr>
          <w:i/>
          <w:sz w:val="20"/>
        </w:rPr>
        <w:t>Health</w:t>
      </w:r>
      <w:r>
        <w:rPr>
          <w:i/>
          <w:spacing w:val="-5"/>
          <w:sz w:val="20"/>
        </w:rPr>
        <w:t xml:space="preserve"> </w:t>
      </w:r>
      <w:r>
        <w:rPr>
          <w:i/>
          <w:sz w:val="20"/>
        </w:rPr>
        <w:t>and</w:t>
      </w:r>
      <w:r>
        <w:rPr>
          <w:i/>
          <w:spacing w:val="-3"/>
          <w:sz w:val="20"/>
        </w:rPr>
        <w:t xml:space="preserve"> </w:t>
      </w:r>
      <w:r>
        <w:rPr>
          <w:i/>
          <w:sz w:val="20"/>
        </w:rPr>
        <w:t>Disability</w:t>
      </w:r>
      <w:r>
        <w:rPr>
          <w:i/>
          <w:spacing w:val="-4"/>
          <w:sz w:val="20"/>
        </w:rPr>
        <w:t xml:space="preserve"> </w:t>
      </w:r>
      <w:r>
        <w:rPr>
          <w:i/>
          <w:spacing w:val="-2"/>
          <w:sz w:val="20"/>
        </w:rPr>
        <w:t>Claims</w:t>
      </w:r>
    </w:p>
    <w:p>
      <w:pPr>
        <w:pStyle w:val="ListParagraph"/>
        <w:numPr>
          <w:ilvl w:val="0"/>
          <w:numId w:val="5"/>
        </w:numPr>
        <w:tabs>
          <w:tab w:val="left" w:pos="944"/>
        </w:tabs>
        <w:spacing w:before="80" w:after="0" w:line="280" w:lineRule="auto"/>
        <w:ind w:left="944" w:right="1100" w:hanging="360"/>
        <w:jc w:val="left"/>
        <w:rPr>
          <w:sz w:val="20"/>
        </w:rPr>
      </w:pPr>
      <w:r>
        <w:rPr>
          <w:sz w:val="20"/>
        </w:rPr>
        <w:t>ASOP</w:t>
      </w:r>
      <w:r>
        <w:rPr>
          <w:spacing w:val="-5"/>
          <w:sz w:val="20"/>
        </w:rPr>
        <w:t xml:space="preserve"> </w:t>
      </w:r>
      <w:r>
        <w:rPr>
          <w:sz w:val="20"/>
        </w:rPr>
        <w:t>No.</w:t>
      </w:r>
      <w:r>
        <w:rPr>
          <w:spacing w:val="-4"/>
          <w:sz w:val="20"/>
        </w:rPr>
        <w:t xml:space="preserve"> </w:t>
      </w:r>
      <w:r>
        <w:rPr>
          <w:sz w:val="20"/>
        </w:rPr>
        <w:t>8,</w:t>
      </w:r>
      <w:r>
        <w:rPr>
          <w:spacing w:val="-3"/>
          <w:sz w:val="20"/>
        </w:rPr>
        <w:t xml:space="preserve"> </w:t>
      </w:r>
      <w:r>
        <w:rPr>
          <w:i/>
          <w:sz w:val="20"/>
        </w:rPr>
        <w:t>Regulatory</w:t>
      </w:r>
      <w:r>
        <w:rPr>
          <w:i/>
          <w:spacing w:val="-4"/>
          <w:sz w:val="20"/>
        </w:rPr>
        <w:t xml:space="preserve"> </w:t>
      </w:r>
      <w:r>
        <w:rPr>
          <w:i/>
          <w:sz w:val="20"/>
        </w:rPr>
        <w:t>Filings</w:t>
      </w:r>
      <w:r>
        <w:rPr>
          <w:i/>
          <w:spacing w:val="-5"/>
          <w:sz w:val="20"/>
        </w:rPr>
        <w:t xml:space="preserve"> </w:t>
      </w:r>
      <w:r>
        <w:rPr>
          <w:i/>
          <w:sz w:val="20"/>
        </w:rPr>
        <w:t>for</w:t>
      </w:r>
      <w:r>
        <w:rPr>
          <w:i/>
          <w:spacing w:val="-2"/>
          <w:sz w:val="20"/>
        </w:rPr>
        <w:t xml:space="preserve"> </w:t>
      </w:r>
      <w:r>
        <w:rPr>
          <w:i/>
          <w:sz w:val="20"/>
        </w:rPr>
        <w:t>Health</w:t>
      </w:r>
      <w:r>
        <w:rPr>
          <w:i/>
          <w:spacing w:val="-4"/>
          <w:sz w:val="20"/>
        </w:rPr>
        <w:t xml:space="preserve"> </w:t>
      </w:r>
      <w:r>
        <w:rPr>
          <w:i/>
          <w:sz w:val="20"/>
        </w:rPr>
        <w:t>Benefits,</w:t>
      </w:r>
      <w:r>
        <w:rPr>
          <w:i/>
          <w:spacing w:val="-4"/>
          <w:sz w:val="20"/>
        </w:rPr>
        <w:t xml:space="preserve"> </w:t>
      </w:r>
      <w:r>
        <w:rPr>
          <w:i/>
          <w:sz w:val="20"/>
        </w:rPr>
        <w:t>Accident</w:t>
      </w:r>
      <w:r>
        <w:rPr>
          <w:i/>
          <w:spacing w:val="-5"/>
          <w:sz w:val="20"/>
        </w:rPr>
        <w:t xml:space="preserve"> </w:t>
      </w:r>
      <w:r>
        <w:rPr>
          <w:i/>
          <w:sz w:val="20"/>
        </w:rPr>
        <w:t>and</w:t>
      </w:r>
      <w:r>
        <w:rPr>
          <w:i/>
          <w:spacing w:val="-3"/>
          <w:sz w:val="20"/>
        </w:rPr>
        <w:t xml:space="preserve"> </w:t>
      </w:r>
      <w:r>
        <w:rPr>
          <w:i/>
          <w:sz w:val="20"/>
        </w:rPr>
        <w:t>Health</w:t>
      </w:r>
      <w:r>
        <w:rPr>
          <w:i/>
          <w:spacing w:val="-4"/>
          <w:sz w:val="20"/>
        </w:rPr>
        <w:t xml:space="preserve"> </w:t>
      </w:r>
      <w:r>
        <w:rPr>
          <w:i/>
          <w:sz w:val="20"/>
        </w:rPr>
        <w:t>Insurance,</w:t>
      </w:r>
      <w:r>
        <w:rPr>
          <w:i/>
          <w:spacing w:val="-4"/>
          <w:sz w:val="20"/>
        </w:rPr>
        <w:t xml:space="preserve"> </w:t>
      </w:r>
      <w:r>
        <w:rPr>
          <w:i/>
          <w:sz w:val="20"/>
        </w:rPr>
        <w:t>and</w:t>
      </w:r>
      <w:r>
        <w:rPr>
          <w:i/>
          <w:spacing w:val="-5"/>
          <w:sz w:val="20"/>
        </w:rPr>
        <w:t xml:space="preserve"> </w:t>
      </w:r>
      <w:r>
        <w:rPr>
          <w:i/>
          <w:sz w:val="20"/>
        </w:rPr>
        <w:t>Entities</w:t>
      </w:r>
      <w:r>
        <w:rPr>
          <w:i/>
          <w:sz w:val="20"/>
        </w:rPr>
        <w:t xml:space="preserve"> Providing Health Benefits (Revised)</w:t>
      </w:r>
    </w:p>
    <w:p>
      <w:pPr>
        <w:pStyle w:val="ListParagraph"/>
        <w:numPr>
          <w:ilvl w:val="0"/>
          <w:numId w:val="5"/>
        </w:numPr>
        <w:tabs>
          <w:tab w:val="left" w:pos="944"/>
        </w:tabs>
        <w:spacing w:before="40" w:after="0" w:line="240" w:lineRule="auto"/>
        <w:ind w:left="944" w:right="0" w:hanging="360"/>
        <w:jc w:val="left"/>
        <w:rPr>
          <w:sz w:val="20"/>
        </w:rPr>
      </w:pPr>
      <w:r>
        <w:rPr>
          <w:sz w:val="20"/>
        </w:rPr>
        <w:t>ASOP</w:t>
      </w:r>
      <w:r>
        <w:rPr>
          <w:spacing w:val="-4"/>
          <w:sz w:val="20"/>
        </w:rPr>
        <w:t xml:space="preserve"> </w:t>
      </w:r>
      <w:r>
        <w:rPr>
          <w:sz w:val="20"/>
        </w:rPr>
        <w:t>No.</w:t>
      </w:r>
      <w:r>
        <w:rPr>
          <w:spacing w:val="-3"/>
          <w:sz w:val="20"/>
        </w:rPr>
        <w:t xml:space="preserve"> </w:t>
      </w:r>
      <w:r>
        <w:rPr>
          <w:sz w:val="20"/>
        </w:rPr>
        <w:t>23,</w:t>
      </w:r>
      <w:r>
        <w:rPr>
          <w:spacing w:val="-1"/>
          <w:sz w:val="20"/>
        </w:rPr>
        <w:t xml:space="preserve"> </w:t>
      </w:r>
      <w:r>
        <w:rPr>
          <w:i/>
          <w:sz w:val="20"/>
        </w:rPr>
        <w:t>Data</w:t>
      </w:r>
      <w:r>
        <w:rPr>
          <w:i/>
          <w:spacing w:val="-2"/>
          <w:sz w:val="20"/>
        </w:rPr>
        <w:t xml:space="preserve"> Quality</w:t>
      </w:r>
    </w:p>
    <w:p>
      <w:pPr>
        <w:pStyle w:val="ListParagraph"/>
        <w:numPr>
          <w:ilvl w:val="0"/>
          <w:numId w:val="5"/>
        </w:numPr>
        <w:tabs>
          <w:tab w:val="left" w:pos="944"/>
        </w:tabs>
        <w:spacing w:before="82" w:after="0" w:line="240" w:lineRule="auto"/>
        <w:ind w:left="944" w:right="0" w:hanging="360"/>
        <w:jc w:val="left"/>
        <w:rPr>
          <w:sz w:val="20"/>
        </w:rPr>
      </w:pPr>
      <w:r>
        <w:rPr>
          <w:sz w:val="20"/>
        </w:rPr>
        <w:t>ASOP</w:t>
      </w:r>
      <w:r>
        <w:rPr>
          <w:spacing w:val="-6"/>
          <w:sz w:val="20"/>
        </w:rPr>
        <w:t xml:space="preserve"> </w:t>
      </w:r>
      <w:r>
        <w:rPr>
          <w:sz w:val="20"/>
        </w:rPr>
        <w:t>No.</w:t>
      </w:r>
      <w:r>
        <w:rPr>
          <w:spacing w:val="-5"/>
          <w:sz w:val="20"/>
        </w:rPr>
        <w:t xml:space="preserve"> </w:t>
      </w:r>
      <w:r>
        <w:rPr>
          <w:sz w:val="20"/>
        </w:rPr>
        <w:t>25,</w:t>
      </w:r>
      <w:r>
        <w:rPr>
          <w:spacing w:val="-3"/>
          <w:sz w:val="20"/>
        </w:rPr>
        <w:t xml:space="preserve"> </w:t>
      </w:r>
      <w:r>
        <w:rPr>
          <w:i/>
          <w:sz w:val="20"/>
        </w:rPr>
        <w:t>Credibility</w:t>
      </w:r>
      <w:r>
        <w:rPr>
          <w:i/>
          <w:spacing w:val="-5"/>
          <w:sz w:val="20"/>
        </w:rPr>
        <w:t xml:space="preserve"> </w:t>
      </w:r>
      <w:r>
        <w:rPr>
          <w:i/>
          <w:spacing w:val="-2"/>
          <w:sz w:val="20"/>
        </w:rPr>
        <w:t>Procedures</w:t>
      </w:r>
    </w:p>
    <w:p>
      <w:pPr>
        <w:pStyle w:val="ListParagraph"/>
        <w:numPr>
          <w:ilvl w:val="0"/>
          <w:numId w:val="5"/>
        </w:numPr>
        <w:tabs>
          <w:tab w:val="left" w:pos="944"/>
        </w:tabs>
        <w:spacing w:before="80" w:after="0" w:line="240" w:lineRule="auto"/>
        <w:ind w:left="944" w:right="0" w:hanging="360"/>
        <w:jc w:val="left"/>
        <w:rPr>
          <w:sz w:val="20"/>
        </w:rPr>
      </w:pPr>
      <w:r>
        <w:rPr>
          <w:sz w:val="20"/>
        </w:rPr>
        <w:t>ASOP</w:t>
      </w:r>
      <w:r>
        <w:rPr>
          <w:spacing w:val="-5"/>
          <w:sz w:val="20"/>
        </w:rPr>
        <w:t xml:space="preserve"> </w:t>
      </w:r>
      <w:r>
        <w:rPr>
          <w:sz w:val="20"/>
        </w:rPr>
        <w:t>No.</w:t>
      </w:r>
      <w:r>
        <w:rPr>
          <w:spacing w:val="-4"/>
          <w:sz w:val="20"/>
        </w:rPr>
        <w:t xml:space="preserve"> </w:t>
      </w:r>
      <w:r>
        <w:rPr>
          <w:sz w:val="20"/>
        </w:rPr>
        <w:t>41,</w:t>
      </w:r>
      <w:r>
        <w:rPr>
          <w:spacing w:val="-2"/>
          <w:sz w:val="20"/>
        </w:rPr>
        <w:t xml:space="preserve"> </w:t>
      </w:r>
      <w:r>
        <w:rPr>
          <w:i/>
          <w:sz w:val="20"/>
        </w:rPr>
        <w:t>Actuarial</w:t>
      </w:r>
      <w:r>
        <w:rPr>
          <w:i/>
          <w:spacing w:val="-5"/>
          <w:sz w:val="20"/>
        </w:rPr>
        <w:t xml:space="preserve"> </w:t>
      </w:r>
      <w:r>
        <w:rPr>
          <w:i/>
          <w:spacing w:val="-2"/>
          <w:sz w:val="20"/>
        </w:rPr>
        <w:t>Communications</w:t>
      </w:r>
    </w:p>
    <w:p>
      <w:pPr>
        <w:pStyle w:val="ListParagraph"/>
        <w:numPr>
          <w:ilvl w:val="0"/>
          <w:numId w:val="5"/>
        </w:numPr>
        <w:tabs>
          <w:tab w:val="left" w:pos="944"/>
        </w:tabs>
        <w:spacing w:before="42" w:after="0" w:line="240" w:lineRule="auto"/>
        <w:ind w:left="944" w:right="0" w:hanging="360"/>
        <w:jc w:val="left"/>
        <w:rPr>
          <w:sz w:val="24"/>
        </w:rPr>
      </w:pPr>
      <w:r>
        <w:rPr>
          <w:sz w:val="20"/>
        </w:rPr>
        <w:t>ASOP</w:t>
      </w:r>
      <w:r>
        <w:rPr>
          <w:spacing w:val="-6"/>
          <w:sz w:val="20"/>
        </w:rPr>
        <w:t xml:space="preserve"> </w:t>
      </w:r>
      <w:r>
        <w:rPr>
          <w:sz w:val="20"/>
        </w:rPr>
        <w:t>No.</w:t>
      </w:r>
      <w:r>
        <w:rPr>
          <w:spacing w:val="-4"/>
          <w:sz w:val="20"/>
        </w:rPr>
        <w:t xml:space="preserve"> </w:t>
      </w:r>
      <w:r>
        <w:rPr>
          <w:sz w:val="20"/>
        </w:rPr>
        <w:t>45,</w:t>
      </w:r>
      <w:r>
        <w:rPr>
          <w:spacing w:val="-3"/>
          <w:sz w:val="20"/>
        </w:rPr>
        <w:t xml:space="preserve"> </w:t>
      </w:r>
      <w:r>
        <w:rPr>
          <w:i/>
          <w:sz w:val="20"/>
        </w:rPr>
        <w:t>The</w:t>
      </w:r>
      <w:r>
        <w:rPr>
          <w:i/>
          <w:spacing w:val="-4"/>
          <w:sz w:val="20"/>
        </w:rPr>
        <w:t xml:space="preserve"> </w:t>
      </w:r>
      <w:r>
        <w:rPr>
          <w:i/>
          <w:sz w:val="20"/>
        </w:rPr>
        <w:t>Use</w:t>
      </w:r>
      <w:r>
        <w:rPr>
          <w:i/>
          <w:spacing w:val="-5"/>
          <w:sz w:val="20"/>
        </w:rPr>
        <w:t xml:space="preserve"> </w:t>
      </w:r>
      <w:r>
        <w:rPr>
          <w:i/>
          <w:sz w:val="20"/>
        </w:rPr>
        <w:t>of</w:t>
      </w:r>
      <w:r>
        <w:rPr>
          <w:i/>
          <w:spacing w:val="-5"/>
          <w:sz w:val="20"/>
        </w:rPr>
        <w:t xml:space="preserve"> </w:t>
      </w:r>
      <w:r>
        <w:rPr>
          <w:i/>
          <w:sz w:val="20"/>
        </w:rPr>
        <w:t>Health</w:t>
      </w:r>
      <w:r>
        <w:rPr>
          <w:i/>
          <w:spacing w:val="-4"/>
          <w:sz w:val="20"/>
        </w:rPr>
        <w:t xml:space="preserve"> </w:t>
      </w:r>
      <w:r>
        <w:rPr>
          <w:i/>
          <w:sz w:val="20"/>
        </w:rPr>
        <w:t>Status</w:t>
      </w:r>
      <w:r>
        <w:rPr>
          <w:i/>
          <w:spacing w:val="-5"/>
          <w:sz w:val="20"/>
        </w:rPr>
        <w:t xml:space="preserve"> </w:t>
      </w:r>
      <w:r>
        <w:rPr>
          <w:i/>
          <w:sz w:val="20"/>
        </w:rPr>
        <w:t>Based</w:t>
      </w:r>
      <w:r>
        <w:rPr>
          <w:i/>
          <w:spacing w:val="-3"/>
          <w:sz w:val="20"/>
        </w:rPr>
        <w:t xml:space="preserve"> </w:t>
      </w:r>
      <w:r>
        <w:rPr>
          <w:i/>
          <w:sz w:val="20"/>
        </w:rPr>
        <w:t>Risk</w:t>
      </w:r>
      <w:r>
        <w:rPr>
          <w:i/>
          <w:spacing w:val="-4"/>
          <w:sz w:val="20"/>
        </w:rPr>
        <w:t xml:space="preserve"> </w:t>
      </w:r>
      <w:r>
        <w:rPr>
          <w:i/>
          <w:sz w:val="20"/>
        </w:rPr>
        <w:t>Adjustment</w:t>
      </w:r>
      <w:r>
        <w:rPr>
          <w:i/>
          <w:spacing w:val="-5"/>
          <w:sz w:val="20"/>
        </w:rPr>
        <w:t xml:space="preserve"> </w:t>
      </w:r>
      <w:r>
        <w:rPr>
          <w:i/>
          <w:spacing w:val="-2"/>
          <w:sz w:val="20"/>
        </w:rPr>
        <w:t>Methodologies</w:t>
      </w:r>
    </w:p>
    <w:p>
      <w:pPr>
        <w:spacing w:after="0" w:line="240" w:lineRule="auto"/>
        <w:jc w:val="left"/>
        <w:rPr>
          <w:sz w:val="24"/>
        </w:rPr>
        <w:sectPr>
          <w:pgSz w:w="12240" w:h="15840"/>
          <w:pgMar w:top="1340" w:right="1000" w:bottom="940" w:left="1360" w:header="727" w:footer="747"/>
          <w:cols w:space="720"/>
        </w:sectPr>
      </w:pPr>
    </w:p>
    <w:p>
      <w:pPr>
        <w:pStyle w:val="BodyText"/>
        <w:spacing w:before="4"/>
        <w:ind w:left="0"/>
        <w:rPr>
          <w:i/>
          <w:sz w:val="28"/>
        </w:rPr>
      </w:pPr>
    </w:p>
    <w:p>
      <w:pPr>
        <w:pStyle w:val="Heading1"/>
        <w:tabs>
          <w:tab w:val="left" w:pos="9470"/>
        </w:tabs>
        <w:spacing w:before="1"/>
        <w:rPr>
          <w:u w:val="none"/>
        </w:rPr>
      </w:pPr>
      <w:bookmarkStart w:id="278" w:name="Appendix B – Supporting Documentation"/>
      <w:bookmarkEnd w:id="278"/>
      <w:bookmarkStart w:id="279" w:name="_bookmark81"/>
      <w:bookmarkEnd w:id="279"/>
      <w:r>
        <w:rPr>
          <w:spacing w:val="-52"/>
          <w:u w:val="single"/>
        </w:rPr>
        <w:t xml:space="preserve"> </w:t>
      </w:r>
      <w:r>
        <w:rPr>
          <w:u w:val="single"/>
        </w:rPr>
        <w:t>APPENDIX</w:t>
      </w:r>
      <w:r>
        <w:rPr>
          <w:spacing w:val="-8"/>
          <w:u w:val="single"/>
        </w:rPr>
        <w:t xml:space="preserve"> </w:t>
      </w:r>
      <w:r>
        <w:rPr>
          <w:u w:val="single"/>
        </w:rPr>
        <w:t>B</w:t>
      </w:r>
      <w:r>
        <w:rPr>
          <w:spacing w:val="-4"/>
          <w:u w:val="single"/>
        </w:rPr>
        <w:t xml:space="preserve"> </w:t>
      </w:r>
      <w:r>
        <w:rPr>
          <w:u w:val="single"/>
        </w:rPr>
        <w:t>–</w:t>
      </w:r>
      <w:r>
        <w:rPr>
          <w:spacing w:val="-3"/>
          <w:u w:val="single"/>
        </w:rPr>
        <w:t xml:space="preserve"> </w:t>
      </w:r>
      <w:r>
        <w:rPr>
          <w:u w:val="single"/>
        </w:rPr>
        <w:t>SUPPORTING</w:t>
      </w:r>
      <w:r>
        <w:rPr>
          <w:spacing w:val="-4"/>
          <w:u w:val="single"/>
        </w:rPr>
        <w:t xml:space="preserve"> </w:t>
      </w:r>
      <w:r>
        <w:rPr>
          <w:spacing w:val="-2"/>
          <w:u w:val="single"/>
        </w:rPr>
        <w:t>DOCUMENTATION</w:t>
      </w:r>
      <w:r>
        <w:rPr>
          <w:u w:val="single"/>
        </w:rPr>
        <w:tab/>
      </w:r>
    </w:p>
    <w:p>
      <w:pPr>
        <w:pStyle w:val="BodyText"/>
        <w:spacing w:before="110"/>
        <w:ind w:left="0"/>
        <w:rPr>
          <w:rFonts w:ascii="Arial"/>
          <w:b/>
          <w:sz w:val="21"/>
        </w:rPr>
      </w:pPr>
    </w:p>
    <w:p>
      <w:pPr>
        <w:pStyle w:val="Heading2"/>
        <w:ind w:left="224"/>
      </w:pPr>
      <w:bookmarkStart w:id="280" w:name="_bookmark82"/>
      <w:bookmarkEnd w:id="280"/>
      <w:r>
        <w:rPr>
          <w:smallCaps/>
          <w:spacing w:val="-2"/>
        </w:rPr>
        <w:t>General</w:t>
      </w:r>
    </w:p>
    <w:p>
      <w:pPr>
        <w:pStyle w:val="BodyText"/>
        <w:spacing w:before="179"/>
        <w:ind w:left="224" w:right="478"/>
      </w:pPr>
      <w:r>
        <w:t>In</w:t>
      </w:r>
      <w:r>
        <w:rPr>
          <w:spacing w:val="-1"/>
        </w:rPr>
        <w:t xml:space="preserve"> </w:t>
      </w:r>
      <w:r>
        <w:t>addition</w:t>
      </w:r>
      <w:r>
        <w:rPr>
          <w:spacing w:val="-3"/>
        </w:rPr>
        <w:t xml:space="preserve"> </w:t>
      </w:r>
      <w:r>
        <w:t>to</w:t>
      </w:r>
      <w:r>
        <w:rPr>
          <w:spacing w:val="-3"/>
        </w:rPr>
        <w:t xml:space="preserve"> </w:t>
      </w:r>
      <w:r>
        <w:t>the</w:t>
      </w:r>
      <w:r>
        <w:rPr>
          <w:spacing w:val="-3"/>
        </w:rPr>
        <w:t xml:space="preserve"> </w:t>
      </w:r>
      <w:r>
        <w:t>BPT</w:t>
      </w:r>
      <w:r>
        <w:rPr>
          <w:spacing w:val="-3"/>
        </w:rPr>
        <w:t xml:space="preserve"> </w:t>
      </w:r>
      <w:r>
        <w:t>and</w:t>
      </w:r>
      <w:r>
        <w:rPr>
          <w:spacing w:val="-3"/>
        </w:rPr>
        <w:t xml:space="preserve"> </w:t>
      </w:r>
      <w:r>
        <w:t>actuarial</w:t>
      </w:r>
      <w:r>
        <w:rPr>
          <w:spacing w:val="-1"/>
        </w:rPr>
        <w:t xml:space="preserve"> </w:t>
      </w:r>
      <w:r>
        <w:t>certification,</w:t>
      </w:r>
      <w:r>
        <w:rPr>
          <w:spacing w:val="-2"/>
        </w:rPr>
        <w:t xml:space="preserve"> </w:t>
      </w:r>
      <w:r>
        <w:t>Part</w:t>
      </w:r>
      <w:r>
        <w:rPr>
          <w:spacing w:val="-3"/>
        </w:rPr>
        <w:t xml:space="preserve"> </w:t>
      </w:r>
      <w:r>
        <w:t>D</w:t>
      </w:r>
      <w:r>
        <w:rPr>
          <w:spacing w:val="-4"/>
        </w:rPr>
        <w:t xml:space="preserve"> </w:t>
      </w:r>
      <w:r>
        <w:t>sponsors</w:t>
      </w:r>
      <w:r>
        <w:rPr>
          <w:spacing w:val="-4"/>
        </w:rPr>
        <w:t xml:space="preserve"> </w:t>
      </w:r>
      <w:r>
        <w:t>must</w:t>
      </w:r>
      <w:r>
        <w:rPr>
          <w:spacing w:val="-3"/>
        </w:rPr>
        <w:t xml:space="preserve"> </w:t>
      </w:r>
      <w:r>
        <w:t>provide</w:t>
      </w:r>
      <w:r>
        <w:rPr>
          <w:spacing w:val="-3"/>
        </w:rPr>
        <w:t xml:space="preserve"> </w:t>
      </w:r>
      <w:r>
        <w:t>CMS</w:t>
      </w:r>
      <w:r>
        <w:rPr>
          <w:spacing w:val="-2"/>
        </w:rPr>
        <w:t xml:space="preserve"> </w:t>
      </w:r>
      <w:r>
        <w:t>with supporting documentation for every bid, as described in these Instructions.</w:t>
      </w:r>
    </w:p>
    <w:p>
      <w:pPr>
        <w:pStyle w:val="BodyText"/>
        <w:ind w:left="224" w:right="478"/>
      </w:pPr>
      <w:r>
        <w:t>Unless otherwise noted, Part D sponsors must upload to HPMS all required supporting documentation at the time of the initial June bid submission. Additional supporting documentation</w:t>
      </w:r>
      <w:r>
        <w:rPr>
          <w:spacing w:val="-4"/>
        </w:rPr>
        <w:t xml:space="preserve"> </w:t>
      </w:r>
      <w:r>
        <w:t>must</w:t>
      </w:r>
      <w:r>
        <w:rPr>
          <w:spacing w:val="-4"/>
        </w:rPr>
        <w:t xml:space="preserve"> </w:t>
      </w:r>
      <w:r>
        <w:t>be</w:t>
      </w:r>
      <w:r>
        <w:rPr>
          <w:spacing w:val="-4"/>
        </w:rPr>
        <w:t xml:space="preserve"> </w:t>
      </w:r>
      <w:r>
        <w:t>made</w:t>
      </w:r>
      <w:r>
        <w:rPr>
          <w:spacing w:val="-5"/>
        </w:rPr>
        <w:t xml:space="preserve"> </w:t>
      </w:r>
      <w:r>
        <w:t>available</w:t>
      </w:r>
      <w:r>
        <w:rPr>
          <w:spacing w:val="-4"/>
        </w:rPr>
        <w:t xml:space="preserve"> </w:t>
      </w:r>
      <w:r>
        <w:t>to</w:t>
      </w:r>
      <w:r>
        <w:rPr>
          <w:spacing w:val="-4"/>
        </w:rPr>
        <w:t xml:space="preserve"> </w:t>
      </w:r>
      <w:r>
        <w:t>CMS</w:t>
      </w:r>
      <w:r>
        <w:rPr>
          <w:spacing w:val="-1"/>
        </w:rPr>
        <w:t xml:space="preserve"> </w:t>
      </w:r>
      <w:r>
        <w:t>auditors</w:t>
      </w:r>
      <w:r>
        <w:rPr>
          <w:spacing w:val="-4"/>
        </w:rPr>
        <w:t xml:space="preserve"> </w:t>
      </w:r>
      <w:r>
        <w:t>and</w:t>
      </w:r>
      <w:r>
        <w:rPr>
          <w:spacing w:val="-3"/>
        </w:rPr>
        <w:t xml:space="preserve"> </w:t>
      </w:r>
      <w:r>
        <w:t>reviewers</w:t>
      </w:r>
      <w:r>
        <w:rPr>
          <w:spacing w:val="-4"/>
        </w:rPr>
        <w:t xml:space="preserve"> </w:t>
      </w:r>
      <w:r>
        <w:t>upon</w:t>
      </w:r>
      <w:r>
        <w:rPr>
          <w:spacing w:val="-4"/>
        </w:rPr>
        <w:t xml:space="preserve"> </w:t>
      </w:r>
      <w:r>
        <w:t>request,</w:t>
      </w:r>
      <w:r>
        <w:rPr>
          <w:spacing w:val="-4"/>
        </w:rPr>
        <w:t xml:space="preserve"> </w:t>
      </w:r>
      <w:r>
        <w:t>and</w:t>
      </w:r>
      <w:r>
        <w:rPr>
          <w:spacing w:val="-2"/>
        </w:rPr>
        <w:t xml:space="preserve"> </w:t>
      </w:r>
      <w:r>
        <w:t>for CMS reviewers, within 48 hours of the request, as required by these Instructions. Part D sponsors must upload supporting documentation consistent with the final certified bid.</w:t>
      </w:r>
    </w:p>
    <w:p>
      <w:pPr>
        <w:pStyle w:val="BodyText"/>
        <w:spacing w:before="119"/>
        <w:ind w:left="224" w:right="478"/>
      </w:pPr>
      <w:r>
        <w:t>Additional</w:t>
      </w:r>
      <w:r>
        <w:rPr>
          <w:spacing w:val="-3"/>
        </w:rPr>
        <w:t xml:space="preserve"> </w:t>
      </w:r>
      <w:r>
        <w:t>information</w:t>
      </w:r>
      <w:r>
        <w:rPr>
          <w:spacing w:val="-4"/>
        </w:rPr>
        <w:t xml:space="preserve"> </w:t>
      </w:r>
      <w:r>
        <w:t>not</w:t>
      </w:r>
      <w:r>
        <w:rPr>
          <w:spacing w:val="-3"/>
        </w:rPr>
        <w:t xml:space="preserve"> </w:t>
      </w:r>
      <w:r>
        <w:t>listed</w:t>
      </w:r>
      <w:r>
        <w:rPr>
          <w:spacing w:val="-4"/>
        </w:rPr>
        <w:t xml:space="preserve"> </w:t>
      </w:r>
      <w:r>
        <w:t>by</w:t>
      </w:r>
      <w:r>
        <w:rPr>
          <w:spacing w:val="-3"/>
        </w:rPr>
        <w:t xml:space="preserve"> </w:t>
      </w:r>
      <w:r>
        <w:t>number</w:t>
      </w:r>
      <w:r>
        <w:rPr>
          <w:spacing w:val="-4"/>
        </w:rPr>
        <w:t xml:space="preserve"> </w:t>
      </w:r>
      <w:r>
        <w:t>in</w:t>
      </w:r>
      <w:r>
        <w:rPr>
          <w:spacing w:val="-3"/>
        </w:rPr>
        <w:t xml:space="preserve"> </w:t>
      </w:r>
      <w:r>
        <w:t>this</w:t>
      </w:r>
      <w:r>
        <w:rPr>
          <w:spacing w:val="-4"/>
        </w:rPr>
        <w:t xml:space="preserve"> </w:t>
      </w:r>
      <w:r>
        <w:t>appendix</w:t>
      </w:r>
      <w:r>
        <w:rPr>
          <w:spacing w:val="-3"/>
        </w:rPr>
        <w:t xml:space="preserve"> </w:t>
      </w:r>
      <w:r>
        <w:t>may</w:t>
      </w:r>
      <w:r>
        <w:rPr>
          <w:spacing w:val="-4"/>
        </w:rPr>
        <w:t xml:space="preserve"> </w:t>
      </w:r>
      <w:r>
        <w:t>be</w:t>
      </w:r>
      <w:r>
        <w:rPr>
          <w:spacing w:val="-4"/>
        </w:rPr>
        <w:t xml:space="preserve"> </w:t>
      </w:r>
      <w:r>
        <w:t>requested</w:t>
      </w:r>
      <w:r>
        <w:rPr>
          <w:spacing w:val="-3"/>
        </w:rPr>
        <w:t xml:space="preserve"> </w:t>
      </w:r>
      <w:r>
        <w:t>by</w:t>
      </w:r>
      <w:r>
        <w:rPr>
          <w:spacing w:val="-4"/>
        </w:rPr>
        <w:t xml:space="preserve"> </w:t>
      </w:r>
      <w:r>
        <w:t>CMS reviewers and auditors at any point during bid desk review or a CMS audit.</w:t>
      </w:r>
    </w:p>
    <w:p>
      <w:pPr>
        <w:pStyle w:val="BodyText"/>
        <w:ind w:left="224" w:right="454"/>
      </w:pPr>
      <w:r>
        <w:t>Supporting documentation requirements apply regardless of the source of the assumption, whether it was developed by the actuary, the Part D sponsor or a third party. If the actuary relied upon others for certain bid data and/or assumptions, those individuals are subject to the same</w:t>
      </w:r>
      <w:r>
        <w:rPr>
          <w:spacing w:val="-3"/>
        </w:rPr>
        <w:t xml:space="preserve"> </w:t>
      </w:r>
      <w:r>
        <w:t>documentation</w:t>
      </w:r>
      <w:r>
        <w:rPr>
          <w:spacing w:val="-3"/>
        </w:rPr>
        <w:t xml:space="preserve"> </w:t>
      </w:r>
      <w:r>
        <w:t>requirements.</w:t>
      </w:r>
      <w:r>
        <w:rPr>
          <w:spacing w:val="-3"/>
        </w:rPr>
        <w:t xml:space="preserve"> </w:t>
      </w:r>
      <w:r>
        <w:t>The</w:t>
      </w:r>
      <w:r>
        <w:rPr>
          <w:spacing w:val="-5"/>
        </w:rPr>
        <w:t xml:space="preserve"> </w:t>
      </w:r>
      <w:r>
        <w:t>actuary</w:t>
      </w:r>
      <w:r>
        <w:rPr>
          <w:spacing w:val="-3"/>
        </w:rPr>
        <w:t xml:space="preserve"> </w:t>
      </w:r>
      <w:r>
        <w:t>must</w:t>
      </w:r>
      <w:r>
        <w:rPr>
          <w:spacing w:val="-3"/>
        </w:rPr>
        <w:t xml:space="preserve"> </w:t>
      </w:r>
      <w:r>
        <w:t>provide</w:t>
      </w:r>
      <w:r>
        <w:rPr>
          <w:spacing w:val="-5"/>
        </w:rPr>
        <w:t xml:space="preserve"> </w:t>
      </w:r>
      <w:r>
        <w:t>all</w:t>
      </w:r>
      <w:r>
        <w:rPr>
          <w:spacing w:val="-3"/>
        </w:rPr>
        <w:t xml:space="preserve"> </w:t>
      </w:r>
      <w:r>
        <w:t>substantiation</w:t>
      </w:r>
      <w:r>
        <w:rPr>
          <w:spacing w:val="-3"/>
        </w:rPr>
        <w:t xml:space="preserve"> </w:t>
      </w:r>
      <w:r>
        <w:t>pertaining</w:t>
      </w:r>
      <w:r>
        <w:rPr>
          <w:spacing w:val="-3"/>
        </w:rPr>
        <w:t xml:space="preserve"> </w:t>
      </w:r>
      <w:r>
        <w:t>to</w:t>
      </w:r>
      <w:r>
        <w:rPr>
          <w:spacing w:val="-3"/>
        </w:rPr>
        <w:t xml:space="preserve"> </w:t>
      </w:r>
      <w:r>
        <w:t>the bid as required in this appendix, even if it was prepared by others or is based on reliance.</w:t>
      </w:r>
    </w:p>
    <w:p>
      <w:pPr>
        <w:pStyle w:val="BodyText"/>
        <w:ind w:left="224" w:right="478"/>
      </w:pPr>
      <w:r>
        <w:t xml:space="preserve">In preparing supporting documentation, the actuary must consider ASOP No. 41, </w:t>
      </w:r>
      <w:r>
        <w:rPr>
          <w:i/>
        </w:rPr>
        <w:t>Actuarial</w:t>
      </w:r>
      <w:r>
        <w:rPr>
          <w:i/>
        </w:rPr>
        <w:t xml:space="preserve"> Communications</w:t>
      </w:r>
      <w:r>
        <w:t>. In accordance with Section 3.2, “Actuarial Report,” the materials provided must</w:t>
      </w:r>
      <w:r>
        <w:rPr>
          <w:spacing w:val="-2"/>
        </w:rPr>
        <w:t xml:space="preserve"> </w:t>
      </w:r>
      <w:r>
        <w:t>be</w:t>
      </w:r>
      <w:r>
        <w:rPr>
          <w:spacing w:val="-4"/>
        </w:rPr>
        <w:t xml:space="preserve"> </w:t>
      </w:r>
      <w:r>
        <w:t>written</w:t>
      </w:r>
      <w:r>
        <w:rPr>
          <w:spacing w:val="-3"/>
        </w:rPr>
        <w:t xml:space="preserve"> </w:t>
      </w:r>
      <w:r>
        <w:t>“with</w:t>
      </w:r>
      <w:r>
        <w:rPr>
          <w:spacing w:val="-3"/>
        </w:rPr>
        <w:t xml:space="preserve"> </w:t>
      </w:r>
      <w:r>
        <w:t>sufficient</w:t>
      </w:r>
      <w:r>
        <w:rPr>
          <w:spacing w:val="-3"/>
        </w:rPr>
        <w:t xml:space="preserve"> </w:t>
      </w:r>
      <w:r>
        <w:t>clarity</w:t>
      </w:r>
      <w:r>
        <w:rPr>
          <w:spacing w:val="-3"/>
        </w:rPr>
        <w:t xml:space="preserve"> </w:t>
      </w:r>
      <w:r>
        <w:t>that</w:t>
      </w:r>
      <w:r>
        <w:rPr>
          <w:spacing w:val="-3"/>
        </w:rPr>
        <w:t xml:space="preserve"> </w:t>
      </w:r>
      <w:r>
        <w:t>another</w:t>
      </w:r>
      <w:r>
        <w:rPr>
          <w:spacing w:val="-3"/>
        </w:rPr>
        <w:t xml:space="preserve"> </w:t>
      </w:r>
      <w:r>
        <w:t>actuary</w:t>
      </w:r>
      <w:r>
        <w:rPr>
          <w:spacing w:val="-1"/>
        </w:rPr>
        <w:t xml:space="preserve"> </w:t>
      </w:r>
      <w:r>
        <w:t>qualified</w:t>
      </w:r>
      <w:r>
        <w:rPr>
          <w:spacing w:val="-3"/>
        </w:rPr>
        <w:t xml:space="preserve"> </w:t>
      </w:r>
      <w:r>
        <w:t>in</w:t>
      </w:r>
      <w:r>
        <w:rPr>
          <w:spacing w:val="-3"/>
        </w:rPr>
        <w:t xml:space="preserve"> </w:t>
      </w:r>
      <w:r>
        <w:t>the</w:t>
      </w:r>
      <w:r>
        <w:rPr>
          <w:spacing w:val="-2"/>
        </w:rPr>
        <w:t xml:space="preserve"> </w:t>
      </w:r>
      <w:r>
        <w:t>same</w:t>
      </w:r>
      <w:r>
        <w:rPr>
          <w:spacing w:val="-3"/>
        </w:rPr>
        <w:t xml:space="preserve"> </w:t>
      </w:r>
      <w:r>
        <w:t>practice</w:t>
      </w:r>
      <w:r>
        <w:rPr>
          <w:spacing w:val="-4"/>
        </w:rPr>
        <w:t xml:space="preserve"> </w:t>
      </w:r>
      <w:r>
        <w:t>area could make an objective appraisal of the reasonableness of the actuary’s work.”</w:t>
      </w:r>
    </w:p>
    <w:p>
      <w:pPr>
        <w:pStyle w:val="BodyText"/>
        <w:ind w:left="224" w:right="478"/>
      </w:pPr>
      <w:r>
        <w:t>All</w:t>
      </w:r>
      <w:r>
        <w:rPr>
          <w:spacing w:val="-2"/>
        </w:rPr>
        <w:t xml:space="preserve"> </w:t>
      </w:r>
      <w:r>
        <w:t>data</w:t>
      </w:r>
      <w:r>
        <w:rPr>
          <w:spacing w:val="-3"/>
        </w:rPr>
        <w:t xml:space="preserve"> </w:t>
      </w:r>
      <w:r>
        <w:t>submitted</w:t>
      </w:r>
      <w:r>
        <w:rPr>
          <w:spacing w:val="-2"/>
        </w:rPr>
        <w:t xml:space="preserve"> </w:t>
      </w:r>
      <w:r>
        <w:t>as</w:t>
      </w:r>
      <w:r>
        <w:rPr>
          <w:spacing w:val="-2"/>
        </w:rPr>
        <w:t xml:space="preserve"> </w:t>
      </w:r>
      <w:r>
        <w:t>part</w:t>
      </w:r>
      <w:r>
        <w:rPr>
          <w:spacing w:val="-2"/>
        </w:rPr>
        <w:t xml:space="preserve"> </w:t>
      </w:r>
      <w:r>
        <w:t>of</w:t>
      </w:r>
      <w:r>
        <w:rPr>
          <w:spacing w:val="-2"/>
        </w:rPr>
        <w:t xml:space="preserve"> </w:t>
      </w:r>
      <w:r>
        <w:t>the</w:t>
      </w:r>
      <w:r>
        <w:rPr>
          <w:spacing w:val="-3"/>
        </w:rPr>
        <w:t xml:space="preserve"> </w:t>
      </w:r>
      <w:r>
        <w:t>bid</w:t>
      </w:r>
      <w:r>
        <w:rPr>
          <w:spacing w:val="-2"/>
        </w:rPr>
        <w:t xml:space="preserve"> </w:t>
      </w:r>
      <w:r>
        <w:t>process</w:t>
      </w:r>
      <w:r>
        <w:rPr>
          <w:spacing w:val="-2"/>
        </w:rPr>
        <w:t xml:space="preserve"> </w:t>
      </w:r>
      <w:r>
        <w:t>are</w:t>
      </w:r>
      <w:r>
        <w:rPr>
          <w:spacing w:val="-4"/>
        </w:rPr>
        <w:t xml:space="preserve"> </w:t>
      </w:r>
      <w:r>
        <w:t>subject</w:t>
      </w:r>
      <w:r>
        <w:rPr>
          <w:spacing w:val="-2"/>
        </w:rPr>
        <w:t xml:space="preserve"> </w:t>
      </w:r>
      <w:r>
        <w:t>to</w:t>
      </w:r>
      <w:r>
        <w:rPr>
          <w:spacing w:val="-2"/>
        </w:rPr>
        <w:t xml:space="preserve"> </w:t>
      </w:r>
      <w:r>
        <w:t>review</w:t>
      </w:r>
      <w:r>
        <w:rPr>
          <w:spacing w:val="-1"/>
        </w:rPr>
        <w:t xml:space="preserve"> </w:t>
      </w:r>
      <w:r>
        <w:t>and</w:t>
      </w:r>
      <w:r>
        <w:rPr>
          <w:spacing w:val="-2"/>
        </w:rPr>
        <w:t xml:space="preserve"> </w:t>
      </w:r>
      <w:r>
        <w:t>audit by</w:t>
      </w:r>
      <w:r>
        <w:rPr>
          <w:spacing w:val="-2"/>
        </w:rPr>
        <w:t xml:space="preserve"> </w:t>
      </w:r>
      <w:r>
        <w:t>CMS or</w:t>
      </w:r>
      <w:r>
        <w:rPr>
          <w:spacing w:val="-2"/>
        </w:rPr>
        <w:t xml:space="preserve"> </w:t>
      </w:r>
      <w:r>
        <w:t>by</w:t>
      </w:r>
      <w:r>
        <w:rPr>
          <w:spacing w:val="-3"/>
        </w:rPr>
        <w:t xml:space="preserve"> </w:t>
      </w:r>
      <w:r>
        <w:t>any person or organization that CMS designates. Certifying actuaries and additional Part D BPT actuarial contacts</w:t>
      </w:r>
      <w:r>
        <w:rPr>
          <w:spacing w:val="-1"/>
        </w:rPr>
        <w:t xml:space="preserve"> </w:t>
      </w:r>
      <w:r>
        <w:t>must</w:t>
      </w:r>
      <w:r>
        <w:rPr>
          <w:spacing w:val="-2"/>
        </w:rPr>
        <w:t xml:space="preserve"> </w:t>
      </w:r>
      <w:r>
        <w:t>be</w:t>
      </w:r>
      <w:r>
        <w:rPr>
          <w:spacing w:val="-3"/>
        </w:rPr>
        <w:t xml:space="preserve"> </w:t>
      </w:r>
      <w:r>
        <w:t>available</w:t>
      </w:r>
      <w:r>
        <w:rPr>
          <w:spacing w:val="-2"/>
        </w:rPr>
        <w:t xml:space="preserve"> </w:t>
      </w:r>
      <w:r>
        <w:t>to</w:t>
      </w:r>
      <w:r>
        <w:rPr>
          <w:spacing w:val="-2"/>
        </w:rPr>
        <w:t xml:space="preserve"> </w:t>
      </w:r>
      <w:r>
        <w:t>respond</w:t>
      </w:r>
      <w:r>
        <w:rPr>
          <w:spacing w:val="-2"/>
        </w:rPr>
        <w:t xml:space="preserve"> </w:t>
      </w:r>
      <w:r>
        <w:t>to inquiries</w:t>
      </w:r>
      <w:r>
        <w:rPr>
          <w:spacing w:val="-2"/>
        </w:rPr>
        <w:t xml:space="preserve"> </w:t>
      </w:r>
      <w:r>
        <w:t>from</w:t>
      </w:r>
      <w:r>
        <w:rPr>
          <w:spacing w:val="-2"/>
        </w:rPr>
        <w:t xml:space="preserve"> </w:t>
      </w:r>
      <w:r>
        <w:t>CMS</w:t>
      </w:r>
      <w:r>
        <w:rPr>
          <w:spacing w:val="-2"/>
        </w:rPr>
        <w:t xml:space="preserve"> </w:t>
      </w:r>
      <w:r>
        <w:t>reviewers</w:t>
      </w:r>
      <w:r>
        <w:rPr>
          <w:spacing w:val="-1"/>
        </w:rPr>
        <w:t xml:space="preserve"> </w:t>
      </w:r>
      <w:r>
        <w:t>regarding</w:t>
      </w:r>
      <w:r>
        <w:rPr>
          <w:spacing w:val="-2"/>
        </w:rPr>
        <w:t xml:space="preserve"> </w:t>
      </w:r>
      <w:r>
        <w:t>the submitted bids.</w:t>
      </w:r>
    </w:p>
    <w:p>
      <w:pPr>
        <w:pStyle w:val="BodyText"/>
        <w:ind w:left="224"/>
      </w:pPr>
      <w:r>
        <w:t>Supporting</w:t>
      </w:r>
      <w:r>
        <w:rPr>
          <w:spacing w:val="-2"/>
        </w:rPr>
        <w:t xml:space="preserve"> </w:t>
      </w:r>
      <w:r>
        <w:t>documentation</w:t>
      </w:r>
      <w:r>
        <w:rPr>
          <w:spacing w:val="-1"/>
        </w:rPr>
        <w:t xml:space="preserve"> </w:t>
      </w:r>
      <w:r>
        <w:rPr>
          <w:spacing w:val="-2"/>
        </w:rPr>
        <w:t>must—</w:t>
      </w:r>
    </w:p>
    <w:p>
      <w:pPr>
        <w:pStyle w:val="ListParagraph"/>
        <w:numPr>
          <w:ilvl w:val="0"/>
          <w:numId w:val="5"/>
        </w:numPr>
        <w:tabs>
          <w:tab w:val="left" w:pos="944"/>
        </w:tabs>
        <w:spacing w:before="120" w:after="0" w:line="240" w:lineRule="auto"/>
        <w:ind w:left="944" w:right="0" w:hanging="360"/>
        <w:jc w:val="left"/>
        <w:rPr>
          <w:sz w:val="24"/>
        </w:rPr>
      </w:pPr>
      <w:r>
        <w:rPr>
          <w:sz w:val="24"/>
        </w:rPr>
        <w:t>Be</w:t>
      </w:r>
      <w:r>
        <w:rPr>
          <w:spacing w:val="-2"/>
          <w:sz w:val="24"/>
        </w:rPr>
        <w:t xml:space="preserve"> </w:t>
      </w:r>
      <w:r>
        <w:rPr>
          <w:sz w:val="24"/>
        </w:rPr>
        <w:t>clearly</w:t>
      </w:r>
      <w:r>
        <w:rPr>
          <w:spacing w:val="-1"/>
          <w:sz w:val="24"/>
        </w:rPr>
        <w:t xml:space="preserve"> </w:t>
      </w:r>
      <w:r>
        <w:rPr>
          <w:sz w:val="24"/>
        </w:rPr>
        <w:t>labeled</w:t>
      </w:r>
      <w:r>
        <w:rPr>
          <w:spacing w:val="-1"/>
          <w:sz w:val="24"/>
        </w:rPr>
        <w:t xml:space="preserve"> </w:t>
      </w:r>
      <w:r>
        <w:rPr>
          <w:sz w:val="24"/>
        </w:rPr>
        <w:t>and</w:t>
      </w:r>
      <w:r>
        <w:rPr>
          <w:spacing w:val="1"/>
          <w:sz w:val="24"/>
        </w:rPr>
        <w:t xml:space="preserve"> </w:t>
      </w:r>
      <w:r>
        <w:rPr>
          <w:sz w:val="24"/>
        </w:rPr>
        <w:t>easily understood</w:t>
      </w:r>
      <w:r>
        <w:rPr>
          <w:spacing w:val="-1"/>
          <w:sz w:val="24"/>
        </w:rPr>
        <w:t xml:space="preserve"> </w:t>
      </w:r>
      <w:r>
        <w:rPr>
          <w:sz w:val="24"/>
        </w:rPr>
        <w:t>by</w:t>
      </w:r>
      <w:r>
        <w:rPr>
          <w:spacing w:val="-1"/>
          <w:sz w:val="24"/>
        </w:rPr>
        <w:t xml:space="preserve"> </w:t>
      </w:r>
      <w:r>
        <w:rPr>
          <w:sz w:val="24"/>
        </w:rPr>
        <w:t>CMS</w:t>
      </w:r>
      <w:r>
        <w:rPr>
          <w:spacing w:val="-2"/>
          <w:sz w:val="24"/>
        </w:rPr>
        <w:t xml:space="preserve"> reviewers.</w:t>
      </w:r>
    </w:p>
    <w:p>
      <w:pPr>
        <w:pStyle w:val="ListParagraph"/>
        <w:numPr>
          <w:ilvl w:val="0"/>
          <w:numId w:val="5"/>
        </w:numPr>
        <w:tabs>
          <w:tab w:val="left" w:pos="944"/>
        </w:tabs>
        <w:spacing w:before="41" w:after="0" w:line="240" w:lineRule="auto"/>
        <w:ind w:left="944" w:right="841" w:hanging="360"/>
        <w:jc w:val="left"/>
        <w:rPr>
          <w:sz w:val="24"/>
        </w:rPr>
      </w:pPr>
      <w:r>
        <w:rPr>
          <w:sz w:val="24"/>
        </w:rPr>
        <w:t>Explain</w:t>
      </w:r>
      <w:r>
        <w:rPr>
          <w:spacing w:val="-4"/>
          <w:sz w:val="24"/>
        </w:rPr>
        <w:t xml:space="preserve"> </w:t>
      </w:r>
      <w:r>
        <w:rPr>
          <w:sz w:val="24"/>
        </w:rPr>
        <w:t>the</w:t>
      </w:r>
      <w:r>
        <w:rPr>
          <w:spacing w:val="-5"/>
          <w:sz w:val="24"/>
        </w:rPr>
        <w:t xml:space="preserve"> </w:t>
      </w:r>
      <w:r>
        <w:rPr>
          <w:sz w:val="24"/>
        </w:rPr>
        <w:t>rationale</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assumptions,</w:t>
      </w:r>
      <w:r>
        <w:rPr>
          <w:spacing w:val="-4"/>
          <w:sz w:val="24"/>
        </w:rPr>
        <w:t xml:space="preserve"> </w:t>
      </w:r>
      <w:r>
        <w:rPr>
          <w:sz w:val="24"/>
        </w:rPr>
        <w:t>including</w:t>
      </w:r>
      <w:r>
        <w:rPr>
          <w:spacing w:val="-4"/>
          <w:sz w:val="24"/>
        </w:rPr>
        <w:t xml:space="preserve"> </w:t>
      </w:r>
      <w:r>
        <w:rPr>
          <w:sz w:val="24"/>
        </w:rPr>
        <w:t>quantitative</w:t>
      </w:r>
      <w:r>
        <w:rPr>
          <w:spacing w:val="-4"/>
          <w:sz w:val="24"/>
        </w:rPr>
        <w:t xml:space="preserve"> </w:t>
      </w:r>
      <w:r>
        <w:rPr>
          <w:sz w:val="24"/>
        </w:rPr>
        <w:t>support</w:t>
      </w:r>
      <w:r>
        <w:rPr>
          <w:spacing w:val="-4"/>
          <w:sz w:val="24"/>
        </w:rPr>
        <w:t xml:space="preserve"> </w:t>
      </w:r>
      <w:r>
        <w:rPr>
          <w:sz w:val="24"/>
        </w:rPr>
        <w:t>and</w:t>
      </w:r>
      <w:r>
        <w:rPr>
          <w:spacing w:val="-4"/>
          <w:sz w:val="24"/>
        </w:rPr>
        <w:t xml:space="preserve"> </w:t>
      </w:r>
      <w:r>
        <w:rPr>
          <w:sz w:val="24"/>
        </w:rPr>
        <w:t>details, rather than just provide narrative descriptions of assumptions.</w:t>
      </w:r>
    </w:p>
    <w:p>
      <w:pPr>
        <w:pStyle w:val="ListParagraph"/>
        <w:numPr>
          <w:ilvl w:val="0"/>
          <w:numId w:val="5"/>
        </w:numPr>
        <w:tabs>
          <w:tab w:val="left" w:pos="944"/>
        </w:tabs>
        <w:spacing w:before="41" w:after="0" w:line="240" w:lineRule="auto"/>
        <w:ind w:left="944" w:right="1308" w:hanging="360"/>
        <w:jc w:val="left"/>
        <w:rPr>
          <w:sz w:val="24"/>
        </w:rPr>
      </w:pPr>
      <w:r>
        <w:rPr>
          <w:sz w:val="24"/>
        </w:rPr>
        <w:t>Describe</w:t>
      </w:r>
      <w:r>
        <w:rPr>
          <w:spacing w:val="-6"/>
          <w:sz w:val="24"/>
        </w:rPr>
        <w:t xml:space="preserve"> </w:t>
      </w:r>
      <w:r>
        <w:rPr>
          <w:sz w:val="24"/>
        </w:rPr>
        <w:t>bid-specific</w:t>
      </w:r>
      <w:r>
        <w:rPr>
          <w:spacing w:val="-5"/>
          <w:sz w:val="24"/>
        </w:rPr>
        <w:t xml:space="preserve"> </w:t>
      </w:r>
      <w:r>
        <w:rPr>
          <w:sz w:val="24"/>
        </w:rPr>
        <w:t>variations</w:t>
      </w:r>
      <w:r>
        <w:rPr>
          <w:spacing w:val="-4"/>
          <w:sz w:val="24"/>
        </w:rPr>
        <w:t xml:space="preserve"> </w:t>
      </w:r>
      <w:r>
        <w:rPr>
          <w:sz w:val="24"/>
        </w:rPr>
        <w:t>in</w:t>
      </w:r>
      <w:r>
        <w:rPr>
          <w:spacing w:val="-4"/>
          <w:sz w:val="24"/>
        </w:rPr>
        <w:t xml:space="preserve"> </w:t>
      </w:r>
      <w:r>
        <w:rPr>
          <w:sz w:val="24"/>
        </w:rPr>
        <w:t>addition</w:t>
      </w:r>
      <w:r>
        <w:rPr>
          <w:spacing w:val="-4"/>
          <w:sz w:val="24"/>
        </w:rPr>
        <w:t xml:space="preserve"> </w:t>
      </w:r>
      <w:r>
        <w:rPr>
          <w:sz w:val="24"/>
        </w:rPr>
        <w:t>to</w:t>
      </w:r>
      <w:r>
        <w:rPr>
          <w:spacing w:val="-1"/>
          <w:sz w:val="24"/>
        </w:rPr>
        <w:t xml:space="preserve"> </w:t>
      </w:r>
      <w:r>
        <w:rPr>
          <w:sz w:val="24"/>
        </w:rPr>
        <w:t>the</w:t>
      </w:r>
      <w:r>
        <w:rPr>
          <w:spacing w:val="-7"/>
          <w:sz w:val="24"/>
        </w:rPr>
        <w:t xml:space="preserve"> </w:t>
      </w:r>
      <w:r>
        <w:rPr>
          <w:sz w:val="24"/>
        </w:rPr>
        <w:t>overall</w:t>
      </w:r>
      <w:r>
        <w:rPr>
          <w:spacing w:val="-4"/>
          <w:sz w:val="24"/>
        </w:rPr>
        <w:t xml:space="preserve"> </w:t>
      </w:r>
      <w:r>
        <w:rPr>
          <w:sz w:val="24"/>
        </w:rPr>
        <w:t>pricing</w:t>
      </w:r>
      <w:r>
        <w:rPr>
          <w:spacing w:val="-4"/>
          <w:sz w:val="24"/>
        </w:rPr>
        <w:t xml:space="preserve"> </w:t>
      </w:r>
      <w:r>
        <w:rPr>
          <w:sz w:val="24"/>
        </w:rPr>
        <w:t>assumption</w:t>
      </w:r>
      <w:r>
        <w:rPr>
          <w:spacing w:val="-4"/>
          <w:sz w:val="24"/>
        </w:rPr>
        <w:t xml:space="preserve"> </w:t>
      </w:r>
      <w:r>
        <w:rPr>
          <w:sz w:val="24"/>
        </w:rPr>
        <w:t xml:space="preserve">or </w:t>
      </w:r>
      <w:r>
        <w:rPr>
          <w:spacing w:val="-2"/>
          <w:sz w:val="24"/>
        </w:rPr>
        <w:t>methodology.</w:t>
      </w:r>
    </w:p>
    <w:p>
      <w:pPr>
        <w:pStyle w:val="ListParagraph"/>
        <w:numPr>
          <w:ilvl w:val="0"/>
          <w:numId w:val="5"/>
        </w:numPr>
        <w:tabs>
          <w:tab w:val="left" w:pos="944"/>
        </w:tabs>
        <w:spacing w:before="39" w:after="0" w:line="240" w:lineRule="auto"/>
        <w:ind w:left="944" w:right="0" w:hanging="360"/>
        <w:jc w:val="left"/>
        <w:rPr>
          <w:sz w:val="24"/>
        </w:rPr>
      </w:pPr>
      <w:r>
        <w:rPr>
          <w:sz w:val="24"/>
        </w:rPr>
        <w:t>Match</w:t>
      </w:r>
      <w:r>
        <w:rPr>
          <w:spacing w:val="-2"/>
          <w:sz w:val="24"/>
        </w:rPr>
        <w:t xml:space="preserve"> </w:t>
      </w:r>
      <w:r>
        <w:rPr>
          <w:sz w:val="24"/>
        </w:rPr>
        <w:t>the</w:t>
      </w:r>
      <w:r>
        <w:rPr>
          <w:spacing w:val="-1"/>
          <w:sz w:val="24"/>
        </w:rPr>
        <w:t xml:space="preserve"> </w:t>
      </w:r>
      <w:r>
        <w:rPr>
          <w:sz w:val="24"/>
        </w:rPr>
        <w:t>values entered</w:t>
      </w:r>
      <w:r>
        <w:rPr>
          <w:spacing w:val="1"/>
          <w:sz w:val="24"/>
        </w:rPr>
        <w:t xml:space="preserve"> </w:t>
      </w:r>
      <w:r>
        <w:rPr>
          <w:sz w:val="24"/>
        </w:rPr>
        <w:t>in the</w:t>
      </w:r>
      <w:r>
        <w:rPr>
          <w:spacing w:val="-1"/>
          <w:sz w:val="24"/>
        </w:rPr>
        <w:t xml:space="preserve"> </w:t>
      </w:r>
      <w:r>
        <w:rPr>
          <w:sz w:val="24"/>
        </w:rPr>
        <w:t>current</w:t>
      </w:r>
      <w:r>
        <w:rPr>
          <w:spacing w:val="-1"/>
          <w:sz w:val="24"/>
        </w:rPr>
        <w:t xml:space="preserve"> </w:t>
      </w:r>
      <w:r>
        <w:rPr>
          <w:sz w:val="24"/>
        </w:rPr>
        <w:t>BPT</w:t>
      </w:r>
      <w:r>
        <w:rPr>
          <w:spacing w:val="-1"/>
          <w:sz w:val="24"/>
        </w:rPr>
        <w:t xml:space="preserve"> </w:t>
      </w:r>
      <w:r>
        <w:rPr>
          <w:sz w:val="24"/>
        </w:rPr>
        <w:t>and tie</w:t>
      </w:r>
      <w:r>
        <w:rPr>
          <w:spacing w:val="-2"/>
          <w:sz w:val="24"/>
        </w:rPr>
        <w:t xml:space="preserve"> </w:t>
      </w:r>
      <w:r>
        <w:rPr>
          <w:sz w:val="24"/>
        </w:rPr>
        <w:t>to</w:t>
      </w:r>
      <w:r>
        <w:rPr>
          <w:spacing w:val="-1"/>
          <w:sz w:val="24"/>
        </w:rPr>
        <w:t xml:space="preserve"> </w:t>
      </w:r>
      <w:r>
        <w:rPr>
          <w:sz w:val="24"/>
        </w:rPr>
        <w:t xml:space="preserve">the </w:t>
      </w:r>
      <w:r>
        <w:rPr>
          <w:spacing w:val="-4"/>
          <w:sz w:val="24"/>
        </w:rPr>
        <w:t>PBP.</w:t>
      </w:r>
    </w:p>
    <w:p>
      <w:pPr>
        <w:pStyle w:val="ListParagraph"/>
        <w:numPr>
          <w:ilvl w:val="0"/>
          <w:numId w:val="5"/>
        </w:numPr>
        <w:tabs>
          <w:tab w:val="left" w:pos="944"/>
        </w:tabs>
        <w:spacing w:before="41" w:after="0" w:line="240" w:lineRule="auto"/>
        <w:ind w:left="944" w:right="524" w:hanging="360"/>
        <w:jc w:val="left"/>
        <w:rPr>
          <w:sz w:val="24"/>
        </w:rPr>
      </w:pPr>
      <w:r>
        <w:rPr>
          <w:sz w:val="24"/>
        </w:rPr>
        <w:t>Include</w:t>
      </w:r>
      <w:r>
        <w:rPr>
          <w:spacing w:val="-5"/>
          <w:sz w:val="24"/>
        </w:rPr>
        <w:t xml:space="preserve"> </w:t>
      </w:r>
      <w:r>
        <w:rPr>
          <w:sz w:val="24"/>
        </w:rPr>
        <w:t>Excel</w:t>
      </w:r>
      <w:r>
        <w:rPr>
          <w:spacing w:val="-4"/>
          <w:sz w:val="24"/>
        </w:rPr>
        <w:t xml:space="preserve"> </w:t>
      </w:r>
      <w:r>
        <w:rPr>
          <w:sz w:val="24"/>
        </w:rPr>
        <w:t>spreadsheets</w:t>
      </w:r>
      <w:r>
        <w:rPr>
          <w:spacing w:val="-2"/>
          <w:sz w:val="24"/>
        </w:rPr>
        <w:t xml:space="preserve"> </w:t>
      </w:r>
      <w:r>
        <w:rPr>
          <w:sz w:val="24"/>
        </w:rPr>
        <w:t>with</w:t>
      </w:r>
      <w:r>
        <w:rPr>
          <w:spacing w:val="-4"/>
          <w:sz w:val="24"/>
        </w:rPr>
        <w:t xml:space="preserve"> </w:t>
      </w:r>
      <w:r>
        <w:rPr>
          <w:sz w:val="24"/>
        </w:rPr>
        <w:t>working</w:t>
      </w:r>
      <w:r>
        <w:rPr>
          <w:spacing w:val="-4"/>
          <w:sz w:val="24"/>
        </w:rPr>
        <w:t xml:space="preserve"> </w:t>
      </w:r>
      <w:r>
        <w:rPr>
          <w:sz w:val="24"/>
        </w:rPr>
        <w:t>formulas,</w:t>
      </w:r>
      <w:r>
        <w:rPr>
          <w:spacing w:val="-4"/>
          <w:sz w:val="24"/>
        </w:rPr>
        <w:t xml:space="preserve"> </w:t>
      </w:r>
      <w:r>
        <w:rPr>
          <w:sz w:val="24"/>
        </w:rPr>
        <w:t>rather</w:t>
      </w:r>
      <w:r>
        <w:rPr>
          <w:spacing w:val="-6"/>
          <w:sz w:val="24"/>
        </w:rPr>
        <w:t xml:space="preserve"> </w:t>
      </w:r>
      <w:r>
        <w:rPr>
          <w:sz w:val="24"/>
        </w:rPr>
        <w:t>than</w:t>
      </w:r>
      <w:r>
        <w:rPr>
          <w:spacing w:val="-4"/>
          <w:sz w:val="24"/>
        </w:rPr>
        <w:t xml:space="preserve"> </w:t>
      </w:r>
      <w:r>
        <w:rPr>
          <w:sz w:val="24"/>
        </w:rPr>
        <w:t>pdf</w:t>
      </w:r>
      <w:r>
        <w:rPr>
          <w:spacing w:val="-4"/>
          <w:sz w:val="24"/>
        </w:rPr>
        <w:t xml:space="preserve"> </w:t>
      </w:r>
      <w:r>
        <w:rPr>
          <w:sz w:val="24"/>
        </w:rPr>
        <w:t>files,</w:t>
      </w:r>
      <w:r>
        <w:rPr>
          <w:spacing w:val="-3"/>
          <w:sz w:val="24"/>
        </w:rPr>
        <w:t xml:space="preserve"> </w:t>
      </w:r>
      <w:r>
        <w:rPr>
          <w:sz w:val="24"/>
        </w:rPr>
        <w:t>and</w:t>
      </w:r>
      <w:r>
        <w:rPr>
          <w:spacing w:val="-4"/>
          <w:sz w:val="24"/>
        </w:rPr>
        <w:t xml:space="preserve"> </w:t>
      </w:r>
      <w:r>
        <w:rPr>
          <w:sz w:val="24"/>
        </w:rPr>
        <w:t>a</w:t>
      </w:r>
      <w:r>
        <w:rPr>
          <w:spacing w:val="-5"/>
          <w:sz w:val="24"/>
        </w:rPr>
        <w:t xml:space="preserve"> </w:t>
      </w:r>
      <w:r>
        <w:rPr>
          <w:sz w:val="24"/>
        </w:rPr>
        <w:t>narrative explanation of the inputs and the calculations and their components.</w:t>
      </w:r>
    </w:p>
    <w:p>
      <w:pPr>
        <w:pStyle w:val="ListParagraph"/>
        <w:numPr>
          <w:ilvl w:val="0"/>
          <w:numId w:val="5"/>
        </w:numPr>
        <w:tabs>
          <w:tab w:val="left" w:pos="944"/>
        </w:tabs>
        <w:spacing w:before="41" w:after="0" w:line="240" w:lineRule="auto"/>
        <w:ind w:left="944" w:right="0" w:hanging="360"/>
        <w:jc w:val="left"/>
        <w:rPr>
          <w:sz w:val="24"/>
        </w:rPr>
      </w:pPr>
      <w:r>
        <w:rPr>
          <w:sz w:val="24"/>
        </w:rPr>
        <w:t>Clearly</w:t>
      </w:r>
      <w:r>
        <w:rPr>
          <w:spacing w:val="-3"/>
          <w:sz w:val="24"/>
        </w:rPr>
        <w:t xml:space="preserve"> </w:t>
      </w:r>
      <w:r>
        <w:rPr>
          <w:sz w:val="24"/>
        </w:rPr>
        <w:t>identify</w:t>
      </w:r>
      <w:r>
        <w:rPr>
          <w:spacing w:val="-1"/>
          <w:sz w:val="24"/>
        </w:rPr>
        <w:t xml:space="preserve"> </w:t>
      </w:r>
      <w:r>
        <w:rPr>
          <w:sz w:val="24"/>
        </w:rPr>
        <w:t>if</w:t>
      </w:r>
      <w:r>
        <w:rPr>
          <w:spacing w:val="-1"/>
          <w:sz w:val="24"/>
        </w:rPr>
        <w:t xml:space="preserve"> </w:t>
      </w:r>
      <w:r>
        <w:rPr>
          <w:sz w:val="24"/>
        </w:rPr>
        <w:t>it</w:t>
      </w:r>
      <w:r>
        <w:rPr>
          <w:spacing w:val="-1"/>
          <w:sz w:val="24"/>
        </w:rPr>
        <w:t xml:space="preserve"> </w:t>
      </w:r>
      <w:r>
        <w:rPr>
          <w:sz w:val="24"/>
        </w:rPr>
        <w:t>is related</w:t>
      </w:r>
      <w:r>
        <w:rPr>
          <w:spacing w:val="-1"/>
          <w:sz w:val="24"/>
        </w:rPr>
        <w:t xml:space="preserve"> </w:t>
      </w:r>
      <w:r>
        <w:rPr>
          <w:sz w:val="24"/>
        </w:rPr>
        <w:t>to MA,</w:t>
      </w:r>
      <w:r>
        <w:rPr>
          <w:spacing w:val="1"/>
          <w:sz w:val="24"/>
        </w:rPr>
        <w:t xml:space="preserve"> </w:t>
      </w:r>
      <w:r>
        <w:rPr>
          <w:sz w:val="24"/>
        </w:rPr>
        <w:t>Part D</w:t>
      </w:r>
      <w:r>
        <w:rPr>
          <w:spacing w:val="-2"/>
          <w:sz w:val="24"/>
        </w:rPr>
        <w:t xml:space="preserve"> </w:t>
      </w:r>
      <w:r>
        <w:rPr>
          <w:sz w:val="24"/>
        </w:rPr>
        <w:t xml:space="preserve">or </w:t>
      </w:r>
      <w:r>
        <w:rPr>
          <w:spacing w:val="-2"/>
          <w:sz w:val="24"/>
        </w:rPr>
        <w:t>both.</w:t>
      </w:r>
    </w:p>
    <w:p>
      <w:pPr>
        <w:pStyle w:val="ListParagraph"/>
        <w:numPr>
          <w:ilvl w:val="0"/>
          <w:numId w:val="5"/>
        </w:numPr>
        <w:tabs>
          <w:tab w:val="left" w:pos="944"/>
        </w:tabs>
        <w:spacing w:before="38" w:after="0" w:line="240" w:lineRule="auto"/>
        <w:ind w:left="944" w:right="715" w:hanging="360"/>
        <w:jc w:val="left"/>
        <w:rPr>
          <w:sz w:val="24"/>
        </w:rPr>
      </w:pPr>
      <w:r>
        <w:rPr>
          <w:sz w:val="24"/>
        </w:rPr>
        <w:t>Clearly</w:t>
      </w:r>
      <w:r>
        <w:rPr>
          <w:spacing w:val="-3"/>
          <w:sz w:val="24"/>
        </w:rPr>
        <w:t xml:space="preserve"> </w:t>
      </w:r>
      <w:r>
        <w:rPr>
          <w:sz w:val="24"/>
        </w:rPr>
        <w:t>identify</w:t>
      </w:r>
      <w:r>
        <w:rPr>
          <w:spacing w:val="-3"/>
          <w:sz w:val="24"/>
        </w:rPr>
        <w:t xml:space="preserve"> </w:t>
      </w:r>
      <w:r>
        <w:rPr>
          <w:sz w:val="24"/>
        </w:rPr>
        <w:t>the</w:t>
      </w:r>
      <w:r>
        <w:rPr>
          <w:spacing w:val="-5"/>
          <w:sz w:val="24"/>
        </w:rPr>
        <w:t xml:space="preserve"> </w:t>
      </w:r>
      <w:r>
        <w:rPr>
          <w:sz w:val="24"/>
        </w:rPr>
        <w:t>bid(s)</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support.</w:t>
      </w:r>
      <w:r>
        <w:rPr>
          <w:spacing w:val="-1"/>
          <w:sz w:val="24"/>
        </w:rPr>
        <w:t xml:space="preserve"> </w:t>
      </w:r>
      <w:r>
        <w:rPr>
          <w:sz w:val="24"/>
        </w:rPr>
        <w:t>At</w:t>
      </w:r>
      <w:r>
        <w:rPr>
          <w:spacing w:val="-3"/>
          <w:sz w:val="24"/>
        </w:rPr>
        <w:t xml:space="preserve"> </w:t>
      </w:r>
      <w:r>
        <w:rPr>
          <w:sz w:val="24"/>
        </w:rPr>
        <w:t>a</w:t>
      </w:r>
      <w:r>
        <w:rPr>
          <w:spacing w:val="-4"/>
          <w:sz w:val="24"/>
        </w:rPr>
        <w:t xml:space="preserve"> </w:t>
      </w:r>
      <w:r>
        <w:rPr>
          <w:sz w:val="24"/>
        </w:rPr>
        <w:t>minimum,</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 xml:space="preserve">number and organization name must appear on the first page. Specific plan numbers must be included where appropriate, such as on the first page, in a separate chart or as an </w:t>
      </w:r>
      <w:r>
        <w:rPr>
          <w:spacing w:val="-2"/>
          <w:sz w:val="24"/>
        </w:rPr>
        <w:t>attachment.</w:t>
      </w:r>
    </w:p>
    <w:p>
      <w:pPr>
        <w:pStyle w:val="ListParagraph"/>
        <w:numPr>
          <w:ilvl w:val="0"/>
          <w:numId w:val="5"/>
        </w:numPr>
        <w:tabs>
          <w:tab w:val="left" w:pos="944"/>
        </w:tabs>
        <w:spacing w:before="41" w:after="0" w:line="240" w:lineRule="auto"/>
        <w:ind w:left="944" w:right="0" w:hanging="360"/>
        <w:jc w:val="left"/>
        <w:rPr>
          <w:sz w:val="24"/>
        </w:rPr>
      </w:pPr>
      <w:r>
        <w:rPr>
          <w:sz w:val="24"/>
        </w:rPr>
        <w:t>Include</w:t>
      </w:r>
      <w:r>
        <w:rPr>
          <w:spacing w:val="-4"/>
          <w:sz w:val="24"/>
        </w:rPr>
        <w:t xml:space="preserve"> </w:t>
      </w:r>
      <w:r>
        <w:rPr>
          <w:sz w:val="24"/>
        </w:rPr>
        <w:t>a</w:t>
      </w:r>
      <w:r>
        <w:rPr>
          <w:spacing w:val="-3"/>
          <w:sz w:val="24"/>
        </w:rPr>
        <w:t xml:space="preserve"> </w:t>
      </w:r>
      <w:r>
        <w:rPr>
          <w:sz w:val="24"/>
        </w:rPr>
        <w:t>hard-coded</w:t>
      </w:r>
      <w:r>
        <w:rPr>
          <w:spacing w:val="-1"/>
          <w:sz w:val="24"/>
        </w:rPr>
        <w:t xml:space="preserve"> </w:t>
      </w:r>
      <w:r>
        <w:rPr>
          <w:spacing w:val="-4"/>
          <w:sz w:val="24"/>
        </w:rPr>
        <w:t>date.</w:t>
      </w:r>
    </w:p>
    <w:p>
      <w:pPr>
        <w:spacing w:after="0" w:line="240" w:lineRule="auto"/>
        <w:jc w:val="left"/>
        <w:rPr>
          <w:sz w:val="24"/>
        </w:rPr>
        <w:sectPr>
          <w:headerReference w:type="default" r:id="rId37"/>
          <w:footerReference w:type="default" r:id="rId38"/>
          <w:pgSz w:w="12240" w:h="15840"/>
          <w:pgMar w:top="1340" w:right="1000" w:bottom="940" w:left="1360" w:header="727" w:footer="747"/>
          <w:cols w:space="720"/>
        </w:sectPr>
      </w:pPr>
    </w:p>
    <w:p>
      <w:pPr>
        <w:pStyle w:val="ListParagraph"/>
        <w:numPr>
          <w:ilvl w:val="0"/>
          <w:numId w:val="5"/>
        </w:numPr>
        <w:tabs>
          <w:tab w:val="left" w:pos="944"/>
        </w:tabs>
        <w:spacing w:before="87" w:after="0" w:line="240" w:lineRule="auto"/>
        <w:ind w:left="944" w:right="1313" w:hanging="360"/>
        <w:jc w:val="left"/>
        <w:rPr>
          <w:sz w:val="24"/>
        </w:rPr>
      </w:pPr>
      <w:r>
        <w:rPr>
          <w:sz w:val="24"/>
        </w:rPr>
        <w:t>Include</w:t>
      </w:r>
      <w:r>
        <w:rPr>
          <w:spacing w:val="-4"/>
          <w:sz w:val="24"/>
        </w:rPr>
        <w:t xml:space="preserve"> </w:t>
      </w:r>
      <w:r>
        <w:rPr>
          <w:sz w:val="24"/>
        </w:rPr>
        <w:t>the</w:t>
      </w:r>
      <w:r>
        <w:rPr>
          <w:spacing w:val="-4"/>
          <w:sz w:val="24"/>
        </w:rPr>
        <w:t xml:space="preserve"> </w:t>
      </w:r>
      <w:r>
        <w:rPr>
          <w:sz w:val="24"/>
        </w:rPr>
        <w:t>contract-plan</w:t>
      </w:r>
      <w:r>
        <w:rPr>
          <w:spacing w:val="-2"/>
          <w:sz w:val="24"/>
        </w:rPr>
        <w:t xml:space="preserve"> </w:t>
      </w:r>
      <w:r>
        <w:rPr>
          <w:sz w:val="24"/>
        </w:rPr>
        <w:t>ID</w:t>
      </w:r>
      <w:r>
        <w:rPr>
          <w:spacing w:val="-4"/>
          <w:sz w:val="24"/>
        </w:rPr>
        <w:t xml:space="preserve"> </w:t>
      </w:r>
      <w:r>
        <w:rPr>
          <w:sz w:val="24"/>
        </w:rPr>
        <w:t>(or</w:t>
      </w:r>
      <w:r>
        <w:rPr>
          <w:spacing w:val="-5"/>
          <w:sz w:val="24"/>
        </w:rPr>
        <w:t xml:space="preserve"> </w:t>
      </w:r>
      <w:r>
        <w:rPr>
          <w:sz w:val="24"/>
        </w:rPr>
        <w:t>organization</w:t>
      </w:r>
      <w:r>
        <w:rPr>
          <w:spacing w:val="-4"/>
          <w:sz w:val="24"/>
        </w:rPr>
        <w:t xml:space="preserve"> </w:t>
      </w:r>
      <w:r>
        <w:rPr>
          <w:sz w:val="24"/>
        </w:rPr>
        <w:t>name)</w:t>
      </w:r>
      <w:r>
        <w:rPr>
          <w:spacing w:val="-4"/>
          <w:sz w:val="24"/>
        </w:rPr>
        <w:t xml:space="preserve"> </w:t>
      </w:r>
      <w:r>
        <w:rPr>
          <w:sz w:val="24"/>
        </w:rPr>
        <w:t>and</w:t>
      </w:r>
      <w:r>
        <w:rPr>
          <w:spacing w:val="-4"/>
          <w:sz w:val="24"/>
        </w:rPr>
        <w:t xml:space="preserve"> </w:t>
      </w:r>
      <w:r>
        <w:rPr>
          <w:sz w:val="24"/>
        </w:rPr>
        <w:t>brief</w:t>
      </w:r>
      <w:r>
        <w:rPr>
          <w:spacing w:val="-4"/>
          <w:sz w:val="24"/>
        </w:rPr>
        <w:t xml:space="preserve"> </w:t>
      </w:r>
      <w:r>
        <w:rPr>
          <w:sz w:val="24"/>
        </w:rPr>
        <w:t>description</w:t>
      </w:r>
      <w:r>
        <w:rPr>
          <w:spacing w:val="-3"/>
          <w:sz w:val="24"/>
        </w:rPr>
        <w:t xml:space="preserve"> </w:t>
      </w:r>
      <w:r>
        <w:rPr>
          <w:sz w:val="24"/>
        </w:rPr>
        <w:t>in</w:t>
      </w:r>
      <w:r>
        <w:rPr>
          <w:spacing w:val="-4"/>
          <w:sz w:val="24"/>
        </w:rPr>
        <w:t xml:space="preserve"> </w:t>
      </w:r>
      <w:r>
        <w:rPr>
          <w:sz w:val="24"/>
        </w:rPr>
        <w:t>the beginning of the file name.</w:t>
      </w:r>
    </w:p>
    <w:p>
      <w:pPr>
        <w:pStyle w:val="BodyText"/>
        <w:ind w:left="224" w:right="478"/>
      </w:pPr>
      <w:r>
        <w:t>Acceptable</w:t>
      </w:r>
      <w:r>
        <w:rPr>
          <w:spacing w:val="-4"/>
        </w:rPr>
        <w:t xml:space="preserve"> </w:t>
      </w:r>
      <w:r>
        <w:t>forms</w:t>
      </w:r>
      <w:r>
        <w:rPr>
          <w:spacing w:val="-4"/>
        </w:rPr>
        <w:t xml:space="preserve"> </w:t>
      </w:r>
      <w:r>
        <w:t>of</w:t>
      </w:r>
      <w:r>
        <w:rPr>
          <w:spacing w:val="-5"/>
        </w:rPr>
        <w:t xml:space="preserve"> </w:t>
      </w:r>
      <w:r>
        <w:t>supporting</w:t>
      </w:r>
      <w:r>
        <w:rPr>
          <w:spacing w:val="-4"/>
        </w:rPr>
        <w:t xml:space="preserve"> </w:t>
      </w:r>
      <w:r>
        <w:t>documentation</w:t>
      </w:r>
      <w:r>
        <w:rPr>
          <w:spacing w:val="-4"/>
        </w:rPr>
        <w:t xml:space="preserve"> </w:t>
      </w:r>
      <w:r>
        <w:t>include,</w:t>
      </w:r>
      <w:r>
        <w:rPr>
          <w:spacing w:val="-4"/>
        </w:rPr>
        <w:t xml:space="preserve"> </w:t>
      </w:r>
      <w:r>
        <w:t>but</w:t>
      </w:r>
      <w:r>
        <w:rPr>
          <w:spacing w:val="-4"/>
        </w:rPr>
        <w:t xml:space="preserve"> </w:t>
      </w:r>
      <w:r>
        <w:t>are</w:t>
      </w:r>
      <w:r>
        <w:rPr>
          <w:spacing w:val="-5"/>
        </w:rPr>
        <w:t xml:space="preserve"> </w:t>
      </w:r>
      <w:r>
        <w:t>not</w:t>
      </w:r>
      <w:r>
        <w:rPr>
          <w:spacing w:val="-4"/>
        </w:rPr>
        <w:t xml:space="preserve"> </w:t>
      </w:r>
      <w:r>
        <w:t>limited</w:t>
      </w:r>
      <w:r>
        <w:rPr>
          <w:spacing w:val="-2"/>
        </w:rPr>
        <w:t xml:space="preserve"> </w:t>
      </w:r>
      <w:r>
        <w:t>to,</w:t>
      </w:r>
      <w:r>
        <w:rPr>
          <w:spacing w:val="-4"/>
        </w:rPr>
        <w:t xml:space="preserve"> </w:t>
      </w:r>
      <w:r>
        <w:t>the</w:t>
      </w:r>
      <w:r>
        <w:rPr>
          <w:spacing w:val="-5"/>
        </w:rPr>
        <w:t xml:space="preserve"> </w:t>
      </w:r>
      <w:r>
        <w:t xml:space="preserve">following </w:t>
      </w:r>
      <w:r>
        <w:rPr>
          <w:spacing w:val="-2"/>
        </w:rPr>
        <w:t>items:</w:t>
      </w:r>
    </w:p>
    <w:p>
      <w:pPr>
        <w:pStyle w:val="ListParagraph"/>
        <w:numPr>
          <w:ilvl w:val="0"/>
          <w:numId w:val="5"/>
        </w:numPr>
        <w:tabs>
          <w:tab w:val="left" w:pos="944"/>
        </w:tabs>
        <w:spacing w:before="120" w:after="0" w:line="240" w:lineRule="auto"/>
        <w:ind w:left="944" w:right="756" w:hanging="360"/>
        <w:jc w:val="left"/>
        <w:rPr>
          <w:sz w:val="24"/>
        </w:rPr>
      </w:pPr>
      <w:r>
        <w:rPr>
          <w:sz w:val="24"/>
        </w:rPr>
        <w:t>Meeting</w:t>
      </w:r>
      <w:r>
        <w:rPr>
          <w:spacing w:val="-5"/>
          <w:sz w:val="24"/>
        </w:rPr>
        <w:t xml:space="preserve"> </w:t>
      </w:r>
      <w:r>
        <w:rPr>
          <w:sz w:val="24"/>
        </w:rPr>
        <w:t>minutes</w:t>
      </w:r>
      <w:r>
        <w:rPr>
          <w:spacing w:val="-4"/>
          <w:sz w:val="24"/>
        </w:rPr>
        <w:t xml:space="preserve"> </w:t>
      </w:r>
      <w:r>
        <w:rPr>
          <w:sz w:val="24"/>
        </w:rPr>
        <w:t>that</w:t>
      </w:r>
      <w:r>
        <w:rPr>
          <w:spacing w:val="-5"/>
          <w:sz w:val="24"/>
        </w:rPr>
        <w:t xml:space="preserve"> </w:t>
      </w:r>
      <w:r>
        <w:rPr>
          <w:sz w:val="24"/>
        </w:rPr>
        <w:t>include</w:t>
      </w:r>
      <w:r>
        <w:rPr>
          <w:spacing w:val="-6"/>
          <w:sz w:val="24"/>
        </w:rPr>
        <w:t xml:space="preserve"> </w:t>
      </w:r>
      <w:r>
        <w:rPr>
          <w:sz w:val="24"/>
        </w:rPr>
        <w:t>comprehensive</w:t>
      </w:r>
      <w:r>
        <w:rPr>
          <w:spacing w:val="-6"/>
          <w:sz w:val="24"/>
        </w:rPr>
        <w:t xml:space="preserve"> </w:t>
      </w:r>
      <w:r>
        <w:rPr>
          <w:sz w:val="24"/>
        </w:rPr>
        <w:t>documentation</w:t>
      </w:r>
      <w:r>
        <w:rPr>
          <w:spacing w:val="-5"/>
          <w:sz w:val="24"/>
        </w:rPr>
        <w:t xml:space="preserve"> </w:t>
      </w:r>
      <w:r>
        <w:rPr>
          <w:sz w:val="24"/>
        </w:rPr>
        <w:t>of</w:t>
      </w:r>
      <w:r>
        <w:rPr>
          <w:spacing w:val="-4"/>
          <w:sz w:val="24"/>
        </w:rPr>
        <w:t xml:space="preserve"> </w:t>
      </w:r>
      <w:r>
        <w:rPr>
          <w:sz w:val="24"/>
        </w:rPr>
        <w:t>discussions</w:t>
      </w:r>
      <w:r>
        <w:rPr>
          <w:spacing w:val="-5"/>
          <w:sz w:val="24"/>
        </w:rPr>
        <w:t xml:space="preserve"> </w:t>
      </w:r>
      <w:r>
        <w:rPr>
          <w:sz w:val="24"/>
        </w:rPr>
        <w:t>related</w:t>
      </w:r>
      <w:r>
        <w:rPr>
          <w:spacing w:val="-5"/>
          <w:sz w:val="24"/>
        </w:rPr>
        <w:t xml:space="preserve"> </w:t>
      </w:r>
      <w:r>
        <w:rPr>
          <w:sz w:val="24"/>
        </w:rPr>
        <w:t>to bid development.</w:t>
      </w:r>
    </w:p>
    <w:p>
      <w:pPr>
        <w:pStyle w:val="ListParagraph"/>
        <w:numPr>
          <w:ilvl w:val="0"/>
          <w:numId w:val="5"/>
        </w:numPr>
        <w:tabs>
          <w:tab w:val="left" w:pos="944"/>
        </w:tabs>
        <w:spacing w:before="41" w:after="0" w:line="240" w:lineRule="auto"/>
        <w:ind w:left="944" w:right="675" w:hanging="360"/>
        <w:jc w:val="left"/>
        <w:rPr>
          <w:sz w:val="24"/>
        </w:rPr>
      </w:pPr>
      <w:r>
        <w:rPr>
          <w:sz w:val="24"/>
        </w:rPr>
        <w:t>A</w:t>
      </w:r>
      <w:r>
        <w:rPr>
          <w:spacing w:val="-4"/>
          <w:sz w:val="24"/>
        </w:rPr>
        <w:t xml:space="preserve"> </w:t>
      </w:r>
      <w:r>
        <w:rPr>
          <w:sz w:val="24"/>
        </w:rPr>
        <w:t>complete</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data</w:t>
      </w:r>
      <w:r>
        <w:rPr>
          <w:spacing w:val="-4"/>
          <w:sz w:val="24"/>
        </w:rPr>
        <w:t xml:space="preserve"> </w:t>
      </w:r>
      <w:r>
        <w:rPr>
          <w:sz w:val="24"/>
        </w:rPr>
        <w:t>sources–for</w:t>
      </w:r>
      <w:r>
        <w:rPr>
          <w:spacing w:val="-4"/>
          <w:sz w:val="24"/>
        </w:rPr>
        <w:t xml:space="preserve"> </w:t>
      </w:r>
      <w:r>
        <w:rPr>
          <w:sz w:val="24"/>
        </w:rPr>
        <w:t>example,</w:t>
      </w:r>
      <w:r>
        <w:rPr>
          <w:spacing w:val="-4"/>
          <w:sz w:val="24"/>
        </w:rPr>
        <w:t xml:space="preserve"> </w:t>
      </w:r>
      <w:r>
        <w:rPr>
          <w:sz w:val="24"/>
        </w:rPr>
        <w:t>a</w:t>
      </w:r>
      <w:r>
        <w:rPr>
          <w:spacing w:val="-5"/>
          <w:sz w:val="24"/>
        </w:rPr>
        <w:t xml:space="preserve"> </w:t>
      </w:r>
      <w:r>
        <w:rPr>
          <w:sz w:val="24"/>
        </w:rPr>
        <w:t>report’s</w:t>
      </w:r>
      <w:r>
        <w:rPr>
          <w:spacing w:val="-4"/>
          <w:sz w:val="24"/>
        </w:rPr>
        <w:t xml:space="preserve"> </w:t>
      </w:r>
      <w:r>
        <w:rPr>
          <w:sz w:val="24"/>
        </w:rPr>
        <w:t>official</w:t>
      </w:r>
      <w:r>
        <w:rPr>
          <w:spacing w:val="-4"/>
          <w:sz w:val="24"/>
        </w:rPr>
        <w:t xml:space="preserve"> </w:t>
      </w:r>
      <w:r>
        <w:rPr>
          <w:sz w:val="24"/>
        </w:rPr>
        <w:t>name/title,</w:t>
      </w:r>
      <w:r>
        <w:rPr>
          <w:spacing w:val="-4"/>
          <w:sz w:val="24"/>
        </w:rPr>
        <w:t xml:space="preserve"> </w:t>
      </w:r>
      <w:r>
        <w:rPr>
          <w:sz w:val="24"/>
        </w:rPr>
        <w:t>file name, date obtained, source file, the precise name of any published tables used, etc.</w:t>
      </w:r>
    </w:p>
    <w:p>
      <w:pPr>
        <w:pStyle w:val="ListParagraph"/>
        <w:numPr>
          <w:ilvl w:val="0"/>
          <w:numId w:val="5"/>
        </w:numPr>
        <w:tabs>
          <w:tab w:val="left" w:pos="944"/>
        </w:tabs>
        <w:spacing w:before="38" w:after="0" w:line="240" w:lineRule="auto"/>
        <w:ind w:left="944" w:right="0" w:hanging="360"/>
        <w:jc w:val="left"/>
        <w:rPr>
          <w:sz w:val="24"/>
        </w:rPr>
      </w:pPr>
      <w:r>
        <w:rPr>
          <w:sz w:val="24"/>
        </w:rPr>
        <w:t>Intermediate</w:t>
      </w:r>
      <w:r>
        <w:rPr>
          <w:spacing w:val="-3"/>
          <w:sz w:val="24"/>
        </w:rPr>
        <w:t xml:space="preserve"> </w:t>
      </w:r>
      <w:r>
        <w:rPr>
          <w:sz w:val="24"/>
        </w:rPr>
        <w:t>calculations showing</w:t>
      </w:r>
      <w:r>
        <w:rPr>
          <w:spacing w:val="-2"/>
          <w:sz w:val="24"/>
        </w:rPr>
        <w:t xml:space="preserve"> </w:t>
      </w:r>
      <w:r>
        <w:rPr>
          <w:sz w:val="24"/>
        </w:rPr>
        <w:t>each</w:t>
      </w:r>
      <w:r>
        <w:rPr>
          <w:spacing w:val="-2"/>
          <w:sz w:val="24"/>
        </w:rPr>
        <w:t xml:space="preserve"> </w:t>
      </w:r>
      <w:r>
        <w:rPr>
          <w:sz w:val="24"/>
        </w:rPr>
        <w:t>step</w:t>
      </w:r>
      <w:r>
        <w:rPr>
          <w:spacing w:val="-2"/>
          <w:sz w:val="24"/>
        </w:rPr>
        <w:t xml:space="preserve"> </w:t>
      </w:r>
      <w:r>
        <w:rPr>
          <w:sz w:val="24"/>
        </w:rPr>
        <w:t>taken to</w:t>
      </w:r>
      <w:r>
        <w:rPr>
          <w:spacing w:val="-2"/>
          <w:sz w:val="24"/>
        </w:rPr>
        <w:t xml:space="preserve"> </w:t>
      </w:r>
      <w:r>
        <w:rPr>
          <w:sz w:val="24"/>
        </w:rPr>
        <w:t>calculate</w:t>
      </w:r>
      <w:r>
        <w:rPr>
          <w:spacing w:val="-2"/>
          <w:sz w:val="24"/>
        </w:rPr>
        <w:t xml:space="preserve"> </w:t>
      </w:r>
      <w:r>
        <w:rPr>
          <w:sz w:val="24"/>
        </w:rPr>
        <w:t>an</w:t>
      </w:r>
      <w:r>
        <w:rPr>
          <w:spacing w:val="1"/>
          <w:sz w:val="24"/>
        </w:rPr>
        <w:t xml:space="preserve"> </w:t>
      </w:r>
      <w:r>
        <w:rPr>
          <w:spacing w:val="-2"/>
          <w:sz w:val="24"/>
        </w:rPr>
        <w:t>assumption.</w:t>
      </w:r>
    </w:p>
    <w:p>
      <w:pPr>
        <w:pStyle w:val="ListParagraph"/>
        <w:numPr>
          <w:ilvl w:val="0"/>
          <w:numId w:val="5"/>
        </w:numPr>
        <w:tabs>
          <w:tab w:val="left" w:pos="944"/>
        </w:tabs>
        <w:spacing w:before="41" w:after="0" w:line="240" w:lineRule="auto"/>
        <w:ind w:left="944" w:right="0" w:hanging="360"/>
        <w:jc w:val="left"/>
        <w:rPr>
          <w:sz w:val="24"/>
        </w:rPr>
      </w:pPr>
      <w:r>
        <w:rPr>
          <w:sz w:val="24"/>
        </w:rPr>
        <w:t>A</w:t>
      </w:r>
      <w:r>
        <w:rPr>
          <w:spacing w:val="-4"/>
          <w:sz w:val="24"/>
        </w:rPr>
        <w:t xml:space="preserve"> </w:t>
      </w:r>
      <w:r>
        <w:rPr>
          <w:sz w:val="24"/>
        </w:rPr>
        <w:t>summary</w:t>
      </w:r>
      <w:r>
        <w:rPr>
          <w:spacing w:val="-1"/>
          <w:sz w:val="24"/>
        </w:rPr>
        <w:t xml:space="preserve"> </w:t>
      </w:r>
      <w:r>
        <w:rPr>
          <w:sz w:val="24"/>
        </w:rPr>
        <w:t>of</w:t>
      </w:r>
      <w:r>
        <w:rPr>
          <w:spacing w:val="-3"/>
          <w:sz w:val="24"/>
        </w:rPr>
        <w:t xml:space="preserve"> </w:t>
      </w:r>
      <w:r>
        <w:rPr>
          <w:sz w:val="24"/>
        </w:rPr>
        <w:t>contractual</w:t>
      </w:r>
      <w:r>
        <w:rPr>
          <w:spacing w:val="-1"/>
          <w:sz w:val="24"/>
        </w:rPr>
        <w:t xml:space="preserve"> </w:t>
      </w:r>
      <w:r>
        <w:rPr>
          <w:sz w:val="24"/>
        </w:rPr>
        <w:t>terms</w:t>
      </w:r>
      <w:r>
        <w:rPr>
          <w:spacing w:val="-2"/>
          <w:sz w:val="24"/>
        </w:rPr>
        <w:t xml:space="preserve"> </w:t>
      </w:r>
      <w:r>
        <w:rPr>
          <w:sz w:val="24"/>
        </w:rPr>
        <w:t>of</w:t>
      </w:r>
      <w:r>
        <w:rPr>
          <w:spacing w:val="-2"/>
          <w:sz w:val="24"/>
        </w:rPr>
        <w:t xml:space="preserve"> </w:t>
      </w:r>
      <w:r>
        <w:rPr>
          <w:sz w:val="24"/>
        </w:rPr>
        <w:t>administrative</w:t>
      </w:r>
      <w:r>
        <w:rPr>
          <w:spacing w:val="-2"/>
          <w:sz w:val="24"/>
        </w:rPr>
        <w:t xml:space="preserve"> </w:t>
      </w:r>
      <w:r>
        <w:rPr>
          <w:sz w:val="24"/>
        </w:rPr>
        <w:t>services</w:t>
      </w:r>
      <w:r>
        <w:rPr>
          <w:spacing w:val="2"/>
          <w:sz w:val="24"/>
        </w:rPr>
        <w:t xml:space="preserve"> </w:t>
      </w:r>
      <w:r>
        <w:rPr>
          <w:spacing w:val="-2"/>
          <w:sz w:val="24"/>
        </w:rPr>
        <w:t>arrangements.</w:t>
      </w:r>
    </w:p>
    <w:p>
      <w:pPr>
        <w:pStyle w:val="ListParagraph"/>
        <w:numPr>
          <w:ilvl w:val="0"/>
          <w:numId w:val="5"/>
        </w:numPr>
        <w:tabs>
          <w:tab w:val="left" w:pos="944"/>
        </w:tabs>
        <w:spacing w:before="41" w:after="0" w:line="240" w:lineRule="auto"/>
        <w:ind w:left="944" w:right="0" w:hanging="360"/>
        <w:jc w:val="left"/>
        <w:rPr>
          <w:sz w:val="24"/>
        </w:rPr>
      </w:pPr>
      <w:r>
        <w:rPr>
          <w:sz w:val="24"/>
        </w:rPr>
        <w:t xml:space="preserve">A business </w:t>
      </w:r>
      <w:r>
        <w:rPr>
          <w:spacing w:val="-2"/>
          <w:sz w:val="24"/>
        </w:rPr>
        <w:t>plan.</w:t>
      </w:r>
    </w:p>
    <w:p>
      <w:pPr>
        <w:pStyle w:val="BodyText"/>
        <w:spacing w:before="118" w:line="242" w:lineRule="auto"/>
        <w:ind w:left="224"/>
      </w:pPr>
      <w:r>
        <w:t>Supporting</w:t>
      </w:r>
      <w:r>
        <w:rPr>
          <w:spacing w:val="-3"/>
        </w:rPr>
        <w:t xml:space="preserve"> </w:t>
      </w:r>
      <w:r>
        <w:t>documentation</w:t>
      </w:r>
      <w:r>
        <w:rPr>
          <w:spacing w:val="-3"/>
        </w:rPr>
        <w:t xml:space="preserve"> </w:t>
      </w:r>
      <w:r>
        <w:t>that</w:t>
      </w:r>
      <w:r>
        <w:rPr>
          <w:spacing w:val="-3"/>
        </w:rPr>
        <w:t xml:space="preserve"> </w:t>
      </w:r>
      <w:r>
        <w:t>is</w:t>
      </w:r>
      <w:r>
        <w:rPr>
          <w:spacing w:val="-3"/>
        </w:rPr>
        <w:t xml:space="preserve"> </w:t>
      </w:r>
      <w:r>
        <w:t>not</w:t>
      </w:r>
      <w:r>
        <w:rPr>
          <w:spacing w:val="-3"/>
        </w:rPr>
        <w:t xml:space="preserve"> </w:t>
      </w:r>
      <w:r>
        <w:t>acceptable</w:t>
      </w:r>
      <w:r>
        <w:rPr>
          <w:spacing w:val="-2"/>
        </w:rPr>
        <w:t xml:space="preserve"> </w:t>
      </w:r>
      <w:r>
        <w:t>or</w:t>
      </w:r>
      <w:r>
        <w:rPr>
          <w:spacing w:val="-3"/>
        </w:rPr>
        <w:t xml:space="preserve"> </w:t>
      </w:r>
      <w:r>
        <w:t>that</w:t>
      </w:r>
      <w:r>
        <w:rPr>
          <w:spacing w:val="-3"/>
        </w:rPr>
        <w:t xml:space="preserve"> </w:t>
      </w:r>
      <w:r>
        <w:t>may</w:t>
      </w:r>
      <w:r>
        <w:rPr>
          <w:spacing w:val="-2"/>
        </w:rPr>
        <w:t xml:space="preserve"> </w:t>
      </w:r>
      <w:r>
        <w:t>result</w:t>
      </w:r>
      <w:r>
        <w:rPr>
          <w:spacing w:val="-3"/>
        </w:rPr>
        <w:t xml:space="preserve"> </w:t>
      </w:r>
      <w:r>
        <w:t>in</w:t>
      </w:r>
      <w:r>
        <w:rPr>
          <w:spacing w:val="-3"/>
        </w:rPr>
        <w:t xml:space="preserve"> </w:t>
      </w:r>
      <w:r>
        <w:t>a</w:t>
      </w:r>
      <w:r>
        <w:rPr>
          <w:spacing w:val="-3"/>
        </w:rPr>
        <w:t xml:space="preserve"> </w:t>
      </w:r>
      <w:r>
        <w:t>request</w:t>
      </w:r>
      <w:r>
        <w:rPr>
          <w:spacing w:val="-3"/>
        </w:rPr>
        <w:t xml:space="preserve"> </w:t>
      </w:r>
      <w:r>
        <w:t>for</w:t>
      </w:r>
      <w:r>
        <w:rPr>
          <w:spacing w:val="-4"/>
        </w:rPr>
        <w:t xml:space="preserve"> </w:t>
      </w:r>
      <w:r>
        <w:t>additional information includes, but is not limited to, the following items:</w:t>
      </w:r>
    </w:p>
    <w:p>
      <w:pPr>
        <w:pStyle w:val="ListParagraph"/>
        <w:numPr>
          <w:ilvl w:val="0"/>
          <w:numId w:val="5"/>
        </w:numPr>
        <w:tabs>
          <w:tab w:val="left" w:pos="944"/>
        </w:tabs>
        <w:spacing w:before="117" w:after="0" w:line="240" w:lineRule="auto"/>
        <w:ind w:left="944" w:right="0" w:hanging="360"/>
        <w:jc w:val="left"/>
        <w:rPr>
          <w:sz w:val="24"/>
        </w:rPr>
      </w:pPr>
      <w:r>
        <w:rPr>
          <w:sz w:val="24"/>
        </w:rPr>
        <w:t>Materials</w:t>
      </w:r>
      <w:r>
        <w:rPr>
          <w:spacing w:val="-3"/>
          <w:sz w:val="24"/>
        </w:rPr>
        <w:t xml:space="preserve"> </w:t>
      </w:r>
      <w:r>
        <w:rPr>
          <w:sz w:val="24"/>
        </w:rPr>
        <w:t>that</w:t>
      </w:r>
      <w:r>
        <w:rPr>
          <w:spacing w:val="-1"/>
          <w:sz w:val="24"/>
        </w:rPr>
        <w:t xml:space="preserve"> </w:t>
      </w:r>
      <w:r>
        <w:rPr>
          <w:sz w:val="24"/>
        </w:rPr>
        <w:t>are</w:t>
      </w:r>
      <w:r>
        <w:rPr>
          <w:spacing w:val="-2"/>
          <w:sz w:val="24"/>
        </w:rPr>
        <w:t xml:space="preserve"> </w:t>
      </w:r>
      <w:r>
        <w:rPr>
          <w:sz w:val="24"/>
        </w:rPr>
        <w:t>accessible</w:t>
      </w:r>
      <w:r>
        <w:rPr>
          <w:spacing w:val="-2"/>
          <w:sz w:val="24"/>
        </w:rPr>
        <w:t xml:space="preserve"> </w:t>
      </w:r>
      <w:r>
        <w:rPr>
          <w:sz w:val="24"/>
        </w:rPr>
        <w:t>only through</w:t>
      </w:r>
      <w:r>
        <w:rPr>
          <w:spacing w:val="-1"/>
          <w:sz w:val="24"/>
        </w:rPr>
        <w:t xml:space="preserve"> </w:t>
      </w:r>
      <w:r>
        <w:rPr>
          <w:sz w:val="24"/>
        </w:rPr>
        <w:t>a</w:t>
      </w:r>
      <w:r>
        <w:rPr>
          <w:spacing w:val="-2"/>
          <w:sz w:val="24"/>
        </w:rPr>
        <w:t xml:space="preserve"> </w:t>
      </w:r>
      <w:r>
        <w:rPr>
          <w:sz w:val="24"/>
        </w:rPr>
        <w:t>secure server link</w:t>
      </w:r>
      <w:r>
        <w:rPr>
          <w:spacing w:val="-1"/>
          <w:sz w:val="24"/>
        </w:rPr>
        <w:t xml:space="preserve"> </w:t>
      </w:r>
      <w:r>
        <w:rPr>
          <w:sz w:val="24"/>
        </w:rPr>
        <w:t>that</w:t>
      </w:r>
      <w:r>
        <w:rPr>
          <w:spacing w:val="-1"/>
          <w:sz w:val="24"/>
        </w:rPr>
        <w:t xml:space="preserve"> </w:t>
      </w:r>
      <w:r>
        <w:rPr>
          <w:sz w:val="24"/>
        </w:rPr>
        <w:t>requires</w:t>
      </w:r>
      <w:r>
        <w:rPr>
          <w:spacing w:val="1"/>
          <w:sz w:val="24"/>
        </w:rPr>
        <w:t xml:space="preserve"> </w:t>
      </w:r>
      <w:r>
        <w:rPr>
          <w:sz w:val="24"/>
        </w:rPr>
        <w:t>a</w:t>
      </w:r>
      <w:r>
        <w:rPr>
          <w:spacing w:val="-1"/>
          <w:sz w:val="24"/>
        </w:rPr>
        <w:t xml:space="preserve"> </w:t>
      </w:r>
      <w:r>
        <w:rPr>
          <w:spacing w:val="-2"/>
          <w:sz w:val="24"/>
        </w:rPr>
        <w:t>password.</w:t>
      </w:r>
    </w:p>
    <w:p>
      <w:pPr>
        <w:pStyle w:val="ListParagraph"/>
        <w:numPr>
          <w:ilvl w:val="0"/>
          <w:numId w:val="5"/>
        </w:numPr>
        <w:tabs>
          <w:tab w:val="left" w:pos="944"/>
        </w:tabs>
        <w:spacing w:before="38" w:after="0" w:line="240" w:lineRule="auto"/>
        <w:ind w:left="944" w:right="474" w:hanging="360"/>
        <w:jc w:val="left"/>
        <w:rPr>
          <w:sz w:val="24"/>
        </w:rPr>
      </w:pPr>
      <w:r>
        <w:rPr>
          <w:sz w:val="24"/>
        </w:rPr>
        <w:t>A reference to the supporting documentation for another plan, such as “the same as for plan</w:t>
      </w:r>
      <w:r>
        <w:rPr>
          <w:spacing w:val="-4"/>
          <w:sz w:val="24"/>
        </w:rPr>
        <w:t xml:space="preserve"> </w:t>
      </w:r>
      <w:r>
        <w:rPr>
          <w:sz w:val="24"/>
        </w:rPr>
        <w:t>Hxxxx-xxx,”</w:t>
      </w:r>
      <w:r>
        <w:rPr>
          <w:spacing w:val="-3"/>
          <w:sz w:val="24"/>
        </w:rPr>
        <w:t xml:space="preserve"> </w:t>
      </w:r>
      <w:r>
        <w:rPr>
          <w:sz w:val="24"/>
        </w:rPr>
        <w:t>and</w:t>
      </w:r>
      <w:r>
        <w:rPr>
          <w:spacing w:val="-4"/>
          <w:sz w:val="24"/>
        </w:rPr>
        <w:t xml:space="preserve"> </w:t>
      </w:r>
      <w:r>
        <w:rPr>
          <w:sz w:val="24"/>
        </w:rPr>
        <w:t>not</w:t>
      </w:r>
      <w:r>
        <w:rPr>
          <w:spacing w:val="-4"/>
          <w:sz w:val="24"/>
        </w:rPr>
        <w:t xml:space="preserve"> </w:t>
      </w:r>
      <w:r>
        <w:rPr>
          <w:sz w:val="24"/>
        </w:rPr>
        <w:t>the</w:t>
      </w:r>
      <w:r>
        <w:rPr>
          <w:spacing w:val="-4"/>
          <w:sz w:val="24"/>
        </w:rPr>
        <w:t xml:space="preserve"> </w:t>
      </w:r>
      <w:r>
        <w:rPr>
          <w:sz w:val="24"/>
        </w:rPr>
        <w:t>documentation</w:t>
      </w:r>
      <w:r>
        <w:rPr>
          <w:spacing w:val="-4"/>
          <w:sz w:val="24"/>
        </w:rPr>
        <w:t xml:space="preserve"> </w:t>
      </w:r>
      <w:r>
        <w:rPr>
          <w:sz w:val="24"/>
        </w:rPr>
        <w:t>itself.</w:t>
      </w:r>
      <w:r>
        <w:rPr>
          <w:spacing w:val="-4"/>
          <w:sz w:val="24"/>
        </w:rPr>
        <w:t xml:space="preserve"> </w:t>
      </w:r>
      <w:r>
        <w:rPr>
          <w:sz w:val="24"/>
        </w:rPr>
        <w:t>The</w:t>
      </w:r>
      <w:r>
        <w:rPr>
          <w:spacing w:val="-5"/>
          <w:sz w:val="24"/>
        </w:rPr>
        <w:t xml:space="preserve"> </w:t>
      </w:r>
      <w:r>
        <w:rPr>
          <w:sz w:val="24"/>
        </w:rPr>
        <w:t>supporting</w:t>
      </w:r>
      <w:r>
        <w:rPr>
          <w:spacing w:val="-4"/>
          <w:sz w:val="24"/>
        </w:rPr>
        <w:t xml:space="preserve"> </w:t>
      </w:r>
      <w:r>
        <w:rPr>
          <w:sz w:val="24"/>
        </w:rPr>
        <w:t>documentation</w:t>
      </w:r>
      <w:r>
        <w:rPr>
          <w:spacing w:val="-4"/>
          <w:sz w:val="24"/>
        </w:rPr>
        <w:t xml:space="preserve"> </w:t>
      </w:r>
      <w:r>
        <w:rPr>
          <w:sz w:val="24"/>
        </w:rPr>
        <w:t>for</w:t>
      </w:r>
      <w:r>
        <w:rPr>
          <w:spacing w:val="-4"/>
          <w:sz w:val="24"/>
        </w:rPr>
        <w:t xml:space="preserve"> </w:t>
      </w:r>
      <w:r>
        <w:rPr>
          <w:sz w:val="24"/>
        </w:rPr>
        <w:t>a bid must be self-contained.</w:t>
      </w:r>
    </w:p>
    <w:p>
      <w:pPr>
        <w:pStyle w:val="ListParagraph"/>
        <w:numPr>
          <w:ilvl w:val="0"/>
          <w:numId w:val="5"/>
        </w:numPr>
        <w:tabs>
          <w:tab w:val="left" w:pos="944"/>
        </w:tabs>
        <w:spacing w:before="41" w:after="0" w:line="240" w:lineRule="auto"/>
        <w:ind w:left="944" w:right="456" w:hanging="360"/>
        <w:jc w:val="left"/>
        <w:rPr>
          <w:sz w:val="24"/>
        </w:rPr>
      </w:pPr>
      <w:r>
        <w:rPr>
          <w:sz w:val="24"/>
        </w:rPr>
        <w:t>Excel</w:t>
      </w:r>
      <w:r>
        <w:rPr>
          <w:spacing w:val="-4"/>
          <w:sz w:val="24"/>
        </w:rPr>
        <w:t xml:space="preserve"> </w:t>
      </w:r>
      <w:r>
        <w:rPr>
          <w:sz w:val="24"/>
        </w:rPr>
        <w:t>spreadsheets</w:t>
      </w:r>
      <w:r>
        <w:rPr>
          <w:spacing w:val="-4"/>
          <w:sz w:val="24"/>
        </w:rPr>
        <w:t xml:space="preserve"> </w:t>
      </w:r>
      <w:r>
        <w:rPr>
          <w:sz w:val="24"/>
        </w:rPr>
        <w:t>with</w:t>
      </w:r>
      <w:r>
        <w:rPr>
          <w:spacing w:val="-1"/>
          <w:sz w:val="24"/>
        </w:rPr>
        <w:t xml:space="preserve"> </w:t>
      </w:r>
      <w:r>
        <w:rPr>
          <w:sz w:val="24"/>
        </w:rPr>
        <w:t>a</w:t>
      </w:r>
      <w:r>
        <w:rPr>
          <w:spacing w:val="-5"/>
          <w:sz w:val="24"/>
        </w:rPr>
        <w:t xml:space="preserve"> </w:t>
      </w:r>
      <w:r>
        <w:rPr>
          <w:sz w:val="24"/>
        </w:rPr>
        <w:t>vague</w:t>
      </w:r>
      <w:r>
        <w:rPr>
          <w:spacing w:val="-3"/>
          <w:sz w:val="24"/>
        </w:rPr>
        <w:t xml:space="preserve"> </w:t>
      </w:r>
      <w:r>
        <w:rPr>
          <w:sz w:val="24"/>
        </w:rPr>
        <w:t>explanation</w:t>
      </w:r>
      <w:r>
        <w:rPr>
          <w:spacing w:val="-4"/>
          <w:sz w:val="24"/>
        </w:rPr>
        <w:t xml:space="preserve"> </w:t>
      </w:r>
      <w:r>
        <w:rPr>
          <w:sz w:val="24"/>
        </w:rPr>
        <w:t>or</w:t>
      </w:r>
      <w:r>
        <w:rPr>
          <w:spacing w:val="-4"/>
          <w:sz w:val="24"/>
        </w:rPr>
        <w:t xml:space="preserve"> </w:t>
      </w:r>
      <w:r>
        <w:rPr>
          <w:sz w:val="24"/>
        </w:rPr>
        <w:t>no</w:t>
      </w:r>
      <w:r>
        <w:rPr>
          <w:spacing w:val="-4"/>
          <w:sz w:val="24"/>
        </w:rPr>
        <w:t xml:space="preserve"> </w:t>
      </w:r>
      <w:r>
        <w:rPr>
          <w:sz w:val="24"/>
        </w:rPr>
        <w:t>explanation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bid-specific</w:t>
      </w:r>
      <w:r>
        <w:rPr>
          <w:spacing w:val="-5"/>
          <w:sz w:val="24"/>
        </w:rPr>
        <w:t xml:space="preserve"> </w:t>
      </w:r>
      <w:r>
        <w:rPr>
          <w:sz w:val="24"/>
        </w:rPr>
        <w:t>inputs and calculations.</w:t>
      </w:r>
    </w:p>
    <w:p>
      <w:pPr>
        <w:pStyle w:val="ListParagraph"/>
        <w:numPr>
          <w:ilvl w:val="0"/>
          <w:numId w:val="5"/>
        </w:numPr>
        <w:tabs>
          <w:tab w:val="left" w:pos="944"/>
        </w:tabs>
        <w:spacing w:before="39" w:after="0" w:line="240" w:lineRule="auto"/>
        <w:ind w:left="944" w:right="742" w:hanging="360"/>
        <w:jc w:val="left"/>
        <w:rPr>
          <w:sz w:val="24"/>
        </w:rPr>
      </w:pPr>
      <w:r>
        <w:rPr>
          <w:sz w:val="24"/>
        </w:rPr>
        <w:t>Excel</w:t>
      </w:r>
      <w:r>
        <w:rPr>
          <w:spacing w:val="-4"/>
          <w:sz w:val="24"/>
        </w:rPr>
        <w:t xml:space="preserve"> </w:t>
      </w:r>
      <w:r>
        <w:rPr>
          <w:sz w:val="24"/>
        </w:rPr>
        <w:t>spreadsheets</w:t>
      </w:r>
      <w:r>
        <w:rPr>
          <w:spacing w:val="-4"/>
          <w:sz w:val="24"/>
        </w:rPr>
        <w:t xml:space="preserve"> </w:t>
      </w:r>
      <w:r>
        <w:rPr>
          <w:sz w:val="24"/>
        </w:rPr>
        <w:t>with</w:t>
      </w:r>
      <w:r>
        <w:rPr>
          <w:spacing w:val="-2"/>
          <w:sz w:val="24"/>
        </w:rPr>
        <w:t xml:space="preserve"> </w:t>
      </w:r>
      <w:r>
        <w:rPr>
          <w:sz w:val="24"/>
        </w:rPr>
        <w:t>data</w:t>
      </w:r>
      <w:r>
        <w:rPr>
          <w:spacing w:val="-4"/>
          <w:sz w:val="24"/>
        </w:rPr>
        <w:t xml:space="preserve"> </w:t>
      </w:r>
      <w:r>
        <w:rPr>
          <w:sz w:val="24"/>
        </w:rPr>
        <w:t>that</w:t>
      </w:r>
      <w:r>
        <w:rPr>
          <w:spacing w:val="-4"/>
          <w:sz w:val="24"/>
        </w:rPr>
        <w:t xml:space="preserve"> </w:t>
      </w:r>
      <w:r>
        <w:rPr>
          <w:sz w:val="24"/>
        </w:rPr>
        <w:t>cannot</w:t>
      </w:r>
      <w:r>
        <w:rPr>
          <w:spacing w:val="-4"/>
          <w:sz w:val="24"/>
        </w:rPr>
        <w:t xml:space="preserve"> </w:t>
      </w:r>
      <w:r>
        <w:rPr>
          <w:sz w:val="24"/>
        </w:rPr>
        <w:t>be</w:t>
      </w:r>
      <w:r>
        <w:rPr>
          <w:spacing w:val="-5"/>
          <w:sz w:val="24"/>
        </w:rPr>
        <w:t xml:space="preserve"> </w:t>
      </w:r>
      <w:r>
        <w:rPr>
          <w:sz w:val="24"/>
        </w:rPr>
        <w:t>directly</w:t>
      </w:r>
      <w:r>
        <w:rPr>
          <w:spacing w:val="-4"/>
          <w:sz w:val="24"/>
        </w:rPr>
        <w:t xml:space="preserve"> </w:t>
      </w:r>
      <w:r>
        <w:rPr>
          <w:sz w:val="24"/>
        </w:rPr>
        <w:t>traced</w:t>
      </w:r>
      <w:r>
        <w:rPr>
          <w:spacing w:val="-4"/>
          <w:sz w:val="24"/>
        </w:rPr>
        <w:t xml:space="preserve"> </w:t>
      </w:r>
      <w:r>
        <w:rPr>
          <w:sz w:val="24"/>
        </w:rPr>
        <w:t>back</w:t>
      </w:r>
      <w:r>
        <w:rPr>
          <w:spacing w:val="-4"/>
          <w:sz w:val="24"/>
        </w:rPr>
        <w:t xml:space="preserve"> </w:t>
      </w:r>
      <w:r>
        <w:rPr>
          <w:sz w:val="24"/>
        </w:rPr>
        <w:t>to</w:t>
      </w:r>
      <w:r>
        <w:rPr>
          <w:spacing w:val="-4"/>
          <w:sz w:val="24"/>
        </w:rPr>
        <w:t xml:space="preserve"> </w:t>
      </w:r>
      <w:r>
        <w:rPr>
          <w:sz w:val="24"/>
        </w:rPr>
        <w:t>data</w:t>
      </w:r>
      <w:r>
        <w:rPr>
          <w:spacing w:val="-3"/>
          <w:sz w:val="24"/>
        </w:rPr>
        <w:t xml:space="preserve"> </w:t>
      </w:r>
      <w:r>
        <w:rPr>
          <w:sz w:val="24"/>
        </w:rPr>
        <w:t>entered</w:t>
      </w:r>
      <w:r>
        <w:rPr>
          <w:spacing w:val="-4"/>
          <w:sz w:val="24"/>
        </w:rPr>
        <w:t xml:space="preserve"> </w:t>
      </w:r>
      <w:r>
        <w:rPr>
          <w:sz w:val="24"/>
        </w:rPr>
        <w:t>in</w:t>
      </w:r>
      <w:r>
        <w:rPr>
          <w:spacing w:val="-4"/>
          <w:sz w:val="24"/>
        </w:rPr>
        <w:t xml:space="preserve"> </w:t>
      </w:r>
      <w:r>
        <w:rPr>
          <w:sz w:val="24"/>
        </w:rPr>
        <w:t xml:space="preserve">the </w:t>
      </w:r>
      <w:r>
        <w:rPr>
          <w:spacing w:val="-4"/>
          <w:sz w:val="24"/>
        </w:rPr>
        <w:t>BPT.</w:t>
      </w:r>
    </w:p>
    <w:p>
      <w:pPr>
        <w:pStyle w:val="ListParagraph"/>
        <w:numPr>
          <w:ilvl w:val="0"/>
          <w:numId w:val="5"/>
        </w:numPr>
        <w:tabs>
          <w:tab w:val="left" w:pos="944"/>
        </w:tabs>
        <w:spacing w:before="40" w:after="0" w:line="240" w:lineRule="auto"/>
        <w:ind w:left="944" w:right="0" w:hanging="360"/>
        <w:jc w:val="left"/>
        <w:rPr>
          <w:sz w:val="24"/>
        </w:rPr>
      </w:pPr>
      <w:r>
        <w:rPr>
          <w:sz w:val="24"/>
        </w:rPr>
        <w:t>PDF</w:t>
      </w:r>
      <w:r>
        <w:rPr>
          <w:spacing w:val="-3"/>
          <w:sz w:val="24"/>
        </w:rPr>
        <w:t xml:space="preserve"> </w:t>
      </w:r>
      <w:r>
        <w:rPr>
          <w:sz w:val="24"/>
        </w:rPr>
        <w:t>files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“copy”</w:t>
      </w:r>
      <w:r>
        <w:rPr>
          <w:spacing w:val="-2"/>
          <w:sz w:val="24"/>
        </w:rPr>
        <w:t xml:space="preserve"> </w:t>
      </w:r>
      <w:r>
        <w:rPr>
          <w:sz w:val="24"/>
        </w:rPr>
        <w:t xml:space="preserve">function </w:t>
      </w:r>
      <w:r>
        <w:rPr>
          <w:spacing w:val="-2"/>
          <w:sz w:val="24"/>
        </w:rPr>
        <w:t>disabled.</w:t>
      </w:r>
    </w:p>
    <w:p>
      <w:pPr>
        <w:pStyle w:val="ListParagraph"/>
        <w:numPr>
          <w:ilvl w:val="0"/>
          <w:numId w:val="5"/>
        </w:numPr>
        <w:tabs>
          <w:tab w:val="left" w:pos="944"/>
        </w:tabs>
        <w:spacing w:before="42" w:after="0" w:line="240" w:lineRule="auto"/>
        <w:ind w:left="944" w:right="582" w:hanging="360"/>
        <w:jc w:val="left"/>
        <w:rPr>
          <w:sz w:val="24"/>
        </w:rPr>
      </w:pPr>
      <w:r>
        <w:rPr>
          <w:sz w:val="24"/>
        </w:rPr>
        <w:t>A</w:t>
      </w:r>
      <w:r>
        <w:rPr>
          <w:spacing w:val="-4"/>
          <w:sz w:val="24"/>
        </w:rPr>
        <w:t xml:space="preserve"> </w:t>
      </w:r>
      <w:r>
        <w:rPr>
          <w:sz w:val="24"/>
        </w:rPr>
        <w:t>statement</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source</w:t>
      </w:r>
      <w:r>
        <w:rPr>
          <w:spacing w:val="-4"/>
          <w:sz w:val="24"/>
        </w:rPr>
        <w:t xml:space="preserve"> </w:t>
      </w:r>
      <w:r>
        <w:rPr>
          <w:sz w:val="24"/>
        </w:rPr>
        <w:t>of</w:t>
      </w:r>
      <w:r>
        <w:rPr>
          <w:spacing w:val="-3"/>
          <w:sz w:val="24"/>
        </w:rPr>
        <w:t xml:space="preserve"> </w:t>
      </w:r>
      <w:r>
        <w:rPr>
          <w:sz w:val="24"/>
        </w:rPr>
        <w:t>a</w:t>
      </w:r>
      <w:r>
        <w:rPr>
          <w:spacing w:val="-5"/>
          <w:sz w:val="24"/>
        </w:rPr>
        <w:t xml:space="preserve"> </w:t>
      </w:r>
      <w:r>
        <w:rPr>
          <w:sz w:val="24"/>
        </w:rPr>
        <w:t>pricing</w:t>
      </w:r>
      <w:r>
        <w:rPr>
          <w:spacing w:val="-3"/>
          <w:sz w:val="24"/>
        </w:rPr>
        <w:t xml:space="preserve"> </w:t>
      </w:r>
      <w:r>
        <w:rPr>
          <w:sz w:val="24"/>
        </w:rPr>
        <w:t>assumption</w:t>
      </w:r>
      <w:r>
        <w:rPr>
          <w:spacing w:val="-3"/>
          <w:sz w:val="24"/>
        </w:rPr>
        <w:t xml:space="preserve"> </w:t>
      </w:r>
      <w:r>
        <w:rPr>
          <w:sz w:val="24"/>
        </w:rPr>
        <w:t>is</w:t>
      </w:r>
      <w:r>
        <w:rPr>
          <w:spacing w:val="-4"/>
          <w:sz w:val="24"/>
        </w:rPr>
        <w:t xml:space="preserve"> </w:t>
      </w:r>
      <w:r>
        <w:rPr>
          <w:sz w:val="24"/>
        </w:rPr>
        <w:t>“professional</w:t>
      </w:r>
      <w:r>
        <w:rPr>
          <w:spacing w:val="-3"/>
          <w:sz w:val="24"/>
        </w:rPr>
        <w:t xml:space="preserve"> </w:t>
      </w:r>
      <w:r>
        <w:rPr>
          <w:sz w:val="24"/>
        </w:rPr>
        <w:t>judgment”</w:t>
      </w:r>
      <w:r>
        <w:rPr>
          <w:spacing w:val="-4"/>
          <w:sz w:val="24"/>
        </w:rPr>
        <w:t xml:space="preserve"> </w:t>
      </w:r>
      <w:r>
        <w:rPr>
          <w:sz w:val="24"/>
        </w:rPr>
        <w:t>with</w:t>
      </w:r>
      <w:r>
        <w:rPr>
          <w:spacing w:val="-3"/>
          <w:sz w:val="24"/>
        </w:rPr>
        <w:t xml:space="preserve"> </w:t>
      </w:r>
      <w:r>
        <w:rPr>
          <w:sz w:val="24"/>
        </w:rPr>
        <w:t>no additional explanation of the data points underlying the assumptions–for example, supporting factors, studies or public information.</w:t>
      </w:r>
    </w:p>
    <w:p>
      <w:pPr>
        <w:pStyle w:val="ListParagraph"/>
        <w:numPr>
          <w:ilvl w:val="0"/>
          <w:numId w:val="5"/>
        </w:numPr>
        <w:tabs>
          <w:tab w:val="left" w:pos="944"/>
        </w:tabs>
        <w:spacing w:before="38" w:after="0" w:line="240" w:lineRule="auto"/>
        <w:ind w:left="944" w:right="855" w:hanging="360"/>
        <w:jc w:val="left"/>
        <w:rPr>
          <w:sz w:val="24"/>
        </w:rPr>
      </w:pPr>
      <w:r>
        <w:rPr>
          <w:sz w:val="24"/>
        </w:rPr>
        <w:t>Living</w:t>
      </w:r>
      <w:r>
        <w:rPr>
          <w:spacing w:val="-5"/>
          <w:sz w:val="24"/>
        </w:rPr>
        <w:t xml:space="preserve"> </w:t>
      </w:r>
      <w:r>
        <w:rPr>
          <w:sz w:val="24"/>
        </w:rPr>
        <w:t>worksheets</w:t>
      </w:r>
      <w:r>
        <w:rPr>
          <w:spacing w:val="-5"/>
          <w:sz w:val="24"/>
        </w:rPr>
        <w:t xml:space="preserve"> </w:t>
      </w:r>
      <w:r>
        <w:rPr>
          <w:sz w:val="24"/>
        </w:rPr>
        <w:t>that</w:t>
      </w:r>
      <w:r>
        <w:rPr>
          <w:spacing w:val="-5"/>
          <w:sz w:val="24"/>
        </w:rPr>
        <w:t xml:space="preserve"> </w:t>
      </w:r>
      <w:r>
        <w:rPr>
          <w:sz w:val="24"/>
        </w:rPr>
        <w:t>are</w:t>
      </w:r>
      <w:r>
        <w:rPr>
          <w:spacing w:val="-5"/>
          <w:sz w:val="24"/>
        </w:rPr>
        <w:t xml:space="preserve"> </w:t>
      </w:r>
      <w:r>
        <w:rPr>
          <w:sz w:val="24"/>
        </w:rPr>
        <w:t>overwritten</w:t>
      </w:r>
      <w:r>
        <w:rPr>
          <w:spacing w:val="-5"/>
          <w:sz w:val="24"/>
        </w:rPr>
        <w:t xml:space="preserve"> </w:t>
      </w:r>
      <w:r>
        <w:rPr>
          <w:sz w:val="24"/>
        </w:rPr>
        <w:t>with</w:t>
      </w:r>
      <w:r>
        <w:rPr>
          <w:spacing w:val="-5"/>
          <w:sz w:val="24"/>
        </w:rPr>
        <w:t xml:space="preserve"> </w:t>
      </w:r>
      <w:r>
        <w:rPr>
          <w:sz w:val="24"/>
        </w:rPr>
        <w:t>current</w:t>
      </w:r>
      <w:r>
        <w:rPr>
          <w:spacing w:val="-5"/>
          <w:sz w:val="24"/>
        </w:rPr>
        <w:t xml:space="preserve"> </w:t>
      </w:r>
      <w:r>
        <w:rPr>
          <w:sz w:val="24"/>
        </w:rPr>
        <w:t>data.</w:t>
      </w:r>
      <w:r>
        <w:rPr>
          <w:spacing w:val="-5"/>
          <w:sz w:val="24"/>
        </w:rPr>
        <w:t xml:space="preserve"> </w:t>
      </w:r>
      <w:r>
        <w:rPr>
          <w:sz w:val="24"/>
        </w:rPr>
        <w:t>Supporting</w:t>
      </w:r>
      <w:r>
        <w:rPr>
          <w:spacing w:val="-5"/>
          <w:sz w:val="24"/>
        </w:rPr>
        <w:t xml:space="preserve"> </w:t>
      </w:r>
      <w:r>
        <w:rPr>
          <w:sz w:val="24"/>
        </w:rPr>
        <w:t>documentation must include the version of the worksheet that was used in bid preparation.</w:t>
      </w:r>
    </w:p>
    <w:p>
      <w:pPr>
        <w:pStyle w:val="ListParagraph"/>
        <w:numPr>
          <w:ilvl w:val="0"/>
          <w:numId w:val="5"/>
        </w:numPr>
        <w:tabs>
          <w:tab w:val="left" w:pos="944"/>
        </w:tabs>
        <w:spacing w:before="41" w:after="0" w:line="240" w:lineRule="auto"/>
        <w:ind w:left="944" w:right="0" w:hanging="360"/>
        <w:jc w:val="left"/>
        <w:rPr>
          <w:sz w:val="24"/>
        </w:rPr>
      </w:pPr>
      <w:r>
        <w:rPr>
          <w:sz w:val="24"/>
        </w:rPr>
        <w:t>Information</w:t>
      </w:r>
      <w:r>
        <w:rPr>
          <w:spacing w:val="-2"/>
          <w:sz w:val="24"/>
        </w:rPr>
        <w:t xml:space="preserve"> </w:t>
      </w:r>
      <w:r>
        <w:rPr>
          <w:sz w:val="24"/>
        </w:rPr>
        <w:t>obtained</w:t>
      </w:r>
      <w:r>
        <w:rPr>
          <w:spacing w:val="-1"/>
          <w:sz w:val="24"/>
        </w:rPr>
        <w:t xml:space="preserve"> </w:t>
      </w:r>
      <w:r>
        <w:rPr>
          <w:sz w:val="24"/>
        </w:rPr>
        <w:t>after</w:t>
      </w:r>
      <w:r>
        <w:rPr>
          <w:spacing w:val="-1"/>
          <w:sz w:val="24"/>
        </w:rPr>
        <w:t xml:space="preserve"> </w:t>
      </w:r>
      <w:r>
        <w:rPr>
          <w:sz w:val="24"/>
        </w:rPr>
        <w:t>the</w:t>
      </w:r>
      <w:r>
        <w:rPr>
          <w:spacing w:val="-3"/>
          <w:sz w:val="24"/>
        </w:rPr>
        <w:t xml:space="preserve"> </w:t>
      </w:r>
      <w:r>
        <w:rPr>
          <w:sz w:val="24"/>
        </w:rPr>
        <w:t>bids</w:t>
      </w:r>
      <w:r>
        <w:rPr>
          <w:spacing w:val="-1"/>
          <w:sz w:val="24"/>
        </w:rPr>
        <w:t xml:space="preserve"> </w:t>
      </w:r>
      <w:r>
        <w:rPr>
          <w:sz w:val="24"/>
        </w:rPr>
        <w:t>are</w:t>
      </w:r>
      <w:r>
        <w:rPr>
          <w:spacing w:val="-2"/>
          <w:sz w:val="24"/>
        </w:rPr>
        <w:t xml:space="preserve"> submitted.</w:t>
      </w:r>
    </w:p>
    <w:p>
      <w:pPr>
        <w:pStyle w:val="ListParagraph"/>
        <w:numPr>
          <w:ilvl w:val="0"/>
          <w:numId w:val="5"/>
        </w:numPr>
        <w:tabs>
          <w:tab w:val="left" w:pos="944"/>
        </w:tabs>
        <w:spacing w:before="41" w:after="0" w:line="240" w:lineRule="auto"/>
        <w:ind w:left="944" w:right="632" w:hanging="360"/>
        <w:jc w:val="left"/>
        <w:rPr>
          <w:sz w:val="24"/>
        </w:rPr>
      </w:pPr>
      <w:r>
        <w:rPr>
          <w:sz w:val="24"/>
        </w:rPr>
        <w:t>A</w:t>
      </w:r>
      <w:r>
        <w:rPr>
          <w:spacing w:val="-4"/>
          <w:sz w:val="24"/>
        </w:rPr>
        <w:t xml:space="preserve"> </w:t>
      </w:r>
      <w:r>
        <w:rPr>
          <w:sz w:val="24"/>
        </w:rPr>
        <w:t>statement</w:t>
      </w:r>
      <w:r>
        <w:rPr>
          <w:spacing w:val="-4"/>
          <w:sz w:val="24"/>
        </w:rPr>
        <w:t xml:space="preserve"> </w:t>
      </w:r>
      <w:r>
        <w:rPr>
          <w:sz w:val="24"/>
        </w:rPr>
        <w:t>that</w:t>
      </w:r>
      <w:r>
        <w:rPr>
          <w:spacing w:val="-4"/>
          <w:sz w:val="24"/>
        </w:rPr>
        <w:t xml:space="preserve"> </w:t>
      </w:r>
      <w:r>
        <w:rPr>
          <w:sz w:val="24"/>
        </w:rPr>
        <w:t>a</w:t>
      </w:r>
      <w:r>
        <w:rPr>
          <w:spacing w:val="-4"/>
          <w:sz w:val="24"/>
        </w:rPr>
        <w:t xml:space="preserve"> </w:t>
      </w:r>
      <w:r>
        <w:rPr>
          <w:sz w:val="24"/>
        </w:rPr>
        <w:t>pricing</w:t>
      </w:r>
      <w:r>
        <w:rPr>
          <w:spacing w:val="-4"/>
          <w:sz w:val="24"/>
        </w:rPr>
        <w:t xml:space="preserve"> </w:t>
      </w:r>
      <w:r>
        <w:rPr>
          <w:sz w:val="24"/>
        </w:rPr>
        <w:t>assumption</w:t>
      </w:r>
      <w:r>
        <w:rPr>
          <w:spacing w:val="-4"/>
          <w:sz w:val="24"/>
        </w:rPr>
        <w:t xml:space="preserve"> </w:t>
      </w:r>
      <w:r>
        <w:rPr>
          <w:sz w:val="24"/>
        </w:rPr>
        <w:t>or</w:t>
      </w:r>
      <w:r>
        <w:rPr>
          <w:spacing w:val="-5"/>
          <w:sz w:val="24"/>
        </w:rPr>
        <w:t xml:space="preserve"> </w:t>
      </w:r>
      <w:r>
        <w:rPr>
          <w:sz w:val="24"/>
        </w:rPr>
        <w:t>methodology</w:t>
      </w:r>
      <w:r>
        <w:rPr>
          <w:spacing w:val="-4"/>
          <w:sz w:val="24"/>
        </w:rPr>
        <w:t xml:space="preserve"> </w:t>
      </w:r>
      <w:r>
        <w:rPr>
          <w:sz w:val="24"/>
        </w:rPr>
        <w:t>is</w:t>
      </w:r>
      <w:r>
        <w:rPr>
          <w:spacing w:val="-4"/>
          <w:sz w:val="24"/>
        </w:rPr>
        <w:t xml:space="preserve"> </w:t>
      </w:r>
      <w:r>
        <w:rPr>
          <w:sz w:val="24"/>
        </w:rPr>
        <w:t>assumed</w:t>
      </w:r>
      <w:r>
        <w:rPr>
          <w:spacing w:val="-4"/>
          <w:sz w:val="24"/>
        </w:rPr>
        <w:t xml:space="preserve"> </w:t>
      </w:r>
      <w:r>
        <w:rPr>
          <w:sz w:val="24"/>
        </w:rPr>
        <w:t>acceptable</w:t>
      </w:r>
      <w:r>
        <w:rPr>
          <w:spacing w:val="-4"/>
          <w:sz w:val="24"/>
        </w:rPr>
        <w:t xml:space="preserve"> </w:t>
      </w:r>
      <w:r>
        <w:rPr>
          <w:sz w:val="24"/>
        </w:rPr>
        <w:t>based</w:t>
      </w:r>
      <w:r>
        <w:rPr>
          <w:spacing w:val="-4"/>
          <w:sz w:val="24"/>
        </w:rPr>
        <w:t xml:space="preserve"> </w:t>
      </w:r>
      <w:r>
        <w:rPr>
          <w:sz w:val="24"/>
        </w:rPr>
        <w:t>on its inclusion in a bid that was approved by CMS in a prior contract year. Data, assumptions, methodologies and projections must be determined to be reasonable and appropriate for the current bid, independent of bid filings in previous years.</w:t>
      </w:r>
    </w:p>
    <w:p>
      <w:pPr>
        <w:pStyle w:val="BodyText"/>
        <w:spacing w:before="45"/>
        <w:ind w:left="0"/>
      </w:pPr>
    </w:p>
    <w:p>
      <w:pPr>
        <w:pStyle w:val="Heading2"/>
        <w:ind w:left="224"/>
      </w:pPr>
      <w:bookmarkStart w:id="281" w:name="Submitting Supporting Documentation"/>
      <w:bookmarkEnd w:id="281"/>
      <w:bookmarkStart w:id="282" w:name="_bookmark83"/>
      <w:bookmarkEnd w:id="282"/>
      <w:r>
        <w:rPr>
          <w:smallCaps/>
        </w:rPr>
        <w:t>Submitting</w:t>
      </w:r>
      <w:r>
        <w:rPr>
          <w:smallCaps/>
          <w:spacing w:val="-13"/>
        </w:rPr>
        <w:t xml:space="preserve"> </w:t>
      </w:r>
      <w:r>
        <w:rPr>
          <w:smallCaps/>
        </w:rPr>
        <w:t>Supporting</w:t>
      </w:r>
      <w:r>
        <w:rPr>
          <w:smallCaps/>
          <w:spacing w:val="-12"/>
        </w:rPr>
        <w:t xml:space="preserve"> </w:t>
      </w:r>
      <w:r>
        <w:rPr>
          <w:smallCaps/>
          <w:spacing w:val="-2"/>
        </w:rPr>
        <w:t>Documentation</w:t>
      </w:r>
    </w:p>
    <w:p>
      <w:pPr>
        <w:pStyle w:val="BodyText"/>
        <w:spacing w:before="180"/>
        <w:ind w:left="224" w:right="856"/>
      </w:pPr>
      <w:r>
        <w:t>Supporting materials must be in electronic format (for example, Microsoft Excel,</w:t>
      </w:r>
      <w:r>
        <w:rPr>
          <w:spacing w:val="40"/>
        </w:rPr>
        <w:t xml:space="preserve"> </w:t>
      </w:r>
      <w:r>
        <w:t>Microsoft Word, or Adobe Acrobat) and must be uploaded to HPMS. CMS will not accept paper copies of supporting documentation. Note that multiple substantiation files can be submitted</w:t>
      </w:r>
      <w:r>
        <w:rPr>
          <w:spacing w:val="-3"/>
        </w:rPr>
        <w:t xml:space="preserve"> </w:t>
      </w:r>
      <w:r>
        <w:t>to</w:t>
      </w:r>
      <w:r>
        <w:rPr>
          <w:spacing w:val="-3"/>
        </w:rPr>
        <w:t xml:space="preserve"> </w:t>
      </w:r>
      <w:r>
        <w:t>HPMS</w:t>
      </w:r>
      <w:r>
        <w:rPr>
          <w:spacing w:val="-2"/>
        </w:rPr>
        <w:t xml:space="preserve"> </w:t>
      </w:r>
      <w:r>
        <w:t>at</w:t>
      </w:r>
      <w:r>
        <w:rPr>
          <w:spacing w:val="-3"/>
        </w:rPr>
        <w:t xml:space="preserve"> </w:t>
      </w:r>
      <w:r>
        <w:t>one</w:t>
      </w:r>
      <w:r>
        <w:rPr>
          <w:spacing w:val="-4"/>
        </w:rPr>
        <w:t xml:space="preserve"> </w:t>
      </w:r>
      <w:r>
        <w:t>time</w:t>
      </w:r>
      <w:r>
        <w:rPr>
          <w:spacing w:val="-3"/>
        </w:rPr>
        <w:t xml:space="preserve"> </w:t>
      </w:r>
      <w:r>
        <w:t>by</w:t>
      </w:r>
      <w:r>
        <w:rPr>
          <w:spacing w:val="-3"/>
        </w:rPr>
        <w:t xml:space="preserve"> </w:t>
      </w:r>
      <w:r>
        <w:t>using</w:t>
      </w:r>
      <w:r>
        <w:rPr>
          <w:spacing w:val="-3"/>
        </w:rPr>
        <w:t xml:space="preserve"> </w:t>
      </w:r>
      <w:r>
        <w:t>“zip”</w:t>
      </w:r>
      <w:r>
        <w:rPr>
          <w:spacing w:val="-3"/>
        </w:rPr>
        <w:t xml:space="preserve"> </w:t>
      </w:r>
      <w:r>
        <w:t>files,</w:t>
      </w:r>
      <w:r>
        <w:rPr>
          <w:spacing w:val="-3"/>
        </w:rPr>
        <w:t xml:space="preserve"> </w:t>
      </w:r>
      <w:r>
        <w:t>which</w:t>
      </w:r>
      <w:r>
        <w:rPr>
          <w:spacing w:val="-3"/>
        </w:rPr>
        <w:t xml:space="preserve"> </w:t>
      </w:r>
      <w:r>
        <w:t>compress</w:t>
      </w:r>
      <w:r>
        <w:rPr>
          <w:spacing w:val="-4"/>
        </w:rPr>
        <w:t xml:space="preserve"> </w:t>
      </w:r>
      <w:r>
        <w:t>multiple</w:t>
      </w:r>
      <w:r>
        <w:rPr>
          <w:spacing w:val="-4"/>
        </w:rPr>
        <w:t xml:space="preserve"> </w:t>
      </w:r>
      <w:r>
        <w:t>files</w:t>
      </w:r>
      <w:r>
        <w:rPr>
          <w:spacing w:val="-4"/>
        </w:rPr>
        <w:t xml:space="preserve"> </w:t>
      </w:r>
      <w:r>
        <w:t>into</w:t>
      </w:r>
      <w:r>
        <w:rPr>
          <w:spacing w:val="-3"/>
        </w:rPr>
        <w:t xml:space="preserve"> </w:t>
      </w:r>
      <w:r>
        <w:t>one (.zip file extension).</w:t>
      </w:r>
    </w:p>
    <w:p>
      <w:pPr>
        <w:pStyle w:val="BodyText"/>
        <w:ind w:left="224" w:right="478"/>
      </w:pPr>
      <w:r>
        <w:t>Also</w:t>
      </w:r>
      <w:r>
        <w:rPr>
          <w:spacing w:val="-3"/>
        </w:rPr>
        <w:t xml:space="preserve"> </w:t>
      </w:r>
      <w:r>
        <w:t>note</w:t>
      </w:r>
      <w:r>
        <w:rPr>
          <w:spacing w:val="-4"/>
        </w:rPr>
        <w:t xml:space="preserve"> </w:t>
      </w:r>
      <w:r>
        <w:t>that</w:t>
      </w:r>
      <w:r>
        <w:rPr>
          <w:spacing w:val="-3"/>
        </w:rPr>
        <w:t xml:space="preserve"> </w:t>
      </w:r>
      <w:r>
        <w:t>although</w:t>
      </w:r>
      <w:r>
        <w:rPr>
          <w:spacing w:val="-3"/>
        </w:rPr>
        <w:t xml:space="preserve"> </w:t>
      </w:r>
      <w:r>
        <w:t>one</w:t>
      </w:r>
      <w:r>
        <w:rPr>
          <w:spacing w:val="-3"/>
        </w:rPr>
        <w:t xml:space="preserve"> </w:t>
      </w:r>
      <w:r>
        <w:t>file</w:t>
      </w:r>
      <w:r>
        <w:rPr>
          <w:spacing w:val="-4"/>
        </w:rPr>
        <w:t xml:space="preserve"> </w:t>
      </w:r>
      <w:r>
        <w:t>can</w:t>
      </w:r>
      <w:r>
        <w:rPr>
          <w:spacing w:val="-3"/>
        </w:rPr>
        <w:t xml:space="preserve"> </w:t>
      </w:r>
      <w:r>
        <w:t>be</w:t>
      </w:r>
      <w:r>
        <w:rPr>
          <w:spacing w:val="-4"/>
        </w:rPr>
        <w:t xml:space="preserve"> </w:t>
      </w:r>
      <w:r>
        <w:t>uploaded</w:t>
      </w:r>
      <w:r>
        <w:rPr>
          <w:spacing w:val="-3"/>
        </w:rPr>
        <w:t xml:space="preserve"> </w:t>
      </w:r>
      <w:r>
        <w:t>to</w:t>
      </w:r>
      <w:r>
        <w:rPr>
          <w:spacing w:val="-3"/>
        </w:rPr>
        <w:t xml:space="preserve"> </w:t>
      </w:r>
      <w:r>
        <w:t>multiple</w:t>
      </w:r>
      <w:r>
        <w:rPr>
          <w:spacing w:val="-3"/>
        </w:rPr>
        <w:t xml:space="preserve"> </w:t>
      </w:r>
      <w:r>
        <w:t>plans</w:t>
      </w:r>
      <w:r>
        <w:rPr>
          <w:spacing w:val="-3"/>
        </w:rPr>
        <w:t xml:space="preserve"> </w:t>
      </w:r>
      <w:r>
        <w:t>in</w:t>
      </w:r>
      <w:r>
        <w:rPr>
          <w:spacing w:val="-3"/>
        </w:rPr>
        <w:t xml:space="preserve"> </w:t>
      </w:r>
      <w:r>
        <w:t>HPMS,</w:t>
      </w:r>
      <w:r>
        <w:rPr>
          <w:spacing w:val="-3"/>
        </w:rPr>
        <w:t xml:space="preserve"> </w:t>
      </w:r>
      <w:r>
        <w:t>documentation must not be uploaded to plans to which it does not pertain. Similarly, it is not acceptable to</w:t>
      </w:r>
    </w:p>
    <w:p>
      <w:pPr>
        <w:spacing w:after="0"/>
        <w:sectPr>
          <w:pgSz w:w="12240" w:h="15840"/>
          <w:pgMar w:top="1340" w:right="1000" w:bottom="940" w:left="1360" w:header="727" w:footer="747"/>
          <w:cols w:space="720"/>
        </w:sectPr>
      </w:pPr>
    </w:p>
    <w:p>
      <w:pPr>
        <w:pStyle w:val="BodyText"/>
        <w:spacing w:before="87"/>
        <w:ind w:left="224" w:right="478"/>
      </w:pPr>
      <w:r>
        <w:t>upload</w:t>
      </w:r>
      <w:r>
        <w:rPr>
          <w:spacing w:val="-3"/>
        </w:rPr>
        <w:t xml:space="preserve"> </w:t>
      </w:r>
      <w:r>
        <w:t>to</w:t>
      </w:r>
      <w:r>
        <w:rPr>
          <w:spacing w:val="-2"/>
        </w:rPr>
        <w:t xml:space="preserve"> </w:t>
      </w:r>
      <w:r>
        <w:t>multiple</w:t>
      </w:r>
      <w:r>
        <w:rPr>
          <w:spacing w:val="-3"/>
        </w:rPr>
        <w:t xml:space="preserve"> </w:t>
      </w:r>
      <w:r>
        <w:t>plans</w:t>
      </w:r>
      <w:r>
        <w:rPr>
          <w:spacing w:val="-3"/>
        </w:rPr>
        <w:t xml:space="preserve"> </w:t>
      </w:r>
      <w:r>
        <w:t>materials</w:t>
      </w:r>
      <w:r>
        <w:rPr>
          <w:spacing w:val="-2"/>
        </w:rPr>
        <w:t xml:space="preserve"> </w:t>
      </w:r>
      <w:r>
        <w:t>specific</w:t>
      </w:r>
      <w:r>
        <w:rPr>
          <w:spacing w:val="-3"/>
        </w:rPr>
        <w:t xml:space="preserve"> </w:t>
      </w:r>
      <w:r>
        <w:t>to a</w:t>
      </w:r>
      <w:r>
        <w:rPr>
          <w:spacing w:val="-3"/>
        </w:rPr>
        <w:t xml:space="preserve"> </w:t>
      </w:r>
      <w:r>
        <w:t>Part</w:t>
      </w:r>
      <w:r>
        <w:rPr>
          <w:spacing w:val="-2"/>
        </w:rPr>
        <w:t xml:space="preserve"> </w:t>
      </w:r>
      <w:r>
        <w:t>D</w:t>
      </w:r>
      <w:r>
        <w:rPr>
          <w:spacing w:val="-3"/>
        </w:rPr>
        <w:t xml:space="preserve"> </w:t>
      </w:r>
      <w:r>
        <w:t>plan,</w:t>
      </w:r>
      <w:r>
        <w:rPr>
          <w:spacing w:val="-3"/>
        </w:rPr>
        <w:t xml:space="preserve"> </w:t>
      </w:r>
      <w:r>
        <w:t>an</w:t>
      </w:r>
      <w:r>
        <w:rPr>
          <w:spacing w:val="-2"/>
        </w:rPr>
        <w:t xml:space="preserve"> </w:t>
      </w:r>
      <w:r>
        <w:t>MA</w:t>
      </w:r>
      <w:r>
        <w:rPr>
          <w:spacing w:val="-3"/>
        </w:rPr>
        <w:t xml:space="preserve"> </w:t>
      </w:r>
      <w:r>
        <w:t>bid</w:t>
      </w:r>
      <w:r>
        <w:rPr>
          <w:spacing w:val="-2"/>
        </w:rPr>
        <w:t xml:space="preserve"> </w:t>
      </w:r>
      <w:r>
        <w:t>or</w:t>
      </w:r>
      <w:r>
        <w:rPr>
          <w:spacing w:val="-1"/>
        </w:rPr>
        <w:t xml:space="preserve"> </w:t>
      </w:r>
      <w:r>
        <w:t>another</w:t>
      </w:r>
      <w:r>
        <w:rPr>
          <w:spacing w:val="-3"/>
        </w:rPr>
        <w:t xml:space="preserve"> </w:t>
      </w:r>
      <w:r>
        <w:t xml:space="preserve">contract </w:t>
      </w:r>
      <w:r>
        <w:rPr>
          <w:spacing w:val="-2"/>
        </w:rPr>
        <w:t>number.</w:t>
      </w:r>
    </w:p>
    <w:p>
      <w:pPr>
        <w:pStyle w:val="BodyText"/>
        <w:ind w:left="224" w:right="478"/>
      </w:pPr>
      <w:r>
        <w:t>More</w:t>
      </w:r>
      <w:r>
        <w:rPr>
          <w:spacing w:val="-5"/>
        </w:rPr>
        <w:t xml:space="preserve"> </w:t>
      </w:r>
      <w:r>
        <w:t>requirements</w:t>
      </w:r>
      <w:r>
        <w:rPr>
          <w:spacing w:val="-3"/>
        </w:rPr>
        <w:t xml:space="preserve"> </w:t>
      </w:r>
      <w:r>
        <w:t>about</w:t>
      </w:r>
      <w:r>
        <w:rPr>
          <w:spacing w:val="-1"/>
        </w:rPr>
        <w:t xml:space="preserve"> </w:t>
      </w:r>
      <w:r>
        <w:t>the</w:t>
      </w:r>
      <w:r>
        <w:rPr>
          <w:spacing w:val="-3"/>
        </w:rPr>
        <w:t xml:space="preserve"> </w:t>
      </w:r>
      <w:r>
        <w:t>upload</w:t>
      </w:r>
      <w:r>
        <w:rPr>
          <w:spacing w:val="-3"/>
        </w:rPr>
        <w:t xml:space="preserve"> </w:t>
      </w:r>
      <w:r>
        <w:t>of</w:t>
      </w:r>
      <w:r>
        <w:rPr>
          <w:spacing w:val="-3"/>
        </w:rPr>
        <w:t xml:space="preserve"> </w:t>
      </w:r>
      <w:r>
        <w:t>substantiation</w:t>
      </w:r>
      <w:r>
        <w:rPr>
          <w:spacing w:val="-3"/>
        </w:rPr>
        <w:t xml:space="preserve"> </w:t>
      </w:r>
      <w:r>
        <w:t>files</w:t>
      </w:r>
      <w:r>
        <w:rPr>
          <w:spacing w:val="-3"/>
        </w:rPr>
        <w:t xml:space="preserve"> </w:t>
      </w:r>
      <w:r>
        <w:t>are</w:t>
      </w:r>
      <w:r>
        <w:rPr>
          <w:spacing w:val="-5"/>
        </w:rPr>
        <w:t xml:space="preserve"> </w:t>
      </w:r>
      <w:r>
        <w:t>located</w:t>
      </w:r>
      <w:r>
        <w:rPr>
          <w:spacing w:val="-3"/>
        </w:rPr>
        <w:t xml:space="preserve"> </w:t>
      </w:r>
      <w:r>
        <w:t>in</w:t>
      </w:r>
      <w:r>
        <w:rPr>
          <w:spacing w:val="-3"/>
        </w:rPr>
        <w:t xml:space="preserve"> </w:t>
      </w:r>
      <w:r>
        <w:t>HPMS</w:t>
      </w:r>
      <w:r>
        <w:rPr>
          <w:spacing w:val="-1"/>
        </w:rPr>
        <w:t xml:space="preserve"> </w:t>
      </w:r>
      <w:r>
        <w:t>in</w:t>
      </w:r>
      <w:r>
        <w:rPr>
          <w:spacing w:val="-3"/>
        </w:rPr>
        <w:t xml:space="preserve"> </w:t>
      </w:r>
      <w:r>
        <w:t>the</w:t>
      </w:r>
      <w:r>
        <w:rPr>
          <w:spacing w:val="-4"/>
        </w:rPr>
        <w:t xml:space="preserve"> </w:t>
      </w:r>
      <w:r>
        <w:t>“Notes” section, under HPMS Home &gt; (Plan Bids) Bid Submission &gt; CY2026 &gt; (Upload) Substantiation &gt; Next.</w:t>
      </w:r>
    </w:p>
    <w:p>
      <w:pPr>
        <w:spacing w:before="241"/>
        <w:ind w:left="224" w:right="0" w:firstLine="0"/>
        <w:jc w:val="left"/>
        <w:rPr>
          <w:rFonts w:ascii="Arial"/>
          <w:b/>
          <w:sz w:val="21"/>
        </w:rPr>
      </w:pPr>
      <w:bookmarkStart w:id="283" w:name="Cover Sheet"/>
      <w:bookmarkEnd w:id="283"/>
      <w:r>
        <w:rPr>
          <w:rFonts w:ascii="Arial"/>
          <w:b/>
          <w:sz w:val="21"/>
        </w:rPr>
        <w:t>Cover</w:t>
      </w:r>
      <w:r>
        <w:rPr>
          <w:rFonts w:ascii="Arial"/>
          <w:b/>
          <w:spacing w:val="-5"/>
          <w:sz w:val="21"/>
        </w:rPr>
        <w:t xml:space="preserve"> </w:t>
      </w:r>
      <w:r>
        <w:rPr>
          <w:rFonts w:ascii="Arial"/>
          <w:b/>
          <w:spacing w:val="-2"/>
          <w:sz w:val="21"/>
        </w:rPr>
        <w:t>Sheet</w:t>
      </w:r>
    </w:p>
    <w:p>
      <w:pPr>
        <w:pStyle w:val="BodyText"/>
        <w:ind w:left="224" w:right="478"/>
      </w:pPr>
      <w:r>
        <w:t>To</w:t>
      </w:r>
      <w:r>
        <w:rPr>
          <w:spacing w:val="-3"/>
        </w:rPr>
        <w:t xml:space="preserve"> </w:t>
      </w:r>
      <w:r>
        <w:t>expedite</w:t>
      </w:r>
      <w:r>
        <w:rPr>
          <w:spacing w:val="-4"/>
        </w:rPr>
        <w:t xml:space="preserve"> </w:t>
      </w:r>
      <w:r>
        <w:t>the</w:t>
      </w:r>
      <w:r>
        <w:rPr>
          <w:spacing w:val="-3"/>
        </w:rPr>
        <w:t xml:space="preserve"> </w:t>
      </w:r>
      <w:r>
        <w:t>bid</w:t>
      </w:r>
      <w:r>
        <w:rPr>
          <w:spacing w:val="-3"/>
        </w:rPr>
        <w:t xml:space="preserve"> </w:t>
      </w:r>
      <w:r>
        <w:t>review</w:t>
      </w:r>
      <w:r>
        <w:rPr>
          <w:spacing w:val="-3"/>
        </w:rPr>
        <w:t xml:space="preserve"> </w:t>
      </w:r>
      <w:r>
        <w:t>process,</w:t>
      </w:r>
      <w:r>
        <w:rPr>
          <w:spacing w:val="-1"/>
        </w:rPr>
        <w:t xml:space="preserve"> </w:t>
      </w:r>
      <w:r>
        <w:t>Part</w:t>
      </w:r>
      <w:r>
        <w:rPr>
          <w:spacing w:val="-3"/>
        </w:rPr>
        <w:t xml:space="preserve"> </w:t>
      </w:r>
      <w:r>
        <w:t>D</w:t>
      </w:r>
      <w:r>
        <w:rPr>
          <w:spacing w:val="-4"/>
        </w:rPr>
        <w:t xml:space="preserve"> </w:t>
      </w:r>
      <w:r>
        <w:t>sponsors</w:t>
      </w:r>
      <w:r>
        <w:rPr>
          <w:spacing w:val="-3"/>
        </w:rPr>
        <w:t xml:space="preserve"> </w:t>
      </w:r>
      <w:r>
        <w:t>must</w:t>
      </w:r>
      <w:r>
        <w:rPr>
          <w:spacing w:val="-3"/>
        </w:rPr>
        <w:t xml:space="preserve"> </w:t>
      </w:r>
      <w:r>
        <w:t>upload</w:t>
      </w:r>
      <w:r>
        <w:rPr>
          <w:spacing w:val="-3"/>
        </w:rPr>
        <w:t xml:space="preserve"> </w:t>
      </w:r>
      <w:r>
        <w:t>a</w:t>
      </w:r>
      <w:r>
        <w:rPr>
          <w:spacing w:val="-5"/>
        </w:rPr>
        <w:t xml:space="preserve"> </w:t>
      </w:r>
      <w:r>
        <w:t>cover</w:t>
      </w:r>
      <w:r>
        <w:rPr>
          <w:spacing w:val="-3"/>
        </w:rPr>
        <w:t xml:space="preserve"> </w:t>
      </w:r>
      <w:r>
        <w:t>sheet</w:t>
      </w:r>
      <w:r>
        <w:rPr>
          <w:spacing w:val="-3"/>
        </w:rPr>
        <w:t xml:space="preserve"> </w:t>
      </w:r>
      <w:r>
        <w:t>that</w:t>
      </w:r>
      <w:r>
        <w:rPr>
          <w:spacing w:val="-3"/>
        </w:rPr>
        <w:t xml:space="preserve"> </w:t>
      </w:r>
      <w:r>
        <w:t>lists</w:t>
      </w:r>
      <w:r>
        <w:rPr>
          <w:spacing w:val="-3"/>
        </w:rPr>
        <w:t xml:space="preserve"> </w:t>
      </w:r>
      <w:r>
        <w:t>all</w:t>
      </w:r>
      <w:r>
        <w:rPr>
          <w:spacing w:val="-3"/>
        </w:rPr>
        <w:t xml:space="preserve"> </w:t>
      </w:r>
      <w:r>
        <w:t xml:space="preserve">of the supporting documentation that is uploaded or provided with the bid form. The filename must include the phrase “cover sheet.” A cover sheet is required for each upload of </w:t>
      </w:r>
      <w:r>
        <w:rPr>
          <w:spacing w:val="-2"/>
        </w:rPr>
        <w:t>substantiation.</w:t>
      </w:r>
    </w:p>
    <w:p>
      <w:pPr>
        <w:pStyle w:val="BodyText"/>
        <w:ind w:left="224" w:right="469"/>
        <w:jc w:val="both"/>
      </w:pPr>
      <w:r>
        <w:t>The</w:t>
      </w:r>
      <w:r>
        <w:rPr>
          <w:spacing w:val="-1"/>
        </w:rPr>
        <w:t xml:space="preserve"> </w:t>
      </w:r>
      <w:r>
        <w:t>cover sheet must include detailed information for</w:t>
      </w:r>
      <w:r>
        <w:rPr>
          <w:spacing w:val="-1"/>
        </w:rPr>
        <w:t xml:space="preserve"> </w:t>
      </w:r>
      <w:r>
        <w:t>each support item—such as the filename and</w:t>
      </w:r>
      <w:r>
        <w:rPr>
          <w:spacing w:val="-3"/>
        </w:rPr>
        <w:t xml:space="preserve"> </w:t>
      </w:r>
      <w:r>
        <w:t>the</w:t>
      </w:r>
      <w:r>
        <w:rPr>
          <w:spacing w:val="-3"/>
        </w:rPr>
        <w:t xml:space="preserve"> </w:t>
      </w:r>
      <w:r>
        <w:t>location</w:t>
      </w:r>
      <w:r>
        <w:rPr>
          <w:spacing w:val="-3"/>
        </w:rPr>
        <w:t xml:space="preserve"> </w:t>
      </w:r>
      <w:r>
        <w:t>within</w:t>
      </w:r>
      <w:r>
        <w:rPr>
          <w:spacing w:val="-3"/>
        </w:rPr>
        <w:t xml:space="preserve"> </w:t>
      </w:r>
      <w:r>
        <w:t>the</w:t>
      </w:r>
      <w:r>
        <w:rPr>
          <w:spacing w:val="-3"/>
        </w:rPr>
        <w:t xml:space="preserve"> </w:t>
      </w:r>
      <w:r>
        <w:t>file,</w:t>
      </w:r>
      <w:r>
        <w:rPr>
          <w:spacing w:val="-3"/>
        </w:rPr>
        <w:t xml:space="preserve"> </w:t>
      </w:r>
      <w:r>
        <w:t>if</w:t>
      </w:r>
      <w:r>
        <w:rPr>
          <w:spacing w:val="-3"/>
        </w:rPr>
        <w:t xml:space="preserve"> </w:t>
      </w:r>
      <w:r>
        <w:t>applicable—and</w:t>
      </w:r>
      <w:r>
        <w:rPr>
          <w:spacing w:val="-1"/>
        </w:rPr>
        <w:t xml:space="preserve"> </w:t>
      </w:r>
      <w:r>
        <w:t>must</w:t>
      </w:r>
      <w:r>
        <w:rPr>
          <w:spacing w:val="-3"/>
        </w:rPr>
        <w:t xml:space="preserve"> </w:t>
      </w:r>
      <w:r>
        <w:t>clearly</w:t>
      </w:r>
      <w:r>
        <w:rPr>
          <w:spacing w:val="-3"/>
        </w:rPr>
        <w:t xml:space="preserve"> </w:t>
      </w:r>
      <w:r>
        <w:t>identify</w:t>
      </w:r>
      <w:r>
        <w:rPr>
          <w:spacing w:val="-3"/>
        </w:rPr>
        <w:t xml:space="preserve"> </w:t>
      </w:r>
      <w:r>
        <w:t>the</w:t>
      </w:r>
      <w:r>
        <w:rPr>
          <w:spacing w:val="-1"/>
        </w:rPr>
        <w:t xml:space="preserve"> </w:t>
      </w:r>
      <w:r>
        <w:t>bids</w:t>
      </w:r>
      <w:r>
        <w:rPr>
          <w:spacing w:val="-3"/>
        </w:rPr>
        <w:t xml:space="preserve"> </w:t>
      </w:r>
      <w:r>
        <w:t>for</w:t>
      </w:r>
      <w:r>
        <w:rPr>
          <w:spacing w:val="-5"/>
        </w:rPr>
        <w:t xml:space="preserve"> </w:t>
      </w:r>
      <w:r>
        <w:t>which</w:t>
      </w:r>
      <w:r>
        <w:rPr>
          <w:spacing w:val="-3"/>
        </w:rPr>
        <w:t xml:space="preserve"> </w:t>
      </w:r>
      <w:r>
        <w:t>such support item applies and whether the substantiation is related to MA, Part D, or both.</w:t>
      </w:r>
    </w:p>
    <w:p>
      <w:pPr>
        <w:pStyle w:val="BodyText"/>
        <w:spacing w:before="118"/>
        <w:ind w:left="224" w:right="512"/>
      </w:pPr>
      <w:r>
        <w:t>Note that some documentation requirements apply to every bid (for example, every bid contains a risk score assumption), while other documentation requirements apply only to bids that contain certain assumptions (for example, manual rate documentation applies only if a bid’s projection is based on manual rates). For documentation categories that apply to a subset of bids that contain a specified assumption, the cover sheet must not refer to a “range” of contract</w:t>
      </w:r>
      <w:r>
        <w:rPr>
          <w:spacing w:val="-2"/>
        </w:rPr>
        <w:t xml:space="preserve"> </w:t>
      </w:r>
      <w:r>
        <w:t>number-plan</w:t>
      </w:r>
      <w:r>
        <w:rPr>
          <w:spacing w:val="-2"/>
        </w:rPr>
        <w:t xml:space="preserve"> </w:t>
      </w:r>
      <w:r>
        <w:t>IDs</w:t>
      </w:r>
      <w:r>
        <w:rPr>
          <w:spacing w:val="-3"/>
        </w:rPr>
        <w:t xml:space="preserve"> </w:t>
      </w:r>
      <w:r>
        <w:t>(such</w:t>
      </w:r>
      <w:r>
        <w:rPr>
          <w:spacing w:val="-2"/>
        </w:rPr>
        <w:t xml:space="preserve"> </w:t>
      </w:r>
      <w:r>
        <w:t>as</w:t>
      </w:r>
      <w:r>
        <w:rPr>
          <w:spacing w:val="-3"/>
        </w:rPr>
        <w:t xml:space="preserve"> </w:t>
      </w:r>
      <w:r>
        <w:t>“plans</w:t>
      </w:r>
      <w:r>
        <w:rPr>
          <w:spacing w:val="-3"/>
        </w:rPr>
        <w:t xml:space="preserve"> </w:t>
      </w:r>
      <w:r>
        <w:t>001</w:t>
      </w:r>
      <w:r>
        <w:rPr>
          <w:spacing w:val="-3"/>
        </w:rPr>
        <w:t xml:space="preserve"> </w:t>
      </w:r>
      <w:r>
        <w:t>–</w:t>
      </w:r>
      <w:r>
        <w:rPr>
          <w:spacing w:val="-2"/>
        </w:rPr>
        <w:t xml:space="preserve"> </w:t>
      </w:r>
      <w:r>
        <w:t>030”</w:t>
      </w:r>
      <w:r>
        <w:rPr>
          <w:spacing w:val="-3"/>
        </w:rPr>
        <w:t xml:space="preserve"> </w:t>
      </w:r>
      <w:r>
        <w:t>or</w:t>
      </w:r>
      <w:r>
        <w:rPr>
          <w:spacing w:val="-3"/>
        </w:rPr>
        <w:t xml:space="preserve"> </w:t>
      </w:r>
      <w:r>
        <w:t>“all</w:t>
      </w:r>
      <w:r>
        <w:rPr>
          <w:spacing w:val="-2"/>
        </w:rPr>
        <w:t xml:space="preserve"> </w:t>
      </w:r>
      <w:r>
        <w:t>plans</w:t>
      </w:r>
      <w:r>
        <w:rPr>
          <w:spacing w:val="-3"/>
        </w:rPr>
        <w:t xml:space="preserve"> </w:t>
      </w:r>
      <w:r>
        <w:t>under</w:t>
      </w:r>
      <w:r>
        <w:rPr>
          <w:spacing w:val="-2"/>
        </w:rPr>
        <w:t xml:space="preserve"> </w:t>
      </w:r>
      <w:r>
        <w:t>contract</w:t>
      </w:r>
      <w:r>
        <w:rPr>
          <w:spacing w:val="-2"/>
        </w:rPr>
        <w:t xml:space="preserve"> </w:t>
      </w:r>
      <w:r>
        <w:t>Hxxxx”).</w:t>
      </w:r>
      <w:r>
        <w:rPr>
          <w:spacing w:val="-2"/>
        </w:rPr>
        <w:t xml:space="preserve"> </w:t>
      </w:r>
      <w:r>
        <w:t>For these</w:t>
      </w:r>
      <w:r>
        <w:rPr>
          <w:spacing w:val="-2"/>
        </w:rPr>
        <w:t xml:space="preserve"> </w:t>
      </w:r>
      <w:r>
        <w:t>items, the</w:t>
      </w:r>
      <w:r>
        <w:rPr>
          <w:spacing w:val="-1"/>
        </w:rPr>
        <w:t xml:space="preserve"> </w:t>
      </w:r>
      <w:r>
        <w:t>cover sheet must contain the exact contract number-plan IDs (contract/plan) to which the documentation applies.</w:t>
      </w:r>
    </w:p>
    <w:p>
      <w:pPr>
        <w:pStyle w:val="BodyText"/>
        <w:ind w:left="224" w:right="904"/>
      </w:pPr>
      <w:r>
        <w:t>For subsequent substantiation uploads, the cover sheet must summarize the additional documents uploaded at that time (that is, the cover sheet must not be maintained as a cumulative</w:t>
      </w:r>
      <w:r>
        <w:rPr>
          <w:spacing w:val="-5"/>
        </w:rPr>
        <w:t xml:space="preserve"> </w:t>
      </w:r>
      <w:r>
        <w:t>list).</w:t>
      </w:r>
      <w:r>
        <w:rPr>
          <w:spacing w:val="-4"/>
        </w:rPr>
        <w:t xml:space="preserve"> </w:t>
      </w:r>
      <w:r>
        <w:t>The</w:t>
      </w:r>
      <w:r>
        <w:rPr>
          <w:spacing w:val="-5"/>
        </w:rPr>
        <w:t xml:space="preserve"> </w:t>
      </w:r>
      <w:r>
        <w:t>subsequent</w:t>
      </w:r>
      <w:r>
        <w:rPr>
          <w:spacing w:val="-4"/>
        </w:rPr>
        <w:t xml:space="preserve"> </w:t>
      </w:r>
      <w:r>
        <w:t>cover</w:t>
      </w:r>
      <w:r>
        <w:rPr>
          <w:spacing w:val="-4"/>
        </w:rPr>
        <w:t xml:space="preserve"> </w:t>
      </w:r>
      <w:r>
        <w:t>sheets</w:t>
      </w:r>
      <w:r>
        <w:rPr>
          <w:spacing w:val="-4"/>
        </w:rPr>
        <w:t xml:space="preserve"> </w:t>
      </w:r>
      <w:r>
        <w:t>must</w:t>
      </w:r>
      <w:r>
        <w:rPr>
          <w:spacing w:val="-4"/>
        </w:rPr>
        <w:t xml:space="preserve"> </w:t>
      </w:r>
      <w:r>
        <w:t>also</w:t>
      </w:r>
      <w:r>
        <w:rPr>
          <w:spacing w:val="-4"/>
        </w:rPr>
        <w:t xml:space="preserve"> </w:t>
      </w:r>
      <w:r>
        <w:t>contain</w:t>
      </w:r>
      <w:r>
        <w:rPr>
          <w:spacing w:val="-4"/>
        </w:rPr>
        <w:t xml:space="preserve"> </w:t>
      </w:r>
      <w:r>
        <w:t>the</w:t>
      </w:r>
      <w:r>
        <w:rPr>
          <w:spacing w:val="-4"/>
        </w:rPr>
        <w:t xml:space="preserve"> </w:t>
      </w:r>
      <w:r>
        <w:t>exact</w:t>
      </w:r>
      <w:r>
        <w:rPr>
          <w:spacing w:val="-1"/>
        </w:rPr>
        <w:t xml:space="preserve"> </w:t>
      </w:r>
      <w:r>
        <w:t>contract</w:t>
      </w:r>
      <w:r>
        <w:rPr>
          <w:spacing w:val="-4"/>
        </w:rPr>
        <w:t xml:space="preserve"> </w:t>
      </w:r>
      <w:r>
        <w:t>number- plan IDs rather than a “range” of contract number-plan IDs.</w:t>
      </w:r>
    </w:p>
    <w:p>
      <w:pPr>
        <w:pStyle w:val="BodyText"/>
        <w:spacing w:before="121"/>
        <w:ind w:left="224" w:right="425"/>
      </w:pPr>
      <w:r>
        <w:t>Sample</w:t>
      </w:r>
      <w:r>
        <w:rPr>
          <w:spacing w:val="-4"/>
        </w:rPr>
        <w:t xml:space="preserve"> </w:t>
      </w:r>
      <w:r>
        <w:t>check</w:t>
      </w:r>
      <w:r>
        <w:rPr>
          <w:spacing w:val="-3"/>
        </w:rPr>
        <w:t xml:space="preserve"> </w:t>
      </w:r>
      <w:r>
        <w:t>lists</w:t>
      </w:r>
      <w:r>
        <w:rPr>
          <w:spacing w:val="-3"/>
        </w:rPr>
        <w:t xml:space="preserve"> </w:t>
      </w:r>
      <w:r>
        <w:t>and</w:t>
      </w:r>
      <w:r>
        <w:rPr>
          <w:spacing w:val="-3"/>
        </w:rPr>
        <w:t xml:space="preserve"> </w:t>
      </w:r>
      <w:r>
        <w:t>cover</w:t>
      </w:r>
      <w:r>
        <w:rPr>
          <w:spacing w:val="-3"/>
        </w:rPr>
        <w:t xml:space="preserve"> </w:t>
      </w:r>
      <w:r>
        <w:t>sheets</w:t>
      </w:r>
      <w:r>
        <w:rPr>
          <w:spacing w:val="-3"/>
        </w:rPr>
        <w:t xml:space="preserve"> </w:t>
      </w:r>
      <w:r>
        <w:t>for</w:t>
      </w:r>
      <w:r>
        <w:rPr>
          <w:spacing w:val="-3"/>
        </w:rPr>
        <w:t xml:space="preserve"> </w:t>
      </w:r>
      <w:r>
        <w:t>the</w:t>
      </w:r>
      <w:r>
        <w:rPr>
          <w:spacing w:val="-5"/>
        </w:rPr>
        <w:t xml:space="preserve"> </w:t>
      </w:r>
      <w:r>
        <w:t>initial</w:t>
      </w:r>
      <w:r>
        <w:rPr>
          <w:spacing w:val="-3"/>
        </w:rPr>
        <w:t xml:space="preserve"> </w:t>
      </w:r>
      <w:r>
        <w:t>June</w:t>
      </w:r>
      <w:r>
        <w:rPr>
          <w:spacing w:val="-3"/>
        </w:rPr>
        <w:t xml:space="preserve"> </w:t>
      </w:r>
      <w:r>
        <w:t>bid</w:t>
      </w:r>
      <w:r>
        <w:rPr>
          <w:spacing w:val="-3"/>
        </w:rPr>
        <w:t xml:space="preserve"> </w:t>
      </w:r>
      <w:r>
        <w:t>submission,</w:t>
      </w:r>
      <w:r>
        <w:rPr>
          <w:spacing w:val="-3"/>
        </w:rPr>
        <w:t xml:space="preserve"> </w:t>
      </w:r>
      <w:r>
        <w:t>and</w:t>
      </w:r>
      <w:r>
        <w:rPr>
          <w:spacing w:val="-3"/>
        </w:rPr>
        <w:t xml:space="preserve"> </w:t>
      </w:r>
      <w:r>
        <w:t>for</w:t>
      </w:r>
      <w:r>
        <w:rPr>
          <w:spacing w:val="-3"/>
        </w:rPr>
        <w:t xml:space="preserve"> </w:t>
      </w:r>
      <w:r>
        <w:t>subsequent substantiation uploads, are provided at the end of this appendix.</w:t>
      </w:r>
    </w:p>
    <w:p>
      <w:pPr>
        <w:spacing w:before="241"/>
        <w:ind w:left="224" w:right="0" w:firstLine="0"/>
        <w:jc w:val="left"/>
        <w:rPr>
          <w:rFonts w:ascii="Arial"/>
          <w:b/>
          <w:sz w:val="21"/>
        </w:rPr>
      </w:pPr>
      <w:bookmarkStart w:id="284" w:name="Timing"/>
      <w:bookmarkEnd w:id="284"/>
      <w:r>
        <w:rPr>
          <w:rFonts w:ascii="Arial"/>
          <w:b/>
          <w:spacing w:val="-2"/>
          <w:sz w:val="21"/>
        </w:rPr>
        <w:t>Timing</w:t>
      </w:r>
    </w:p>
    <w:p>
      <w:pPr>
        <w:pStyle w:val="BodyText"/>
        <w:ind w:left="224" w:right="478"/>
      </w:pPr>
      <w:r>
        <w:t>Part</w:t>
      </w:r>
      <w:r>
        <w:rPr>
          <w:spacing w:val="-4"/>
        </w:rPr>
        <w:t xml:space="preserve"> </w:t>
      </w:r>
      <w:r>
        <w:t>D</w:t>
      </w:r>
      <w:r>
        <w:rPr>
          <w:spacing w:val="-4"/>
        </w:rPr>
        <w:t xml:space="preserve"> </w:t>
      </w:r>
      <w:r>
        <w:t>sponsors</w:t>
      </w:r>
      <w:r>
        <w:rPr>
          <w:spacing w:val="-3"/>
        </w:rPr>
        <w:t xml:space="preserve"> </w:t>
      </w:r>
      <w:r>
        <w:t>and</w:t>
      </w:r>
      <w:r>
        <w:rPr>
          <w:spacing w:val="-3"/>
        </w:rPr>
        <w:t xml:space="preserve"> </w:t>
      </w:r>
      <w:r>
        <w:t>certifying</w:t>
      </w:r>
      <w:r>
        <w:rPr>
          <w:spacing w:val="-3"/>
        </w:rPr>
        <w:t xml:space="preserve"> </w:t>
      </w:r>
      <w:r>
        <w:t>actuaries</w:t>
      </w:r>
      <w:r>
        <w:rPr>
          <w:spacing w:val="-3"/>
        </w:rPr>
        <w:t xml:space="preserve"> </w:t>
      </w:r>
      <w:r>
        <w:t>must</w:t>
      </w:r>
      <w:r>
        <w:rPr>
          <w:spacing w:val="-3"/>
        </w:rPr>
        <w:t xml:space="preserve"> </w:t>
      </w:r>
      <w:r>
        <w:t>prepare</w:t>
      </w:r>
      <w:r>
        <w:rPr>
          <w:spacing w:val="-5"/>
        </w:rPr>
        <w:t xml:space="preserve"> </w:t>
      </w:r>
      <w:r>
        <w:t>all</w:t>
      </w:r>
      <w:r>
        <w:rPr>
          <w:spacing w:val="-3"/>
        </w:rPr>
        <w:t xml:space="preserve"> </w:t>
      </w:r>
      <w:r>
        <w:t>supporting</w:t>
      </w:r>
      <w:r>
        <w:rPr>
          <w:spacing w:val="-3"/>
        </w:rPr>
        <w:t xml:space="preserve"> </w:t>
      </w:r>
      <w:r>
        <w:t>documentation at</w:t>
      </w:r>
      <w:r>
        <w:rPr>
          <w:spacing w:val="-3"/>
        </w:rPr>
        <w:t xml:space="preserve"> </w:t>
      </w:r>
      <w:r>
        <w:t>the</w:t>
      </w:r>
      <w:r>
        <w:rPr>
          <w:spacing w:val="-4"/>
        </w:rPr>
        <w:t xml:space="preserve"> </w:t>
      </w:r>
      <w:r>
        <w:t>time of the initial June bid submission so that it is immediately available to CMS and reviewers at initial bid submission or readily available upon request as explained below.</w:t>
      </w:r>
    </w:p>
    <w:p>
      <w:pPr>
        <w:pStyle w:val="ListParagraph"/>
        <w:numPr>
          <w:ilvl w:val="0"/>
          <w:numId w:val="5"/>
        </w:numPr>
        <w:tabs>
          <w:tab w:val="left" w:pos="944"/>
        </w:tabs>
        <w:spacing w:before="120" w:after="0" w:line="240" w:lineRule="auto"/>
        <w:ind w:left="944" w:right="906" w:hanging="360"/>
        <w:jc w:val="left"/>
        <w:rPr>
          <w:sz w:val="24"/>
        </w:rPr>
      </w:pPr>
      <w:r>
        <w:rPr>
          <w:sz w:val="24"/>
        </w:rPr>
        <w:t>The “Initial June Bid Submission” section of Appendix B describes supporting documentation</w:t>
      </w:r>
      <w:r>
        <w:rPr>
          <w:spacing w:val="-4"/>
          <w:sz w:val="24"/>
        </w:rPr>
        <w:t xml:space="preserve"> </w:t>
      </w:r>
      <w:r>
        <w:rPr>
          <w:sz w:val="24"/>
        </w:rPr>
        <w:t>materials</w:t>
      </w:r>
      <w:r>
        <w:rPr>
          <w:spacing w:val="-1"/>
          <w:sz w:val="24"/>
        </w:rPr>
        <w:t xml:space="preserve"> </w:t>
      </w:r>
      <w:r>
        <w:rPr>
          <w:sz w:val="24"/>
        </w:rPr>
        <w:t>that</w:t>
      </w:r>
      <w:r>
        <w:rPr>
          <w:spacing w:val="-4"/>
          <w:sz w:val="24"/>
        </w:rPr>
        <w:t xml:space="preserve"> </w:t>
      </w:r>
      <w:r>
        <w:rPr>
          <w:sz w:val="24"/>
        </w:rPr>
        <w:t>Part</w:t>
      </w:r>
      <w:r>
        <w:rPr>
          <w:spacing w:val="-4"/>
          <w:sz w:val="24"/>
        </w:rPr>
        <w:t xml:space="preserve"> </w:t>
      </w:r>
      <w:r>
        <w:rPr>
          <w:sz w:val="24"/>
        </w:rPr>
        <w:t>D</w:t>
      </w:r>
      <w:r>
        <w:rPr>
          <w:spacing w:val="-5"/>
          <w:sz w:val="24"/>
        </w:rPr>
        <w:t xml:space="preserve"> </w:t>
      </w:r>
      <w:r>
        <w:rPr>
          <w:sz w:val="24"/>
        </w:rPr>
        <w:t>sponsors</w:t>
      </w:r>
      <w:r>
        <w:rPr>
          <w:spacing w:val="-4"/>
          <w:sz w:val="24"/>
        </w:rPr>
        <w:t xml:space="preserve"> </w:t>
      </w:r>
      <w:r>
        <w:rPr>
          <w:sz w:val="24"/>
        </w:rPr>
        <w:t>must</w:t>
      </w:r>
      <w:r>
        <w:rPr>
          <w:spacing w:val="-4"/>
          <w:sz w:val="24"/>
        </w:rPr>
        <w:t xml:space="preserve"> </w:t>
      </w:r>
      <w:r>
        <w:rPr>
          <w:sz w:val="24"/>
        </w:rPr>
        <w:t>upload</w:t>
      </w:r>
      <w:r>
        <w:rPr>
          <w:spacing w:val="-4"/>
          <w:sz w:val="24"/>
        </w:rPr>
        <w:t xml:space="preserve"> </w:t>
      </w:r>
      <w:r>
        <w:rPr>
          <w:sz w:val="24"/>
        </w:rPr>
        <w:t>to</w:t>
      </w:r>
      <w:r>
        <w:rPr>
          <w:spacing w:val="-4"/>
          <w:sz w:val="24"/>
        </w:rPr>
        <w:t xml:space="preserve"> </w:t>
      </w:r>
      <w:r>
        <w:rPr>
          <w:sz w:val="24"/>
        </w:rPr>
        <w:t>HPMS</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initial June bid submission.</w:t>
      </w:r>
    </w:p>
    <w:p>
      <w:pPr>
        <w:pStyle w:val="ListParagraph"/>
        <w:numPr>
          <w:ilvl w:val="0"/>
          <w:numId w:val="5"/>
        </w:numPr>
        <w:tabs>
          <w:tab w:val="left" w:pos="944"/>
        </w:tabs>
        <w:spacing w:before="41" w:after="0" w:line="240" w:lineRule="auto"/>
        <w:ind w:left="944" w:right="441" w:hanging="360"/>
        <w:jc w:val="left"/>
        <w:rPr>
          <w:sz w:val="24"/>
        </w:rPr>
      </w:pPr>
      <w:r>
        <w:rPr>
          <w:sz w:val="24"/>
        </w:rPr>
        <w:t>The</w:t>
      </w:r>
      <w:r>
        <w:rPr>
          <w:spacing w:val="-6"/>
          <w:sz w:val="24"/>
        </w:rPr>
        <w:t xml:space="preserve"> </w:t>
      </w:r>
      <w:r>
        <w:rPr>
          <w:sz w:val="24"/>
        </w:rPr>
        <w:t>“Upon</w:t>
      </w:r>
      <w:r>
        <w:rPr>
          <w:spacing w:val="-4"/>
          <w:sz w:val="24"/>
        </w:rPr>
        <w:t xml:space="preserve"> </w:t>
      </w:r>
      <w:r>
        <w:rPr>
          <w:sz w:val="24"/>
        </w:rPr>
        <w:t>Request</w:t>
      </w:r>
      <w:r>
        <w:rPr>
          <w:spacing w:val="-4"/>
          <w:sz w:val="24"/>
        </w:rPr>
        <w:t xml:space="preserve"> </w:t>
      </w:r>
      <w:r>
        <w:rPr>
          <w:sz w:val="24"/>
        </w:rPr>
        <w:t>by</w:t>
      </w:r>
      <w:r>
        <w:rPr>
          <w:spacing w:val="-4"/>
          <w:sz w:val="24"/>
        </w:rPr>
        <w:t xml:space="preserve"> </w:t>
      </w:r>
      <w:r>
        <w:rPr>
          <w:sz w:val="24"/>
        </w:rPr>
        <w:t>CMS</w:t>
      </w:r>
      <w:r>
        <w:rPr>
          <w:spacing w:val="-4"/>
          <w:sz w:val="24"/>
        </w:rPr>
        <w:t xml:space="preserve"> </w:t>
      </w:r>
      <w:r>
        <w:rPr>
          <w:sz w:val="24"/>
        </w:rPr>
        <w:t>Reviewers”</w:t>
      </w:r>
      <w:r>
        <w:rPr>
          <w:spacing w:val="-6"/>
          <w:sz w:val="24"/>
        </w:rPr>
        <w:t xml:space="preserve"> </w:t>
      </w:r>
      <w:r>
        <w:rPr>
          <w:sz w:val="24"/>
        </w:rPr>
        <w:t>section</w:t>
      </w:r>
      <w:r>
        <w:rPr>
          <w:spacing w:val="-4"/>
          <w:sz w:val="24"/>
        </w:rPr>
        <w:t xml:space="preserve"> </w:t>
      </w:r>
      <w:r>
        <w:rPr>
          <w:sz w:val="24"/>
        </w:rPr>
        <w:t>of</w:t>
      </w:r>
      <w:r>
        <w:rPr>
          <w:spacing w:val="-5"/>
          <w:sz w:val="24"/>
        </w:rPr>
        <w:t xml:space="preserve"> </w:t>
      </w:r>
      <w:r>
        <w:rPr>
          <w:sz w:val="24"/>
        </w:rPr>
        <w:t>Appendix</w:t>
      </w:r>
      <w:r>
        <w:rPr>
          <w:spacing w:val="-4"/>
          <w:sz w:val="24"/>
        </w:rPr>
        <w:t xml:space="preserve"> </w:t>
      </w:r>
      <w:r>
        <w:rPr>
          <w:sz w:val="24"/>
        </w:rPr>
        <w:t>B</w:t>
      </w:r>
      <w:r>
        <w:rPr>
          <w:spacing w:val="-4"/>
          <w:sz w:val="24"/>
        </w:rPr>
        <w:t xml:space="preserve"> </w:t>
      </w:r>
      <w:r>
        <w:rPr>
          <w:sz w:val="24"/>
        </w:rPr>
        <w:t>describes materials</w:t>
      </w:r>
      <w:r>
        <w:rPr>
          <w:spacing w:val="-4"/>
          <w:sz w:val="24"/>
        </w:rPr>
        <w:t xml:space="preserve"> </w:t>
      </w:r>
      <w:r>
        <w:rPr>
          <w:sz w:val="24"/>
        </w:rPr>
        <w:t>that Part D sponsors and certifying actuaries must provide within 48 hours of request by CMS reviewers and upload to HPMS prior to the final actuarial certification.</w:t>
      </w:r>
    </w:p>
    <w:p>
      <w:pPr>
        <w:pStyle w:val="ListParagraph"/>
        <w:numPr>
          <w:ilvl w:val="0"/>
          <w:numId w:val="5"/>
        </w:numPr>
        <w:tabs>
          <w:tab w:val="left" w:pos="944"/>
        </w:tabs>
        <w:spacing w:before="39" w:after="0" w:line="240" w:lineRule="auto"/>
        <w:ind w:left="944" w:right="594" w:hanging="360"/>
        <w:jc w:val="left"/>
        <w:rPr>
          <w:sz w:val="24"/>
        </w:rPr>
      </w:pPr>
      <w:r>
        <w:rPr>
          <w:sz w:val="24"/>
        </w:rPr>
        <w:t>When a BPT is resubmitted, the Part D sponsor must upload a summary of changes, including</w:t>
      </w:r>
      <w:r>
        <w:rPr>
          <w:spacing w:val="-3"/>
          <w:sz w:val="24"/>
        </w:rPr>
        <w:t xml:space="preserve"> </w:t>
      </w:r>
      <w:r>
        <w:rPr>
          <w:sz w:val="24"/>
        </w:rPr>
        <w:t>the</w:t>
      </w:r>
      <w:r>
        <w:rPr>
          <w:spacing w:val="-4"/>
          <w:sz w:val="24"/>
        </w:rPr>
        <w:t xml:space="preserve"> </w:t>
      </w:r>
      <w:r>
        <w:rPr>
          <w:sz w:val="24"/>
        </w:rPr>
        <w:t>cause</w:t>
      </w:r>
      <w:r>
        <w:rPr>
          <w:spacing w:val="-4"/>
          <w:sz w:val="24"/>
        </w:rPr>
        <w:t xml:space="preserve"> </w:t>
      </w:r>
      <w:r>
        <w:rPr>
          <w:sz w:val="24"/>
        </w:rPr>
        <w:t>and</w:t>
      </w:r>
      <w:r>
        <w:rPr>
          <w:spacing w:val="-1"/>
          <w:sz w:val="24"/>
        </w:rPr>
        <w:t xml:space="preserve"> </w:t>
      </w:r>
      <w:r>
        <w:rPr>
          <w:sz w:val="24"/>
        </w:rPr>
        <w:t>effect</w:t>
      </w:r>
      <w:r>
        <w:rPr>
          <w:spacing w:val="-3"/>
          <w:sz w:val="24"/>
        </w:rPr>
        <w:t xml:space="preserve"> </w:t>
      </w:r>
      <w:r>
        <w:rPr>
          <w:sz w:val="24"/>
        </w:rPr>
        <w:t>of</w:t>
      </w:r>
      <w:r>
        <w:rPr>
          <w:spacing w:val="-2"/>
          <w:sz w:val="24"/>
        </w:rPr>
        <w:t xml:space="preserve"> </w:t>
      </w:r>
      <w:r>
        <w:rPr>
          <w:sz w:val="24"/>
        </w:rPr>
        <w:t>each</w:t>
      </w:r>
      <w:r>
        <w:rPr>
          <w:spacing w:val="-3"/>
          <w:sz w:val="24"/>
        </w:rPr>
        <w:t xml:space="preserve"> </w:t>
      </w:r>
      <w:r>
        <w:rPr>
          <w:sz w:val="24"/>
        </w:rPr>
        <w:t>revision,</w:t>
      </w:r>
      <w:r>
        <w:rPr>
          <w:spacing w:val="-3"/>
          <w:sz w:val="24"/>
        </w:rPr>
        <w:t xml:space="preserve"> </w:t>
      </w:r>
      <w:r>
        <w:rPr>
          <w:sz w:val="24"/>
        </w:rPr>
        <w:t>authorized</w:t>
      </w:r>
      <w:r>
        <w:rPr>
          <w:spacing w:val="-3"/>
          <w:sz w:val="24"/>
        </w:rPr>
        <w:t xml:space="preserve"> </w:t>
      </w:r>
      <w:r>
        <w:rPr>
          <w:sz w:val="24"/>
        </w:rPr>
        <w:t>by</w:t>
      </w:r>
      <w:r>
        <w:rPr>
          <w:spacing w:val="-3"/>
          <w:sz w:val="24"/>
        </w:rPr>
        <w:t xml:space="preserve"> </w:t>
      </w:r>
      <w:r>
        <w:rPr>
          <w:sz w:val="24"/>
        </w:rPr>
        <w:t>CMS</w:t>
      </w:r>
      <w:r>
        <w:rPr>
          <w:spacing w:val="-3"/>
          <w:sz w:val="24"/>
        </w:rPr>
        <w:t xml:space="preserve"> </w:t>
      </w:r>
      <w:r>
        <w:rPr>
          <w:sz w:val="24"/>
        </w:rPr>
        <w:t>or</w:t>
      </w:r>
      <w:r>
        <w:rPr>
          <w:spacing w:val="-3"/>
          <w:sz w:val="24"/>
        </w:rPr>
        <w:t xml:space="preserve"> </w:t>
      </w:r>
      <w:r>
        <w:rPr>
          <w:sz w:val="24"/>
        </w:rPr>
        <w:t>CMS</w:t>
      </w:r>
      <w:r>
        <w:rPr>
          <w:spacing w:val="-3"/>
          <w:sz w:val="24"/>
        </w:rPr>
        <w:t xml:space="preserve"> </w:t>
      </w:r>
      <w:r>
        <w:rPr>
          <w:sz w:val="24"/>
        </w:rPr>
        <w:t>reviewers. If</w:t>
      </w:r>
      <w:r>
        <w:rPr>
          <w:spacing w:val="-2"/>
          <w:sz w:val="24"/>
        </w:rPr>
        <w:t xml:space="preserve"> </w:t>
      </w:r>
      <w:r>
        <w:rPr>
          <w:sz w:val="24"/>
        </w:rPr>
        <w:t>multiple BPTs are</w:t>
      </w:r>
      <w:r>
        <w:rPr>
          <w:spacing w:val="-2"/>
          <w:sz w:val="24"/>
        </w:rPr>
        <w:t xml:space="preserve"> </w:t>
      </w:r>
      <w:r>
        <w:rPr>
          <w:sz w:val="24"/>
        </w:rPr>
        <w:t>resubmitted at the</w:t>
      </w:r>
      <w:r>
        <w:rPr>
          <w:spacing w:val="-1"/>
          <w:sz w:val="24"/>
        </w:rPr>
        <w:t xml:space="preserve"> </w:t>
      </w:r>
      <w:r>
        <w:rPr>
          <w:sz w:val="24"/>
        </w:rPr>
        <w:t>same time, the supporting documentation must include a mapping of specific bid changes and contract number-plan IDs.</w:t>
      </w:r>
    </w:p>
    <w:p>
      <w:pPr>
        <w:spacing w:after="0" w:line="240" w:lineRule="auto"/>
        <w:jc w:val="left"/>
        <w:rPr>
          <w:sz w:val="24"/>
        </w:rPr>
        <w:sectPr>
          <w:pgSz w:w="12240" w:h="15840"/>
          <w:pgMar w:top="1340" w:right="1000" w:bottom="940" w:left="1360" w:header="727" w:footer="747"/>
          <w:cols w:space="720"/>
        </w:sectPr>
      </w:pPr>
    </w:p>
    <w:p>
      <w:pPr>
        <w:pStyle w:val="ListParagraph"/>
        <w:numPr>
          <w:ilvl w:val="1"/>
          <w:numId w:val="5"/>
        </w:numPr>
        <w:tabs>
          <w:tab w:val="left" w:pos="1304"/>
        </w:tabs>
        <w:spacing w:before="87" w:after="0" w:line="240" w:lineRule="auto"/>
        <w:ind w:left="1304" w:right="0" w:hanging="360"/>
        <w:jc w:val="left"/>
        <w:rPr>
          <w:sz w:val="24"/>
        </w:rPr>
      </w:pPr>
      <w:r>
        <w:rPr>
          <w:sz w:val="24"/>
        </w:rPr>
        <w:t>Sample</w:t>
      </w:r>
      <w:r>
        <w:rPr>
          <w:spacing w:val="-2"/>
          <w:sz w:val="24"/>
        </w:rPr>
        <w:t xml:space="preserve"> </w:t>
      </w:r>
      <w:r>
        <w:rPr>
          <w:sz w:val="24"/>
        </w:rPr>
        <w:t>BPTs are</w:t>
      </w:r>
      <w:r>
        <w:rPr>
          <w:spacing w:val="-3"/>
          <w:sz w:val="24"/>
        </w:rPr>
        <w:t xml:space="preserve"> </w:t>
      </w:r>
      <w:r>
        <w:rPr>
          <w:sz w:val="24"/>
        </w:rPr>
        <w:t>not to</w:t>
      </w:r>
      <w:r>
        <w:rPr>
          <w:spacing w:val="-1"/>
          <w:sz w:val="24"/>
        </w:rPr>
        <w:t xml:space="preserve"> </w:t>
      </w:r>
      <w:r>
        <w:rPr>
          <w:sz w:val="24"/>
        </w:rPr>
        <w:t>be</w:t>
      </w:r>
      <w:r>
        <w:rPr>
          <w:spacing w:val="-1"/>
          <w:sz w:val="24"/>
        </w:rPr>
        <w:t xml:space="preserve"> </w:t>
      </w:r>
      <w:r>
        <w:rPr>
          <w:sz w:val="24"/>
        </w:rPr>
        <w:t>uploaded</w:t>
      </w:r>
      <w:r>
        <w:rPr>
          <w:spacing w:val="-1"/>
          <w:sz w:val="24"/>
        </w:rPr>
        <w:t xml:space="preserve"> </w:t>
      </w:r>
      <w:r>
        <w:rPr>
          <w:sz w:val="24"/>
        </w:rPr>
        <w:t xml:space="preserve">to </w:t>
      </w:r>
      <w:r>
        <w:rPr>
          <w:spacing w:val="-2"/>
          <w:sz w:val="24"/>
        </w:rPr>
        <w:t>HPMS.</w:t>
      </w:r>
    </w:p>
    <w:p>
      <w:pPr>
        <w:pStyle w:val="ListParagraph"/>
        <w:numPr>
          <w:ilvl w:val="0"/>
          <w:numId w:val="5"/>
        </w:numPr>
        <w:tabs>
          <w:tab w:val="left" w:pos="944"/>
        </w:tabs>
        <w:spacing w:before="41" w:after="0" w:line="240" w:lineRule="auto"/>
        <w:ind w:left="944" w:right="0" w:hanging="360"/>
        <w:jc w:val="left"/>
        <w:rPr>
          <w:sz w:val="24"/>
        </w:rPr>
      </w:pPr>
      <w:r>
        <w:rPr>
          <w:sz w:val="24"/>
        </w:rPr>
        <w:t>Prior</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final</w:t>
      </w:r>
      <w:r>
        <w:rPr>
          <w:spacing w:val="-1"/>
          <w:sz w:val="24"/>
        </w:rPr>
        <w:t xml:space="preserve"> </w:t>
      </w:r>
      <w:r>
        <w:rPr>
          <w:sz w:val="24"/>
        </w:rPr>
        <w:t xml:space="preserve">actuarial </w:t>
      </w:r>
      <w:r>
        <w:rPr>
          <w:spacing w:val="-2"/>
          <w:sz w:val="24"/>
        </w:rPr>
        <w:t>certification—</w:t>
      </w:r>
    </w:p>
    <w:p>
      <w:pPr>
        <w:pStyle w:val="ListParagraph"/>
        <w:numPr>
          <w:ilvl w:val="1"/>
          <w:numId w:val="5"/>
        </w:numPr>
        <w:tabs>
          <w:tab w:val="left" w:pos="1304"/>
        </w:tabs>
        <w:spacing w:before="38" w:after="0" w:line="240" w:lineRule="auto"/>
        <w:ind w:left="1304" w:right="1010" w:hanging="360"/>
        <w:jc w:val="left"/>
        <w:rPr>
          <w:sz w:val="24"/>
        </w:rPr>
      </w:pPr>
      <w:r>
        <w:rPr>
          <w:sz w:val="24"/>
        </w:rPr>
        <w:t>Part</w:t>
      </w:r>
      <w:r>
        <w:rPr>
          <w:spacing w:val="-5"/>
          <w:sz w:val="24"/>
        </w:rPr>
        <w:t xml:space="preserve"> </w:t>
      </w:r>
      <w:r>
        <w:rPr>
          <w:sz w:val="24"/>
        </w:rPr>
        <w:t>D</w:t>
      </w:r>
      <w:r>
        <w:rPr>
          <w:spacing w:val="-6"/>
          <w:sz w:val="24"/>
        </w:rPr>
        <w:t xml:space="preserve"> </w:t>
      </w:r>
      <w:r>
        <w:rPr>
          <w:sz w:val="24"/>
        </w:rPr>
        <w:t>sponsors</w:t>
      </w:r>
      <w:r>
        <w:rPr>
          <w:spacing w:val="-5"/>
          <w:sz w:val="24"/>
        </w:rPr>
        <w:t xml:space="preserve"> </w:t>
      </w:r>
      <w:r>
        <w:rPr>
          <w:sz w:val="24"/>
        </w:rPr>
        <w:t>and</w:t>
      </w:r>
      <w:r>
        <w:rPr>
          <w:spacing w:val="-5"/>
          <w:sz w:val="24"/>
        </w:rPr>
        <w:t xml:space="preserve"> </w:t>
      </w:r>
      <w:r>
        <w:rPr>
          <w:sz w:val="24"/>
        </w:rPr>
        <w:t>certifying</w:t>
      </w:r>
      <w:r>
        <w:rPr>
          <w:spacing w:val="-5"/>
          <w:sz w:val="24"/>
        </w:rPr>
        <w:t xml:space="preserve"> </w:t>
      </w:r>
      <w:r>
        <w:rPr>
          <w:sz w:val="24"/>
        </w:rPr>
        <w:t>actuaries</w:t>
      </w:r>
      <w:r>
        <w:rPr>
          <w:spacing w:val="-5"/>
          <w:sz w:val="24"/>
        </w:rPr>
        <w:t xml:space="preserve"> </w:t>
      </w:r>
      <w:r>
        <w:rPr>
          <w:sz w:val="24"/>
        </w:rPr>
        <w:t>must</w:t>
      </w:r>
      <w:r>
        <w:rPr>
          <w:spacing w:val="-5"/>
          <w:sz w:val="24"/>
        </w:rPr>
        <w:t xml:space="preserve"> </w:t>
      </w:r>
      <w:r>
        <w:rPr>
          <w:sz w:val="24"/>
        </w:rPr>
        <w:t>revise</w:t>
      </w:r>
      <w:r>
        <w:rPr>
          <w:spacing w:val="-5"/>
          <w:sz w:val="24"/>
        </w:rPr>
        <w:t xml:space="preserve"> </w:t>
      </w:r>
      <w:r>
        <w:rPr>
          <w:sz w:val="24"/>
        </w:rPr>
        <w:t>supporting</w:t>
      </w:r>
      <w:r>
        <w:rPr>
          <w:spacing w:val="-5"/>
          <w:sz w:val="24"/>
        </w:rPr>
        <w:t xml:space="preserve"> </w:t>
      </w:r>
      <w:r>
        <w:rPr>
          <w:sz w:val="24"/>
        </w:rPr>
        <w:t>documentation consistent with the final certified bid. This includes additional information or materials provided during bid review to support the bid.</w:t>
      </w:r>
    </w:p>
    <w:p>
      <w:pPr>
        <w:pStyle w:val="ListParagraph"/>
        <w:numPr>
          <w:ilvl w:val="1"/>
          <w:numId w:val="5"/>
        </w:numPr>
        <w:tabs>
          <w:tab w:val="left" w:pos="1304"/>
        </w:tabs>
        <w:spacing w:before="41" w:after="0" w:line="240" w:lineRule="auto"/>
        <w:ind w:left="1304" w:right="725" w:hanging="360"/>
        <w:jc w:val="left"/>
        <w:rPr>
          <w:sz w:val="24"/>
        </w:rPr>
      </w:pPr>
      <w:r>
        <w:rPr>
          <w:sz w:val="24"/>
        </w:rPr>
        <w:t>CMS</w:t>
      </w:r>
      <w:r>
        <w:rPr>
          <w:spacing w:val="-4"/>
          <w:sz w:val="24"/>
        </w:rPr>
        <w:t xml:space="preserve"> </w:t>
      </w:r>
      <w:r>
        <w:rPr>
          <w:sz w:val="24"/>
        </w:rPr>
        <w:t>expects</w:t>
      </w:r>
      <w:r>
        <w:rPr>
          <w:spacing w:val="-4"/>
          <w:sz w:val="24"/>
        </w:rPr>
        <w:t xml:space="preserve"> </w:t>
      </w:r>
      <w:r>
        <w:rPr>
          <w:sz w:val="24"/>
        </w:rPr>
        <w:t>revised</w:t>
      </w:r>
      <w:r>
        <w:rPr>
          <w:spacing w:val="-4"/>
          <w:sz w:val="24"/>
        </w:rPr>
        <w:t xml:space="preserve"> </w:t>
      </w:r>
      <w:r>
        <w:rPr>
          <w:sz w:val="24"/>
        </w:rPr>
        <w:t>supporting</w:t>
      </w:r>
      <w:r>
        <w:rPr>
          <w:spacing w:val="-4"/>
          <w:sz w:val="24"/>
        </w:rPr>
        <w:t xml:space="preserve"> </w:t>
      </w:r>
      <w:r>
        <w:rPr>
          <w:sz w:val="24"/>
        </w:rPr>
        <w:t>documentation</w:t>
      </w:r>
      <w:r>
        <w:rPr>
          <w:spacing w:val="-4"/>
          <w:sz w:val="24"/>
        </w:rPr>
        <w:t xml:space="preserve"> </w:t>
      </w:r>
      <w:r>
        <w:rPr>
          <w:sz w:val="24"/>
        </w:rPr>
        <w:t>to</w:t>
      </w:r>
      <w:r>
        <w:rPr>
          <w:spacing w:val="-4"/>
          <w:sz w:val="24"/>
        </w:rPr>
        <w:t xml:space="preserve"> </w:t>
      </w:r>
      <w:r>
        <w:rPr>
          <w:sz w:val="24"/>
        </w:rPr>
        <w:t>have</w:t>
      </w:r>
      <w:r>
        <w:rPr>
          <w:spacing w:val="-6"/>
          <w:sz w:val="24"/>
        </w:rPr>
        <w:t xml:space="preserve"> </w:t>
      </w:r>
      <w:r>
        <w:rPr>
          <w:sz w:val="24"/>
        </w:rPr>
        <w:t>the</w:t>
      </w:r>
      <w:r>
        <w:rPr>
          <w:spacing w:val="-4"/>
          <w:sz w:val="24"/>
        </w:rPr>
        <w:t xml:space="preserve"> </w:t>
      </w:r>
      <w:r>
        <w:rPr>
          <w:sz w:val="24"/>
        </w:rPr>
        <w:t>same</w:t>
      </w:r>
      <w:r>
        <w:rPr>
          <w:spacing w:val="-3"/>
          <w:sz w:val="24"/>
        </w:rPr>
        <w:t xml:space="preserve"> </w:t>
      </w:r>
      <w:r>
        <w:rPr>
          <w:sz w:val="24"/>
        </w:rPr>
        <w:t>file</w:t>
      </w:r>
      <w:r>
        <w:rPr>
          <w:spacing w:val="-5"/>
          <w:sz w:val="24"/>
        </w:rPr>
        <w:t xml:space="preserve"> </w:t>
      </w:r>
      <w:r>
        <w:rPr>
          <w:sz w:val="24"/>
        </w:rPr>
        <w:t>name</w:t>
      </w:r>
      <w:r>
        <w:rPr>
          <w:spacing w:val="-3"/>
          <w:sz w:val="24"/>
        </w:rPr>
        <w:t xml:space="preserve"> </w:t>
      </w:r>
      <w:r>
        <w:rPr>
          <w:sz w:val="24"/>
        </w:rPr>
        <w:t>as</w:t>
      </w:r>
      <w:r>
        <w:rPr>
          <w:spacing w:val="-4"/>
          <w:sz w:val="24"/>
        </w:rPr>
        <w:t xml:space="preserve"> </w:t>
      </w:r>
      <w:r>
        <w:rPr>
          <w:sz w:val="24"/>
        </w:rPr>
        <w:t>the original</w:t>
      </w:r>
      <w:r>
        <w:rPr>
          <w:spacing w:val="-1"/>
          <w:sz w:val="24"/>
        </w:rPr>
        <w:t xml:space="preserve"> </w:t>
      </w:r>
      <w:r>
        <w:rPr>
          <w:sz w:val="24"/>
        </w:rPr>
        <w:t>substantiation</w:t>
      </w:r>
      <w:r>
        <w:rPr>
          <w:spacing w:val="-1"/>
          <w:sz w:val="24"/>
        </w:rPr>
        <w:t xml:space="preserve"> </w:t>
      </w:r>
      <w:r>
        <w:rPr>
          <w:sz w:val="24"/>
        </w:rPr>
        <w:t>file</w:t>
      </w:r>
      <w:r>
        <w:rPr>
          <w:spacing w:val="-2"/>
          <w:sz w:val="24"/>
        </w:rPr>
        <w:t xml:space="preserve"> </w:t>
      </w:r>
      <w:r>
        <w:rPr>
          <w:sz w:val="24"/>
        </w:rPr>
        <w:t>except</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different</w:t>
      </w:r>
      <w:r>
        <w:rPr>
          <w:spacing w:val="-1"/>
          <w:sz w:val="24"/>
        </w:rPr>
        <w:t xml:space="preserve"> </w:t>
      </w:r>
      <w:r>
        <w:rPr>
          <w:sz w:val="24"/>
        </w:rPr>
        <w:t>date</w:t>
      </w:r>
      <w:r>
        <w:rPr>
          <w:spacing w:val="-1"/>
          <w:sz w:val="24"/>
        </w:rPr>
        <w:t xml:space="preserve"> </w:t>
      </w:r>
      <w:r>
        <w:rPr>
          <w:sz w:val="24"/>
        </w:rPr>
        <w:t>or</w:t>
      </w:r>
      <w:r>
        <w:rPr>
          <w:spacing w:val="-3"/>
          <w:sz w:val="24"/>
        </w:rPr>
        <w:t xml:space="preserve"> </w:t>
      </w:r>
      <w:r>
        <w:rPr>
          <w:sz w:val="24"/>
        </w:rPr>
        <w:t>a</w:t>
      </w:r>
      <w:r>
        <w:rPr>
          <w:spacing w:val="-2"/>
          <w:sz w:val="24"/>
        </w:rPr>
        <w:t xml:space="preserve"> </w:t>
      </w:r>
      <w:r>
        <w:rPr>
          <w:sz w:val="24"/>
        </w:rPr>
        <w:t>word</w:t>
      </w:r>
      <w:r>
        <w:rPr>
          <w:spacing w:val="-1"/>
          <w:sz w:val="24"/>
        </w:rPr>
        <w:t xml:space="preserve"> </w:t>
      </w:r>
      <w:r>
        <w:rPr>
          <w:sz w:val="24"/>
        </w:rPr>
        <w:t>such as</w:t>
      </w:r>
      <w:r>
        <w:rPr>
          <w:spacing w:val="-2"/>
          <w:sz w:val="24"/>
        </w:rPr>
        <w:t xml:space="preserve"> </w:t>
      </w:r>
      <w:r>
        <w:rPr>
          <w:sz w:val="24"/>
        </w:rPr>
        <w:t>“revised.”</w:t>
      </w:r>
    </w:p>
    <w:p>
      <w:pPr>
        <w:spacing w:before="241"/>
        <w:ind w:left="224" w:right="0" w:firstLine="0"/>
        <w:jc w:val="left"/>
        <w:rPr>
          <w:rFonts w:ascii="Arial"/>
          <w:b/>
          <w:sz w:val="21"/>
        </w:rPr>
      </w:pPr>
      <w:bookmarkStart w:id="285" w:name="Initial June Bid Submission"/>
      <w:bookmarkEnd w:id="285"/>
      <w:r>
        <w:rPr>
          <w:rFonts w:ascii="Arial"/>
          <w:b/>
          <w:sz w:val="21"/>
        </w:rPr>
        <w:t>Initial</w:t>
      </w:r>
      <w:r>
        <w:rPr>
          <w:rFonts w:ascii="Arial"/>
          <w:b/>
          <w:spacing w:val="-6"/>
          <w:sz w:val="21"/>
        </w:rPr>
        <w:t xml:space="preserve"> </w:t>
      </w:r>
      <w:r>
        <w:rPr>
          <w:rFonts w:ascii="Arial"/>
          <w:b/>
          <w:sz w:val="21"/>
        </w:rPr>
        <w:t>June</w:t>
      </w:r>
      <w:r>
        <w:rPr>
          <w:rFonts w:ascii="Arial"/>
          <w:b/>
          <w:spacing w:val="-5"/>
          <w:sz w:val="21"/>
        </w:rPr>
        <w:t xml:space="preserve"> </w:t>
      </w:r>
      <w:r>
        <w:rPr>
          <w:rFonts w:ascii="Arial"/>
          <w:b/>
          <w:sz w:val="21"/>
        </w:rPr>
        <w:t>Bid</w:t>
      </w:r>
      <w:r>
        <w:rPr>
          <w:rFonts w:ascii="Arial"/>
          <w:b/>
          <w:spacing w:val="-3"/>
          <w:sz w:val="21"/>
        </w:rPr>
        <w:t xml:space="preserve"> </w:t>
      </w:r>
      <w:r>
        <w:rPr>
          <w:rFonts w:ascii="Arial"/>
          <w:b/>
          <w:spacing w:val="-2"/>
          <w:sz w:val="21"/>
        </w:rPr>
        <w:t>Submission</w:t>
      </w:r>
    </w:p>
    <w:p>
      <w:pPr>
        <w:pStyle w:val="BodyText"/>
        <w:ind w:left="224" w:right="478"/>
      </w:pPr>
      <w:r>
        <w:t>The</w:t>
      </w:r>
      <w:r>
        <w:rPr>
          <w:spacing w:val="-6"/>
        </w:rPr>
        <w:t xml:space="preserve"> </w:t>
      </w:r>
      <w:r>
        <w:t>following</w:t>
      </w:r>
      <w:r>
        <w:rPr>
          <w:spacing w:val="-4"/>
        </w:rPr>
        <w:t xml:space="preserve"> </w:t>
      </w:r>
      <w:r>
        <w:t>documentation</w:t>
      </w:r>
      <w:r>
        <w:rPr>
          <w:spacing w:val="-4"/>
        </w:rPr>
        <w:t xml:space="preserve"> </w:t>
      </w:r>
      <w:r>
        <w:t>requirements</w:t>
      </w:r>
      <w:r>
        <w:rPr>
          <w:spacing w:val="-4"/>
        </w:rPr>
        <w:t xml:space="preserve"> </w:t>
      </w:r>
      <w:r>
        <w:t>apply</w:t>
      </w:r>
      <w:r>
        <w:rPr>
          <w:spacing w:val="-2"/>
        </w:rPr>
        <w:t xml:space="preserve"> </w:t>
      </w:r>
      <w:r>
        <w:t>to</w:t>
      </w:r>
      <w:r>
        <w:rPr>
          <w:spacing w:val="-4"/>
        </w:rPr>
        <w:t xml:space="preserve"> </w:t>
      </w:r>
      <w:r>
        <w:t>all</w:t>
      </w:r>
      <w:r>
        <w:rPr>
          <w:spacing w:val="-4"/>
        </w:rPr>
        <w:t xml:space="preserve"> </w:t>
      </w:r>
      <w:r>
        <w:t>bids</w:t>
      </w:r>
      <w:r>
        <w:rPr>
          <w:spacing w:val="-4"/>
        </w:rPr>
        <w:t xml:space="preserve"> </w:t>
      </w:r>
      <w:r>
        <w:t>(as</w:t>
      </w:r>
      <w:r>
        <w:rPr>
          <w:spacing w:val="-4"/>
        </w:rPr>
        <w:t xml:space="preserve"> </w:t>
      </w:r>
      <w:r>
        <w:t>all</w:t>
      </w:r>
      <w:r>
        <w:rPr>
          <w:spacing w:val="-4"/>
        </w:rPr>
        <w:t xml:space="preserve"> </w:t>
      </w:r>
      <w:r>
        <w:t>bids</w:t>
      </w:r>
      <w:r>
        <w:rPr>
          <w:spacing w:val="-4"/>
        </w:rPr>
        <w:t xml:space="preserve"> </w:t>
      </w:r>
      <w:r>
        <w:t xml:space="preserve">contain these </w:t>
      </w:r>
      <w:r>
        <w:rPr>
          <w:spacing w:val="-2"/>
        </w:rPr>
        <w:t>assumptions):</w:t>
      </w:r>
    </w:p>
    <w:p>
      <w:pPr>
        <w:pStyle w:val="ListParagraph"/>
        <w:numPr>
          <w:ilvl w:val="0"/>
          <w:numId w:val="4"/>
        </w:numPr>
        <w:tabs>
          <w:tab w:val="left" w:pos="584"/>
        </w:tabs>
        <w:spacing w:before="120" w:after="0" w:line="240" w:lineRule="auto"/>
        <w:ind w:left="584" w:right="0" w:hanging="360"/>
        <w:jc w:val="left"/>
        <w:rPr>
          <w:sz w:val="24"/>
        </w:rPr>
      </w:pPr>
      <w:r>
        <w:rPr>
          <w:sz w:val="24"/>
        </w:rPr>
        <w:t>A</w:t>
      </w:r>
      <w:r>
        <w:rPr>
          <w:spacing w:val="-4"/>
          <w:sz w:val="24"/>
        </w:rPr>
        <w:t xml:space="preserve"> </w:t>
      </w:r>
      <w:r>
        <w:rPr>
          <w:sz w:val="24"/>
        </w:rPr>
        <w:t>cover</w:t>
      </w:r>
      <w:r>
        <w:rPr>
          <w:spacing w:val="-1"/>
          <w:sz w:val="24"/>
        </w:rPr>
        <w:t xml:space="preserve"> </w:t>
      </w:r>
      <w:r>
        <w:rPr>
          <w:sz w:val="24"/>
        </w:rPr>
        <w:t>sheet</w:t>
      </w:r>
      <w:r>
        <w:rPr>
          <w:spacing w:val="-1"/>
          <w:sz w:val="24"/>
        </w:rPr>
        <w:t xml:space="preserve"> </w:t>
      </w:r>
      <w:r>
        <w:rPr>
          <w:sz w:val="24"/>
        </w:rPr>
        <w:t>outlining</w:t>
      </w:r>
      <w:r>
        <w:rPr>
          <w:spacing w:val="-1"/>
          <w:sz w:val="24"/>
        </w:rPr>
        <w:t xml:space="preserve"> </w:t>
      </w:r>
      <w:r>
        <w:rPr>
          <w:sz w:val="24"/>
        </w:rPr>
        <w:t>the</w:t>
      </w:r>
      <w:r>
        <w:rPr>
          <w:spacing w:val="-2"/>
          <w:sz w:val="24"/>
        </w:rPr>
        <w:t xml:space="preserve"> </w:t>
      </w:r>
      <w:r>
        <w:rPr>
          <w:sz w:val="24"/>
        </w:rPr>
        <w:t>documentation</w:t>
      </w:r>
      <w:r>
        <w:rPr>
          <w:spacing w:val="-1"/>
          <w:sz w:val="24"/>
        </w:rPr>
        <w:t xml:space="preserve"> </w:t>
      </w:r>
      <w:r>
        <w:rPr>
          <w:sz w:val="24"/>
        </w:rPr>
        <w:t>files,</w:t>
      </w:r>
      <w:r>
        <w:rPr>
          <w:spacing w:val="-1"/>
          <w:sz w:val="24"/>
        </w:rPr>
        <w:t xml:space="preserve"> </w:t>
      </w:r>
      <w:r>
        <w:rPr>
          <w:sz w:val="24"/>
        </w:rPr>
        <w:t>as</w:t>
      </w:r>
      <w:r>
        <w:rPr>
          <w:spacing w:val="-1"/>
          <w:sz w:val="24"/>
        </w:rPr>
        <w:t xml:space="preserve"> </w:t>
      </w:r>
      <w:r>
        <w:rPr>
          <w:sz w:val="24"/>
        </w:rPr>
        <w:t>described</w:t>
      </w:r>
      <w:r>
        <w:rPr>
          <w:spacing w:val="-1"/>
          <w:sz w:val="24"/>
        </w:rPr>
        <w:t xml:space="preserve"> </w:t>
      </w:r>
      <w:r>
        <w:rPr>
          <w:spacing w:val="-2"/>
          <w:sz w:val="24"/>
        </w:rPr>
        <w:t>above.</w:t>
      </w:r>
    </w:p>
    <w:p>
      <w:pPr>
        <w:pStyle w:val="ListParagraph"/>
        <w:numPr>
          <w:ilvl w:val="0"/>
          <w:numId w:val="4"/>
        </w:numPr>
        <w:tabs>
          <w:tab w:val="left" w:pos="584"/>
        </w:tabs>
        <w:spacing w:before="39" w:after="0" w:line="240" w:lineRule="auto"/>
        <w:ind w:left="584" w:right="847" w:hanging="360"/>
        <w:jc w:val="left"/>
        <w:rPr>
          <w:sz w:val="24"/>
        </w:rPr>
      </w:pPr>
      <w:r>
        <w:rPr>
          <w:sz w:val="24"/>
        </w:rPr>
        <w:t>A product narrative that offers relevant information about plan design, the product positioning in the market (such as high/low), enrollment shifts, changes in service area, type</w:t>
      </w:r>
      <w:r>
        <w:rPr>
          <w:spacing w:val="-6"/>
          <w:sz w:val="24"/>
        </w:rPr>
        <w:t xml:space="preserve"> </w:t>
      </w:r>
      <w:r>
        <w:rPr>
          <w:sz w:val="24"/>
        </w:rPr>
        <w:t>of</w:t>
      </w:r>
      <w:r>
        <w:rPr>
          <w:spacing w:val="-5"/>
          <w:sz w:val="24"/>
        </w:rPr>
        <w:t xml:space="preserve"> </w:t>
      </w:r>
      <w:r>
        <w:rPr>
          <w:sz w:val="24"/>
        </w:rPr>
        <w:t>coverage,</w:t>
      </w:r>
      <w:r>
        <w:rPr>
          <w:spacing w:val="-3"/>
          <w:sz w:val="24"/>
        </w:rPr>
        <w:t xml:space="preserve"> </w:t>
      </w:r>
      <w:r>
        <w:rPr>
          <w:sz w:val="24"/>
        </w:rPr>
        <w:t>contractual</w:t>
      </w:r>
      <w:r>
        <w:rPr>
          <w:spacing w:val="-5"/>
          <w:sz w:val="24"/>
        </w:rPr>
        <w:t xml:space="preserve"> </w:t>
      </w:r>
      <w:r>
        <w:rPr>
          <w:sz w:val="24"/>
        </w:rPr>
        <w:t>arrangements,</w:t>
      </w:r>
      <w:r>
        <w:rPr>
          <w:spacing w:val="-5"/>
          <w:sz w:val="24"/>
        </w:rPr>
        <w:t xml:space="preserve"> </w:t>
      </w:r>
      <w:r>
        <w:rPr>
          <w:sz w:val="24"/>
        </w:rPr>
        <w:t>marketing</w:t>
      </w:r>
      <w:r>
        <w:rPr>
          <w:spacing w:val="-5"/>
          <w:sz w:val="24"/>
        </w:rPr>
        <w:t xml:space="preserve"> </w:t>
      </w:r>
      <w:r>
        <w:rPr>
          <w:sz w:val="24"/>
        </w:rPr>
        <w:t>approach</w:t>
      </w:r>
      <w:r>
        <w:rPr>
          <w:spacing w:val="-5"/>
          <w:sz w:val="24"/>
        </w:rPr>
        <w:t xml:space="preserve"> </w:t>
      </w:r>
      <w:r>
        <w:rPr>
          <w:sz w:val="24"/>
        </w:rPr>
        <w:t>and</w:t>
      </w:r>
      <w:r>
        <w:rPr>
          <w:spacing w:val="-3"/>
          <w:sz w:val="24"/>
        </w:rPr>
        <w:t xml:space="preserve"> </w:t>
      </w:r>
      <w:r>
        <w:rPr>
          <w:sz w:val="24"/>
        </w:rPr>
        <w:t>any</w:t>
      </w:r>
      <w:r>
        <w:rPr>
          <w:spacing w:val="-5"/>
          <w:sz w:val="24"/>
        </w:rPr>
        <w:t xml:space="preserve"> </w:t>
      </w:r>
      <w:r>
        <w:rPr>
          <w:sz w:val="24"/>
        </w:rPr>
        <w:t>other</w:t>
      </w:r>
      <w:r>
        <w:rPr>
          <w:spacing w:val="-5"/>
          <w:sz w:val="24"/>
        </w:rPr>
        <w:t xml:space="preserve"> </w:t>
      </w:r>
      <w:r>
        <w:rPr>
          <w:sz w:val="24"/>
        </w:rPr>
        <w:t>pertinent information that would help expedite the bid review.</w:t>
      </w:r>
    </w:p>
    <w:p>
      <w:pPr>
        <w:pStyle w:val="ListParagraph"/>
        <w:numPr>
          <w:ilvl w:val="0"/>
          <w:numId w:val="4"/>
        </w:numPr>
        <w:tabs>
          <w:tab w:val="left" w:pos="584"/>
        </w:tabs>
        <w:spacing w:before="41" w:after="0" w:line="240" w:lineRule="auto"/>
        <w:ind w:left="584" w:right="474" w:hanging="360"/>
        <w:jc w:val="left"/>
        <w:rPr>
          <w:sz w:val="24"/>
        </w:rPr>
      </w:pPr>
      <w:r>
        <w:rPr>
          <w:sz w:val="24"/>
        </w:rPr>
        <w:t>A</w:t>
      </w:r>
      <w:r>
        <w:rPr>
          <w:spacing w:val="-4"/>
          <w:sz w:val="24"/>
        </w:rPr>
        <w:t xml:space="preserve"> </w:t>
      </w:r>
      <w:r>
        <w:rPr>
          <w:sz w:val="24"/>
        </w:rPr>
        <w:t>document</w:t>
      </w:r>
      <w:r>
        <w:rPr>
          <w:spacing w:val="-3"/>
          <w:sz w:val="24"/>
        </w:rPr>
        <w:t xml:space="preserve"> </w:t>
      </w:r>
      <w:r>
        <w:rPr>
          <w:sz w:val="24"/>
        </w:rPr>
        <w:t>titled</w:t>
      </w:r>
      <w:r>
        <w:rPr>
          <w:spacing w:val="-3"/>
          <w:sz w:val="24"/>
        </w:rPr>
        <w:t xml:space="preserve"> </w:t>
      </w:r>
      <w:r>
        <w:rPr>
          <w:sz w:val="24"/>
        </w:rPr>
        <w:t>“Related-Party</w:t>
      </w:r>
      <w:r>
        <w:rPr>
          <w:spacing w:val="-3"/>
          <w:sz w:val="24"/>
        </w:rPr>
        <w:t xml:space="preserve"> </w:t>
      </w:r>
      <w:r>
        <w:rPr>
          <w:sz w:val="24"/>
        </w:rPr>
        <w:t>Declaration”</w:t>
      </w:r>
      <w:r>
        <w:rPr>
          <w:spacing w:val="-4"/>
          <w:sz w:val="24"/>
        </w:rPr>
        <w:t xml:space="preserve"> </w:t>
      </w:r>
      <w:r>
        <w:rPr>
          <w:sz w:val="24"/>
        </w:rPr>
        <w:t>that</w:t>
      </w:r>
      <w:r>
        <w:rPr>
          <w:spacing w:val="-3"/>
          <w:sz w:val="24"/>
        </w:rPr>
        <w:t xml:space="preserve"> </w:t>
      </w:r>
      <w:r>
        <w:rPr>
          <w:sz w:val="24"/>
        </w:rPr>
        <w:t>states</w:t>
      </w:r>
      <w:r>
        <w:rPr>
          <w:spacing w:val="-4"/>
          <w:sz w:val="24"/>
        </w:rPr>
        <w:t xml:space="preserve"> </w:t>
      </w:r>
      <w:r>
        <w:rPr>
          <w:sz w:val="24"/>
        </w:rPr>
        <w:t>whether</w:t>
      </w:r>
      <w:r>
        <w:rPr>
          <w:spacing w:val="-5"/>
          <w:sz w:val="24"/>
        </w:rPr>
        <w:t xml:space="preserve"> </w:t>
      </w:r>
      <w:r>
        <w:rPr>
          <w:sz w:val="24"/>
        </w:rPr>
        <w:t>or</w:t>
      </w:r>
      <w:r>
        <w:rPr>
          <w:spacing w:val="-3"/>
          <w:sz w:val="24"/>
        </w:rPr>
        <w:t xml:space="preserve"> </w:t>
      </w:r>
      <w:r>
        <w:rPr>
          <w:sz w:val="24"/>
        </w:rPr>
        <w:t>not</w:t>
      </w:r>
      <w:r>
        <w:rPr>
          <w:spacing w:val="-3"/>
          <w:sz w:val="24"/>
        </w:rPr>
        <w:t xml:space="preserve"> </w:t>
      </w:r>
      <w:r>
        <w:rPr>
          <w:sz w:val="24"/>
        </w:rPr>
        <w:t>the</w:t>
      </w:r>
      <w:r>
        <w:rPr>
          <w:spacing w:val="-1"/>
          <w:sz w:val="24"/>
        </w:rPr>
        <w:t xml:space="preserve"> </w:t>
      </w:r>
      <w:r>
        <w:rPr>
          <w:sz w:val="24"/>
        </w:rPr>
        <w:t>Part</w:t>
      </w:r>
      <w:r>
        <w:rPr>
          <w:spacing w:val="-3"/>
          <w:sz w:val="24"/>
        </w:rPr>
        <w:t xml:space="preserve"> </w:t>
      </w:r>
      <w:r>
        <w:rPr>
          <w:sz w:val="24"/>
        </w:rPr>
        <w:t>D</w:t>
      </w:r>
      <w:r>
        <w:rPr>
          <w:spacing w:val="-4"/>
          <w:sz w:val="24"/>
        </w:rPr>
        <w:t xml:space="preserve"> </w:t>
      </w:r>
      <w:r>
        <w:rPr>
          <w:sz w:val="24"/>
        </w:rPr>
        <w:t>sponsor is in a related-party arrangement in the base period and/or the projection period.</w:t>
      </w:r>
    </w:p>
    <w:p>
      <w:pPr>
        <w:pStyle w:val="ListParagraph"/>
        <w:numPr>
          <w:ilvl w:val="0"/>
          <w:numId w:val="4"/>
        </w:numPr>
        <w:tabs>
          <w:tab w:val="left" w:pos="584"/>
        </w:tabs>
        <w:spacing w:before="38" w:after="0" w:line="240" w:lineRule="auto"/>
        <w:ind w:left="584" w:right="1135" w:hanging="360"/>
        <w:jc w:val="left"/>
        <w:rPr>
          <w:sz w:val="24"/>
        </w:rPr>
      </w:pPr>
      <w:r>
        <w:rPr>
          <w:sz w:val="24"/>
        </w:rPr>
        <w:t>Support</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effect</w:t>
      </w:r>
      <w:r>
        <w:rPr>
          <w:spacing w:val="-4"/>
          <w:sz w:val="24"/>
        </w:rPr>
        <w:t xml:space="preserve"> </w:t>
      </w:r>
      <w:r>
        <w:rPr>
          <w:sz w:val="24"/>
        </w:rPr>
        <w:t>of</w:t>
      </w:r>
      <w:r>
        <w:rPr>
          <w:spacing w:val="-1"/>
          <w:sz w:val="24"/>
        </w:rPr>
        <w:t xml:space="preserve"> </w:t>
      </w:r>
      <w:r>
        <w:rPr>
          <w:sz w:val="24"/>
        </w:rPr>
        <w:t>sequestration</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bid,</w:t>
      </w:r>
      <w:r>
        <w:rPr>
          <w:spacing w:val="-2"/>
          <w:sz w:val="24"/>
        </w:rPr>
        <w:t xml:space="preserve"> </w:t>
      </w:r>
      <w:r>
        <w:rPr>
          <w:sz w:val="24"/>
        </w:rPr>
        <w:t>including</w:t>
      </w:r>
      <w:r>
        <w:rPr>
          <w:spacing w:val="-4"/>
          <w:sz w:val="24"/>
        </w:rPr>
        <w:t xml:space="preserve"> </w:t>
      </w:r>
      <w:r>
        <w:rPr>
          <w:sz w:val="24"/>
        </w:rPr>
        <w:t>a</w:t>
      </w:r>
      <w:r>
        <w:rPr>
          <w:spacing w:val="-4"/>
          <w:sz w:val="24"/>
        </w:rPr>
        <w:t xml:space="preserve"> </w:t>
      </w:r>
      <w:r>
        <w:rPr>
          <w:sz w:val="24"/>
        </w:rPr>
        <w:t>detailed</w:t>
      </w:r>
      <w:r>
        <w:rPr>
          <w:spacing w:val="-4"/>
          <w:sz w:val="24"/>
        </w:rPr>
        <w:t xml:space="preserve"> </w:t>
      </w:r>
      <w:r>
        <w:rPr>
          <w:sz w:val="24"/>
        </w:rPr>
        <w:t>qualitative</w:t>
      </w:r>
      <w:r>
        <w:rPr>
          <w:spacing w:val="-4"/>
          <w:sz w:val="24"/>
        </w:rPr>
        <w:t xml:space="preserve"> </w:t>
      </w:r>
      <w:r>
        <w:rPr>
          <w:sz w:val="24"/>
        </w:rPr>
        <w:t>and quantitative description of how sequestration is reflected in pricing assumptions.</w:t>
      </w:r>
    </w:p>
    <w:p>
      <w:pPr>
        <w:pStyle w:val="ListParagraph"/>
        <w:numPr>
          <w:ilvl w:val="0"/>
          <w:numId w:val="4"/>
        </w:numPr>
        <w:tabs>
          <w:tab w:val="left" w:pos="584"/>
        </w:tabs>
        <w:spacing w:before="41" w:after="0" w:line="240" w:lineRule="auto"/>
        <w:ind w:left="584" w:right="0" w:hanging="360"/>
        <w:jc w:val="left"/>
        <w:rPr>
          <w:sz w:val="24"/>
        </w:rPr>
      </w:pPr>
      <w:r>
        <w:rPr>
          <w:sz w:val="24"/>
        </w:rPr>
        <w:t>Support</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claims</w:t>
      </w:r>
      <w:r>
        <w:rPr>
          <w:spacing w:val="1"/>
          <w:sz w:val="24"/>
        </w:rPr>
        <w:t xml:space="preserve"> </w:t>
      </w:r>
      <w:r>
        <w:rPr>
          <w:sz w:val="24"/>
        </w:rPr>
        <w:t>credibility</w:t>
      </w:r>
      <w:r>
        <w:rPr>
          <w:spacing w:val="-1"/>
          <w:sz w:val="24"/>
        </w:rPr>
        <w:t xml:space="preserve"> </w:t>
      </w:r>
      <w:r>
        <w:rPr>
          <w:sz w:val="24"/>
        </w:rPr>
        <w:t>assumptions</w:t>
      </w:r>
      <w:r>
        <w:rPr>
          <w:spacing w:val="-1"/>
          <w:sz w:val="24"/>
        </w:rPr>
        <w:t xml:space="preserve"> </w:t>
      </w:r>
      <w:r>
        <w:rPr>
          <w:sz w:val="24"/>
        </w:rPr>
        <w:t>(Worksheet</w:t>
      </w:r>
      <w:r>
        <w:rPr>
          <w:spacing w:val="-1"/>
          <w:sz w:val="24"/>
        </w:rPr>
        <w:t xml:space="preserve"> </w:t>
      </w:r>
      <w:r>
        <w:rPr>
          <w:sz w:val="24"/>
        </w:rPr>
        <w:t xml:space="preserve">2), </w:t>
      </w:r>
      <w:r>
        <w:rPr>
          <w:spacing w:val="-2"/>
          <w:sz w:val="24"/>
        </w:rPr>
        <w:t>including—</w:t>
      </w:r>
    </w:p>
    <w:p>
      <w:pPr>
        <w:pStyle w:val="ListParagraph"/>
        <w:numPr>
          <w:ilvl w:val="1"/>
          <w:numId w:val="4"/>
        </w:numPr>
        <w:tabs>
          <w:tab w:val="left" w:pos="1123"/>
        </w:tabs>
        <w:spacing w:before="41" w:after="0" w:line="240" w:lineRule="auto"/>
        <w:ind w:left="1123" w:right="0" w:hanging="539"/>
        <w:jc w:val="left"/>
        <w:rPr>
          <w:sz w:val="24"/>
        </w:rPr>
      </w:pPr>
      <w:r>
        <w:rPr>
          <w:sz w:val="24"/>
        </w:rPr>
        <w:t>A</w:t>
      </w:r>
      <w:r>
        <w:rPr>
          <w:spacing w:val="-3"/>
          <w:sz w:val="24"/>
        </w:rPr>
        <w:t xml:space="preserve"> </w:t>
      </w:r>
      <w:r>
        <w:rPr>
          <w:sz w:val="24"/>
        </w:rPr>
        <w:t>statement of</w:t>
      </w:r>
      <w:r>
        <w:rPr>
          <w:spacing w:val="-1"/>
          <w:sz w:val="24"/>
        </w:rPr>
        <w:t xml:space="preserve"> </w:t>
      </w:r>
      <w:r>
        <w:rPr>
          <w:sz w:val="24"/>
        </w:rPr>
        <w:t>the</w:t>
      </w:r>
      <w:r>
        <w:rPr>
          <w:spacing w:val="-1"/>
          <w:sz w:val="24"/>
        </w:rPr>
        <w:t xml:space="preserve"> </w:t>
      </w:r>
      <w:r>
        <w:rPr>
          <w:sz w:val="24"/>
        </w:rPr>
        <w:t>credibility methodology</w:t>
      </w:r>
      <w:r>
        <w:rPr>
          <w:spacing w:val="-1"/>
          <w:sz w:val="24"/>
        </w:rPr>
        <w:t xml:space="preserve"> </w:t>
      </w:r>
      <w:r>
        <w:rPr>
          <w:sz w:val="24"/>
        </w:rPr>
        <w:t>used—for</w:t>
      </w:r>
      <w:r>
        <w:rPr>
          <w:spacing w:val="-2"/>
          <w:sz w:val="24"/>
        </w:rPr>
        <w:t xml:space="preserve"> </w:t>
      </w:r>
      <w:r>
        <w:rPr>
          <w:sz w:val="24"/>
        </w:rPr>
        <w:t>example, the</w:t>
      </w:r>
      <w:r>
        <w:rPr>
          <w:spacing w:val="-2"/>
          <w:sz w:val="24"/>
        </w:rPr>
        <w:t xml:space="preserve"> </w:t>
      </w:r>
      <w:r>
        <w:rPr>
          <w:sz w:val="24"/>
        </w:rPr>
        <w:t xml:space="preserve">CMS </w:t>
      </w:r>
      <w:r>
        <w:rPr>
          <w:spacing w:val="-2"/>
          <w:sz w:val="24"/>
        </w:rPr>
        <w:t>guidelines.</w:t>
      </w:r>
    </w:p>
    <w:p>
      <w:pPr>
        <w:pStyle w:val="ListParagraph"/>
        <w:numPr>
          <w:ilvl w:val="1"/>
          <w:numId w:val="4"/>
        </w:numPr>
        <w:tabs>
          <w:tab w:val="left" w:pos="1124"/>
        </w:tabs>
        <w:spacing w:before="38" w:after="0" w:line="240" w:lineRule="auto"/>
        <w:ind w:left="1124" w:right="1279" w:hanging="540"/>
        <w:jc w:val="left"/>
        <w:rPr>
          <w:sz w:val="24"/>
        </w:rPr>
      </w:pPr>
      <w:r>
        <w:rPr>
          <w:sz w:val="24"/>
        </w:rPr>
        <w:t>An</w:t>
      </w:r>
      <w:r>
        <w:rPr>
          <w:spacing w:val="-3"/>
          <w:sz w:val="24"/>
        </w:rPr>
        <w:t xml:space="preserve"> </w:t>
      </w:r>
      <w:r>
        <w:rPr>
          <w:sz w:val="24"/>
        </w:rPr>
        <w:t>actuarial</w:t>
      </w:r>
      <w:r>
        <w:rPr>
          <w:spacing w:val="-3"/>
          <w:sz w:val="24"/>
        </w:rPr>
        <w:t xml:space="preserve"> </w:t>
      </w:r>
      <w:r>
        <w:rPr>
          <w:sz w:val="24"/>
        </w:rPr>
        <w:t>report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credibility</w:t>
      </w:r>
      <w:r>
        <w:rPr>
          <w:spacing w:val="-2"/>
          <w:sz w:val="24"/>
        </w:rPr>
        <w:t xml:space="preserve"> </w:t>
      </w:r>
      <w:r>
        <w:rPr>
          <w:sz w:val="24"/>
        </w:rPr>
        <w:t>procedure</w:t>
      </w:r>
      <w:r>
        <w:rPr>
          <w:spacing w:val="-4"/>
          <w:sz w:val="24"/>
        </w:rPr>
        <w:t xml:space="preserve"> </w:t>
      </w:r>
      <w:r>
        <w:rPr>
          <w:sz w:val="24"/>
        </w:rPr>
        <w:t>used</w:t>
      </w:r>
      <w:r>
        <w:rPr>
          <w:spacing w:val="-3"/>
          <w:sz w:val="24"/>
        </w:rPr>
        <w:t xml:space="preserve"> </w:t>
      </w:r>
      <w:r>
        <w:rPr>
          <w:sz w:val="24"/>
        </w:rPr>
        <w:t>if</w:t>
      </w:r>
      <w:r>
        <w:rPr>
          <w:spacing w:val="-3"/>
          <w:sz w:val="24"/>
        </w:rPr>
        <w:t xml:space="preserve"> </w:t>
      </w:r>
      <w:r>
        <w:rPr>
          <w:sz w:val="24"/>
        </w:rPr>
        <w:t>it</w:t>
      </w:r>
      <w:r>
        <w:rPr>
          <w:spacing w:val="-3"/>
          <w:sz w:val="24"/>
        </w:rPr>
        <w:t xml:space="preserve"> </w:t>
      </w:r>
      <w:r>
        <w:rPr>
          <w:sz w:val="24"/>
        </w:rPr>
        <w:t>varies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 xml:space="preserve">CMS </w:t>
      </w:r>
      <w:r>
        <w:rPr>
          <w:spacing w:val="-2"/>
          <w:sz w:val="24"/>
        </w:rPr>
        <w:t>guidelines.</w:t>
      </w:r>
    </w:p>
    <w:p>
      <w:pPr>
        <w:pStyle w:val="ListParagraph"/>
        <w:numPr>
          <w:ilvl w:val="0"/>
          <w:numId w:val="4"/>
        </w:numPr>
        <w:tabs>
          <w:tab w:val="left" w:pos="584"/>
        </w:tabs>
        <w:spacing w:before="41" w:after="0" w:line="235" w:lineRule="auto"/>
        <w:ind w:left="584" w:right="538" w:hanging="360"/>
        <w:jc w:val="both"/>
        <w:rPr>
          <w:sz w:val="24"/>
        </w:rPr>
      </w:pPr>
      <w:r>
        <w:rPr>
          <w:sz w:val="24"/>
        </w:rPr>
        <w:t>A</w:t>
      </w:r>
      <w:r>
        <w:rPr>
          <w:spacing w:val="-5"/>
          <w:sz w:val="24"/>
        </w:rPr>
        <w:t xml:space="preserve"> </w:t>
      </w:r>
      <w:r>
        <w:rPr>
          <w:sz w:val="24"/>
        </w:rPr>
        <w:t>quantitative</w:t>
      </w:r>
      <w:r>
        <w:rPr>
          <w:spacing w:val="-4"/>
          <w:sz w:val="24"/>
        </w:rPr>
        <w:t xml:space="preserve"> </w:t>
      </w:r>
      <w:r>
        <w:rPr>
          <w:sz w:val="24"/>
        </w:rPr>
        <w:t>mapping</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spreadsheet</w:t>
      </w:r>
      <w:r>
        <w:rPr>
          <w:spacing w:val="-4"/>
          <w:sz w:val="24"/>
        </w:rPr>
        <w:t xml:space="preserve"> </w:t>
      </w:r>
      <w:r>
        <w:rPr>
          <w:sz w:val="24"/>
        </w:rPr>
        <w:t>format</w:t>
      </w:r>
      <w:r>
        <w:rPr>
          <w:spacing w:val="-3"/>
          <w:sz w:val="24"/>
        </w:rPr>
        <w:t xml:space="preserve"> </w:t>
      </w:r>
      <w:r>
        <w:rPr>
          <w:sz w:val="24"/>
        </w:rPr>
        <w:t>of</w:t>
      </w:r>
      <w:r>
        <w:rPr>
          <w:spacing w:val="-3"/>
          <w:sz w:val="24"/>
        </w:rPr>
        <w:t xml:space="preserve"> </w:t>
      </w:r>
      <w:r>
        <w:rPr>
          <w:sz w:val="24"/>
        </w:rPr>
        <w:t>allowed</w:t>
      </w:r>
      <w:r>
        <w:rPr>
          <w:spacing w:val="-4"/>
          <w:sz w:val="24"/>
        </w:rPr>
        <w:t xml:space="preserve"> </w:t>
      </w:r>
      <w:r>
        <w:rPr>
          <w:sz w:val="24"/>
        </w:rPr>
        <w:t>costs,</w:t>
      </w:r>
      <w:r>
        <w:rPr>
          <w:spacing w:val="-4"/>
          <w:sz w:val="24"/>
        </w:rPr>
        <w:t xml:space="preserve"> </w:t>
      </w:r>
      <w:r>
        <w:rPr>
          <w:sz w:val="24"/>
        </w:rPr>
        <w:t>effective</w:t>
      </w:r>
      <w:r>
        <w:rPr>
          <w:spacing w:val="-3"/>
          <w:sz w:val="24"/>
        </w:rPr>
        <w:t xml:space="preserve"> </w:t>
      </w:r>
      <w:r>
        <w:rPr>
          <w:sz w:val="24"/>
        </w:rPr>
        <w:t>cost</w:t>
      </w:r>
      <w:r>
        <w:rPr>
          <w:spacing w:val="-4"/>
          <w:sz w:val="24"/>
        </w:rPr>
        <w:t xml:space="preserve"> </w:t>
      </w:r>
      <w:r>
        <w:rPr>
          <w:sz w:val="24"/>
        </w:rPr>
        <w:t>sharing</w:t>
      </w:r>
      <w:r>
        <w:rPr>
          <w:spacing w:val="-4"/>
          <w:sz w:val="24"/>
        </w:rPr>
        <w:t xml:space="preserve"> </w:t>
      </w:r>
      <w:r>
        <w:rPr>
          <w:sz w:val="24"/>
        </w:rPr>
        <w:t>and script</w:t>
      </w:r>
      <w:r>
        <w:rPr>
          <w:spacing w:val="-3"/>
          <w:sz w:val="24"/>
        </w:rPr>
        <w:t xml:space="preserve"> </w:t>
      </w:r>
      <w:r>
        <w:rPr>
          <w:sz w:val="24"/>
        </w:rPr>
        <w:t>counts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formulary</w:t>
      </w:r>
      <w:r>
        <w:rPr>
          <w:spacing w:val="-3"/>
          <w:sz w:val="24"/>
        </w:rPr>
        <w:t xml:space="preserve"> </w:t>
      </w:r>
      <w:r>
        <w:rPr>
          <w:sz w:val="24"/>
        </w:rPr>
        <w:t>tiers</w:t>
      </w:r>
      <w:r>
        <w:rPr>
          <w:spacing w:val="-3"/>
          <w:sz w:val="24"/>
        </w:rPr>
        <w:t xml:space="preserve"> </w:t>
      </w:r>
      <w:r>
        <w:rPr>
          <w:sz w:val="24"/>
        </w:rPr>
        <w:t>to</w:t>
      </w:r>
      <w:r>
        <w:rPr>
          <w:spacing w:val="-3"/>
          <w:sz w:val="24"/>
        </w:rPr>
        <w:t xml:space="preserve"> </w:t>
      </w:r>
      <w:r>
        <w:rPr>
          <w:sz w:val="24"/>
        </w:rPr>
        <w:t>type-of-drug</w:t>
      </w:r>
      <w:r>
        <w:rPr>
          <w:spacing w:val="-3"/>
          <w:sz w:val="24"/>
        </w:rPr>
        <w:t xml:space="preserve"> </w:t>
      </w:r>
      <w:r>
        <w:rPr>
          <w:sz w:val="24"/>
        </w:rPr>
        <w:t>and</w:t>
      </w:r>
      <w:r>
        <w:rPr>
          <w:spacing w:val="-3"/>
          <w:sz w:val="24"/>
        </w:rPr>
        <w:t xml:space="preserve"> </w:t>
      </w:r>
      <w:r>
        <w:rPr>
          <w:sz w:val="24"/>
        </w:rPr>
        <w:t>point-of-sale</w:t>
      </w:r>
      <w:r>
        <w:rPr>
          <w:spacing w:val="-1"/>
          <w:sz w:val="24"/>
        </w:rPr>
        <w:t xml:space="preserve"> </w:t>
      </w:r>
      <w:r>
        <w:rPr>
          <w:sz w:val="24"/>
        </w:rPr>
        <w:t>(retail</w:t>
      </w:r>
      <w:r>
        <w:rPr>
          <w:spacing w:val="-3"/>
          <w:sz w:val="24"/>
        </w:rPr>
        <w:t xml:space="preserve"> </w:t>
      </w:r>
      <w:r>
        <w:rPr>
          <w:sz w:val="24"/>
        </w:rPr>
        <w:t>or</w:t>
      </w:r>
      <w:r>
        <w:rPr>
          <w:spacing w:val="-3"/>
          <w:sz w:val="24"/>
        </w:rPr>
        <w:t xml:space="preserve"> </w:t>
      </w:r>
      <w:r>
        <w:rPr>
          <w:sz w:val="24"/>
        </w:rPr>
        <w:t>mail</w:t>
      </w:r>
      <w:r>
        <w:rPr>
          <w:spacing w:val="-3"/>
          <w:sz w:val="24"/>
        </w:rPr>
        <w:t xml:space="preserve"> </w:t>
      </w:r>
      <w:r>
        <w:rPr>
          <w:sz w:val="24"/>
        </w:rPr>
        <w:t>order as</w:t>
      </w:r>
      <w:r>
        <w:rPr>
          <w:spacing w:val="-3"/>
          <w:sz w:val="24"/>
        </w:rPr>
        <w:t xml:space="preserve"> </w:t>
      </w:r>
      <w:r>
        <w:rPr>
          <w:sz w:val="24"/>
        </w:rPr>
        <w:t>defined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PBP)</w:t>
      </w:r>
      <w:r>
        <w:rPr>
          <w:spacing w:val="-3"/>
          <w:sz w:val="24"/>
        </w:rPr>
        <w:t xml:space="preserve"> </w:t>
      </w:r>
      <w:r>
        <w:rPr>
          <w:sz w:val="24"/>
        </w:rPr>
        <w:t>categories</w:t>
      </w:r>
      <w:r>
        <w:rPr>
          <w:spacing w:val="-3"/>
          <w:sz w:val="24"/>
        </w:rPr>
        <w:t xml:space="preserve"> </w:t>
      </w:r>
      <w:r>
        <w:rPr>
          <w:sz w:val="24"/>
        </w:rPr>
        <w:t>used</w:t>
      </w:r>
      <w:r>
        <w:rPr>
          <w:spacing w:val="-3"/>
          <w:sz w:val="24"/>
        </w:rPr>
        <w:t xml:space="preserve"> </w:t>
      </w:r>
      <w:r>
        <w:rPr>
          <w:sz w:val="24"/>
        </w:rPr>
        <w:t>in</w:t>
      </w:r>
      <w:r>
        <w:rPr>
          <w:spacing w:val="-3"/>
          <w:sz w:val="24"/>
        </w:rPr>
        <w:t xml:space="preserve"> </w:t>
      </w:r>
      <w:r>
        <w:rPr>
          <w:sz w:val="24"/>
        </w:rPr>
        <w:t>pricing</w:t>
      </w:r>
      <w:r>
        <w:rPr>
          <w:spacing w:val="-3"/>
          <w:sz w:val="24"/>
        </w:rPr>
        <w:t xml:space="preserve"> </w:t>
      </w:r>
      <w:r>
        <w:rPr>
          <w:sz w:val="24"/>
        </w:rPr>
        <w:t>(Worksheets</w:t>
      </w:r>
      <w:r>
        <w:rPr>
          <w:spacing w:val="-3"/>
          <w:sz w:val="24"/>
        </w:rPr>
        <w:t xml:space="preserve"> </w:t>
      </w:r>
      <w:r>
        <w:rPr>
          <w:sz w:val="24"/>
        </w:rPr>
        <w:t>2,</w:t>
      </w:r>
      <w:r>
        <w:rPr>
          <w:spacing w:val="-3"/>
          <w:sz w:val="24"/>
        </w:rPr>
        <w:t xml:space="preserve"> </w:t>
      </w:r>
      <w:r>
        <w:rPr>
          <w:sz w:val="24"/>
        </w:rPr>
        <w:t>6).</w:t>
      </w:r>
      <w:r>
        <w:rPr>
          <w:spacing w:val="-3"/>
          <w:sz w:val="24"/>
        </w:rPr>
        <w:t xml:space="preserve"> </w:t>
      </w:r>
      <w:r>
        <w:rPr>
          <w:sz w:val="24"/>
        </w:rPr>
        <w:t>The</w:t>
      </w:r>
      <w:r>
        <w:rPr>
          <w:spacing w:val="-3"/>
          <w:sz w:val="24"/>
        </w:rPr>
        <w:t xml:space="preserve"> </w:t>
      </w:r>
      <w:r>
        <w:rPr>
          <w:sz w:val="24"/>
        </w:rPr>
        <w:t>required</w:t>
      </w:r>
      <w:r>
        <w:rPr>
          <w:spacing w:val="-3"/>
          <w:sz w:val="24"/>
        </w:rPr>
        <w:t xml:space="preserve"> </w:t>
      </w:r>
      <w:r>
        <w:rPr>
          <w:sz w:val="24"/>
        </w:rPr>
        <w:t xml:space="preserve">elements </w:t>
      </w:r>
      <w:r>
        <w:rPr>
          <w:spacing w:val="-2"/>
          <w:sz w:val="24"/>
        </w:rPr>
        <w:t>include—</w:t>
      </w:r>
    </w:p>
    <w:p>
      <w:pPr>
        <w:pStyle w:val="ListParagraph"/>
        <w:numPr>
          <w:ilvl w:val="1"/>
          <w:numId w:val="4"/>
        </w:numPr>
        <w:tabs>
          <w:tab w:val="left" w:pos="1124"/>
        </w:tabs>
        <w:spacing w:before="39" w:after="0" w:line="232" w:lineRule="auto"/>
        <w:ind w:left="1124" w:right="1143" w:hanging="540"/>
        <w:jc w:val="left"/>
        <w:rPr>
          <w:sz w:val="24"/>
        </w:rPr>
      </w:pPr>
      <w:r>
        <w:rPr>
          <w:sz w:val="24"/>
        </w:rPr>
        <w:t>The</w:t>
      </w:r>
      <w:r>
        <w:rPr>
          <w:spacing w:val="-6"/>
          <w:sz w:val="24"/>
        </w:rPr>
        <w:t xml:space="preserve"> </w:t>
      </w:r>
      <w:r>
        <w:rPr>
          <w:sz w:val="24"/>
        </w:rPr>
        <w:t>PBP</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deductible</w:t>
      </w:r>
      <w:r>
        <w:rPr>
          <w:spacing w:val="-4"/>
          <w:sz w:val="24"/>
        </w:rPr>
        <w:t xml:space="preserve"> </w:t>
      </w:r>
      <w:r>
        <w:rPr>
          <w:sz w:val="24"/>
        </w:rPr>
        <w:t>and</w:t>
      </w:r>
      <w:r>
        <w:rPr>
          <w:spacing w:val="-2"/>
          <w:sz w:val="24"/>
        </w:rPr>
        <w:t xml:space="preserve"> </w:t>
      </w:r>
      <w:r>
        <w:rPr>
          <w:sz w:val="24"/>
        </w:rPr>
        <w:t>copay/coinsurance</w:t>
      </w:r>
      <w:r>
        <w:rPr>
          <w:spacing w:val="-5"/>
          <w:sz w:val="24"/>
        </w:rPr>
        <w:t xml:space="preserve"> </w:t>
      </w:r>
      <w:r>
        <w:rPr>
          <w:sz w:val="24"/>
        </w:rPr>
        <w:t>structure</w:t>
      </w:r>
      <w:r>
        <w:rPr>
          <w:spacing w:val="-6"/>
          <w:sz w:val="24"/>
        </w:rPr>
        <w:t xml:space="preserve"> </w:t>
      </w:r>
      <w:r>
        <w:rPr>
          <w:sz w:val="24"/>
        </w:rPr>
        <w:t>by</w:t>
      </w:r>
      <w:r>
        <w:rPr>
          <w:spacing w:val="-2"/>
          <w:sz w:val="24"/>
        </w:rPr>
        <w:t xml:space="preserve"> </w:t>
      </w:r>
      <w:r>
        <w:rPr>
          <w:sz w:val="24"/>
        </w:rPr>
        <w:t>days supply, point-of-sale and claims interval.</w:t>
      </w:r>
    </w:p>
    <w:p>
      <w:pPr>
        <w:pStyle w:val="ListParagraph"/>
        <w:numPr>
          <w:ilvl w:val="1"/>
          <w:numId w:val="4"/>
        </w:numPr>
        <w:tabs>
          <w:tab w:val="left" w:pos="1124"/>
        </w:tabs>
        <w:spacing w:before="45" w:after="0" w:line="232" w:lineRule="auto"/>
        <w:ind w:left="1124" w:right="661" w:hanging="540"/>
        <w:jc w:val="left"/>
        <w:rPr>
          <w:sz w:val="24"/>
        </w:rPr>
      </w:pPr>
      <w:r>
        <w:rPr>
          <w:sz w:val="24"/>
        </w:rPr>
        <w:t>Allowed</w:t>
      </w:r>
      <w:r>
        <w:rPr>
          <w:spacing w:val="-4"/>
          <w:sz w:val="24"/>
        </w:rPr>
        <w:t xml:space="preserve"> </w:t>
      </w:r>
      <w:r>
        <w:rPr>
          <w:sz w:val="24"/>
        </w:rPr>
        <w:t>costs,</w:t>
      </w:r>
      <w:r>
        <w:rPr>
          <w:spacing w:val="-4"/>
          <w:sz w:val="24"/>
        </w:rPr>
        <w:t xml:space="preserve"> </w:t>
      </w:r>
      <w:r>
        <w:rPr>
          <w:sz w:val="24"/>
        </w:rPr>
        <w:t>effective</w:t>
      </w:r>
      <w:r>
        <w:rPr>
          <w:spacing w:val="-3"/>
          <w:sz w:val="24"/>
        </w:rPr>
        <w:t xml:space="preserve"> </w:t>
      </w:r>
      <w:r>
        <w:rPr>
          <w:sz w:val="24"/>
        </w:rPr>
        <w:t>cost</w:t>
      </w:r>
      <w:r>
        <w:rPr>
          <w:spacing w:val="-4"/>
          <w:sz w:val="24"/>
        </w:rPr>
        <w:t xml:space="preserve"> </w:t>
      </w:r>
      <w:r>
        <w:rPr>
          <w:sz w:val="24"/>
        </w:rPr>
        <w:t>sharing</w:t>
      </w:r>
      <w:r>
        <w:rPr>
          <w:spacing w:val="-4"/>
          <w:sz w:val="24"/>
        </w:rPr>
        <w:t xml:space="preserve"> </w:t>
      </w:r>
      <w:r>
        <w:rPr>
          <w:sz w:val="24"/>
        </w:rPr>
        <w:t>and</w:t>
      </w:r>
      <w:r>
        <w:rPr>
          <w:spacing w:val="-4"/>
          <w:sz w:val="24"/>
        </w:rPr>
        <w:t xml:space="preserve"> </w:t>
      </w:r>
      <w:r>
        <w:rPr>
          <w:sz w:val="24"/>
        </w:rPr>
        <w:t>script</w:t>
      </w:r>
      <w:r>
        <w:rPr>
          <w:spacing w:val="-4"/>
          <w:sz w:val="24"/>
        </w:rPr>
        <w:t xml:space="preserve"> </w:t>
      </w:r>
      <w:r>
        <w:rPr>
          <w:sz w:val="24"/>
        </w:rPr>
        <w:t>counts</w:t>
      </w:r>
      <w:r>
        <w:rPr>
          <w:spacing w:val="-4"/>
          <w:sz w:val="24"/>
        </w:rPr>
        <w:t xml:space="preserve"> </w:t>
      </w:r>
      <w:r>
        <w:rPr>
          <w:sz w:val="24"/>
        </w:rPr>
        <w:t>by</w:t>
      </w:r>
      <w:r>
        <w:rPr>
          <w:spacing w:val="-4"/>
          <w:sz w:val="24"/>
        </w:rPr>
        <w:t xml:space="preserve"> </w:t>
      </w:r>
      <w:r>
        <w:rPr>
          <w:sz w:val="24"/>
        </w:rPr>
        <w:t>formulary</w:t>
      </w:r>
      <w:r>
        <w:rPr>
          <w:spacing w:val="-4"/>
          <w:sz w:val="24"/>
        </w:rPr>
        <w:t xml:space="preserve"> </w:t>
      </w:r>
      <w:r>
        <w:rPr>
          <w:sz w:val="24"/>
        </w:rPr>
        <w:t>tier</w:t>
      </w:r>
      <w:r>
        <w:rPr>
          <w:spacing w:val="-4"/>
          <w:sz w:val="24"/>
        </w:rPr>
        <w:t xml:space="preserve"> </w:t>
      </w:r>
      <w:r>
        <w:rPr>
          <w:sz w:val="24"/>
        </w:rPr>
        <w:t>within</w:t>
      </w:r>
      <w:r>
        <w:rPr>
          <w:spacing w:val="-4"/>
          <w:sz w:val="24"/>
        </w:rPr>
        <w:t xml:space="preserve"> </w:t>
      </w:r>
      <w:r>
        <w:rPr>
          <w:sz w:val="24"/>
        </w:rPr>
        <w:t>each claims interval based on the cost sharing structure specified in the PBP, including days supply and point-of-sale.</w:t>
      </w:r>
    </w:p>
    <w:p>
      <w:pPr>
        <w:pStyle w:val="ListParagraph"/>
        <w:numPr>
          <w:ilvl w:val="1"/>
          <w:numId w:val="4"/>
        </w:numPr>
        <w:tabs>
          <w:tab w:val="left" w:pos="1124"/>
        </w:tabs>
        <w:spacing w:before="47" w:after="0" w:line="232" w:lineRule="auto"/>
        <w:ind w:left="1124" w:right="629" w:hanging="540"/>
        <w:jc w:val="left"/>
        <w:rPr>
          <w:sz w:val="24"/>
        </w:rPr>
      </w:pPr>
      <w:r>
        <w:rPr>
          <w:sz w:val="24"/>
        </w:rPr>
        <w:t>A quantitative description of the distribution of the allowed costs, effective cost sharing</w:t>
      </w:r>
      <w:r>
        <w:rPr>
          <w:spacing w:val="-3"/>
          <w:sz w:val="24"/>
        </w:rPr>
        <w:t xml:space="preserve"> </w:t>
      </w:r>
      <w:r>
        <w:rPr>
          <w:sz w:val="24"/>
        </w:rPr>
        <w:t>and</w:t>
      </w:r>
      <w:r>
        <w:rPr>
          <w:spacing w:val="-3"/>
          <w:sz w:val="24"/>
        </w:rPr>
        <w:t xml:space="preserve"> </w:t>
      </w:r>
      <w:r>
        <w:rPr>
          <w:sz w:val="24"/>
        </w:rPr>
        <w:t>script</w:t>
      </w:r>
      <w:r>
        <w:rPr>
          <w:spacing w:val="-3"/>
          <w:sz w:val="24"/>
        </w:rPr>
        <w:t xml:space="preserve"> </w:t>
      </w:r>
      <w:r>
        <w:rPr>
          <w:sz w:val="24"/>
        </w:rPr>
        <w:t>counts</w:t>
      </w:r>
      <w:r>
        <w:rPr>
          <w:spacing w:val="-2"/>
          <w:sz w:val="24"/>
        </w:rPr>
        <w:t xml:space="preserve"> </w:t>
      </w:r>
      <w:r>
        <w:rPr>
          <w:sz w:val="24"/>
        </w:rPr>
        <w:t>by</w:t>
      </w:r>
      <w:r>
        <w:rPr>
          <w:spacing w:val="-3"/>
          <w:sz w:val="24"/>
        </w:rPr>
        <w:t xml:space="preserve"> </w:t>
      </w:r>
      <w:r>
        <w:rPr>
          <w:sz w:val="24"/>
        </w:rPr>
        <w:t>formulary</w:t>
      </w:r>
      <w:r>
        <w:rPr>
          <w:spacing w:val="-3"/>
          <w:sz w:val="24"/>
        </w:rPr>
        <w:t xml:space="preserve"> </w:t>
      </w:r>
      <w:r>
        <w:rPr>
          <w:sz w:val="24"/>
        </w:rPr>
        <w:t>tier</w:t>
      </w:r>
      <w:r>
        <w:rPr>
          <w:spacing w:val="-3"/>
          <w:sz w:val="24"/>
        </w:rPr>
        <w:t xml:space="preserve"> </w:t>
      </w:r>
      <w:r>
        <w:rPr>
          <w:sz w:val="24"/>
        </w:rPr>
        <w:t>to</w:t>
      </w:r>
      <w:r>
        <w:rPr>
          <w:spacing w:val="-3"/>
          <w:sz w:val="24"/>
        </w:rPr>
        <w:t xml:space="preserve"> </w:t>
      </w:r>
      <w:r>
        <w:rPr>
          <w:sz w:val="24"/>
        </w:rPr>
        <w:t>each</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categories</w:t>
      </w:r>
      <w:r>
        <w:rPr>
          <w:spacing w:val="-3"/>
          <w:sz w:val="24"/>
        </w:rPr>
        <w:t xml:space="preserve"> </w:t>
      </w:r>
      <w:r>
        <w:rPr>
          <w:sz w:val="24"/>
        </w:rPr>
        <w:t>on</w:t>
      </w:r>
      <w:r>
        <w:rPr>
          <w:spacing w:val="-3"/>
          <w:sz w:val="24"/>
        </w:rPr>
        <w:t xml:space="preserve"> </w:t>
      </w:r>
      <w:r>
        <w:rPr>
          <w:sz w:val="24"/>
        </w:rPr>
        <w:t>Worksheet</w:t>
      </w:r>
      <w:r>
        <w:rPr>
          <w:spacing w:val="-1"/>
          <w:sz w:val="24"/>
        </w:rPr>
        <w:t xml:space="preserve"> </w:t>
      </w:r>
      <w:r>
        <w:rPr>
          <w:sz w:val="24"/>
        </w:rPr>
        <w:t>6.</w:t>
      </w:r>
    </w:p>
    <w:p>
      <w:pPr>
        <w:pStyle w:val="ListParagraph"/>
        <w:numPr>
          <w:ilvl w:val="1"/>
          <w:numId w:val="4"/>
        </w:numPr>
        <w:tabs>
          <w:tab w:val="left" w:pos="1124"/>
        </w:tabs>
        <w:spacing w:before="43" w:after="0" w:line="235" w:lineRule="auto"/>
        <w:ind w:left="1124" w:right="505" w:hanging="540"/>
        <w:jc w:val="left"/>
        <w:rPr>
          <w:sz w:val="24"/>
        </w:rPr>
      </w:pPr>
      <w:r>
        <w:rPr>
          <w:sz w:val="24"/>
        </w:rPr>
        <w:t>A</w:t>
      </w:r>
      <w:r>
        <w:rPr>
          <w:spacing w:val="-4"/>
          <w:sz w:val="24"/>
        </w:rPr>
        <w:t xml:space="preserve"> </w:t>
      </w:r>
      <w:r>
        <w:rPr>
          <w:sz w:val="24"/>
        </w:rPr>
        <w:t>quantitative</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development</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total</w:t>
      </w:r>
      <w:r>
        <w:rPr>
          <w:spacing w:val="-4"/>
          <w:sz w:val="24"/>
        </w:rPr>
        <w:t xml:space="preserve"> </w:t>
      </w:r>
      <w:r>
        <w:rPr>
          <w:sz w:val="24"/>
        </w:rPr>
        <w:t>scripts,</w:t>
      </w:r>
      <w:r>
        <w:rPr>
          <w:spacing w:val="-4"/>
          <w:sz w:val="24"/>
        </w:rPr>
        <w:t xml:space="preserve"> </w:t>
      </w:r>
      <w:r>
        <w:rPr>
          <w:sz w:val="24"/>
        </w:rPr>
        <w:t>allowed</w:t>
      </w:r>
      <w:r>
        <w:rPr>
          <w:spacing w:val="-2"/>
          <w:sz w:val="24"/>
        </w:rPr>
        <w:t xml:space="preserve"> </w:t>
      </w:r>
      <w:r>
        <w:rPr>
          <w:sz w:val="24"/>
        </w:rPr>
        <w:t>dollars,</w:t>
      </w:r>
      <w:r>
        <w:rPr>
          <w:spacing w:val="-4"/>
          <w:sz w:val="24"/>
        </w:rPr>
        <w:t xml:space="preserve"> </w:t>
      </w:r>
      <w:r>
        <w:rPr>
          <w:sz w:val="24"/>
        </w:rPr>
        <w:t>and cost sharing for insulins and vaccines for the base period and projection period.</w:t>
      </w:r>
    </w:p>
    <w:p>
      <w:pPr>
        <w:pStyle w:val="ListParagraph"/>
        <w:numPr>
          <w:ilvl w:val="1"/>
          <w:numId w:val="4"/>
        </w:numPr>
        <w:tabs>
          <w:tab w:val="left" w:pos="1124"/>
        </w:tabs>
        <w:spacing w:before="40" w:after="0" w:line="232" w:lineRule="auto"/>
        <w:ind w:left="1124" w:right="688" w:hanging="540"/>
        <w:jc w:val="left"/>
        <w:rPr>
          <w:sz w:val="24"/>
        </w:rPr>
      </w:pPr>
      <w:r>
        <w:rPr>
          <w:sz w:val="24"/>
        </w:rPr>
        <w:t>A</w:t>
      </w:r>
      <w:r>
        <w:rPr>
          <w:spacing w:val="-4"/>
          <w:sz w:val="24"/>
        </w:rPr>
        <w:t xml:space="preserve"> </w:t>
      </w:r>
      <w:r>
        <w:rPr>
          <w:sz w:val="24"/>
        </w:rPr>
        <w:t>quantitative</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development</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Manufacturer</w:t>
      </w:r>
      <w:r>
        <w:rPr>
          <w:spacing w:val="-4"/>
          <w:sz w:val="24"/>
        </w:rPr>
        <w:t xml:space="preserve"> </w:t>
      </w:r>
      <w:r>
        <w:rPr>
          <w:sz w:val="24"/>
        </w:rPr>
        <w:t>Discount</w:t>
      </w:r>
      <w:r>
        <w:rPr>
          <w:spacing w:val="-4"/>
          <w:sz w:val="24"/>
        </w:rPr>
        <w:t xml:space="preserve"> </w:t>
      </w:r>
      <w:r>
        <w:rPr>
          <w:sz w:val="24"/>
        </w:rPr>
        <w:t>PMPM for both LI and NLI members for the projection period.</w:t>
      </w:r>
    </w:p>
    <w:p>
      <w:pPr>
        <w:pStyle w:val="ListParagraph"/>
        <w:numPr>
          <w:ilvl w:val="1"/>
          <w:numId w:val="4"/>
        </w:numPr>
        <w:tabs>
          <w:tab w:val="left" w:pos="1124"/>
        </w:tabs>
        <w:spacing w:before="44" w:after="0" w:line="235" w:lineRule="auto"/>
        <w:ind w:left="1124" w:right="873" w:hanging="540"/>
        <w:jc w:val="both"/>
        <w:rPr>
          <w:sz w:val="24"/>
        </w:rPr>
      </w:pPr>
      <w:r>
        <w:rPr>
          <w:sz w:val="24"/>
        </w:rPr>
        <w:t>A</w:t>
      </w:r>
      <w:r>
        <w:rPr>
          <w:spacing w:val="-4"/>
          <w:sz w:val="24"/>
        </w:rPr>
        <w:t xml:space="preserve"> </w:t>
      </w:r>
      <w:r>
        <w:rPr>
          <w:sz w:val="24"/>
        </w:rPr>
        <w:t>quantitative</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development</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rebates</w:t>
      </w:r>
      <w:r>
        <w:rPr>
          <w:spacing w:val="-4"/>
          <w:sz w:val="24"/>
        </w:rPr>
        <w:t xml:space="preserve"> </w:t>
      </w:r>
      <w:r>
        <w:rPr>
          <w:sz w:val="24"/>
        </w:rPr>
        <w:t>attributable</w:t>
      </w:r>
      <w:r>
        <w:rPr>
          <w:spacing w:val="-4"/>
          <w:sz w:val="24"/>
        </w:rPr>
        <w:t xml:space="preserve"> </w:t>
      </w:r>
      <w:r>
        <w:rPr>
          <w:sz w:val="24"/>
        </w:rPr>
        <w:t>to</w:t>
      </w:r>
      <w:r>
        <w:rPr>
          <w:spacing w:val="-2"/>
          <w:sz w:val="24"/>
        </w:rPr>
        <w:t xml:space="preserve"> </w:t>
      </w:r>
      <w:r>
        <w:rPr>
          <w:sz w:val="24"/>
        </w:rPr>
        <w:t>federal reinsurance</w:t>
      </w:r>
      <w:r>
        <w:rPr>
          <w:spacing w:val="-3"/>
          <w:sz w:val="24"/>
        </w:rPr>
        <w:t xml:space="preserve"> </w:t>
      </w:r>
      <w:r>
        <w:rPr>
          <w:sz w:val="24"/>
        </w:rPr>
        <w:t>on</w:t>
      </w:r>
      <w:r>
        <w:rPr>
          <w:spacing w:val="-2"/>
          <w:sz w:val="24"/>
        </w:rPr>
        <w:t xml:space="preserve"> </w:t>
      </w:r>
      <w:r>
        <w:rPr>
          <w:sz w:val="24"/>
        </w:rPr>
        <w:t>Worksheets</w:t>
      </w:r>
      <w:r>
        <w:rPr>
          <w:spacing w:val="-2"/>
          <w:sz w:val="24"/>
        </w:rPr>
        <w:t xml:space="preserve"> </w:t>
      </w:r>
      <w:r>
        <w:rPr>
          <w:sz w:val="24"/>
        </w:rPr>
        <w:t>3,</w:t>
      </w:r>
      <w:r>
        <w:rPr>
          <w:spacing w:val="-2"/>
          <w:sz w:val="24"/>
        </w:rPr>
        <w:t xml:space="preserve"> </w:t>
      </w:r>
      <w:r>
        <w:rPr>
          <w:sz w:val="24"/>
        </w:rPr>
        <w:t>4,</w:t>
      </w:r>
      <w:r>
        <w:rPr>
          <w:spacing w:val="-2"/>
          <w:sz w:val="24"/>
        </w:rPr>
        <w:t xml:space="preserve"> </w:t>
      </w:r>
      <w:r>
        <w:rPr>
          <w:sz w:val="24"/>
        </w:rPr>
        <w:t>and</w:t>
      </w:r>
      <w:r>
        <w:rPr>
          <w:spacing w:val="-2"/>
          <w:sz w:val="24"/>
        </w:rPr>
        <w:t xml:space="preserve"> </w:t>
      </w:r>
      <w:r>
        <w:rPr>
          <w:sz w:val="24"/>
        </w:rPr>
        <w:t>5</w:t>
      </w:r>
      <w:r>
        <w:rPr>
          <w:spacing w:val="-2"/>
          <w:sz w:val="24"/>
        </w:rPr>
        <w:t xml:space="preserve"> </w:t>
      </w:r>
      <w:r>
        <w:rPr>
          <w:sz w:val="24"/>
        </w:rPr>
        <w:t>including</w:t>
      </w:r>
      <w:r>
        <w:rPr>
          <w:spacing w:val="-2"/>
          <w:sz w:val="24"/>
        </w:rPr>
        <w:t xml:space="preserve"> </w:t>
      </w:r>
      <w:r>
        <w:rPr>
          <w:sz w:val="24"/>
        </w:rPr>
        <w:t>the</w:t>
      </w:r>
      <w:r>
        <w:rPr>
          <w:spacing w:val="-3"/>
          <w:sz w:val="24"/>
        </w:rPr>
        <w:t xml:space="preserve"> </w:t>
      </w:r>
      <w:r>
        <w:rPr>
          <w:sz w:val="24"/>
        </w:rPr>
        <w:t>distribution</w:t>
      </w:r>
      <w:r>
        <w:rPr>
          <w:spacing w:val="-2"/>
          <w:sz w:val="24"/>
        </w:rPr>
        <w:t xml:space="preserve"> </w:t>
      </w:r>
      <w:r>
        <w:rPr>
          <w:sz w:val="24"/>
        </w:rPr>
        <w:t>of</w:t>
      </w:r>
      <w:r>
        <w:rPr>
          <w:spacing w:val="-3"/>
          <w:sz w:val="24"/>
        </w:rPr>
        <w:t xml:space="preserve"> </w:t>
      </w:r>
      <w:r>
        <w:rPr>
          <w:sz w:val="24"/>
        </w:rPr>
        <w:t>applicable</w:t>
      </w:r>
      <w:r>
        <w:rPr>
          <w:spacing w:val="-2"/>
          <w:sz w:val="24"/>
        </w:rPr>
        <w:t xml:space="preserve"> </w:t>
      </w:r>
      <w:r>
        <w:rPr>
          <w:sz w:val="24"/>
        </w:rPr>
        <w:t>and non-applicable reinsurance allocations.</w:t>
      </w:r>
    </w:p>
    <w:p>
      <w:pPr>
        <w:pStyle w:val="ListParagraph"/>
        <w:numPr>
          <w:ilvl w:val="1"/>
          <w:numId w:val="4"/>
        </w:numPr>
        <w:tabs>
          <w:tab w:val="left" w:pos="1124"/>
        </w:tabs>
        <w:spacing w:before="40" w:after="0" w:line="232" w:lineRule="auto"/>
        <w:ind w:left="1124" w:right="872" w:hanging="540"/>
        <w:jc w:val="both"/>
        <w:rPr>
          <w:sz w:val="24"/>
        </w:rPr>
      </w:pPr>
      <w:r>
        <w:rPr>
          <w:sz w:val="24"/>
        </w:rPr>
        <w:t>A</w:t>
      </w:r>
      <w:r>
        <w:rPr>
          <w:spacing w:val="-3"/>
          <w:sz w:val="24"/>
        </w:rPr>
        <w:t xml:space="preserve"> </w:t>
      </w:r>
      <w:r>
        <w:rPr>
          <w:sz w:val="24"/>
        </w:rPr>
        <w:t>quantitative</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development</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subsidy</w:t>
      </w:r>
      <w:r>
        <w:rPr>
          <w:spacing w:val="-3"/>
          <w:sz w:val="24"/>
        </w:rPr>
        <w:t xml:space="preserve"> </w:t>
      </w:r>
      <w:r>
        <w:rPr>
          <w:sz w:val="24"/>
        </w:rPr>
        <w:t>for</w:t>
      </w:r>
      <w:r>
        <w:rPr>
          <w:spacing w:val="-3"/>
          <w:sz w:val="24"/>
        </w:rPr>
        <w:t xml:space="preserve"> </w:t>
      </w:r>
      <w:r>
        <w:rPr>
          <w:sz w:val="24"/>
        </w:rPr>
        <w:t>selected</w:t>
      </w:r>
      <w:r>
        <w:rPr>
          <w:spacing w:val="-3"/>
          <w:sz w:val="24"/>
        </w:rPr>
        <w:t xml:space="preserve"> </w:t>
      </w:r>
      <w:r>
        <w:rPr>
          <w:sz w:val="24"/>
        </w:rPr>
        <w:t>drugs</w:t>
      </w:r>
      <w:r>
        <w:rPr>
          <w:spacing w:val="-2"/>
          <w:sz w:val="24"/>
        </w:rPr>
        <w:t xml:space="preserve"> </w:t>
      </w:r>
      <w:r>
        <w:rPr>
          <w:sz w:val="24"/>
        </w:rPr>
        <w:t>on Worksheet 6.</w:t>
      </w:r>
    </w:p>
    <w:p>
      <w:pPr>
        <w:spacing w:after="0" w:line="232" w:lineRule="auto"/>
        <w:jc w:val="both"/>
        <w:rPr>
          <w:sz w:val="24"/>
        </w:rPr>
        <w:sectPr>
          <w:pgSz w:w="12240" w:h="15840"/>
          <w:pgMar w:top="1340" w:right="1000" w:bottom="940" w:left="1360" w:header="727" w:footer="747"/>
          <w:cols w:space="720"/>
        </w:sectPr>
      </w:pPr>
    </w:p>
    <w:p>
      <w:pPr>
        <w:pStyle w:val="ListParagraph"/>
        <w:numPr>
          <w:ilvl w:val="0"/>
          <w:numId w:val="4"/>
        </w:numPr>
        <w:tabs>
          <w:tab w:val="left" w:pos="584"/>
        </w:tabs>
        <w:spacing w:before="89" w:after="0" w:line="232" w:lineRule="auto"/>
        <w:ind w:left="584" w:right="1244" w:hanging="360"/>
        <w:jc w:val="both"/>
        <w:rPr>
          <w:sz w:val="24"/>
        </w:rPr>
      </w:pPr>
      <w:r>
        <w:rPr>
          <w:sz w:val="24"/>
        </w:rPr>
        <w:t>Support</w:t>
      </w:r>
      <w:r>
        <w:rPr>
          <w:spacing w:val="-5"/>
          <w:sz w:val="24"/>
        </w:rPr>
        <w:t xml:space="preserve"> </w:t>
      </w:r>
      <w:r>
        <w:rPr>
          <w:sz w:val="24"/>
        </w:rPr>
        <w:t>for</w:t>
      </w:r>
      <w:r>
        <w:rPr>
          <w:spacing w:val="-6"/>
          <w:sz w:val="24"/>
        </w:rPr>
        <w:t xml:space="preserve"> </w:t>
      </w:r>
      <w:r>
        <w:rPr>
          <w:sz w:val="24"/>
        </w:rPr>
        <w:t>non-benefit</w:t>
      </w:r>
      <w:r>
        <w:rPr>
          <w:spacing w:val="-5"/>
          <w:sz w:val="24"/>
        </w:rPr>
        <w:t xml:space="preserve"> </w:t>
      </w:r>
      <w:r>
        <w:rPr>
          <w:sz w:val="24"/>
        </w:rPr>
        <w:t>expense</w:t>
      </w:r>
      <w:r>
        <w:rPr>
          <w:spacing w:val="-6"/>
          <w:sz w:val="24"/>
        </w:rPr>
        <w:t xml:space="preserve"> </w:t>
      </w:r>
      <w:r>
        <w:rPr>
          <w:sz w:val="24"/>
        </w:rPr>
        <w:t>assumptions</w:t>
      </w:r>
      <w:r>
        <w:rPr>
          <w:spacing w:val="-5"/>
          <w:sz w:val="24"/>
        </w:rPr>
        <w:t xml:space="preserve"> </w:t>
      </w:r>
      <w:r>
        <w:rPr>
          <w:sz w:val="24"/>
        </w:rPr>
        <w:t>(Worksheet</w:t>
      </w:r>
      <w:r>
        <w:rPr>
          <w:spacing w:val="-5"/>
          <w:sz w:val="24"/>
        </w:rPr>
        <w:t xml:space="preserve"> </w:t>
      </w:r>
      <w:r>
        <w:rPr>
          <w:sz w:val="24"/>
        </w:rPr>
        <w:t>2).</w:t>
      </w:r>
      <w:r>
        <w:rPr>
          <w:spacing w:val="-5"/>
          <w:sz w:val="24"/>
        </w:rPr>
        <w:t xml:space="preserve"> </w:t>
      </w:r>
      <w:r>
        <w:rPr>
          <w:sz w:val="24"/>
        </w:rPr>
        <w:t>The</w:t>
      </w:r>
      <w:r>
        <w:rPr>
          <w:spacing w:val="-6"/>
          <w:sz w:val="24"/>
        </w:rPr>
        <w:t xml:space="preserve"> </w:t>
      </w:r>
      <w:r>
        <w:rPr>
          <w:sz w:val="24"/>
        </w:rPr>
        <w:t>required</w:t>
      </w:r>
      <w:r>
        <w:rPr>
          <w:spacing w:val="-3"/>
          <w:sz w:val="24"/>
        </w:rPr>
        <w:t xml:space="preserve"> </w:t>
      </w:r>
      <w:r>
        <w:rPr>
          <w:sz w:val="24"/>
        </w:rPr>
        <w:t xml:space="preserve">elements </w:t>
      </w:r>
      <w:r>
        <w:rPr>
          <w:spacing w:val="-2"/>
          <w:sz w:val="24"/>
        </w:rPr>
        <w:t>include—</w:t>
      </w:r>
    </w:p>
    <w:p>
      <w:pPr>
        <w:pStyle w:val="ListParagraph"/>
        <w:numPr>
          <w:ilvl w:val="1"/>
          <w:numId w:val="4"/>
        </w:numPr>
        <w:tabs>
          <w:tab w:val="left" w:pos="1124"/>
        </w:tabs>
        <w:spacing w:before="40" w:after="0" w:line="235" w:lineRule="auto"/>
        <w:ind w:left="1124" w:right="644" w:hanging="540"/>
        <w:jc w:val="both"/>
        <w:rPr>
          <w:sz w:val="24"/>
        </w:rPr>
      </w:pPr>
      <w:r>
        <w:rPr>
          <w:sz w:val="24"/>
        </w:rPr>
        <w:t>A reconciliation of the</w:t>
      </w:r>
      <w:r>
        <w:rPr>
          <w:spacing w:val="-1"/>
          <w:sz w:val="24"/>
        </w:rPr>
        <w:t xml:space="preserve"> </w:t>
      </w:r>
      <w:r>
        <w:rPr>
          <w:sz w:val="24"/>
        </w:rPr>
        <w:t>base</w:t>
      </w:r>
      <w:r>
        <w:rPr>
          <w:spacing w:val="-1"/>
          <w:sz w:val="24"/>
        </w:rPr>
        <w:t xml:space="preserve"> </w:t>
      </w:r>
      <w:r>
        <w:rPr>
          <w:sz w:val="24"/>
        </w:rPr>
        <w:t>period non-benefit expenses reported in Worksheet 1 of the</w:t>
      </w:r>
      <w:r>
        <w:rPr>
          <w:spacing w:val="-4"/>
          <w:sz w:val="24"/>
        </w:rPr>
        <w:t xml:space="preserve"> </w:t>
      </w:r>
      <w:r>
        <w:rPr>
          <w:sz w:val="24"/>
        </w:rPr>
        <w:t>BPT</w:t>
      </w:r>
      <w:r>
        <w:rPr>
          <w:spacing w:val="-4"/>
          <w:sz w:val="24"/>
        </w:rPr>
        <w:t xml:space="preserve"> </w:t>
      </w:r>
      <w:r>
        <w:rPr>
          <w:sz w:val="24"/>
        </w:rPr>
        <w:t>to</w:t>
      </w:r>
      <w:r>
        <w:rPr>
          <w:spacing w:val="-4"/>
          <w:sz w:val="24"/>
        </w:rPr>
        <w:t xml:space="preserve"> </w:t>
      </w:r>
      <w:r>
        <w:rPr>
          <w:sz w:val="24"/>
        </w:rPr>
        <w:t>auditable</w:t>
      </w:r>
      <w:r>
        <w:rPr>
          <w:spacing w:val="-4"/>
          <w:sz w:val="24"/>
        </w:rPr>
        <w:t xml:space="preserve"> </w:t>
      </w:r>
      <w:r>
        <w:rPr>
          <w:sz w:val="24"/>
        </w:rPr>
        <w:t>material</w:t>
      </w:r>
      <w:r>
        <w:rPr>
          <w:spacing w:val="-4"/>
          <w:sz w:val="24"/>
        </w:rPr>
        <w:t xml:space="preserve"> </w:t>
      </w:r>
      <w:r>
        <w:rPr>
          <w:sz w:val="24"/>
        </w:rPr>
        <w:t>such</w:t>
      </w:r>
      <w:r>
        <w:rPr>
          <w:spacing w:val="-4"/>
          <w:sz w:val="24"/>
        </w:rPr>
        <w:t xml:space="preserve"> </w:t>
      </w:r>
      <w:r>
        <w:rPr>
          <w:sz w:val="24"/>
        </w:rPr>
        <w:t>as</w:t>
      </w:r>
      <w:r>
        <w:rPr>
          <w:spacing w:val="-2"/>
          <w:sz w:val="24"/>
        </w:rPr>
        <w:t xml:space="preserve"> </w:t>
      </w:r>
      <w:r>
        <w:rPr>
          <w:sz w:val="24"/>
        </w:rPr>
        <w:t>corporate</w:t>
      </w:r>
      <w:r>
        <w:rPr>
          <w:spacing w:val="-4"/>
          <w:sz w:val="24"/>
        </w:rPr>
        <w:t xml:space="preserve"> </w:t>
      </w:r>
      <w:r>
        <w:rPr>
          <w:sz w:val="24"/>
        </w:rPr>
        <w:t>financials</w:t>
      </w:r>
      <w:r>
        <w:rPr>
          <w:spacing w:val="-4"/>
          <w:sz w:val="24"/>
        </w:rPr>
        <w:t xml:space="preserve"> </w:t>
      </w:r>
      <w:r>
        <w:rPr>
          <w:sz w:val="24"/>
        </w:rPr>
        <w:t>and</w:t>
      </w:r>
      <w:r>
        <w:rPr>
          <w:spacing w:val="-4"/>
          <w:sz w:val="24"/>
        </w:rPr>
        <w:t xml:space="preserve"> </w:t>
      </w:r>
      <w:r>
        <w:rPr>
          <w:sz w:val="24"/>
        </w:rPr>
        <w:t>plan-level</w:t>
      </w:r>
      <w:r>
        <w:rPr>
          <w:spacing w:val="-4"/>
          <w:sz w:val="24"/>
        </w:rPr>
        <w:t xml:space="preserve"> </w:t>
      </w:r>
      <w:r>
        <w:rPr>
          <w:sz w:val="24"/>
        </w:rPr>
        <w:t xml:space="preserve">operational </w:t>
      </w:r>
      <w:r>
        <w:rPr>
          <w:spacing w:val="-2"/>
          <w:sz w:val="24"/>
        </w:rPr>
        <w:t>data.</w:t>
      </w:r>
    </w:p>
    <w:p>
      <w:pPr>
        <w:pStyle w:val="ListParagraph"/>
        <w:numPr>
          <w:ilvl w:val="1"/>
          <w:numId w:val="4"/>
        </w:numPr>
        <w:tabs>
          <w:tab w:val="left" w:pos="1124"/>
        </w:tabs>
        <w:spacing w:before="41" w:after="0" w:line="232" w:lineRule="auto"/>
        <w:ind w:left="1124" w:right="794" w:hanging="540"/>
        <w:jc w:val="both"/>
        <w:rPr>
          <w:sz w:val="24"/>
        </w:rPr>
      </w:pPr>
      <w:r>
        <w:rPr>
          <w:sz w:val="24"/>
        </w:rPr>
        <w:t>A</w:t>
      </w:r>
      <w:r>
        <w:rPr>
          <w:spacing w:val="-4"/>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expenses</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each</w:t>
      </w:r>
      <w:r>
        <w:rPr>
          <w:spacing w:val="-3"/>
          <w:sz w:val="24"/>
        </w:rPr>
        <w:t xml:space="preserve"> </w:t>
      </w:r>
      <w:r>
        <w:rPr>
          <w:sz w:val="24"/>
        </w:rPr>
        <w:t>non-benefit</w:t>
      </w:r>
      <w:r>
        <w:rPr>
          <w:spacing w:val="-3"/>
          <w:sz w:val="24"/>
        </w:rPr>
        <w:t xml:space="preserve"> </w:t>
      </w:r>
      <w:r>
        <w:rPr>
          <w:sz w:val="24"/>
        </w:rPr>
        <w:t>expense</w:t>
      </w:r>
      <w:r>
        <w:rPr>
          <w:spacing w:val="-4"/>
          <w:sz w:val="24"/>
        </w:rPr>
        <w:t xml:space="preserve"> </w:t>
      </w:r>
      <w:r>
        <w:rPr>
          <w:sz w:val="24"/>
        </w:rPr>
        <w:t>category</w:t>
      </w:r>
      <w:r>
        <w:rPr>
          <w:spacing w:val="-3"/>
          <w:sz w:val="24"/>
        </w:rPr>
        <w:t xml:space="preserve"> </w:t>
      </w:r>
      <w:r>
        <w:rPr>
          <w:sz w:val="24"/>
        </w:rPr>
        <w:t>in</w:t>
      </w:r>
      <w:r>
        <w:rPr>
          <w:spacing w:val="-3"/>
          <w:sz w:val="24"/>
        </w:rPr>
        <w:t xml:space="preserve"> </w:t>
      </w:r>
      <w:r>
        <w:rPr>
          <w:sz w:val="24"/>
        </w:rPr>
        <w:t xml:space="preserve">the </w:t>
      </w:r>
      <w:r>
        <w:rPr>
          <w:spacing w:val="-4"/>
          <w:sz w:val="24"/>
        </w:rPr>
        <w:t>BPT.</w:t>
      </w:r>
    </w:p>
    <w:p>
      <w:pPr>
        <w:pStyle w:val="ListParagraph"/>
        <w:numPr>
          <w:ilvl w:val="2"/>
          <w:numId w:val="4"/>
        </w:numPr>
        <w:tabs>
          <w:tab w:val="left" w:pos="1844"/>
        </w:tabs>
        <w:spacing w:before="43" w:after="0" w:line="240" w:lineRule="auto"/>
        <w:ind w:left="1844" w:right="468" w:hanging="720"/>
        <w:jc w:val="left"/>
        <w:rPr>
          <w:sz w:val="24"/>
        </w:rPr>
      </w:pPr>
      <w:r>
        <w:rPr>
          <w:sz w:val="24"/>
        </w:rPr>
        <w:t>For the “Net Cost of Private Reinsurance” category, disclose whether or not there</w:t>
      </w:r>
      <w:r>
        <w:rPr>
          <w:spacing w:val="-5"/>
          <w:sz w:val="24"/>
        </w:rPr>
        <w:t xml:space="preserve"> </w:t>
      </w:r>
      <w:r>
        <w:rPr>
          <w:sz w:val="24"/>
        </w:rPr>
        <w:t>is</w:t>
      </w:r>
      <w:r>
        <w:rPr>
          <w:spacing w:val="-4"/>
          <w:sz w:val="24"/>
        </w:rPr>
        <w:t xml:space="preserve"> </w:t>
      </w:r>
      <w:r>
        <w:rPr>
          <w:sz w:val="24"/>
        </w:rPr>
        <w:t>reinsurance.</w:t>
      </w:r>
      <w:r>
        <w:rPr>
          <w:spacing w:val="-2"/>
          <w:sz w:val="24"/>
        </w:rPr>
        <w:t xml:space="preserve"> </w:t>
      </w:r>
      <w:r>
        <w:rPr>
          <w:sz w:val="24"/>
        </w:rPr>
        <w:t>For</w:t>
      </w:r>
      <w:r>
        <w:rPr>
          <w:spacing w:val="-3"/>
          <w:sz w:val="24"/>
        </w:rPr>
        <w:t xml:space="preserve"> </w:t>
      </w:r>
      <w:r>
        <w:rPr>
          <w:sz w:val="24"/>
        </w:rPr>
        <w:t>reinsurance,</w:t>
      </w:r>
      <w:r>
        <w:rPr>
          <w:spacing w:val="-4"/>
          <w:sz w:val="24"/>
        </w:rPr>
        <w:t xml:space="preserve"> </w:t>
      </w:r>
      <w:r>
        <w:rPr>
          <w:sz w:val="24"/>
        </w:rPr>
        <w:t>even</w:t>
      </w:r>
      <w:r>
        <w:rPr>
          <w:spacing w:val="-4"/>
          <w:sz w:val="24"/>
        </w:rPr>
        <w:t xml:space="preserve"> </w:t>
      </w:r>
      <w:r>
        <w:rPr>
          <w:sz w:val="24"/>
        </w:rPr>
        <w:t>if</w:t>
      </w:r>
      <w:r>
        <w:rPr>
          <w:spacing w:val="-4"/>
          <w:sz w:val="24"/>
        </w:rPr>
        <w:t xml:space="preserve"> </w:t>
      </w:r>
      <w:r>
        <w:rPr>
          <w:sz w:val="24"/>
        </w:rPr>
        <w:t>the</w:t>
      </w:r>
      <w:r>
        <w:rPr>
          <w:spacing w:val="-5"/>
          <w:sz w:val="24"/>
        </w:rPr>
        <w:t xml:space="preserve"> </w:t>
      </w:r>
      <w:r>
        <w:rPr>
          <w:sz w:val="24"/>
        </w:rPr>
        <w:t>net</w:t>
      </w:r>
      <w:r>
        <w:rPr>
          <w:spacing w:val="-4"/>
          <w:sz w:val="24"/>
        </w:rPr>
        <w:t xml:space="preserve"> </w:t>
      </w:r>
      <w:r>
        <w:rPr>
          <w:sz w:val="24"/>
        </w:rPr>
        <w:t>cost</w:t>
      </w:r>
      <w:r>
        <w:rPr>
          <w:spacing w:val="-4"/>
          <w:sz w:val="24"/>
        </w:rPr>
        <w:t xml:space="preserve"> </w:t>
      </w:r>
      <w:r>
        <w:rPr>
          <w:sz w:val="24"/>
        </w:rPr>
        <w:t>of</w:t>
      </w:r>
      <w:r>
        <w:rPr>
          <w:spacing w:val="-4"/>
          <w:sz w:val="24"/>
        </w:rPr>
        <w:t xml:space="preserve"> </w:t>
      </w:r>
      <w:r>
        <w:rPr>
          <w:sz w:val="24"/>
        </w:rPr>
        <w:t>private</w:t>
      </w:r>
      <w:r>
        <w:rPr>
          <w:spacing w:val="-3"/>
          <w:sz w:val="24"/>
        </w:rPr>
        <w:t xml:space="preserve"> </w:t>
      </w:r>
      <w:r>
        <w:rPr>
          <w:sz w:val="24"/>
        </w:rPr>
        <w:t>reinsurance is entered as $0, the required elements include the type of reinsurance and applicable benefits, attachments points, maximums, ceding commissions, and other information pertinent to the reinsurance coverage.</w:t>
      </w:r>
    </w:p>
    <w:p>
      <w:pPr>
        <w:pStyle w:val="ListParagraph"/>
        <w:numPr>
          <w:ilvl w:val="1"/>
          <w:numId w:val="4"/>
        </w:numPr>
        <w:tabs>
          <w:tab w:val="left" w:pos="1124"/>
        </w:tabs>
        <w:spacing w:before="44" w:after="0" w:line="232" w:lineRule="auto"/>
        <w:ind w:left="1124" w:right="508" w:hanging="540"/>
        <w:jc w:val="left"/>
        <w:rPr>
          <w:sz w:val="24"/>
        </w:rPr>
      </w:pPr>
      <w:r>
        <w:rPr>
          <w:sz w:val="24"/>
        </w:rPr>
        <w:t>Detailed</w:t>
      </w:r>
      <w:r>
        <w:rPr>
          <w:spacing w:val="-4"/>
          <w:sz w:val="24"/>
        </w:rPr>
        <w:t xml:space="preserve"> </w:t>
      </w:r>
      <w:r>
        <w:rPr>
          <w:sz w:val="24"/>
        </w:rPr>
        <w:t>support</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development</w:t>
      </w:r>
      <w:r>
        <w:rPr>
          <w:spacing w:val="-4"/>
          <w:sz w:val="24"/>
        </w:rPr>
        <w:t xml:space="preserve"> </w:t>
      </w:r>
      <w:r>
        <w:rPr>
          <w:sz w:val="24"/>
        </w:rPr>
        <w:t>of</w:t>
      </w:r>
      <w:r>
        <w:rPr>
          <w:spacing w:val="-5"/>
          <w:sz w:val="24"/>
        </w:rPr>
        <w:t xml:space="preserve"> </w:t>
      </w:r>
      <w:r>
        <w:rPr>
          <w:sz w:val="24"/>
        </w:rPr>
        <w:t>projected</w:t>
      </w:r>
      <w:r>
        <w:rPr>
          <w:spacing w:val="-2"/>
          <w:sz w:val="24"/>
        </w:rPr>
        <w:t xml:space="preserve"> </w:t>
      </w:r>
      <w:r>
        <w:rPr>
          <w:sz w:val="24"/>
        </w:rPr>
        <w:t>non-benefit</w:t>
      </w:r>
      <w:r>
        <w:rPr>
          <w:spacing w:val="-4"/>
          <w:sz w:val="24"/>
        </w:rPr>
        <w:t xml:space="preserve"> </w:t>
      </w:r>
      <w:r>
        <w:rPr>
          <w:sz w:val="24"/>
        </w:rPr>
        <w:t>expenses.</w:t>
      </w:r>
      <w:r>
        <w:rPr>
          <w:spacing w:val="-4"/>
          <w:sz w:val="24"/>
        </w:rPr>
        <w:t xml:space="preserve"> </w:t>
      </w:r>
      <w:r>
        <w:rPr>
          <w:sz w:val="24"/>
        </w:rPr>
        <w:t>The</w:t>
      </w:r>
      <w:r>
        <w:rPr>
          <w:spacing w:val="-5"/>
          <w:sz w:val="24"/>
        </w:rPr>
        <w:t xml:space="preserve"> </w:t>
      </w:r>
      <w:r>
        <w:rPr>
          <w:sz w:val="24"/>
        </w:rPr>
        <w:t>required elements include—</w:t>
      </w:r>
    </w:p>
    <w:p>
      <w:pPr>
        <w:pStyle w:val="ListParagraph"/>
        <w:numPr>
          <w:ilvl w:val="2"/>
          <w:numId w:val="4"/>
        </w:numPr>
        <w:tabs>
          <w:tab w:val="left" w:pos="1844"/>
        </w:tabs>
        <w:spacing w:before="36" w:after="0" w:line="240" w:lineRule="auto"/>
        <w:ind w:left="1844" w:right="0" w:hanging="720"/>
        <w:jc w:val="left"/>
        <w:rPr>
          <w:sz w:val="24"/>
        </w:rPr>
      </w:pPr>
      <w:r>
        <w:rPr>
          <w:sz w:val="24"/>
        </w:rPr>
        <w:t>A</w:t>
      </w:r>
      <w:r>
        <w:rPr>
          <w:spacing w:val="-3"/>
          <w:sz w:val="24"/>
        </w:rPr>
        <w:t xml:space="preserve"> </w:t>
      </w:r>
      <w:r>
        <w:rPr>
          <w:sz w:val="24"/>
        </w:rPr>
        <w:t>description of</w:t>
      </w:r>
      <w:r>
        <w:rPr>
          <w:spacing w:val="-1"/>
          <w:sz w:val="24"/>
        </w:rPr>
        <w:t xml:space="preserve"> </w:t>
      </w:r>
      <w:r>
        <w:rPr>
          <w:sz w:val="24"/>
        </w:rPr>
        <w:t>the</w:t>
      </w:r>
      <w:r>
        <w:rPr>
          <w:spacing w:val="-2"/>
          <w:sz w:val="24"/>
        </w:rPr>
        <w:t xml:space="preserve"> </w:t>
      </w:r>
      <w:r>
        <w:rPr>
          <w:sz w:val="24"/>
        </w:rPr>
        <w:t>methodology</w:t>
      </w:r>
      <w:r>
        <w:rPr>
          <w:spacing w:val="-1"/>
          <w:sz w:val="24"/>
        </w:rPr>
        <w:t xml:space="preserve"> </w:t>
      </w:r>
      <w:r>
        <w:rPr>
          <w:sz w:val="24"/>
        </w:rPr>
        <w:t>used to</w:t>
      </w:r>
      <w:r>
        <w:rPr>
          <w:spacing w:val="-1"/>
          <w:sz w:val="24"/>
        </w:rPr>
        <w:t xml:space="preserve"> </w:t>
      </w:r>
      <w:r>
        <w:rPr>
          <w:sz w:val="24"/>
        </w:rPr>
        <w:t xml:space="preserve">develop non-benefit </w:t>
      </w:r>
      <w:r>
        <w:rPr>
          <w:spacing w:val="-2"/>
          <w:sz w:val="24"/>
        </w:rPr>
        <w:t>expenses.</w:t>
      </w:r>
    </w:p>
    <w:p>
      <w:pPr>
        <w:pStyle w:val="ListParagraph"/>
        <w:numPr>
          <w:ilvl w:val="2"/>
          <w:numId w:val="4"/>
        </w:numPr>
        <w:tabs>
          <w:tab w:val="left" w:pos="1844"/>
        </w:tabs>
        <w:spacing w:before="38" w:after="0" w:line="235" w:lineRule="auto"/>
        <w:ind w:left="1844" w:right="452" w:hanging="720"/>
        <w:jc w:val="left"/>
        <w:rPr>
          <w:sz w:val="24"/>
        </w:rPr>
      </w:pPr>
      <w:r>
        <w:rPr>
          <w:sz w:val="24"/>
        </w:rPr>
        <w:t>An analysis that demonstrates the development of each line item using</w:t>
      </w:r>
      <w:r>
        <w:rPr>
          <w:spacing w:val="40"/>
          <w:sz w:val="24"/>
        </w:rPr>
        <w:t xml:space="preserve"> </w:t>
      </w:r>
      <w:r>
        <w:rPr>
          <w:sz w:val="24"/>
        </w:rPr>
        <w:t>relevant</w:t>
      </w:r>
      <w:r>
        <w:rPr>
          <w:spacing w:val="-6"/>
          <w:sz w:val="24"/>
        </w:rPr>
        <w:t xml:space="preserve"> </w:t>
      </w:r>
      <w:r>
        <w:rPr>
          <w:sz w:val="24"/>
        </w:rPr>
        <w:t>data,</w:t>
      </w:r>
      <w:r>
        <w:rPr>
          <w:spacing w:val="-6"/>
          <w:sz w:val="24"/>
        </w:rPr>
        <w:t xml:space="preserve"> </w:t>
      </w:r>
      <w:r>
        <w:rPr>
          <w:sz w:val="24"/>
        </w:rPr>
        <w:t>assumptions,</w:t>
      </w:r>
      <w:r>
        <w:rPr>
          <w:spacing w:val="-6"/>
          <w:sz w:val="24"/>
        </w:rPr>
        <w:t xml:space="preserve"> </w:t>
      </w:r>
      <w:r>
        <w:rPr>
          <w:sz w:val="24"/>
        </w:rPr>
        <w:t>contracts,</w:t>
      </w:r>
      <w:r>
        <w:rPr>
          <w:spacing w:val="-6"/>
          <w:sz w:val="24"/>
        </w:rPr>
        <w:t xml:space="preserve"> </w:t>
      </w:r>
      <w:r>
        <w:rPr>
          <w:sz w:val="24"/>
        </w:rPr>
        <w:t>financial</w:t>
      </w:r>
      <w:r>
        <w:rPr>
          <w:spacing w:val="-6"/>
          <w:sz w:val="24"/>
        </w:rPr>
        <w:t xml:space="preserve"> </w:t>
      </w:r>
      <w:r>
        <w:rPr>
          <w:sz w:val="24"/>
        </w:rPr>
        <w:t>information,</w:t>
      </w:r>
      <w:r>
        <w:rPr>
          <w:spacing w:val="-6"/>
          <w:sz w:val="24"/>
        </w:rPr>
        <w:t xml:space="preserve"> </w:t>
      </w:r>
      <w:r>
        <w:rPr>
          <w:sz w:val="24"/>
        </w:rPr>
        <w:t>business</w:t>
      </w:r>
      <w:r>
        <w:rPr>
          <w:spacing w:val="-6"/>
          <w:sz w:val="24"/>
        </w:rPr>
        <w:t xml:space="preserve"> </w:t>
      </w:r>
      <w:r>
        <w:rPr>
          <w:sz w:val="24"/>
        </w:rPr>
        <w:t>plans</w:t>
      </w:r>
      <w:r>
        <w:rPr>
          <w:spacing w:val="-6"/>
          <w:sz w:val="24"/>
        </w:rPr>
        <w:t xml:space="preserve"> </w:t>
      </w:r>
      <w:r>
        <w:rPr>
          <w:sz w:val="24"/>
        </w:rPr>
        <w:t>and other experience.</w:t>
      </w:r>
    </w:p>
    <w:p>
      <w:pPr>
        <w:pStyle w:val="ListParagraph"/>
        <w:numPr>
          <w:ilvl w:val="2"/>
          <w:numId w:val="4"/>
        </w:numPr>
        <w:tabs>
          <w:tab w:val="left" w:pos="1844"/>
        </w:tabs>
        <w:spacing w:before="43" w:after="0" w:line="232" w:lineRule="auto"/>
        <w:ind w:left="1844" w:right="716" w:hanging="720"/>
        <w:jc w:val="left"/>
        <w:rPr>
          <w:sz w:val="24"/>
        </w:rPr>
      </w:pPr>
      <w:r>
        <w:rPr>
          <w:sz w:val="24"/>
        </w:rPr>
        <w:t>A</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relationship</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non-benefit</w:t>
      </w:r>
      <w:r>
        <w:rPr>
          <w:spacing w:val="-4"/>
          <w:sz w:val="24"/>
        </w:rPr>
        <w:t xml:space="preserve"> </w:t>
      </w:r>
      <w:r>
        <w:rPr>
          <w:sz w:val="24"/>
        </w:rPr>
        <w:t>expense</w:t>
      </w:r>
      <w:r>
        <w:rPr>
          <w:spacing w:val="-5"/>
          <w:sz w:val="24"/>
        </w:rPr>
        <w:t xml:space="preserve"> </w:t>
      </w:r>
      <w:r>
        <w:rPr>
          <w:sz w:val="24"/>
        </w:rPr>
        <w:t>line</w:t>
      </w:r>
      <w:r>
        <w:rPr>
          <w:spacing w:val="-5"/>
          <w:sz w:val="24"/>
        </w:rPr>
        <w:t xml:space="preserve"> </w:t>
      </w:r>
      <w:r>
        <w:rPr>
          <w:sz w:val="24"/>
        </w:rPr>
        <w:t>items reported in the BPT and auditable material such as corporate financials and plan-level operational data.</w:t>
      </w:r>
    </w:p>
    <w:p>
      <w:pPr>
        <w:pStyle w:val="ListParagraph"/>
        <w:numPr>
          <w:ilvl w:val="0"/>
          <w:numId w:val="4"/>
        </w:numPr>
        <w:tabs>
          <w:tab w:val="left" w:pos="584"/>
        </w:tabs>
        <w:spacing w:before="37" w:after="0" w:line="240" w:lineRule="auto"/>
        <w:ind w:left="584" w:right="0" w:hanging="360"/>
        <w:jc w:val="left"/>
        <w:rPr>
          <w:sz w:val="24"/>
        </w:rPr>
      </w:pPr>
      <w:r>
        <w:rPr>
          <w:sz w:val="24"/>
        </w:rPr>
        <w:t>Justification</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Part</w:t>
      </w:r>
      <w:r>
        <w:rPr>
          <w:spacing w:val="-1"/>
          <w:sz w:val="24"/>
        </w:rPr>
        <w:t xml:space="preserve"> </w:t>
      </w:r>
      <w:r>
        <w:rPr>
          <w:sz w:val="24"/>
        </w:rPr>
        <w:t>D</w:t>
      </w:r>
      <w:r>
        <w:rPr>
          <w:spacing w:val="-2"/>
          <w:sz w:val="24"/>
        </w:rPr>
        <w:t xml:space="preserve"> </w:t>
      </w:r>
      <w:r>
        <w:rPr>
          <w:sz w:val="24"/>
        </w:rPr>
        <w:t>gain/loss</w:t>
      </w:r>
      <w:r>
        <w:rPr>
          <w:spacing w:val="-1"/>
          <w:sz w:val="24"/>
        </w:rPr>
        <w:t xml:space="preserve"> </w:t>
      </w:r>
      <w:r>
        <w:rPr>
          <w:sz w:val="24"/>
        </w:rPr>
        <w:t>margin</w:t>
      </w:r>
      <w:r>
        <w:rPr>
          <w:spacing w:val="-1"/>
          <w:sz w:val="24"/>
        </w:rPr>
        <w:t xml:space="preserve"> </w:t>
      </w:r>
      <w:r>
        <w:rPr>
          <w:sz w:val="24"/>
        </w:rPr>
        <w:t>(Worksheet</w:t>
      </w:r>
      <w:r>
        <w:rPr>
          <w:spacing w:val="-1"/>
          <w:sz w:val="24"/>
        </w:rPr>
        <w:t xml:space="preserve"> </w:t>
      </w:r>
      <w:r>
        <w:rPr>
          <w:sz w:val="24"/>
        </w:rPr>
        <w:t>2). The required</w:t>
      </w:r>
      <w:r>
        <w:rPr>
          <w:spacing w:val="1"/>
          <w:sz w:val="24"/>
        </w:rPr>
        <w:t xml:space="preserve"> </w:t>
      </w:r>
      <w:r>
        <w:rPr>
          <w:sz w:val="24"/>
        </w:rPr>
        <w:t>elements</w:t>
      </w:r>
      <w:r>
        <w:rPr>
          <w:spacing w:val="-1"/>
          <w:sz w:val="24"/>
        </w:rPr>
        <w:t xml:space="preserve"> </w:t>
      </w:r>
      <w:r>
        <w:rPr>
          <w:spacing w:val="-2"/>
          <w:sz w:val="24"/>
        </w:rPr>
        <w:t>include—</w:t>
      </w:r>
    </w:p>
    <w:p>
      <w:pPr>
        <w:pStyle w:val="ListParagraph"/>
        <w:numPr>
          <w:ilvl w:val="1"/>
          <w:numId w:val="4"/>
        </w:numPr>
        <w:tabs>
          <w:tab w:val="left" w:pos="1124"/>
        </w:tabs>
        <w:spacing w:before="41" w:after="0" w:line="240" w:lineRule="auto"/>
        <w:ind w:left="1124" w:right="463" w:hanging="540"/>
        <w:jc w:val="left"/>
        <w:rPr>
          <w:sz w:val="24"/>
        </w:rPr>
      </w:pPr>
      <w:r>
        <w:rPr>
          <w:sz w:val="24"/>
        </w:rPr>
        <w:t>For</w:t>
      </w:r>
      <w:r>
        <w:rPr>
          <w:spacing w:val="-3"/>
          <w:sz w:val="24"/>
        </w:rPr>
        <w:t xml:space="preserve"> </w:t>
      </w:r>
      <w:r>
        <w:rPr>
          <w:sz w:val="24"/>
        </w:rPr>
        <w:t>a</w:t>
      </w:r>
      <w:r>
        <w:rPr>
          <w:spacing w:val="-5"/>
          <w:sz w:val="24"/>
        </w:rPr>
        <w:t xml:space="preserve"> </w:t>
      </w:r>
      <w:r>
        <w:rPr>
          <w:sz w:val="24"/>
        </w:rPr>
        <w:t>Part</w:t>
      </w:r>
      <w:r>
        <w:rPr>
          <w:spacing w:val="-3"/>
          <w:sz w:val="24"/>
        </w:rPr>
        <w:t xml:space="preserve"> </w:t>
      </w:r>
      <w:r>
        <w:rPr>
          <w:sz w:val="24"/>
        </w:rPr>
        <w:t>D</w:t>
      </w:r>
      <w:r>
        <w:rPr>
          <w:spacing w:val="-4"/>
          <w:sz w:val="24"/>
        </w:rPr>
        <w:t xml:space="preserve"> </w:t>
      </w:r>
      <w:r>
        <w:rPr>
          <w:sz w:val="24"/>
        </w:rPr>
        <w:t>plan</w:t>
      </w:r>
      <w:r>
        <w:rPr>
          <w:spacing w:val="-3"/>
          <w:sz w:val="24"/>
        </w:rPr>
        <w:t xml:space="preserve"> </w:t>
      </w:r>
      <w:r>
        <w:rPr>
          <w:sz w:val="24"/>
        </w:rPr>
        <w:t>without</w:t>
      </w:r>
      <w:r>
        <w:rPr>
          <w:spacing w:val="-3"/>
          <w:sz w:val="24"/>
        </w:rPr>
        <w:t xml:space="preserve"> </w:t>
      </w:r>
      <w:r>
        <w:rPr>
          <w:sz w:val="24"/>
        </w:rPr>
        <w:t>a</w:t>
      </w:r>
      <w:r>
        <w:rPr>
          <w:spacing w:val="-3"/>
          <w:sz w:val="24"/>
        </w:rPr>
        <w:t xml:space="preserve"> </w:t>
      </w:r>
      <w:r>
        <w:rPr>
          <w:sz w:val="24"/>
        </w:rPr>
        <w:t>corresponding</w:t>
      </w:r>
      <w:r>
        <w:rPr>
          <w:spacing w:val="-3"/>
          <w:sz w:val="24"/>
        </w:rPr>
        <w:t xml:space="preserve"> </w:t>
      </w:r>
      <w:r>
        <w:rPr>
          <w:sz w:val="24"/>
        </w:rPr>
        <w:t>Medicare</w:t>
      </w:r>
      <w:r>
        <w:rPr>
          <w:spacing w:val="-5"/>
          <w:sz w:val="24"/>
        </w:rPr>
        <w:t xml:space="preserve"> </w:t>
      </w:r>
      <w:r>
        <w:rPr>
          <w:sz w:val="24"/>
        </w:rPr>
        <w:t>Advantage</w:t>
      </w:r>
      <w:r>
        <w:rPr>
          <w:spacing w:val="-4"/>
          <w:sz w:val="24"/>
        </w:rPr>
        <w:t xml:space="preserve"> </w:t>
      </w:r>
      <w:r>
        <w:rPr>
          <w:sz w:val="24"/>
        </w:rPr>
        <w:t>plan,</w:t>
      </w:r>
      <w:r>
        <w:rPr>
          <w:spacing w:val="-3"/>
          <w:sz w:val="24"/>
        </w:rPr>
        <w:t xml:space="preserve"> </w:t>
      </w:r>
      <w:r>
        <w:rPr>
          <w:sz w:val="24"/>
        </w:rPr>
        <w:t>disclosure</w:t>
      </w:r>
      <w:r>
        <w:rPr>
          <w:spacing w:val="-5"/>
          <w:sz w:val="24"/>
        </w:rPr>
        <w:t xml:space="preserve"> </w:t>
      </w:r>
      <w:r>
        <w:rPr>
          <w:sz w:val="24"/>
        </w:rPr>
        <w:t>of</w:t>
      </w:r>
      <w:r>
        <w:rPr>
          <w:spacing w:val="-3"/>
          <w:sz w:val="24"/>
        </w:rPr>
        <w:t xml:space="preserve"> </w:t>
      </w:r>
      <w:r>
        <w:rPr>
          <w:sz w:val="24"/>
        </w:rPr>
        <w:t>the aggregate Part D gain/loss margin at the time of the initial bid submission.</w:t>
      </w:r>
    </w:p>
    <w:p>
      <w:pPr>
        <w:pStyle w:val="ListParagraph"/>
        <w:numPr>
          <w:ilvl w:val="1"/>
          <w:numId w:val="4"/>
        </w:numPr>
        <w:tabs>
          <w:tab w:val="left" w:pos="1124"/>
        </w:tabs>
        <w:spacing w:before="41" w:after="0" w:line="240" w:lineRule="auto"/>
        <w:ind w:left="1124" w:right="536" w:hanging="540"/>
        <w:jc w:val="left"/>
        <w:rPr>
          <w:sz w:val="24"/>
        </w:rPr>
      </w:pPr>
      <w:r>
        <w:rPr>
          <w:sz w:val="24"/>
        </w:rPr>
        <w:t>For a Part D plan without a corresponding Medicare Advantage plan, support for the aggregate Part D gain/loss margin if the aggregate Part D gain/loss margin as a percentage</w:t>
      </w:r>
      <w:r>
        <w:rPr>
          <w:spacing w:val="-4"/>
          <w:sz w:val="24"/>
        </w:rPr>
        <w:t xml:space="preserve"> </w:t>
      </w:r>
      <w:r>
        <w:rPr>
          <w:sz w:val="24"/>
        </w:rPr>
        <w:t>of</w:t>
      </w:r>
      <w:r>
        <w:rPr>
          <w:spacing w:val="-2"/>
          <w:sz w:val="24"/>
        </w:rPr>
        <w:t xml:space="preserve"> </w:t>
      </w:r>
      <w:r>
        <w:rPr>
          <w:sz w:val="24"/>
        </w:rPr>
        <w:t>revenue</w:t>
      </w:r>
      <w:r>
        <w:rPr>
          <w:spacing w:val="-3"/>
          <w:sz w:val="24"/>
        </w:rPr>
        <w:t xml:space="preserve"> </w:t>
      </w:r>
      <w:r>
        <w:rPr>
          <w:sz w:val="24"/>
        </w:rPr>
        <w:t>is</w:t>
      </w:r>
      <w:r>
        <w:rPr>
          <w:spacing w:val="-2"/>
          <w:sz w:val="24"/>
        </w:rPr>
        <w:t xml:space="preserve"> </w:t>
      </w:r>
      <w:r>
        <w:rPr>
          <w:sz w:val="24"/>
        </w:rPr>
        <w:t>below</w:t>
      </w:r>
      <w:r>
        <w:rPr>
          <w:spacing w:val="-3"/>
          <w:sz w:val="24"/>
        </w:rPr>
        <w:t xml:space="preserve"> </w:t>
      </w:r>
      <w:r>
        <w:rPr>
          <w:sz w:val="24"/>
        </w:rPr>
        <w:t>0</w:t>
      </w:r>
      <w:r>
        <w:rPr>
          <w:spacing w:val="-3"/>
          <w:sz w:val="24"/>
        </w:rPr>
        <w:t xml:space="preserve"> </w:t>
      </w:r>
      <w:r>
        <w:rPr>
          <w:sz w:val="24"/>
        </w:rPr>
        <w:t>percent</w:t>
      </w:r>
      <w:r>
        <w:rPr>
          <w:spacing w:val="-3"/>
          <w:sz w:val="24"/>
        </w:rPr>
        <w:t xml:space="preserve"> </w:t>
      </w:r>
      <w:r>
        <w:rPr>
          <w:sz w:val="24"/>
        </w:rPr>
        <w:t>or</w:t>
      </w:r>
      <w:r>
        <w:rPr>
          <w:spacing w:val="-3"/>
          <w:sz w:val="24"/>
        </w:rPr>
        <w:t xml:space="preserve"> </w:t>
      </w:r>
      <w:r>
        <w:rPr>
          <w:sz w:val="24"/>
        </w:rPr>
        <w:t>above</w:t>
      </w:r>
      <w:r>
        <w:rPr>
          <w:spacing w:val="-2"/>
          <w:sz w:val="24"/>
        </w:rPr>
        <w:t xml:space="preserve"> </w:t>
      </w:r>
      <w:r>
        <w:rPr>
          <w:sz w:val="24"/>
        </w:rPr>
        <w:t>5.5</w:t>
      </w:r>
      <w:r>
        <w:rPr>
          <w:spacing w:val="-3"/>
          <w:sz w:val="24"/>
        </w:rPr>
        <w:t xml:space="preserve"> </w:t>
      </w:r>
      <w:r>
        <w:rPr>
          <w:sz w:val="24"/>
        </w:rPr>
        <w:t>percent.</w:t>
      </w:r>
      <w:r>
        <w:rPr>
          <w:spacing w:val="-3"/>
          <w:sz w:val="24"/>
        </w:rPr>
        <w:t xml:space="preserve"> </w:t>
      </w:r>
      <w:r>
        <w:rPr>
          <w:sz w:val="24"/>
        </w:rPr>
        <w:t>The</w:t>
      </w:r>
      <w:r>
        <w:rPr>
          <w:spacing w:val="-4"/>
          <w:sz w:val="24"/>
        </w:rPr>
        <w:t xml:space="preserve"> </w:t>
      </w:r>
      <w:r>
        <w:rPr>
          <w:sz w:val="24"/>
        </w:rPr>
        <w:t>required</w:t>
      </w:r>
      <w:r>
        <w:rPr>
          <w:spacing w:val="-3"/>
          <w:sz w:val="24"/>
        </w:rPr>
        <w:t xml:space="preserve"> </w:t>
      </w:r>
      <w:r>
        <w:rPr>
          <w:sz w:val="24"/>
        </w:rPr>
        <w:t xml:space="preserve">elements </w:t>
      </w:r>
      <w:r>
        <w:rPr>
          <w:spacing w:val="-2"/>
          <w:sz w:val="24"/>
        </w:rPr>
        <w:t>include—</w:t>
      </w:r>
    </w:p>
    <w:p>
      <w:pPr>
        <w:pStyle w:val="ListParagraph"/>
        <w:numPr>
          <w:ilvl w:val="2"/>
          <w:numId w:val="4"/>
        </w:numPr>
        <w:tabs>
          <w:tab w:val="left" w:pos="1844"/>
        </w:tabs>
        <w:spacing w:before="41" w:after="0" w:line="240" w:lineRule="auto"/>
        <w:ind w:left="1844" w:right="0" w:hanging="720"/>
        <w:jc w:val="left"/>
        <w:rPr>
          <w:sz w:val="24"/>
        </w:rPr>
      </w:pPr>
      <w:r>
        <w:rPr>
          <w:sz w:val="24"/>
        </w:rPr>
        <w:t>A</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reasons supporting</w:t>
      </w:r>
      <w:r>
        <w:rPr>
          <w:spacing w:val="-1"/>
          <w:sz w:val="24"/>
        </w:rPr>
        <w:t xml:space="preserve"> </w:t>
      </w:r>
      <w:r>
        <w:rPr>
          <w:sz w:val="24"/>
        </w:rPr>
        <w:t>aggregate</w:t>
      </w:r>
      <w:r>
        <w:rPr>
          <w:spacing w:val="3"/>
          <w:sz w:val="24"/>
        </w:rPr>
        <w:t xml:space="preserve"> </w:t>
      </w:r>
      <w:r>
        <w:rPr>
          <w:sz w:val="24"/>
        </w:rPr>
        <w:t>Part</w:t>
      </w:r>
      <w:r>
        <w:rPr>
          <w:spacing w:val="-1"/>
          <w:sz w:val="24"/>
        </w:rPr>
        <w:t xml:space="preserve"> </w:t>
      </w:r>
      <w:r>
        <w:rPr>
          <w:sz w:val="24"/>
        </w:rPr>
        <w:t>D</w:t>
      </w:r>
      <w:r>
        <w:rPr>
          <w:spacing w:val="-2"/>
          <w:sz w:val="24"/>
        </w:rPr>
        <w:t xml:space="preserve"> </w:t>
      </w:r>
      <w:r>
        <w:rPr>
          <w:sz w:val="24"/>
        </w:rPr>
        <w:t xml:space="preserve">gain/loss </w:t>
      </w:r>
      <w:r>
        <w:rPr>
          <w:spacing w:val="-2"/>
          <w:sz w:val="24"/>
        </w:rPr>
        <w:t>margin.</w:t>
      </w:r>
    </w:p>
    <w:p>
      <w:pPr>
        <w:pStyle w:val="ListParagraph"/>
        <w:numPr>
          <w:ilvl w:val="2"/>
          <w:numId w:val="4"/>
        </w:numPr>
        <w:tabs>
          <w:tab w:val="left" w:pos="1844"/>
        </w:tabs>
        <w:spacing w:before="39" w:after="0" w:line="240" w:lineRule="auto"/>
        <w:ind w:left="1844" w:right="729" w:hanging="720"/>
        <w:jc w:val="left"/>
        <w:rPr>
          <w:sz w:val="24"/>
        </w:rPr>
      </w:pPr>
      <w:r>
        <w:rPr>
          <w:sz w:val="24"/>
        </w:rPr>
        <w:t>An</w:t>
      </w:r>
      <w:r>
        <w:rPr>
          <w:spacing w:val="-5"/>
          <w:sz w:val="24"/>
        </w:rPr>
        <w:t xml:space="preserve"> </w:t>
      </w:r>
      <w:r>
        <w:rPr>
          <w:sz w:val="24"/>
        </w:rPr>
        <w:t>aggregate-margin</w:t>
      </w:r>
      <w:r>
        <w:rPr>
          <w:spacing w:val="-5"/>
          <w:sz w:val="24"/>
        </w:rPr>
        <w:t xml:space="preserve"> </w:t>
      </w:r>
      <w:r>
        <w:rPr>
          <w:sz w:val="24"/>
        </w:rPr>
        <w:t>numeric</w:t>
      </w:r>
      <w:r>
        <w:rPr>
          <w:spacing w:val="-7"/>
          <w:sz w:val="24"/>
        </w:rPr>
        <w:t xml:space="preserve"> </w:t>
      </w:r>
      <w:r>
        <w:rPr>
          <w:sz w:val="24"/>
        </w:rPr>
        <w:t>(non-PDF)</w:t>
      </w:r>
      <w:r>
        <w:rPr>
          <w:spacing w:val="-5"/>
          <w:sz w:val="24"/>
        </w:rPr>
        <w:t xml:space="preserve"> </w:t>
      </w:r>
      <w:r>
        <w:rPr>
          <w:sz w:val="24"/>
        </w:rPr>
        <w:t>business</w:t>
      </w:r>
      <w:r>
        <w:rPr>
          <w:spacing w:val="-5"/>
          <w:sz w:val="24"/>
        </w:rPr>
        <w:t xml:space="preserve"> </w:t>
      </w:r>
      <w:r>
        <w:rPr>
          <w:sz w:val="24"/>
        </w:rPr>
        <w:t>plan</w:t>
      </w:r>
      <w:r>
        <w:rPr>
          <w:spacing w:val="-5"/>
          <w:sz w:val="24"/>
        </w:rPr>
        <w:t xml:space="preserve"> </w:t>
      </w:r>
      <w:r>
        <w:rPr>
          <w:sz w:val="24"/>
        </w:rPr>
        <w:t>showing</w:t>
      </w:r>
      <w:r>
        <w:rPr>
          <w:spacing w:val="-5"/>
          <w:sz w:val="24"/>
        </w:rPr>
        <w:t xml:space="preserve"> </w:t>
      </w:r>
      <w:r>
        <w:rPr>
          <w:sz w:val="24"/>
        </w:rPr>
        <w:t>the</w:t>
      </w:r>
      <w:r>
        <w:rPr>
          <w:spacing w:val="-6"/>
          <w:sz w:val="24"/>
        </w:rPr>
        <w:t xml:space="preserve"> </w:t>
      </w:r>
      <w:r>
        <w:rPr>
          <w:sz w:val="24"/>
        </w:rPr>
        <w:t>current bid submission and next year. The required elements include—</w:t>
      </w:r>
    </w:p>
    <w:p>
      <w:pPr>
        <w:pStyle w:val="ListParagraph"/>
        <w:numPr>
          <w:ilvl w:val="3"/>
          <w:numId w:val="4"/>
        </w:numPr>
        <w:tabs>
          <w:tab w:val="left" w:pos="2295"/>
        </w:tabs>
        <w:spacing w:before="41" w:after="0" w:line="240" w:lineRule="auto"/>
        <w:ind w:left="2295" w:right="751" w:hanging="360"/>
        <w:jc w:val="left"/>
        <w:rPr>
          <w:sz w:val="24"/>
        </w:rPr>
      </w:pPr>
      <w:r>
        <w:rPr>
          <w:sz w:val="24"/>
        </w:rPr>
        <w:t>Projected</w:t>
      </w:r>
      <w:r>
        <w:rPr>
          <w:spacing w:val="-5"/>
          <w:sz w:val="24"/>
        </w:rPr>
        <w:t xml:space="preserve"> </w:t>
      </w:r>
      <w:r>
        <w:rPr>
          <w:sz w:val="24"/>
        </w:rPr>
        <w:t>member</w:t>
      </w:r>
      <w:r>
        <w:rPr>
          <w:spacing w:val="-7"/>
          <w:sz w:val="24"/>
        </w:rPr>
        <w:t xml:space="preserve"> </w:t>
      </w:r>
      <w:r>
        <w:rPr>
          <w:sz w:val="24"/>
        </w:rPr>
        <w:t>months,</w:t>
      </w:r>
      <w:r>
        <w:rPr>
          <w:spacing w:val="-5"/>
          <w:sz w:val="24"/>
        </w:rPr>
        <w:t xml:space="preserve"> </w:t>
      </w:r>
      <w:r>
        <w:rPr>
          <w:sz w:val="24"/>
        </w:rPr>
        <w:t>risk</w:t>
      </w:r>
      <w:r>
        <w:rPr>
          <w:spacing w:val="-5"/>
          <w:sz w:val="24"/>
        </w:rPr>
        <w:t xml:space="preserve"> </w:t>
      </w:r>
      <w:r>
        <w:rPr>
          <w:sz w:val="24"/>
        </w:rPr>
        <w:t>scores,</w:t>
      </w:r>
      <w:r>
        <w:rPr>
          <w:spacing w:val="-5"/>
          <w:sz w:val="24"/>
        </w:rPr>
        <w:t xml:space="preserve"> </w:t>
      </w:r>
      <w:r>
        <w:rPr>
          <w:sz w:val="24"/>
        </w:rPr>
        <w:t>CMS</w:t>
      </w:r>
      <w:r>
        <w:rPr>
          <w:spacing w:val="-2"/>
          <w:sz w:val="24"/>
        </w:rPr>
        <w:t xml:space="preserve"> </w:t>
      </w:r>
      <w:r>
        <w:rPr>
          <w:sz w:val="24"/>
        </w:rPr>
        <w:t>revenue,</w:t>
      </w:r>
      <w:r>
        <w:rPr>
          <w:spacing w:val="-5"/>
          <w:sz w:val="24"/>
        </w:rPr>
        <w:t xml:space="preserve"> </w:t>
      </w:r>
      <w:r>
        <w:rPr>
          <w:sz w:val="24"/>
        </w:rPr>
        <w:t>Part</w:t>
      </w:r>
      <w:r>
        <w:rPr>
          <w:spacing w:val="-5"/>
          <w:sz w:val="24"/>
        </w:rPr>
        <w:t xml:space="preserve"> </w:t>
      </w:r>
      <w:r>
        <w:rPr>
          <w:sz w:val="24"/>
        </w:rPr>
        <w:t>D</w:t>
      </w:r>
      <w:r>
        <w:rPr>
          <w:spacing w:val="-6"/>
          <w:sz w:val="24"/>
        </w:rPr>
        <w:t xml:space="preserve"> </w:t>
      </w:r>
      <w:r>
        <w:rPr>
          <w:sz w:val="24"/>
        </w:rPr>
        <w:t>premium, claims expense, non-benefit expenses, and gain/loss margin.</w:t>
      </w:r>
    </w:p>
    <w:p>
      <w:pPr>
        <w:pStyle w:val="ListParagraph"/>
        <w:numPr>
          <w:ilvl w:val="3"/>
          <w:numId w:val="4"/>
        </w:numPr>
        <w:tabs>
          <w:tab w:val="left" w:pos="2295"/>
        </w:tabs>
        <w:spacing w:before="41" w:after="0" w:line="240" w:lineRule="auto"/>
        <w:ind w:left="2295" w:right="650" w:hanging="360"/>
        <w:jc w:val="left"/>
        <w:rPr>
          <w:sz w:val="24"/>
        </w:rPr>
      </w:pPr>
      <w:r>
        <w:rPr>
          <w:sz w:val="24"/>
        </w:rPr>
        <w:t>Projected</w:t>
      </w:r>
      <w:r>
        <w:rPr>
          <w:spacing w:val="-4"/>
          <w:sz w:val="24"/>
        </w:rPr>
        <w:t xml:space="preserve"> </w:t>
      </w:r>
      <w:r>
        <w:rPr>
          <w:sz w:val="24"/>
        </w:rPr>
        <w:t>gain/loss</w:t>
      </w:r>
      <w:r>
        <w:rPr>
          <w:spacing w:val="-4"/>
          <w:sz w:val="24"/>
        </w:rPr>
        <w:t xml:space="preserve"> </w:t>
      </w:r>
      <w:r>
        <w:rPr>
          <w:sz w:val="24"/>
        </w:rPr>
        <w:t>margin</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percentage</w:t>
      </w:r>
      <w:r>
        <w:rPr>
          <w:spacing w:val="-5"/>
          <w:sz w:val="24"/>
        </w:rPr>
        <w:t xml:space="preserve"> </w:t>
      </w:r>
      <w:r>
        <w:rPr>
          <w:sz w:val="24"/>
        </w:rPr>
        <w:t>of</w:t>
      </w:r>
      <w:r>
        <w:rPr>
          <w:spacing w:val="-4"/>
          <w:sz w:val="24"/>
        </w:rPr>
        <w:t xml:space="preserve"> </w:t>
      </w:r>
      <w:r>
        <w:rPr>
          <w:sz w:val="24"/>
        </w:rPr>
        <w:t>revenue</w:t>
      </w:r>
      <w:r>
        <w:rPr>
          <w:spacing w:val="-5"/>
          <w:sz w:val="24"/>
        </w:rPr>
        <w:t xml:space="preserve"> </w:t>
      </w:r>
      <w:r>
        <w:rPr>
          <w:sz w:val="24"/>
        </w:rPr>
        <w:t>from the</w:t>
      </w:r>
      <w:r>
        <w:rPr>
          <w:spacing w:val="-5"/>
          <w:sz w:val="24"/>
        </w:rPr>
        <w:t xml:space="preserve"> </w:t>
      </w:r>
      <w:r>
        <w:rPr>
          <w:sz w:val="24"/>
        </w:rPr>
        <w:t>previous year’s business plan(s), if applicable.</w:t>
      </w:r>
    </w:p>
    <w:p>
      <w:pPr>
        <w:pStyle w:val="ListParagraph"/>
        <w:numPr>
          <w:ilvl w:val="1"/>
          <w:numId w:val="4"/>
        </w:numPr>
        <w:tabs>
          <w:tab w:val="left" w:pos="1124"/>
        </w:tabs>
        <w:spacing w:before="38" w:after="0" w:line="240" w:lineRule="auto"/>
        <w:ind w:left="1124" w:right="476" w:hanging="540"/>
        <w:jc w:val="left"/>
        <w:rPr>
          <w:sz w:val="24"/>
        </w:rPr>
      </w:pPr>
      <w:r>
        <w:rPr>
          <w:sz w:val="24"/>
        </w:rPr>
        <w:t>A</w:t>
      </w:r>
      <w:r>
        <w:rPr>
          <w:spacing w:val="-4"/>
          <w:sz w:val="24"/>
        </w:rPr>
        <w:t xml:space="preserve"> </w:t>
      </w:r>
      <w:r>
        <w:rPr>
          <w:sz w:val="24"/>
        </w:rPr>
        <w:t>demonstration</w:t>
      </w:r>
      <w:r>
        <w:rPr>
          <w:spacing w:val="-4"/>
          <w:sz w:val="24"/>
        </w:rPr>
        <w:t xml:space="preserve"> </w:t>
      </w:r>
      <w:r>
        <w:rPr>
          <w:sz w:val="24"/>
        </w:rPr>
        <w:t>of</w:t>
      </w:r>
      <w:r>
        <w:rPr>
          <w:spacing w:val="-5"/>
          <w:sz w:val="24"/>
        </w:rPr>
        <w:t xml:space="preserve"> </w:t>
      </w:r>
      <w:r>
        <w:rPr>
          <w:sz w:val="24"/>
        </w:rPr>
        <w:t>consistency</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projected</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actual</w:t>
      </w:r>
      <w:r>
        <w:rPr>
          <w:spacing w:val="-4"/>
          <w:sz w:val="24"/>
        </w:rPr>
        <w:t xml:space="preserve"> </w:t>
      </w:r>
      <w:r>
        <w:rPr>
          <w:sz w:val="24"/>
        </w:rPr>
        <w:t>aggregate Part</w:t>
      </w:r>
      <w:r>
        <w:rPr>
          <w:spacing w:val="-4"/>
          <w:sz w:val="24"/>
        </w:rPr>
        <w:t xml:space="preserve"> </w:t>
      </w:r>
      <w:r>
        <w:rPr>
          <w:sz w:val="24"/>
        </w:rPr>
        <w:t>D gain/loss margins as a percentage of revenue over the long term. This requirement applies separately for (i) Part D plans without corresponding MA plans and (ii) MA- PD plans. Include an explanation of how that knowledge was incorporated into the current bid submission, if the gain/loss margins have been inconsistent historically.</w:t>
      </w:r>
    </w:p>
    <w:p>
      <w:pPr>
        <w:pStyle w:val="ListParagraph"/>
        <w:numPr>
          <w:ilvl w:val="1"/>
          <w:numId w:val="4"/>
        </w:numPr>
        <w:tabs>
          <w:tab w:val="left" w:pos="1124"/>
        </w:tabs>
        <w:spacing w:before="41" w:after="0" w:line="240" w:lineRule="auto"/>
        <w:ind w:left="1124" w:right="520" w:hanging="540"/>
        <w:jc w:val="left"/>
        <w:rPr>
          <w:sz w:val="24"/>
        </w:rPr>
      </w:pPr>
      <w:r>
        <w:rPr>
          <w:sz w:val="24"/>
        </w:rPr>
        <w:t>A</w:t>
      </w:r>
      <w:r>
        <w:rPr>
          <w:spacing w:val="-4"/>
          <w:sz w:val="24"/>
        </w:rPr>
        <w:t xml:space="preserve"> </w:t>
      </w:r>
      <w:r>
        <w:rPr>
          <w:sz w:val="24"/>
        </w:rPr>
        <w:t>detailed</w:t>
      </w:r>
      <w:r>
        <w:rPr>
          <w:spacing w:val="-4"/>
          <w:sz w:val="24"/>
        </w:rPr>
        <w:t xml:space="preserve"> </w:t>
      </w:r>
      <w:r>
        <w:rPr>
          <w:sz w:val="24"/>
        </w:rPr>
        <w:t>justification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need</w:t>
      </w:r>
      <w:r>
        <w:rPr>
          <w:spacing w:val="-2"/>
          <w:sz w:val="24"/>
        </w:rPr>
        <w:t xml:space="preserve"> </w:t>
      </w:r>
      <w:r>
        <w:rPr>
          <w:sz w:val="24"/>
        </w:rPr>
        <w:t>for</w:t>
      </w:r>
      <w:r>
        <w:rPr>
          <w:spacing w:val="-6"/>
          <w:sz w:val="24"/>
        </w:rPr>
        <w:t xml:space="preserve"> </w:t>
      </w:r>
      <w:r>
        <w:rPr>
          <w:sz w:val="24"/>
        </w:rPr>
        <w:t>flexibility</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gain/loss</w:t>
      </w:r>
      <w:r>
        <w:rPr>
          <w:spacing w:val="-4"/>
          <w:sz w:val="24"/>
        </w:rPr>
        <w:t xml:space="preserve"> </w:t>
      </w:r>
      <w:r>
        <w:rPr>
          <w:sz w:val="24"/>
        </w:rPr>
        <w:t>margin</w:t>
      </w:r>
      <w:r>
        <w:rPr>
          <w:spacing w:val="-4"/>
          <w:sz w:val="24"/>
        </w:rPr>
        <w:t xml:space="preserve"> </w:t>
      </w:r>
      <w:r>
        <w:rPr>
          <w:sz w:val="24"/>
        </w:rPr>
        <w:t>requirements in order to satisfy other CMS instructions such as Total Beneficiary Cost (TBC).</w:t>
      </w:r>
    </w:p>
    <w:p>
      <w:pPr>
        <w:pStyle w:val="ListParagraph"/>
        <w:numPr>
          <w:ilvl w:val="1"/>
          <w:numId w:val="4"/>
        </w:numPr>
        <w:tabs>
          <w:tab w:val="left" w:pos="1124"/>
        </w:tabs>
        <w:spacing w:before="41" w:after="0" w:line="240" w:lineRule="auto"/>
        <w:ind w:left="1124" w:right="587" w:hanging="540"/>
        <w:jc w:val="left"/>
        <w:rPr>
          <w:sz w:val="24"/>
        </w:rPr>
      </w:pPr>
      <w:r>
        <w:rPr>
          <w:sz w:val="24"/>
        </w:rPr>
        <w:t>For</w:t>
      </w:r>
      <w:r>
        <w:rPr>
          <w:spacing w:val="-4"/>
          <w:sz w:val="24"/>
        </w:rPr>
        <w:t xml:space="preserve"> </w:t>
      </w:r>
      <w:r>
        <w:rPr>
          <w:sz w:val="24"/>
        </w:rPr>
        <w:t>a</w:t>
      </w:r>
      <w:r>
        <w:rPr>
          <w:spacing w:val="-4"/>
          <w:sz w:val="24"/>
        </w:rPr>
        <w:t xml:space="preserve"> </w:t>
      </w:r>
      <w:r>
        <w:rPr>
          <w:sz w:val="24"/>
        </w:rPr>
        <w:t>Part</w:t>
      </w:r>
      <w:r>
        <w:rPr>
          <w:spacing w:val="-3"/>
          <w:sz w:val="24"/>
        </w:rPr>
        <w:t xml:space="preserve"> </w:t>
      </w:r>
      <w:r>
        <w:rPr>
          <w:sz w:val="24"/>
        </w:rPr>
        <w:t>D</w:t>
      </w:r>
      <w:r>
        <w:rPr>
          <w:spacing w:val="-4"/>
          <w:sz w:val="24"/>
        </w:rPr>
        <w:t xml:space="preserve"> </w:t>
      </w:r>
      <w:r>
        <w:rPr>
          <w:sz w:val="24"/>
        </w:rPr>
        <w:t>plan</w:t>
      </w:r>
      <w:r>
        <w:rPr>
          <w:spacing w:val="-3"/>
          <w:sz w:val="24"/>
        </w:rPr>
        <w:t xml:space="preserve"> </w:t>
      </w:r>
      <w:r>
        <w:rPr>
          <w:sz w:val="24"/>
        </w:rPr>
        <w:t>without</w:t>
      </w:r>
      <w:r>
        <w:rPr>
          <w:spacing w:val="-3"/>
          <w:sz w:val="24"/>
        </w:rPr>
        <w:t xml:space="preserve"> </w:t>
      </w:r>
      <w:r>
        <w:rPr>
          <w:sz w:val="24"/>
        </w:rPr>
        <w:t>corresponding</w:t>
      </w:r>
      <w:r>
        <w:rPr>
          <w:spacing w:val="-3"/>
          <w:sz w:val="24"/>
        </w:rPr>
        <w:t xml:space="preserve"> </w:t>
      </w:r>
      <w:r>
        <w:rPr>
          <w:sz w:val="24"/>
        </w:rPr>
        <w:t>Medicare</w:t>
      </w:r>
      <w:r>
        <w:rPr>
          <w:spacing w:val="-2"/>
          <w:sz w:val="24"/>
        </w:rPr>
        <w:t xml:space="preserve"> </w:t>
      </w:r>
      <w:r>
        <w:rPr>
          <w:sz w:val="24"/>
        </w:rPr>
        <w:t>Advantage</w:t>
      </w:r>
      <w:r>
        <w:rPr>
          <w:spacing w:val="-5"/>
          <w:sz w:val="24"/>
        </w:rPr>
        <w:t xml:space="preserve"> </w:t>
      </w:r>
      <w:r>
        <w:rPr>
          <w:sz w:val="24"/>
        </w:rPr>
        <w:t>plans,</w:t>
      </w:r>
      <w:r>
        <w:rPr>
          <w:spacing w:val="-3"/>
          <w:sz w:val="24"/>
        </w:rPr>
        <w:t xml:space="preserve"> </w:t>
      </w:r>
      <w:r>
        <w:rPr>
          <w:sz w:val="24"/>
        </w:rPr>
        <w:t>support</w:t>
      </w:r>
      <w:r>
        <w:rPr>
          <w:spacing w:val="-3"/>
          <w:sz w:val="24"/>
        </w:rPr>
        <w:t xml:space="preserve"> </w:t>
      </w:r>
      <w:r>
        <w:rPr>
          <w:sz w:val="24"/>
        </w:rPr>
        <w:t>for</w:t>
      </w:r>
      <w:r>
        <w:rPr>
          <w:spacing w:val="-4"/>
          <w:sz w:val="24"/>
        </w:rPr>
        <w:t xml:space="preserve"> </w:t>
      </w:r>
      <w:r>
        <w:rPr>
          <w:sz w:val="24"/>
        </w:rPr>
        <w:t>how the aggregate Part D gain/loss margin does not jeopardize financial solvency, if the</w:t>
      </w:r>
    </w:p>
    <w:p>
      <w:pPr>
        <w:spacing w:after="0" w:line="240" w:lineRule="auto"/>
        <w:jc w:val="left"/>
        <w:rPr>
          <w:sz w:val="24"/>
        </w:rPr>
        <w:sectPr>
          <w:pgSz w:w="12240" w:h="15840"/>
          <w:pgMar w:top="1340" w:right="1000" w:bottom="940" w:left="1360" w:header="727" w:footer="747"/>
          <w:cols w:space="720"/>
        </w:sectPr>
      </w:pPr>
    </w:p>
    <w:p>
      <w:pPr>
        <w:pStyle w:val="BodyText"/>
        <w:spacing w:before="87"/>
        <w:ind w:left="1124" w:right="478"/>
      </w:pPr>
      <w:r>
        <w:t>aggregate</w:t>
      </w:r>
      <w:r>
        <w:rPr>
          <w:spacing w:val="-5"/>
        </w:rPr>
        <w:t xml:space="preserve"> </w:t>
      </w:r>
      <w:r>
        <w:t>Part</w:t>
      </w:r>
      <w:r>
        <w:rPr>
          <w:spacing w:val="-4"/>
        </w:rPr>
        <w:t xml:space="preserve"> </w:t>
      </w:r>
      <w:r>
        <w:t>D</w:t>
      </w:r>
      <w:r>
        <w:rPr>
          <w:spacing w:val="-5"/>
        </w:rPr>
        <w:t xml:space="preserve"> </w:t>
      </w:r>
      <w:r>
        <w:t>gain/loss</w:t>
      </w:r>
      <w:r>
        <w:rPr>
          <w:spacing w:val="-4"/>
        </w:rPr>
        <w:t xml:space="preserve"> </w:t>
      </w:r>
      <w:r>
        <w:t>margin</w:t>
      </w:r>
      <w:r>
        <w:rPr>
          <w:spacing w:val="-4"/>
        </w:rPr>
        <w:t xml:space="preserve"> </w:t>
      </w:r>
      <w:r>
        <w:t>is</w:t>
      </w:r>
      <w:r>
        <w:rPr>
          <w:spacing w:val="-4"/>
        </w:rPr>
        <w:t xml:space="preserve"> </w:t>
      </w:r>
      <w:r>
        <w:t>negative.</w:t>
      </w:r>
      <w:r>
        <w:rPr>
          <w:spacing w:val="-3"/>
        </w:rPr>
        <w:t xml:space="preserve"> </w:t>
      </w:r>
      <w:r>
        <w:t>Quantify</w:t>
      </w:r>
      <w:r>
        <w:rPr>
          <w:spacing w:val="-4"/>
        </w:rPr>
        <w:t xml:space="preserve"> </w:t>
      </w:r>
      <w:r>
        <w:t>the</w:t>
      </w:r>
      <w:r>
        <w:rPr>
          <w:spacing w:val="-6"/>
        </w:rPr>
        <w:t xml:space="preserve"> </w:t>
      </w:r>
      <w:r>
        <w:t>projected</w:t>
      </w:r>
      <w:r>
        <w:rPr>
          <w:spacing w:val="-3"/>
        </w:rPr>
        <w:t xml:space="preserve"> </w:t>
      </w:r>
      <w:r>
        <w:t>aggregate</w:t>
      </w:r>
      <w:r>
        <w:rPr>
          <w:spacing w:val="-4"/>
        </w:rPr>
        <w:t xml:space="preserve"> </w:t>
      </w:r>
      <w:r>
        <w:t>loss and demonstrate numerically that this loss does not jeopardize financial solvency.</w:t>
      </w:r>
    </w:p>
    <w:p>
      <w:pPr>
        <w:pStyle w:val="ListParagraph"/>
        <w:numPr>
          <w:ilvl w:val="1"/>
          <w:numId w:val="4"/>
        </w:numPr>
        <w:tabs>
          <w:tab w:val="left" w:pos="1124"/>
        </w:tabs>
        <w:spacing w:before="41" w:after="0" w:line="240" w:lineRule="auto"/>
        <w:ind w:left="1124" w:right="602" w:hanging="540"/>
        <w:jc w:val="left"/>
        <w:rPr>
          <w:sz w:val="24"/>
        </w:rPr>
      </w:pPr>
      <w:r>
        <w:rPr>
          <w:sz w:val="24"/>
        </w:rPr>
        <w:t>For a</w:t>
      </w:r>
      <w:r>
        <w:rPr>
          <w:spacing w:val="-2"/>
          <w:sz w:val="24"/>
        </w:rPr>
        <w:t xml:space="preserve"> </w:t>
      </w:r>
      <w:r>
        <w:rPr>
          <w:sz w:val="24"/>
        </w:rPr>
        <w:t>Part D</w:t>
      </w:r>
      <w:r>
        <w:rPr>
          <w:spacing w:val="-1"/>
          <w:sz w:val="24"/>
        </w:rPr>
        <w:t xml:space="preserve"> </w:t>
      </w:r>
      <w:r>
        <w:rPr>
          <w:sz w:val="24"/>
        </w:rPr>
        <w:t>plan without a corresponding Medicare</w:t>
      </w:r>
      <w:r>
        <w:rPr>
          <w:spacing w:val="-2"/>
          <w:sz w:val="24"/>
        </w:rPr>
        <w:t xml:space="preserve"> </w:t>
      </w:r>
      <w:r>
        <w:rPr>
          <w:sz w:val="24"/>
        </w:rPr>
        <w:t>Advantage</w:t>
      </w:r>
      <w:r>
        <w:rPr>
          <w:spacing w:val="-1"/>
          <w:sz w:val="24"/>
        </w:rPr>
        <w:t xml:space="preserve"> </w:t>
      </w:r>
      <w:r>
        <w:rPr>
          <w:sz w:val="24"/>
        </w:rPr>
        <w:t>plan, justification of benefit value in relation to the gain/loss margin, if the gain/loss margin as a percentage of revenue at the bid level is greater than 11.5 percent, or if the gain/loss margin</w:t>
      </w:r>
      <w:r>
        <w:rPr>
          <w:spacing w:val="-3"/>
          <w:sz w:val="24"/>
        </w:rPr>
        <w:t xml:space="preserve"> </w:t>
      </w:r>
      <w:r>
        <w:rPr>
          <w:sz w:val="24"/>
        </w:rPr>
        <w:t>as</w:t>
      </w:r>
      <w:r>
        <w:rPr>
          <w:spacing w:val="-3"/>
          <w:sz w:val="24"/>
        </w:rPr>
        <w:t xml:space="preserve"> </w:t>
      </w:r>
      <w:r>
        <w:rPr>
          <w:sz w:val="24"/>
        </w:rPr>
        <w:t>a</w:t>
      </w:r>
      <w:r>
        <w:rPr>
          <w:spacing w:val="-5"/>
          <w:sz w:val="24"/>
        </w:rPr>
        <w:t xml:space="preserve"> </w:t>
      </w:r>
      <w:r>
        <w:rPr>
          <w:sz w:val="24"/>
        </w:rPr>
        <w:t>percentage</w:t>
      </w:r>
      <w:r>
        <w:rPr>
          <w:spacing w:val="-4"/>
          <w:sz w:val="24"/>
        </w:rPr>
        <w:t xml:space="preserve"> </w:t>
      </w:r>
      <w:r>
        <w:rPr>
          <w:sz w:val="24"/>
        </w:rPr>
        <w:t>of</w:t>
      </w:r>
      <w:r>
        <w:rPr>
          <w:spacing w:val="-3"/>
          <w:sz w:val="24"/>
        </w:rPr>
        <w:t xml:space="preserve"> </w:t>
      </w:r>
      <w:r>
        <w:rPr>
          <w:sz w:val="24"/>
        </w:rPr>
        <w:t>revenue</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bid</w:t>
      </w:r>
      <w:r>
        <w:rPr>
          <w:spacing w:val="-3"/>
          <w:sz w:val="24"/>
        </w:rPr>
        <w:t xml:space="preserve"> </w:t>
      </w:r>
      <w:r>
        <w:rPr>
          <w:sz w:val="24"/>
        </w:rPr>
        <w:t>level</w:t>
      </w:r>
      <w:r>
        <w:rPr>
          <w:spacing w:val="-3"/>
          <w:sz w:val="24"/>
        </w:rPr>
        <w:t xml:space="preserve"> </w:t>
      </w:r>
      <w:r>
        <w:rPr>
          <w:sz w:val="24"/>
        </w:rPr>
        <w:t>is</w:t>
      </w:r>
      <w:r>
        <w:rPr>
          <w:spacing w:val="-3"/>
          <w:sz w:val="24"/>
        </w:rPr>
        <w:t xml:space="preserve"> </w:t>
      </w:r>
      <w:r>
        <w:rPr>
          <w:sz w:val="24"/>
        </w:rPr>
        <w:t>less</w:t>
      </w:r>
      <w:r>
        <w:rPr>
          <w:spacing w:val="-3"/>
          <w:sz w:val="24"/>
        </w:rPr>
        <w:t xml:space="preserve"> </w:t>
      </w:r>
      <w:r>
        <w:rPr>
          <w:sz w:val="24"/>
        </w:rPr>
        <w:t>than -10</w:t>
      </w:r>
      <w:r>
        <w:rPr>
          <w:spacing w:val="-3"/>
          <w:sz w:val="24"/>
        </w:rPr>
        <w:t xml:space="preserve"> </w:t>
      </w:r>
      <w:r>
        <w:rPr>
          <w:sz w:val="24"/>
        </w:rPr>
        <w:t>percent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bid has existed since CY2022. The required elements include—</w:t>
      </w:r>
    </w:p>
    <w:p>
      <w:pPr>
        <w:pStyle w:val="ListParagraph"/>
        <w:numPr>
          <w:ilvl w:val="2"/>
          <w:numId w:val="4"/>
        </w:numPr>
        <w:tabs>
          <w:tab w:val="left" w:pos="1844"/>
        </w:tabs>
        <w:spacing w:before="38" w:after="0" w:line="240" w:lineRule="auto"/>
        <w:ind w:left="1844" w:right="753" w:hanging="720"/>
        <w:jc w:val="left"/>
        <w:rPr>
          <w:sz w:val="24"/>
        </w:rPr>
      </w:pPr>
      <w:r>
        <w:rPr>
          <w:sz w:val="24"/>
        </w:rPr>
        <w:t>A</w:t>
      </w:r>
      <w:r>
        <w:rPr>
          <w:spacing w:val="-4"/>
          <w:sz w:val="24"/>
        </w:rPr>
        <w:t xml:space="preserve"> </w:t>
      </w:r>
      <w:r>
        <w:rPr>
          <w:sz w:val="24"/>
        </w:rPr>
        <w:t>comparison</w:t>
      </w:r>
      <w:r>
        <w:rPr>
          <w:spacing w:val="-4"/>
          <w:sz w:val="24"/>
        </w:rPr>
        <w:t xml:space="preserve"> </w:t>
      </w:r>
      <w:r>
        <w:rPr>
          <w:sz w:val="24"/>
        </w:rPr>
        <w:t>of</w:t>
      </w:r>
      <w:r>
        <w:rPr>
          <w:spacing w:val="-4"/>
          <w:sz w:val="24"/>
        </w:rPr>
        <w:t xml:space="preserve"> </w:t>
      </w:r>
      <w:r>
        <w:rPr>
          <w:sz w:val="24"/>
        </w:rPr>
        <w:t>premiums</w:t>
      </w:r>
      <w:r>
        <w:rPr>
          <w:spacing w:val="-4"/>
          <w:sz w:val="24"/>
        </w:rPr>
        <w:t xml:space="preserve"> </w:t>
      </w:r>
      <w:r>
        <w:rPr>
          <w:sz w:val="24"/>
        </w:rPr>
        <w:t>for</w:t>
      </w:r>
      <w:r>
        <w:rPr>
          <w:spacing w:val="-5"/>
          <w:sz w:val="24"/>
        </w:rPr>
        <w:t xml:space="preserve"> </w:t>
      </w:r>
      <w:r>
        <w:rPr>
          <w:sz w:val="24"/>
        </w:rPr>
        <w:t>CY2026</w:t>
      </w:r>
      <w:r>
        <w:rPr>
          <w:spacing w:val="-4"/>
          <w:sz w:val="24"/>
        </w:rPr>
        <w:t xml:space="preserve"> </w:t>
      </w:r>
      <w:r>
        <w:rPr>
          <w:sz w:val="24"/>
        </w:rPr>
        <w:t>and</w:t>
      </w:r>
      <w:r>
        <w:rPr>
          <w:spacing w:val="-4"/>
          <w:sz w:val="24"/>
        </w:rPr>
        <w:t xml:space="preserve"> </w:t>
      </w:r>
      <w:r>
        <w:rPr>
          <w:sz w:val="24"/>
        </w:rPr>
        <w:t>CY2025,</w:t>
      </w:r>
      <w:r>
        <w:rPr>
          <w:spacing w:val="-4"/>
          <w:sz w:val="24"/>
        </w:rPr>
        <w:t xml:space="preserve"> </w:t>
      </w:r>
      <w:r>
        <w:rPr>
          <w:sz w:val="24"/>
        </w:rPr>
        <w:t>if</w:t>
      </w:r>
      <w:r>
        <w:rPr>
          <w:spacing w:val="-4"/>
          <w:sz w:val="24"/>
        </w:rPr>
        <w:t xml:space="preserve"> </w:t>
      </w:r>
      <w:r>
        <w:rPr>
          <w:sz w:val="24"/>
        </w:rPr>
        <w:t>applicable.</w:t>
      </w:r>
      <w:r>
        <w:rPr>
          <w:spacing w:val="-3"/>
          <w:sz w:val="24"/>
        </w:rPr>
        <w:t xml:space="preserve"> </w:t>
      </w:r>
      <w:r>
        <w:rPr>
          <w:sz w:val="24"/>
        </w:rPr>
        <w:t>Include the Part D basic premium and Part D supplemental premium.</w:t>
      </w:r>
    </w:p>
    <w:p>
      <w:pPr>
        <w:pStyle w:val="BodyText"/>
        <w:tabs>
          <w:tab w:val="left" w:pos="1124"/>
        </w:tabs>
        <w:spacing w:before="41"/>
        <w:ind w:left="1124" w:right="931" w:hanging="540"/>
      </w:pPr>
      <w:r>
        <w:rPr>
          <w:spacing w:val="-4"/>
        </w:rPr>
        <w:t>8.7</w:t>
      </w:r>
      <w:r>
        <w:tab/>
        <w:t>For</w:t>
      </w:r>
      <w:r>
        <w:rPr>
          <w:spacing w:val="-4"/>
        </w:rPr>
        <w:t xml:space="preserve"> </w:t>
      </w:r>
      <w:r>
        <w:t>an</w:t>
      </w:r>
      <w:r>
        <w:rPr>
          <w:spacing w:val="-3"/>
        </w:rPr>
        <w:t xml:space="preserve"> </w:t>
      </w:r>
      <w:r>
        <w:t>MA-PD</w:t>
      </w:r>
      <w:r>
        <w:rPr>
          <w:spacing w:val="-3"/>
        </w:rPr>
        <w:t xml:space="preserve"> </w:t>
      </w:r>
      <w:r>
        <w:t>plan,</w:t>
      </w:r>
      <w:r>
        <w:rPr>
          <w:spacing w:val="-3"/>
        </w:rPr>
        <w:t xml:space="preserve"> </w:t>
      </w:r>
      <w:r>
        <w:t>a</w:t>
      </w:r>
      <w:r>
        <w:rPr>
          <w:spacing w:val="-4"/>
        </w:rPr>
        <w:t xml:space="preserve"> </w:t>
      </w:r>
      <w:r>
        <w:t>description</w:t>
      </w:r>
      <w:r>
        <w:rPr>
          <w:spacing w:val="-3"/>
        </w:rPr>
        <w:t xml:space="preserve"> </w:t>
      </w:r>
      <w:r>
        <w:t>of</w:t>
      </w:r>
      <w:r>
        <w:rPr>
          <w:spacing w:val="-3"/>
        </w:rPr>
        <w:t xml:space="preserve"> </w:t>
      </w:r>
      <w:r>
        <w:t>the</w:t>
      </w:r>
      <w:r>
        <w:rPr>
          <w:spacing w:val="-5"/>
        </w:rPr>
        <w:t xml:space="preserve"> </w:t>
      </w:r>
      <w:r>
        <w:t>approach</w:t>
      </w:r>
      <w:r>
        <w:rPr>
          <w:spacing w:val="-1"/>
        </w:rPr>
        <w:t xml:space="preserve"> </w:t>
      </w:r>
      <w:r>
        <w:t>for</w:t>
      </w:r>
      <w:r>
        <w:rPr>
          <w:spacing w:val="-5"/>
        </w:rPr>
        <w:t xml:space="preserve"> </w:t>
      </w:r>
      <w:r>
        <w:t>setting</w:t>
      </w:r>
      <w:r>
        <w:rPr>
          <w:spacing w:val="-3"/>
        </w:rPr>
        <w:t xml:space="preserve"> </w:t>
      </w:r>
      <w:r>
        <w:t>the</w:t>
      </w:r>
      <w:r>
        <w:rPr>
          <w:spacing w:val="-1"/>
        </w:rPr>
        <w:t xml:space="preserve"> </w:t>
      </w:r>
      <w:r>
        <w:t>Part</w:t>
      </w:r>
      <w:r>
        <w:rPr>
          <w:spacing w:val="-3"/>
        </w:rPr>
        <w:t xml:space="preserve"> </w:t>
      </w:r>
      <w:r>
        <w:t>D</w:t>
      </w:r>
      <w:r>
        <w:rPr>
          <w:spacing w:val="-4"/>
        </w:rPr>
        <w:t xml:space="preserve"> </w:t>
      </w:r>
      <w:r>
        <w:t>gain/loss margin in relation to the MA gain/loss margin.</w:t>
      </w:r>
    </w:p>
    <w:p>
      <w:pPr>
        <w:pStyle w:val="ListParagraph"/>
        <w:numPr>
          <w:ilvl w:val="0"/>
          <w:numId w:val="4"/>
        </w:numPr>
        <w:tabs>
          <w:tab w:val="left" w:pos="584"/>
        </w:tabs>
        <w:spacing w:before="38" w:after="0" w:line="235" w:lineRule="auto"/>
        <w:ind w:left="584" w:right="623" w:hanging="360"/>
        <w:jc w:val="left"/>
        <w:rPr>
          <w:sz w:val="24"/>
        </w:rPr>
      </w:pPr>
      <w:r>
        <w:rPr>
          <w:sz w:val="24"/>
        </w:rPr>
        <w:t>Detailed</w:t>
      </w:r>
      <w:r>
        <w:rPr>
          <w:spacing w:val="-4"/>
          <w:sz w:val="24"/>
        </w:rPr>
        <w:t xml:space="preserve"> </w:t>
      </w:r>
      <w:r>
        <w:rPr>
          <w:sz w:val="24"/>
        </w:rPr>
        <w:t>support</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development</w:t>
      </w:r>
      <w:r>
        <w:rPr>
          <w:spacing w:val="-4"/>
          <w:sz w:val="24"/>
        </w:rPr>
        <w:t xml:space="preserve"> </w:t>
      </w:r>
      <w:r>
        <w:rPr>
          <w:sz w:val="24"/>
        </w:rPr>
        <w:t>of</w:t>
      </w:r>
      <w:r>
        <w:rPr>
          <w:spacing w:val="-4"/>
          <w:sz w:val="24"/>
        </w:rPr>
        <w:t xml:space="preserve"> </w:t>
      </w:r>
      <w:r>
        <w:rPr>
          <w:sz w:val="24"/>
        </w:rPr>
        <w:t>projected</w:t>
      </w:r>
      <w:r>
        <w:rPr>
          <w:spacing w:val="-3"/>
          <w:sz w:val="24"/>
        </w:rPr>
        <w:t xml:space="preserve"> </w:t>
      </w:r>
      <w:r>
        <w:rPr>
          <w:sz w:val="24"/>
        </w:rPr>
        <w:t>risk</w:t>
      </w:r>
      <w:r>
        <w:rPr>
          <w:spacing w:val="-4"/>
          <w:sz w:val="24"/>
        </w:rPr>
        <w:t xml:space="preserve"> </w:t>
      </w:r>
      <w:r>
        <w:rPr>
          <w:sz w:val="24"/>
        </w:rPr>
        <w:t>scores</w:t>
      </w:r>
      <w:r>
        <w:rPr>
          <w:spacing w:val="-4"/>
          <w:sz w:val="24"/>
        </w:rPr>
        <w:t xml:space="preserve"> </w:t>
      </w:r>
      <w:r>
        <w:rPr>
          <w:sz w:val="24"/>
        </w:rPr>
        <w:t>(Worksheet</w:t>
      </w:r>
      <w:r>
        <w:rPr>
          <w:spacing w:val="-4"/>
          <w:sz w:val="24"/>
        </w:rPr>
        <w:t xml:space="preserve"> </w:t>
      </w:r>
      <w:r>
        <w:rPr>
          <w:sz w:val="24"/>
        </w:rPr>
        <w:t>3).</w:t>
      </w:r>
      <w:r>
        <w:rPr>
          <w:spacing w:val="-1"/>
          <w:sz w:val="24"/>
        </w:rPr>
        <w:t xml:space="preserve"> </w:t>
      </w:r>
      <w:r>
        <w:rPr>
          <w:sz w:val="24"/>
        </w:rPr>
        <w:t>The</w:t>
      </w:r>
      <w:r>
        <w:rPr>
          <w:spacing w:val="-6"/>
          <w:sz w:val="24"/>
        </w:rPr>
        <w:t xml:space="preserve"> </w:t>
      </w:r>
      <w:r>
        <w:rPr>
          <w:sz w:val="24"/>
        </w:rPr>
        <w:t>required elements include—</w:t>
      </w:r>
    </w:p>
    <w:p>
      <w:pPr>
        <w:pStyle w:val="ListParagraph"/>
        <w:numPr>
          <w:ilvl w:val="1"/>
          <w:numId w:val="4"/>
        </w:numPr>
        <w:tabs>
          <w:tab w:val="left" w:pos="1124"/>
        </w:tabs>
        <w:spacing w:before="41" w:after="0" w:line="235" w:lineRule="auto"/>
        <w:ind w:left="1124" w:right="954" w:hanging="540"/>
        <w:jc w:val="left"/>
        <w:rPr>
          <w:sz w:val="24"/>
        </w:rPr>
      </w:pPr>
      <w:r>
        <w:rPr>
          <w:sz w:val="24"/>
        </w:rPr>
        <w:t>A detailed description and corresponding numerical demonstration of the methodology</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develop</w:t>
      </w:r>
      <w:r>
        <w:rPr>
          <w:spacing w:val="-4"/>
          <w:sz w:val="24"/>
        </w:rPr>
        <w:t xml:space="preserve"> </w:t>
      </w:r>
      <w:r>
        <w:rPr>
          <w:sz w:val="24"/>
        </w:rPr>
        <w:t>projected</w:t>
      </w:r>
      <w:r>
        <w:rPr>
          <w:spacing w:val="-4"/>
          <w:sz w:val="24"/>
        </w:rPr>
        <w:t xml:space="preserve"> </w:t>
      </w:r>
      <w:r>
        <w:rPr>
          <w:sz w:val="24"/>
        </w:rPr>
        <w:t>CY2026</w:t>
      </w:r>
      <w:r>
        <w:rPr>
          <w:spacing w:val="-4"/>
          <w:sz w:val="24"/>
        </w:rPr>
        <w:t xml:space="preserve"> </w:t>
      </w:r>
      <w:r>
        <w:rPr>
          <w:sz w:val="24"/>
        </w:rPr>
        <w:t>Part</w:t>
      </w:r>
      <w:r>
        <w:rPr>
          <w:spacing w:val="-4"/>
          <w:sz w:val="24"/>
        </w:rPr>
        <w:t xml:space="preserve"> </w:t>
      </w:r>
      <w:r>
        <w:rPr>
          <w:sz w:val="24"/>
        </w:rPr>
        <w:t>D</w:t>
      </w:r>
      <w:r>
        <w:rPr>
          <w:spacing w:val="-5"/>
          <w:sz w:val="24"/>
        </w:rPr>
        <w:t xml:space="preserve"> </w:t>
      </w:r>
      <w:r>
        <w:rPr>
          <w:sz w:val="24"/>
        </w:rPr>
        <w:t>risk</w:t>
      </w:r>
      <w:r>
        <w:rPr>
          <w:spacing w:val="-4"/>
          <w:sz w:val="24"/>
        </w:rPr>
        <w:t xml:space="preserve"> </w:t>
      </w:r>
      <w:r>
        <w:rPr>
          <w:sz w:val="24"/>
        </w:rPr>
        <w:t>scores,</w:t>
      </w:r>
      <w:r>
        <w:rPr>
          <w:spacing w:val="-4"/>
          <w:sz w:val="24"/>
        </w:rPr>
        <w:t xml:space="preserve"> </w:t>
      </w:r>
      <w:r>
        <w:rPr>
          <w:sz w:val="24"/>
        </w:rPr>
        <w:t>including</w:t>
      </w:r>
      <w:r>
        <w:rPr>
          <w:spacing w:val="-4"/>
          <w:sz w:val="24"/>
        </w:rPr>
        <w:t xml:space="preserve"> </w:t>
      </w:r>
      <w:r>
        <w:rPr>
          <w:sz w:val="24"/>
        </w:rPr>
        <w:t xml:space="preserve">the impact of the assumed mix between low-income subsidy (LIS) and non-LIS </w:t>
      </w:r>
      <w:r>
        <w:rPr>
          <w:spacing w:val="-2"/>
          <w:sz w:val="24"/>
        </w:rPr>
        <w:t>populations.</w:t>
      </w:r>
    </w:p>
    <w:p>
      <w:pPr>
        <w:pStyle w:val="ListParagraph"/>
        <w:numPr>
          <w:ilvl w:val="1"/>
          <w:numId w:val="4"/>
        </w:numPr>
        <w:tabs>
          <w:tab w:val="left" w:pos="1124"/>
        </w:tabs>
        <w:spacing w:before="38" w:after="0" w:line="232" w:lineRule="auto"/>
        <w:ind w:left="1124" w:right="659" w:hanging="540"/>
        <w:jc w:val="left"/>
        <w:rPr>
          <w:sz w:val="24"/>
        </w:rPr>
      </w:pPr>
      <w:r>
        <w:rPr>
          <w:sz w:val="24"/>
        </w:rPr>
        <w:t>A</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rationale</w:t>
      </w:r>
      <w:r>
        <w:rPr>
          <w:spacing w:val="-4"/>
          <w:sz w:val="24"/>
        </w:rPr>
        <w:t xml:space="preserve"> </w:t>
      </w:r>
      <w:r>
        <w:rPr>
          <w:sz w:val="24"/>
        </w:rPr>
        <w:t>for</w:t>
      </w:r>
      <w:r>
        <w:rPr>
          <w:spacing w:val="-3"/>
          <w:sz w:val="24"/>
        </w:rPr>
        <w:t xml:space="preserve"> </w:t>
      </w:r>
      <w:r>
        <w:rPr>
          <w:sz w:val="24"/>
        </w:rPr>
        <w:t>choosing,</w:t>
      </w:r>
      <w:r>
        <w:rPr>
          <w:spacing w:val="-3"/>
          <w:sz w:val="24"/>
        </w:rPr>
        <w:t xml:space="preserve"> </w:t>
      </w:r>
      <w:r>
        <w:rPr>
          <w:sz w:val="24"/>
        </w:rPr>
        <w:t>the</w:t>
      </w:r>
      <w:r>
        <w:rPr>
          <w:spacing w:val="-4"/>
          <w:sz w:val="24"/>
        </w:rPr>
        <w:t xml:space="preserve"> </w:t>
      </w:r>
      <w:r>
        <w:rPr>
          <w:sz w:val="24"/>
        </w:rPr>
        <w:t>source</w:t>
      </w:r>
      <w:r>
        <w:rPr>
          <w:spacing w:val="-5"/>
          <w:sz w:val="24"/>
        </w:rPr>
        <w:t xml:space="preserve"> </w:t>
      </w:r>
      <w:r>
        <w:rPr>
          <w:sz w:val="24"/>
        </w:rPr>
        <w:t>data</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development of the projected CY2026 Part D risk scores, including—</w:t>
      </w:r>
    </w:p>
    <w:p>
      <w:pPr>
        <w:pStyle w:val="ListParagraph"/>
        <w:numPr>
          <w:ilvl w:val="2"/>
          <w:numId w:val="4"/>
        </w:numPr>
        <w:tabs>
          <w:tab w:val="left" w:pos="1844"/>
        </w:tabs>
        <w:spacing w:before="44" w:after="0" w:line="235" w:lineRule="auto"/>
        <w:ind w:left="1844" w:right="534" w:hanging="720"/>
        <w:jc w:val="left"/>
        <w:rPr>
          <w:sz w:val="24"/>
        </w:rPr>
      </w:pPr>
      <w:r>
        <w:rPr>
          <w:sz w:val="24"/>
        </w:rPr>
        <w:t>Identification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source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starting</w:t>
      </w:r>
      <w:r>
        <w:rPr>
          <w:spacing w:val="-3"/>
          <w:sz w:val="24"/>
        </w:rPr>
        <w:t xml:space="preserve"> </w:t>
      </w:r>
      <w:r>
        <w:rPr>
          <w:sz w:val="24"/>
        </w:rPr>
        <w:t>risk</w:t>
      </w:r>
      <w:r>
        <w:rPr>
          <w:spacing w:val="-3"/>
          <w:sz w:val="24"/>
        </w:rPr>
        <w:t xml:space="preserve"> </w:t>
      </w:r>
      <w:r>
        <w:rPr>
          <w:sz w:val="24"/>
        </w:rPr>
        <w:t>score</w:t>
      </w:r>
      <w:r>
        <w:rPr>
          <w:spacing w:val="-5"/>
          <w:sz w:val="24"/>
        </w:rPr>
        <w:t xml:space="preserve"> </w:t>
      </w:r>
      <w:r>
        <w:rPr>
          <w:sz w:val="24"/>
        </w:rPr>
        <w:t>and,</w:t>
      </w:r>
      <w:r>
        <w:rPr>
          <w:spacing w:val="-3"/>
          <w:sz w:val="24"/>
        </w:rPr>
        <w:t xml:space="preserve"> </w:t>
      </w:r>
      <w:r>
        <w:rPr>
          <w:sz w:val="24"/>
        </w:rPr>
        <w:t>if</w:t>
      </w:r>
      <w:r>
        <w:rPr>
          <w:spacing w:val="-3"/>
          <w:sz w:val="24"/>
        </w:rPr>
        <w:t xml:space="preserve"> </w:t>
      </w:r>
      <w:r>
        <w:rPr>
          <w:sz w:val="24"/>
        </w:rPr>
        <w:t>the</w:t>
      </w:r>
      <w:r>
        <w:rPr>
          <w:spacing w:val="-4"/>
          <w:sz w:val="24"/>
        </w:rPr>
        <w:t xml:space="preserve"> </w:t>
      </w:r>
      <w:r>
        <w:rPr>
          <w:sz w:val="24"/>
        </w:rPr>
        <w:t xml:space="preserve">CMS-provided risk scores were not used, an explanation of why the alternative source was </w:t>
      </w:r>
      <w:r>
        <w:rPr>
          <w:spacing w:val="-2"/>
          <w:sz w:val="24"/>
        </w:rPr>
        <w:t>appropriate.</w:t>
      </w:r>
    </w:p>
    <w:p>
      <w:pPr>
        <w:pStyle w:val="ListParagraph"/>
        <w:numPr>
          <w:ilvl w:val="2"/>
          <w:numId w:val="4"/>
        </w:numPr>
        <w:tabs>
          <w:tab w:val="left" w:pos="1844"/>
        </w:tabs>
        <w:spacing w:before="38" w:after="0" w:line="235" w:lineRule="auto"/>
        <w:ind w:left="1844" w:right="740" w:hanging="720"/>
        <w:jc w:val="left"/>
        <w:rPr>
          <w:sz w:val="24"/>
        </w:rPr>
      </w:pPr>
      <w:r>
        <w:rPr>
          <w:sz w:val="24"/>
        </w:rPr>
        <w:t>For an alternative approach, identification of the years used, the population incorporated</w:t>
      </w:r>
      <w:r>
        <w:rPr>
          <w:spacing w:val="-3"/>
          <w:sz w:val="24"/>
        </w:rPr>
        <w:t xml:space="preserve"> </w:t>
      </w:r>
      <w:r>
        <w:rPr>
          <w:sz w:val="24"/>
        </w:rPr>
        <w:t>and</w:t>
      </w:r>
      <w:r>
        <w:rPr>
          <w:spacing w:val="-4"/>
          <w:sz w:val="24"/>
        </w:rPr>
        <w:t xml:space="preserve"> </w:t>
      </w:r>
      <w:r>
        <w:rPr>
          <w:sz w:val="24"/>
        </w:rPr>
        <w:t>any</w:t>
      </w:r>
      <w:r>
        <w:rPr>
          <w:spacing w:val="-4"/>
          <w:sz w:val="24"/>
        </w:rPr>
        <w:t xml:space="preserve"> </w:t>
      </w:r>
      <w:r>
        <w:rPr>
          <w:sz w:val="24"/>
        </w:rPr>
        <w:t>data</w:t>
      </w:r>
      <w:r>
        <w:rPr>
          <w:spacing w:val="-4"/>
          <w:sz w:val="24"/>
        </w:rPr>
        <w:t xml:space="preserve"> </w:t>
      </w:r>
      <w:r>
        <w:rPr>
          <w:sz w:val="24"/>
        </w:rPr>
        <w:t>points</w:t>
      </w:r>
      <w:r>
        <w:rPr>
          <w:spacing w:val="-4"/>
          <w:sz w:val="24"/>
        </w:rPr>
        <w:t xml:space="preserve"> </w:t>
      </w:r>
      <w:r>
        <w:rPr>
          <w:sz w:val="24"/>
        </w:rPr>
        <w:t>used</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basis</w:t>
      </w:r>
      <w:r>
        <w:rPr>
          <w:spacing w:val="-1"/>
          <w:sz w:val="24"/>
        </w:rPr>
        <w:t xml:space="preserve"> </w:t>
      </w:r>
      <w:r>
        <w:rPr>
          <w:sz w:val="24"/>
        </w:rPr>
        <w:t>for</w:t>
      </w:r>
      <w:r>
        <w:rPr>
          <w:spacing w:val="-5"/>
          <w:sz w:val="24"/>
        </w:rPr>
        <w:t xml:space="preserve"> </w:t>
      </w:r>
      <w:r>
        <w:rPr>
          <w:sz w:val="24"/>
        </w:rPr>
        <w:t>developing</w:t>
      </w:r>
      <w:r>
        <w:rPr>
          <w:spacing w:val="-4"/>
          <w:sz w:val="24"/>
        </w:rPr>
        <w:t xml:space="preserve"> </w:t>
      </w:r>
      <w:r>
        <w:rPr>
          <w:sz w:val="24"/>
        </w:rPr>
        <w:t>the</w:t>
      </w:r>
      <w:r>
        <w:rPr>
          <w:spacing w:val="-4"/>
          <w:sz w:val="24"/>
        </w:rPr>
        <w:t xml:space="preserve"> </w:t>
      </w:r>
      <w:r>
        <w:rPr>
          <w:sz w:val="24"/>
        </w:rPr>
        <w:t>CY2026 risk score.</w:t>
      </w:r>
    </w:p>
    <w:p>
      <w:pPr>
        <w:pStyle w:val="ListParagraph"/>
        <w:numPr>
          <w:ilvl w:val="1"/>
          <w:numId w:val="4"/>
        </w:numPr>
        <w:tabs>
          <w:tab w:val="left" w:pos="1015"/>
        </w:tabs>
        <w:spacing w:before="34" w:after="0" w:line="240" w:lineRule="auto"/>
        <w:ind w:left="1015" w:right="0" w:hanging="431"/>
        <w:jc w:val="left"/>
        <w:rPr>
          <w:sz w:val="24"/>
        </w:rPr>
      </w:pPr>
      <w:r>
        <w:rPr>
          <w:sz w:val="24"/>
        </w:rPr>
        <w:t>A</w:t>
      </w:r>
      <w:r>
        <w:rPr>
          <w:spacing w:val="-3"/>
          <w:sz w:val="24"/>
        </w:rPr>
        <w:t xml:space="preserve"> </w:t>
      </w:r>
      <w:r>
        <w:rPr>
          <w:sz w:val="24"/>
        </w:rPr>
        <w:t>description</w:t>
      </w:r>
      <w:r>
        <w:rPr>
          <w:spacing w:val="-1"/>
          <w:sz w:val="24"/>
        </w:rPr>
        <w:t xml:space="preserve"> </w:t>
      </w:r>
      <w:r>
        <w:rPr>
          <w:sz w:val="24"/>
        </w:rPr>
        <w:t>of</w:t>
      </w:r>
      <w:r>
        <w:rPr>
          <w:spacing w:val="-1"/>
          <w:sz w:val="24"/>
        </w:rPr>
        <w:t xml:space="preserve"> </w:t>
      </w:r>
      <w:r>
        <w:rPr>
          <w:sz w:val="24"/>
        </w:rPr>
        <w:t>the methodology</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derive</w:t>
      </w:r>
      <w:r>
        <w:rPr>
          <w:spacing w:val="-2"/>
          <w:sz w:val="24"/>
        </w:rPr>
        <w:t xml:space="preserve"> </w:t>
      </w:r>
      <w:r>
        <w:rPr>
          <w:sz w:val="24"/>
        </w:rPr>
        <w:t>each</w:t>
      </w:r>
      <w:r>
        <w:rPr>
          <w:spacing w:val="-1"/>
          <w:sz w:val="24"/>
        </w:rPr>
        <w:t xml:space="preserve"> </w:t>
      </w:r>
      <w:r>
        <w:rPr>
          <w:sz w:val="24"/>
        </w:rPr>
        <w:t>projection</w:t>
      </w:r>
      <w:r>
        <w:rPr>
          <w:spacing w:val="-1"/>
          <w:sz w:val="24"/>
        </w:rPr>
        <w:t xml:space="preserve"> </w:t>
      </w:r>
      <w:r>
        <w:rPr>
          <w:sz w:val="24"/>
        </w:rPr>
        <w:t xml:space="preserve">factor, </w:t>
      </w:r>
      <w:r>
        <w:rPr>
          <w:spacing w:val="-2"/>
          <w:sz w:val="24"/>
        </w:rPr>
        <w:t>including—</w:t>
      </w:r>
    </w:p>
    <w:p>
      <w:pPr>
        <w:pStyle w:val="ListParagraph"/>
        <w:numPr>
          <w:ilvl w:val="2"/>
          <w:numId w:val="4"/>
        </w:numPr>
        <w:tabs>
          <w:tab w:val="left" w:pos="1844"/>
        </w:tabs>
        <w:spacing w:before="43" w:after="0" w:line="232" w:lineRule="auto"/>
        <w:ind w:left="1844" w:right="571" w:hanging="720"/>
        <w:jc w:val="left"/>
        <w:rPr>
          <w:sz w:val="24"/>
        </w:rPr>
      </w:pPr>
      <w:r>
        <w:rPr>
          <w:sz w:val="24"/>
        </w:rPr>
        <w:t>A</w:t>
      </w:r>
      <w:r>
        <w:rPr>
          <w:spacing w:val="-3"/>
          <w:sz w:val="24"/>
        </w:rPr>
        <w:t xml:space="preserve"> </w:t>
      </w:r>
      <w:r>
        <w:rPr>
          <w:sz w:val="24"/>
        </w:rPr>
        <w:t>summary</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consideration</w:t>
      </w:r>
      <w:r>
        <w:rPr>
          <w:spacing w:val="-3"/>
          <w:sz w:val="24"/>
        </w:rPr>
        <w:t xml:space="preserve"> </w:t>
      </w:r>
      <w:r>
        <w:rPr>
          <w:sz w:val="24"/>
        </w:rPr>
        <w:t>for</w:t>
      </w:r>
      <w:r>
        <w:rPr>
          <w:spacing w:val="-3"/>
          <w:sz w:val="24"/>
        </w:rPr>
        <w:t xml:space="preserve"> </w:t>
      </w:r>
      <w:r>
        <w:rPr>
          <w:sz w:val="24"/>
        </w:rPr>
        <w:t>using</w:t>
      </w:r>
      <w:r>
        <w:rPr>
          <w:spacing w:val="-3"/>
          <w:sz w:val="24"/>
        </w:rPr>
        <w:t xml:space="preserve"> </w:t>
      </w:r>
      <w:r>
        <w:rPr>
          <w:sz w:val="24"/>
        </w:rPr>
        <w:t>or</w:t>
      </w:r>
      <w:r>
        <w:rPr>
          <w:spacing w:val="-4"/>
          <w:sz w:val="24"/>
        </w:rPr>
        <w:t xml:space="preserve"> </w:t>
      </w:r>
      <w:r>
        <w:rPr>
          <w:sz w:val="24"/>
        </w:rPr>
        <w:t>not</w:t>
      </w:r>
      <w:r>
        <w:rPr>
          <w:spacing w:val="-3"/>
          <w:sz w:val="24"/>
        </w:rPr>
        <w:t xml:space="preserve"> </w:t>
      </w:r>
      <w:r>
        <w:rPr>
          <w:sz w:val="24"/>
        </w:rPr>
        <w:t>using</w:t>
      </w:r>
      <w:r>
        <w:rPr>
          <w:spacing w:val="-3"/>
          <w:sz w:val="24"/>
        </w:rPr>
        <w:t xml:space="preserve"> </w:t>
      </w:r>
      <w:r>
        <w:rPr>
          <w:sz w:val="24"/>
        </w:rPr>
        <w:t>the</w:t>
      </w:r>
      <w:r>
        <w:rPr>
          <w:spacing w:val="-4"/>
          <w:sz w:val="24"/>
        </w:rPr>
        <w:t xml:space="preserve"> </w:t>
      </w:r>
      <w:r>
        <w:rPr>
          <w:sz w:val="24"/>
        </w:rPr>
        <w:t>projection</w:t>
      </w:r>
      <w:r>
        <w:rPr>
          <w:spacing w:val="-3"/>
          <w:sz w:val="24"/>
        </w:rPr>
        <w:t xml:space="preserve"> </w:t>
      </w:r>
      <w:r>
        <w:rPr>
          <w:sz w:val="24"/>
        </w:rPr>
        <w:t>factor;</w:t>
      </w:r>
      <w:r>
        <w:rPr>
          <w:spacing w:val="-3"/>
          <w:sz w:val="24"/>
        </w:rPr>
        <w:t xml:space="preserve"> </w:t>
      </w:r>
      <w:r>
        <w:rPr>
          <w:sz w:val="24"/>
        </w:rPr>
        <w:t>a description of and the rationale for choosing the source data; and the data points used in the derivation of the projection factor.</w:t>
      </w:r>
    </w:p>
    <w:p>
      <w:pPr>
        <w:pStyle w:val="ListParagraph"/>
        <w:numPr>
          <w:ilvl w:val="2"/>
          <w:numId w:val="4"/>
        </w:numPr>
        <w:tabs>
          <w:tab w:val="left" w:pos="1844"/>
        </w:tabs>
        <w:spacing w:before="46" w:after="0" w:line="232" w:lineRule="auto"/>
        <w:ind w:left="1844" w:right="778" w:hanging="720"/>
        <w:jc w:val="left"/>
        <w:rPr>
          <w:sz w:val="24"/>
        </w:rPr>
      </w:pPr>
      <w:r>
        <w:rPr>
          <w:sz w:val="24"/>
        </w:rPr>
        <w:t>For the bid-specific coding trend, a statement about the risk score years utilized,</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6"/>
          <w:sz w:val="24"/>
        </w:rPr>
        <w:t xml:space="preserve"> </w:t>
      </w:r>
      <w:r>
        <w:rPr>
          <w:sz w:val="24"/>
        </w:rPr>
        <w:t>years</w:t>
      </w:r>
      <w:r>
        <w:rPr>
          <w:spacing w:val="-4"/>
          <w:sz w:val="24"/>
        </w:rPr>
        <w:t xml:space="preserve"> </w:t>
      </w:r>
      <w:r>
        <w:rPr>
          <w:sz w:val="24"/>
        </w:rPr>
        <w:t>used</w:t>
      </w:r>
      <w:r>
        <w:rPr>
          <w:spacing w:val="-2"/>
          <w:sz w:val="24"/>
        </w:rPr>
        <w:t xml:space="preserve"> </w:t>
      </w:r>
      <w:r>
        <w:rPr>
          <w:sz w:val="24"/>
        </w:rPr>
        <w:t>and</w:t>
      </w:r>
      <w:r>
        <w:rPr>
          <w:spacing w:val="-4"/>
          <w:sz w:val="24"/>
        </w:rPr>
        <w:t xml:space="preserve"> </w:t>
      </w:r>
      <w:r>
        <w:rPr>
          <w:sz w:val="24"/>
        </w:rPr>
        <w:t>whether</w:t>
      </w:r>
      <w:r>
        <w:rPr>
          <w:spacing w:val="-4"/>
          <w:sz w:val="24"/>
        </w:rPr>
        <w:t xml:space="preserve"> </w:t>
      </w:r>
      <w:r>
        <w:rPr>
          <w:sz w:val="24"/>
        </w:rPr>
        <w:t>the</w:t>
      </w:r>
      <w:r>
        <w:rPr>
          <w:spacing w:val="-5"/>
          <w:sz w:val="24"/>
        </w:rPr>
        <w:t xml:space="preserve"> </w:t>
      </w:r>
      <w:r>
        <w:rPr>
          <w:sz w:val="24"/>
        </w:rPr>
        <w:t>scores</w:t>
      </w:r>
      <w:r>
        <w:rPr>
          <w:spacing w:val="-2"/>
          <w:sz w:val="24"/>
        </w:rPr>
        <w:t xml:space="preserve"> </w:t>
      </w:r>
      <w:r>
        <w:rPr>
          <w:sz w:val="24"/>
        </w:rPr>
        <w:t>are</w:t>
      </w:r>
      <w:r>
        <w:rPr>
          <w:spacing w:val="-6"/>
          <w:sz w:val="24"/>
        </w:rPr>
        <w:t xml:space="preserve"> </w:t>
      </w:r>
      <w:r>
        <w:rPr>
          <w:sz w:val="24"/>
        </w:rPr>
        <w:t>normalized</w:t>
      </w:r>
      <w:r>
        <w:rPr>
          <w:spacing w:val="-4"/>
          <w:sz w:val="24"/>
        </w:rPr>
        <w:t xml:space="preserve"> </w:t>
      </w:r>
      <w:r>
        <w:rPr>
          <w:sz w:val="24"/>
        </w:rPr>
        <w:t xml:space="preserve">or </w:t>
      </w:r>
      <w:r>
        <w:rPr>
          <w:spacing w:val="-4"/>
          <w:sz w:val="24"/>
        </w:rPr>
        <w:t>raw.</w:t>
      </w:r>
    </w:p>
    <w:p>
      <w:pPr>
        <w:pStyle w:val="ListParagraph"/>
        <w:numPr>
          <w:ilvl w:val="1"/>
          <w:numId w:val="4"/>
        </w:numPr>
        <w:tabs>
          <w:tab w:val="left" w:pos="1124"/>
        </w:tabs>
        <w:spacing w:before="47" w:after="0" w:line="232" w:lineRule="auto"/>
        <w:ind w:left="1124" w:right="922" w:hanging="540"/>
        <w:jc w:val="both"/>
        <w:rPr>
          <w:sz w:val="24"/>
        </w:rPr>
      </w:pPr>
      <w:r>
        <w:rPr>
          <w:sz w:val="24"/>
        </w:rPr>
        <w:t>A statement about the consistency between the development of the projected risk scores</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plan</w:t>
      </w:r>
      <w:r>
        <w:rPr>
          <w:spacing w:val="-4"/>
          <w:sz w:val="24"/>
        </w:rPr>
        <w:t xml:space="preserve"> </w:t>
      </w:r>
      <w:r>
        <w:rPr>
          <w:sz w:val="24"/>
        </w:rPr>
        <w:t>population</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development</w:t>
      </w:r>
      <w:r>
        <w:rPr>
          <w:spacing w:val="-4"/>
          <w:sz w:val="24"/>
        </w:rPr>
        <w:t xml:space="preserve"> </w:t>
      </w:r>
      <w:r>
        <w:rPr>
          <w:sz w:val="24"/>
        </w:rPr>
        <w:t>of</w:t>
      </w:r>
      <w:r>
        <w:rPr>
          <w:spacing w:val="-2"/>
          <w:sz w:val="24"/>
        </w:rPr>
        <w:t xml:space="preserve"> </w:t>
      </w:r>
      <w:r>
        <w:rPr>
          <w:sz w:val="24"/>
        </w:rPr>
        <w:t>projected</w:t>
      </w:r>
      <w:r>
        <w:rPr>
          <w:spacing w:val="-4"/>
          <w:sz w:val="24"/>
        </w:rPr>
        <w:t xml:space="preserve"> </w:t>
      </w:r>
      <w:r>
        <w:rPr>
          <w:sz w:val="24"/>
        </w:rPr>
        <w:t>prescription</w:t>
      </w:r>
      <w:r>
        <w:rPr>
          <w:spacing w:val="-4"/>
          <w:sz w:val="24"/>
        </w:rPr>
        <w:t xml:space="preserve"> </w:t>
      </w:r>
      <w:r>
        <w:rPr>
          <w:sz w:val="24"/>
        </w:rPr>
        <w:t xml:space="preserve">drug </w:t>
      </w:r>
      <w:r>
        <w:rPr>
          <w:spacing w:val="-2"/>
          <w:sz w:val="24"/>
        </w:rPr>
        <w:t>expenses.</w:t>
      </w:r>
    </w:p>
    <w:p>
      <w:pPr>
        <w:pStyle w:val="ListParagraph"/>
        <w:numPr>
          <w:ilvl w:val="1"/>
          <w:numId w:val="4"/>
        </w:numPr>
        <w:tabs>
          <w:tab w:val="left" w:pos="1124"/>
        </w:tabs>
        <w:spacing w:before="44" w:after="0" w:line="235" w:lineRule="auto"/>
        <w:ind w:left="1124" w:right="514" w:hanging="540"/>
        <w:jc w:val="left"/>
        <w:rPr>
          <w:sz w:val="24"/>
        </w:rPr>
      </w:pPr>
      <w:r>
        <w:rPr>
          <w:sz w:val="24"/>
        </w:rPr>
        <w:t>For</w:t>
      </w:r>
      <w:r>
        <w:rPr>
          <w:spacing w:val="-3"/>
          <w:sz w:val="24"/>
        </w:rPr>
        <w:t xml:space="preserve"> </w:t>
      </w:r>
      <w:r>
        <w:rPr>
          <w:sz w:val="24"/>
        </w:rPr>
        <w:t>an</w:t>
      </w:r>
      <w:r>
        <w:rPr>
          <w:spacing w:val="-2"/>
          <w:sz w:val="24"/>
        </w:rPr>
        <w:t xml:space="preserve"> </w:t>
      </w:r>
      <w:r>
        <w:rPr>
          <w:sz w:val="24"/>
        </w:rPr>
        <w:t>alternate</w:t>
      </w:r>
      <w:r>
        <w:rPr>
          <w:spacing w:val="-4"/>
          <w:sz w:val="24"/>
        </w:rPr>
        <w:t xml:space="preserve"> </w:t>
      </w:r>
      <w:r>
        <w:rPr>
          <w:sz w:val="24"/>
        </w:rPr>
        <w:t>approach,</w:t>
      </w:r>
      <w:r>
        <w:rPr>
          <w:spacing w:val="-3"/>
          <w:sz w:val="24"/>
        </w:rPr>
        <w:t xml:space="preserve"> </w:t>
      </w:r>
      <w:r>
        <w:rPr>
          <w:sz w:val="24"/>
        </w:rPr>
        <w:t>a</w:t>
      </w:r>
      <w:r>
        <w:rPr>
          <w:spacing w:val="-3"/>
          <w:sz w:val="24"/>
        </w:rPr>
        <w:t xml:space="preserve"> </w:t>
      </w:r>
      <w:r>
        <w:rPr>
          <w:sz w:val="24"/>
        </w:rPr>
        <w:t>demonstration</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method</w:t>
      </w:r>
      <w:r>
        <w:rPr>
          <w:spacing w:val="-3"/>
          <w:sz w:val="24"/>
        </w:rPr>
        <w:t xml:space="preserve"> </w:t>
      </w:r>
      <w:r>
        <w:rPr>
          <w:sz w:val="24"/>
        </w:rPr>
        <w:t>used</w:t>
      </w:r>
      <w:r>
        <w:rPr>
          <w:spacing w:val="-3"/>
          <w:sz w:val="24"/>
        </w:rPr>
        <w:t xml:space="preserve"> </w:t>
      </w:r>
      <w:r>
        <w:rPr>
          <w:sz w:val="24"/>
        </w:rPr>
        <w:t>is</w:t>
      </w:r>
      <w:r>
        <w:rPr>
          <w:spacing w:val="-3"/>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 preferred development approach in these Instructions, including an explanation of why such method is more appropriate than the CMS preferred approach.</w:t>
      </w:r>
    </w:p>
    <w:p>
      <w:pPr>
        <w:pStyle w:val="ListParagraph"/>
        <w:numPr>
          <w:ilvl w:val="1"/>
          <w:numId w:val="4"/>
        </w:numPr>
        <w:tabs>
          <w:tab w:val="left" w:pos="1123"/>
        </w:tabs>
        <w:spacing w:before="34" w:after="0" w:line="240" w:lineRule="auto"/>
        <w:ind w:left="1123" w:right="0" w:hanging="539"/>
        <w:jc w:val="left"/>
        <w:rPr>
          <w:sz w:val="24"/>
        </w:rPr>
      </w:pPr>
      <w:r>
        <w:rPr>
          <w:sz w:val="24"/>
        </w:rPr>
        <w:t>A</w:t>
      </w:r>
      <w:r>
        <w:rPr>
          <w:spacing w:val="-3"/>
          <w:sz w:val="24"/>
        </w:rPr>
        <w:t xml:space="preserve"> </w:t>
      </w:r>
      <w:r>
        <w:rPr>
          <w:sz w:val="24"/>
        </w:rPr>
        <w:t>statement</w:t>
      </w:r>
      <w:r>
        <w:rPr>
          <w:spacing w:val="-1"/>
          <w:sz w:val="24"/>
        </w:rPr>
        <w:t xml:space="preserve"> </w:t>
      </w:r>
      <w:r>
        <w:rPr>
          <w:sz w:val="24"/>
        </w:rPr>
        <w:t>of</w:t>
      </w:r>
      <w:r>
        <w:rPr>
          <w:spacing w:val="-1"/>
          <w:sz w:val="24"/>
        </w:rPr>
        <w:t xml:space="preserve"> </w:t>
      </w:r>
      <w:r>
        <w:rPr>
          <w:sz w:val="24"/>
        </w:rPr>
        <w:t>the credibility</w:t>
      </w:r>
      <w:r>
        <w:rPr>
          <w:spacing w:val="-1"/>
          <w:sz w:val="24"/>
        </w:rPr>
        <w:t xml:space="preserve"> </w:t>
      </w:r>
      <w:r>
        <w:rPr>
          <w:sz w:val="24"/>
        </w:rPr>
        <w:t>approach</w:t>
      </w:r>
      <w:r>
        <w:rPr>
          <w:spacing w:val="-1"/>
          <w:sz w:val="24"/>
        </w:rPr>
        <w:t xml:space="preserve"> </w:t>
      </w:r>
      <w:r>
        <w:rPr>
          <w:sz w:val="24"/>
        </w:rPr>
        <w:t>used—for</w:t>
      </w:r>
      <w:r>
        <w:rPr>
          <w:spacing w:val="1"/>
          <w:sz w:val="24"/>
        </w:rPr>
        <w:t xml:space="preserve"> </w:t>
      </w:r>
      <w:r>
        <w:rPr>
          <w:sz w:val="24"/>
        </w:rPr>
        <w:t>example,</w:t>
      </w:r>
      <w:r>
        <w:rPr>
          <w:spacing w:val="-1"/>
          <w:sz w:val="24"/>
        </w:rPr>
        <w:t xml:space="preserve"> </w:t>
      </w:r>
      <w:r>
        <w:rPr>
          <w:sz w:val="24"/>
        </w:rPr>
        <w:t>the</w:t>
      </w:r>
      <w:r>
        <w:rPr>
          <w:spacing w:val="-1"/>
          <w:sz w:val="24"/>
        </w:rPr>
        <w:t xml:space="preserve"> </w:t>
      </w:r>
      <w:r>
        <w:rPr>
          <w:sz w:val="24"/>
        </w:rPr>
        <w:t xml:space="preserve">CMS </w:t>
      </w:r>
      <w:r>
        <w:rPr>
          <w:spacing w:val="-2"/>
          <w:sz w:val="24"/>
        </w:rPr>
        <w:t>guidelines.</w:t>
      </w:r>
    </w:p>
    <w:p>
      <w:pPr>
        <w:pStyle w:val="ListParagraph"/>
        <w:numPr>
          <w:ilvl w:val="1"/>
          <w:numId w:val="4"/>
        </w:numPr>
        <w:tabs>
          <w:tab w:val="left" w:pos="1124"/>
        </w:tabs>
        <w:spacing w:before="41" w:after="0" w:line="232" w:lineRule="auto"/>
        <w:ind w:left="1124" w:right="1488" w:hanging="540"/>
        <w:jc w:val="left"/>
        <w:rPr>
          <w:sz w:val="24"/>
        </w:rPr>
      </w:pPr>
      <w:r>
        <w:rPr>
          <w:sz w:val="24"/>
        </w:rPr>
        <w:t>A</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credibility</w:t>
      </w:r>
      <w:r>
        <w:rPr>
          <w:spacing w:val="-3"/>
          <w:sz w:val="24"/>
        </w:rPr>
        <w:t xml:space="preserve"> </w:t>
      </w:r>
      <w:r>
        <w:rPr>
          <w:sz w:val="24"/>
        </w:rPr>
        <w:t>methodology</w:t>
      </w:r>
      <w:r>
        <w:rPr>
          <w:spacing w:val="-3"/>
          <w:sz w:val="24"/>
        </w:rPr>
        <w:t xml:space="preserve"> </w:t>
      </w:r>
      <w:r>
        <w:rPr>
          <w:sz w:val="24"/>
        </w:rPr>
        <w:t>used</w:t>
      </w:r>
      <w:r>
        <w:rPr>
          <w:spacing w:val="-6"/>
          <w:sz w:val="24"/>
        </w:rPr>
        <w:t xml:space="preserve"> </w:t>
      </w:r>
      <w:r>
        <w:rPr>
          <w:sz w:val="24"/>
        </w:rPr>
        <w:t>if</w:t>
      </w:r>
      <w:r>
        <w:rPr>
          <w:spacing w:val="-3"/>
          <w:sz w:val="24"/>
        </w:rPr>
        <w:t xml:space="preserve"> </w:t>
      </w:r>
      <w:r>
        <w:rPr>
          <w:sz w:val="24"/>
        </w:rPr>
        <w:t>it</w:t>
      </w:r>
      <w:r>
        <w:rPr>
          <w:spacing w:val="-3"/>
          <w:sz w:val="24"/>
        </w:rPr>
        <w:t xml:space="preserve"> </w:t>
      </w:r>
      <w:r>
        <w:rPr>
          <w:sz w:val="24"/>
        </w:rPr>
        <w:t>varies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 xml:space="preserve">CMS </w:t>
      </w:r>
      <w:r>
        <w:rPr>
          <w:spacing w:val="-2"/>
          <w:sz w:val="24"/>
        </w:rPr>
        <w:t>guidelines.</w:t>
      </w:r>
    </w:p>
    <w:p>
      <w:pPr>
        <w:pStyle w:val="BodyText"/>
        <w:spacing w:before="125"/>
        <w:ind w:left="224" w:right="478"/>
      </w:pPr>
      <w:r>
        <w:t>The</w:t>
      </w:r>
      <w:r>
        <w:rPr>
          <w:spacing w:val="-6"/>
        </w:rPr>
        <w:t xml:space="preserve"> </w:t>
      </w:r>
      <w:r>
        <w:t>following</w:t>
      </w:r>
      <w:r>
        <w:rPr>
          <w:spacing w:val="-4"/>
        </w:rPr>
        <w:t xml:space="preserve"> </w:t>
      </w:r>
      <w:r>
        <w:t>documentation</w:t>
      </w:r>
      <w:r>
        <w:rPr>
          <w:spacing w:val="-4"/>
        </w:rPr>
        <w:t xml:space="preserve"> </w:t>
      </w:r>
      <w:r>
        <w:t>requirements</w:t>
      </w:r>
      <w:r>
        <w:rPr>
          <w:spacing w:val="-3"/>
        </w:rPr>
        <w:t xml:space="preserve"> </w:t>
      </w:r>
      <w:r>
        <w:t>apply</w:t>
      </w:r>
      <w:r>
        <w:rPr>
          <w:spacing w:val="-2"/>
        </w:rPr>
        <w:t xml:space="preserve"> </w:t>
      </w:r>
      <w:r>
        <w:t>to</w:t>
      </w:r>
      <w:r>
        <w:rPr>
          <w:spacing w:val="-4"/>
        </w:rPr>
        <w:t xml:space="preserve"> </w:t>
      </w:r>
      <w:r>
        <w:t>all</w:t>
      </w:r>
      <w:r>
        <w:rPr>
          <w:spacing w:val="-4"/>
        </w:rPr>
        <w:t xml:space="preserve"> </w:t>
      </w:r>
      <w:r>
        <w:t>bids</w:t>
      </w:r>
      <w:r>
        <w:rPr>
          <w:spacing w:val="-4"/>
        </w:rPr>
        <w:t xml:space="preserve"> </w:t>
      </w:r>
      <w:r>
        <w:t>that</w:t>
      </w:r>
      <w:r>
        <w:rPr>
          <w:spacing w:val="-3"/>
        </w:rPr>
        <w:t xml:space="preserve"> </w:t>
      </w:r>
      <w:r>
        <w:t>contain</w:t>
      </w:r>
      <w:r>
        <w:rPr>
          <w:spacing w:val="-4"/>
        </w:rPr>
        <w:t xml:space="preserve"> </w:t>
      </w:r>
      <w:r>
        <w:t>these</w:t>
      </w:r>
      <w:r>
        <w:rPr>
          <w:spacing w:val="-5"/>
        </w:rPr>
        <w:t xml:space="preserve"> </w:t>
      </w:r>
      <w:r>
        <w:t xml:space="preserve">specified </w:t>
      </w:r>
      <w:r>
        <w:rPr>
          <w:spacing w:val="-2"/>
        </w:rPr>
        <w:t>assumptions:</w:t>
      </w:r>
    </w:p>
    <w:p>
      <w:pPr>
        <w:pStyle w:val="ListParagraph"/>
        <w:numPr>
          <w:ilvl w:val="0"/>
          <w:numId w:val="4"/>
        </w:numPr>
        <w:tabs>
          <w:tab w:val="left" w:pos="584"/>
        </w:tabs>
        <w:spacing w:before="112" w:after="0" w:line="240" w:lineRule="auto"/>
        <w:ind w:left="584" w:right="0" w:hanging="360"/>
        <w:jc w:val="left"/>
        <w:rPr>
          <w:sz w:val="24"/>
        </w:rPr>
      </w:pPr>
      <w:r>
        <w:rPr>
          <w:sz w:val="24"/>
        </w:rPr>
        <w:t>Support</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development of</w:t>
      </w:r>
      <w:r>
        <w:rPr>
          <w:spacing w:val="-2"/>
          <w:sz w:val="24"/>
        </w:rPr>
        <w:t xml:space="preserve"> </w:t>
      </w:r>
      <w:r>
        <w:rPr>
          <w:sz w:val="24"/>
        </w:rPr>
        <w:t>the</w:t>
      </w:r>
      <w:r>
        <w:rPr>
          <w:spacing w:val="-1"/>
          <w:sz w:val="24"/>
        </w:rPr>
        <w:t xml:space="preserve"> </w:t>
      </w:r>
      <w:r>
        <w:rPr>
          <w:sz w:val="24"/>
        </w:rPr>
        <w:t>base</w:t>
      </w:r>
      <w:r>
        <w:rPr>
          <w:spacing w:val="-1"/>
          <w:sz w:val="24"/>
        </w:rPr>
        <w:t xml:space="preserve"> </w:t>
      </w:r>
      <w:r>
        <w:rPr>
          <w:sz w:val="24"/>
        </w:rPr>
        <w:t>period</w:t>
      </w:r>
      <w:r>
        <w:rPr>
          <w:spacing w:val="-1"/>
          <w:sz w:val="24"/>
        </w:rPr>
        <w:t xml:space="preserve"> </w:t>
      </w:r>
      <w:r>
        <w:rPr>
          <w:sz w:val="24"/>
        </w:rPr>
        <w:t>data</w:t>
      </w:r>
      <w:r>
        <w:rPr>
          <w:spacing w:val="-1"/>
          <w:sz w:val="24"/>
        </w:rPr>
        <w:t xml:space="preserve"> </w:t>
      </w:r>
      <w:r>
        <w:rPr>
          <w:sz w:val="24"/>
        </w:rPr>
        <w:t xml:space="preserve">(Worksheet </w:t>
      </w:r>
      <w:r>
        <w:rPr>
          <w:spacing w:val="-5"/>
          <w:sz w:val="24"/>
        </w:rPr>
        <w:t>1).</w:t>
      </w:r>
    </w:p>
    <w:p>
      <w:pPr>
        <w:spacing w:after="0" w:line="240" w:lineRule="auto"/>
        <w:jc w:val="left"/>
        <w:rPr>
          <w:sz w:val="24"/>
        </w:rPr>
        <w:sectPr>
          <w:pgSz w:w="12240" w:h="15840"/>
          <w:pgMar w:top="1340" w:right="1000" w:bottom="940" w:left="1360" w:header="727" w:footer="747"/>
          <w:cols w:space="720"/>
        </w:sectPr>
      </w:pPr>
    </w:p>
    <w:p>
      <w:pPr>
        <w:pStyle w:val="ListParagraph"/>
        <w:numPr>
          <w:ilvl w:val="1"/>
          <w:numId w:val="4"/>
        </w:numPr>
        <w:tabs>
          <w:tab w:val="left" w:pos="1124"/>
        </w:tabs>
        <w:spacing w:before="89" w:after="0" w:line="232" w:lineRule="auto"/>
        <w:ind w:left="1124" w:right="726" w:hanging="540"/>
        <w:jc w:val="left"/>
        <w:rPr>
          <w:sz w:val="24"/>
        </w:rPr>
      </w:pPr>
      <w:r>
        <w:rPr>
          <w:sz w:val="24"/>
        </w:rPr>
        <w:t>Detailed</w:t>
      </w:r>
      <w:r>
        <w:rPr>
          <w:spacing w:val="-4"/>
          <w:sz w:val="24"/>
        </w:rPr>
        <w:t xml:space="preserve"> </w:t>
      </w:r>
      <w:r>
        <w:rPr>
          <w:sz w:val="24"/>
        </w:rPr>
        <w:t>qualitative</w:t>
      </w:r>
      <w:r>
        <w:rPr>
          <w:spacing w:val="-4"/>
          <w:sz w:val="24"/>
        </w:rPr>
        <w:t xml:space="preserve"> </w:t>
      </w:r>
      <w:r>
        <w:rPr>
          <w:sz w:val="24"/>
        </w:rPr>
        <w:t>and</w:t>
      </w:r>
      <w:r>
        <w:rPr>
          <w:spacing w:val="-2"/>
          <w:sz w:val="24"/>
        </w:rPr>
        <w:t xml:space="preserve"> </w:t>
      </w:r>
      <w:r>
        <w:rPr>
          <w:sz w:val="24"/>
        </w:rPr>
        <w:t>quantitative</w:t>
      </w:r>
      <w:r>
        <w:rPr>
          <w:spacing w:val="-4"/>
          <w:sz w:val="24"/>
        </w:rPr>
        <w:t xml:space="preserve"> </w:t>
      </w:r>
      <w:r>
        <w:rPr>
          <w:sz w:val="24"/>
        </w:rPr>
        <w:t>support</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development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base</w:t>
      </w:r>
      <w:r>
        <w:rPr>
          <w:spacing w:val="-5"/>
          <w:sz w:val="24"/>
        </w:rPr>
        <w:t xml:space="preserve"> </w:t>
      </w:r>
      <w:r>
        <w:rPr>
          <w:sz w:val="24"/>
        </w:rPr>
        <w:t xml:space="preserve">period experience, including allowed cost, reinsurance and LICS. The required elements </w:t>
      </w:r>
      <w:r>
        <w:rPr>
          <w:spacing w:val="-2"/>
          <w:sz w:val="24"/>
        </w:rPr>
        <w:t>include—</w:t>
      </w:r>
    </w:p>
    <w:p>
      <w:pPr>
        <w:pStyle w:val="ListParagraph"/>
        <w:numPr>
          <w:ilvl w:val="2"/>
          <w:numId w:val="4"/>
        </w:numPr>
        <w:tabs>
          <w:tab w:val="left" w:pos="1844"/>
        </w:tabs>
        <w:spacing w:before="46" w:after="0" w:line="232" w:lineRule="auto"/>
        <w:ind w:left="1844" w:right="583" w:hanging="720"/>
        <w:jc w:val="left"/>
        <w:rPr>
          <w:sz w:val="24"/>
        </w:rPr>
      </w:pPr>
      <w:r>
        <w:rPr>
          <w:sz w:val="24"/>
        </w:rPr>
        <w:t>Description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source</w:t>
      </w:r>
      <w:r>
        <w:rPr>
          <w:spacing w:val="-2"/>
          <w:sz w:val="24"/>
        </w:rPr>
        <w:t xml:space="preserve"> </w:t>
      </w:r>
      <w:r>
        <w:rPr>
          <w:sz w:val="24"/>
        </w:rPr>
        <w:t>data,</w:t>
      </w:r>
      <w:r>
        <w:rPr>
          <w:spacing w:val="-3"/>
          <w:sz w:val="24"/>
        </w:rPr>
        <w:t xml:space="preserve"> </w:t>
      </w:r>
      <w:r>
        <w:rPr>
          <w:sz w:val="24"/>
        </w:rPr>
        <w:t>such</w:t>
      </w:r>
      <w:r>
        <w:rPr>
          <w:spacing w:val="-3"/>
          <w:sz w:val="24"/>
        </w:rPr>
        <w:t xml:space="preserve"> </w:t>
      </w:r>
      <w:r>
        <w:rPr>
          <w:sz w:val="24"/>
        </w:rPr>
        <w:t>as</w:t>
      </w:r>
      <w:r>
        <w:rPr>
          <w:spacing w:val="-1"/>
          <w:sz w:val="24"/>
        </w:rPr>
        <w:t xml:space="preserve"> </w:t>
      </w:r>
      <w:r>
        <w:rPr>
          <w:sz w:val="24"/>
        </w:rPr>
        <w:t>a</w:t>
      </w:r>
      <w:r>
        <w:rPr>
          <w:spacing w:val="-4"/>
          <w:sz w:val="24"/>
        </w:rPr>
        <w:t xml:space="preserve"> </w:t>
      </w:r>
      <w:r>
        <w:rPr>
          <w:sz w:val="24"/>
        </w:rPr>
        <w:t>list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CMS</w:t>
      </w:r>
      <w:r>
        <w:rPr>
          <w:spacing w:val="-2"/>
          <w:sz w:val="24"/>
        </w:rPr>
        <w:t xml:space="preserve"> </w:t>
      </w:r>
      <w:r>
        <w:rPr>
          <w:sz w:val="24"/>
        </w:rPr>
        <w:t>return</w:t>
      </w:r>
      <w:r>
        <w:rPr>
          <w:spacing w:val="-3"/>
          <w:sz w:val="24"/>
        </w:rPr>
        <w:t xml:space="preserve"> </w:t>
      </w:r>
      <w:r>
        <w:rPr>
          <w:sz w:val="24"/>
        </w:rPr>
        <w:t>files</w:t>
      </w:r>
      <w:r>
        <w:rPr>
          <w:spacing w:val="-3"/>
          <w:sz w:val="24"/>
        </w:rPr>
        <w:t xml:space="preserve"> </w:t>
      </w:r>
      <w:r>
        <w:rPr>
          <w:sz w:val="24"/>
        </w:rPr>
        <w:t>that</w:t>
      </w:r>
      <w:r>
        <w:rPr>
          <w:spacing w:val="-3"/>
          <w:sz w:val="24"/>
        </w:rPr>
        <w:t xml:space="preserve"> </w:t>
      </w:r>
      <w:r>
        <w:rPr>
          <w:sz w:val="24"/>
        </w:rPr>
        <w:t>were used in the compilation of the PDEs.</w:t>
      </w:r>
    </w:p>
    <w:p>
      <w:pPr>
        <w:pStyle w:val="ListParagraph"/>
        <w:numPr>
          <w:ilvl w:val="2"/>
          <w:numId w:val="4"/>
        </w:numPr>
        <w:tabs>
          <w:tab w:val="left" w:pos="1844"/>
        </w:tabs>
        <w:spacing w:before="43" w:after="0" w:line="232" w:lineRule="auto"/>
        <w:ind w:left="1844" w:right="491" w:hanging="720"/>
        <w:jc w:val="left"/>
        <w:rPr>
          <w:sz w:val="24"/>
        </w:rPr>
      </w:pPr>
      <w:r>
        <w:rPr>
          <w:sz w:val="24"/>
        </w:rPr>
        <w:t>Information</w:t>
      </w:r>
      <w:r>
        <w:rPr>
          <w:spacing w:val="-4"/>
          <w:sz w:val="24"/>
        </w:rPr>
        <w:t xml:space="preserve"> </w:t>
      </w:r>
      <w:r>
        <w:rPr>
          <w:sz w:val="24"/>
        </w:rPr>
        <w:t>regarding</w:t>
      </w:r>
      <w:r>
        <w:rPr>
          <w:spacing w:val="-4"/>
          <w:sz w:val="24"/>
        </w:rPr>
        <w:t xml:space="preserve"> </w:t>
      </w:r>
      <w:r>
        <w:rPr>
          <w:sz w:val="24"/>
        </w:rPr>
        <w:t>the</w:t>
      </w:r>
      <w:r>
        <w:rPr>
          <w:spacing w:val="-5"/>
          <w:sz w:val="24"/>
        </w:rPr>
        <w:t xml:space="preserve"> </w:t>
      </w:r>
      <w:r>
        <w:rPr>
          <w:sz w:val="24"/>
        </w:rPr>
        <w:t>base</w:t>
      </w:r>
      <w:r>
        <w:rPr>
          <w:spacing w:val="-5"/>
          <w:sz w:val="24"/>
        </w:rPr>
        <w:t xml:space="preserve"> </w:t>
      </w:r>
      <w:r>
        <w:rPr>
          <w:sz w:val="24"/>
        </w:rPr>
        <w:t>period</w:t>
      </w:r>
      <w:r>
        <w:rPr>
          <w:spacing w:val="-4"/>
          <w:sz w:val="24"/>
        </w:rPr>
        <w:t xml:space="preserve"> </w:t>
      </w:r>
      <w:r>
        <w:rPr>
          <w:sz w:val="24"/>
        </w:rPr>
        <w:t>member</w:t>
      </w:r>
      <w:r>
        <w:rPr>
          <w:spacing w:val="-5"/>
          <w:sz w:val="24"/>
        </w:rPr>
        <w:t xml:space="preserve"> </w:t>
      </w:r>
      <w:r>
        <w:rPr>
          <w:sz w:val="24"/>
        </w:rPr>
        <w:t>months,</w:t>
      </w:r>
      <w:r>
        <w:rPr>
          <w:spacing w:val="-4"/>
          <w:sz w:val="24"/>
        </w:rPr>
        <w:t xml:space="preserve"> </w:t>
      </w:r>
      <w:r>
        <w:rPr>
          <w:sz w:val="24"/>
        </w:rPr>
        <w:t>if</w:t>
      </w:r>
      <w:r>
        <w:rPr>
          <w:spacing w:val="-4"/>
          <w:sz w:val="24"/>
        </w:rPr>
        <w:t xml:space="preserve"> </w:t>
      </w:r>
      <w:r>
        <w:rPr>
          <w:sz w:val="24"/>
        </w:rPr>
        <w:t>more</w:t>
      </w:r>
      <w:r>
        <w:rPr>
          <w:spacing w:val="-5"/>
          <w:sz w:val="24"/>
        </w:rPr>
        <w:t xml:space="preserve"> </w:t>
      </w:r>
      <w:r>
        <w:rPr>
          <w:sz w:val="24"/>
        </w:rPr>
        <w:t>than</w:t>
      </w:r>
      <w:r>
        <w:rPr>
          <w:spacing w:val="-4"/>
          <w:sz w:val="24"/>
        </w:rPr>
        <w:t xml:space="preserve"> </w:t>
      </w:r>
      <w:r>
        <w:rPr>
          <w:sz w:val="24"/>
        </w:rPr>
        <w:t>eight</w:t>
      </w:r>
      <w:r>
        <w:rPr>
          <w:spacing w:val="-4"/>
          <w:sz w:val="24"/>
        </w:rPr>
        <w:t xml:space="preserve"> </w:t>
      </w:r>
      <w:r>
        <w:rPr>
          <w:sz w:val="24"/>
        </w:rPr>
        <w:t>bids constitute the base period experience.</w:t>
      </w:r>
    </w:p>
    <w:p>
      <w:pPr>
        <w:pStyle w:val="ListParagraph"/>
        <w:numPr>
          <w:ilvl w:val="2"/>
          <w:numId w:val="4"/>
        </w:numPr>
        <w:tabs>
          <w:tab w:val="left" w:pos="1844"/>
        </w:tabs>
        <w:spacing w:before="46" w:after="0" w:line="232" w:lineRule="auto"/>
        <w:ind w:left="1844" w:right="785" w:hanging="720"/>
        <w:jc w:val="left"/>
        <w:rPr>
          <w:sz w:val="24"/>
        </w:rPr>
      </w:pPr>
      <w:r>
        <w:rPr>
          <w:sz w:val="24"/>
        </w:rPr>
        <w:t>Any</w:t>
      </w:r>
      <w:r>
        <w:rPr>
          <w:spacing w:val="-5"/>
          <w:sz w:val="24"/>
        </w:rPr>
        <w:t xml:space="preserve"> </w:t>
      </w:r>
      <w:r>
        <w:rPr>
          <w:sz w:val="24"/>
        </w:rPr>
        <w:t>applicable</w:t>
      </w:r>
      <w:r>
        <w:rPr>
          <w:spacing w:val="-4"/>
          <w:sz w:val="24"/>
        </w:rPr>
        <w:t xml:space="preserve"> </w:t>
      </w:r>
      <w:r>
        <w:rPr>
          <w:sz w:val="24"/>
        </w:rPr>
        <w:t>adjustments,</w:t>
      </w:r>
      <w:r>
        <w:rPr>
          <w:spacing w:val="-5"/>
          <w:sz w:val="24"/>
        </w:rPr>
        <w:t xml:space="preserve"> </w:t>
      </w:r>
      <w:r>
        <w:rPr>
          <w:sz w:val="24"/>
        </w:rPr>
        <w:t>stated</w:t>
      </w:r>
      <w:r>
        <w:rPr>
          <w:spacing w:val="-5"/>
          <w:sz w:val="24"/>
        </w:rPr>
        <w:t xml:space="preserve"> </w:t>
      </w:r>
      <w:r>
        <w:rPr>
          <w:sz w:val="24"/>
        </w:rPr>
        <w:t>as</w:t>
      </w:r>
      <w:r>
        <w:rPr>
          <w:spacing w:val="-5"/>
          <w:sz w:val="24"/>
        </w:rPr>
        <w:t xml:space="preserve"> </w:t>
      </w:r>
      <w:r>
        <w:rPr>
          <w:sz w:val="24"/>
        </w:rPr>
        <w:t>absolute</w:t>
      </w:r>
      <w:r>
        <w:rPr>
          <w:spacing w:val="-5"/>
          <w:sz w:val="24"/>
        </w:rPr>
        <w:t xml:space="preserve"> </w:t>
      </w:r>
      <w:r>
        <w:rPr>
          <w:sz w:val="24"/>
        </w:rPr>
        <w:t>values</w:t>
      </w:r>
      <w:r>
        <w:rPr>
          <w:spacing w:val="-5"/>
          <w:sz w:val="24"/>
        </w:rPr>
        <w:t xml:space="preserve"> </w:t>
      </w:r>
      <w:r>
        <w:rPr>
          <w:sz w:val="24"/>
        </w:rPr>
        <w:t>or</w:t>
      </w:r>
      <w:r>
        <w:rPr>
          <w:spacing w:val="-5"/>
          <w:sz w:val="24"/>
        </w:rPr>
        <w:t xml:space="preserve"> </w:t>
      </w:r>
      <w:r>
        <w:rPr>
          <w:sz w:val="24"/>
        </w:rPr>
        <w:t>percentages,</w:t>
      </w:r>
      <w:r>
        <w:rPr>
          <w:spacing w:val="-5"/>
          <w:sz w:val="24"/>
        </w:rPr>
        <w:t xml:space="preserve"> </w:t>
      </w:r>
      <w:r>
        <w:rPr>
          <w:sz w:val="24"/>
        </w:rPr>
        <w:t>to</w:t>
      </w:r>
      <w:r>
        <w:rPr>
          <w:spacing w:val="-5"/>
          <w:sz w:val="24"/>
        </w:rPr>
        <w:t xml:space="preserve"> </w:t>
      </w:r>
      <w:r>
        <w:rPr>
          <w:sz w:val="24"/>
        </w:rPr>
        <w:t>the source data, including considerations for—</w:t>
      </w:r>
    </w:p>
    <w:p>
      <w:pPr>
        <w:pStyle w:val="ListParagraph"/>
        <w:numPr>
          <w:ilvl w:val="3"/>
          <w:numId w:val="4"/>
        </w:numPr>
        <w:tabs>
          <w:tab w:val="left" w:pos="2294"/>
        </w:tabs>
        <w:spacing w:before="36" w:after="0" w:line="240" w:lineRule="auto"/>
        <w:ind w:left="2294" w:right="0" w:hanging="359"/>
        <w:jc w:val="left"/>
        <w:rPr>
          <w:sz w:val="24"/>
        </w:rPr>
      </w:pPr>
      <w:r>
        <w:rPr>
          <w:sz w:val="24"/>
        </w:rPr>
        <w:t>Accepted</w:t>
      </w:r>
      <w:r>
        <w:rPr>
          <w:spacing w:val="-5"/>
          <w:sz w:val="24"/>
        </w:rPr>
        <w:t xml:space="preserve"> </w:t>
      </w:r>
      <w:r>
        <w:rPr>
          <w:spacing w:val="-2"/>
          <w:sz w:val="24"/>
        </w:rPr>
        <w:t>PDEs.</w:t>
      </w:r>
    </w:p>
    <w:p>
      <w:pPr>
        <w:pStyle w:val="ListParagraph"/>
        <w:numPr>
          <w:ilvl w:val="3"/>
          <w:numId w:val="4"/>
        </w:numPr>
        <w:tabs>
          <w:tab w:val="left" w:pos="2295"/>
        </w:tabs>
        <w:spacing w:before="33" w:after="0" w:line="240" w:lineRule="auto"/>
        <w:ind w:left="2295" w:right="0" w:hanging="360"/>
        <w:jc w:val="left"/>
        <w:rPr>
          <w:sz w:val="24"/>
        </w:rPr>
      </w:pPr>
      <w:r>
        <w:rPr>
          <w:sz w:val="24"/>
        </w:rPr>
        <w:t>Rejected</w:t>
      </w:r>
      <w:r>
        <w:rPr>
          <w:spacing w:val="-1"/>
          <w:sz w:val="24"/>
        </w:rPr>
        <w:t xml:space="preserve"> </w:t>
      </w:r>
      <w:r>
        <w:rPr>
          <w:sz w:val="24"/>
        </w:rPr>
        <w:t>PDEs</w:t>
      </w:r>
      <w:r>
        <w:rPr>
          <w:spacing w:val="-1"/>
          <w:sz w:val="24"/>
        </w:rPr>
        <w:t xml:space="preserve"> </w:t>
      </w:r>
      <w:r>
        <w:rPr>
          <w:sz w:val="24"/>
        </w:rPr>
        <w:t>expected to</w:t>
      </w:r>
      <w:r>
        <w:rPr>
          <w:spacing w:val="-1"/>
          <w:sz w:val="24"/>
        </w:rPr>
        <w:t xml:space="preserve"> </w:t>
      </w:r>
      <w:r>
        <w:rPr>
          <w:sz w:val="24"/>
        </w:rPr>
        <w:t>be accepted</w:t>
      </w:r>
      <w:r>
        <w:rPr>
          <w:spacing w:val="-1"/>
          <w:sz w:val="24"/>
        </w:rPr>
        <w:t xml:space="preserve"> </w:t>
      </w:r>
      <w:r>
        <w:rPr>
          <w:sz w:val="24"/>
        </w:rPr>
        <w:t>by</w:t>
      </w:r>
      <w:r>
        <w:rPr>
          <w:spacing w:val="-1"/>
          <w:sz w:val="24"/>
        </w:rPr>
        <w:t xml:space="preserve"> </w:t>
      </w:r>
      <w:r>
        <w:rPr>
          <w:sz w:val="24"/>
        </w:rPr>
        <w:t xml:space="preserve">CMS upon </w:t>
      </w:r>
      <w:r>
        <w:rPr>
          <w:spacing w:val="-2"/>
          <w:sz w:val="24"/>
        </w:rPr>
        <w:t>resubmission.</w:t>
      </w:r>
    </w:p>
    <w:p>
      <w:pPr>
        <w:pStyle w:val="ListParagraph"/>
        <w:numPr>
          <w:ilvl w:val="3"/>
          <w:numId w:val="4"/>
        </w:numPr>
        <w:tabs>
          <w:tab w:val="left" w:pos="2294"/>
        </w:tabs>
        <w:spacing w:before="36" w:after="0" w:line="240" w:lineRule="auto"/>
        <w:ind w:left="2294" w:right="0" w:hanging="359"/>
        <w:jc w:val="left"/>
        <w:rPr>
          <w:sz w:val="24"/>
        </w:rPr>
      </w:pPr>
      <w:r>
        <w:rPr>
          <w:sz w:val="24"/>
        </w:rPr>
        <w:t xml:space="preserve">P2P </w:t>
      </w:r>
      <w:r>
        <w:rPr>
          <w:spacing w:val="-2"/>
          <w:sz w:val="24"/>
        </w:rPr>
        <w:t>transactions.</w:t>
      </w:r>
    </w:p>
    <w:p>
      <w:pPr>
        <w:pStyle w:val="ListParagraph"/>
        <w:numPr>
          <w:ilvl w:val="3"/>
          <w:numId w:val="4"/>
        </w:numPr>
        <w:tabs>
          <w:tab w:val="left" w:pos="2295"/>
        </w:tabs>
        <w:spacing w:before="41" w:after="0" w:line="232" w:lineRule="auto"/>
        <w:ind w:left="2295" w:right="1274" w:hanging="360"/>
        <w:jc w:val="left"/>
        <w:rPr>
          <w:sz w:val="24"/>
        </w:rPr>
      </w:pPr>
      <w:r>
        <w:rPr>
          <w:sz w:val="24"/>
        </w:rPr>
        <w:t>Transfer</w:t>
      </w:r>
      <w:r>
        <w:rPr>
          <w:spacing w:val="-4"/>
          <w:sz w:val="24"/>
        </w:rPr>
        <w:t xml:space="preserve"> </w:t>
      </w:r>
      <w:r>
        <w:rPr>
          <w:sz w:val="24"/>
        </w:rPr>
        <w:t>of</w:t>
      </w:r>
      <w:r>
        <w:rPr>
          <w:spacing w:val="-6"/>
          <w:sz w:val="24"/>
        </w:rPr>
        <w:t xml:space="preserve"> </w:t>
      </w:r>
      <w:r>
        <w:rPr>
          <w:sz w:val="24"/>
        </w:rPr>
        <w:t>OTC</w:t>
      </w:r>
      <w:r>
        <w:rPr>
          <w:spacing w:val="-4"/>
          <w:sz w:val="24"/>
        </w:rPr>
        <w:t xml:space="preserve"> </w:t>
      </w:r>
      <w:r>
        <w:rPr>
          <w:sz w:val="24"/>
        </w:rPr>
        <w:t>drug</w:t>
      </w:r>
      <w:r>
        <w:rPr>
          <w:spacing w:val="-5"/>
          <w:sz w:val="24"/>
        </w:rPr>
        <w:t xml:space="preserve"> </w:t>
      </w:r>
      <w:r>
        <w:rPr>
          <w:sz w:val="24"/>
        </w:rPr>
        <w:t>data</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base</w:t>
      </w:r>
      <w:r>
        <w:rPr>
          <w:spacing w:val="-5"/>
          <w:sz w:val="24"/>
        </w:rPr>
        <w:t xml:space="preserve"> </w:t>
      </w:r>
      <w:r>
        <w:rPr>
          <w:sz w:val="24"/>
        </w:rPr>
        <w:t>period</w:t>
      </w:r>
      <w:r>
        <w:rPr>
          <w:spacing w:val="-4"/>
          <w:sz w:val="24"/>
        </w:rPr>
        <w:t xml:space="preserve"> </w:t>
      </w:r>
      <w:r>
        <w:rPr>
          <w:sz w:val="24"/>
        </w:rPr>
        <w:t>experience</w:t>
      </w:r>
      <w:r>
        <w:rPr>
          <w:spacing w:val="-5"/>
          <w:sz w:val="24"/>
        </w:rPr>
        <w:t xml:space="preserve"> </w:t>
      </w:r>
      <w:r>
        <w:rPr>
          <w:sz w:val="24"/>
        </w:rPr>
        <w:t>to</w:t>
      </w:r>
      <w:r>
        <w:rPr>
          <w:spacing w:val="-4"/>
          <w:sz w:val="24"/>
        </w:rPr>
        <w:t xml:space="preserve"> </w:t>
      </w:r>
      <w:r>
        <w:rPr>
          <w:sz w:val="24"/>
        </w:rPr>
        <w:t>the non-benefit expense component.</w:t>
      </w:r>
    </w:p>
    <w:p>
      <w:pPr>
        <w:pStyle w:val="ListParagraph"/>
        <w:numPr>
          <w:ilvl w:val="1"/>
          <w:numId w:val="4"/>
        </w:numPr>
        <w:tabs>
          <w:tab w:val="left" w:pos="1124"/>
        </w:tabs>
        <w:spacing w:before="44" w:after="0" w:line="235" w:lineRule="auto"/>
        <w:ind w:left="1124" w:right="687" w:hanging="540"/>
        <w:jc w:val="left"/>
        <w:rPr>
          <w:sz w:val="24"/>
        </w:rPr>
      </w:pPr>
      <w:r>
        <w:rPr>
          <w:sz w:val="24"/>
        </w:rPr>
        <w:t>Reconciliation of base period experience to the Part D sponsor’s audited financial statements</w:t>
      </w:r>
      <w:r>
        <w:rPr>
          <w:spacing w:val="-4"/>
          <w:sz w:val="24"/>
        </w:rPr>
        <w:t xml:space="preserve"> </w:t>
      </w:r>
      <w:r>
        <w:rPr>
          <w:sz w:val="24"/>
        </w:rPr>
        <w:t>and</w:t>
      </w:r>
      <w:r>
        <w:rPr>
          <w:spacing w:val="-4"/>
          <w:sz w:val="24"/>
        </w:rPr>
        <w:t xml:space="preserve"> </w:t>
      </w:r>
      <w:r>
        <w:rPr>
          <w:sz w:val="24"/>
        </w:rPr>
        <w:t>bid-level</w:t>
      </w:r>
      <w:r>
        <w:rPr>
          <w:spacing w:val="-2"/>
          <w:sz w:val="24"/>
        </w:rPr>
        <w:t xml:space="preserve"> </w:t>
      </w:r>
      <w:r>
        <w:rPr>
          <w:sz w:val="24"/>
        </w:rPr>
        <w:t>operational</w:t>
      </w:r>
      <w:r>
        <w:rPr>
          <w:spacing w:val="-4"/>
          <w:sz w:val="24"/>
        </w:rPr>
        <w:t xml:space="preserve"> </w:t>
      </w:r>
      <w:r>
        <w:rPr>
          <w:sz w:val="24"/>
        </w:rPr>
        <w:t>data</w:t>
      </w:r>
      <w:r>
        <w:rPr>
          <w:spacing w:val="-2"/>
          <w:sz w:val="24"/>
        </w:rPr>
        <w:t xml:space="preserve"> </w:t>
      </w:r>
      <w:r>
        <w:rPr>
          <w:sz w:val="24"/>
        </w:rPr>
        <w:t>(Worksheet</w:t>
      </w:r>
      <w:r>
        <w:rPr>
          <w:spacing w:val="-4"/>
          <w:sz w:val="24"/>
        </w:rPr>
        <w:t xml:space="preserve"> </w:t>
      </w:r>
      <w:r>
        <w:rPr>
          <w:sz w:val="24"/>
        </w:rPr>
        <w:t>1).</w:t>
      </w:r>
      <w:r>
        <w:rPr>
          <w:spacing w:val="-4"/>
          <w:sz w:val="24"/>
        </w:rPr>
        <w:t xml:space="preserve"> </w:t>
      </w:r>
      <w:r>
        <w:rPr>
          <w:sz w:val="24"/>
        </w:rPr>
        <w:t>The</w:t>
      </w:r>
      <w:r>
        <w:rPr>
          <w:spacing w:val="-6"/>
          <w:sz w:val="24"/>
        </w:rPr>
        <w:t xml:space="preserve"> </w:t>
      </w:r>
      <w:r>
        <w:rPr>
          <w:sz w:val="24"/>
        </w:rPr>
        <w:t>data</w:t>
      </w:r>
      <w:r>
        <w:rPr>
          <w:spacing w:val="-4"/>
          <w:sz w:val="24"/>
        </w:rPr>
        <w:t xml:space="preserve"> </w:t>
      </w:r>
      <w:r>
        <w:rPr>
          <w:sz w:val="24"/>
        </w:rPr>
        <w:t>are</w:t>
      </w:r>
      <w:r>
        <w:rPr>
          <w:spacing w:val="-6"/>
          <w:sz w:val="24"/>
        </w:rPr>
        <w:t xml:space="preserve"> </w:t>
      </w:r>
      <w:r>
        <w:rPr>
          <w:sz w:val="24"/>
        </w:rPr>
        <w:t>to</w:t>
      </w:r>
      <w:r>
        <w:rPr>
          <w:spacing w:val="-4"/>
          <w:sz w:val="24"/>
        </w:rPr>
        <w:t xml:space="preserve"> </w:t>
      </w:r>
      <w:r>
        <w:rPr>
          <w:sz w:val="24"/>
        </w:rPr>
        <w:t>be</w:t>
      </w:r>
      <w:r>
        <w:rPr>
          <w:spacing w:val="-3"/>
          <w:sz w:val="24"/>
        </w:rPr>
        <w:t xml:space="preserve"> </w:t>
      </w:r>
      <w:r>
        <w:rPr>
          <w:sz w:val="24"/>
        </w:rPr>
        <w:t>reported on an incurred, rather than an accounting or GAAP, basis, including claims paid, unloaded claim reserves, non-benefit expenses and revenues. Because the results reflect</w:t>
      </w:r>
      <w:r>
        <w:rPr>
          <w:spacing w:val="-3"/>
          <w:sz w:val="24"/>
        </w:rPr>
        <w:t xml:space="preserve"> </w:t>
      </w:r>
      <w:r>
        <w:rPr>
          <w:sz w:val="24"/>
        </w:rPr>
        <w:t>an</w:t>
      </w:r>
      <w:r>
        <w:rPr>
          <w:spacing w:val="-3"/>
          <w:sz w:val="24"/>
        </w:rPr>
        <w:t xml:space="preserve"> </w:t>
      </w:r>
      <w:r>
        <w:rPr>
          <w:sz w:val="24"/>
        </w:rPr>
        <w:t>experience</w:t>
      </w:r>
      <w:r>
        <w:rPr>
          <w:spacing w:val="-4"/>
          <w:sz w:val="24"/>
        </w:rPr>
        <w:t xml:space="preserve"> </w:t>
      </w:r>
      <w:r>
        <w:rPr>
          <w:sz w:val="24"/>
        </w:rPr>
        <w:t>period</w:t>
      </w:r>
      <w:r>
        <w:rPr>
          <w:spacing w:val="-3"/>
          <w:sz w:val="24"/>
        </w:rPr>
        <w:t xml:space="preserve"> </w:t>
      </w:r>
      <w:r>
        <w:rPr>
          <w:sz w:val="24"/>
        </w:rPr>
        <w:t>versus</w:t>
      </w:r>
      <w:r>
        <w:rPr>
          <w:spacing w:val="-2"/>
          <w:sz w:val="24"/>
        </w:rPr>
        <w:t xml:space="preserve"> </w:t>
      </w:r>
      <w:r>
        <w:rPr>
          <w:sz w:val="24"/>
        </w:rPr>
        <w:t>an</w:t>
      </w:r>
      <w:r>
        <w:rPr>
          <w:spacing w:val="-3"/>
          <w:sz w:val="24"/>
        </w:rPr>
        <w:t xml:space="preserve"> </w:t>
      </w:r>
      <w:r>
        <w:rPr>
          <w:sz w:val="24"/>
        </w:rPr>
        <w:t>accounting</w:t>
      </w:r>
      <w:r>
        <w:rPr>
          <w:spacing w:val="-1"/>
          <w:sz w:val="24"/>
        </w:rPr>
        <w:t xml:space="preserve"> </w:t>
      </w:r>
      <w:r>
        <w:rPr>
          <w:sz w:val="24"/>
        </w:rPr>
        <w:t>period,</w:t>
      </w:r>
      <w:r>
        <w:rPr>
          <w:spacing w:val="-3"/>
          <w:sz w:val="24"/>
        </w:rPr>
        <w:t xml:space="preserve"> </w:t>
      </w:r>
      <w:r>
        <w:rPr>
          <w:sz w:val="24"/>
        </w:rPr>
        <w:t>the</w:t>
      </w:r>
      <w:r>
        <w:rPr>
          <w:spacing w:val="-3"/>
          <w:sz w:val="24"/>
        </w:rPr>
        <w:t xml:space="preserve"> </w:t>
      </w:r>
      <w:r>
        <w:rPr>
          <w:sz w:val="24"/>
        </w:rPr>
        <w:t>data</w:t>
      </w:r>
      <w:r>
        <w:rPr>
          <w:spacing w:val="-3"/>
          <w:sz w:val="24"/>
        </w:rPr>
        <w:t xml:space="preserve"> </w:t>
      </w:r>
      <w:r>
        <w:rPr>
          <w:sz w:val="24"/>
        </w:rPr>
        <w:t>need</w:t>
      </w:r>
      <w:r>
        <w:rPr>
          <w:spacing w:val="-3"/>
          <w:sz w:val="24"/>
        </w:rPr>
        <w:t xml:space="preserve"> </w:t>
      </w:r>
      <w:r>
        <w:rPr>
          <w:sz w:val="24"/>
        </w:rPr>
        <w:t>not</w:t>
      </w:r>
      <w:r>
        <w:rPr>
          <w:spacing w:val="-1"/>
          <w:sz w:val="24"/>
        </w:rPr>
        <w:t xml:space="preserve"> </w:t>
      </w:r>
      <w:r>
        <w:rPr>
          <w:sz w:val="24"/>
        </w:rPr>
        <w:t>be</w:t>
      </w:r>
      <w:r>
        <w:rPr>
          <w:spacing w:val="-4"/>
          <w:sz w:val="24"/>
        </w:rPr>
        <w:t xml:space="preserve"> </w:t>
      </w:r>
      <w:r>
        <w:rPr>
          <w:sz w:val="24"/>
        </w:rPr>
        <w:t>based on an audited GAAP financial basis.</w:t>
      </w:r>
    </w:p>
    <w:p>
      <w:pPr>
        <w:pStyle w:val="ListParagraph"/>
        <w:numPr>
          <w:ilvl w:val="1"/>
          <w:numId w:val="4"/>
        </w:numPr>
        <w:tabs>
          <w:tab w:val="left" w:pos="1124"/>
        </w:tabs>
        <w:spacing w:before="40" w:after="0" w:line="232" w:lineRule="auto"/>
        <w:ind w:left="1124" w:right="1126" w:hanging="540"/>
        <w:jc w:val="left"/>
        <w:rPr>
          <w:sz w:val="24"/>
        </w:rPr>
      </w:pPr>
      <w:r>
        <w:rPr>
          <w:sz w:val="24"/>
        </w:rPr>
        <w:t>Crosswalk</w:t>
      </w:r>
      <w:r>
        <w:rPr>
          <w:spacing w:val="-6"/>
          <w:sz w:val="24"/>
        </w:rPr>
        <w:t xml:space="preserve"> </w:t>
      </w:r>
      <w:r>
        <w:rPr>
          <w:sz w:val="24"/>
        </w:rPr>
        <w:t>information</w:t>
      </w:r>
      <w:r>
        <w:rPr>
          <w:spacing w:val="-6"/>
          <w:sz w:val="24"/>
        </w:rPr>
        <w:t xml:space="preserve"> </w:t>
      </w:r>
      <w:r>
        <w:rPr>
          <w:sz w:val="24"/>
        </w:rPr>
        <w:t>regarding</w:t>
      </w:r>
      <w:r>
        <w:rPr>
          <w:spacing w:val="-6"/>
          <w:sz w:val="24"/>
        </w:rPr>
        <w:t xml:space="preserve"> </w:t>
      </w:r>
      <w:r>
        <w:rPr>
          <w:sz w:val="24"/>
        </w:rPr>
        <w:t>data</w:t>
      </w:r>
      <w:r>
        <w:rPr>
          <w:spacing w:val="-6"/>
          <w:sz w:val="24"/>
        </w:rPr>
        <w:t xml:space="preserve"> </w:t>
      </w:r>
      <w:r>
        <w:rPr>
          <w:sz w:val="24"/>
        </w:rPr>
        <w:t>aggregation</w:t>
      </w:r>
      <w:r>
        <w:rPr>
          <w:spacing w:val="-6"/>
          <w:sz w:val="24"/>
        </w:rPr>
        <w:t xml:space="preserve"> </w:t>
      </w:r>
      <w:r>
        <w:rPr>
          <w:sz w:val="24"/>
        </w:rPr>
        <w:t>(Worksheet</w:t>
      </w:r>
      <w:r>
        <w:rPr>
          <w:spacing w:val="-6"/>
          <w:sz w:val="24"/>
        </w:rPr>
        <w:t xml:space="preserve"> </w:t>
      </w:r>
      <w:r>
        <w:rPr>
          <w:sz w:val="24"/>
        </w:rPr>
        <w:t>1).</w:t>
      </w:r>
      <w:r>
        <w:rPr>
          <w:spacing w:val="-6"/>
          <w:sz w:val="24"/>
        </w:rPr>
        <w:t xml:space="preserve"> </w:t>
      </w:r>
      <w:r>
        <w:rPr>
          <w:sz w:val="24"/>
        </w:rPr>
        <w:t>The</w:t>
      </w:r>
      <w:r>
        <w:rPr>
          <w:spacing w:val="-6"/>
          <w:sz w:val="24"/>
        </w:rPr>
        <w:t xml:space="preserve"> </w:t>
      </w:r>
      <w:r>
        <w:rPr>
          <w:sz w:val="24"/>
        </w:rPr>
        <w:t>required elements include—</w:t>
      </w:r>
    </w:p>
    <w:p>
      <w:pPr>
        <w:pStyle w:val="ListParagraph"/>
        <w:numPr>
          <w:ilvl w:val="2"/>
          <w:numId w:val="4"/>
        </w:numPr>
        <w:tabs>
          <w:tab w:val="left" w:pos="1844"/>
        </w:tabs>
        <w:spacing w:before="41" w:after="0" w:line="235" w:lineRule="auto"/>
        <w:ind w:left="1844" w:right="588" w:hanging="720"/>
        <w:jc w:val="left"/>
        <w:rPr>
          <w:sz w:val="24"/>
        </w:rPr>
      </w:pPr>
      <w:r>
        <w:rPr>
          <w:sz w:val="24"/>
        </w:rPr>
        <w:t>A list of all bids that are involved in approved crosswalks for CY2025 and proposed</w:t>
      </w:r>
      <w:r>
        <w:rPr>
          <w:spacing w:val="-4"/>
          <w:sz w:val="24"/>
        </w:rPr>
        <w:t xml:space="preserve"> </w:t>
      </w:r>
      <w:r>
        <w:rPr>
          <w:sz w:val="24"/>
        </w:rPr>
        <w:t>crosswalks</w:t>
      </w:r>
      <w:r>
        <w:rPr>
          <w:spacing w:val="-4"/>
          <w:sz w:val="24"/>
        </w:rPr>
        <w:t xml:space="preserve"> </w:t>
      </w:r>
      <w:r>
        <w:rPr>
          <w:sz w:val="24"/>
        </w:rPr>
        <w:t>for</w:t>
      </w:r>
      <w:r>
        <w:rPr>
          <w:spacing w:val="-4"/>
          <w:sz w:val="24"/>
        </w:rPr>
        <w:t xml:space="preserve"> </w:t>
      </w:r>
      <w:r>
        <w:rPr>
          <w:sz w:val="24"/>
        </w:rPr>
        <w:t>CY2026</w:t>
      </w:r>
      <w:r>
        <w:rPr>
          <w:spacing w:val="-4"/>
          <w:sz w:val="24"/>
        </w:rPr>
        <w:t xml:space="preserve"> </w:t>
      </w:r>
      <w:r>
        <w:rPr>
          <w:sz w:val="24"/>
        </w:rPr>
        <w:t>and</w:t>
      </w:r>
      <w:r>
        <w:rPr>
          <w:spacing w:val="-4"/>
          <w:sz w:val="24"/>
        </w:rPr>
        <w:t xml:space="preserve"> </w:t>
      </w:r>
      <w:r>
        <w:rPr>
          <w:sz w:val="24"/>
        </w:rPr>
        <w:t>that</w:t>
      </w:r>
      <w:r>
        <w:rPr>
          <w:spacing w:val="-4"/>
          <w:sz w:val="24"/>
        </w:rPr>
        <w:t xml:space="preserve"> </w:t>
      </w:r>
      <w:r>
        <w:rPr>
          <w:sz w:val="24"/>
        </w:rPr>
        <w:t>are</w:t>
      </w:r>
      <w:r>
        <w:rPr>
          <w:spacing w:val="-3"/>
          <w:sz w:val="24"/>
        </w:rPr>
        <w:t xml:space="preserve"> </w:t>
      </w:r>
      <w:r>
        <w:rPr>
          <w:sz w:val="24"/>
        </w:rPr>
        <w:t>considered</w:t>
      </w:r>
      <w:r>
        <w:rPr>
          <w:spacing w:val="-4"/>
          <w:sz w:val="24"/>
        </w:rPr>
        <w:t xml:space="preserve"> </w:t>
      </w:r>
      <w:r>
        <w:rPr>
          <w:sz w:val="24"/>
        </w:rPr>
        <w:t>for</w:t>
      </w:r>
      <w:r>
        <w:rPr>
          <w:spacing w:val="-6"/>
          <w:sz w:val="24"/>
        </w:rPr>
        <w:t xml:space="preserve"> </w:t>
      </w:r>
      <w:r>
        <w:rPr>
          <w:sz w:val="24"/>
        </w:rPr>
        <w:t>base</w:t>
      </w:r>
      <w:r>
        <w:rPr>
          <w:spacing w:val="-5"/>
          <w:sz w:val="24"/>
        </w:rPr>
        <w:t xml:space="preserve"> </w:t>
      </w:r>
      <w:r>
        <w:rPr>
          <w:sz w:val="24"/>
        </w:rPr>
        <w:t>period</w:t>
      </w:r>
      <w:r>
        <w:rPr>
          <w:spacing w:val="-4"/>
          <w:sz w:val="24"/>
        </w:rPr>
        <w:t xml:space="preserve"> </w:t>
      </w:r>
      <w:r>
        <w:rPr>
          <w:sz w:val="24"/>
        </w:rPr>
        <w:t xml:space="preserve">data </w:t>
      </w:r>
      <w:r>
        <w:rPr>
          <w:spacing w:val="-2"/>
          <w:sz w:val="24"/>
        </w:rPr>
        <w:t>aggregation.</w:t>
      </w:r>
    </w:p>
    <w:p>
      <w:pPr>
        <w:pStyle w:val="ListParagraph"/>
        <w:numPr>
          <w:ilvl w:val="2"/>
          <w:numId w:val="4"/>
        </w:numPr>
        <w:tabs>
          <w:tab w:val="left" w:pos="1844"/>
        </w:tabs>
        <w:spacing w:before="41" w:after="0" w:line="232" w:lineRule="auto"/>
        <w:ind w:left="1844" w:right="738" w:hanging="720"/>
        <w:jc w:val="left"/>
        <w:rPr>
          <w:sz w:val="24"/>
        </w:rPr>
      </w:pPr>
      <w:r>
        <w:rPr>
          <w:sz w:val="24"/>
        </w:rPr>
        <w:t>A</w:t>
      </w:r>
      <w:r>
        <w:rPr>
          <w:spacing w:val="-4"/>
          <w:sz w:val="24"/>
        </w:rPr>
        <w:t xml:space="preserve"> </w:t>
      </w:r>
      <w:r>
        <w:rPr>
          <w:sz w:val="24"/>
        </w:rPr>
        <w:t>statement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intention</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a</w:t>
      </w:r>
      <w:r>
        <w:rPr>
          <w:spacing w:val="-3"/>
          <w:sz w:val="24"/>
        </w:rPr>
        <w:t xml:space="preserve"> </w:t>
      </w:r>
      <w:r>
        <w:rPr>
          <w:sz w:val="24"/>
        </w:rPr>
        <w:t>crosswalk</w:t>
      </w:r>
      <w:r>
        <w:rPr>
          <w:spacing w:val="-4"/>
          <w:sz w:val="24"/>
        </w:rPr>
        <w:t xml:space="preserve"> </w:t>
      </w:r>
      <w:r>
        <w:rPr>
          <w:sz w:val="24"/>
        </w:rPr>
        <w:t>exception</w:t>
      </w:r>
      <w:r>
        <w:rPr>
          <w:spacing w:val="-4"/>
          <w:sz w:val="24"/>
        </w:rPr>
        <w:t xml:space="preserve"> </w:t>
      </w:r>
      <w:r>
        <w:rPr>
          <w:sz w:val="24"/>
        </w:rPr>
        <w:t>for</w:t>
      </w:r>
      <w:r>
        <w:rPr>
          <w:spacing w:val="-4"/>
          <w:sz w:val="24"/>
        </w:rPr>
        <w:t xml:space="preserve"> </w:t>
      </w:r>
      <w:r>
        <w:rPr>
          <w:sz w:val="24"/>
        </w:rPr>
        <w:t>CY2026,</w:t>
      </w:r>
      <w:r>
        <w:rPr>
          <w:spacing w:val="-4"/>
          <w:sz w:val="24"/>
        </w:rPr>
        <w:t xml:space="preserve"> </w:t>
      </w:r>
      <w:r>
        <w:rPr>
          <w:sz w:val="24"/>
        </w:rPr>
        <w:t xml:space="preserve">if </w:t>
      </w:r>
      <w:r>
        <w:rPr>
          <w:spacing w:val="-2"/>
          <w:sz w:val="24"/>
        </w:rPr>
        <w:t>applicable.</w:t>
      </w:r>
    </w:p>
    <w:p>
      <w:pPr>
        <w:pStyle w:val="ListParagraph"/>
        <w:numPr>
          <w:ilvl w:val="1"/>
          <w:numId w:val="4"/>
        </w:numPr>
        <w:tabs>
          <w:tab w:val="left" w:pos="1124"/>
        </w:tabs>
        <w:spacing w:before="45" w:after="0" w:line="232" w:lineRule="auto"/>
        <w:ind w:left="1124" w:right="736" w:hanging="540"/>
        <w:jc w:val="left"/>
        <w:rPr>
          <w:sz w:val="24"/>
        </w:rPr>
      </w:pPr>
      <w:r>
        <w:rPr>
          <w:sz w:val="24"/>
        </w:rPr>
        <w:t>Detailed</w:t>
      </w:r>
      <w:r>
        <w:rPr>
          <w:spacing w:val="-4"/>
          <w:sz w:val="24"/>
        </w:rPr>
        <w:t xml:space="preserve"> </w:t>
      </w:r>
      <w:r>
        <w:rPr>
          <w:sz w:val="24"/>
        </w:rPr>
        <w:t>qualitative</w:t>
      </w:r>
      <w:r>
        <w:rPr>
          <w:spacing w:val="-4"/>
          <w:sz w:val="24"/>
        </w:rPr>
        <w:t xml:space="preserve"> </w:t>
      </w:r>
      <w:r>
        <w:rPr>
          <w:sz w:val="24"/>
        </w:rPr>
        <w:t>and</w:t>
      </w:r>
      <w:r>
        <w:rPr>
          <w:spacing w:val="-2"/>
          <w:sz w:val="24"/>
        </w:rPr>
        <w:t xml:space="preserve"> </w:t>
      </w:r>
      <w:r>
        <w:rPr>
          <w:sz w:val="24"/>
        </w:rPr>
        <w:t>quantitative</w:t>
      </w:r>
      <w:r>
        <w:rPr>
          <w:spacing w:val="-4"/>
          <w:sz w:val="24"/>
        </w:rPr>
        <w:t xml:space="preserve"> </w:t>
      </w:r>
      <w:r>
        <w:rPr>
          <w:sz w:val="24"/>
        </w:rPr>
        <w:t>support</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development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rebates</w:t>
      </w:r>
      <w:r>
        <w:rPr>
          <w:spacing w:val="-1"/>
          <w:sz w:val="24"/>
        </w:rPr>
        <w:t xml:space="preserve"> </w:t>
      </w:r>
      <w:r>
        <w:rPr>
          <w:sz w:val="24"/>
        </w:rPr>
        <w:t>and all other types of direct and indirect remuneration (DIR) (Worksheets 1 and 3).</w:t>
      </w:r>
    </w:p>
    <w:p>
      <w:pPr>
        <w:pStyle w:val="ListParagraph"/>
        <w:numPr>
          <w:ilvl w:val="0"/>
          <w:numId w:val="4"/>
        </w:numPr>
        <w:tabs>
          <w:tab w:val="left" w:pos="584"/>
        </w:tabs>
        <w:spacing w:before="45" w:after="0" w:line="232" w:lineRule="auto"/>
        <w:ind w:left="584" w:right="770" w:hanging="360"/>
        <w:jc w:val="left"/>
        <w:rPr>
          <w:sz w:val="24"/>
        </w:rPr>
      </w:pPr>
      <w:r>
        <w:rPr>
          <w:sz w:val="24"/>
        </w:rPr>
        <w:t>Detailed</w:t>
      </w:r>
      <w:r>
        <w:rPr>
          <w:spacing w:val="-5"/>
          <w:sz w:val="24"/>
        </w:rPr>
        <w:t xml:space="preserve"> </w:t>
      </w:r>
      <w:r>
        <w:rPr>
          <w:sz w:val="24"/>
        </w:rPr>
        <w:t>qualitative</w:t>
      </w:r>
      <w:r>
        <w:rPr>
          <w:spacing w:val="-4"/>
          <w:sz w:val="24"/>
        </w:rPr>
        <w:t xml:space="preserve"> </w:t>
      </w:r>
      <w:r>
        <w:rPr>
          <w:sz w:val="24"/>
        </w:rPr>
        <w:t>and</w:t>
      </w:r>
      <w:r>
        <w:rPr>
          <w:spacing w:val="-2"/>
          <w:sz w:val="24"/>
        </w:rPr>
        <w:t xml:space="preserve"> </w:t>
      </w:r>
      <w:r>
        <w:rPr>
          <w:sz w:val="24"/>
        </w:rPr>
        <w:t>quantitative</w:t>
      </w:r>
      <w:r>
        <w:rPr>
          <w:spacing w:val="-3"/>
          <w:sz w:val="24"/>
        </w:rPr>
        <w:t xml:space="preserve"> </w:t>
      </w:r>
      <w:r>
        <w:rPr>
          <w:sz w:val="24"/>
        </w:rPr>
        <w:t>support</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development</w:t>
      </w:r>
      <w:r>
        <w:rPr>
          <w:spacing w:val="-4"/>
          <w:sz w:val="24"/>
        </w:rPr>
        <w:t xml:space="preserve"> </w:t>
      </w:r>
      <w:r>
        <w:rPr>
          <w:sz w:val="24"/>
        </w:rPr>
        <w:t>of</w:t>
      </w:r>
      <w:r>
        <w:rPr>
          <w:spacing w:val="-3"/>
          <w:sz w:val="24"/>
        </w:rPr>
        <w:t xml:space="preserve"> </w:t>
      </w:r>
      <w:r>
        <w:rPr>
          <w:sz w:val="24"/>
        </w:rPr>
        <w:t>each</w:t>
      </w:r>
      <w:r>
        <w:rPr>
          <w:spacing w:val="-3"/>
          <w:sz w:val="24"/>
        </w:rPr>
        <w:t xml:space="preserve"> </w:t>
      </w:r>
      <w:r>
        <w:rPr>
          <w:sz w:val="24"/>
        </w:rPr>
        <w:t>trend</w:t>
      </w:r>
      <w:r>
        <w:rPr>
          <w:spacing w:val="-3"/>
          <w:sz w:val="24"/>
        </w:rPr>
        <w:t xml:space="preserve"> </w:t>
      </w:r>
      <w:r>
        <w:rPr>
          <w:sz w:val="24"/>
        </w:rPr>
        <w:t>projection factor (Worksheet 2). The required elements include—</w:t>
      </w:r>
    </w:p>
    <w:p>
      <w:pPr>
        <w:pStyle w:val="ListParagraph"/>
        <w:numPr>
          <w:ilvl w:val="1"/>
          <w:numId w:val="4"/>
        </w:numPr>
        <w:tabs>
          <w:tab w:val="left" w:pos="1124"/>
        </w:tabs>
        <w:spacing w:before="43" w:after="0" w:line="232" w:lineRule="auto"/>
        <w:ind w:left="1124" w:right="544" w:hanging="540"/>
        <w:jc w:val="left"/>
        <w:rPr>
          <w:sz w:val="24"/>
        </w:rPr>
      </w:pPr>
      <w:r>
        <w:rPr>
          <w:sz w:val="24"/>
        </w:rPr>
        <w:t>A</w:t>
      </w:r>
      <w:r>
        <w:rPr>
          <w:spacing w:val="-4"/>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source</w:t>
      </w:r>
      <w:r>
        <w:rPr>
          <w:spacing w:val="-4"/>
          <w:sz w:val="24"/>
        </w:rPr>
        <w:t xml:space="preserve"> </w:t>
      </w:r>
      <w:r>
        <w:rPr>
          <w:sz w:val="24"/>
        </w:rPr>
        <w:t>data,</w:t>
      </w:r>
      <w:r>
        <w:rPr>
          <w:spacing w:val="-3"/>
          <w:sz w:val="24"/>
        </w:rPr>
        <w:t xml:space="preserve"> </w:t>
      </w:r>
      <w:r>
        <w:rPr>
          <w:sz w:val="24"/>
        </w:rPr>
        <w:t>including</w:t>
      </w:r>
      <w:r>
        <w:rPr>
          <w:spacing w:val="-3"/>
          <w:sz w:val="24"/>
        </w:rPr>
        <w:t xml:space="preserve"> </w:t>
      </w:r>
      <w:r>
        <w:rPr>
          <w:sz w:val="24"/>
        </w:rPr>
        <w:t>the</w:t>
      </w:r>
      <w:r>
        <w:rPr>
          <w:spacing w:val="-3"/>
          <w:sz w:val="24"/>
        </w:rPr>
        <w:t xml:space="preserve"> </w:t>
      </w:r>
      <w:r>
        <w:rPr>
          <w:sz w:val="24"/>
        </w:rPr>
        <w:t>data’s</w:t>
      </w:r>
      <w:r>
        <w:rPr>
          <w:spacing w:val="-4"/>
          <w:sz w:val="24"/>
        </w:rPr>
        <w:t xml:space="preserve"> </w:t>
      </w:r>
      <w:r>
        <w:rPr>
          <w:sz w:val="24"/>
        </w:rPr>
        <w:t>relevance</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Part D</w:t>
      </w:r>
      <w:r>
        <w:rPr>
          <w:spacing w:val="-4"/>
          <w:sz w:val="24"/>
        </w:rPr>
        <w:t xml:space="preserve"> </w:t>
      </w:r>
      <w:r>
        <w:rPr>
          <w:sz w:val="24"/>
        </w:rPr>
        <w:t>plan</w:t>
      </w:r>
      <w:r>
        <w:rPr>
          <w:spacing w:val="-4"/>
          <w:sz w:val="24"/>
        </w:rPr>
        <w:t xml:space="preserve"> </w:t>
      </w:r>
      <w:r>
        <w:rPr>
          <w:sz w:val="24"/>
        </w:rPr>
        <w:t>and the mix between LIS and non-LIS populations.</w:t>
      </w:r>
    </w:p>
    <w:p>
      <w:pPr>
        <w:pStyle w:val="ListParagraph"/>
        <w:numPr>
          <w:ilvl w:val="1"/>
          <w:numId w:val="4"/>
        </w:numPr>
        <w:tabs>
          <w:tab w:val="left" w:pos="1123"/>
        </w:tabs>
        <w:spacing w:before="39" w:after="0" w:line="240" w:lineRule="auto"/>
        <w:ind w:left="1123" w:right="0" w:hanging="539"/>
        <w:jc w:val="left"/>
        <w:rPr>
          <w:sz w:val="24"/>
        </w:rPr>
      </w:pPr>
      <w:r>
        <w:rPr>
          <w:sz w:val="24"/>
        </w:rPr>
        <w:t>A</w:t>
      </w:r>
      <w:r>
        <w:rPr>
          <w:spacing w:val="-2"/>
          <w:sz w:val="24"/>
        </w:rPr>
        <w:t xml:space="preserve"> </w:t>
      </w:r>
      <w:r>
        <w:rPr>
          <w:sz w:val="24"/>
        </w:rPr>
        <w:t>summary</w:t>
      </w:r>
      <w:r>
        <w:rPr>
          <w:spacing w:val="-2"/>
          <w:sz w:val="24"/>
        </w:rPr>
        <w:t xml:space="preserve"> </w:t>
      </w:r>
      <w:r>
        <w:rPr>
          <w:sz w:val="24"/>
        </w:rPr>
        <w:t>of the</w:t>
      </w:r>
      <w:r>
        <w:rPr>
          <w:spacing w:val="-2"/>
          <w:sz w:val="24"/>
        </w:rPr>
        <w:t xml:space="preserve"> </w:t>
      </w:r>
      <w:r>
        <w:rPr>
          <w:sz w:val="24"/>
        </w:rPr>
        <w:t>Part</w:t>
      </w:r>
      <w:r>
        <w:rPr>
          <w:spacing w:val="-1"/>
          <w:sz w:val="24"/>
        </w:rPr>
        <w:t xml:space="preserve"> </w:t>
      </w:r>
      <w:r>
        <w:rPr>
          <w:sz w:val="24"/>
        </w:rPr>
        <w:t>D</w:t>
      </w:r>
      <w:r>
        <w:rPr>
          <w:spacing w:val="1"/>
          <w:sz w:val="24"/>
        </w:rPr>
        <w:t xml:space="preserve"> </w:t>
      </w:r>
      <w:r>
        <w:rPr>
          <w:sz w:val="24"/>
        </w:rPr>
        <w:t>sponsor’s</w:t>
      </w:r>
      <w:r>
        <w:rPr>
          <w:spacing w:val="-2"/>
          <w:sz w:val="24"/>
        </w:rPr>
        <w:t xml:space="preserve"> </w:t>
      </w:r>
      <w:r>
        <w:rPr>
          <w:sz w:val="24"/>
        </w:rPr>
        <w:t>historical</w:t>
      </w:r>
      <w:r>
        <w:rPr>
          <w:spacing w:val="-1"/>
          <w:sz w:val="24"/>
        </w:rPr>
        <w:t xml:space="preserve"> </w:t>
      </w:r>
      <w:r>
        <w:rPr>
          <w:sz w:val="24"/>
        </w:rPr>
        <w:t>trends</w:t>
      </w:r>
      <w:r>
        <w:rPr>
          <w:spacing w:val="1"/>
          <w:sz w:val="24"/>
        </w:rPr>
        <w:t xml:space="preserve"> </w:t>
      </w:r>
      <w:r>
        <w:rPr>
          <w:spacing w:val="-2"/>
          <w:sz w:val="24"/>
        </w:rPr>
        <w:t>including—</w:t>
      </w:r>
    </w:p>
    <w:p>
      <w:pPr>
        <w:pStyle w:val="ListParagraph"/>
        <w:numPr>
          <w:ilvl w:val="2"/>
          <w:numId w:val="4"/>
        </w:numPr>
        <w:tabs>
          <w:tab w:val="left" w:pos="1844"/>
        </w:tabs>
        <w:spacing w:before="34" w:after="0" w:line="240" w:lineRule="auto"/>
        <w:ind w:left="1844" w:right="0" w:hanging="720"/>
        <w:jc w:val="left"/>
        <w:rPr>
          <w:sz w:val="24"/>
        </w:rPr>
      </w:pPr>
      <w:r>
        <w:rPr>
          <w:sz w:val="24"/>
        </w:rPr>
        <w:t>The</w:t>
      </w:r>
      <w:r>
        <w:rPr>
          <w:spacing w:val="-3"/>
          <w:sz w:val="24"/>
        </w:rPr>
        <w:t xml:space="preserve"> </w:t>
      </w:r>
      <w:r>
        <w:rPr>
          <w:sz w:val="24"/>
        </w:rPr>
        <w:t>percentage</w:t>
      </w:r>
      <w:r>
        <w:rPr>
          <w:spacing w:val="-1"/>
          <w:sz w:val="24"/>
        </w:rPr>
        <w:t xml:space="preserve"> </w:t>
      </w:r>
      <w:r>
        <w:rPr>
          <w:spacing w:val="-2"/>
          <w:sz w:val="24"/>
        </w:rPr>
        <w:t>trends.</w:t>
      </w:r>
    </w:p>
    <w:p>
      <w:pPr>
        <w:pStyle w:val="ListParagraph"/>
        <w:numPr>
          <w:ilvl w:val="2"/>
          <w:numId w:val="4"/>
        </w:numPr>
        <w:tabs>
          <w:tab w:val="left" w:pos="1844"/>
        </w:tabs>
        <w:spacing w:before="33" w:after="0" w:line="240" w:lineRule="auto"/>
        <w:ind w:left="1844" w:right="0" w:hanging="720"/>
        <w:jc w:val="left"/>
        <w:rPr>
          <w:sz w:val="24"/>
        </w:rPr>
      </w:pPr>
      <w:r>
        <w:rPr>
          <w:sz w:val="24"/>
        </w:rPr>
        <w:t>A</w:t>
      </w:r>
      <w:r>
        <w:rPr>
          <w:spacing w:val="-3"/>
          <w:sz w:val="24"/>
        </w:rPr>
        <w:t xml:space="preserve"> </w:t>
      </w:r>
      <w:r>
        <w:rPr>
          <w:sz w:val="24"/>
        </w:rPr>
        <w:t>description of the</w:t>
      </w:r>
      <w:r>
        <w:rPr>
          <w:spacing w:val="-2"/>
          <w:sz w:val="24"/>
        </w:rPr>
        <w:t xml:space="preserve"> </w:t>
      </w:r>
      <w:r>
        <w:rPr>
          <w:sz w:val="24"/>
        </w:rPr>
        <w:t>methodology used to analyze</w:t>
      </w:r>
      <w:r>
        <w:rPr>
          <w:spacing w:val="-2"/>
          <w:sz w:val="24"/>
        </w:rPr>
        <w:t xml:space="preserve"> </w:t>
      </w:r>
      <w:r>
        <w:rPr>
          <w:sz w:val="24"/>
        </w:rPr>
        <w:t>the</w:t>
      </w:r>
      <w:r>
        <w:rPr>
          <w:spacing w:val="-1"/>
          <w:sz w:val="24"/>
        </w:rPr>
        <w:t xml:space="preserve"> </w:t>
      </w:r>
      <w:r>
        <w:rPr>
          <w:spacing w:val="-2"/>
          <w:sz w:val="24"/>
        </w:rPr>
        <w:t>data.</w:t>
      </w:r>
    </w:p>
    <w:p>
      <w:pPr>
        <w:pStyle w:val="ListParagraph"/>
        <w:numPr>
          <w:ilvl w:val="2"/>
          <w:numId w:val="4"/>
        </w:numPr>
        <w:tabs>
          <w:tab w:val="left" w:pos="1844"/>
        </w:tabs>
        <w:spacing w:before="34" w:after="0" w:line="240" w:lineRule="auto"/>
        <w:ind w:left="1844" w:right="0" w:hanging="720"/>
        <w:jc w:val="left"/>
        <w:rPr>
          <w:sz w:val="24"/>
        </w:rPr>
      </w:pPr>
      <w:r>
        <w:rPr>
          <w:sz w:val="24"/>
        </w:rPr>
        <w:t>The</w:t>
      </w:r>
      <w:r>
        <w:rPr>
          <w:spacing w:val="-3"/>
          <w:sz w:val="24"/>
        </w:rPr>
        <w:t xml:space="preserve"> </w:t>
      </w:r>
      <w:r>
        <w:rPr>
          <w:sz w:val="24"/>
        </w:rPr>
        <w:t xml:space="preserve">numeric </w:t>
      </w:r>
      <w:r>
        <w:rPr>
          <w:spacing w:val="-2"/>
          <w:sz w:val="24"/>
        </w:rPr>
        <w:t>calculations.</w:t>
      </w:r>
    </w:p>
    <w:p>
      <w:pPr>
        <w:pStyle w:val="ListParagraph"/>
        <w:numPr>
          <w:ilvl w:val="1"/>
          <w:numId w:val="4"/>
        </w:numPr>
        <w:tabs>
          <w:tab w:val="left" w:pos="1123"/>
        </w:tabs>
        <w:spacing w:before="34" w:after="0" w:line="240" w:lineRule="auto"/>
        <w:ind w:left="1123" w:right="0" w:hanging="539"/>
        <w:jc w:val="left"/>
        <w:rPr>
          <w:sz w:val="24"/>
        </w:rPr>
      </w:pPr>
      <w:r>
        <w:rPr>
          <w:sz w:val="24"/>
        </w:rPr>
        <w:t>Any</w:t>
      </w:r>
      <w:r>
        <w:rPr>
          <w:spacing w:val="-2"/>
          <w:sz w:val="24"/>
        </w:rPr>
        <w:t xml:space="preserve"> </w:t>
      </w:r>
      <w:r>
        <w:rPr>
          <w:sz w:val="24"/>
        </w:rPr>
        <w:t>applicable adjustments</w:t>
      </w:r>
      <w:r>
        <w:rPr>
          <w:spacing w:val="-1"/>
          <w:sz w:val="24"/>
        </w:rPr>
        <w:t xml:space="preserve"> </w:t>
      </w:r>
      <w:r>
        <w:rPr>
          <w:sz w:val="24"/>
        </w:rPr>
        <w:t>to</w:t>
      </w:r>
      <w:r>
        <w:rPr>
          <w:spacing w:val="-1"/>
          <w:sz w:val="24"/>
        </w:rPr>
        <w:t xml:space="preserve"> </w:t>
      </w:r>
      <w:r>
        <w:rPr>
          <w:sz w:val="24"/>
        </w:rPr>
        <w:t>the source</w:t>
      </w:r>
      <w:r>
        <w:rPr>
          <w:spacing w:val="-2"/>
          <w:sz w:val="24"/>
        </w:rPr>
        <w:t xml:space="preserve"> </w:t>
      </w:r>
      <w:r>
        <w:rPr>
          <w:sz w:val="24"/>
        </w:rPr>
        <w:t>data,</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considerations</w:t>
      </w:r>
      <w:r>
        <w:rPr>
          <w:spacing w:val="-1"/>
          <w:sz w:val="24"/>
        </w:rPr>
        <w:t xml:space="preserve"> </w:t>
      </w:r>
      <w:r>
        <w:rPr>
          <w:spacing w:val="-4"/>
          <w:sz w:val="24"/>
        </w:rPr>
        <w:t>for—</w:t>
      </w:r>
    </w:p>
    <w:p>
      <w:pPr>
        <w:pStyle w:val="ListParagraph"/>
        <w:numPr>
          <w:ilvl w:val="2"/>
          <w:numId w:val="4"/>
        </w:numPr>
        <w:tabs>
          <w:tab w:val="left" w:pos="1844"/>
        </w:tabs>
        <w:spacing w:before="34" w:after="0" w:line="240" w:lineRule="auto"/>
        <w:ind w:left="1844" w:right="0" w:hanging="720"/>
        <w:jc w:val="left"/>
        <w:rPr>
          <w:sz w:val="24"/>
        </w:rPr>
      </w:pPr>
      <w:r>
        <w:rPr>
          <w:sz w:val="24"/>
        </w:rPr>
        <w:t>The</w:t>
      </w:r>
      <w:r>
        <w:rPr>
          <w:spacing w:val="-3"/>
          <w:sz w:val="24"/>
        </w:rPr>
        <w:t xml:space="preserve"> </w:t>
      </w:r>
      <w:r>
        <w:rPr>
          <w:sz w:val="24"/>
        </w:rPr>
        <w:t>Part D</w:t>
      </w:r>
      <w:r>
        <w:rPr>
          <w:spacing w:val="-2"/>
          <w:sz w:val="24"/>
        </w:rPr>
        <w:t xml:space="preserve"> </w:t>
      </w:r>
      <w:r>
        <w:rPr>
          <w:sz w:val="24"/>
        </w:rPr>
        <w:t>sponsor’s</w:t>
      </w:r>
      <w:r>
        <w:rPr>
          <w:spacing w:val="2"/>
          <w:sz w:val="24"/>
        </w:rPr>
        <w:t xml:space="preserve"> </w:t>
      </w:r>
      <w:r>
        <w:rPr>
          <w:spacing w:val="-2"/>
          <w:sz w:val="24"/>
        </w:rPr>
        <w:t>experience.</w:t>
      </w:r>
    </w:p>
    <w:p>
      <w:pPr>
        <w:pStyle w:val="ListParagraph"/>
        <w:numPr>
          <w:ilvl w:val="2"/>
          <w:numId w:val="4"/>
        </w:numPr>
        <w:tabs>
          <w:tab w:val="left" w:pos="1844"/>
        </w:tabs>
        <w:spacing w:before="36" w:after="0" w:line="240" w:lineRule="auto"/>
        <w:ind w:left="1844" w:right="0" w:hanging="720"/>
        <w:jc w:val="left"/>
        <w:rPr>
          <w:sz w:val="24"/>
        </w:rPr>
      </w:pPr>
      <w:r>
        <w:rPr>
          <w:sz w:val="24"/>
        </w:rPr>
        <w:t>PBM</w:t>
      </w:r>
      <w:r>
        <w:rPr>
          <w:spacing w:val="-1"/>
          <w:sz w:val="24"/>
        </w:rPr>
        <w:t xml:space="preserve"> </w:t>
      </w:r>
      <w:r>
        <w:rPr>
          <w:sz w:val="24"/>
        </w:rPr>
        <w:t>reports</w:t>
      </w:r>
      <w:r>
        <w:rPr>
          <w:spacing w:val="-1"/>
          <w:sz w:val="24"/>
        </w:rPr>
        <w:t xml:space="preserve"> </w:t>
      </w:r>
      <w:r>
        <w:rPr>
          <w:sz w:val="24"/>
        </w:rPr>
        <w:t>and</w:t>
      </w:r>
      <w:r>
        <w:rPr>
          <w:spacing w:val="-1"/>
          <w:sz w:val="24"/>
        </w:rPr>
        <w:t xml:space="preserve"> </w:t>
      </w:r>
      <w:r>
        <w:rPr>
          <w:spacing w:val="-2"/>
          <w:sz w:val="24"/>
        </w:rPr>
        <w:t>contracts.</w:t>
      </w:r>
    </w:p>
    <w:p>
      <w:pPr>
        <w:pStyle w:val="ListParagraph"/>
        <w:numPr>
          <w:ilvl w:val="2"/>
          <w:numId w:val="4"/>
        </w:numPr>
        <w:tabs>
          <w:tab w:val="left" w:pos="1844"/>
        </w:tabs>
        <w:spacing w:before="33" w:after="0" w:line="240" w:lineRule="auto"/>
        <w:ind w:left="1844" w:right="0" w:hanging="720"/>
        <w:jc w:val="left"/>
        <w:rPr>
          <w:sz w:val="24"/>
        </w:rPr>
      </w:pPr>
      <w:r>
        <w:rPr>
          <w:sz w:val="24"/>
        </w:rPr>
        <w:t>Industry</w:t>
      </w:r>
      <w:r>
        <w:rPr>
          <w:spacing w:val="-2"/>
          <w:sz w:val="24"/>
        </w:rPr>
        <w:t xml:space="preserve"> </w:t>
      </w:r>
      <w:r>
        <w:rPr>
          <w:sz w:val="24"/>
        </w:rPr>
        <w:t>and/or</w:t>
      </w:r>
      <w:r>
        <w:rPr>
          <w:spacing w:val="-3"/>
          <w:sz w:val="24"/>
        </w:rPr>
        <w:t xml:space="preserve"> </w:t>
      </w:r>
      <w:r>
        <w:rPr>
          <w:sz w:val="24"/>
        </w:rPr>
        <w:t>internal</w:t>
      </w:r>
      <w:r>
        <w:rPr>
          <w:spacing w:val="-2"/>
          <w:sz w:val="24"/>
        </w:rPr>
        <w:t xml:space="preserve"> studies.</w:t>
      </w:r>
    </w:p>
    <w:p>
      <w:pPr>
        <w:pStyle w:val="ListParagraph"/>
        <w:numPr>
          <w:ilvl w:val="2"/>
          <w:numId w:val="4"/>
        </w:numPr>
        <w:tabs>
          <w:tab w:val="left" w:pos="1844"/>
        </w:tabs>
        <w:spacing w:before="34" w:after="0" w:line="240" w:lineRule="auto"/>
        <w:ind w:left="1844" w:right="0" w:hanging="720"/>
        <w:jc w:val="left"/>
        <w:rPr>
          <w:sz w:val="24"/>
        </w:rPr>
      </w:pPr>
      <w:r>
        <w:rPr>
          <w:sz w:val="24"/>
        </w:rPr>
        <w:t>Formulary</w:t>
      </w:r>
      <w:r>
        <w:rPr>
          <w:spacing w:val="-2"/>
          <w:sz w:val="24"/>
        </w:rPr>
        <w:t xml:space="preserve"> analysis.</w:t>
      </w:r>
    </w:p>
    <w:p>
      <w:pPr>
        <w:pStyle w:val="ListParagraph"/>
        <w:numPr>
          <w:ilvl w:val="2"/>
          <w:numId w:val="4"/>
        </w:numPr>
        <w:tabs>
          <w:tab w:val="left" w:pos="1844"/>
        </w:tabs>
        <w:spacing w:before="34" w:after="0" w:line="240" w:lineRule="auto"/>
        <w:ind w:left="1844" w:right="0" w:hanging="720"/>
        <w:jc w:val="left"/>
        <w:rPr>
          <w:sz w:val="24"/>
        </w:rPr>
      </w:pPr>
      <w:r>
        <w:rPr>
          <w:sz w:val="24"/>
        </w:rPr>
        <w:t>Benefit</w:t>
      </w:r>
      <w:r>
        <w:rPr>
          <w:spacing w:val="-4"/>
          <w:sz w:val="24"/>
        </w:rPr>
        <w:t xml:space="preserve"> </w:t>
      </w:r>
      <w:r>
        <w:rPr>
          <w:sz w:val="24"/>
        </w:rPr>
        <w:t>design</w:t>
      </w:r>
      <w:r>
        <w:rPr>
          <w:spacing w:val="-1"/>
          <w:sz w:val="24"/>
        </w:rPr>
        <w:t xml:space="preserve"> </w:t>
      </w:r>
      <w:r>
        <w:rPr>
          <w:spacing w:val="-2"/>
          <w:sz w:val="24"/>
        </w:rPr>
        <w:t>analysis.</w:t>
      </w:r>
    </w:p>
    <w:p>
      <w:pPr>
        <w:pStyle w:val="ListParagraph"/>
        <w:numPr>
          <w:ilvl w:val="2"/>
          <w:numId w:val="4"/>
        </w:numPr>
        <w:tabs>
          <w:tab w:val="left" w:pos="1844"/>
        </w:tabs>
        <w:spacing w:before="33" w:after="0" w:line="240" w:lineRule="auto"/>
        <w:ind w:left="1844" w:right="0" w:hanging="720"/>
        <w:jc w:val="left"/>
        <w:rPr>
          <w:sz w:val="24"/>
        </w:rPr>
      </w:pPr>
      <w:r>
        <w:rPr>
          <w:sz w:val="24"/>
        </w:rPr>
        <w:t>Bid-specific</w:t>
      </w:r>
      <w:r>
        <w:rPr>
          <w:spacing w:val="-4"/>
          <w:sz w:val="24"/>
        </w:rPr>
        <w:t xml:space="preserve"> </w:t>
      </w:r>
      <w:r>
        <w:rPr>
          <w:spacing w:val="-2"/>
          <w:sz w:val="24"/>
        </w:rPr>
        <w:t>circumstances.</w:t>
      </w:r>
    </w:p>
    <w:p>
      <w:pPr>
        <w:spacing w:after="0" w:line="240" w:lineRule="auto"/>
        <w:jc w:val="left"/>
        <w:rPr>
          <w:sz w:val="24"/>
        </w:rPr>
        <w:sectPr>
          <w:pgSz w:w="12240" w:h="15840"/>
          <w:pgMar w:top="1340" w:right="1000" w:bottom="940" w:left="1360" w:header="727" w:footer="747"/>
          <w:cols w:space="720"/>
        </w:sectPr>
      </w:pPr>
    </w:p>
    <w:p>
      <w:pPr>
        <w:pStyle w:val="ListParagraph"/>
        <w:numPr>
          <w:ilvl w:val="2"/>
          <w:numId w:val="4"/>
        </w:numPr>
        <w:tabs>
          <w:tab w:val="left" w:pos="1844"/>
        </w:tabs>
        <w:spacing w:before="80" w:after="0" w:line="240" w:lineRule="auto"/>
        <w:ind w:left="1844" w:right="0" w:hanging="720"/>
        <w:jc w:val="left"/>
        <w:rPr>
          <w:sz w:val="24"/>
        </w:rPr>
      </w:pPr>
      <w:r>
        <w:rPr>
          <w:sz w:val="24"/>
        </w:rPr>
        <w:t>LIS</w:t>
      </w:r>
      <w:r>
        <w:rPr>
          <w:spacing w:val="-2"/>
          <w:sz w:val="24"/>
        </w:rPr>
        <w:t xml:space="preserve"> </w:t>
      </w:r>
      <w:r>
        <w:rPr>
          <w:sz w:val="24"/>
        </w:rPr>
        <w:t>and</w:t>
      </w:r>
      <w:r>
        <w:rPr>
          <w:spacing w:val="-2"/>
          <w:sz w:val="24"/>
        </w:rPr>
        <w:t xml:space="preserve"> </w:t>
      </w:r>
      <w:r>
        <w:rPr>
          <w:sz w:val="24"/>
        </w:rPr>
        <w:t>non-LIS</w:t>
      </w:r>
      <w:r>
        <w:rPr>
          <w:spacing w:val="-2"/>
          <w:sz w:val="24"/>
        </w:rPr>
        <w:t xml:space="preserve"> populations.</w:t>
      </w:r>
    </w:p>
    <w:p>
      <w:pPr>
        <w:pStyle w:val="ListParagraph"/>
        <w:numPr>
          <w:ilvl w:val="0"/>
          <w:numId w:val="4"/>
        </w:numPr>
        <w:tabs>
          <w:tab w:val="left" w:pos="584"/>
        </w:tabs>
        <w:spacing w:before="42" w:after="0" w:line="232" w:lineRule="auto"/>
        <w:ind w:left="584" w:right="668" w:hanging="360"/>
        <w:jc w:val="left"/>
        <w:rPr>
          <w:sz w:val="24"/>
        </w:rPr>
      </w:pPr>
      <w:r>
        <w:rPr>
          <w:sz w:val="24"/>
        </w:rPr>
        <w:t>Detailed support for the data and methodology used in the development of appropriate manual</w:t>
      </w:r>
      <w:r>
        <w:rPr>
          <w:spacing w:val="-4"/>
          <w:sz w:val="24"/>
        </w:rPr>
        <w:t xml:space="preserve"> </w:t>
      </w:r>
      <w:r>
        <w:rPr>
          <w:sz w:val="24"/>
        </w:rPr>
        <w:t>rates</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expected</w:t>
      </w:r>
      <w:r>
        <w:rPr>
          <w:spacing w:val="-4"/>
          <w:sz w:val="24"/>
        </w:rPr>
        <w:t xml:space="preserve"> </w:t>
      </w:r>
      <w:r>
        <w:rPr>
          <w:sz w:val="24"/>
        </w:rPr>
        <w:t>population</w:t>
      </w:r>
      <w:r>
        <w:rPr>
          <w:spacing w:val="-4"/>
          <w:sz w:val="24"/>
        </w:rPr>
        <w:t xml:space="preserve"> </w:t>
      </w:r>
      <w:r>
        <w:rPr>
          <w:sz w:val="24"/>
        </w:rPr>
        <w:t>(Worksheet</w:t>
      </w:r>
      <w:r>
        <w:rPr>
          <w:spacing w:val="-1"/>
          <w:sz w:val="24"/>
        </w:rPr>
        <w:t xml:space="preserve"> </w:t>
      </w:r>
      <w:r>
        <w:rPr>
          <w:sz w:val="24"/>
        </w:rPr>
        <w:t>2).</w:t>
      </w:r>
      <w:r>
        <w:rPr>
          <w:spacing w:val="-5"/>
          <w:sz w:val="24"/>
        </w:rPr>
        <w:t xml:space="preserve"> </w:t>
      </w:r>
      <w:r>
        <w:rPr>
          <w:sz w:val="24"/>
        </w:rPr>
        <w:t>The</w:t>
      </w:r>
      <w:r>
        <w:rPr>
          <w:spacing w:val="-4"/>
          <w:sz w:val="24"/>
        </w:rPr>
        <w:t xml:space="preserve"> </w:t>
      </w:r>
      <w:r>
        <w:rPr>
          <w:sz w:val="24"/>
        </w:rPr>
        <w:t>required</w:t>
      </w:r>
      <w:r>
        <w:rPr>
          <w:spacing w:val="-4"/>
          <w:sz w:val="24"/>
        </w:rPr>
        <w:t xml:space="preserve"> </w:t>
      </w:r>
      <w:r>
        <w:rPr>
          <w:sz w:val="24"/>
        </w:rPr>
        <w:t>elements</w:t>
      </w:r>
      <w:r>
        <w:rPr>
          <w:spacing w:val="-4"/>
          <w:sz w:val="24"/>
        </w:rPr>
        <w:t xml:space="preserve"> </w:t>
      </w:r>
      <w:r>
        <w:rPr>
          <w:sz w:val="24"/>
        </w:rPr>
        <w:t>include—</w:t>
      </w:r>
    </w:p>
    <w:p>
      <w:pPr>
        <w:pStyle w:val="ListParagraph"/>
        <w:numPr>
          <w:ilvl w:val="1"/>
          <w:numId w:val="4"/>
        </w:numPr>
        <w:tabs>
          <w:tab w:val="left" w:pos="1124"/>
        </w:tabs>
        <w:spacing w:before="41" w:after="0" w:line="235" w:lineRule="auto"/>
        <w:ind w:left="1124" w:right="616" w:hanging="540"/>
        <w:jc w:val="left"/>
        <w:rPr>
          <w:sz w:val="24"/>
        </w:rPr>
      </w:pPr>
      <w:r>
        <w:rPr>
          <w:sz w:val="24"/>
        </w:rPr>
        <w:t>A</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source</w:t>
      </w:r>
      <w:r>
        <w:rPr>
          <w:spacing w:val="-4"/>
          <w:sz w:val="24"/>
        </w:rPr>
        <w:t xml:space="preserve"> </w:t>
      </w:r>
      <w:r>
        <w:rPr>
          <w:sz w:val="24"/>
        </w:rPr>
        <w:t>data,</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data’s</w:t>
      </w:r>
      <w:r>
        <w:rPr>
          <w:spacing w:val="-3"/>
          <w:sz w:val="24"/>
        </w:rPr>
        <w:t xml:space="preserve"> </w:t>
      </w:r>
      <w:r>
        <w:rPr>
          <w:sz w:val="24"/>
        </w:rPr>
        <w:t>relevance</w:t>
      </w:r>
      <w:r>
        <w:rPr>
          <w:spacing w:val="-4"/>
          <w:sz w:val="24"/>
        </w:rPr>
        <w:t xml:space="preserve"> </w:t>
      </w:r>
      <w:r>
        <w:rPr>
          <w:sz w:val="24"/>
        </w:rPr>
        <w:t>to the Part D bid, incurred dates, and the exposure (expressed in member months) that was used to develop the manual rate.</w:t>
      </w:r>
    </w:p>
    <w:p>
      <w:pPr>
        <w:pStyle w:val="ListParagraph"/>
        <w:numPr>
          <w:ilvl w:val="1"/>
          <w:numId w:val="4"/>
        </w:numPr>
        <w:tabs>
          <w:tab w:val="left" w:pos="1124"/>
        </w:tabs>
        <w:spacing w:before="43" w:after="0" w:line="232" w:lineRule="auto"/>
        <w:ind w:left="1124" w:right="511" w:hanging="540"/>
        <w:jc w:val="left"/>
        <w:rPr>
          <w:sz w:val="24"/>
        </w:rPr>
      </w:pPr>
      <w:r>
        <w:rPr>
          <w:sz w:val="24"/>
        </w:rPr>
        <w:t>An</w:t>
      </w:r>
      <w:r>
        <w:rPr>
          <w:spacing w:val="-3"/>
          <w:sz w:val="24"/>
        </w:rPr>
        <w:t xml:space="preserve"> </w:t>
      </w:r>
      <w:r>
        <w:rPr>
          <w:sz w:val="24"/>
        </w:rPr>
        <w:t>analysis</w:t>
      </w:r>
      <w:r>
        <w:rPr>
          <w:spacing w:val="-3"/>
          <w:sz w:val="24"/>
        </w:rPr>
        <w:t xml:space="preserve"> </w:t>
      </w:r>
      <w:r>
        <w:rPr>
          <w:sz w:val="24"/>
        </w:rPr>
        <w:t>justifying</w:t>
      </w:r>
      <w:r>
        <w:rPr>
          <w:spacing w:val="-3"/>
          <w:sz w:val="24"/>
        </w:rPr>
        <w:t xml:space="preserve"> </w:t>
      </w:r>
      <w:r>
        <w:rPr>
          <w:sz w:val="24"/>
        </w:rPr>
        <w:t>the</w:t>
      </w:r>
      <w:r>
        <w:rPr>
          <w:spacing w:val="-3"/>
          <w:sz w:val="24"/>
        </w:rPr>
        <w:t xml:space="preserve"> </w:t>
      </w:r>
      <w:r>
        <w:rPr>
          <w:sz w:val="24"/>
        </w:rPr>
        <w:t>reasonableness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Part</w:t>
      </w:r>
      <w:r>
        <w:rPr>
          <w:spacing w:val="-3"/>
          <w:sz w:val="24"/>
        </w:rPr>
        <w:t xml:space="preserve"> </w:t>
      </w:r>
      <w:r>
        <w:rPr>
          <w:sz w:val="24"/>
        </w:rPr>
        <w:t>D</w:t>
      </w:r>
      <w:r>
        <w:rPr>
          <w:spacing w:val="-4"/>
          <w:sz w:val="24"/>
        </w:rPr>
        <w:t xml:space="preserve"> </w:t>
      </w:r>
      <w:r>
        <w:rPr>
          <w:sz w:val="24"/>
        </w:rPr>
        <w:t>manual</w:t>
      </w:r>
      <w:r>
        <w:rPr>
          <w:spacing w:val="-3"/>
          <w:sz w:val="24"/>
        </w:rPr>
        <w:t xml:space="preserve"> </w:t>
      </w:r>
      <w:r>
        <w:rPr>
          <w:sz w:val="24"/>
        </w:rPr>
        <w:t>rate,</w:t>
      </w:r>
      <w:r>
        <w:rPr>
          <w:spacing w:val="-3"/>
          <w:sz w:val="24"/>
        </w:rPr>
        <w:t xml:space="preserve"> </w:t>
      </w:r>
      <w:r>
        <w:rPr>
          <w:sz w:val="24"/>
        </w:rPr>
        <w:t>if</w:t>
      </w:r>
      <w:r>
        <w:rPr>
          <w:spacing w:val="-4"/>
          <w:sz w:val="24"/>
        </w:rPr>
        <w:t xml:space="preserve"> </w:t>
      </w:r>
      <w:r>
        <w:rPr>
          <w:sz w:val="24"/>
        </w:rPr>
        <w:t>the</w:t>
      </w:r>
      <w:r>
        <w:rPr>
          <w:spacing w:val="-2"/>
          <w:sz w:val="24"/>
        </w:rPr>
        <w:t xml:space="preserve"> </w:t>
      </w:r>
      <w:r>
        <w:rPr>
          <w:sz w:val="24"/>
        </w:rPr>
        <w:t>manual</w:t>
      </w:r>
      <w:r>
        <w:rPr>
          <w:spacing w:val="-3"/>
          <w:sz w:val="24"/>
        </w:rPr>
        <w:t xml:space="preserve"> </w:t>
      </w:r>
      <w:r>
        <w:rPr>
          <w:sz w:val="24"/>
        </w:rPr>
        <w:t>rate is based on experience of less than 60,000 member months of exposure.</w:t>
      </w:r>
    </w:p>
    <w:p>
      <w:pPr>
        <w:pStyle w:val="ListParagraph"/>
        <w:numPr>
          <w:ilvl w:val="1"/>
          <w:numId w:val="4"/>
        </w:numPr>
        <w:tabs>
          <w:tab w:val="left" w:pos="1123"/>
        </w:tabs>
        <w:spacing w:before="36" w:after="0" w:line="240" w:lineRule="auto"/>
        <w:ind w:left="1123" w:right="0" w:hanging="539"/>
        <w:jc w:val="left"/>
        <w:rPr>
          <w:sz w:val="24"/>
        </w:rPr>
      </w:pPr>
      <w:r>
        <w:rPr>
          <w:sz w:val="24"/>
        </w:rPr>
        <w:t>Any</w:t>
      </w:r>
      <w:r>
        <w:rPr>
          <w:spacing w:val="-1"/>
          <w:sz w:val="24"/>
        </w:rPr>
        <w:t xml:space="preserve"> </w:t>
      </w:r>
      <w:r>
        <w:rPr>
          <w:sz w:val="24"/>
        </w:rPr>
        <w:t>applicable</w:t>
      </w:r>
      <w:r>
        <w:rPr>
          <w:spacing w:val="-1"/>
          <w:sz w:val="24"/>
        </w:rPr>
        <w:t xml:space="preserve"> </w:t>
      </w:r>
      <w:r>
        <w:rPr>
          <w:sz w:val="24"/>
        </w:rPr>
        <w:t>adjustments</w:t>
      </w:r>
      <w:r>
        <w:rPr>
          <w:spacing w:val="-1"/>
          <w:sz w:val="24"/>
        </w:rPr>
        <w:t xml:space="preserve"> </w:t>
      </w:r>
      <w:r>
        <w:rPr>
          <w:sz w:val="24"/>
        </w:rPr>
        <w:t>to the</w:t>
      </w:r>
      <w:r>
        <w:rPr>
          <w:spacing w:val="-2"/>
          <w:sz w:val="24"/>
        </w:rPr>
        <w:t xml:space="preserve"> </w:t>
      </w:r>
      <w:r>
        <w:rPr>
          <w:sz w:val="24"/>
        </w:rPr>
        <w:t>source</w:t>
      </w:r>
      <w:r>
        <w:rPr>
          <w:spacing w:val="-1"/>
          <w:sz w:val="24"/>
        </w:rPr>
        <w:t xml:space="preserve"> </w:t>
      </w:r>
      <w:r>
        <w:rPr>
          <w:sz w:val="24"/>
        </w:rPr>
        <w:t>data,</w:t>
      </w:r>
      <w:r>
        <w:rPr>
          <w:spacing w:val="-1"/>
          <w:sz w:val="24"/>
        </w:rPr>
        <w:t xml:space="preserve"> </w:t>
      </w:r>
      <w:r>
        <w:rPr>
          <w:sz w:val="24"/>
        </w:rPr>
        <w:t>such</w:t>
      </w:r>
      <w:r>
        <w:rPr>
          <w:spacing w:val="-1"/>
          <w:sz w:val="24"/>
        </w:rPr>
        <w:t xml:space="preserve"> </w:t>
      </w:r>
      <w:r>
        <w:rPr>
          <w:spacing w:val="-5"/>
          <w:sz w:val="24"/>
        </w:rPr>
        <w:t>as—</w:t>
      </w:r>
    </w:p>
    <w:p>
      <w:pPr>
        <w:pStyle w:val="ListParagraph"/>
        <w:numPr>
          <w:ilvl w:val="2"/>
          <w:numId w:val="4"/>
        </w:numPr>
        <w:tabs>
          <w:tab w:val="left" w:pos="1844"/>
        </w:tabs>
        <w:spacing w:before="41" w:after="0" w:line="232" w:lineRule="auto"/>
        <w:ind w:left="1844" w:right="954" w:hanging="720"/>
        <w:jc w:val="left"/>
        <w:rPr>
          <w:sz w:val="24"/>
        </w:rPr>
      </w:pPr>
      <w:r>
        <w:rPr>
          <w:sz w:val="24"/>
        </w:rPr>
        <w:t>Techniques</w:t>
      </w:r>
      <w:r>
        <w:rPr>
          <w:spacing w:val="-6"/>
          <w:sz w:val="24"/>
        </w:rPr>
        <w:t xml:space="preserve"> </w:t>
      </w:r>
      <w:r>
        <w:rPr>
          <w:sz w:val="24"/>
        </w:rPr>
        <w:t>and</w:t>
      </w:r>
      <w:r>
        <w:rPr>
          <w:spacing w:val="-4"/>
          <w:sz w:val="24"/>
        </w:rPr>
        <w:t xml:space="preserve"> </w:t>
      </w:r>
      <w:r>
        <w:rPr>
          <w:sz w:val="24"/>
        </w:rPr>
        <w:t>factors</w:t>
      </w:r>
      <w:r>
        <w:rPr>
          <w:spacing w:val="-6"/>
          <w:sz w:val="24"/>
        </w:rPr>
        <w:t xml:space="preserve"> </w:t>
      </w:r>
      <w:r>
        <w:rPr>
          <w:sz w:val="24"/>
        </w:rPr>
        <w:t>used</w:t>
      </w:r>
      <w:r>
        <w:rPr>
          <w:spacing w:val="-6"/>
          <w:sz w:val="24"/>
        </w:rPr>
        <w:t xml:space="preserve"> </w:t>
      </w:r>
      <w:r>
        <w:rPr>
          <w:sz w:val="24"/>
        </w:rPr>
        <w:t>to</w:t>
      </w:r>
      <w:r>
        <w:rPr>
          <w:spacing w:val="-6"/>
          <w:sz w:val="24"/>
        </w:rPr>
        <w:t xml:space="preserve"> </w:t>
      </w:r>
      <w:r>
        <w:rPr>
          <w:sz w:val="24"/>
        </w:rPr>
        <w:t>reflect</w:t>
      </w:r>
      <w:r>
        <w:rPr>
          <w:spacing w:val="-6"/>
          <w:sz w:val="24"/>
        </w:rPr>
        <w:t xml:space="preserve"> </w:t>
      </w:r>
      <w:r>
        <w:rPr>
          <w:sz w:val="24"/>
        </w:rPr>
        <w:t>differences</w:t>
      </w:r>
      <w:r>
        <w:rPr>
          <w:spacing w:val="-4"/>
          <w:sz w:val="24"/>
        </w:rPr>
        <w:t xml:space="preserve"> </w:t>
      </w:r>
      <w:r>
        <w:rPr>
          <w:sz w:val="24"/>
        </w:rPr>
        <w:t>between</w:t>
      </w:r>
      <w:r>
        <w:rPr>
          <w:spacing w:val="-6"/>
          <w:sz w:val="24"/>
        </w:rPr>
        <w:t xml:space="preserve"> </w:t>
      </w:r>
      <w:r>
        <w:rPr>
          <w:sz w:val="24"/>
        </w:rPr>
        <w:t>the</w:t>
      </w:r>
      <w:r>
        <w:rPr>
          <w:spacing w:val="-6"/>
          <w:sz w:val="24"/>
        </w:rPr>
        <w:t xml:space="preserve"> </w:t>
      </w:r>
      <w:r>
        <w:rPr>
          <w:sz w:val="24"/>
        </w:rPr>
        <w:t>underlying population and that expected of the Part D plan;</w:t>
      </w:r>
    </w:p>
    <w:p>
      <w:pPr>
        <w:pStyle w:val="ListParagraph"/>
        <w:numPr>
          <w:ilvl w:val="2"/>
          <w:numId w:val="4"/>
        </w:numPr>
        <w:tabs>
          <w:tab w:val="left" w:pos="1844"/>
        </w:tabs>
        <w:spacing w:before="43" w:after="0" w:line="235" w:lineRule="auto"/>
        <w:ind w:left="1844" w:right="699" w:hanging="720"/>
        <w:jc w:val="left"/>
        <w:rPr>
          <w:sz w:val="24"/>
        </w:rPr>
      </w:pPr>
      <w:r>
        <w:rPr>
          <w:sz w:val="24"/>
        </w:rPr>
        <w:t>Techniques</w:t>
      </w:r>
      <w:r>
        <w:rPr>
          <w:spacing w:val="-4"/>
          <w:sz w:val="24"/>
        </w:rPr>
        <w:t xml:space="preserve"> </w:t>
      </w:r>
      <w:r>
        <w:rPr>
          <w:sz w:val="24"/>
        </w:rPr>
        <w:t>and</w:t>
      </w:r>
      <w:r>
        <w:rPr>
          <w:spacing w:val="-2"/>
          <w:sz w:val="24"/>
        </w:rPr>
        <w:t xml:space="preserve"> </w:t>
      </w:r>
      <w:r>
        <w:rPr>
          <w:sz w:val="24"/>
        </w:rPr>
        <w:t>factors</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adjust</w:t>
      </w:r>
      <w:r>
        <w:rPr>
          <w:spacing w:val="-4"/>
          <w:sz w:val="24"/>
        </w:rPr>
        <w:t xml:space="preserve"> </w:t>
      </w:r>
      <w:r>
        <w:rPr>
          <w:sz w:val="24"/>
        </w:rPr>
        <w:t>for</w:t>
      </w:r>
      <w:r>
        <w:rPr>
          <w:spacing w:val="-6"/>
          <w:sz w:val="24"/>
        </w:rPr>
        <w:t xml:space="preserve"> </w:t>
      </w:r>
      <w:r>
        <w:rPr>
          <w:sz w:val="24"/>
        </w:rPr>
        <w:t>differences</w:t>
      </w:r>
      <w:r>
        <w:rPr>
          <w:spacing w:val="-4"/>
          <w:sz w:val="24"/>
        </w:rPr>
        <w:t xml:space="preserve"> </w:t>
      </w:r>
      <w:r>
        <w:rPr>
          <w:sz w:val="24"/>
        </w:rPr>
        <w:t>in</w:t>
      </w:r>
      <w:r>
        <w:rPr>
          <w:spacing w:val="-4"/>
          <w:sz w:val="24"/>
        </w:rPr>
        <w:t xml:space="preserve"> </w:t>
      </w:r>
      <w:r>
        <w:rPr>
          <w:sz w:val="24"/>
        </w:rPr>
        <w:t>plan</w:t>
      </w:r>
      <w:r>
        <w:rPr>
          <w:spacing w:val="-4"/>
          <w:sz w:val="24"/>
        </w:rPr>
        <w:t xml:space="preserve"> </w:t>
      </w:r>
      <w:r>
        <w:rPr>
          <w:sz w:val="24"/>
        </w:rPr>
        <w:t>design</w:t>
      </w:r>
      <w:r>
        <w:rPr>
          <w:spacing w:val="-4"/>
          <w:sz w:val="24"/>
        </w:rPr>
        <w:t xml:space="preserve"> </w:t>
      </w:r>
      <w:r>
        <w:rPr>
          <w:sz w:val="24"/>
        </w:rPr>
        <w:t>between the source data and the Part D plan; and</w:t>
      </w:r>
    </w:p>
    <w:p>
      <w:pPr>
        <w:pStyle w:val="ListParagraph"/>
        <w:numPr>
          <w:ilvl w:val="2"/>
          <w:numId w:val="4"/>
        </w:numPr>
        <w:tabs>
          <w:tab w:val="left" w:pos="1844"/>
        </w:tabs>
        <w:spacing w:before="42" w:after="0" w:line="232" w:lineRule="auto"/>
        <w:ind w:left="1844" w:right="663" w:hanging="720"/>
        <w:jc w:val="left"/>
        <w:rPr>
          <w:sz w:val="24"/>
        </w:rPr>
      </w:pPr>
      <w:r>
        <w:rPr>
          <w:sz w:val="24"/>
        </w:rPr>
        <w:t>Approach and factors applied to account for incomplete claim run-out, formulary</w:t>
      </w:r>
      <w:r>
        <w:rPr>
          <w:spacing w:val="-4"/>
          <w:sz w:val="24"/>
        </w:rPr>
        <w:t xml:space="preserve"> </w:t>
      </w:r>
      <w:r>
        <w:rPr>
          <w:sz w:val="24"/>
        </w:rPr>
        <w:t>differences</w:t>
      </w:r>
      <w:r>
        <w:rPr>
          <w:spacing w:val="-4"/>
          <w:sz w:val="24"/>
        </w:rPr>
        <w:t xml:space="preserve"> </w:t>
      </w:r>
      <w:r>
        <w:rPr>
          <w:sz w:val="24"/>
        </w:rPr>
        <w:t>and/or</w:t>
      </w:r>
      <w:r>
        <w:rPr>
          <w:spacing w:val="-4"/>
          <w:sz w:val="24"/>
        </w:rPr>
        <w:t xml:space="preserve"> </w:t>
      </w:r>
      <w:r>
        <w:rPr>
          <w:sz w:val="24"/>
        </w:rPr>
        <w:t>expenditures</w:t>
      </w:r>
      <w:r>
        <w:rPr>
          <w:spacing w:val="-4"/>
          <w:sz w:val="24"/>
        </w:rPr>
        <w:t xml:space="preserve"> </w:t>
      </w:r>
      <w:r>
        <w:rPr>
          <w:sz w:val="24"/>
        </w:rPr>
        <w:t>that</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reflected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 xml:space="preserve">source </w:t>
      </w:r>
      <w:r>
        <w:rPr>
          <w:spacing w:val="-2"/>
          <w:sz w:val="24"/>
        </w:rPr>
        <w:t>data.</w:t>
      </w:r>
    </w:p>
    <w:p>
      <w:pPr>
        <w:pStyle w:val="ListParagraph"/>
        <w:numPr>
          <w:ilvl w:val="1"/>
          <w:numId w:val="4"/>
        </w:numPr>
        <w:tabs>
          <w:tab w:val="left" w:pos="1123"/>
        </w:tabs>
        <w:spacing w:before="38" w:after="0" w:line="240" w:lineRule="auto"/>
        <w:ind w:left="1123" w:right="0" w:hanging="539"/>
        <w:jc w:val="left"/>
        <w:rPr>
          <w:sz w:val="24"/>
        </w:rPr>
      </w:pPr>
      <w:r>
        <w:rPr>
          <w:sz w:val="24"/>
        </w:rPr>
        <w:t>Data</w:t>
      </w:r>
      <w:r>
        <w:rPr>
          <w:spacing w:val="-1"/>
          <w:sz w:val="24"/>
        </w:rPr>
        <w:t xml:space="preserve"> </w:t>
      </w:r>
      <w:r>
        <w:rPr>
          <w:sz w:val="24"/>
        </w:rPr>
        <w:t>and</w:t>
      </w:r>
      <w:r>
        <w:rPr>
          <w:spacing w:val="-1"/>
          <w:sz w:val="24"/>
        </w:rPr>
        <w:t xml:space="preserve"> </w:t>
      </w:r>
      <w:r>
        <w:rPr>
          <w:sz w:val="24"/>
        </w:rPr>
        <w:t>methodology used</w:t>
      </w:r>
      <w:r>
        <w:rPr>
          <w:spacing w:val="-1"/>
          <w:sz w:val="24"/>
        </w:rPr>
        <w:t xml:space="preserve"> </w:t>
      </w:r>
      <w:r>
        <w:rPr>
          <w:sz w:val="24"/>
        </w:rPr>
        <w:t>to project</w:t>
      </w:r>
      <w:r>
        <w:rPr>
          <w:spacing w:val="-1"/>
          <w:sz w:val="24"/>
        </w:rPr>
        <w:t xml:space="preserve"> </w:t>
      </w:r>
      <w:r>
        <w:rPr>
          <w:sz w:val="24"/>
        </w:rPr>
        <w:t>the</w:t>
      </w:r>
      <w:r>
        <w:rPr>
          <w:spacing w:val="-1"/>
          <w:sz w:val="24"/>
        </w:rPr>
        <w:t xml:space="preserve"> </w:t>
      </w:r>
      <w:r>
        <w:rPr>
          <w:sz w:val="24"/>
        </w:rPr>
        <w:t>data</w:t>
      </w:r>
      <w:r>
        <w:rPr>
          <w:spacing w:val="-2"/>
          <w:sz w:val="24"/>
        </w:rPr>
        <w:t xml:space="preserve"> </w:t>
      </w:r>
      <w:r>
        <w:rPr>
          <w:sz w:val="24"/>
        </w:rPr>
        <w:t>from</w:t>
      </w:r>
      <w:r>
        <w:rPr>
          <w:spacing w:val="3"/>
          <w:sz w:val="24"/>
        </w:rPr>
        <w:t xml:space="preserve"> </w:t>
      </w:r>
      <w:r>
        <w:rPr>
          <w:sz w:val="24"/>
        </w:rPr>
        <w:t>the</w:t>
      </w:r>
      <w:r>
        <w:rPr>
          <w:spacing w:val="-1"/>
          <w:sz w:val="24"/>
        </w:rPr>
        <w:t xml:space="preserve"> </w:t>
      </w:r>
      <w:r>
        <w:rPr>
          <w:sz w:val="24"/>
        </w:rPr>
        <w:t>incurred period</w:t>
      </w:r>
      <w:r>
        <w:rPr>
          <w:spacing w:val="-1"/>
          <w:sz w:val="24"/>
        </w:rPr>
        <w:t xml:space="preserve"> </w:t>
      </w:r>
      <w:r>
        <w:rPr>
          <w:sz w:val="24"/>
        </w:rPr>
        <w:t xml:space="preserve">to </w:t>
      </w:r>
      <w:r>
        <w:rPr>
          <w:spacing w:val="-2"/>
          <w:sz w:val="24"/>
        </w:rPr>
        <w:t>CY2026.</w:t>
      </w:r>
    </w:p>
    <w:p>
      <w:pPr>
        <w:pStyle w:val="ListParagraph"/>
        <w:numPr>
          <w:ilvl w:val="1"/>
          <w:numId w:val="4"/>
        </w:numPr>
        <w:tabs>
          <w:tab w:val="left" w:pos="1123"/>
        </w:tabs>
        <w:spacing w:before="36" w:after="0" w:line="240" w:lineRule="auto"/>
        <w:ind w:left="1123" w:right="0" w:hanging="539"/>
        <w:jc w:val="left"/>
        <w:rPr>
          <w:sz w:val="24"/>
        </w:rPr>
      </w:pPr>
      <w:r>
        <w:rPr>
          <w:sz w:val="24"/>
        </w:rPr>
        <w:t>The</w:t>
      </w:r>
      <w:r>
        <w:rPr>
          <w:spacing w:val="-5"/>
          <w:sz w:val="24"/>
        </w:rPr>
        <w:t xml:space="preserve"> </w:t>
      </w:r>
      <w:r>
        <w:rPr>
          <w:sz w:val="24"/>
        </w:rPr>
        <w:t>distribution</w:t>
      </w:r>
      <w:r>
        <w:rPr>
          <w:spacing w:val="-1"/>
          <w:sz w:val="24"/>
        </w:rPr>
        <w:t xml:space="preserve"> </w:t>
      </w:r>
      <w:r>
        <w:rPr>
          <w:sz w:val="24"/>
        </w:rPr>
        <w:t>of</w:t>
      </w:r>
      <w:r>
        <w:rPr>
          <w:spacing w:val="-1"/>
          <w:sz w:val="24"/>
        </w:rPr>
        <w:t xml:space="preserve"> </w:t>
      </w:r>
      <w:r>
        <w:rPr>
          <w:sz w:val="24"/>
        </w:rPr>
        <w:t>member</w:t>
      </w:r>
      <w:r>
        <w:rPr>
          <w:spacing w:val="-1"/>
          <w:sz w:val="24"/>
        </w:rPr>
        <w:t xml:space="preserve"> </w:t>
      </w:r>
      <w:r>
        <w:rPr>
          <w:sz w:val="24"/>
        </w:rPr>
        <w:t>months, allowable</w:t>
      </w:r>
      <w:r>
        <w:rPr>
          <w:spacing w:val="-1"/>
          <w:sz w:val="24"/>
        </w:rPr>
        <w:t xml:space="preserve"> </w:t>
      </w:r>
      <w:r>
        <w:rPr>
          <w:sz w:val="24"/>
        </w:rPr>
        <w:t>costs, and</w:t>
      </w:r>
      <w:r>
        <w:rPr>
          <w:spacing w:val="-1"/>
          <w:sz w:val="24"/>
        </w:rPr>
        <w:t xml:space="preserve"> </w:t>
      </w:r>
      <w:r>
        <w:rPr>
          <w:sz w:val="24"/>
        </w:rPr>
        <w:t>scripts by</w:t>
      </w:r>
      <w:r>
        <w:rPr>
          <w:spacing w:val="-1"/>
          <w:sz w:val="24"/>
        </w:rPr>
        <w:t xml:space="preserve"> </w:t>
      </w:r>
      <w:r>
        <w:rPr>
          <w:sz w:val="24"/>
        </w:rPr>
        <w:t>benefit</w:t>
      </w:r>
      <w:r>
        <w:rPr>
          <w:spacing w:val="2"/>
          <w:sz w:val="24"/>
        </w:rPr>
        <w:t xml:space="preserve"> </w:t>
      </w:r>
      <w:r>
        <w:rPr>
          <w:spacing w:val="-2"/>
          <w:sz w:val="24"/>
        </w:rPr>
        <w:t>phase.</w:t>
      </w:r>
    </w:p>
    <w:p>
      <w:pPr>
        <w:pStyle w:val="ListParagraph"/>
        <w:numPr>
          <w:ilvl w:val="1"/>
          <w:numId w:val="4"/>
        </w:numPr>
        <w:tabs>
          <w:tab w:val="left" w:pos="1123"/>
        </w:tabs>
        <w:spacing w:before="33" w:after="0" w:line="240" w:lineRule="auto"/>
        <w:ind w:left="1123" w:right="0" w:hanging="539"/>
        <w:jc w:val="left"/>
        <w:rPr>
          <w:sz w:val="24"/>
        </w:rPr>
      </w:pPr>
      <w:r>
        <w:rPr>
          <w:sz w:val="24"/>
        </w:rPr>
        <w:t>All</w:t>
      </w:r>
      <w:r>
        <w:rPr>
          <w:spacing w:val="-2"/>
          <w:sz w:val="24"/>
        </w:rPr>
        <w:t xml:space="preserve"> </w:t>
      </w:r>
      <w:r>
        <w:rPr>
          <w:sz w:val="24"/>
        </w:rPr>
        <w:t>other</w:t>
      </w:r>
      <w:r>
        <w:rPr>
          <w:spacing w:val="-2"/>
          <w:sz w:val="24"/>
        </w:rPr>
        <w:t xml:space="preserve"> </w:t>
      </w:r>
      <w:r>
        <w:rPr>
          <w:sz w:val="24"/>
        </w:rPr>
        <w:t>applicable factors</w:t>
      </w:r>
      <w:r>
        <w:rPr>
          <w:spacing w:val="-2"/>
          <w:sz w:val="24"/>
        </w:rPr>
        <w:t xml:space="preserve"> </w:t>
      </w:r>
      <w:r>
        <w:rPr>
          <w:sz w:val="24"/>
        </w:rPr>
        <w:t>and/or</w:t>
      </w:r>
      <w:r>
        <w:rPr>
          <w:spacing w:val="-1"/>
          <w:sz w:val="24"/>
        </w:rPr>
        <w:t xml:space="preserve"> </w:t>
      </w:r>
      <w:r>
        <w:rPr>
          <w:spacing w:val="-2"/>
          <w:sz w:val="24"/>
        </w:rPr>
        <w:t>adjustments.</w:t>
      </w:r>
    </w:p>
    <w:p>
      <w:pPr>
        <w:pStyle w:val="ListParagraph"/>
        <w:numPr>
          <w:ilvl w:val="0"/>
          <w:numId w:val="4"/>
        </w:numPr>
        <w:tabs>
          <w:tab w:val="left" w:pos="584"/>
        </w:tabs>
        <w:spacing w:before="34" w:after="0" w:line="240" w:lineRule="auto"/>
        <w:ind w:left="584" w:right="0" w:hanging="360"/>
        <w:jc w:val="left"/>
        <w:rPr>
          <w:sz w:val="24"/>
        </w:rPr>
      </w:pPr>
      <w:r>
        <w:rPr>
          <w:sz w:val="24"/>
        </w:rPr>
        <w:t>A</w:t>
      </w:r>
      <w:r>
        <w:rPr>
          <w:spacing w:val="-2"/>
          <w:sz w:val="24"/>
        </w:rPr>
        <w:t xml:space="preserve"> </w:t>
      </w:r>
      <w:r>
        <w:rPr>
          <w:sz w:val="24"/>
        </w:rPr>
        <w:t>Part</w:t>
      </w:r>
      <w:r>
        <w:rPr>
          <w:spacing w:val="-1"/>
          <w:sz w:val="24"/>
        </w:rPr>
        <w:t xml:space="preserve"> </w:t>
      </w:r>
      <w:r>
        <w:rPr>
          <w:sz w:val="24"/>
        </w:rPr>
        <w:t>D</w:t>
      </w:r>
      <w:r>
        <w:rPr>
          <w:spacing w:val="-1"/>
          <w:sz w:val="24"/>
        </w:rPr>
        <w:t xml:space="preserve"> </w:t>
      </w:r>
      <w:r>
        <w:rPr>
          <w:sz w:val="24"/>
        </w:rPr>
        <w:t>sponsor</w:t>
      </w:r>
      <w:r>
        <w:rPr>
          <w:spacing w:val="-1"/>
          <w:sz w:val="24"/>
        </w:rPr>
        <w:t xml:space="preserve"> </w:t>
      </w:r>
      <w:r>
        <w:rPr>
          <w:sz w:val="24"/>
        </w:rPr>
        <w:t>in a</w:t>
      </w:r>
      <w:r>
        <w:rPr>
          <w:spacing w:val="-2"/>
          <w:sz w:val="24"/>
        </w:rPr>
        <w:t xml:space="preserve"> </w:t>
      </w:r>
      <w:r>
        <w:rPr>
          <w:sz w:val="24"/>
        </w:rPr>
        <w:t>related-party arrangement</w:t>
      </w:r>
      <w:r>
        <w:rPr>
          <w:spacing w:val="2"/>
          <w:sz w:val="24"/>
        </w:rPr>
        <w:t xml:space="preserve"> </w:t>
      </w:r>
      <w:r>
        <w:rPr>
          <w:sz w:val="24"/>
        </w:rPr>
        <w:t>must provide</w:t>
      </w:r>
      <w:r>
        <w:rPr>
          <w:spacing w:val="-1"/>
          <w:sz w:val="24"/>
        </w:rPr>
        <w:t xml:space="preserve"> </w:t>
      </w:r>
      <w:r>
        <w:rPr>
          <w:sz w:val="24"/>
        </w:rPr>
        <w:t>the</w:t>
      </w:r>
      <w:r>
        <w:rPr>
          <w:spacing w:val="-1"/>
          <w:sz w:val="24"/>
        </w:rPr>
        <w:t xml:space="preserve"> </w:t>
      </w:r>
      <w:r>
        <w:rPr>
          <w:spacing w:val="-2"/>
          <w:sz w:val="24"/>
        </w:rPr>
        <w:t>following:</w:t>
      </w:r>
    </w:p>
    <w:p>
      <w:pPr>
        <w:pStyle w:val="ListParagraph"/>
        <w:numPr>
          <w:ilvl w:val="1"/>
          <w:numId w:val="4"/>
        </w:numPr>
        <w:tabs>
          <w:tab w:val="left" w:pos="1124"/>
        </w:tabs>
        <w:spacing w:before="43" w:after="0" w:line="232" w:lineRule="auto"/>
        <w:ind w:left="1124" w:right="1035" w:hanging="540"/>
        <w:jc w:val="left"/>
        <w:rPr>
          <w:sz w:val="24"/>
        </w:rPr>
      </w:pPr>
      <w:r>
        <w:rPr>
          <w:sz w:val="24"/>
        </w:rPr>
        <w:t>Declaration</w:t>
      </w:r>
      <w:r>
        <w:rPr>
          <w:spacing w:val="-4"/>
          <w:sz w:val="24"/>
        </w:rPr>
        <w:t xml:space="preserve"> </w:t>
      </w:r>
      <w:r>
        <w:rPr>
          <w:sz w:val="24"/>
        </w:rPr>
        <w:t>of</w:t>
      </w:r>
      <w:r>
        <w:rPr>
          <w:spacing w:val="-5"/>
          <w:sz w:val="24"/>
        </w:rPr>
        <w:t xml:space="preserve"> </w:t>
      </w:r>
      <w:r>
        <w:rPr>
          <w:sz w:val="24"/>
        </w:rPr>
        <w:t>every</w:t>
      </w:r>
      <w:r>
        <w:rPr>
          <w:spacing w:val="-4"/>
          <w:sz w:val="24"/>
        </w:rPr>
        <w:t xml:space="preserve"> </w:t>
      </w:r>
      <w:r>
        <w:rPr>
          <w:sz w:val="24"/>
        </w:rPr>
        <w:t>related-party</w:t>
      </w:r>
      <w:r>
        <w:rPr>
          <w:spacing w:val="-4"/>
          <w:sz w:val="24"/>
        </w:rPr>
        <w:t xml:space="preserve"> </w:t>
      </w:r>
      <w:r>
        <w:rPr>
          <w:sz w:val="24"/>
        </w:rPr>
        <w:t>arrangement</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base</w:t>
      </w:r>
      <w:r>
        <w:rPr>
          <w:spacing w:val="-5"/>
          <w:sz w:val="24"/>
        </w:rPr>
        <w:t xml:space="preserve"> </w:t>
      </w:r>
      <w:r>
        <w:rPr>
          <w:sz w:val="24"/>
        </w:rPr>
        <w:t>period</w:t>
      </w:r>
      <w:r>
        <w:rPr>
          <w:spacing w:val="-4"/>
          <w:sz w:val="24"/>
        </w:rPr>
        <w:t xml:space="preserve"> </w:t>
      </w:r>
      <w:r>
        <w:rPr>
          <w:sz w:val="24"/>
        </w:rPr>
        <w:t>and</w:t>
      </w:r>
      <w:r>
        <w:rPr>
          <w:spacing w:val="-4"/>
          <w:sz w:val="24"/>
        </w:rPr>
        <w:t xml:space="preserve"> </w:t>
      </w:r>
      <w:r>
        <w:rPr>
          <w:sz w:val="24"/>
        </w:rPr>
        <w:t xml:space="preserve">projection </w:t>
      </w:r>
      <w:r>
        <w:rPr>
          <w:spacing w:val="-2"/>
          <w:sz w:val="24"/>
        </w:rPr>
        <w:t>period.</w:t>
      </w:r>
    </w:p>
    <w:p>
      <w:pPr>
        <w:pStyle w:val="ListParagraph"/>
        <w:numPr>
          <w:ilvl w:val="1"/>
          <w:numId w:val="4"/>
        </w:numPr>
        <w:tabs>
          <w:tab w:val="left" w:pos="1124"/>
        </w:tabs>
        <w:spacing w:before="43" w:after="0" w:line="232" w:lineRule="auto"/>
        <w:ind w:left="1124" w:right="951" w:hanging="540"/>
        <w:jc w:val="left"/>
        <w:rPr>
          <w:sz w:val="24"/>
        </w:rPr>
      </w:pPr>
      <w:r>
        <w:rPr>
          <w:sz w:val="24"/>
        </w:rPr>
        <w:t>Disclosure</w:t>
      </w:r>
      <w:r>
        <w:rPr>
          <w:spacing w:val="-5"/>
          <w:sz w:val="24"/>
        </w:rPr>
        <w:t xml:space="preserve"> </w:t>
      </w:r>
      <w:r>
        <w:rPr>
          <w:sz w:val="24"/>
        </w:rPr>
        <w:t>of</w:t>
      </w:r>
      <w:r>
        <w:rPr>
          <w:spacing w:val="-4"/>
          <w:sz w:val="24"/>
        </w:rPr>
        <w:t xml:space="preserve"> </w:t>
      </w:r>
      <w:r>
        <w:rPr>
          <w:sz w:val="24"/>
        </w:rPr>
        <w:t>all</w:t>
      </w:r>
      <w:r>
        <w:rPr>
          <w:spacing w:val="-4"/>
          <w:sz w:val="24"/>
        </w:rPr>
        <w:t xml:space="preserve"> </w:t>
      </w:r>
      <w:r>
        <w:rPr>
          <w:sz w:val="24"/>
        </w:rPr>
        <w:t>services</w:t>
      </w:r>
      <w:r>
        <w:rPr>
          <w:spacing w:val="-2"/>
          <w:sz w:val="24"/>
        </w:rPr>
        <w:t xml:space="preserve"> </w:t>
      </w:r>
      <w:r>
        <w:rPr>
          <w:sz w:val="24"/>
        </w:rPr>
        <w:t>provided</w:t>
      </w:r>
      <w:r>
        <w:rPr>
          <w:spacing w:val="-4"/>
          <w:sz w:val="24"/>
        </w:rPr>
        <w:t xml:space="preserve"> </w:t>
      </w:r>
      <w:r>
        <w:rPr>
          <w:sz w:val="24"/>
        </w:rPr>
        <w:t>in</w:t>
      </w:r>
      <w:r>
        <w:rPr>
          <w:spacing w:val="-4"/>
          <w:sz w:val="24"/>
        </w:rPr>
        <w:t xml:space="preserve"> </w:t>
      </w:r>
      <w:r>
        <w:rPr>
          <w:sz w:val="24"/>
        </w:rPr>
        <w:t>every</w:t>
      </w:r>
      <w:r>
        <w:rPr>
          <w:spacing w:val="-3"/>
          <w:sz w:val="24"/>
        </w:rPr>
        <w:t xml:space="preserve"> </w:t>
      </w:r>
      <w:r>
        <w:rPr>
          <w:sz w:val="24"/>
        </w:rPr>
        <w:t>related-party</w:t>
      </w:r>
      <w:r>
        <w:rPr>
          <w:spacing w:val="-4"/>
          <w:sz w:val="24"/>
        </w:rPr>
        <w:t xml:space="preserve"> </w:t>
      </w:r>
      <w:r>
        <w:rPr>
          <w:sz w:val="24"/>
        </w:rPr>
        <w:t>arrangement</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base period and projection period.</w:t>
      </w:r>
    </w:p>
    <w:p>
      <w:pPr>
        <w:pStyle w:val="ListParagraph"/>
        <w:numPr>
          <w:ilvl w:val="1"/>
          <w:numId w:val="4"/>
        </w:numPr>
        <w:tabs>
          <w:tab w:val="left" w:pos="1124"/>
        </w:tabs>
        <w:spacing w:before="46" w:after="0" w:line="232" w:lineRule="auto"/>
        <w:ind w:left="1124" w:right="1282" w:hanging="540"/>
        <w:jc w:val="left"/>
        <w:rPr>
          <w:sz w:val="24"/>
        </w:rPr>
      </w:pPr>
      <w:r>
        <w:rPr>
          <w:sz w:val="24"/>
        </w:rPr>
        <w:t>A</w:t>
      </w:r>
      <w:r>
        <w:rPr>
          <w:spacing w:val="-4"/>
          <w:sz w:val="24"/>
        </w:rPr>
        <w:t xml:space="preserve"> </w:t>
      </w:r>
      <w:r>
        <w:rPr>
          <w:sz w:val="24"/>
        </w:rPr>
        <w:t>summary</w:t>
      </w:r>
      <w:r>
        <w:rPr>
          <w:spacing w:val="-4"/>
          <w:sz w:val="24"/>
        </w:rPr>
        <w:t xml:space="preserve"> </w:t>
      </w:r>
      <w:r>
        <w:rPr>
          <w:sz w:val="24"/>
        </w:rPr>
        <w:t>that</w:t>
      </w:r>
      <w:r>
        <w:rPr>
          <w:spacing w:val="-4"/>
          <w:sz w:val="24"/>
        </w:rPr>
        <w:t xml:space="preserve"> </w:t>
      </w:r>
      <w:r>
        <w:rPr>
          <w:sz w:val="24"/>
        </w:rPr>
        <w:t>explains</w:t>
      </w:r>
      <w:r>
        <w:rPr>
          <w:spacing w:val="-2"/>
          <w:sz w:val="24"/>
        </w:rPr>
        <w:t xml:space="preserve"> </w:t>
      </w:r>
      <w:r>
        <w:rPr>
          <w:sz w:val="24"/>
        </w:rPr>
        <w:t>the</w:t>
      </w:r>
      <w:r>
        <w:rPr>
          <w:spacing w:val="-4"/>
          <w:sz w:val="24"/>
        </w:rPr>
        <w:t xml:space="preserve"> </w:t>
      </w:r>
      <w:r>
        <w:rPr>
          <w:sz w:val="24"/>
        </w:rPr>
        <w:t>relationship</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parties</w:t>
      </w:r>
      <w:r>
        <w:rPr>
          <w:spacing w:val="-4"/>
          <w:sz w:val="24"/>
        </w:rPr>
        <w:t xml:space="preserve"> </w:t>
      </w:r>
      <w:r>
        <w:rPr>
          <w:sz w:val="24"/>
        </w:rPr>
        <w:t>involved</w:t>
      </w:r>
      <w:r>
        <w:rPr>
          <w:spacing w:val="-4"/>
          <w:sz w:val="24"/>
        </w:rPr>
        <w:t xml:space="preserve"> </w:t>
      </w:r>
      <w:r>
        <w:rPr>
          <w:sz w:val="24"/>
        </w:rPr>
        <w:t>and</w:t>
      </w:r>
      <w:r>
        <w:rPr>
          <w:spacing w:val="-4"/>
          <w:sz w:val="24"/>
        </w:rPr>
        <w:t xml:space="preserve"> </w:t>
      </w:r>
      <w:r>
        <w:rPr>
          <w:sz w:val="24"/>
        </w:rPr>
        <w:t>common ownership, control and investment in the base period and projection period.</w:t>
      </w:r>
    </w:p>
    <w:p>
      <w:pPr>
        <w:pStyle w:val="ListParagraph"/>
        <w:numPr>
          <w:ilvl w:val="1"/>
          <w:numId w:val="4"/>
        </w:numPr>
        <w:tabs>
          <w:tab w:val="left" w:pos="1124"/>
        </w:tabs>
        <w:spacing w:before="43" w:after="0" w:line="235" w:lineRule="auto"/>
        <w:ind w:left="1124" w:right="468" w:hanging="540"/>
        <w:jc w:val="left"/>
        <w:rPr>
          <w:sz w:val="24"/>
        </w:rPr>
      </w:pPr>
      <w:r>
        <w:rPr>
          <w:sz w:val="24"/>
        </w:rPr>
        <w:t>If</w:t>
      </w:r>
      <w:r>
        <w:rPr>
          <w:spacing w:val="-3"/>
          <w:sz w:val="24"/>
        </w:rPr>
        <w:t xml:space="preserve"> </w:t>
      </w:r>
      <w:r>
        <w:rPr>
          <w:sz w:val="24"/>
        </w:rPr>
        <w:t>the</w:t>
      </w:r>
      <w:r>
        <w:rPr>
          <w:spacing w:val="-5"/>
          <w:sz w:val="24"/>
        </w:rPr>
        <w:t xml:space="preserve"> </w:t>
      </w:r>
      <w:r>
        <w:rPr>
          <w:sz w:val="24"/>
        </w:rPr>
        <w:t>ratio</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total</w:t>
      </w:r>
      <w:r>
        <w:rPr>
          <w:spacing w:val="-3"/>
          <w:sz w:val="24"/>
        </w:rPr>
        <w:t xml:space="preserve"> </w:t>
      </w:r>
      <w:r>
        <w:rPr>
          <w:sz w:val="24"/>
        </w:rPr>
        <w:t>related-party</w:t>
      </w:r>
      <w:r>
        <w:rPr>
          <w:spacing w:val="-3"/>
          <w:sz w:val="24"/>
        </w:rPr>
        <w:t xml:space="preserve"> </w:t>
      </w:r>
      <w:r>
        <w:rPr>
          <w:sz w:val="24"/>
        </w:rPr>
        <w:t>expenses</w:t>
      </w:r>
      <w:r>
        <w:rPr>
          <w:spacing w:val="-3"/>
          <w:sz w:val="24"/>
        </w:rPr>
        <w:t xml:space="preserve"> </w:t>
      </w:r>
      <w:r>
        <w:rPr>
          <w:sz w:val="24"/>
        </w:rPr>
        <w:t>on</w:t>
      </w:r>
      <w:r>
        <w:rPr>
          <w:spacing w:val="-1"/>
          <w:sz w:val="24"/>
        </w:rPr>
        <w:t xml:space="preserve"> </w:t>
      </w:r>
      <w:r>
        <w:rPr>
          <w:sz w:val="24"/>
        </w:rPr>
        <w:t>Worksheet</w:t>
      </w:r>
      <w:r>
        <w:rPr>
          <w:spacing w:val="-2"/>
          <w:sz w:val="24"/>
        </w:rPr>
        <w:t xml:space="preserve"> </w:t>
      </w:r>
      <w:r>
        <w:rPr>
          <w:sz w:val="24"/>
        </w:rPr>
        <w:t>2</w:t>
      </w:r>
      <w:r>
        <w:rPr>
          <w:spacing w:val="-3"/>
          <w:sz w:val="24"/>
        </w:rPr>
        <w:t xml:space="preserve"> </w:t>
      </w:r>
      <w:r>
        <w:rPr>
          <w:sz w:val="24"/>
        </w:rPr>
        <w:t>(cell</w:t>
      </w:r>
      <w:r>
        <w:rPr>
          <w:spacing w:val="-2"/>
          <w:sz w:val="24"/>
        </w:rPr>
        <w:t xml:space="preserve"> </w:t>
      </w:r>
      <w:r>
        <w:rPr>
          <w:sz w:val="24"/>
        </w:rPr>
        <w:t>N61</w:t>
      </w:r>
      <w:r>
        <w:rPr>
          <w:spacing w:val="-3"/>
          <w:sz w:val="24"/>
        </w:rPr>
        <w:t xml:space="preserve"> </w:t>
      </w:r>
      <w:r>
        <w:rPr>
          <w:sz w:val="24"/>
        </w:rPr>
        <w:t>plus</w:t>
      </w:r>
      <w:r>
        <w:rPr>
          <w:spacing w:val="-3"/>
          <w:sz w:val="24"/>
        </w:rPr>
        <w:t xml:space="preserve"> </w:t>
      </w:r>
      <w:r>
        <w:rPr>
          <w:sz w:val="24"/>
        </w:rPr>
        <w:t>cell</w:t>
      </w:r>
      <w:r>
        <w:rPr>
          <w:spacing w:val="-2"/>
          <w:sz w:val="24"/>
        </w:rPr>
        <w:t xml:space="preserve"> </w:t>
      </w:r>
      <w:r>
        <w:rPr>
          <w:sz w:val="24"/>
        </w:rPr>
        <w:t>N62) to total blended allowed PMPM on Worksheet 2 (cell P56) plus total non-benefit expenses Worksheet 2 (cell E67) is greater than 30 percent, provide</w:t>
      </w:r>
      <w:r>
        <w:rPr>
          <w:spacing w:val="-1"/>
          <w:sz w:val="24"/>
        </w:rPr>
        <w:t xml:space="preserve"> </w:t>
      </w:r>
      <w:r>
        <w:rPr>
          <w:sz w:val="24"/>
        </w:rPr>
        <w:t>a summary of the contractual terms for the five largest related parties declared in the projection period, including a description of the services provided and money exchanged in the projection period. The five largest related-party relationships are to be determined by their share in the total related-party expenses on Worksheet 2 (cell N61 plus</w:t>
      </w:r>
    </w:p>
    <w:p>
      <w:pPr>
        <w:pStyle w:val="BodyText"/>
        <w:spacing w:before="0" w:line="267" w:lineRule="exact"/>
        <w:ind w:left="1124"/>
      </w:pPr>
      <w:r>
        <w:t>cell</w:t>
      </w:r>
      <w:r>
        <w:rPr>
          <w:spacing w:val="-3"/>
        </w:rPr>
        <w:t xml:space="preserve"> </w:t>
      </w:r>
      <w:r>
        <w:rPr>
          <w:spacing w:val="-2"/>
        </w:rPr>
        <w:t>N62).</w:t>
      </w:r>
    </w:p>
    <w:p>
      <w:pPr>
        <w:pStyle w:val="ListParagraph"/>
        <w:numPr>
          <w:ilvl w:val="1"/>
          <w:numId w:val="4"/>
        </w:numPr>
        <w:tabs>
          <w:tab w:val="left" w:pos="1124"/>
        </w:tabs>
        <w:spacing w:before="38" w:after="0" w:line="235" w:lineRule="auto"/>
        <w:ind w:left="1124" w:right="468" w:hanging="540"/>
        <w:jc w:val="left"/>
        <w:rPr>
          <w:sz w:val="24"/>
        </w:rPr>
      </w:pPr>
      <w:r>
        <w:rPr>
          <w:sz w:val="24"/>
        </w:rPr>
        <w:t>If</w:t>
      </w:r>
      <w:r>
        <w:rPr>
          <w:spacing w:val="-3"/>
          <w:sz w:val="24"/>
        </w:rPr>
        <w:t xml:space="preserve"> </w:t>
      </w:r>
      <w:r>
        <w:rPr>
          <w:sz w:val="24"/>
        </w:rPr>
        <w:t>the</w:t>
      </w:r>
      <w:r>
        <w:rPr>
          <w:spacing w:val="-5"/>
          <w:sz w:val="24"/>
        </w:rPr>
        <w:t xml:space="preserve"> </w:t>
      </w:r>
      <w:r>
        <w:rPr>
          <w:sz w:val="24"/>
        </w:rPr>
        <w:t>ratio</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total</w:t>
      </w:r>
      <w:r>
        <w:rPr>
          <w:spacing w:val="-3"/>
          <w:sz w:val="24"/>
        </w:rPr>
        <w:t xml:space="preserve"> </w:t>
      </w:r>
      <w:r>
        <w:rPr>
          <w:sz w:val="24"/>
        </w:rPr>
        <w:t>related-party</w:t>
      </w:r>
      <w:r>
        <w:rPr>
          <w:spacing w:val="-3"/>
          <w:sz w:val="24"/>
        </w:rPr>
        <w:t xml:space="preserve"> </w:t>
      </w:r>
      <w:r>
        <w:rPr>
          <w:sz w:val="24"/>
        </w:rPr>
        <w:t>expenses</w:t>
      </w:r>
      <w:r>
        <w:rPr>
          <w:spacing w:val="-3"/>
          <w:sz w:val="24"/>
        </w:rPr>
        <w:t xml:space="preserve"> </w:t>
      </w:r>
      <w:r>
        <w:rPr>
          <w:sz w:val="24"/>
        </w:rPr>
        <w:t>on</w:t>
      </w:r>
      <w:r>
        <w:rPr>
          <w:spacing w:val="-1"/>
          <w:sz w:val="24"/>
        </w:rPr>
        <w:t xml:space="preserve"> </w:t>
      </w:r>
      <w:r>
        <w:rPr>
          <w:sz w:val="24"/>
        </w:rPr>
        <w:t>Worksheet</w:t>
      </w:r>
      <w:r>
        <w:rPr>
          <w:spacing w:val="-2"/>
          <w:sz w:val="24"/>
        </w:rPr>
        <w:t xml:space="preserve"> </w:t>
      </w:r>
      <w:r>
        <w:rPr>
          <w:sz w:val="24"/>
        </w:rPr>
        <w:t>2</w:t>
      </w:r>
      <w:r>
        <w:rPr>
          <w:spacing w:val="-3"/>
          <w:sz w:val="24"/>
        </w:rPr>
        <w:t xml:space="preserve"> </w:t>
      </w:r>
      <w:r>
        <w:rPr>
          <w:sz w:val="24"/>
        </w:rPr>
        <w:t>(cell</w:t>
      </w:r>
      <w:r>
        <w:rPr>
          <w:spacing w:val="-2"/>
          <w:sz w:val="24"/>
        </w:rPr>
        <w:t xml:space="preserve"> </w:t>
      </w:r>
      <w:r>
        <w:rPr>
          <w:sz w:val="24"/>
        </w:rPr>
        <w:t>N61</w:t>
      </w:r>
      <w:r>
        <w:rPr>
          <w:spacing w:val="-3"/>
          <w:sz w:val="24"/>
        </w:rPr>
        <w:t xml:space="preserve"> </w:t>
      </w:r>
      <w:r>
        <w:rPr>
          <w:sz w:val="24"/>
        </w:rPr>
        <w:t>plus</w:t>
      </w:r>
      <w:r>
        <w:rPr>
          <w:spacing w:val="-3"/>
          <w:sz w:val="24"/>
        </w:rPr>
        <w:t xml:space="preserve"> </w:t>
      </w:r>
      <w:r>
        <w:rPr>
          <w:sz w:val="24"/>
        </w:rPr>
        <w:t>cell</w:t>
      </w:r>
      <w:r>
        <w:rPr>
          <w:spacing w:val="-2"/>
          <w:sz w:val="24"/>
        </w:rPr>
        <w:t xml:space="preserve"> </w:t>
      </w:r>
      <w:r>
        <w:rPr>
          <w:sz w:val="24"/>
        </w:rPr>
        <w:t>N62) to total blended allowed PMPM on Worksheet 2 (cell P56) plus total non-benefit expenses Worksheet 2 (cell E67) is greater than 30 percent, provide items 13.5.1 and</w:t>
      </w:r>
    </w:p>
    <w:p>
      <w:pPr>
        <w:pStyle w:val="BodyText"/>
        <w:spacing w:before="3" w:line="232" w:lineRule="auto"/>
        <w:ind w:left="1124" w:right="809"/>
      </w:pPr>
      <w:r>
        <w:t>13.5.2</w:t>
      </w:r>
      <w:r>
        <w:rPr>
          <w:spacing w:val="-3"/>
        </w:rPr>
        <w:t xml:space="preserve"> </w:t>
      </w:r>
      <w:r>
        <w:t>for</w:t>
      </w:r>
      <w:r>
        <w:rPr>
          <w:spacing w:val="-4"/>
        </w:rPr>
        <w:t xml:space="preserve"> </w:t>
      </w:r>
      <w:r>
        <w:t>the</w:t>
      </w:r>
      <w:r>
        <w:rPr>
          <w:spacing w:val="-3"/>
        </w:rPr>
        <w:t xml:space="preserve"> </w:t>
      </w:r>
      <w:r>
        <w:t>five</w:t>
      </w:r>
      <w:r>
        <w:rPr>
          <w:spacing w:val="-3"/>
        </w:rPr>
        <w:t xml:space="preserve"> </w:t>
      </w:r>
      <w:r>
        <w:t>largest related</w:t>
      </w:r>
      <w:r>
        <w:rPr>
          <w:spacing w:val="-3"/>
        </w:rPr>
        <w:t xml:space="preserve"> </w:t>
      </w:r>
      <w:r>
        <w:t>parties</w:t>
      </w:r>
      <w:r>
        <w:rPr>
          <w:spacing w:val="-4"/>
        </w:rPr>
        <w:t xml:space="preserve"> </w:t>
      </w:r>
      <w:r>
        <w:t>declared</w:t>
      </w:r>
      <w:r>
        <w:rPr>
          <w:spacing w:val="-3"/>
        </w:rPr>
        <w:t xml:space="preserve"> </w:t>
      </w:r>
      <w:r>
        <w:t>in</w:t>
      </w:r>
      <w:r>
        <w:rPr>
          <w:spacing w:val="-3"/>
        </w:rPr>
        <w:t xml:space="preserve"> </w:t>
      </w:r>
      <w:r>
        <w:t>the</w:t>
      </w:r>
      <w:r>
        <w:rPr>
          <w:spacing w:val="-3"/>
        </w:rPr>
        <w:t xml:space="preserve"> </w:t>
      </w:r>
      <w:r>
        <w:t>projection</w:t>
      </w:r>
      <w:r>
        <w:rPr>
          <w:spacing w:val="-3"/>
        </w:rPr>
        <w:t xml:space="preserve"> </w:t>
      </w:r>
      <w:r>
        <w:t>period.</w:t>
      </w:r>
      <w:r>
        <w:rPr>
          <w:spacing w:val="-3"/>
        </w:rPr>
        <w:t xml:space="preserve"> </w:t>
      </w:r>
      <w:r>
        <w:t>The</w:t>
      </w:r>
      <w:r>
        <w:rPr>
          <w:spacing w:val="-4"/>
        </w:rPr>
        <w:t xml:space="preserve"> </w:t>
      </w:r>
      <w:r>
        <w:t>five largest related-party relationships are to be determined by their share in the total related-party expenses on Worksheet 2 (cell N61 plus cell N62).</w:t>
      </w:r>
    </w:p>
    <w:p>
      <w:pPr>
        <w:pStyle w:val="ListParagraph"/>
        <w:numPr>
          <w:ilvl w:val="2"/>
          <w:numId w:val="4"/>
        </w:numPr>
        <w:tabs>
          <w:tab w:val="left" w:pos="2024"/>
        </w:tabs>
        <w:spacing w:before="46" w:after="0" w:line="232" w:lineRule="auto"/>
        <w:ind w:left="2024" w:right="456" w:hanging="809"/>
        <w:jc w:val="both"/>
        <w:rPr>
          <w:sz w:val="24"/>
        </w:rPr>
      </w:pPr>
      <w:r>
        <w:rPr>
          <w:sz w:val="24"/>
        </w:rPr>
        <w:t>The PMPM cost of services or benefits consistent with the contractual arrangement</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member</w:t>
      </w:r>
      <w:r>
        <w:rPr>
          <w:spacing w:val="-4"/>
          <w:sz w:val="24"/>
        </w:rPr>
        <w:t xml:space="preserve"> </w:t>
      </w:r>
      <w:r>
        <w:rPr>
          <w:sz w:val="24"/>
        </w:rPr>
        <w:t>months</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contract,</w:t>
      </w:r>
      <w:r>
        <w:rPr>
          <w:spacing w:val="-4"/>
          <w:sz w:val="24"/>
        </w:rPr>
        <w:t xml:space="preserve"> </w:t>
      </w:r>
      <w:r>
        <w:rPr>
          <w:sz w:val="24"/>
        </w:rPr>
        <w:t>and</w:t>
      </w:r>
    </w:p>
    <w:p>
      <w:pPr>
        <w:pStyle w:val="ListParagraph"/>
        <w:numPr>
          <w:ilvl w:val="2"/>
          <w:numId w:val="4"/>
        </w:numPr>
        <w:tabs>
          <w:tab w:val="left" w:pos="2024"/>
        </w:tabs>
        <w:spacing w:before="45" w:after="0" w:line="232" w:lineRule="auto"/>
        <w:ind w:left="2024" w:right="526" w:hanging="809"/>
        <w:jc w:val="both"/>
        <w:rPr>
          <w:sz w:val="24"/>
        </w:rPr>
      </w:pPr>
      <w:r>
        <w:rPr>
          <w:sz w:val="24"/>
        </w:rPr>
        <w:t>A</w:t>
      </w:r>
      <w:r>
        <w:rPr>
          <w:spacing w:val="-4"/>
          <w:sz w:val="24"/>
        </w:rPr>
        <w:t xml:space="preserve"> </w:t>
      </w:r>
      <w:r>
        <w:rPr>
          <w:sz w:val="24"/>
        </w:rPr>
        <w:t>comparison</w:t>
      </w:r>
      <w:r>
        <w:rPr>
          <w:spacing w:val="-4"/>
          <w:sz w:val="24"/>
        </w:rPr>
        <w:t xml:space="preserve"> </w:t>
      </w:r>
      <w:r>
        <w:rPr>
          <w:sz w:val="24"/>
        </w:rPr>
        <w:t>for</w:t>
      </w:r>
      <w:r>
        <w:rPr>
          <w:spacing w:val="-3"/>
          <w:sz w:val="24"/>
        </w:rPr>
        <w:t xml:space="preserve"> </w:t>
      </w:r>
      <w:r>
        <w:rPr>
          <w:sz w:val="24"/>
        </w:rPr>
        <w:t>each</w:t>
      </w:r>
      <w:r>
        <w:rPr>
          <w:spacing w:val="-4"/>
          <w:sz w:val="24"/>
        </w:rPr>
        <w:t xml:space="preserve"> </w:t>
      </w:r>
      <w:r>
        <w:rPr>
          <w:sz w:val="24"/>
        </w:rPr>
        <w:t>contractual</w:t>
      </w:r>
      <w:r>
        <w:rPr>
          <w:spacing w:val="-4"/>
          <w:sz w:val="24"/>
        </w:rPr>
        <w:t xml:space="preserve"> </w:t>
      </w:r>
      <w:r>
        <w:rPr>
          <w:sz w:val="24"/>
        </w:rPr>
        <w:t>arrangement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cost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services</w:t>
      </w:r>
      <w:r>
        <w:rPr>
          <w:spacing w:val="-2"/>
          <w:sz w:val="24"/>
        </w:rPr>
        <w:t xml:space="preserve"> </w:t>
      </w:r>
      <w:r>
        <w:rPr>
          <w:sz w:val="24"/>
        </w:rPr>
        <w:t>or benefits in the absence of a related party or to actual cost. Acceptable forms of comparison are as follows:</w:t>
      </w:r>
    </w:p>
    <w:p>
      <w:pPr>
        <w:spacing w:after="0" w:line="232" w:lineRule="auto"/>
        <w:jc w:val="both"/>
        <w:rPr>
          <w:sz w:val="24"/>
        </w:rPr>
        <w:sectPr>
          <w:pgSz w:w="12240" w:h="15840"/>
          <w:pgMar w:top="1340" w:right="1000" w:bottom="940" w:left="1360" w:header="727" w:footer="747"/>
          <w:cols w:space="720"/>
        </w:sectPr>
      </w:pPr>
    </w:p>
    <w:p>
      <w:pPr>
        <w:pStyle w:val="ListParagraph"/>
        <w:numPr>
          <w:ilvl w:val="3"/>
          <w:numId w:val="4"/>
        </w:numPr>
        <w:tabs>
          <w:tab w:val="left" w:pos="2295"/>
        </w:tabs>
        <w:spacing w:before="80" w:after="0" w:line="240" w:lineRule="auto"/>
        <w:ind w:left="2295" w:right="0" w:hanging="379"/>
        <w:jc w:val="left"/>
        <w:rPr>
          <w:sz w:val="24"/>
        </w:rPr>
      </w:pPr>
      <w:r>
        <w:rPr>
          <w:sz w:val="24"/>
          <w:u w:val="single"/>
        </w:rPr>
        <w:t>Actual</w:t>
      </w:r>
      <w:r>
        <w:rPr>
          <w:spacing w:val="-1"/>
          <w:sz w:val="24"/>
          <w:u w:val="single"/>
        </w:rPr>
        <w:t xml:space="preserve"> </w:t>
      </w:r>
      <w:r>
        <w:rPr>
          <w:sz w:val="24"/>
          <w:u w:val="single"/>
        </w:rPr>
        <w:t>Cost</w:t>
      </w:r>
      <w:r>
        <w:rPr>
          <w:spacing w:val="-1"/>
          <w:sz w:val="24"/>
          <w:u w:val="single"/>
        </w:rPr>
        <w:t xml:space="preserve"> </w:t>
      </w:r>
      <w:r>
        <w:rPr>
          <w:sz w:val="24"/>
          <w:u w:val="single"/>
        </w:rPr>
        <w:t>Method for</w:t>
      </w:r>
      <w:r>
        <w:rPr>
          <w:spacing w:val="-1"/>
          <w:sz w:val="24"/>
          <w:u w:val="single"/>
        </w:rPr>
        <w:t xml:space="preserve"> </w:t>
      </w:r>
      <w:r>
        <w:rPr>
          <w:sz w:val="24"/>
          <w:u w:val="single"/>
        </w:rPr>
        <w:t>Administrative</w:t>
      </w:r>
      <w:r>
        <w:rPr>
          <w:spacing w:val="-1"/>
          <w:sz w:val="24"/>
          <w:u w:val="single"/>
        </w:rPr>
        <w:t xml:space="preserve"> </w:t>
      </w:r>
      <w:r>
        <w:rPr>
          <w:spacing w:val="-2"/>
          <w:sz w:val="24"/>
          <w:u w:val="single"/>
        </w:rPr>
        <w:t>Services</w:t>
      </w:r>
    </w:p>
    <w:p>
      <w:pPr>
        <w:pStyle w:val="BodyText"/>
        <w:spacing w:before="40" w:line="235" w:lineRule="auto"/>
        <w:ind w:left="2295" w:right="478"/>
      </w:pPr>
      <w:r>
        <w:t>Show</w:t>
      </w:r>
      <w:r>
        <w:rPr>
          <w:spacing w:val="-4"/>
        </w:rPr>
        <w:t xml:space="preserve"> </w:t>
      </w:r>
      <w:r>
        <w:t>the</w:t>
      </w:r>
      <w:r>
        <w:rPr>
          <w:spacing w:val="-5"/>
        </w:rPr>
        <w:t xml:space="preserve"> </w:t>
      </w:r>
      <w:r>
        <w:t>actual</w:t>
      </w:r>
      <w:r>
        <w:rPr>
          <w:spacing w:val="-4"/>
        </w:rPr>
        <w:t xml:space="preserve"> </w:t>
      </w:r>
      <w:r>
        <w:t>cost</w:t>
      </w:r>
      <w:r>
        <w:rPr>
          <w:spacing w:val="-4"/>
        </w:rPr>
        <w:t xml:space="preserve"> </w:t>
      </w:r>
      <w:r>
        <w:t>of</w:t>
      </w:r>
      <w:r>
        <w:rPr>
          <w:spacing w:val="-4"/>
        </w:rPr>
        <w:t xml:space="preserve"> </w:t>
      </w:r>
      <w:r>
        <w:t>the</w:t>
      </w:r>
      <w:r>
        <w:rPr>
          <w:spacing w:val="-5"/>
        </w:rPr>
        <w:t xml:space="preserve"> </w:t>
      </w:r>
      <w:r>
        <w:t>non-benefit</w:t>
      </w:r>
      <w:r>
        <w:rPr>
          <w:spacing w:val="-4"/>
        </w:rPr>
        <w:t xml:space="preserve"> </w:t>
      </w:r>
      <w:r>
        <w:t>services</w:t>
      </w:r>
      <w:r>
        <w:rPr>
          <w:spacing w:val="-4"/>
        </w:rPr>
        <w:t xml:space="preserve"> </w:t>
      </w:r>
      <w:r>
        <w:t>provided</w:t>
      </w:r>
      <w:r>
        <w:rPr>
          <w:spacing w:val="-4"/>
        </w:rPr>
        <w:t xml:space="preserve"> </w:t>
      </w:r>
      <w:r>
        <w:t>by</w:t>
      </w:r>
      <w:r>
        <w:rPr>
          <w:spacing w:val="-4"/>
        </w:rPr>
        <w:t xml:space="preserve"> </w:t>
      </w:r>
      <w:r>
        <w:t>the</w:t>
      </w:r>
      <w:r>
        <w:rPr>
          <w:spacing w:val="-4"/>
        </w:rPr>
        <w:t xml:space="preserve"> </w:t>
      </w:r>
      <w:r>
        <w:t>related party excluding the gain/loss margin of the related party and provide a qualitative and quantitative summary of the development of the related party’s expenses to provide the administrative services.</w:t>
      </w:r>
    </w:p>
    <w:p>
      <w:pPr>
        <w:pStyle w:val="ListParagraph"/>
        <w:numPr>
          <w:ilvl w:val="3"/>
          <w:numId w:val="4"/>
        </w:numPr>
        <w:tabs>
          <w:tab w:val="left" w:pos="2295"/>
        </w:tabs>
        <w:spacing w:before="32" w:after="0" w:line="240" w:lineRule="auto"/>
        <w:ind w:left="2295" w:right="0" w:hanging="374"/>
        <w:jc w:val="left"/>
        <w:rPr>
          <w:sz w:val="24"/>
        </w:rPr>
      </w:pPr>
      <w:r>
        <w:rPr>
          <w:sz w:val="24"/>
          <w:u w:val="single"/>
        </w:rPr>
        <w:t>Actual</w:t>
      </w:r>
      <w:r>
        <w:rPr>
          <w:spacing w:val="-1"/>
          <w:sz w:val="24"/>
          <w:u w:val="single"/>
        </w:rPr>
        <w:t xml:space="preserve"> </w:t>
      </w:r>
      <w:r>
        <w:rPr>
          <w:sz w:val="24"/>
          <w:u w:val="single"/>
        </w:rPr>
        <w:t>Cost</w:t>
      </w:r>
      <w:r>
        <w:rPr>
          <w:spacing w:val="-1"/>
          <w:sz w:val="24"/>
          <w:u w:val="single"/>
        </w:rPr>
        <w:t xml:space="preserve"> </w:t>
      </w:r>
      <w:r>
        <w:rPr>
          <w:sz w:val="24"/>
          <w:u w:val="single"/>
        </w:rPr>
        <w:t>for</w:t>
      </w:r>
      <w:r>
        <w:rPr>
          <w:spacing w:val="-2"/>
          <w:sz w:val="24"/>
          <w:u w:val="single"/>
        </w:rPr>
        <w:t xml:space="preserve"> </w:t>
      </w:r>
      <w:r>
        <w:rPr>
          <w:sz w:val="24"/>
          <w:u w:val="single"/>
        </w:rPr>
        <w:t>Benefit</w:t>
      </w:r>
      <w:r>
        <w:rPr>
          <w:spacing w:val="1"/>
          <w:sz w:val="24"/>
          <w:u w:val="single"/>
        </w:rPr>
        <w:t xml:space="preserve"> </w:t>
      </w:r>
      <w:r>
        <w:rPr>
          <w:spacing w:val="-2"/>
          <w:sz w:val="24"/>
          <w:u w:val="single"/>
        </w:rPr>
        <w:t>Costs</w:t>
      </w:r>
    </w:p>
    <w:p>
      <w:pPr>
        <w:pStyle w:val="BodyText"/>
        <w:spacing w:before="41" w:line="235" w:lineRule="auto"/>
        <w:ind w:left="2295" w:right="478"/>
      </w:pPr>
      <w:r>
        <w:t>Show</w:t>
      </w:r>
      <w:r>
        <w:rPr>
          <w:spacing w:val="-4"/>
        </w:rPr>
        <w:t xml:space="preserve"> </w:t>
      </w:r>
      <w:r>
        <w:t>the</w:t>
      </w:r>
      <w:r>
        <w:rPr>
          <w:spacing w:val="-5"/>
        </w:rPr>
        <w:t xml:space="preserve"> </w:t>
      </w:r>
      <w:r>
        <w:t>actual</w:t>
      </w:r>
      <w:r>
        <w:rPr>
          <w:spacing w:val="-4"/>
        </w:rPr>
        <w:t xml:space="preserve"> </w:t>
      </w:r>
      <w:r>
        <w:t>cost</w:t>
      </w:r>
      <w:r>
        <w:rPr>
          <w:spacing w:val="-4"/>
        </w:rPr>
        <w:t xml:space="preserve"> </w:t>
      </w:r>
      <w:r>
        <w:t>of</w:t>
      </w:r>
      <w:r>
        <w:rPr>
          <w:spacing w:val="-4"/>
        </w:rPr>
        <w:t xml:space="preserve"> </w:t>
      </w:r>
      <w:r>
        <w:t>the</w:t>
      </w:r>
      <w:r>
        <w:rPr>
          <w:spacing w:val="-5"/>
        </w:rPr>
        <w:t xml:space="preserve"> </w:t>
      </w:r>
      <w:r>
        <w:t>related</w:t>
      </w:r>
      <w:r>
        <w:rPr>
          <w:spacing w:val="-4"/>
        </w:rPr>
        <w:t xml:space="preserve"> </w:t>
      </w:r>
      <w:r>
        <w:t>party</w:t>
      </w:r>
      <w:r>
        <w:rPr>
          <w:spacing w:val="-4"/>
        </w:rPr>
        <w:t xml:space="preserve"> </w:t>
      </w:r>
      <w:r>
        <w:t>to</w:t>
      </w:r>
      <w:r>
        <w:rPr>
          <w:spacing w:val="-4"/>
        </w:rPr>
        <w:t xml:space="preserve"> </w:t>
      </w:r>
      <w:r>
        <w:t>provide</w:t>
      </w:r>
      <w:r>
        <w:rPr>
          <w:spacing w:val="-5"/>
        </w:rPr>
        <w:t xml:space="preserve"> </w:t>
      </w:r>
      <w:r>
        <w:t>the</w:t>
      </w:r>
      <w:r>
        <w:rPr>
          <w:spacing w:val="-4"/>
        </w:rPr>
        <w:t xml:space="preserve"> </w:t>
      </w:r>
      <w:r>
        <w:t>benefit</w:t>
      </w:r>
      <w:r>
        <w:rPr>
          <w:spacing w:val="-4"/>
        </w:rPr>
        <w:t xml:space="preserve"> </w:t>
      </w:r>
      <w:r>
        <w:t>services excluding the gain/loss margin of the related party and provide a qualitative</w:t>
      </w:r>
      <w:r>
        <w:rPr>
          <w:spacing w:val="-4"/>
        </w:rPr>
        <w:t xml:space="preserve"> </w:t>
      </w:r>
      <w:r>
        <w:t>and</w:t>
      </w:r>
      <w:r>
        <w:rPr>
          <w:spacing w:val="-4"/>
        </w:rPr>
        <w:t xml:space="preserve"> </w:t>
      </w:r>
      <w:r>
        <w:t>quantitative</w:t>
      </w:r>
      <w:r>
        <w:rPr>
          <w:spacing w:val="-4"/>
        </w:rPr>
        <w:t xml:space="preserve"> </w:t>
      </w:r>
      <w:r>
        <w:t>summary</w:t>
      </w:r>
      <w:r>
        <w:rPr>
          <w:spacing w:val="-4"/>
        </w:rPr>
        <w:t xml:space="preserve"> </w:t>
      </w:r>
      <w:r>
        <w:t>of</w:t>
      </w:r>
      <w:r>
        <w:rPr>
          <w:spacing w:val="-6"/>
        </w:rPr>
        <w:t xml:space="preserve"> </w:t>
      </w:r>
      <w:r>
        <w:t>the</w:t>
      </w:r>
      <w:r>
        <w:rPr>
          <w:spacing w:val="-4"/>
        </w:rPr>
        <w:t xml:space="preserve"> </w:t>
      </w:r>
      <w:r>
        <w:t>development</w:t>
      </w:r>
      <w:r>
        <w:rPr>
          <w:spacing w:val="-4"/>
        </w:rPr>
        <w:t xml:space="preserve"> </w:t>
      </w:r>
      <w:r>
        <w:t>of</w:t>
      </w:r>
      <w:r>
        <w:rPr>
          <w:spacing w:val="-5"/>
        </w:rPr>
        <w:t xml:space="preserve"> </w:t>
      </w:r>
      <w:r>
        <w:t>the</w:t>
      </w:r>
      <w:r>
        <w:rPr>
          <w:spacing w:val="-4"/>
        </w:rPr>
        <w:t xml:space="preserve"> </w:t>
      </w:r>
      <w:r>
        <w:t>related party’s expenses to provide the benefit services.</w:t>
      </w:r>
    </w:p>
    <w:p>
      <w:pPr>
        <w:pStyle w:val="ListParagraph"/>
        <w:numPr>
          <w:ilvl w:val="3"/>
          <w:numId w:val="4"/>
        </w:numPr>
        <w:tabs>
          <w:tab w:val="left" w:pos="2295"/>
        </w:tabs>
        <w:spacing w:before="32" w:after="0" w:line="240" w:lineRule="auto"/>
        <w:ind w:left="2295" w:right="0" w:hanging="379"/>
        <w:jc w:val="left"/>
        <w:rPr>
          <w:sz w:val="24"/>
        </w:rPr>
      </w:pPr>
      <w:r>
        <w:rPr>
          <w:sz w:val="24"/>
          <w:u w:val="single"/>
        </w:rPr>
        <w:t>Market</w:t>
      </w:r>
      <w:r>
        <w:rPr>
          <w:spacing w:val="-1"/>
          <w:sz w:val="24"/>
          <w:u w:val="single"/>
        </w:rPr>
        <w:t xml:space="preserve"> </w:t>
      </w:r>
      <w:r>
        <w:rPr>
          <w:sz w:val="24"/>
          <w:u w:val="single"/>
        </w:rPr>
        <w:t>Comparison</w:t>
      </w:r>
      <w:r>
        <w:rPr>
          <w:spacing w:val="-1"/>
          <w:sz w:val="24"/>
          <w:u w:val="single"/>
        </w:rPr>
        <w:t xml:space="preserve"> </w:t>
      </w:r>
      <w:r>
        <w:rPr>
          <w:sz w:val="24"/>
          <w:u w:val="single"/>
        </w:rPr>
        <w:t>through Part</w:t>
      </w:r>
      <w:r>
        <w:rPr>
          <w:spacing w:val="-1"/>
          <w:sz w:val="24"/>
          <w:u w:val="single"/>
        </w:rPr>
        <w:t xml:space="preserve"> </w:t>
      </w:r>
      <w:r>
        <w:rPr>
          <w:sz w:val="24"/>
          <w:u w:val="single"/>
        </w:rPr>
        <w:t>D</w:t>
      </w:r>
      <w:r>
        <w:rPr>
          <w:spacing w:val="-2"/>
          <w:sz w:val="24"/>
          <w:u w:val="single"/>
        </w:rPr>
        <w:t xml:space="preserve"> </w:t>
      </w:r>
      <w:r>
        <w:rPr>
          <w:sz w:val="24"/>
          <w:u w:val="single"/>
        </w:rPr>
        <w:t xml:space="preserve">Sponsor </w:t>
      </w:r>
      <w:r>
        <w:rPr>
          <w:spacing w:val="-2"/>
          <w:sz w:val="24"/>
          <w:u w:val="single"/>
        </w:rPr>
        <w:t>Method</w:t>
      </w:r>
    </w:p>
    <w:p>
      <w:pPr>
        <w:pStyle w:val="BodyText"/>
        <w:spacing w:before="38" w:line="235" w:lineRule="auto"/>
        <w:ind w:left="2295" w:right="508"/>
      </w:pPr>
      <w:r>
        <w:t>Demonstrate through analysis and contract terms, that the fee associated with the benefit or administrative services from the Part D sponsor’s related-party</w:t>
      </w:r>
      <w:r>
        <w:rPr>
          <w:spacing w:val="-4"/>
        </w:rPr>
        <w:t xml:space="preserve"> </w:t>
      </w:r>
      <w:r>
        <w:t>arrangement</w:t>
      </w:r>
      <w:r>
        <w:rPr>
          <w:spacing w:val="-4"/>
        </w:rPr>
        <w:t xml:space="preserve"> </w:t>
      </w:r>
      <w:r>
        <w:t>is</w:t>
      </w:r>
      <w:r>
        <w:rPr>
          <w:spacing w:val="-4"/>
        </w:rPr>
        <w:t xml:space="preserve"> </w:t>
      </w:r>
      <w:r>
        <w:t>comparable</w:t>
      </w:r>
      <w:r>
        <w:rPr>
          <w:spacing w:val="-4"/>
        </w:rPr>
        <w:t xml:space="preserve"> </w:t>
      </w:r>
      <w:r>
        <w:t>to</w:t>
      </w:r>
      <w:r>
        <w:rPr>
          <w:spacing w:val="-4"/>
        </w:rPr>
        <w:t xml:space="preserve"> </w:t>
      </w:r>
      <w:r>
        <w:t>the</w:t>
      </w:r>
      <w:r>
        <w:rPr>
          <w:spacing w:val="-4"/>
        </w:rPr>
        <w:t xml:space="preserve"> </w:t>
      </w:r>
      <w:r>
        <w:t>fee</w:t>
      </w:r>
      <w:r>
        <w:rPr>
          <w:spacing w:val="-3"/>
        </w:rPr>
        <w:t xml:space="preserve"> </w:t>
      </w:r>
      <w:r>
        <w:t>for</w:t>
      </w:r>
      <w:r>
        <w:rPr>
          <w:spacing w:val="-6"/>
        </w:rPr>
        <w:t xml:space="preserve"> </w:t>
      </w:r>
      <w:r>
        <w:t>providing</w:t>
      </w:r>
      <w:r>
        <w:rPr>
          <w:spacing w:val="-4"/>
        </w:rPr>
        <w:t xml:space="preserve"> </w:t>
      </w:r>
      <w:r>
        <w:t>the</w:t>
      </w:r>
      <w:r>
        <w:rPr>
          <w:spacing w:val="-4"/>
        </w:rPr>
        <w:t xml:space="preserve"> </w:t>
      </w:r>
      <w:r>
        <w:t>same service to a Medicare population in an arrangement between the Part D Sponsor and an unrelated entity.</w:t>
      </w:r>
    </w:p>
    <w:p>
      <w:pPr>
        <w:pStyle w:val="ListParagraph"/>
        <w:numPr>
          <w:ilvl w:val="3"/>
          <w:numId w:val="4"/>
        </w:numPr>
        <w:tabs>
          <w:tab w:val="left" w:pos="2295"/>
        </w:tabs>
        <w:spacing w:before="33" w:after="0" w:line="240" w:lineRule="auto"/>
        <w:ind w:left="2295" w:right="0" w:hanging="374"/>
        <w:jc w:val="left"/>
        <w:rPr>
          <w:sz w:val="24"/>
        </w:rPr>
      </w:pPr>
      <w:r>
        <w:rPr>
          <w:sz w:val="24"/>
          <w:u w:val="single"/>
        </w:rPr>
        <w:t>Market</w:t>
      </w:r>
      <w:r>
        <w:rPr>
          <w:spacing w:val="-4"/>
          <w:sz w:val="24"/>
          <w:u w:val="single"/>
        </w:rPr>
        <w:t xml:space="preserve"> </w:t>
      </w:r>
      <w:r>
        <w:rPr>
          <w:sz w:val="24"/>
          <w:u w:val="single"/>
        </w:rPr>
        <w:t>Comparison</w:t>
      </w:r>
      <w:r>
        <w:rPr>
          <w:spacing w:val="-1"/>
          <w:sz w:val="24"/>
          <w:u w:val="single"/>
        </w:rPr>
        <w:t xml:space="preserve"> </w:t>
      </w:r>
      <w:r>
        <w:rPr>
          <w:sz w:val="24"/>
          <w:u w:val="single"/>
        </w:rPr>
        <w:t>through</w:t>
      </w:r>
      <w:r>
        <w:rPr>
          <w:spacing w:val="-2"/>
          <w:sz w:val="24"/>
          <w:u w:val="single"/>
        </w:rPr>
        <w:t xml:space="preserve"> </w:t>
      </w:r>
      <w:r>
        <w:rPr>
          <w:sz w:val="24"/>
          <w:u w:val="single"/>
        </w:rPr>
        <w:t>Related-Party</w:t>
      </w:r>
      <w:r>
        <w:rPr>
          <w:spacing w:val="-1"/>
          <w:sz w:val="24"/>
          <w:u w:val="single"/>
        </w:rPr>
        <w:t xml:space="preserve"> </w:t>
      </w:r>
      <w:r>
        <w:rPr>
          <w:spacing w:val="-2"/>
          <w:sz w:val="24"/>
          <w:u w:val="single"/>
        </w:rPr>
        <w:t>Method</w:t>
      </w:r>
    </w:p>
    <w:p>
      <w:pPr>
        <w:pStyle w:val="BodyText"/>
        <w:spacing w:before="41" w:line="235" w:lineRule="auto"/>
        <w:ind w:left="2295" w:right="508"/>
      </w:pPr>
      <w:r>
        <w:t>Demonstrate through analysis and contract terms, that the fee associated with the benefit or administrative services from the Part D sponsor’s related-party</w:t>
      </w:r>
      <w:r>
        <w:rPr>
          <w:spacing w:val="-4"/>
        </w:rPr>
        <w:t xml:space="preserve"> </w:t>
      </w:r>
      <w:r>
        <w:t>arrangement</w:t>
      </w:r>
      <w:r>
        <w:rPr>
          <w:spacing w:val="-4"/>
        </w:rPr>
        <w:t xml:space="preserve"> </w:t>
      </w:r>
      <w:r>
        <w:t>is</w:t>
      </w:r>
      <w:r>
        <w:rPr>
          <w:spacing w:val="-4"/>
        </w:rPr>
        <w:t xml:space="preserve"> </w:t>
      </w:r>
      <w:r>
        <w:t>comparable</w:t>
      </w:r>
      <w:r>
        <w:rPr>
          <w:spacing w:val="-4"/>
        </w:rPr>
        <w:t xml:space="preserve"> </w:t>
      </w:r>
      <w:r>
        <w:t>to</w:t>
      </w:r>
      <w:r>
        <w:rPr>
          <w:spacing w:val="-4"/>
        </w:rPr>
        <w:t xml:space="preserve"> </w:t>
      </w:r>
      <w:r>
        <w:t>the</w:t>
      </w:r>
      <w:r>
        <w:rPr>
          <w:spacing w:val="-4"/>
        </w:rPr>
        <w:t xml:space="preserve"> </w:t>
      </w:r>
      <w:r>
        <w:t>fee</w:t>
      </w:r>
      <w:r>
        <w:rPr>
          <w:spacing w:val="-3"/>
        </w:rPr>
        <w:t xml:space="preserve"> </w:t>
      </w:r>
      <w:r>
        <w:t>for</w:t>
      </w:r>
      <w:r>
        <w:rPr>
          <w:spacing w:val="-6"/>
        </w:rPr>
        <w:t xml:space="preserve"> </w:t>
      </w:r>
      <w:r>
        <w:t>providing</w:t>
      </w:r>
      <w:r>
        <w:rPr>
          <w:spacing w:val="-4"/>
        </w:rPr>
        <w:t xml:space="preserve"> </w:t>
      </w:r>
      <w:r>
        <w:t>the</w:t>
      </w:r>
      <w:r>
        <w:rPr>
          <w:spacing w:val="-4"/>
        </w:rPr>
        <w:t xml:space="preserve"> </w:t>
      </w:r>
      <w:r>
        <w:t>same service to a Medicare population in an arrangement between the Part D sponsor’s related party and an unrelated entity.</w:t>
      </w:r>
    </w:p>
    <w:p>
      <w:pPr>
        <w:pStyle w:val="ListParagraph"/>
        <w:numPr>
          <w:ilvl w:val="3"/>
          <w:numId w:val="4"/>
        </w:numPr>
        <w:tabs>
          <w:tab w:val="left" w:pos="2295"/>
        </w:tabs>
        <w:spacing w:before="30" w:after="0" w:line="240" w:lineRule="auto"/>
        <w:ind w:left="2295" w:right="0" w:hanging="374"/>
        <w:jc w:val="left"/>
        <w:rPr>
          <w:sz w:val="24"/>
        </w:rPr>
      </w:pPr>
      <w:r>
        <w:rPr>
          <w:sz w:val="24"/>
          <w:u w:val="single"/>
        </w:rPr>
        <w:t>Alternative</w:t>
      </w:r>
      <w:r>
        <w:rPr>
          <w:spacing w:val="-4"/>
          <w:sz w:val="24"/>
          <w:u w:val="single"/>
        </w:rPr>
        <w:t xml:space="preserve"> </w:t>
      </w:r>
      <w:r>
        <w:rPr>
          <w:spacing w:val="-2"/>
          <w:sz w:val="24"/>
          <w:u w:val="single"/>
        </w:rPr>
        <w:t>Comparison</w:t>
      </w:r>
    </w:p>
    <w:p>
      <w:pPr>
        <w:pStyle w:val="BodyText"/>
        <w:spacing w:before="41" w:line="235" w:lineRule="auto"/>
        <w:ind w:left="2295" w:right="478"/>
      </w:pPr>
      <w:r>
        <w:t>If the Part D sponsor is not able to meet the requirements of 13.5.2a through 13.5.2d, the Part D sponsor must show a comparison for administrative</w:t>
      </w:r>
      <w:r>
        <w:rPr>
          <w:spacing w:val="-5"/>
        </w:rPr>
        <w:t xml:space="preserve"> </w:t>
      </w:r>
      <w:r>
        <w:t>services</w:t>
      </w:r>
      <w:r>
        <w:rPr>
          <w:spacing w:val="-4"/>
        </w:rPr>
        <w:t xml:space="preserve"> </w:t>
      </w:r>
      <w:r>
        <w:t>or</w:t>
      </w:r>
      <w:r>
        <w:rPr>
          <w:spacing w:val="-4"/>
        </w:rPr>
        <w:t xml:space="preserve"> </w:t>
      </w:r>
      <w:r>
        <w:t>benefit</w:t>
      </w:r>
      <w:r>
        <w:rPr>
          <w:spacing w:val="-4"/>
        </w:rPr>
        <w:t xml:space="preserve"> </w:t>
      </w:r>
      <w:r>
        <w:t>costs</w:t>
      </w:r>
      <w:r>
        <w:rPr>
          <w:spacing w:val="-4"/>
        </w:rPr>
        <w:t xml:space="preserve"> </w:t>
      </w:r>
      <w:r>
        <w:t>as</w:t>
      </w:r>
      <w:r>
        <w:rPr>
          <w:spacing w:val="-4"/>
        </w:rPr>
        <w:t xml:space="preserve"> </w:t>
      </w:r>
      <w:r>
        <w:t>outlined</w:t>
      </w:r>
      <w:r>
        <w:rPr>
          <w:spacing w:val="-2"/>
        </w:rPr>
        <w:t xml:space="preserve"> </w:t>
      </w:r>
      <w:r>
        <w:t>in</w:t>
      </w:r>
      <w:r>
        <w:rPr>
          <w:spacing w:val="-4"/>
        </w:rPr>
        <w:t xml:space="preserve"> </w:t>
      </w:r>
      <w:r>
        <w:t>13.8</w:t>
      </w:r>
      <w:r>
        <w:rPr>
          <w:spacing w:val="-4"/>
        </w:rPr>
        <w:t xml:space="preserve"> </w:t>
      </w:r>
      <w:r>
        <w:t>or</w:t>
      </w:r>
      <w:r>
        <w:rPr>
          <w:spacing w:val="-4"/>
        </w:rPr>
        <w:t xml:space="preserve"> </w:t>
      </w:r>
      <w:r>
        <w:t>13.9</w:t>
      </w:r>
      <w:r>
        <w:rPr>
          <w:spacing w:val="-4"/>
        </w:rPr>
        <w:t xml:space="preserve"> </w:t>
      </w:r>
      <w:r>
        <w:t>even</w:t>
      </w:r>
      <w:r>
        <w:rPr>
          <w:spacing w:val="-4"/>
        </w:rPr>
        <w:t xml:space="preserve"> </w:t>
      </w:r>
      <w:r>
        <w:t xml:space="preserve">if the fees associated with the arrangement are not within 5 percent of the </w:t>
      </w:r>
      <w:r>
        <w:rPr>
          <w:spacing w:val="-2"/>
        </w:rPr>
        <w:t>comparison.</w:t>
      </w:r>
    </w:p>
    <w:p>
      <w:pPr>
        <w:pStyle w:val="ListParagraph"/>
        <w:numPr>
          <w:ilvl w:val="1"/>
          <w:numId w:val="4"/>
        </w:numPr>
        <w:tabs>
          <w:tab w:val="left" w:pos="1124"/>
        </w:tabs>
        <w:spacing w:before="37" w:after="0" w:line="235" w:lineRule="auto"/>
        <w:ind w:left="1124" w:right="785" w:hanging="540"/>
        <w:jc w:val="left"/>
        <w:rPr>
          <w:sz w:val="24"/>
        </w:rPr>
      </w:pPr>
      <w:r>
        <w:rPr>
          <w:sz w:val="24"/>
        </w:rPr>
        <w:t>A</w:t>
      </w:r>
      <w:r>
        <w:rPr>
          <w:spacing w:val="-5"/>
          <w:sz w:val="24"/>
        </w:rPr>
        <w:t xml:space="preserve"> </w:t>
      </w:r>
      <w:r>
        <w:rPr>
          <w:sz w:val="24"/>
        </w:rPr>
        <w:t>Part</w:t>
      </w:r>
      <w:r>
        <w:rPr>
          <w:spacing w:val="-4"/>
          <w:sz w:val="24"/>
        </w:rPr>
        <w:t xml:space="preserve"> </w:t>
      </w:r>
      <w:r>
        <w:rPr>
          <w:sz w:val="24"/>
        </w:rPr>
        <w:t>D</w:t>
      </w:r>
      <w:r>
        <w:rPr>
          <w:spacing w:val="-5"/>
          <w:sz w:val="24"/>
        </w:rPr>
        <w:t xml:space="preserve"> </w:t>
      </w:r>
      <w:r>
        <w:rPr>
          <w:sz w:val="24"/>
        </w:rPr>
        <w:t>sponsor</w:t>
      </w:r>
      <w:r>
        <w:rPr>
          <w:spacing w:val="-4"/>
          <w:sz w:val="24"/>
        </w:rPr>
        <w:t xml:space="preserve"> </w:t>
      </w:r>
      <w:r>
        <w:rPr>
          <w:sz w:val="24"/>
        </w:rPr>
        <w:t>that</w:t>
      </w:r>
      <w:r>
        <w:rPr>
          <w:spacing w:val="-4"/>
          <w:sz w:val="24"/>
        </w:rPr>
        <w:t xml:space="preserve"> </w:t>
      </w:r>
      <w:r>
        <w:rPr>
          <w:sz w:val="24"/>
        </w:rPr>
        <w:t>chooses</w:t>
      </w:r>
      <w:r>
        <w:rPr>
          <w:spacing w:val="-4"/>
          <w:sz w:val="24"/>
        </w:rPr>
        <w:t xml:space="preserve"> </w:t>
      </w:r>
      <w:r>
        <w:rPr>
          <w:sz w:val="24"/>
        </w:rPr>
        <w:t>the</w:t>
      </w:r>
      <w:r>
        <w:rPr>
          <w:spacing w:val="-4"/>
          <w:sz w:val="24"/>
        </w:rPr>
        <w:t xml:space="preserve"> </w:t>
      </w:r>
      <w:r>
        <w:rPr>
          <w:sz w:val="24"/>
        </w:rPr>
        <w:t>Actual</w:t>
      </w:r>
      <w:r>
        <w:rPr>
          <w:spacing w:val="-4"/>
          <w:sz w:val="24"/>
        </w:rPr>
        <w:t xml:space="preserve"> </w:t>
      </w:r>
      <w:r>
        <w:rPr>
          <w:sz w:val="24"/>
        </w:rPr>
        <w:t>Cost</w:t>
      </w:r>
      <w:r>
        <w:rPr>
          <w:spacing w:val="-4"/>
          <w:sz w:val="24"/>
        </w:rPr>
        <w:t xml:space="preserve"> </w:t>
      </w:r>
      <w:r>
        <w:rPr>
          <w:sz w:val="24"/>
        </w:rPr>
        <w:t>Method</w:t>
      </w:r>
      <w:r>
        <w:rPr>
          <w:spacing w:val="-4"/>
          <w:sz w:val="24"/>
        </w:rPr>
        <w:t xml:space="preserve"> </w:t>
      </w:r>
      <w:r>
        <w:rPr>
          <w:sz w:val="24"/>
        </w:rPr>
        <w:t>for</w:t>
      </w:r>
      <w:r>
        <w:rPr>
          <w:spacing w:val="-6"/>
          <w:sz w:val="24"/>
        </w:rPr>
        <w:t xml:space="preserve"> </w:t>
      </w:r>
      <w:r>
        <w:rPr>
          <w:sz w:val="24"/>
        </w:rPr>
        <w:t>Administrative</w:t>
      </w:r>
      <w:r>
        <w:rPr>
          <w:spacing w:val="-3"/>
          <w:sz w:val="24"/>
        </w:rPr>
        <w:t xml:space="preserve"> </w:t>
      </w:r>
      <w:r>
        <w:rPr>
          <w:sz w:val="24"/>
        </w:rPr>
        <w:t>Services must provide a qualitative and quantitative summary of the development of the expenses for the related party to provide the administrative services, excluding the gain/loss margin of the related party, compared to the cost in the bid.</w:t>
      </w:r>
    </w:p>
    <w:p>
      <w:pPr>
        <w:pStyle w:val="ListParagraph"/>
        <w:numPr>
          <w:ilvl w:val="1"/>
          <w:numId w:val="4"/>
        </w:numPr>
        <w:tabs>
          <w:tab w:val="left" w:pos="1123"/>
        </w:tabs>
        <w:spacing w:before="32" w:after="0" w:line="240" w:lineRule="auto"/>
        <w:ind w:left="1123" w:right="0" w:hanging="539"/>
        <w:jc w:val="left"/>
        <w:rPr>
          <w:sz w:val="24"/>
        </w:rPr>
      </w:pPr>
      <w:r>
        <w:rPr>
          <w:sz w:val="24"/>
        </w:rPr>
        <w:t>A</w:t>
      </w:r>
      <w:r>
        <w:rPr>
          <w:spacing w:val="-4"/>
          <w:sz w:val="24"/>
        </w:rPr>
        <w:t xml:space="preserve"> </w:t>
      </w:r>
      <w:r>
        <w:rPr>
          <w:sz w:val="24"/>
        </w:rPr>
        <w:t>Part D</w:t>
      </w:r>
      <w:r>
        <w:rPr>
          <w:spacing w:val="-1"/>
          <w:sz w:val="24"/>
        </w:rPr>
        <w:t xml:space="preserve"> </w:t>
      </w:r>
      <w:r>
        <w:rPr>
          <w:sz w:val="24"/>
        </w:rPr>
        <w:t>sponsor</w:t>
      </w:r>
      <w:r>
        <w:rPr>
          <w:spacing w:val="-1"/>
          <w:sz w:val="24"/>
        </w:rPr>
        <w:t xml:space="preserve"> </w:t>
      </w:r>
      <w:r>
        <w:rPr>
          <w:sz w:val="24"/>
        </w:rPr>
        <w:t>that chooses the</w:t>
      </w:r>
      <w:r>
        <w:rPr>
          <w:spacing w:val="-1"/>
          <w:sz w:val="24"/>
        </w:rPr>
        <w:t xml:space="preserve"> </w:t>
      </w:r>
      <w:r>
        <w:rPr>
          <w:sz w:val="24"/>
        </w:rPr>
        <w:t>Actual Cost Method</w:t>
      </w:r>
      <w:r>
        <w:rPr>
          <w:spacing w:val="-1"/>
          <w:sz w:val="24"/>
        </w:rPr>
        <w:t xml:space="preserve"> </w:t>
      </w:r>
      <w:r>
        <w:rPr>
          <w:sz w:val="24"/>
        </w:rPr>
        <w:t>for</w:t>
      </w:r>
      <w:r>
        <w:rPr>
          <w:spacing w:val="-2"/>
          <w:sz w:val="24"/>
        </w:rPr>
        <w:t xml:space="preserve"> </w:t>
      </w:r>
      <w:r>
        <w:rPr>
          <w:sz w:val="24"/>
        </w:rPr>
        <w:t>Benefit Costs</w:t>
      </w:r>
      <w:r>
        <w:rPr>
          <w:spacing w:val="-2"/>
          <w:sz w:val="24"/>
        </w:rPr>
        <w:t xml:space="preserve"> must—</w:t>
      </w:r>
    </w:p>
    <w:p>
      <w:pPr>
        <w:pStyle w:val="ListParagraph"/>
        <w:numPr>
          <w:ilvl w:val="2"/>
          <w:numId w:val="4"/>
        </w:numPr>
        <w:tabs>
          <w:tab w:val="left" w:pos="2024"/>
        </w:tabs>
        <w:spacing w:before="41" w:after="0" w:line="235" w:lineRule="auto"/>
        <w:ind w:left="2024" w:right="574" w:hanging="809"/>
        <w:jc w:val="left"/>
        <w:rPr>
          <w:sz w:val="24"/>
        </w:rPr>
      </w:pPr>
      <w:r>
        <w:rPr>
          <w:sz w:val="24"/>
        </w:rPr>
        <w:t>Provide a qualitative and quantitative analysis of the development of the related party’s gain/loss margin reflected in the benefit costs, in which the related party’s gain/loss margin is defined as the allowed amount of the related</w:t>
      </w:r>
      <w:r>
        <w:rPr>
          <w:spacing w:val="-4"/>
          <w:sz w:val="24"/>
        </w:rPr>
        <w:t xml:space="preserve"> </w:t>
      </w:r>
      <w:r>
        <w:rPr>
          <w:sz w:val="24"/>
        </w:rPr>
        <w:t>party</w:t>
      </w:r>
      <w:r>
        <w:rPr>
          <w:spacing w:val="-4"/>
          <w:sz w:val="24"/>
        </w:rPr>
        <w:t xml:space="preserve"> </w:t>
      </w:r>
      <w:r>
        <w:rPr>
          <w:sz w:val="24"/>
        </w:rPr>
        <w:t>entered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BPT</w:t>
      </w:r>
      <w:r>
        <w:rPr>
          <w:spacing w:val="-4"/>
          <w:sz w:val="24"/>
        </w:rPr>
        <w:t xml:space="preserve"> </w:t>
      </w:r>
      <w:r>
        <w:rPr>
          <w:sz w:val="24"/>
        </w:rPr>
        <w:t>less</w:t>
      </w:r>
      <w:r>
        <w:rPr>
          <w:spacing w:val="-4"/>
          <w:sz w:val="24"/>
        </w:rPr>
        <w:t xml:space="preserve"> </w:t>
      </w:r>
      <w:r>
        <w:rPr>
          <w:sz w:val="24"/>
        </w:rPr>
        <w:t>the</w:t>
      </w:r>
      <w:r>
        <w:rPr>
          <w:spacing w:val="-5"/>
          <w:sz w:val="24"/>
        </w:rPr>
        <w:t xml:space="preserve"> </w:t>
      </w:r>
      <w:r>
        <w:rPr>
          <w:sz w:val="24"/>
        </w:rPr>
        <w:t>cost</w:t>
      </w:r>
      <w:r>
        <w:rPr>
          <w:spacing w:val="-4"/>
          <w:sz w:val="24"/>
        </w:rPr>
        <w:t xml:space="preserve"> </w:t>
      </w:r>
      <w:r>
        <w:rPr>
          <w:sz w:val="24"/>
        </w:rPr>
        <w:t>of</w:t>
      </w:r>
      <w:r>
        <w:rPr>
          <w:spacing w:val="-4"/>
          <w:sz w:val="24"/>
        </w:rPr>
        <w:t xml:space="preserve"> </w:t>
      </w:r>
      <w:r>
        <w:rPr>
          <w:sz w:val="24"/>
        </w:rPr>
        <w:t>purchasing</w:t>
      </w:r>
      <w:r>
        <w:rPr>
          <w:spacing w:val="-4"/>
          <w:sz w:val="24"/>
        </w:rPr>
        <w:t xml:space="preserve"> </w:t>
      </w:r>
      <w:r>
        <w:rPr>
          <w:sz w:val="24"/>
        </w:rPr>
        <w:t>pharmaceuticals and dispensing prescriptions. The gain/loss margin must be reconcilable to the related party’s audited financial statements.</w:t>
      </w:r>
    </w:p>
    <w:p>
      <w:pPr>
        <w:pStyle w:val="ListParagraph"/>
        <w:numPr>
          <w:ilvl w:val="2"/>
          <w:numId w:val="4"/>
        </w:numPr>
        <w:tabs>
          <w:tab w:val="left" w:pos="2024"/>
        </w:tabs>
        <w:spacing w:before="39" w:after="0" w:line="235" w:lineRule="auto"/>
        <w:ind w:left="2024" w:right="488" w:hanging="809"/>
        <w:jc w:val="left"/>
        <w:rPr>
          <w:sz w:val="24"/>
        </w:rPr>
      </w:pPr>
      <w:r>
        <w:rPr>
          <w:sz w:val="24"/>
        </w:rPr>
        <w:t>Provide the related party’s gain/loss margin as i) the allowed amount of the related party entered in the BPT less the cost of purchasing pharmaceuticals and</w:t>
      </w:r>
      <w:r>
        <w:rPr>
          <w:spacing w:val="-4"/>
          <w:sz w:val="24"/>
        </w:rPr>
        <w:t xml:space="preserve"> </w:t>
      </w:r>
      <w:r>
        <w:rPr>
          <w:sz w:val="24"/>
        </w:rPr>
        <w:t>dispensing</w:t>
      </w:r>
      <w:r>
        <w:rPr>
          <w:spacing w:val="-4"/>
          <w:sz w:val="24"/>
        </w:rPr>
        <w:t xml:space="preserve"> </w:t>
      </w:r>
      <w:r>
        <w:rPr>
          <w:sz w:val="24"/>
        </w:rPr>
        <w:t>prescriptions</w:t>
      </w:r>
      <w:r>
        <w:rPr>
          <w:spacing w:val="-4"/>
          <w:sz w:val="24"/>
        </w:rPr>
        <w:t xml:space="preserve"> </w:t>
      </w:r>
      <w:r>
        <w:rPr>
          <w:sz w:val="24"/>
        </w:rPr>
        <w:t>divided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total</w:t>
      </w:r>
      <w:r>
        <w:rPr>
          <w:spacing w:val="-4"/>
          <w:sz w:val="24"/>
        </w:rPr>
        <w:t xml:space="preserve"> </w:t>
      </w:r>
      <w:r>
        <w:rPr>
          <w:sz w:val="24"/>
        </w:rPr>
        <w:t>member</w:t>
      </w:r>
      <w:r>
        <w:rPr>
          <w:spacing w:val="-6"/>
          <w:sz w:val="24"/>
        </w:rPr>
        <w:t xml:space="preserve"> </w:t>
      </w:r>
      <w:r>
        <w:rPr>
          <w:sz w:val="24"/>
        </w:rPr>
        <w:t>months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BPT and (ii) the allowed amount of the related party entered in the BPT less the cost of pharmaceuticals and dispensing prescriptions divided by the allowed amount of the related party.</w:t>
      </w:r>
    </w:p>
    <w:p>
      <w:pPr>
        <w:spacing w:after="0" w:line="235" w:lineRule="auto"/>
        <w:jc w:val="left"/>
        <w:rPr>
          <w:sz w:val="24"/>
        </w:rPr>
        <w:sectPr>
          <w:pgSz w:w="12240" w:h="15840"/>
          <w:pgMar w:top="1340" w:right="1000" w:bottom="940" w:left="1360" w:header="727" w:footer="747"/>
          <w:cols w:space="720"/>
        </w:sectPr>
      </w:pPr>
    </w:p>
    <w:p>
      <w:pPr>
        <w:pStyle w:val="ListParagraph"/>
        <w:numPr>
          <w:ilvl w:val="1"/>
          <w:numId w:val="4"/>
        </w:numPr>
        <w:tabs>
          <w:tab w:val="left" w:pos="1124"/>
        </w:tabs>
        <w:spacing w:before="89" w:after="0" w:line="232" w:lineRule="auto"/>
        <w:ind w:left="1124" w:right="1179" w:hanging="540"/>
        <w:jc w:val="left"/>
        <w:rPr>
          <w:sz w:val="24"/>
        </w:rPr>
      </w:pPr>
      <w:r>
        <w:rPr>
          <w:sz w:val="24"/>
        </w:rPr>
        <w:t>A</w:t>
      </w:r>
      <w:r>
        <w:rPr>
          <w:spacing w:val="-4"/>
          <w:sz w:val="24"/>
        </w:rPr>
        <w:t xml:space="preserve"> </w:t>
      </w:r>
      <w:r>
        <w:rPr>
          <w:sz w:val="24"/>
        </w:rPr>
        <w:t>Part</w:t>
      </w:r>
      <w:r>
        <w:rPr>
          <w:spacing w:val="-3"/>
          <w:sz w:val="24"/>
        </w:rPr>
        <w:t xml:space="preserve"> </w:t>
      </w:r>
      <w:r>
        <w:rPr>
          <w:sz w:val="24"/>
        </w:rPr>
        <w:t>D</w:t>
      </w:r>
      <w:r>
        <w:rPr>
          <w:spacing w:val="-4"/>
          <w:sz w:val="24"/>
        </w:rPr>
        <w:t xml:space="preserve"> </w:t>
      </w:r>
      <w:r>
        <w:rPr>
          <w:sz w:val="24"/>
        </w:rPr>
        <w:t>sponsor</w:t>
      </w:r>
      <w:r>
        <w:rPr>
          <w:spacing w:val="-3"/>
          <w:sz w:val="24"/>
        </w:rPr>
        <w:t xml:space="preserve"> </w:t>
      </w:r>
      <w:r>
        <w:rPr>
          <w:sz w:val="24"/>
        </w:rPr>
        <w:t>that</w:t>
      </w:r>
      <w:r>
        <w:rPr>
          <w:spacing w:val="-3"/>
          <w:sz w:val="24"/>
        </w:rPr>
        <w:t xml:space="preserve"> </w:t>
      </w:r>
      <w:r>
        <w:rPr>
          <w:sz w:val="24"/>
        </w:rPr>
        <w:t>chooses</w:t>
      </w:r>
      <w:r>
        <w:rPr>
          <w:spacing w:val="-3"/>
          <w:sz w:val="24"/>
        </w:rPr>
        <w:t xml:space="preserve"> </w:t>
      </w:r>
      <w:r>
        <w:rPr>
          <w:sz w:val="24"/>
        </w:rPr>
        <w:t>the</w:t>
      </w:r>
      <w:r>
        <w:rPr>
          <w:spacing w:val="-3"/>
          <w:sz w:val="24"/>
        </w:rPr>
        <w:t xml:space="preserve"> </w:t>
      </w:r>
      <w:r>
        <w:rPr>
          <w:sz w:val="24"/>
        </w:rPr>
        <w:t>Market</w:t>
      </w:r>
      <w:r>
        <w:rPr>
          <w:spacing w:val="-3"/>
          <w:sz w:val="24"/>
        </w:rPr>
        <w:t xml:space="preserve"> </w:t>
      </w:r>
      <w:r>
        <w:rPr>
          <w:sz w:val="24"/>
        </w:rPr>
        <w:t>Comparison</w:t>
      </w:r>
      <w:r>
        <w:rPr>
          <w:spacing w:val="-3"/>
          <w:sz w:val="24"/>
        </w:rPr>
        <w:t xml:space="preserve"> </w:t>
      </w:r>
      <w:r>
        <w:rPr>
          <w:sz w:val="24"/>
        </w:rPr>
        <w:t>through</w:t>
      </w:r>
      <w:r>
        <w:rPr>
          <w:spacing w:val="-2"/>
          <w:sz w:val="24"/>
        </w:rPr>
        <w:t xml:space="preserve"> </w:t>
      </w:r>
      <w:r>
        <w:rPr>
          <w:sz w:val="24"/>
        </w:rPr>
        <w:t>Part</w:t>
      </w:r>
      <w:r>
        <w:rPr>
          <w:spacing w:val="-3"/>
          <w:sz w:val="24"/>
        </w:rPr>
        <w:t xml:space="preserve"> </w:t>
      </w:r>
      <w:r>
        <w:rPr>
          <w:sz w:val="24"/>
        </w:rPr>
        <w:t>D</w:t>
      </w:r>
      <w:r>
        <w:rPr>
          <w:spacing w:val="-3"/>
          <w:sz w:val="24"/>
        </w:rPr>
        <w:t xml:space="preserve"> </w:t>
      </w:r>
      <w:r>
        <w:rPr>
          <w:sz w:val="24"/>
        </w:rPr>
        <w:t>Sponsor Method must—</w:t>
      </w:r>
    </w:p>
    <w:p>
      <w:pPr>
        <w:pStyle w:val="ListParagraph"/>
        <w:numPr>
          <w:ilvl w:val="2"/>
          <w:numId w:val="4"/>
        </w:numPr>
        <w:tabs>
          <w:tab w:val="left" w:pos="2024"/>
        </w:tabs>
        <w:spacing w:before="40" w:after="0" w:line="235" w:lineRule="auto"/>
        <w:ind w:left="2024" w:right="524" w:hanging="809"/>
        <w:jc w:val="left"/>
        <w:rPr>
          <w:sz w:val="24"/>
        </w:rPr>
      </w:pPr>
      <w:r>
        <w:rPr>
          <w:sz w:val="24"/>
        </w:rPr>
        <w:t>Provide an analysis that clearly explains the terms of each contract in the comparison</w:t>
      </w:r>
      <w:r>
        <w:rPr>
          <w:spacing w:val="-4"/>
          <w:sz w:val="24"/>
        </w:rPr>
        <w:t xml:space="preserve"> </w:t>
      </w:r>
      <w:r>
        <w:rPr>
          <w:sz w:val="24"/>
        </w:rPr>
        <w:t>and</w:t>
      </w:r>
      <w:r>
        <w:rPr>
          <w:spacing w:val="-4"/>
          <w:sz w:val="24"/>
        </w:rPr>
        <w:t xml:space="preserve"> </w:t>
      </w:r>
      <w:r>
        <w:rPr>
          <w:sz w:val="24"/>
        </w:rPr>
        <w:t>how</w:t>
      </w:r>
      <w:r>
        <w:rPr>
          <w:spacing w:val="-5"/>
          <w:sz w:val="24"/>
        </w:rPr>
        <w:t xml:space="preserve"> </w:t>
      </w:r>
      <w:r>
        <w:rPr>
          <w:sz w:val="24"/>
        </w:rPr>
        <w:t>the</w:t>
      </w:r>
      <w:r>
        <w:rPr>
          <w:spacing w:val="-3"/>
          <w:sz w:val="24"/>
        </w:rPr>
        <w:t xml:space="preserve"> </w:t>
      </w:r>
      <w:r>
        <w:rPr>
          <w:sz w:val="24"/>
        </w:rPr>
        <w:t>financial</w:t>
      </w:r>
      <w:r>
        <w:rPr>
          <w:spacing w:val="-4"/>
          <w:sz w:val="24"/>
        </w:rPr>
        <w:t xml:space="preserve"> </w:t>
      </w:r>
      <w:r>
        <w:rPr>
          <w:sz w:val="24"/>
        </w:rPr>
        <w:t>results</w:t>
      </w:r>
      <w:r>
        <w:rPr>
          <w:spacing w:val="-4"/>
          <w:sz w:val="24"/>
        </w:rPr>
        <w:t xml:space="preserve"> </w:t>
      </w:r>
      <w:r>
        <w:rPr>
          <w:sz w:val="24"/>
        </w:rPr>
        <w:t>are</w:t>
      </w:r>
      <w:r>
        <w:rPr>
          <w:spacing w:val="-6"/>
          <w:sz w:val="24"/>
        </w:rPr>
        <w:t xml:space="preserve"> </w:t>
      </w:r>
      <w:r>
        <w:rPr>
          <w:sz w:val="24"/>
        </w:rPr>
        <w:t>not</w:t>
      </w:r>
      <w:r>
        <w:rPr>
          <w:spacing w:val="-4"/>
          <w:sz w:val="24"/>
        </w:rPr>
        <w:t xml:space="preserve"> </w:t>
      </w:r>
      <w:r>
        <w:rPr>
          <w:sz w:val="24"/>
        </w:rPr>
        <w:t>significantly</w:t>
      </w:r>
      <w:r>
        <w:rPr>
          <w:spacing w:val="-4"/>
          <w:sz w:val="24"/>
        </w:rPr>
        <w:t xml:space="preserve"> </w:t>
      </w:r>
      <w:r>
        <w:rPr>
          <w:sz w:val="24"/>
        </w:rPr>
        <w:t>different</w:t>
      </w:r>
      <w:r>
        <w:rPr>
          <w:spacing w:val="-4"/>
          <w:sz w:val="24"/>
        </w:rPr>
        <w:t xml:space="preserve"> </w:t>
      </w:r>
      <w:r>
        <w:rPr>
          <w:sz w:val="24"/>
        </w:rPr>
        <w:t>from those that are achieved in the absence of the related-party relationship.</w:t>
      </w:r>
    </w:p>
    <w:p>
      <w:pPr>
        <w:pStyle w:val="ListParagraph"/>
        <w:numPr>
          <w:ilvl w:val="2"/>
          <w:numId w:val="4"/>
        </w:numPr>
        <w:tabs>
          <w:tab w:val="left" w:pos="2024"/>
        </w:tabs>
        <w:spacing w:before="39" w:after="0" w:line="235" w:lineRule="auto"/>
        <w:ind w:left="2024" w:right="483" w:hanging="809"/>
        <w:jc w:val="left"/>
        <w:rPr>
          <w:sz w:val="24"/>
        </w:rPr>
      </w:pPr>
      <w:r>
        <w:rPr>
          <w:sz w:val="24"/>
        </w:rPr>
        <w:t>Show that results of pricing at least two quarters of the Part D plan’s experience</w:t>
      </w:r>
      <w:r>
        <w:rPr>
          <w:spacing w:val="-6"/>
          <w:sz w:val="24"/>
        </w:rPr>
        <w:t xml:space="preserve"> </w:t>
      </w:r>
      <w:r>
        <w:rPr>
          <w:sz w:val="24"/>
        </w:rPr>
        <w:t>through</w:t>
      </w:r>
      <w:r>
        <w:rPr>
          <w:spacing w:val="-5"/>
          <w:sz w:val="24"/>
        </w:rPr>
        <w:t xml:space="preserve"> </w:t>
      </w:r>
      <w:r>
        <w:rPr>
          <w:sz w:val="24"/>
        </w:rPr>
        <w:t>the</w:t>
      </w:r>
      <w:r>
        <w:rPr>
          <w:spacing w:val="-4"/>
          <w:sz w:val="24"/>
        </w:rPr>
        <w:t xml:space="preserve"> </w:t>
      </w:r>
      <w:r>
        <w:rPr>
          <w:sz w:val="24"/>
        </w:rPr>
        <w:t>related-party</w:t>
      </w:r>
      <w:r>
        <w:rPr>
          <w:spacing w:val="-3"/>
          <w:sz w:val="24"/>
        </w:rPr>
        <w:t xml:space="preserve"> </w:t>
      </w:r>
      <w:r>
        <w:rPr>
          <w:sz w:val="24"/>
        </w:rPr>
        <w:t>and</w:t>
      </w:r>
      <w:r>
        <w:rPr>
          <w:spacing w:val="-5"/>
          <w:sz w:val="24"/>
        </w:rPr>
        <w:t xml:space="preserve"> </w:t>
      </w:r>
      <w:r>
        <w:rPr>
          <w:sz w:val="24"/>
        </w:rPr>
        <w:t>unrelated-party</w:t>
      </w:r>
      <w:r>
        <w:rPr>
          <w:spacing w:val="-5"/>
          <w:sz w:val="24"/>
        </w:rPr>
        <w:t xml:space="preserve"> </w:t>
      </w:r>
      <w:r>
        <w:rPr>
          <w:sz w:val="24"/>
        </w:rPr>
        <w:t>contracts</w:t>
      </w:r>
      <w:r>
        <w:rPr>
          <w:spacing w:val="-5"/>
          <w:sz w:val="24"/>
        </w:rPr>
        <w:t xml:space="preserve"> </w:t>
      </w:r>
      <w:r>
        <w:rPr>
          <w:sz w:val="24"/>
        </w:rPr>
        <w:t>are</w:t>
      </w:r>
      <w:r>
        <w:rPr>
          <w:spacing w:val="-6"/>
          <w:sz w:val="24"/>
        </w:rPr>
        <w:t xml:space="preserve"> </w:t>
      </w:r>
      <w:r>
        <w:rPr>
          <w:sz w:val="24"/>
        </w:rPr>
        <w:t>within plus or minus 5 percent.</w:t>
      </w:r>
    </w:p>
    <w:p>
      <w:pPr>
        <w:pStyle w:val="ListParagraph"/>
        <w:numPr>
          <w:ilvl w:val="2"/>
          <w:numId w:val="4"/>
        </w:numPr>
        <w:tabs>
          <w:tab w:val="left" w:pos="2024"/>
        </w:tabs>
        <w:spacing w:before="42" w:after="0" w:line="232" w:lineRule="auto"/>
        <w:ind w:left="2024" w:right="846" w:hanging="809"/>
        <w:jc w:val="left"/>
        <w:rPr>
          <w:sz w:val="24"/>
        </w:rPr>
      </w:pPr>
      <w:r>
        <w:rPr>
          <w:sz w:val="24"/>
        </w:rPr>
        <w:t>Show</w:t>
      </w:r>
      <w:r>
        <w:rPr>
          <w:spacing w:val="-5"/>
          <w:sz w:val="24"/>
        </w:rPr>
        <w:t xml:space="preserve"> </w:t>
      </w:r>
      <w:r>
        <w:rPr>
          <w:sz w:val="24"/>
        </w:rPr>
        <w:t>that</w:t>
      </w:r>
      <w:r>
        <w:rPr>
          <w:spacing w:val="-5"/>
          <w:sz w:val="24"/>
        </w:rPr>
        <w:t xml:space="preserve"> </w:t>
      </w:r>
      <w:r>
        <w:rPr>
          <w:sz w:val="24"/>
        </w:rPr>
        <w:t>both</w:t>
      </w:r>
      <w:r>
        <w:rPr>
          <w:spacing w:val="-5"/>
          <w:sz w:val="24"/>
        </w:rPr>
        <w:t xml:space="preserve"> </w:t>
      </w:r>
      <w:r>
        <w:rPr>
          <w:sz w:val="24"/>
        </w:rPr>
        <w:t>contracts</w:t>
      </w:r>
      <w:r>
        <w:rPr>
          <w:spacing w:val="-3"/>
          <w:sz w:val="24"/>
        </w:rPr>
        <w:t xml:space="preserve"> </w:t>
      </w:r>
      <w:r>
        <w:rPr>
          <w:sz w:val="24"/>
        </w:rPr>
        <w:t>in</w:t>
      </w:r>
      <w:r>
        <w:rPr>
          <w:spacing w:val="-5"/>
          <w:sz w:val="24"/>
        </w:rPr>
        <w:t xml:space="preserve"> </w:t>
      </w:r>
      <w:r>
        <w:rPr>
          <w:sz w:val="24"/>
        </w:rPr>
        <w:t>the</w:t>
      </w:r>
      <w:r>
        <w:rPr>
          <w:spacing w:val="-6"/>
          <w:sz w:val="24"/>
        </w:rPr>
        <w:t xml:space="preserve"> </w:t>
      </w:r>
      <w:r>
        <w:rPr>
          <w:sz w:val="24"/>
        </w:rPr>
        <w:t>comparison</w:t>
      </w:r>
      <w:r>
        <w:rPr>
          <w:spacing w:val="-5"/>
          <w:sz w:val="24"/>
        </w:rPr>
        <w:t xml:space="preserve"> </w:t>
      </w:r>
      <w:r>
        <w:rPr>
          <w:sz w:val="24"/>
        </w:rPr>
        <w:t>are</w:t>
      </w:r>
      <w:r>
        <w:rPr>
          <w:spacing w:val="-6"/>
          <w:sz w:val="24"/>
        </w:rPr>
        <w:t xml:space="preserve"> </w:t>
      </w:r>
      <w:r>
        <w:rPr>
          <w:sz w:val="24"/>
        </w:rPr>
        <w:t>associated</w:t>
      </w:r>
      <w:r>
        <w:rPr>
          <w:spacing w:val="-5"/>
          <w:sz w:val="24"/>
        </w:rPr>
        <w:t xml:space="preserve"> </w:t>
      </w:r>
      <w:r>
        <w:rPr>
          <w:sz w:val="24"/>
        </w:rPr>
        <w:t>with</w:t>
      </w:r>
      <w:r>
        <w:rPr>
          <w:spacing w:val="-5"/>
          <w:sz w:val="24"/>
        </w:rPr>
        <w:t xml:space="preserve"> </w:t>
      </w:r>
      <w:r>
        <w:rPr>
          <w:sz w:val="24"/>
        </w:rPr>
        <w:t>sufficient costs to be considered valid contracts.</w:t>
      </w:r>
    </w:p>
    <w:p>
      <w:pPr>
        <w:pStyle w:val="ListParagraph"/>
        <w:numPr>
          <w:ilvl w:val="1"/>
          <w:numId w:val="4"/>
        </w:numPr>
        <w:tabs>
          <w:tab w:val="left" w:pos="1124"/>
        </w:tabs>
        <w:spacing w:before="43" w:after="0" w:line="232" w:lineRule="auto"/>
        <w:ind w:left="1124" w:right="521" w:hanging="540"/>
        <w:jc w:val="left"/>
        <w:rPr>
          <w:sz w:val="24"/>
        </w:rPr>
      </w:pPr>
      <w:r>
        <w:rPr>
          <w:sz w:val="24"/>
        </w:rPr>
        <w:t>A</w:t>
      </w:r>
      <w:r>
        <w:rPr>
          <w:spacing w:val="-5"/>
          <w:sz w:val="24"/>
        </w:rPr>
        <w:t xml:space="preserve"> </w:t>
      </w:r>
      <w:r>
        <w:rPr>
          <w:sz w:val="24"/>
        </w:rPr>
        <w:t>Part</w:t>
      </w:r>
      <w:r>
        <w:rPr>
          <w:spacing w:val="-4"/>
          <w:sz w:val="24"/>
        </w:rPr>
        <w:t xml:space="preserve"> </w:t>
      </w:r>
      <w:r>
        <w:rPr>
          <w:sz w:val="24"/>
        </w:rPr>
        <w:t>D</w:t>
      </w:r>
      <w:r>
        <w:rPr>
          <w:spacing w:val="-5"/>
          <w:sz w:val="24"/>
        </w:rPr>
        <w:t xml:space="preserve"> </w:t>
      </w:r>
      <w:r>
        <w:rPr>
          <w:sz w:val="24"/>
        </w:rPr>
        <w:t>sponsor</w:t>
      </w:r>
      <w:r>
        <w:rPr>
          <w:spacing w:val="-4"/>
          <w:sz w:val="24"/>
        </w:rPr>
        <w:t xml:space="preserve"> </w:t>
      </w:r>
      <w:r>
        <w:rPr>
          <w:sz w:val="24"/>
        </w:rPr>
        <w:t>that</w:t>
      </w:r>
      <w:r>
        <w:rPr>
          <w:spacing w:val="-4"/>
          <w:sz w:val="24"/>
        </w:rPr>
        <w:t xml:space="preserve"> </w:t>
      </w:r>
      <w:r>
        <w:rPr>
          <w:sz w:val="24"/>
        </w:rPr>
        <w:t>chooses</w:t>
      </w:r>
      <w:r>
        <w:rPr>
          <w:spacing w:val="-4"/>
          <w:sz w:val="24"/>
        </w:rPr>
        <w:t xml:space="preserve"> </w:t>
      </w:r>
      <w:r>
        <w:rPr>
          <w:sz w:val="24"/>
        </w:rPr>
        <w:t>the</w:t>
      </w:r>
      <w:r>
        <w:rPr>
          <w:spacing w:val="-4"/>
          <w:sz w:val="24"/>
        </w:rPr>
        <w:t xml:space="preserve"> </w:t>
      </w:r>
      <w:r>
        <w:rPr>
          <w:sz w:val="24"/>
        </w:rPr>
        <w:t>Market</w:t>
      </w:r>
      <w:r>
        <w:rPr>
          <w:spacing w:val="-4"/>
          <w:sz w:val="24"/>
        </w:rPr>
        <w:t xml:space="preserve"> </w:t>
      </w:r>
      <w:r>
        <w:rPr>
          <w:sz w:val="24"/>
        </w:rPr>
        <w:t>Comparison</w:t>
      </w:r>
      <w:r>
        <w:rPr>
          <w:spacing w:val="-4"/>
          <w:sz w:val="24"/>
        </w:rPr>
        <w:t xml:space="preserve"> </w:t>
      </w:r>
      <w:r>
        <w:rPr>
          <w:sz w:val="24"/>
        </w:rPr>
        <w:t>through</w:t>
      </w:r>
      <w:r>
        <w:rPr>
          <w:spacing w:val="-4"/>
          <w:sz w:val="24"/>
        </w:rPr>
        <w:t xml:space="preserve"> </w:t>
      </w:r>
      <w:r>
        <w:rPr>
          <w:sz w:val="24"/>
        </w:rPr>
        <w:t>Related-Party</w:t>
      </w:r>
      <w:r>
        <w:rPr>
          <w:spacing w:val="-4"/>
          <w:sz w:val="24"/>
        </w:rPr>
        <w:t xml:space="preserve"> </w:t>
      </w:r>
      <w:r>
        <w:rPr>
          <w:sz w:val="24"/>
        </w:rPr>
        <w:t xml:space="preserve">Method </w:t>
      </w:r>
      <w:r>
        <w:rPr>
          <w:spacing w:val="-2"/>
          <w:sz w:val="24"/>
        </w:rPr>
        <w:t>must—</w:t>
      </w:r>
    </w:p>
    <w:p>
      <w:pPr>
        <w:pStyle w:val="ListParagraph"/>
        <w:numPr>
          <w:ilvl w:val="2"/>
          <w:numId w:val="4"/>
        </w:numPr>
        <w:tabs>
          <w:tab w:val="left" w:pos="2024"/>
        </w:tabs>
        <w:spacing w:before="47" w:after="0" w:line="232" w:lineRule="auto"/>
        <w:ind w:left="2024" w:right="524" w:hanging="809"/>
        <w:jc w:val="left"/>
        <w:rPr>
          <w:sz w:val="24"/>
        </w:rPr>
      </w:pPr>
      <w:r>
        <w:rPr>
          <w:sz w:val="24"/>
        </w:rPr>
        <w:t>Provide an analysis that clearly explains the terms of each contract in the comparison</w:t>
      </w:r>
      <w:r>
        <w:rPr>
          <w:spacing w:val="-4"/>
          <w:sz w:val="24"/>
        </w:rPr>
        <w:t xml:space="preserve"> </w:t>
      </w:r>
      <w:r>
        <w:rPr>
          <w:sz w:val="24"/>
        </w:rPr>
        <w:t>and</w:t>
      </w:r>
      <w:r>
        <w:rPr>
          <w:spacing w:val="-4"/>
          <w:sz w:val="24"/>
        </w:rPr>
        <w:t xml:space="preserve"> </w:t>
      </w:r>
      <w:r>
        <w:rPr>
          <w:sz w:val="24"/>
        </w:rPr>
        <w:t>how</w:t>
      </w:r>
      <w:r>
        <w:rPr>
          <w:spacing w:val="-5"/>
          <w:sz w:val="24"/>
        </w:rPr>
        <w:t xml:space="preserve"> </w:t>
      </w:r>
      <w:r>
        <w:rPr>
          <w:sz w:val="24"/>
        </w:rPr>
        <w:t>the</w:t>
      </w:r>
      <w:r>
        <w:rPr>
          <w:spacing w:val="-3"/>
          <w:sz w:val="24"/>
        </w:rPr>
        <w:t xml:space="preserve"> </w:t>
      </w:r>
      <w:r>
        <w:rPr>
          <w:sz w:val="24"/>
        </w:rPr>
        <w:t>financial</w:t>
      </w:r>
      <w:r>
        <w:rPr>
          <w:spacing w:val="-4"/>
          <w:sz w:val="24"/>
        </w:rPr>
        <w:t xml:space="preserve"> </w:t>
      </w:r>
      <w:r>
        <w:rPr>
          <w:sz w:val="24"/>
        </w:rPr>
        <w:t>results</w:t>
      </w:r>
      <w:r>
        <w:rPr>
          <w:spacing w:val="-4"/>
          <w:sz w:val="24"/>
        </w:rPr>
        <w:t xml:space="preserve"> </w:t>
      </w:r>
      <w:r>
        <w:rPr>
          <w:sz w:val="24"/>
        </w:rPr>
        <w:t>are</w:t>
      </w:r>
      <w:r>
        <w:rPr>
          <w:spacing w:val="-6"/>
          <w:sz w:val="24"/>
        </w:rPr>
        <w:t xml:space="preserve"> </w:t>
      </w:r>
      <w:r>
        <w:rPr>
          <w:sz w:val="24"/>
        </w:rPr>
        <w:t>not</w:t>
      </w:r>
      <w:r>
        <w:rPr>
          <w:spacing w:val="-4"/>
          <w:sz w:val="24"/>
        </w:rPr>
        <w:t xml:space="preserve"> </w:t>
      </w:r>
      <w:r>
        <w:rPr>
          <w:sz w:val="24"/>
        </w:rPr>
        <w:t>significantly</w:t>
      </w:r>
      <w:r>
        <w:rPr>
          <w:spacing w:val="-4"/>
          <w:sz w:val="24"/>
        </w:rPr>
        <w:t xml:space="preserve"> </w:t>
      </w:r>
      <w:r>
        <w:rPr>
          <w:sz w:val="24"/>
        </w:rPr>
        <w:t>different</w:t>
      </w:r>
      <w:r>
        <w:rPr>
          <w:spacing w:val="-4"/>
          <w:sz w:val="24"/>
        </w:rPr>
        <w:t xml:space="preserve"> </w:t>
      </w:r>
      <w:r>
        <w:rPr>
          <w:sz w:val="24"/>
        </w:rPr>
        <w:t>from those that are achieved in the absence of the related-party relationship.</w:t>
      </w:r>
    </w:p>
    <w:p>
      <w:pPr>
        <w:pStyle w:val="ListParagraph"/>
        <w:numPr>
          <w:ilvl w:val="2"/>
          <w:numId w:val="4"/>
        </w:numPr>
        <w:tabs>
          <w:tab w:val="left" w:pos="2024"/>
        </w:tabs>
        <w:spacing w:before="44" w:after="0" w:line="235" w:lineRule="auto"/>
        <w:ind w:left="2024" w:right="483" w:hanging="809"/>
        <w:jc w:val="left"/>
        <w:rPr>
          <w:sz w:val="24"/>
        </w:rPr>
      </w:pPr>
      <w:r>
        <w:rPr>
          <w:sz w:val="24"/>
        </w:rPr>
        <w:t>Show that results of pricing at least two quarters of the Part D plan’s experience</w:t>
      </w:r>
      <w:r>
        <w:rPr>
          <w:spacing w:val="-6"/>
          <w:sz w:val="24"/>
        </w:rPr>
        <w:t xml:space="preserve"> </w:t>
      </w:r>
      <w:r>
        <w:rPr>
          <w:sz w:val="24"/>
        </w:rPr>
        <w:t>through</w:t>
      </w:r>
      <w:r>
        <w:rPr>
          <w:spacing w:val="-5"/>
          <w:sz w:val="24"/>
        </w:rPr>
        <w:t xml:space="preserve"> </w:t>
      </w:r>
      <w:r>
        <w:rPr>
          <w:sz w:val="24"/>
        </w:rPr>
        <w:t>the</w:t>
      </w:r>
      <w:r>
        <w:rPr>
          <w:spacing w:val="-4"/>
          <w:sz w:val="24"/>
        </w:rPr>
        <w:t xml:space="preserve"> </w:t>
      </w:r>
      <w:r>
        <w:rPr>
          <w:sz w:val="24"/>
        </w:rPr>
        <w:t>related-party</w:t>
      </w:r>
      <w:r>
        <w:rPr>
          <w:spacing w:val="-3"/>
          <w:sz w:val="24"/>
        </w:rPr>
        <w:t xml:space="preserve"> </w:t>
      </w:r>
      <w:r>
        <w:rPr>
          <w:sz w:val="24"/>
        </w:rPr>
        <w:t>and</w:t>
      </w:r>
      <w:r>
        <w:rPr>
          <w:spacing w:val="-5"/>
          <w:sz w:val="24"/>
        </w:rPr>
        <w:t xml:space="preserve"> </w:t>
      </w:r>
      <w:r>
        <w:rPr>
          <w:sz w:val="24"/>
        </w:rPr>
        <w:t>unrelated-party</w:t>
      </w:r>
      <w:r>
        <w:rPr>
          <w:spacing w:val="-5"/>
          <w:sz w:val="24"/>
        </w:rPr>
        <w:t xml:space="preserve"> </w:t>
      </w:r>
      <w:r>
        <w:rPr>
          <w:sz w:val="24"/>
        </w:rPr>
        <w:t>contracts</w:t>
      </w:r>
      <w:r>
        <w:rPr>
          <w:spacing w:val="-5"/>
          <w:sz w:val="24"/>
        </w:rPr>
        <w:t xml:space="preserve"> </w:t>
      </w:r>
      <w:r>
        <w:rPr>
          <w:sz w:val="24"/>
        </w:rPr>
        <w:t>are</w:t>
      </w:r>
      <w:r>
        <w:rPr>
          <w:spacing w:val="-6"/>
          <w:sz w:val="24"/>
        </w:rPr>
        <w:t xml:space="preserve"> </w:t>
      </w:r>
      <w:r>
        <w:rPr>
          <w:sz w:val="24"/>
        </w:rPr>
        <w:t>within plus or minus 5 percent.</w:t>
      </w:r>
    </w:p>
    <w:p>
      <w:pPr>
        <w:pStyle w:val="ListParagraph"/>
        <w:numPr>
          <w:ilvl w:val="2"/>
          <w:numId w:val="4"/>
        </w:numPr>
        <w:tabs>
          <w:tab w:val="left" w:pos="2024"/>
        </w:tabs>
        <w:spacing w:before="40" w:after="0" w:line="232" w:lineRule="auto"/>
        <w:ind w:left="2024" w:right="846" w:hanging="809"/>
        <w:jc w:val="left"/>
        <w:rPr>
          <w:sz w:val="24"/>
        </w:rPr>
      </w:pPr>
      <w:r>
        <w:rPr>
          <w:sz w:val="24"/>
        </w:rPr>
        <w:t>Show</w:t>
      </w:r>
      <w:r>
        <w:rPr>
          <w:spacing w:val="-5"/>
          <w:sz w:val="24"/>
        </w:rPr>
        <w:t xml:space="preserve"> </w:t>
      </w:r>
      <w:r>
        <w:rPr>
          <w:sz w:val="24"/>
        </w:rPr>
        <w:t>that</w:t>
      </w:r>
      <w:r>
        <w:rPr>
          <w:spacing w:val="-5"/>
          <w:sz w:val="24"/>
        </w:rPr>
        <w:t xml:space="preserve"> </w:t>
      </w:r>
      <w:r>
        <w:rPr>
          <w:sz w:val="24"/>
        </w:rPr>
        <w:t>both</w:t>
      </w:r>
      <w:r>
        <w:rPr>
          <w:spacing w:val="-5"/>
          <w:sz w:val="24"/>
        </w:rPr>
        <w:t xml:space="preserve"> </w:t>
      </w:r>
      <w:r>
        <w:rPr>
          <w:sz w:val="24"/>
        </w:rPr>
        <w:t>contracts</w:t>
      </w:r>
      <w:r>
        <w:rPr>
          <w:spacing w:val="-3"/>
          <w:sz w:val="24"/>
        </w:rPr>
        <w:t xml:space="preserve"> </w:t>
      </w:r>
      <w:r>
        <w:rPr>
          <w:sz w:val="24"/>
        </w:rPr>
        <w:t>in</w:t>
      </w:r>
      <w:r>
        <w:rPr>
          <w:spacing w:val="-5"/>
          <w:sz w:val="24"/>
        </w:rPr>
        <w:t xml:space="preserve"> </w:t>
      </w:r>
      <w:r>
        <w:rPr>
          <w:sz w:val="24"/>
        </w:rPr>
        <w:t>the</w:t>
      </w:r>
      <w:r>
        <w:rPr>
          <w:spacing w:val="-6"/>
          <w:sz w:val="24"/>
        </w:rPr>
        <w:t xml:space="preserve"> </w:t>
      </w:r>
      <w:r>
        <w:rPr>
          <w:sz w:val="24"/>
        </w:rPr>
        <w:t>comparison</w:t>
      </w:r>
      <w:r>
        <w:rPr>
          <w:spacing w:val="-5"/>
          <w:sz w:val="24"/>
        </w:rPr>
        <w:t xml:space="preserve"> </w:t>
      </w:r>
      <w:r>
        <w:rPr>
          <w:sz w:val="24"/>
        </w:rPr>
        <w:t>are</w:t>
      </w:r>
      <w:r>
        <w:rPr>
          <w:spacing w:val="-6"/>
          <w:sz w:val="24"/>
        </w:rPr>
        <w:t xml:space="preserve"> </w:t>
      </w:r>
      <w:r>
        <w:rPr>
          <w:sz w:val="24"/>
        </w:rPr>
        <w:t>associated</w:t>
      </w:r>
      <w:r>
        <w:rPr>
          <w:spacing w:val="-5"/>
          <w:sz w:val="24"/>
        </w:rPr>
        <w:t xml:space="preserve"> </w:t>
      </w:r>
      <w:r>
        <w:rPr>
          <w:sz w:val="24"/>
        </w:rPr>
        <w:t>with</w:t>
      </w:r>
      <w:r>
        <w:rPr>
          <w:spacing w:val="-5"/>
          <w:sz w:val="24"/>
        </w:rPr>
        <w:t xml:space="preserve"> </w:t>
      </w:r>
      <w:r>
        <w:rPr>
          <w:sz w:val="24"/>
        </w:rPr>
        <w:t>sufficient costs to be considered valid contracts.</w:t>
      </w:r>
    </w:p>
    <w:p>
      <w:pPr>
        <w:pStyle w:val="ListParagraph"/>
        <w:numPr>
          <w:ilvl w:val="2"/>
          <w:numId w:val="4"/>
        </w:numPr>
        <w:tabs>
          <w:tab w:val="left" w:pos="2024"/>
        </w:tabs>
        <w:spacing w:before="46" w:after="0" w:line="232" w:lineRule="auto"/>
        <w:ind w:left="2024" w:right="955" w:hanging="809"/>
        <w:jc w:val="left"/>
        <w:rPr>
          <w:sz w:val="24"/>
        </w:rPr>
      </w:pPr>
      <w:r>
        <w:rPr>
          <w:sz w:val="24"/>
        </w:rPr>
        <w:t>Provide</w:t>
      </w:r>
      <w:r>
        <w:rPr>
          <w:spacing w:val="-6"/>
          <w:sz w:val="24"/>
        </w:rPr>
        <w:t xml:space="preserve"> </w:t>
      </w:r>
      <w:r>
        <w:rPr>
          <w:sz w:val="24"/>
        </w:rPr>
        <w:t>a</w:t>
      </w:r>
      <w:r>
        <w:rPr>
          <w:spacing w:val="-5"/>
          <w:sz w:val="24"/>
        </w:rPr>
        <w:t xml:space="preserve"> </w:t>
      </w:r>
      <w:r>
        <w:rPr>
          <w:sz w:val="24"/>
        </w:rPr>
        <w:t>signed</w:t>
      </w:r>
      <w:r>
        <w:rPr>
          <w:spacing w:val="-4"/>
          <w:sz w:val="24"/>
        </w:rPr>
        <w:t xml:space="preserve"> </w:t>
      </w:r>
      <w:r>
        <w:rPr>
          <w:sz w:val="24"/>
        </w:rPr>
        <w:t>attestation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related</w:t>
      </w:r>
      <w:r>
        <w:rPr>
          <w:spacing w:val="-4"/>
          <w:sz w:val="24"/>
        </w:rPr>
        <w:t xml:space="preserve"> </w:t>
      </w:r>
      <w:r>
        <w:rPr>
          <w:sz w:val="24"/>
        </w:rPr>
        <w:t>party</w:t>
      </w:r>
      <w:r>
        <w:rPr>
          <w:spacing w:val="-3"/>
          <w:sz w:val="24"/>
        </w:rPr>
        <w:t xml:space="preserve"> </w:t>
      </w:r>
      <w:r>
        <w:rPr>
          <w:sz w:val="24"/>
        </w:rPr>
        <w:t>stating that</w:t>
      </w:r>
      <w:r>
        <w:rPr>
          <w:spacing w:val="-4"/>
          <w:sz w:val="24"/>
        </w:rPr>
        <w:t xml:space="preserve"> </w:t>
      </w:r>
      <w:r>
        <w:rPr>
          <w:sz w:val="24"/>
        </w:rPr>
        <w:t>the</w:t>
      </w:r>
      <w:r>
        <w:rPr>
          <w:spacing w:val="-4"/>
          <w:sz w:val="24"/>
        </w:rPr>
        <w:t xml:space="preserve"> </w:t>
      </w:r>
      <w:r>
        <w:rPr>
          <w:sz w:val="24"/>
        </w:rPr>
        <w:t>actual contracts will be available for review upon request by CMS.</w:t>
      </w:r>
    </w:p>
    <w:p>
      <w:pPr>
        <w:pStyle w:val="ListParagraph"/>
        <w:numPr>
          <w:ilvl w:val="1"/>
          <w:numId w:val="4"/>
        </w:numPr>
        <w:tabs>
          <w:tab w:val="left" w:pos="1215"/>
        </w:tabs>
        <w:spacing w:before="36" w:after="0" w:line="240" w:lineRule="auto"/>
        <w:ind w:left="1215" w:right="0" w:hanging="631"/>
        <w:jc w:val="left"/>
        <w:rPr>
          <w:sz w:val="24"/>
        </w:rPr>
      </w:pPr>
      <w:r>
        <w:rPr>
          <w:sz w:val="24"/>
        </w:rPr>
        <w:t>The</w:t>
      </w:r>
      <w:r>
        <w:rPr>
          <w:spacing w:val="-3"/>
          <w:sz w:val="24"/>
        </w:rPr>
        <w:t xml:space="preserve"> </w:t>
      </w:r>
      <w:r>
        <w:rPr>
          <w:sz w:val="24"/>
        </w:rPr>
        <w:t>following</w:t>
      </w:r>
      <w:r>
        <w:rPr>
          <w:spacing w:val="-1"/>
          <w:sz w:val="24"/>
        </w:rPr>
        <w:t xml:space="preserve"> </w:t>
      </w:r>
      <w:r>
        <w:rPr>
          <w:sz w:val="24"/>
        </w:rPr>
        <w:t>requirements apply</w:t>
      </w:r>
      <w:r>
        <w:rPr>
          <w:spacing w:val="-1"/>
          <w:sz w:val="24"/>
        </w:rPr>
        <w:t xml:space="preserve"> </w:t>
      </w:r>
      <w:r>
        <w:rPr>
          <w:sz w:val="24"/>
        </w:rPr>
        <w:t>to support</w:t>
      </w:r>
      <w:r>
        <w:rPr>
          <w:spacing w:val="-1"/>
          <w:sz w:val="24"/>
        </w:rPr>
        <w:t xml:space="preserve"> </w:t>
      </w:r>
      <w:r>
        <w:rPr>
          <w:sz w:val="24"/>
        </w:rPr>
        <w:t>for</w:t>
      </w:r>
      <w:r>
        <w:rPr>
          <w:spacing w:val="1"/>
          <w:sz w:val="24"/>
        </w:rPr>
        <w:t xml:space="preserve"> </w:t>
      </w:r>
      <w:r>
        <w:rPr>
          <w:sz w:val="24"/>
        </w:rPr>
        <w:t xml:space="preserve">a related </w:t>
      </w:r>
      <w:r>
        <w:rPr>
          <w:spacing w:val="-2"/>
          <w:sz w:val="24"/>
        </w:rPr>
        <w:t>party:</w:t>
      </w:r>
    </w:p>
    <w:p>
      <w:pPr>
        <w:pStyle w:val="ListParagraph"/>
        <w:numPr>
          <w:ilvl w:val="2"/>
          <w:numId w:val="4"/>
        </w:numPr>
        <w:tabs>
          <w:tab w:val="left" w:pos="2024"/>
        </w:tabs>
        <w:spacing w:before="43" w:after="0" w:line="232" w:lineRule="auto"/>
        <w:ind w:left="2024" w:right="994" w:hanging="809"/>
        <w:jc w:val="left"/>
        <w:rPr>
          <w:sz w:val="24"/>
        </w:rPr>
      </w:pPr>
      <w:r>
        <w:rPr>
          <w:sz w:val="24"/>
        </w:rPr>
        <w:t>Benefit</w:t>
      </w:r>
      <w:r>
        <w:rPr>
          <w:spacing w:val="-5"/>
          <w:sz w:val="24"/>
        </w:rPr>
        <w:t xml:space="preserve"> </w:t>
      </w:r>
      <w:r>
        <w:rPr>
          <w:sz w:val="24"/>
        </w:rPr>
        <w:t>and</w:t>
      </w:r>
      <w:r>
        <w:rPr>
          <w:spacing w:val="-5"/>
          <w:sz w:val="24"/>
        </w:rPr>
        <w:t xml:space="preserve"> </w:t>
      </w:r>
      <w:r>
        <w:rPr>
          <w:sz w:val="24"/>
        </w:rPr>
        <w:t>administrative</w:t>
      </w:r>
      <w:r>
        <w:rPr>
          <w:spacing w:val="-6"/>
          <w:sz w:val="24"/>
        </w:rPr>
        <w:t xml:space="preserve"> </w:t>
      </w:r>
      <w:r>
        <w:rPr>
          <w:sz w:val="24"/>
        </w:rPr>
        <w:t>services</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supported</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separate</w:t>
      </w:r>
      <w:r>
        <w:rPr>
          <w:spacing w:val="-4"/>
          <w:sz w:val="24"/>
        </w:rPr>
        <w:t xml:space="preserve"> </w:t>
      </w:r>
      <w:r>
        <w:rPr>
          <w:sz w:val="24"/>
        </w:rPr>
        <w:t>and independent demonstration for all methods used.</w:t>
      </w:r>
    </w:p>
    <w:p>
      <w:pPr>
        <w:pStyle w:val="ListParagraph"/>
        <w:numPr>
          <w:ilvl w:val="2"/>
          <w:numId w:val="4"/>
        </w:numPr>
        <w:tabs>
          <w:tab w:val="left" w:pos="2024"/>
        </w:tabs>
        <w:spacing w:before="43" w:after="0" w:line="232" w:lineRule="auto"/>
        <w:ind w:left="2024" w:right="1130" w:hanging="809"/>
        <w:jc w:val="left"/>
        <w:rPr>
          <w:sz w:val="24"/>
        </w:rPr>
      </w:pPr>
      <w:r>
        <w:rPr>
          <w:sz w:val="24"/>
        </w:rPr>
        <w:t>Only</w:t>
      </w:r>
      <w:r>
        <w:rPr>
          <w:spacing w:val="-4"/>
          <w:sz w:val="24"/>
        </w:rPr>
        <w:t xml:space="preserve"> </w:t>
      </w:r>
      <w:r>
        <w:rPr>
          <w:sz w:val="24"/>
        </w:rPr>
        <w:t>one</w:t>
      </w:r>
      <w:r>
        <w:rPr>
          <w:spacing w:val="-5"/>
          <w:sz w:val="24"/>
        </w:rPr>
        <w:t xml:space="preserve"> </w:t>
      </w:r>
      <w:r>
        <w:rPr>
          <w:sz w:val="24"/>
        </w:rPr>
        <w:t>method</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the</w:t>
      </w:r>
      <w:r>
        <w:rPr>
          <w:spacing w:val="-5"/>
          <w:sz w:val="24"/>
        </w:rPr>
        <w:t xml:space="preserve"> </w:t>
      </w:r>
      <w:r>
        <w:rPr>
          <w:sz w:val="24"/>
        </w:rPr>
        <w:t>benefit</w:t>
      </w:r>
      <w:r>
        <w:rPr>
          <w:spacing w:val="-4"/>
          <w:sz w:val="24"/>
        </w:rPr>
        <w:t xml:space="preserve"> </w:t>
      </w:r>
      <w:r>
        <w:rPr>
          <w:sz w:val="24"/>
        </w:rPr>
        <w:t>or</w:t>
      </w:r>
      <w:r>
        <w:rPr>
          <w:spacing w:val="-4"/>
          <w:sz w:val="24"/>
        </w:rPr>
        <w:t xml:space="preserve"> </w:t>
      </w:r>
      <w:r>
        <w:rPr>
          <w:sz w:val="24"/>
        </w:rPr>
        <w:t>administrative component of each related-party arrangement.</w:t>
      </w:r>
    </w:p>
    <w:p>
      <w:pPr>
        <w:pStyle w:val="ListParagraph"/>
        <w:numPr>
          <w:ilvl w:val="2"/>
          <w:numId w:val="4"/>
        </w:numPr>
        <w:tabs>
          <w:tab w:val="left" w:pos="2024"/>
        </w:tabs>
        <w:spacing w:before="45" w:after="0" w:line="232" w:lineRule="auto"/>
        <w:ind w:left="2024" w:right="793" w:hanging="809"/>
        <w:jc w:val="left"/>
        <w:rPr>
          <w:sz w:val="24"/>
        </w:rPr>
      </w:pPr>
      <w:r>
        <w:rPr>
          <w:sz w:val="24"/>
        </w:rPr>
        <w:t>Two</w:t>
      </w:r>
      <w:r>
        <w:rPr>
          <w:spacing w:val="-6"/>
          <w:sz w:val="24"/>
        </w:rPr>
        <w:t xml:space="preserve"> </w:t>
      </w:r>
      <w:r>
        <w:rPr>
          <w:sz w:val="24"/>
        </w:rPr>
        <w:t>arrangements</w:t>
      </w:r>
      <w:r>
        <w:rPr>
          <w:spacing w:val="-6"/>
          <w:sz w:val="24"/>
        </w:rPr>
        <w:t xml:space="preserve"> </w:t>
      </w:r>
      <w:r>
        <w:rPr>
          <w:sz w:val="24"/>
        </w:rPr>
        <w:t>under</w:t>
      </w:r>
      <w:r>
        <w:rPr>
          <w:spacing w:val="-5"/>
          <w:sz w:val="24"/>
        </w:rPr>
        <w:t xml:space="preserve"> </w:t>
      </w:r>
      <w:r>
        <w:rPr>
          <w:sz w:val="24"/>
        </w:rPr>
        <w:t>comparison</w:t>
      </w:r>
      <w:r>
        <w:rPr>
          <w:spacing w:val="-6"/>
          <w:sz w:val="24"/>
        </w:rPr>
        <w:t xml:space="preserve"> </w:t>
      </w:r>
      <w:r>
        <w:rPr>
          <w:sz w:val="24"/>
        </w:rPr>
        <w:t>are</w:t>
      </w:r>
      <w:r>
        <w:rPr>
          <w:spacing w:val="-7"/>
          <w:sz w:val="24"/>
        </w:rPr>
        <w:t xml:space="preserve"> </w:t>
      </w:r>
      <w:r>
        <w:rPr>
          <w:sz w:val="24"/>
        </w:rPr>
        <w:t>recognized</w:t>
      </w:r>
      <w:r>
        <w:rPr>
          <w:spacing w:val="-6"/>
          <w:sz w:val="24"/>
        </w:rPr>
        <w:t xml:space="preserve"> </w:t>
      </w:r>
      <w:r>
        <w:rPr>
          <w:sz w:val="24"/>
        </w:rPr>
        <w:t>as</w:t>
      </w:r>
      <w:r>
        <w:rPr>
          <w:spacing w:val="-6"/>
          <w:sz w:val="24"/>
        </w:rPr>
        <w:t xml:space="preserve"> </w:t>
      </w:r>
      <w:r>
        <w:rPr>
          <w:sz w:val="24"/>
        </w:rPr>
        <w:t>comparable</w:t>
      </w:r>
      <w:r>
        <w:rPr>
          <w:spacing w:val="-6"/>
          <w:sz w:val="24"/>
        </w:rPr>
        <w:t xml:space="preserve"> </w:t>
      </w:r>
      <w:r>
        <w:rPr>
          <w:sz w:val="24"/>
        </w:rPr>
        <w:t>when the terms are identical.</w:t>
      </w:r>
    </w:p>
    <w:p>
      <w:pPr>
        <w:pStyle w:val="ListParagraph"/>
        <w:numPr>
          <w:ilvl w:val="2"/>
          <w:numId w:val="4"/>
        </w:numPr>
        <w:tabs>
          <w:tab w:val="left" w:pos="2024"/>
        </w:tabs>
        <w:spacing w:before="44" w:after="0" w:line="235" w:lineRule="auto"/>
        <w:ind w:left="2024" w:right="753" w:hanging="809"/>
        <w:jc w:val="left"/>
        <w:rPr>
          <w:sz w:val="24"/>
        </w:rPr>
      </w:pPr>
      <w:r>
        <w:rPr>
          <w:sz w:val="24"/>
        </w:rPr>
        <w:t>When demonstrating that the fees for each service for a related-party and unrelated-party</w:t>
      </w:r>
      <w:r>
        <w:rPr>
          <w:spacing w:val="-4"/>
          <w:sz w:val="24"/>
        </w:rPr>
        <w:t xml:space="preserve"> </w:t>
      </w:r>
      <w:r>
        <w:rPr>
          <w:sz w:val="24"/>
        </w:rPr>
        <w:t>arrangement</w:t>
      </w:r>
      <w:r>
        <w:rPr>
          <w:spacing w:val="-4"/>
          <w:sz w:val="24"/>
        </w:rPr>
        <w:t xml:space="preserve"> </w:t>
      </w:r>
      <w:r>
        <w:rPr>
          <w:sz w:val="24"/>
        </w:rPr>
        <w:t>are</w:t>
      </w:r>
      <w:r>
        <w:rPr>
          <w:spacing w:val="-6"/>
          <w:sz w:val="24"/>
        </w:rPr>
        <w:t xml:space="preserve"> </w:t>
      </w:r>
      <w:r>
        <w:rPr>
          <w:sz w:val="24"/>
        </w:rPr>
        <w:t>within</w:t>
      </w:r>
      <w:r>
        <w:rPr>
          <w:spacing w:val="-4"/>
          <w:sz w:val="24"/>
        </w:rPr>
        <w:t xml:space="preserve"> </w:t>
      </w:r>
      <w:r>
        <w:rPr>
          <w:sz w:val="24"/>
        </w:rPr>
        <w:t>5</w:t>
      </w:r>
      <w:r>
        <w:rPr>
          <w:spacing w:val="-4"/>
          <w:sz w:val="24"/>
        </w:rPr>
        <w:t xml:space="preserve"> </w:t>
      </w:r>
      <w:r>
        <w:rPr>
          <w:sz w:val="24"/>
        </w:rPr>
        <w:t>percent,</w:t>
      </w:r>
      <w:r>
        <w:rPr>
          <w:spacing w:val="-2"/>
          <w:sz w:val="24"/>
        </w:rPr>
        <w:t xml:space="preserve"> </w:t>
      </w:r>
      <w:r>
        <w:rPr>
          <w:sz w:val="24"/>
        </w:rPr>
        <w:t>all</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services</w:t>
      </w:r>
      <w:r>
        <w:rPr>
          <w:spacing w:val="-4"/>
          <w:sz w:val="24"/>
        </w:rPr>
        <w:t xml:space="preserve"> </w:t>
      </w:r>
      <w:r>
        <w:rPr>
          <w:sz w:val="24"/>
        </w:rPr>
        <w:t>in</w:t>
      </w:r>
      <w:r>
        <w:rPr>
          <w:spacing w:val="-4"/>
          <w:sz w:val="24"/>
        </w:rPr>
        <w:t xml:space="preserve"> </w:t>
      </w:r>
      <w:r>
        <w:rPr>
          <w:sz w:val="24"/>
        </w:rPr>
        <w:t xml:space="preserve">the related-party arrangement must also be included in the unrelated-party arrangement. The unrelated-party arrangement may also include services that are not in the related-party arrangement but that are similar to those </w:t>
      </w:r>
      <w:r>
        <w:rPr>
          <w:spacing w:val="-2"/>
          <w:sz w:val="24"/>
        </w:rPr>
        <w:t>services.</w:t>
      </w:r>
    </w:p>
    <w:p>
      <w:pPr>
        <w:pStyle w:val="ListParagraph"/>
        <w:numPr>
          <w:ilvl w:val="2"/>
          <w:numId w:val="4"/>
        </w:numPr>
        <w:tabs>
          <w:tab w:val="left" w:pos="2024"/>
        </w:tabs>
        <w:spacing w:before="35" w:after="0" w:line="235" w:lineRule="auto"/>
        <w:ind w:left="2024" w:right="645" w:hanging="809"/>
        <w:jc w:val="left"/>
        <w:rPr>
          <w:sz w:val="24"/>
        </w:rPr>
      </w:pPr>
      <w:r>
        <w:rPr>
          <w:sz w:val="24"/>
        </w:rPr>
        <w:t>When</w:t>
      </w:r>
      <w:r>
        <w:rPr>
          <w:spacing w:val="-5"/>
          <w:sz w:val="24"/>
        </w:rPr>
        <w:t xml:space="preserve"> </w:t>
      </w:r>
      <w:r>
        <w:rPr>
          <w:sz w:val="24"/>
        </w:rPr>
        <w:t>demonstrating</w:t>
      </w:r>
      <w:r>
        <w:rPr>
          <w:spacing w:val="-5"/>
          <w:sz w:val="24"/>
        </w:rPr>
        <w:t xml:space="preserve"> </w:t>
      </w:r>
      <w:r>
        <w:rPr>
          <w:sz w:val="24"/>
        </w:rPr>
        <w:t>that</w:t>
      </w:r>
      <w:r>
        <w:rPr>
          <w:spacing w:val="-3"/>
          <w:sz w:val="24"/>
        </w:rPr>
        <w:t xml:space="preserve"> </w:t>
      </w:r>
      <w:r>
        <w:rPr>
          <w:sz w:val="24"/>
        </w:rPr>
        <w:t>results</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same</w:t>
      </w:r>
      <w:r>
        <w:rPr>
          <w:spacing w:val="-5"/>
          <w:sz w:val="24"/>
        </w:rPr>
        <w:t xml:space="preserve"> </w:t>
      </w:r>
      <w:r>
        <w:rPr>
          <w:sz w:val="24"/>
        </w:rPr>
        <w:t>utilization</w:t>
      </w:r>
      <w:r>
        <w:rPr>
          <w:spacing w:val="-5"/>
          <w:sz w:val="24"/>
        </w:rPr>
        <w:t xml:space="preserve"> </w:t>
      </w:r>
      <w:r>
        <w:rPr>
          <w:sz w:val="24"/>
        </w:rPr>
        <w:t>priced</w:t>
      </w:r>
      <w:r>
        <w:rPr>
          <w:spacing w:val="-5"/>
          <w:sz w:val="24"/>
        </w:rPr>
        <w:t xml:space="preserve"> </w:t>
      </w:r>
      <w:r>
        <w:rPr>
          <w:sz w:val="24"/>
        </w:rPr>
        <w:t>through</w:t>
      </w:r>
      <w:r>
        <w:rPr>
          <w:spacing w:val="-5"/>
          <w:sz w:val="24"/>
        </w:rPr>
        <w:t xml:space="preserve"> </w:t>
      </w:r>
      <w:r>
        <w:rPr>
          <w:sz w:val="24"/>
        </w:rPr>
        <w:t>a related party and unrelated-party arrangement are comparable, all of the services in the related-party arrangement must also be included in the unrelated-party arrangement. The unrelated-party arrangement may also include services that are not in the related-party arrangement but that are similar to those services.</w:t>
      </w:r>
    </w:p>
    <w:p>
      <w:pPr>
        <w:pStyle w:val="ListParagraph"/>
        <w:numPr>
          <w:ilvl w:val="1"/>
          <w:numId w:val="4"/>
        </w:numPr>
        <w:tabs>
          <w:tab w:val="left" w:pos="1215"/>
        </w:tabs>
        <w:spacing w:before="39" w:after="0" w:line="235" w:lineRule="auto"/>
        <w:ind w:left="1215" w:right="770" w:hanging="632"/>
        <w:jc w:val="left"/>
        <w:rPr>
          <w:sz w:val="24"/>
        </w:rPr>
      </w:pPr>
      <w:r>
        <w:rPr>
          <w:sz w:val="24"/>
        </w:rPr>
        <w:t>When</w:t>
      </w:r>
      <w:r>
        <w:rPr>
          <w:spacing w:val="-3"/>
          <w:sz w:val="24"/>
        </w:rPr>
        <w:t xml:space="preserve"> </w:t>
      </w:r>
      <w:r>
        <w:rPr>
          <w:sz w:val="24"/>
        </w:rPr>
        <w:t>a</w:t>
      </w:r>
      <w:r>
        <w:rPr>
          <w:spacing w:val="-4"/>
          <w:sz w:val="24"/>
        </w:rPr>
        <w:t xml:space="preserve"> </w:t>
      </w:r>
      <w:r>
        <w:rPr>
          <w:sz w:val="24"/>
        </w:rPr>
        <w:t>Part</w:t>
      </w:r>
      <w:r>
        <w:rPr>
          <w:spacing w:val="-2"/>
          <w:sz w:val="24"/>
        </w:rPr>
        <w:t xml:space="preserve"> </w:t>
      </w:r>
      <w:r>
        <w:rPr>
          <w:sz w:val="24"/>
        </w:rPr>
        <w:t>D</w:t>
      </w:r>
      <w:r>
        <w:rPr>
          <w:spacing w:val="-3"/>
          <w:sz w:val="24"/>
        </w:rPr>
        <w:t xml:space="preserve"> </w:t>
      </w:r>
      <w:r>
        <w:rPr>
          <w:sz w:val="24"/>
        </w:rPr>
        <w:t>sponsor</w:t>
      </w:r>
      <w:r>
        <w:rPr>
          <w:spacing w:val="-4"/>
          <w:sz w:val="24"/>
        </w:rPr>
        <w:t xml:space="preserve"> </w:t>
      </w:r>
      <w:r>
        <w:rPr>
          <w:sz w:val="24"/>
        </w:rPr>
        <w:t>has</w:t>
      </w:r>
      <w:r>
        <w:rPr>
          <w:spacing w:val="-3"/>
          <w:sz w:val="24"/>
        </w:rPr>
        <w:t xml:space="preserve"> </w:t>
      </w:r>
      <w:r>
        <w:rPr>
          <w:sz w:val="24"/>
        </w:rPr>
        <w:t>an</w:t>
      </w:r>
      <w:r>
        <w:rPr>
          <w:spacing w:val="-3"/>
          <w:sz w:val="24"/>
        </w:rPr>
        <w:t xml:space="preserve"> </w:t>
      </w:r>
      <w:r>
        <w:rPr>
          <w:sz w:val="24"/>
        </w:rPr>
        <w:t>arrangement</w:t>
      </w:r>
      <w:r>
        <w:rPr>
          <w:spacing w:val="-3"/>
          <w:sz w:val="24"/>
        </w:rPr>
        <w:t xml:space="preserve"> </w:t>
      </w:r>
      <w:r>
        <w:rPr>
          <w:sz w:val="24"/>
        </w:rPr>
        <w:t>for</w:t>
      </w:r>
      <w:r>
        <w:rPr>
          <w:spacing w:val="-4"/>
          <w:sz w:val="24"/>
        </w:rPr>
        <w:t xml:space="preserve"> </w:t>
      </w:r>
      <w:r>
        <w:rPr>
          <w:sz w:val="24"/>
        </w:rPr>
        <w:t>benefit</w:t>
      </w:r>
      <w:r>
        <w:rPr>
          <w:spacing w:val="-3"/>
          <w:sz w:val="24"/>
        </w:rPr>
        <w:t xml:space="preserve"> </w:t>
      </w:r>
      <w:r>
        <w:rPr>
          <w:sz w:val="24"/>
        </w:rPr>
        <w:t>services</w:t>
      </w:r>
      <w:r>
        <w:rPr>
          <w:spacing w:val="-1"/>
          <w:sz w:val="24"/>
        </w:rPr>
        <w:t xml:space="preserve"> </w:t>
      </w:r>
      <w:r>
        <w:rPr>
          <w:sz w:val="24"/>
        </w:rPr>
        <w:t>within</w:t>
      </w:r>
      <w:r>
        <w:rPr>
          <w:spacing w:val="-3"/>
          <w:sz w:val="24"/>
        </w:rPr>
        <w:t xml:space="preserve"> </w:t>
      </w:r>
      <w:r>
        <w:rPr>
          <w:sz w:val="24"/>
        </w:rPr>
        <w:t>their</w:t>
      </w:r>
      <w:r>
        <w:rPr>
          <w:spacing w:val="-4"/>
          <w:sz w:val="24"/>
        </w:rPr>
        <w:t xml:space="preserve"> </w:t>
      </w:r>
      <w:r>
        <w:rPr>
          <w:sz w:val="24"/>
        </w:rPr>
        <w:t>tax ID number and does not submit bid data that matches the reporting of these internal transactions in their financial statements, then the plan sponsor must submit supporting documentation—required by Appendix B, items 13.1 to 13.10—that</w:t>
      </w:r>
    </w:p>
    <w:p>
      <w:pPr>
        <w:spacing w:after="0" w:line="235" w:lineRule="auto"/>
        <w:jc w:val="left"/>
        <w:rPr>
          <w:sz w:val="24"/>
        </w:rPr>
        <w:sectPr>
          <w:pgSz w:w="12240" w:h="15840"/>
          <w:pgMar w:top="1340" w:right="1000" w:bottom="940" w:left="1360" w:header="727" w:footer="747"/>
          <w:cols w:space="720"/>
        </w:sectPr>
      </w:pPr>
    </w:p>
    <w:p>
      <w:pPr>
        <w:pStyle w:val="BodyText"/>
        <w:spacing w:before="89" w:line="232" w:lineRule="auto"/>
        <w:ind w:left="1215" w:right="478"/>
      </w:pPr>
      <w:r>
        <w:t>explains</w:t>
      </w:r>
      <w:r>
        <w:rPr>
          <w:spacing w:val="-3"/>
        </w:rPr>
        <w:t xml:space="preserve"> </w:t>
      </w:r>
      <w:r>
        <w:t>and</w:t>
      </w:r>
      <w:r>
        <w:rPr>
          <w:spacing w:val="-3"/>
        </w:rPr>
        <w:t xml:space="preserve"> </w:t>
      </w:r>
      <w:r>
        <w:t>compares</w:t>
      </w:r>
      <w:r>
        <w:rPr>
          <w:spacing w:val="-3"/>
        </w:rPr>
        <w:t xml:space="preserve"> </w:t>
      </w:r>
      <w:r>
        <w:t>how</w:t>
      </w:r>
      <w:r>
        <w:rPr>
          <w:spacing w:val="-3"/>
        </w:rPr>
        <w:t xml:space="preserve"> </w:t>
      </w:r>
      <w:r>
        <w:t>these</w:t>
      </w:r>
      <w:r>
        <w:rPr>
          <w:spacing w:val="-4"/>
        </w:rPr>
        <w:t xml:space="preserve"> </w:t>
      </w:r>
      <w:r>
        <w:t>costs</w:t>
      </w:r>
      <w:r>
        <w:rPr>
          <w:spacing w:val="-3"/>
        </w:rPr>
        <w:t xml:space="preserve"> </w:t>
      </w:r>
      <w:r>
        <w:t>are</w:t>
      </w:r>
      <w:r>
        <w:rPr>
          <w:spacing w:val="-4"/>
        </w:rPr>
        <w:t xml:space="preserve"> </w:t>
      </w:r>
      <w:r>
        <w:t>reflected</w:t>
      </w:r>
      <w:r>
        <w:rPr>
          <w:spacing w:val="-3"/>
        </w:rPr>
        <w:t xml:space="preserve"> </w:t>
      </w:r>
      <w:r>
        <w:t>in</w:t>
      </w:r>
      <w:r>
        <w:rPr>
          <w:spacing w:val="-3"/>
        </w:rPr>
        <w:t xml:space="preserve"> </w:t>
      </w:r>
      <w:r>
        <w:t>the</w:t>
      </w:r>
      <w:r>
        <w:rPr>
          <w:spacing w:val="-4"/>
        </w:rPr>
        <w:t xml:space="preserve"> </w:t>
      </w:r>
      <w:r>
        <w:t>bid</w:t>
      </w:r>
      <w:r>
        <w:rPr>
          <w:spacing w:val="-3"/>
        </w:rPr>
        <w:t xml:space="preserve"> </w:t>
      </w:r>
      <w:r>
        <w:t>versus</w:t>
      </w:r>
      <w:r>
        <w:rPr>
          <w:spacing w:val="-3"/>
        </w:rPr>
        <w:t xml:space="preserve"> </w:t>
      </w:r>
      <w:r>
        <w:t>the</w:t>
      </w:r>
      <w:r>
        <w:rPr>
          <w:spacing w:val="-4"/>
        </w:rPr>
        <w:t xml:space="preserve"> </w:t>
      </w:r>
      <w:r>
        <w:t>Part D sponsor’s financial statements.</w:t>
      </w:r>
    </w:p>
    <w:p>
      <w:pPr>
        <w:pStyle w:val="ListParagraph"/>
        <w:numPr>
          <w:ilvl w:val="0"/>
          <w:numId w:val="4"/>
        </w:numPr>
        <w:tabs>
          <w:tab w:val="left" w:pos="584"/>
        </w:tabs>
        <w:spacing w:before="36" w:after="0" w:line="240" w:lineRule="auto"/>
        <w:ind w:left="584" w:right="0" w:hanging="360"/>
        <w:jc w:val="left"/>
        <w:rPr>
          <w:sz w:val="24"/>
        </w:rPr>
      </w:pPr>
      <w:r>
        <w:rPr>
          <w:sz w:val="24"/>
        </w:rPr>
        <w:t>The</w:t>
      </w:r>
      <w:r>
        <w:rPr>
          <w:spacing w:val="-3"/>
          <w:sz w:val="24"/>
        </w:rPr>
        <w:t xml:space="preserve"> </w:t>
      </w:r>
      <w:r>
        <w:rPr>
          <w:sz w:val="24"/>
        </w:rPr>
        <w:t>input</w:t>
      </w:r>
      <w:r>
        <w:rPr>
          <w:spacing w:val="-1"/>
          <w:sz w:val="24"/>
        </w:rPr>
        <w:t xml:space="preserve"> </w:t>
      </w:r>
      <w:r>
        <w:rPr>
          <w:sz w:val="24"/>
        </w:rPr>
        <w:t>sheet(s) for</w:t>
      </w:r>
      <w:r>
        <w:rPr>
          <w:spacing w:val="-1"/>
          <w:sz w:val="24"/>
        </w:rPr>
        <w:t xml:space="preserve"> </w:t>
      </w:r>
      <w:r>
        <w:rPr>
          <w:sz w:val="24"/>
        </w:rPr>
        <w:t>the</w:t>
      </w:r>
      <w:r>
        <w:rPr>
          <w:spacing w:val="-1"/>
          <w:sz w:val="24"/>
        </w:rPr>
        <w:t xml:space="preserve"> </w:t>
      </w:r>
      <w:r>
        <w:rPr>
          <w:sz w:val="24"/>
        </w:rPr>
        <w:t>pricing model</w:t>
      </w:r>
      <w:r>
        <w:rPr>
          <w:spacing w:val="-1"/>
          <w:sz w:val="24"/>
        </w:rPr>
        <w:t xml:space="preserve"> </w:t>
      </w:r>
      <w:r>
        <w:rPr>
          <w:sz w:val="24"/>
        </w:rPr>
        <w:t>used in</w:t>
      </w:r>
      <w:r>
        <w:rPr>
          <w:spacing w:val="-1"/>
          <w:sz w:val="24"/>
        </w:rPr>
        <w:t xml:space="preserve"> </w:t>
      </w:r>
      <w:r>
        <w:rPr>
          <w:sz w:val="24"/>
        </w:rPr>
        <w:t>the</w:t>
      </w:r>
      <w:r>
        <w:rPr>
          <w:spacing w:val="-2"/>
          <w:sz w:val="24"/>
        </w:rPr>
        <w:t xml:space="preserve"> </w:t>
      </w:r>
      <w:r>
        <w:rPr>
          <w:sz w:val="24"/>
        </w:rPr>
        <w:t>development of</w:t>
      </w:r>
      <w:r>
        <w:rPr>
          <w:spacing w:val="-1"/>
          <w:sz w:val="24"/>
        </w:rPr>
        <w:t xml:space="preserve"> </w:t>
      </w:r>
      <w:r>
        <w:rPr>
          <w:sz w:val="24"/>
        </w:rPr>
        <w:t xml:space="preserve">the </w:t>
      </w:r>
      <w:r>
        <w:rPr>
          <w:spacing w:val="-4"/>
          <w:sz w:val="24"/>
        </w:rPr>
        <w:t>bid.</w:t>
      </w:r>
    </w:p>
    <w:p>
      <w:pPr>
        <w:pStyle w:val="ListParagraph"/>
        <w:numPr>
          <w:ilvl w:val="0"/>
          <w:numId w:val="4"/>
        </w:numPr>
        <w:tabs>
          <w:tab w:val="left" w:pos="584"/>
        </w:tabs>
        <w:spacing w:before="38" w:after="0" w:line="235" w:lineRule="auto"/>
        <w:ind w:left="584" w:right="444" w:hanging="360"/>
        <w:jc w:val="left"/>
        <w:rPr>
          <w:sz w:val="24"/>
        </w:rPr>
      </w:pPr>
      <w:r>
        <w:rPr>
          <w:sz w:val="24"/>
        </w:rPr>
        <w:t>An explanation of and detailed support for how CY2025 bid audit findings and compliance issues</w:t>
      </w:r>
      <w:r>
        <w:rPr>
          <w:spacing w:val="-3"/>
          <w:sz w:val="24"/>
        </w:rPr>
        <w:t xml:space="preserve"> </w:t>
      </w:r>
      <w:r>
        <w:rPr>
          <w:sz w:val="24"/>
        </w:rPr>
        <w:t>were</w:t>
      </w:r>
      <w:r>
        <w:rPr>
          <w:spacing w:val="-3"/>
          <w:sz w:val="24"/>
        </w:rPr>
        <w:t xml:space="preserve"> </w:t>
      </w:r>
      <w:r>
        <w:rPr>
          <w:sz w:val="24"/>
        </w:rPr>
        <w:t>corrected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current</w:t>
      </w:r>
      <w:r>
        <w:rPr>
          <w:spacing w:val="-3"/>
          <w:sz w:val="24"/>
        </w:rPr>
        <w:t xml:space="preserve"> </w:t>
      </w:r>
      <w:r>
        <w:rPr>
          <w:sz w:val="24"/>
        </w:rPr>
        <w:t>bid</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same</w:t>
      </w:r>
      <w:r>
        <w:rPr>
          <w:spacing w:val="-3"/>
          <w:sz w:val="24"/>
        </w:rPr>
        <w:t xml:space="preserve"> </w:t>
      </w:r>
      <w:r>
        <w:rPr>
          <w:sz w:val="24"/>
        </w:rPr>
        <w:t>plan.</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extent</w:t>
      </w:r>
      <w:r>
        <w:rPr>
          <w:spacing w:val="-3"/>
          <w:sz w:val="24"/>
        </w:rPr>
        <w:t xml:space="preserve"> </w:t>
      </w:r>
      <w:r>
        <w:rPr>
          <w:sz w:val="24"/>
        </w:rPr>
        <w:t>that</w:t>
      </w:r>
      <w:r>
        <w:rPr>
          <w:spacing w:val="-2"/>
          <w:sz w:val="24"/>
        </w:rPr>
        <w:t xml:space="preserve"> </w:t>
      </w:r>
      <w:r>
        <w:rPr>
          <w:sz w:val="24"/>
        </w:rPr>
        <w:t>an</w:t>
      </w:r>
      <w:r>
        <w:rPr>
          <w:spacing w:val="-3"/>
          <w:sz w:val="24"/>
        </w:rPr>
        <w:t xml:space="preserve"> </w:t>
      </w:r>
      <w:r>
        <w:rPr>
          <w:sz w:val="24"/>
        </w:rPr>
        <w:t>issue</w:t>
      </w:r>
      <w:r>
        <w:rPr>
          <w:spacing w:val="-4"/>
          <w:sz w:val="24"/>
        </w:rPr>
        <w:t xml:space="preserve"> </w:t>
      </w:r>
      <w:r>
        <w:rPr>
          <w:sz w:val="24"/>
        </w:rPr>
        <w:t>applies to</w:t>
      </w:r>
      <w:r>
        <w:rPr>
          <w:spacing w:val="-2"/>
          <w:sz w:val="24"/>
        </w:rPr>
        <w:t xml:space="preserve"> </w:t>
      </w:r>
      <w:r>
        <w:rPr>
          <w:sz w:val="24"/>
        </w:rPr>
        <w:t>other</w:t>
      </w:r>
      <w:r>
        <w:rPr>
          <w:spacing w:val="-2"/>
          <w:sz w:val="24"/>
        </w:rPr>
        <w:t xml:space="preserve"> </w:t>
      </w:r>
      <w:r>
        <w:rPr>
          <w:sz w:val="24"/>
        </w:rPr>
        <w:t>plans</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contract</w:t>
      </w:r>
      <w:r>
        <w:rPr>
          <w:spacing w:val="-2"/>
          <w:sz w:val="24"/>
        </w:rPr>
        <w:t xml:space="preserve"> </w:t>
      </w:r>
      <w:r>
        <w:rPr>
          <w:sz w:val="24"/>
        </w:rPr>
        <w:t>or</w:t>
      </w:r>
      <w:r>
        <w:rPr>
          <w:spacing w:val="-2"/>
          <w:sz w:val="24"/>
        </w:rPr>
        <w:t xml:space="preserve"> </w:t>
      </w:r>
      <w:r>
        <w:rPr>
          <w:sz w:val="24"/>
        </w:rPr>
        <w:t>parent</w:t>
      </w:r>
      <w:r>
        <w:rPr>
          <w:spacing w:val="-2"/>
          <w:sz w:val="24"/>
        </w:rPr>
        <w:t xml:space="preserve"> </w:t>
      </w:r>
      <w:r>
        <w:rPr>
          <w:sz w:val="24"/>
        </w:rPr>
        <w:t>organization,</w:t>
      </w:r>
      <w:r>
        <w:rPr>
          <w:spacing w:val="-2"/>
          <w:sz w:val="24"/>
        </w:rPr>
        <w:t xml:space="preserve"> </w:t>
      </w:r>
      <w:r>
        <w:rPr>
          <w:sz w:val="24"/>
        </w:rPr>
        <w:t>the</w:t>
      </w:r>
      <w:r>
        <w:rPr>
          <w:spacing w:val="-2"/>
          <w:sz w:val="24"/>
        </w:rPr>
        <w:t xml:space="preserve"> </w:t>
      </w:r>
      <w:r>
        <w:rPr>
          <w:sz w:val="24"/>
        </w:rPr>
        <w:t>documentation</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audited plan must describe how the bids for all plans are treated consistently regarding that issue.</w:t>
      </w:r>
    </w:p>
    <w:p>
      <w:pPr>
        <w:pStyle w:val="ListParagraph"/>
        <w:numPr>
          <w:ilvl w:val="0"/>
          <w:numId w:val="4"/>
        </w:numPr>
        <w:tabs>
          <w:tab w:val="left" w:pos="584"/>
        </w:tabs>
        <w:spacing w:before="35" w:after="0" w:line="240" w:lineRule="auto"/>
        <w:ind w:left="584" w:right="0" w:hanging="360"/>
        <w:jc w:val="left"/>
        <w:rPr>
          <w:sz w:val="24"/>
        </w:rPr>
      </w:pPr>
      <w:r>
        <w:rPr>
          <w:sz w:val="24"/>
        </w:rPr>
        <w:t>Support</w:t>
      </w:r>
      <w:r>
        <w:rPr>
          <w:spacing w:val="-1"/>
          <w:sz w:val="24"/>
        </w:rPr>
        <w:t xml:space="preserve"> </w:t>
      </w:r>
      <w:r>
        <w:rPr>
          <w:sz w:val="24"/>
        </w:rPr>
        <w:t>for</w:t>
      </w:r>
      <w:r>
        <w:rPr>
          <w:spacing w:val="-1"/>
          <w:sz w:val="24"/>
        </w:rPr>
        <w:t xml:space="preserve"> </w:t>
      </w:r>
      <w:r>
        <w:rPr>
          <w:sz w:val="24"/>
        </w:rPr>
        <w:t>reliance</w:t>
      </w:r>
      <w:r>
        <w:rPr>
          <w:spacing w:val="-2"/>
          <w:sz w:val="24"/>
        </w:rPr>
        <w:t xml:space="preserve"> </w:t>
      </w:r>
      <w:r>
        <w:rPr>
          <w:sz w:val="24"/>
        </w:rPr>
        <w:t>on information</w:t>
      </w:r>
      <w:r>
        <w:rPr>
          <w:spacing w:val="-1"/>
          <w:sz w:val="24"/>
        </w:rPr>
        <w:t xml:space="preserve"> </w:t>
      </w:r>
      <w:r>
        <w:rPr>
          <w:sz w:val="24"/>
        </w:rPr>
        <w:t>supplied by</w:t>
      </w:r>
      <w:r>
        <w:rPr>
          <w:spacing w:val="-1"/>
          <w:sz w:val="24"/>
        </w:rPr>
        <w:t xml:space="preserve"> </w:t>
      </w:r>
      <w:r>
        <w:rPr>
          <w:sz w:val="24"/>
        </w:rPr>
        <w:t xml:space="preserve">others </w:t>
      </w:r>
      <w:r>
        <w:rPr>
          <w:spacing w:val="-2"/>
          <w:sz w:val="24"/>
        </w:rPr>
        <w:t>that—</w:t>
      </w:r>
    </w:p>
    <w:p>
      <w:pPr>
        <w:pStyle w:val="ListParagraph"/>
        <w:numPr>
          <w:ilvl w:val="1"/>
          <w:numId w:val="4"/>
        </w:numPr>
        <w:tabs>
          <w:tab w:val="left" w:pos="1124"/>
        </w:tabs>
        <w:spacing w:before="40" w:after="0" w:line="232" w:lineRule="auto"/>
        <w:ind w:left="1124" w:right="760" w:hanging="540"/>
        <w:jc w:val="left"/>
        <w:rPr>
          <w:sz w:val="24"/>
        </w:rPr>
      </w:pPr>
      <w:r>
        <w:rPr>
          <w:sz w:val="24"/>
        </w:rPr>
        <w:t>Identifies</w:t>
      </w:r>
      <w:r>
        <w:rPr>
          <w:spacing w:val="-4"/>
          <w:sz w:val="24"/>
        </w:rPr>
        <w:t xml:space="preserve"> </w:t>
      </w:r>
      <w:r>
        <w:rPr>
          <w:sz w:val="24"/>
        </w:rPr>
        <w:t>the</w:t>
      </w:r>
      <w:r>
        <w:rPr>
          <w:spacing w:val="-4"/>
          <w:sz w:val="24"/>
        </w:rPr>
        <w:t xml:space="preserve"> </w:t>
      </w:r>
      <w:r>
        <w:rPr>
          <w:sz w:val="24"/>
        </w:rPr>
        <w:t>source(s)</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information—for</w:t>
      </w:r>
      <w:r>
        <w:rPr>
          <w:spacing w:val="-4"/>
          <w:sz w:val="24"/>
        </w:rPr>
        <w:t xml:space="preserve"> </w:t>
      </w:r>
      <w:r>
        <w:rPr>
          <w:sz w:val="24"/>
        </w:rPr>
        <w:t>example,</w:t>
      </w:r>
      <w:r>
        <w:rPr>
          <w:spacing w:val="-4"/>
          <w:sz w:val="24"/>
        </w:rPr>
        <w:t xml:space="preserve"> </w:t>
      </w:r>
      <w:r>
        <w:rPr>
          <w:sz w:val="24"/>
        </w:rPr>
        <w:t>name,</w:t>
      </w:r>
      <w:r>
        <w:rPr>
          <w:spacing w:val="-4"/>
          <w:sz w:val="24"/>
        </w:rPr>
        <w:t xml:space="preserve"> </w:t>
      </w:r>
      <w:r>
        <w:rPr>
          <w:sz w:val="24"/>
        </w:rPr>
        <w:t>position,</w:t>
      </w:r>
      <w:r>
        <w:rPr>
          <w:spacing w:val="-4"/>
          <w:sz w:val="24"/>
        </w:rPr>
        <w:t xml:space="preserve"> </w:t>
      </w:r>
      <w:r>
        <w:rPr>
          <w:sz w:val="24"/>
        </w:rPr>
        <w:t xml:space="preserve">company, </w:t>
      </w:r>
      <w:r>
        <w:rPr>
          <w:spacing w:val="-2"/>
          <w:sz w:val="24"/>
        </w:rPr>
        <w:t>date;</w:t>
      </w:r>
    </w:p>
    <w:p>
      <w:pPr>
        <w:pStyle w:val="ListParagraph"/>
        <w:numPr>
          <w:ilvl w:val="1"/>
          <w:numId w:val="4"/>
        </w:numPr>
        <w:tabs>
          <w:tab w:val="left" w:pos="1123"/>
        </w:tabs>
        <w:spacing w:before="36" w:after="0" w:line="240" w:lineRule="auto"/>
        <w:ind w:left="1123" w:right="0" w:hanging="539"/>
        <w:jc w:val="left"/>
        <w:rPr>
          <w:sz w:val="24"/>
        </w:rPr>
      </w:pPr>
      <w:r>
        <w:rPr>
          <w:sz w:val="24"/>
        </w:rPr>
        <w:t>Identifies</w:t>
      </w:r>
      <w:r>
        <w:rPr>
          <w:spacing w:val="-3"/>
          <w:sz w:val="24"/>
        </w:rPr>
        <w:t xml:space="preserve"> </w:t>
      </w:r>
      <w:r>
        <w:rPr>
          <w:sz w:val="24"/>
        </w:rPr>
        <w:t>the</w:t>
      </w:r>
      <w:r>
        <w:rPr>
          <w:spacing w:val="-2"/>
          <w:sz w:val="24"/>
        </w:rPr>
        <w:t xml:space="preserve"> </w:t>
      </w:r>
      <w:r>
        <w:rPr>
          <w:sz w:val="24"/>
        </w:rPr>
        <w:t>information</w:t>
      </w:r>
      <w:r>
        <w:rPr>
          <w:spacing w:val="-1"/>
          <w:sz w:val="24"/>
        </w:rPr>
        <w:t xml:space="preserve"> </w:t>
      </w:r>
      <w:r>
        <w:rPr>
          <w:sz w:val="24"/>
        </w:rPr>
        <w:t>relied</w:t>
      </w:r>
      <w:r>
        <w:rPr>
          <w:spacing w:val="-2"/>
          <w:sz w:val="24"/>
        </w:rPr>
        <w:t xml:space="preserve"> upon;</w:t>
      </w:r>
    </w:p>
    <w:p>
      <w:pPr>
        <w:pStyle w:val="ListParagraph"/>
        <w:numPr>
          <w:ilvl w:val="1"/>
          <w:numId w:val="4"/>
        </w:numPr>
        <w:tabs>
          <w:tab w:val="left" w:pos="1124"/>
        </w:tabs>
        <w:spacing w:before="41" w:after="0" w:line="235" w:lineRule="auto"/>
        <w:ind w:left="1124" w:right="1619" w:hanging="540"/>
        <w:jc w:val="left"/>
        <w:rPr>
          <w:sz w:val="24"/>
        </w:rPr>
      </w:pPr>
      <w:r>
        <w:rPr>
          <w:sz w:val="24"/>
        </w:rPr>
        <w:t>States</w:t>
      </w:r>
      <w:r>
        <w:rPr>
          <w:spacing w:val="-4"/>
          <w:sz w:val="24"/>
        </w:rPr>
        <w:t xml:space="preserve"> </w:t>
      </w:r>
      <w:r>
        <w:rPr>
          <w:sz w:val="24"/>
        </w:rPr>
        <w:t>the</w:t>
      </w:r>
      <w:r>
        <w:rPr>
          <w:spacing w:val="-4"/>
          <w:sz w:val="24"/>
        </w:rPr>
        <w:t xml:space="preserve"> </w:t>
      </w:r>
      <w:r>
        <w:rPr>
          <w:sz w:val="24"/>
        </w:rPr>
        <w:t>extent</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reliance—for</w:t>
      </w:r>
      <w:r>
        <w:rPr>
          <w:spacing w:val="-4"/>
          <w:sz w:val="24"/>
        </w:rPr>
        <w:t xml:space="preserve"> </w:t>
      </w:r>
      <w:r>
        <w:rPr>
          <w:sz w:val="24"/>
        </w:rPr>
        <w:t>example,</w:t>
      </w:r>
      <w:r>
        <w:rPr>
          <w:spacing w:val="-4"/>
          <w:sz w:val="24"/>
        </w:rPr>
        <w:t xml:space="preserve"> </w:t>
      </w:r>
      <w:r>
        <w:rPr>
          <w:sz w:val="24"/>
        </w:rPr>
        <w:t>whether</w:t>
      </w:r>
      <w:r>
        <w:rPr>
          <w:spacing w:val="-6"/>
          <w:sz w:val="24"/>
        </w:rPr>
        <w:t xml:space="preserve"> </w:t>
      </w:r>
      <w:r>
        <w:rPr>
          <w:sz w:val="24"/>
        </w:rPr>
        <w:t>or</w:t>
      </w:r>
      <w:r>
        <w:rPr>
          <w:spacing w:val="-4"/>
          <w:sz w:val="24"/>
        </w:rPr>
        <w:t xml:space="preserve"> </w:t>
      </w:r>
      <w:r>
        <w:rPr>
          <w:sz w:val="24"/>
        </w:rPr>
        <w:t>not</w:t>
      </w:r>
      <w:r>
        <w:rPr>
          <w:spacing w:val="-4"/>
          <w:sz w:val="24"/>
        </w:rPr>
        <w:t xml:space="preserve"> </w:t>
      </w:r>
      <w:r>
        <w:rPr>
          <w:sz w:val="24"/>
        </w:rPr>
        <w:t>checks</w:t>
      </w:r>
      <w:r>
        <w:rPr>
          <w:spacing w:val="-4"/>
          <w:sz w:val="24"/>
        </w:rPr>
        <w:t xml:space="preserve"> </w:t>
      </w:r>
      <w:r>
        <w:rPr>
          <w:sz w:val="24"/>
        </w:rPr>
        <w:t>as</w:t>
      </w:r>
      <w:r>
        <w:rPr>
          <w:spacing w:val="-4"/>
          <w:sz w:val="24"/>
        </w:rPr>
        <w:t xml:space="preserve"> </w:t>
      </w:r>
      <w:r>
        <w:rPr>
          <w:sz w:val="24"/>
        </w:rPr>
        <w:t>to reasonableness have been applied; and</w:t>
      </w:r>
    </w:p>
    <w:p>
      <w:pPr>
        <w:pStyle w:val="ListParagraph"/>
        <w:numPr>
          <w:ilvl w:val="1"/>
          <w:numId w:val="4"/>
        </w:numPr>
        <w:tabs>
          <w:tab w:val="left" w:pos="1123"/>
        </w:tabs>
        <w:spacing w:before="33" w:after="0" w:line="268" w:lineRule="auto"/>
        <w:ind w:left="584" w:right="3100" w:firstLine="0"/>
        <w:jc w:val="left"/>
        <w:rPr>
          <w:sz w:val="24"/>
        </w:rPr>
      </w:pPr>
      <w:r>
        <w:rPr>
          <w:sz w:val="24"/>
        </w:rPr>
        <w:t>Indicates</w:t>
      </w:r>
      <w:r>
        <w:rPr>
          <w:spacing w:val="-5"/>
          <w:sz w:val="24"/>
        </w:rPr>
        <w:t xml:space="preserve"> </w:t>
      </w:r>
      <w:r>
        <w:rPr>
          <w:sz w:val="24"/>
        </w:rPr>
        <w:t>to</w:t>
      </w:r>
      <w:r>
        <w:rPr>
          <w:spacing w:val="-5"/>
          <w:sz w:val="24"/>
        </w:rPr>
        <w:t xml:space="preserve"> </w:t>
      </w:r>
      <w:r>
        <w:rPr>
          <w:sz w:val="24"/>
        </w:rPr>
        <w:t>which</w:t>
      </w:r>
      <w:r>
        <w:rPr>
          <w:spacing w:val="-5"/>
          <w:sz w:val="24"/>
        </w:rPr>
        <w:t xml:space="preserve"> </w:t>
      </w:r>
      <w:r>
        <w:rPr>
          <w:sz w:val="24"/>
        </w:rPr>
        <w:t>plan(s)</w:t>
      </w:r>
      <w:r>
        <w:rPr>
          <w:spacing w:val="-5"/>
          <w:sz w:val="24"/>
        </w:rPr>
        <w:t xml:space="preserve"> </w:t>
      </w:r>
      <w:r>
        <w:rPr>
          <w:sz w:val="24"/>
        </w:rPr>
        <w:t>the</w:t>
      </w:r>
      <w:r>
        <w:rPr>
          <w:spacing w:val="-7"/>
          <w:sz w:val="24"/>
        </w:rPr>
        <w:t xml:space="preserve"> </w:t>
      </w:r>
      <w:r>
        <w:rPr>
          <w:sz w:val="24"/>
        </w:rPr>
        <w:t>reliance</w:t>
      </w:r>
      <w:r>
        <w:rPr>
          <w:spacing w:val="-6"/>
          <w:sz w:val="24"/>
        </w:rPr>
        <w:t xml:space="preserve"> </w:t>
      </w:r>
      <w:r>
        <w:rPr>
          <w:sz w:val="24"/>
        </w:rPr>
        <w:t>information</w:t>
      </w:r>
      <w:r>
        <w:rPr>
          <w:spacing w:val="-3"/>
          <w:sz w:val="24"/>
        </w:rPr>
        <w:t xml:space="preserve"> </w:t>
      </w:r>
      <w:r>
        <w:rPr>
          <w:sz w:val="24"/>
        </w:rPr>
        <w:t>applies. See the sample format at the end of this appendix.</w:t>
      </w:r>
    </w:p>
    <w:p>
      <w:pPr>
        <w:pStyle w:val="ListParagraph"/>
        <w:numPr>
          <w:ilvl w:val="0"/>
          <w:numId w:val="4"/>
        </w:numPr>
        <w:tabs>
          <w:tab w:val="left" w:pos="584"/>
        </w:tabs>
        <w:spacing w:before="8" w:after="0" w:line="240" w:lineRule="auto"/>
        <w:ind w:left="584" w:right="457" w:hanging="360"/>
        <w:jc w:val="left"/>
        <w:rPr>
          <w:sz w:val="24"/>
        </w:rPr>
      </w:pPr>
      <w:r>
        <w:rPr>
          <w:sz w:val="24"/>
        </w:rPr>
        <w:t>Detailed qualitative and quantitative support for the development of the components of pricing assumptions pertaining to the Part D sponsor’s participation in the Medicare Advantage</w:t>
      </w:r>
      <w:r>
        <w:rPr>
          <w:spacing w:val="-7"/>
          <w:sz w:val="24"/>
        </w:rPr>
        <w:t xml:space="preserve"> </w:t>
      </w:r>
      <w:r>
        <w:rPr>
          <w:sz w:val="24"/>
        </w:rPr>
        <w:t>Value-Based</w:t>
      </w:r>
      <w:r>
        <w:rPr>
          <w:spacing w:val="-3"/>
          <w:sz w:val="24"/>
        </w:rPr>
        <w:t xml:space="preserve"> </w:t>
      </w:r>
      <w:r>
        <w:rPr>
          <w:sz w:val="24"/>
        </w:rPr>
        <w:t>Insurance</w:t>
      </w:r>
      <w:r>
        <w:rPr>
          <w:spacing w:val="-6"/>
          <w:sz w:val="24"/>
        </w:rPr>
        <w:t xml:space="preserve"> </w:t>
      </w:r>
      <w:r>
        <w:rPr>
          <w:sz w:val="24"/>
        </w:rPr>
        <w:t>Design</w:t>
      </w:r>
      <w:r>
        <w:rPr>
          <w:spacing w:val="-5"/>
          <w:sz w:val="24"/>
        </w:rPr>
        <w:t xml:space="preserve"> </w:t>
      </w:r>
      <w:r>
        <w:rPr>
          <w:sz w:val="24"/>
        </w:rPr>
        <w:t>(MA-VBID)</w:t>
      </w:r>
      <w:r>
        <w:rPr>
          <w:spacing w:val="-5"/>
          <w:sz w:val="24"/>
        </w:rPr>
        <w:t xml:space="preserve"> </w:t>
      </w:r>
      <w:r>
        <w:rPr>
          <w:sz w:val="24"/>
        </w:rPr>
        <w:t>model,</w:t>
      </w:r>
      <w:r>
        <w:rPr>
          <w:spacing w:val="-5"/>
          <w:sz w:val="24"/>
        </w:rPr>
        <w:t xml:space="preserve"> </w:t>
      </w:r>
      <w:r>
        <w:rPr>
          <w:sz w:val="24"/>
        </w:rPr>
        <w:t>including</w:t>
      </w:r>
      <w:r>
        <w:rPr>
          <w:spacing w:val="-5"/>
          <w:sz w:val="24"/>
        </w:rPr>
        <w:t xml:space="preserve"> </w:t>
      </w:r>
      <w:r>
        <w:rPr>
          <w:sz w:val="24"/>
        </w:rPr>
        <w:t>an</w:t>
      </w:r>
      <w:r>
        <w:rPr>
          <w:spacing w:val="-5"/>
          <w:sz w:val="24"/>
        </w:rPr>
        <w:t xml:space="preserve"> </w:t>
      </w:r>
      <w:r>
        <w:rPr>
          <w:sz w:val="24"/>
        </w:rPr>
        <w:t>explanation</w:t>
      </w:r>
      <w:r>
        <w:rPr>
          <w:spacing w:val="-5"/>
          <w:sz w:val="24"/>
        </w:rPr>
        <w:t xml:space="preserve"> </w:t>
      </w:r>
      <w:r>
        <w:rPr>
          <w:sz w:val="24"/>
        </w:rPr>
        <w:t>for and a demonstration of elements that affect projected costs.</w:t>
      </w:r>
    </w:p>
    <w:p>
      <w:pPr>
        <w:pStyle w:val="ListParagraph"/>
        <w:numPr>
          <w:ilvl w:val="0"/>
          <w:numId w:val="4"/>
        </w:numPr>
        <w:tabs>
          <w:tab w:val="left" w:pos="584"/>
        </w:tabs>
        <w:spacing w:before="142" w:after="0" w:line="232" w:lineRule="auto"/>
        <w:ind w:left="584" w:right="1432" w:hanging="360"/>
        <w:jc w:val="left"/>
        <w:rPr>
          <w:sz w:val="24"/>
        </w:rPr>
      </w:pPr>
      <w:r>
        <w:rPr>
          <w:sz w:val="24"/>
        </w:rPr>
        <w:t>Detailed</w:t>
      </w:r>
      <w:r>
        <w:rPr>
          <w:spacing w:val="-5"/>
          <w:sz w:val="24"/>
        </w:rPr>
        <w:t xml:space="preserve"> </w:t>
      </w:r>
      <w:r>
        <w:rPr>
          <w:sz w:val="24"/>
        </w:rPr>
        <w:t>quantitative</w:t>
      </w:r>
      <w:r>
        <w:rPr>
          <w:spacing w:val="-5"/>
          <w:sz w:val="24"/>
        </w:rPr>
        <w:t xml:space="preserve"> </w:t>
      </w:r>
      <w:r>
        <w:rPr>
          <w:sz w:val="24"/>
        </w:rPr>
        <w:t>support</w:t>
      </w:r>
      <w:r>
        <w:rPr>
          <w:spacing w:val="-4"/>
          <w:sz w:val="24"/>
        </w:rPr>
        <w:t xml:space="preserve"> </w:t>
      </w:r>
      <w:r>
        <w:rPr>
          <w:sz w:val="24"/>
        </w:rPr>
        <w:t>for</w:t>
      </w:r>
      <w:r>
        <w:rPr>
          <w:spacing w:val="-6"/>
          <w:sz w:val="24"/>
        </w:rPr>
        <w:t xml:space="preserve"> </w:t>
      </w:r>
      <w:r>
        <w:rPr>
          <w:sz w:val="24"/>
        </w:rPr>
        <w:t>the</w:t>
      </w:r>
      <w:r>
        <w:rPr>
          <w:spacing w:val="-5"/>
          <w:sz w:val="24"/>
        </w:rPr>
        <w:t xml:space="preserve"> </w:t>
      </w:r>
      <w:r>
        <w:rPr>
          <w:sz w:val="24"/>
        </w:rPr>
        <w:t>development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induced</w:t>
      </w:r>
      <w:r>
        <w:rPr>
          <w:spacing w:val="-5"/>
          <w:sz w:val="24"/>
        </w:rPr>
        <w:t xml:space="preserve"> </w:t>
      </w:r>
      <w:r>
        <w:rPr>
          <w:sz w:val="24"/>
        </w:rPr>
        <w:t>utilization</w:t>
      </w:r>
      <w:r>
        <w:rPr>
          <w:spacing w:val="-3"/>
          <w:sz w:val="24"/>
        </w:rPr>
        <w:t xml:space="preserve"> </w:t>
      </w:r>
      <w:r>
        <w:rPr>
          <w:sz w:val="24"/>
        </w:rPr>
        <w:t>factor (Worksheet 5).</w:t>
      </w:r>
    </w:p>
    <w:p>
      <w:pPr>
        <w:pStyle w:val="ListParagraph"/>
        <w:numPr>
          <w:ilvl w:val="0"/>
          <w:numId w:val="4"/>
        </w:numPr>
        <w:tabs>
          <w:tab w:val="left" w:pos="584"/>
        </w:tabs>
        <w:spacing w:before="36" w:after="0" w:line="240" w:lineRule="auto"/>
        <w:ind w:left="584" w:right="0" w:hanging="360"/>
        <w:jc w:val="left"/>
        <w:rPr>
          <w:sz w:val="24"/>
        </w:rPr>
      </w:pPr>
      <w:r>
        <w:rPr>
          <w:sz w:val="24"/>
        </w:rPr>
        <w:t>–</w:t>
      </w:r>
      <w:r>
        <w:rPr>
          <w:spacing w:val="-2"/>
          <w:sz w:val="24"/>
        </w:rPr>
        <w:t xml:space="preserve"> </w:t>
      </w:r>
      <w:r>
        <w:rPr>
          <w:sz w:val="24"/>
        </w:rPr>
        <w:t>33.</w:t>
      </w:r>
      <w:r>
        <w:rPr>
          <w:spacing w:val="-1"/>
          <w:sz w:val="24"/>
        </w:rPr>
        <w:t xml:space="preserve"> </w:t>
      </w:r>
      <w:r>
        <w:rPr>
          <w:sz w:val="24"/>
        </w:rPr>
        <w:t>For</w:t>
      </w:r>
      <w:r>
        <w:rPr>
          <w:spacing w:val="-1"/>
          <w:sz w:val="24"/>
        </w:rPr>
        <w:t xml:space="preserve"> </w:t>
      </w:r>
      <w:r>
        <w:rPr>
          <w:sz w:val="24"/>
        </w:rPr>
        <w:t>future</w:t>
      </w:r>
      <w:r>
        <w:rPr>
          <w:spacing w:val="-1"/>
          <w:sz w:val="24"/>
        </w:rPr>
        <w:t xml:space="preserve"> </w:t>
      </w:r>
      <w:r>
        <w:rPr>
          <w:spacing w:val="-5"/>
          <w:sz w:val="24"/>
        </w:rPr>
        <w:t>use</w:t>
      </w:r>
    </w:p>
    <w:p>
      <w:pPr>
        <w:spacing w:before="243"/>
        <w:ind w:left="224" w:right="0" w:firstLine="0"/>
        <w:jc w:val="left"/>
        <w:rPr>
          <w:rFonts w:ascii="Arial"/>
          <w:b/>
          <w:sz w:val="21"/>
        </w:rPr>
      </w:pPr>
      <w:bookmarkStart w:id="286" w:name="Upon Request by CMS Reviewers"/>
      <w:bookmarkEnd w:id="286"/>
      <w:r>
        <w:rPr>
          <w:rFonts w:ascii="Arial"/>
          <w:b/>
          <w:sz w:val="21"/>
        </w:rPr>
        <w:t>Upon</w:t>
      </w:r>
      <w:r>
        <w:rPr>
          <w:rFonts w:ascii="Arial"/>
          <w:b/>
          <w:spacing w:val="-6"/>
          <w:sz w:val="21"/>
        </w:rPr>
        <w:t xml:space="preserve"> </w:t>
      </w:r>
      <w:r>
        <w:rPr>
          <w:rFonts w:ascii="Arial"/>
          <w:b/>
          <w:sz w:val="21"/>
        </w:rPr>
        <w:t>Request</w:t>
      </w:r>
      <w:r>
        <w:rPr>
          <w:rFonts w:ascii="Arial"/>
          <w:b/>
          <w:spacing w:val="-5"/>
          <w:sz w:val="21"/>
        </w:rPr>
        <w:t xml:space="preserve"> </w:t>
      </w:r>
      <w:r>
        <w:rPr>
          <w:rFonts w:ascii="Arial"/>
          <w:b/>
          <w:sz w:val="21"/>
        </w:rPr>
        <w:t>by</w:t>
      </w:r>
      <w:r>
        <w:rPr>
          <w:rFonts w:ascii="Arial"/>
          <w:b/>
          <w:spacing w:val="-6"/>
          <w:sz w:val="21"/>
        </w:rPr>
        <w:t xml:space="preserve"> </w:t>
      </w:r>
      <w:r>
        <w:rPr>
          <w:rFonts w:ascii="Arial"/>
          <w:b/>
          <w:sz w:val="21"/>
        </w:rPr>
        <w:t>CMS</w:t>
      </w:r>
      <w:r>
        <w:rPr>
          <w:rFonts w:ascii="Arial"/>
          <w:b/>
          <w:spacing w:val="-4"/>
          <w:sz w:val="21"/>
        </w:rPr>
        <w:t xml:space="preserve"> </w:t>
      </w:r>
      <w:r>
        <w:rPr>
          <w:rFonts w:ascii="Arial"/>
          <w:b/>
          <w:spacing w:val="-2"/>
          <w:sz w:val="21"/>
        </w:rPr>
        <w:t>Reviewers</w:t>
      </w:r>
    </w:p>
    <w:p>
      <w:pPr>
        <w:pStyle w:val="BodyText"/>
        <w:spacing w:before="121"/>
        <w:ind w:left="224" w:right="464"/>
      </w:pPr>
      <w:r>
        <w:t>It</w:t>
      </w:r>
      <w:r>
        <w:rPr>
          <w:spacing w:val="-3"/>
        </w:rPr>
        <w:t xml:space="preserve"> </w:t>
      </w:r>
      <w:r>
        <w:t>is</w:t>
      </w:r>
      <w:r>
        <w:rPr>
          <w:spacing w:val="-3"/>
        </w:rPr>
        <w:t xml:space="preserve"> </w:t>
      </w:r>
      <w:r>
        <w:t>not</w:t>
      </w:r>
      <w:r>
        <w:rPr>
          <w:spacing w:val="-3"/>
        </w:rPr>
        <w:t xml:space="preserve"> </w:t>
      </w:r>
      <w:r>
        <w:t>required</w:t>
      </w:r>
      <w:r>
        <w:rPr>
          <w:spacing w:val="-3"/>
        </w:rPr>
        <w:t xml:space="preserve"> </w:t>
      </w:r>
      <w:r>
        <w:t>that</w:t>
      </w:r>
      <w:r>
        <w:rPr>
          <w:spacing w:val="-3"/>
        </w:rPr>
        <w:t xml:space="preserve"> </w:t>
      </w:r>
      <w:r>
        <w:t>the</w:t>
      </w:r>
      <w:r>
        <w:rPr>
          <w:spacing w:val="-2"/>
        </w:rPr>
        <w:t xml:space="preserve"> </w:t>
      </w:r>
      <w:r>
        <w:t>items</w:t>
      </w:r>
      <w:r>
        <w:rPr>
          <w:spacing w:val="-2"/>
        </w:rPr>
        <w:t xml:space="preserve"> </w:t>
      </w:r>
      <w:r>
        <w:t>below</w:t>
      </w:r>
      <w:r>
        <w:rPr>
          <w:spacing w:val="-3"/>
        </w:rPr>
        <w:t xml:space="preserve"> </w:t>
      </w:r>
      <w:r>
        <w:t>be</w:t>
      </w:r>
      <w:r>
        <w:rPr>
          <w:spacing w:val="-4"/>
        </w:rPr>
        <w:t xml:space="preserve"> </w:t>
      </w:r>
      <w:r>
        <w:t>uploaded</w:t>
      </w:r>
      <w:r>
        <w:rPr>
          <w:spacing w:val="-1"/>
        </w:rPr>
        <w:t xml:space="preserve"> </w:t>
      </w:r>
      <w:r>
        <w:t>with</w:t>
      </w:r>
      <w:r>
        <w:rPr>
          <w:spacing w:val="-3"/>
        </w:rPr>
        <w:t xml:space="preserve"> </w:t>
      </w:r>
      <w:r>
        <w:t>the</w:t>
      </w:r>
      <w:r>
        <w:rPr>
          <w:spacing w:val="-4"/>
        </w:rPr>
        <w:t xml:space="preserve"> </w:t>
      </w:r>
      <w:r>
        <w:t>initial</w:t>
      </w:r>
      <w:r>
        <w:rPr>
          <w:spacing w:val="-3"/>
        </w:rPr>
        <w:t xml:space="preserve"> </w:t>
      </w:r>
      <w:r>
        <w:t>June</w:t>
      </w:r>
      <w:r>
        <w:rPr>
          <w:spacing w:val="-3"/>
        </w:rPr>
        <w:t xml:space="preserve"> </w:t>
      </w:r>
      <w:r>
        <w:t>bid</w:t>
      </w:r>
      <w:r>
        <w:rPr>
          <w:spacing w:val="-3"/>
        </w:rPr>
        <w:t xml:space="preserve"> </w:t>
      </w:r>
      <w:r>
        <w:t>submission,</w:t>
      </w:r>
      <w:r>
        <w:rPr>
          <w:spacing w:val="-3"/>
        </w:rPr>
        <w:t xml:space="preserve"> </w:t>
      </w:r>
      <w:r>
        <w:t>but they must be prepared at that time in order to be readily available for CMS reviewers upon request. If substantiation is requested by CMS reviewers, it must be provided by the certifying actuary or additional Part D BPT contact within 48 hours. These materials will be reviewed at audit:</w:t>
      </w:r>
    </w:p>
    <w:p>
      <w:pPr>
        <w:pStyle w:val="ListParagraph"/>
        <w:numPr>
          <w:ilvl w:val="0"/>
          <w:numId w:val="3"/>
        </w:numPr>
        <w:tabs>
          <w:tab w:val="left" w:pos="584"/>
        </w:tabs>
        <w:spacing w:before="119" w:after="0" w:line="232" w:lineRule="auto"/>
        <w:ind w:left="584" w:right="443" w:hanging="360"/>
        <w:jc w:val="left"/>
        <w:rPr>
          <w:sz w:val="24"/>
        </w:rPr>
      </w:pPr>
      <w:r>
        <w:rPr>
          <w:sz w:val="24"/>
        </w:rPr>
        <w:t>Support</w:t>
      </w:r>
      <w:r>
        <w:rPr>
          <w:spacing w:val="-3"/>
          <w:sz w:val="24"/>
        </w:rPr>
        <w:t xml:space="preserve"> </w:t>
      </w:r>
      <w:r>
        <w:rPr>
          <w:sz w:val="24"/>
        </w:rPr>
        <w:t>for</w:t>
      </w:r>
      <w:r>
        <w:rPr>
          <w:spacing w:val="-4"/>
          <w:sz w:val="24"/>
        </w:rPr>
        <w:t xml:space="preserve"> </w:t>
      </w:r>
      <w:r>
        <w:rPr>
          <w:sz w:val="24"/>
        </w:rPr>
        <w:t>how</w:t>
      </w:r>
      <w:r>
        <w:rPr>
          <w:spacing w:val="-3"/>
          <w:sz w:val="24"/>
        </w:rPr>
        <w:t xml:space="preserve"> </w:t>
      </w:r>
      <w:r>
        <w:rPr>
          <w:sz w:val="24"/>
        </w:rPr>
        <w:t>the</w:t>
      </w:r>
      <w:r>
        <w:rPr>
          <w:spacing w:val="-4"/>
          <w:sz w:val="24"/>
        </w:rPr>
        <w:t xml:space="preserve"> </w:t>
      </w:r>
      <w:r>
        <w:rPr>
          <w:sz w:val="24"/>
        </w:rPr>
        <w:t>pricing</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bid</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anti-competitive,</w:t>
      </w:r>
      <w:r>
        <w:rPr>
          <w:spacing w:val="-3"/>
          <w:sz w:val="24"/>
        </w:rPr>
        <w:t xml:space="preserve"> </w:t>
      </w:r>
      <w:r>
        <w:rPr>
          <w:sz w:val="24"/>
        </w:rPr>
        <w:t>including</w:t>
      </w:r>
      <w:r>
        <w:rPr>
          <w:spacing w:val="-3"/>
          <w:sz w:val="24"/>
        </w:rPr>
        <w:t xml:space="preserve"> </w:t>
      </w:r>
      <w:r>
        <w:rPr>
          <w:sz w:val="24"/>
        </w:rPr>
        <w:t>a</w:t>
      </w:r>
      <w:r>
        <w:rPr>
          <w:spacing w:val="-3"/>
          <w:sz w:val="24"/>
        </w:rPr>
        <w:t xml:space="preserve"> </w:t>
      </w:r>
      <w:r>
        <w:rPr>
          <w:sz w:val="24"/>
        </w:rPr>
        <w:t>comparison</w:t>
      </w:r>
      <w:r>
        <w:rPr>
          <w:spacing w:val="-3"/>
          <w:sz w:val="24"/>
        </w:rPr>
        <w:t xml:space="preserve"> </w:t>
      </w:r>
      <w:r>
        <w:rPr>
          <w:sz w:val="24"/>
        </w:rPr>
        <w:t>of</w:t>
      </w:r>
      <w:r>
        <w:rPr>
          <w:spacing w:val="-3"/>
          <w:sz w:val="24"/>
        </w:rPr>
        <w:t xml:space="preserve"> </w:t>
      </w:r>
      <w:r>
        <w:rPr>
          <w:sz w:val="24"/>
        </w:rPr>
        <w:t>the bid benefits and premium to the benefits and premium of competitors.</w:t>
      </w:r>
    </w:p>
    <w:p>
      <w:pPr>
        <w:pStyle w:val="ListParagraph"/>
        <w:numPr>
          <w:ilvl w:val="0"/>
          <w:numId w:val="3"/>
        </w:numPr>
        <w:tabs>
          <w:tab w:val="left" w:pos="584"/>
        </w:tabs>
        <w:spacing w:before="37" w:after="0" w:line="240" w:lineRule="auto"/>
        <w:ind w:left="584" w:right="0" w:hanging="360"/>
        <w:jc w:val="left"/>
        <w:rPr>
          <w:sz w:val="24"/>
        </w:rPr>
      </w:pPr>
      <w:r>
        <w:rPr>
          <w:sz w:val="24"/>
        </w:rPr>
        <w:t>Copies</w:t>
      </w:r>
      <w:r>
        <w:rPr>
          <w:spacing w:val="-1"/>
          <w:sz w:val="24"/>
        </w:rPr>
        <w:t xml:space="preserve"> </w:t>
      </w:r>
      <w:r>
        <w:rPr>
          <w:sz w:val="24"/>
        </w:rPr>
        <w:t>of</w:t>
      </w:r>
      <w:r>
        <w:rPr>
          <w:spacing w:val="-2"/>
          <w:sz w:val="24"/>
        </w:rPr>
        <w:t xml:space="preserve"> </w:t>
      </w:r>
      <w:r>
        <w:rPr>
          <w:sz w:val="24"/>
        </w:rPr>
        <w:t>related-party</w:t>
      </w:r>
      <w:r>
        <w:rPr>
          <w:spacing w:val="-1"/>
          <w:sz w:val="24"/>
        </w:rPr>
        <w:t xml:space="preserve"> </w:t>
      </w:r>
      <w:r>
        <w:rPr>
          <w:spacing w:val="-2"/>
          <w:sz w:val="24"/>
        </w:rPr>
        <w:t>contracts.</w:t>
      </w:r>
    </w:p>
    <w:p>
      <w:pPr>
        <w:pStyle w:val="ListParagraph"/>
        <w:numPr>
          <w:ilvl w:val="0"/>
          <w:numId w:val="3"/>
        </w:numPr>
        <w:tabs>
          <w:tab w:val="left" w:pos="584"/>
        </w:tabs>
        <w:spacing w:before="42" w:after="0" w:line="232" w:lineRule="auto"/>
        <w:ind w:left="584" w:right="601" w:hanging="360"/>
        <w:jc w:val="left"/>
        <w:rPr>
          <w:sz w:val="24"/>
        </w:rPr>
      </w:pPr>
      <w:r>
        <w:rPr>
          <w:sz w:val="24"/>
        </w:rPr>
        <w:t>A</w:t>
      </w:r>
      <w:r>
        <w:rPr>
          <w:spacing w:val="-4"/>
          <w:sz w:val="24"/>
        </w:rPr>
        <w:t xml:space="preserve"> </w:t>
      </w:r>
      <w:r>
        <w:rPr>
          <w:sz w:val="24"/>
        </w:rPr>
        <w:t>letter</w:t>
      </w:r>
      <w:r>
        <w:rPr>
          <w:spacing w:val="-5"/>
          <w:sz w:val="24"/>
        </w:rPr>
        <w:t xml:space="preserve"> </w:t>
      </w:r>
      <w:r>
        <w:rPr>
          <w:sz w:val="24"/>
        </w:rPr>
        <w:t>supporting</w:t>
      </w:r>
      <w:r>
        <w:rPr>
          <w:spacing w:val="-3"/>
          <w:sz w:val="24"/>
        </w:rPr>
        <w:t xml:space="preserve"> </w:t>
      </w:r>
      <w:r>
        <w:rPr>
          <w:sz w:val="24"/>
        </w:rPr>
        <w:t>any</w:t>
      </w:r>
      <w:r>
        <w:rPr>
          <w:spacing w:val="-3"/>
          <w:sz w:val="24"/>
        </w:rPr>
        <w:t xml:space="preserve"> </w:t>
      </w:r>
      <w:r>
        <w:rPr>
          <w:sz w:val="24"/>
        </w:rPr>
        <w:t>information</w:t>
      </w:r>
      <w:r>
        <w:rPr>
          <w:spacing w:val="-3"/>
          <w:sz w:val="24"/>
        </w:rPr>
        <w:t xml:space="preserve"> </w:t>
      </w:r>
      <w:r>
        <w:rPr>
          <w:sz w:val="24"/>
        </w:rPr>
        <w:t>upon</w:t>
      </w:r>
      <w:r>
        <w:rPr>
          <w:spacing w:val="-3"/>
          <w:sz w:val="24"/>
        </w:rPr>
        <w:t xml:space="preserve"> </w:t>
      </w:r>
      <w:r>
        <w:rPr>
          <w:sz w:val="24"/>
        </w:rPr>
        <w:t>which</w:t>
      </w:r>
      <w:r>
        <w:rPr>
          <w:spacing w:val="-3"/>
          <w:sz w:val="24"/>
        </w:rPr>
        <w:t xml:space="preserve"> </w:t>
      </w:r>
      <w:r>
        <w:rPr>
          <w:sz w:val="24"/>
        </w:rPr>
        <w:t>the</w:t>
      </w:r>
      <w:r>
        <w:rPr>
          <w:spacing w:val="-4"/>
          <w:sz w:val="24"/>
        </w:rPr>
        <w:t xml:space="preserve"> </w:t>
      </w:r>
      <w:r>
        <w:rPr>
          <w:sz w:val="24"/>
        </w:rPr>
        <w:t>certifying</w:t>
      </w:r>
      <w:r>
        <w:rPr>
          <w:spacing w:val="-2"/>
          <w:sz w:val="24"/>
        </w:rPr>
        <w:t xml:space="preserve"> </w:t>
      </w:r>
      <w:r>
        <w:rPr>
          <w:sz w:val="24"/>
        </w:rPr>
        <w:t>actuary</w:t>
      </w:r>
      <w:r>
        <w:rPr>
          <w:spacing w:val="-2"/>
          <w:sz w:val="24"/>
        </w:rPr>
        <w:t xml:space="preserve"> </w:t>
      </w:r>
      <w:r>
        <w:rPr>
          <w:sz w:val="24"/>
        </w:rPr>
        <w:t>relied,</w:t>
      </w:r>
      <w:r>
        <w:rPr>
          <w:spacing w:val="-3"/>
          <w:sz w:val="24"/>
        </w:rPr>
        <w:t xml:space="preserve"> </w:t>
      </w:r>
      <w:r>
        <w:rPr>
          <w:sz w:val="24"/>
        </w:rPr>
        <w:t>if</w:t>
      </w:r>
      <w:r>
        <w:rPr>
          <w:spacing w:val="-3"/>
          <w:sz w:val="24"/>
        </w:rPr>
        <w:t xml:space="preserve"> </w:t>
      </w:r>
      <w:r>
        <w:rPr>
          <w:sz w:val="24"/>
        </w:rPr>
        <w:t>applicable. This letter must be signed by the person (source) who provided the information.</w:t>
      </w:r>
    </w:p>
    <w:p>
      <w:pPr>
        <w:pStyle w:val="ListParagraph"/>
        <w:numPr>
          <w:ilvl w:val="0"/>
          <w:numId w:val="3"/>
        </w:numPr>
        <w:tabs>
          <w:tab w:val="left" w:pos="584"/>
        </w:tabs>
        <w:spacing w:before="46" w:after="0" w:line="232" w:lineRule="auto"/>
        <w:ind w:left="584" w:right="711" w:hanging="360"/>
        <w:jc w:val="left"/>
        <w:rPr>
          <w:sz w:val="24"/>
        </w:rPr>
      </w:pPr>
      <w:r>
        <w:rPr>
          <w:sz w:val="24"/>
        </w:rPr>
        <w:t>An</w:t>
      </w:r>
      <w:r>
        <w:rPr>
          <w:spacing w:val="-4"/>
          <w:sz w:val="24"/>
        </w:rPr>
        <w:t xml:space="preserve"> </w:t>
      </w:r>
      <w:r>
        <w:rPr>
          <w:sz w:val="24"/>
        </w:rPr>
        <w:t>explanation</w:t>
      </w:r>
      <w:r>
        <w:rPr>
          <w:spacing w:val="-4"/>
          <w:sz w:val="24"/>
        </w:rPr>
        <w:t xml:space="preserve"> </w:t>
      </w:r>
      <w:r>
        <w:rPr>
          <w:sz w:val="24"/>
        </w:rPr>
        <w:t>of</w:t>
      </w:r>
      <w:r>
        <w:rPr>
          <w:spacing w:val="-5"/>
          <w:sz w:val="24"/>
        </w:rPr>
        <w:t xml:space="preserve"> </w:t>
      </w:r>
      <w:r>
        <w:rPr>
          <w:sz w:val="24"/>
        </w:rPr>
        <w:t>how</w:t>
      </w:r>
      <w:r>
        <w:rPr>
          <w:spacing w:val="-3"/>
          <w:sz w:val="24"/>
        </w:rPr>
        <w:t xml:space="preserve"> </w:t>
      </w:r>
      <w:r>
        <w:rPr>
          <w:sz w:val="24"/>
        </w:rPr>
        <w:t>certain</w:t>
      </w:r>
      <w:r>
        <w:rPr>
          <w:spacing w:val="-4"/>
          <w:sz w:val="24"/>
        </w:rPr>
        <w:t xml:space="preserve"> </w:t>
      </w:r>
      <w:r>
        <w:rPr>
          <w:sz w:val="24"/>
        </w:rPr>
        <w:t>findings</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Office</w:t>
      </w:r>
      <w:r>
        <w:rPr>
          <w:spacing w:val="-5"/>
          <w:sz w:val="24"/>
        </w:rPr>
        <w:t xml:space="preserve"> </w:t>
      </w:r>
      <w:r>
        <w:rPr>
          <w:sz w:val="24"/>
        </w:rPr>
        <w:t>of</w:t>
      </w:r>
      <w:r>
        <w:rPr>
          <w:spacing w:val="-4"/>
          <w:sz w:val="24"/>
        </w:rPr>
        <w:t xml:space="preserve"> </w:t>
      </w:r>
      <w:r>
        <w:rPr>
          <w:sz w:val="24"/>
        </w:rPr>
        <w:t>Financial</w:t>
      </w:r>
      <w:r>
        <w:rPr>
          <w:spacing w:val="-4"/>
          <w:sz w:val="24"/>
        </w:rPr>
        <w:t xml:space="preserve"> </w:t>
      </w:r>
      <w:r>
        <w:rPr>
          <w:sz w:val="24"/>
        </w:rPr>
        <w:t>Management</w:t>
      </w:r>
      <w:r>
        <w:rPr>
          <w:spacing w:val="-4"/>
          <w:sz w:val="24"/>
        </w:rPr>
        <w:t xml:space="preserve"> </w:t>
      </w:r>
      <w:r>
        <w:rPr>
          <w:sz w:val="24"/>
        </w:rPr>
        <w:t>(OFM) audit were addressed in the current bid.</w:t>
      </w:r>
    </w:p>
    <w:p>
      <w:pPr>
        <w:pStyle w:val="ListParagraph"/>
        <w:numPr>
          <w:ilvl w:val="0"/>
          <w:numId w:val="3"/>
        </w:numPr>
        <w:tabs>
          <w:tab w:val="left" w:pos="584"/>
        </w:tabs>
        <w:spacing w:before="41" w:after="0" w:line="235" w:lineRule="auto"/>
        <w:ind w:left="584" w:right="458" w:hanging="360"/>
        <w:jc w:val="left"/>
        <w:rPr>
          <w:sz w:val="24"/>
        </w:rPr>
      </w:pPr>
      <w:r>
        <w:rPr>
          <w:sz w:val="24"/>
        </w:rPr>
        <w:t>For</w:t>
      </w:r>
      <w:r>
        <w:rPr>
          <w:spacing w:val="-3"/>
          <w:sz w:val="24"/>
        </w:rPr>
        <w:t xml:space="preserve"> </w:t>
      </w:r>
      <w:r>
        <w:rPr>
          <w:sz w:val="24"/>
        </w:rPr>
        <w:t>a</w:t>
      </w:r>
      <w:r>
        <w:rPr>
          <w:spacing w:val="-5"/>
          <w:sz w:val="24"/>
        </w:rPr>
        <w:t xml:space="preserve"> </w:t>
      </w:r>
      <w:r>
        <w:rPr>
          <w:sz w:val="24"/>
        </w:rPr>
        <w:t>Part</w:t>
      </w:r>
      <w:r>
        <w:rPr>
          <w:spacing w:val="-3"/>
          <w:sz w:val="24"/>
        </w:rPr>
        <w:t xml:space="preserve"> </w:t>
      </w:r>
      <w:r>
        <w:rPr>
          <w:sz w:val="24"/>
        </w:rPr>
        <w:t>D</w:t>
      </w:r>
      <w:r>
        <w:rPr>
          <w:spacing w:val="-4"/>
          <w:sz w:val="24"/>
        </w:rPr>
        <w:t xml:space="preserve"> </w:t>
      </w:r>
      <w:r>
        <w:rPr>
          <w:sz w:val="24"/>
        </w:rPr>
        <w:t>plan</w:t>
      </w:r>
      <w:r>
        <w:rPr>
          <w:spacing w:val="-3"/>
          <w:sz w:val="24"/>
        </w:rPr>
        <w:t xml:space="preserve"> </w:t>
      </w:r>
      <w:r>
        <w:rPr>
          <w:sz w:val="24"/>
        </w:rPr>
        <w:t>without</w:t>
      </w:r>
      <w:r>
        <w:rPr>
          <w:spacing w:val="-3"/>
          <w:sz w:val="24"/>
        </w:rPr>
        <w:t xml:space="preserve"> </w:t>
      </w:r>
      <w:r>
        <w:rPr>
          <w:sz w:val="24"/>
        </w:rPr>
        <w:t>a</w:t>
      </w:r>
      <w:r>
        <w:rPr>
          <w:spacing w:val="-3"/>
          <w:sz w:val="24"/>
        </w:rPr>
        <w:t xml:space="preserve"> </w:t>
      </w:r>
      <w:r>
        <w:rPr>
          <w:sz w:val="24"/>
        </w:rPr>
        <w:t>corresponding</w:t>
      </w:r>
      <w:r>
        <w:rPr>
          <w:spacing w:val="-3"/>
          <w:sz w:val="24"/>
        </w:rPr>
        <w:t xml:space="preserve"> </w:t>
      </w:r>
      <w:r>
        <w:rPr>
          <w:sz w:val="24"/>
        </w:rPr>
        <w:t>Medicare</w:t>
      </w:r>
      <w:r>
        <w:rPr>
          <w:spacing w:val="-5"/>
          <w:sz w:val="24"/>
        </w:rPr>
        <w:t xml:space="preserve"> </w:t>
      </w:r>
      <w:r>
        <w:rPr>
          <w:sz w:val="24"/>
        </w:rPr>
        <w:t>Advantage</w:t>
      </w:r>
      <w:r>
        <w:rPr>
          <w:spacing w:val="-4"/>
          <w:sz w:val="24"/>
        </w:rPr>
        <w:t xml:space="preserve"> </w:t>
      </w:r>
      <w:r>
        <w:rPr>
          <w:sz w:val="24"/>
        </w:rPr>
        <w:t>plan,</w:t>
      </w:r>
      <w:r>
        <w:rPr>
          <w:spacing w:val="-3"/>
          <w:sz w:val="24"/>
        </w:rPr>
        <w:t xml:space="preserve"> </w:t>
      </w:r>
      <w:r>
        <w:rPr>
          <w:sz w:val="24"/>
        </w:rPr>
        <w:t>justification of</w:t>
      </w:r>
      <w:r>
        <w:rPr>
          <w:spacing w:val="-3"/>
          <w:sz w:val="24"/>
        </w:rPr>
        <w:t xml:space="preserve"> </w:t>
      </w:r>
      <w:r>
        <w:rPr>
          <w:sz w:val="24"/>
        </w:rPr>
        <w:t>benefit value in relation to the gain/loss margin, if the gain/loss margin as a percentage of revenue at the bid level is less than or equal to 11.5 percent. The required elements include the elements listed in 8.6.</w:t>
      </w:r>
    </w:p>
    <w:p>
      <w:pPr>
        <w:pStyle w:val="ListParagraph"/>
        <w:numPr>
          <w:ilvl w:val="0"/>
          <w:numId w:val="3"/>
        </w:numPr>
        <w:tabs>
          <w:tab w:val="left" w:pos="584"/>
        </w:tabs>
        <w:spacing w:before="41" w:after="0" w:line="232" w:lineRule="auto"/>
        <w:ind w:left="584" w:right="650" w:hanging="360"/>
        <w:jc w:val="left"/>
        <w:rPr>
          <w:sz w:val="24"/>
        </w:rPr>
      </w:pPr>
      <w:r>
        <w:rPr>
          <w:sz w:val="24"/>
        </w:rPr>
        <w:t>For</w:t>
      </w:r>
      <w:r>
        <w:rPr>
          <w:spacing w:val="-3"/>
          <w:sz w:val="24"/>
        </w:rPr>
        <w:t xml:space="preserve"> </w:t>
      </w:r>
      <w:r>
        <w:rPr>
          <w:sz w:val="24"/>
        </w:rPr>
        <w:t>the</w:t>
      </w:r>
      <w:r>
        <w:rPr>
          <w:spacing w:val="-5"/>
          <w:sz w:val="24"/>
        </w:rPr>
        <w:t xml:space="preserve"> </w:t>
      </w:r>
      <w:r>
        <w:rPr>
          <w:sz w:val="24"/>
        </w:rPr>
        <w:t>projected</w:t>
      </w:r>
      <w:r>
        <w:rPr>
          <w:spacing w:val="-4"/>
          <w:sz w:val="24"/>
        </w:rPr>
        <w:t xml:space="preserve"> </w:t>
      </w:r>
      <w:r>
        <w:rPr>
          <w:sz w:val="24"/>
        </w:rPr>
        <w:t>bid</w:t>
      </w:r>
      <w:r>
        <w:rPr>
          <w:spacing w:val="-3"/>
          <w:sz w:val="24"/>
        </w:rPr>
        <w:t xml:space="preserve"> </w:t>
      </w:r>
      <w:r>
        <w:rPr>
          <w:sz w:val="24"/>
        </w:rPr>
        <w:t>values</w:t>
      </w:r>
      <w:r>
        <w:rPr>
          <w:spacing w:val="-3"/>
          <w:sz w:val="24"/>
        </w:rPr>
        <w:t xml:space="preserve"> </w:t>
      </w:r>
      <w:r>
        <w:rPr>
          <w:sz w:val="24"/>
        </w:rPr>
        <w:t>listed</w:t>
      </w:r>
      <w:r>
        <w:rPr>
          <w:spacing w:val="-3"/>
          <w:sz w:val="24"/>
        </w:rPr>
        <w:t xml:space="preserve"> </w:t>
      </w:r>
      <w:r>
        <w:rPr>
          <w:sz w:val="24"/>
        </w:rPr>
        <w:t>below,</w:t>
      </w:r>
      <w:r>
        <w:rPr>
          <w:spacing w:val="-3"/>
          <w:sz w:val="24"/>
        </w:rPr>
        <w:t xml:space="preserve"> </w:t>
      </w:r>
      <w:r>
        <w:rPr>
          <w:sz w:val="24"/>
        </w:rPr>
        <w:t>an</w:t>
      </w:r>
      <w:r>
        <w:rPr>
          <w:spacing w:val="-3"/>
          <w:sz w:val="24"/>
        </w:rPr>
        <w:t xml:space="preserve"> </w:t>
      </w:r>
      <w:r>
        <w:rPr>
          <w:sz w:val="24"/>
        </w:rPr>
        <w:t>analysis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relationship</w:t>
      </w:r>
      <w:r>
        <w:rPr>
          <w:spacing w:val="-3"/>
          <w:sz w:val="24"/>
        </w:rPr>
        <w:t xml:space="preserve"> </w:t>
      </w:r>
      <w:r>
        <w:rPr>
          <w:sz w:val="24"/>
        </w:rPr>
        <w:t>between</w:t>
      </w:r>
      <w:r>
        <w:rPr>
          <w:spacing w:val="-3"/>
          <w:sz w:val="24"/>
        </w:rPr>
        <w:t xml:space="preserve"> </w:t>
      </w:r>
      <w:r>
        <w:rPr>
          <w:sz w:val="24"/>
        </w:rPr>
        <w:t>bid</w:t>
      </w:r>
      <w:r>
        <w:rPr>
          <w:spacing w:val="-3"/>
          <w:sz w:val="24"/>
        </w:rPr>
        <w:t xml:space="preserve"> </w:t>
      </w:r>
      <w:r>
        <w:rPr>
          <w:sz w:val="24"/>
        </w:rPr>
        <w:t>level actual and projected experience for CY2022, CY2023 and CY2024, including an explanation of how that knowledge was incorporated into the current bid submission.</w:t>
      </w:r>
    </w:p>
    <w:p>
      <w:pPr>
        <w:pStyle w:val="ListParagraph"/>
        <w:numPr>
          <w:ilvl w:val="1"/>
          <w:numId w:val="3"/>
        </w:numPr>
        <w:tabs>
          <w:tab w:val="left" w:pos="1123"/>
        </w:tabs>
        <w:spacing w:before="40" w:after="0" w:line="240" w:lineRule="auto"/>
        <w:ind w:left="1123" w:right="0" w:hanging="539"/>
        <w:jc w:val="left"/>
        <w:rPr>
          <w:sz w:val="24"/>
        </w:rPr>
      </w:pPr>
      <w:r>
        <w:rPr>
          <w:sz w:val="24"/>
        </w:rPr>
        <w:t>Total</w:t>
      </w:r>
      <w:r>
        <w:rPr>
          <w:spacing w:val="-2"/>
          <w:sz w:val="24"/>
        </w:rPr>
        <w:t xml:space="preserve"> </w:t>
      </w:r>
      <w:r>
        <w:rPr>
          <w:sz w:val="24"/>
        </w:rPr>
        <w:t>Non-Benefit</w:t>
      </w:r>
      <w:r>
        <w:rPr>
          <w:spacing w:val="-1"/>
          <w:sz w:val="24"/>
        </w:rPr>
        <w:t xml:space="preserve"> </w:t>
      </w:r>
      <w:r>
        <w:rPr>
          <w:sz w:val="24"/>
        </w:rPr>
        <w:t>Expenses,</w:t>
      </w:r>
      <w:r>
        <w:rPr>
          <w:spacing w:val="-1"/>
          <w:sz w:val="24"/>
        </w:rPr>
        <w:t xml:space="preserve"> </w:t>
      </w:r>
      <w:r>
        <w:rPr>
          <w:sz w:val="24"/>
        </w:rPr>
        <w:t>Worksheet</w:t>
      </w:r>
      <w:r>
        <w:rPr>
          <w:spacing w:val="-2"/>
          <w:sz w:val="24"/>
        </w:rPr>
        <w:t xml:space="preserve"> </w:t>
      </w:r>
      <w:r>
        <w:rPr>
          <w:sz w:val="24"/>
        </w:rPr>
        <w:t>2,</w:t>
      </w:r>
      <w:r>
        <w:rPr>
          <w:spacing w:val="-1"/>
          <w:sz w:val="24"/>
        </w:rPr>
        <w:t xml:space="preserve"> </w:t>
      </w:r>
      <w:r>
        <w:rPr>
          <w:sz w:val="24"/>
        </w:rPr>
        <w:t>cell</w:t>
      </w:r>
      <w:r>
        <w:rPr>
          <w:spacing w:val="-1"/>
          <w:sz w:val="24"/>
        </w:rPr>
        <w:t xml:space="preserve"> </w:t>
      </w:r>
      <w:r>
        <w:rPr>
          <w:spacing w:val="-4"/>
          <w:sz w:val="24"/>
        </w:rPr>
        <w:t>E67.</w:t>
      </w:r>
    </w:p>
    <w:p>
      <w:pPr>
        <w:pStyle w:val="ListParagraph"/>
        <w:numPr>
          <w:ilvl w:val="1"/>
          <w:numId w:val="3"/>
        </w:numPr>
        <w:tabs>
          <w:tab w:val="left" w:pos="1123"/>
        </w:tabs>
        <w:spacing w:before="34" w:after="0" w:line="240" w:lineRule="auto"/>
        <w:ind w:left="1123" w:right="0" w:hanging="539"/>
        <w:jc w:val="left"/>
        <w:rPr>
          <w:sz w:val="24"/>
        </w:rPr>
      </w:pPr>
      <w:r>
        <w:rPr>
          <w:sz w:val="24"/>
        </w:rPr>
        <w:t>Projected</w:t>
      </w:r>
      <w:r>
        <w:rPr>
          <w:spacing w:val="-3"/>
          <w:sz w:val="24"/>
        </w:rPr>
        <w:t xml:space="preserve"> </w:t>
      </w:r>
      <w:r>
        <w:rPr>
          <w:sz w:val="24"/>
        </w:rPr>
        <w:t>Average</w:t>
      </w:r>
      <w:r>
        <w:rPr>
          <w:spacing w:val="-2"/>
          <w:sz w:val="24"/>
        </w:rPr>
        <w:t xml:space="preserve"> </w:t>
      </w:r>
      <w:r>
        <w:rPr>
          <w:sz w:val="24"/>
        </w:rPr>
        <w:t>Risk Score,</w:t>
      </w:r>
      <w:r>
        <w:rPr>
          <w:spacing w:val="-1"/>
          <w:sz w:val="24"/>
        </w:rPr>
        <w:t xml:space="preserve"> </w:t>
      </w:r>
      <w:r>
        <w:rPr>
          <w:sz w:val="24"/>
        </w:rPr>
        <w:t>Worksheet</w:t>
      </w:r>
      <w:r>
        <w:rPr>
          <w:spacing w:val="-2"/>
          <w:sz w:val="24"/>
        </w:rPr>
        <w:t xml:space="preserve"> </w:t>
      </w:r>
      <w:r>
        <w:rPr>
          <w:sz w:val="24"/>
        </w:rPr>
        <w:t>3,</w:t>
      </w:r>
      <w:r>
        <w:rPr>
          <w:spacing w:val="-1"/>
          <w:sz w:val="24"/>
        </w:rPr>
        <w:t xml:space="preserve"> </w:t>
      </w:r>
      <w:r>
        <w:rPr>
          <w:sz w:val="24"/>
        </w:rPr>
        <w:t>cell</w:t>
      </w:r>
      <w:r>
        <w:rPr>
          <w:spacing w:val="-1"/>
          <w:sz w:val="24"/>
        </w:rPr>
        <w:t xml:space="preserve"> </w:t>
      </w:r>
      <w:r>
        <w:rPr>
          <w:spacing w:val="-4"/>
          <w:sz w:val="24"/>
        </w:rPr>
        <w:t>H11.</w:t>
      </w:r>
    </w:p>
    <w:p>
      <w:pPr>
        <w:spacing w:after="0" w:line="240" w:lineRule="auto"/>
        <w:jc w:val="left"/>
        <w:rPr>
          <w:sz w:val="24"/>
        </w:rPr>
        <w:sectPr>
          <w:pgSz w:w="12240" w:h="15840"/>
          <w:pgMar w:top="1340" w:right="1000" w:bottom="940" w:left="1360" w:header="727" w:footer="747"/>
          <w:cols w:space="720"/>
        </w:sectPr>
      </w:pPr>
    </w:p>
    <w:p>
      <w:pPr>
        <w:pStyle w:val="ListParagraph"/>
        <w:numPr>
          <w:ilvl w:val="1"/>
          <w:numId w:val="3"/>
        </w:numPr>
        <w:tabs>
          <w:tab w:val="left" w:pos="1123"/>
        </w:tabs>
        <w:spacing w:before="80" w:after="0" w:line="240" w:lineRule="auto"/>
        <w:ind w:left="1123" w:right="0" w:hanging="539"/>
        <w:jc w:val="left"/>
        <w:rPr>
          <w:sz w:val="24"/>
        </w:rPr>
      </w:pPr>
      <w:r>
        <w:rPr>
          <w:sz w:val="24"/>
        </w:rPr>
        <w:t>Total</w:t>
      </w:r>
      <w:r>
        <w:rPr>
          <w:spacing w:val="-2"/>
          <w:sz w:val="24"/>
        </w:rPr>
        <w:t xml:space="preserve"> </w:t>
      </w:r>
      <w:r>
        <w:rPr>
          <w:sz w:val="24"/>
        </w:rPr>
        <w:t>Blended</w:t>
      </w:r>
      <w:r>
        <w:rPr>
          <w:spacing w:val="-1"/>
          <w:sz w:val="24"/>
        </w:rPr>
        <w:t xml:space="preserve"> </w:t>
      </w:r>
      <w:r>
        <w:rPr>
          <w:sz w:val="24"/>
        </w:rPr>
        <w:t>Allowed</w:t>
      </w:r>
      <w:r>
        <w:rPr>
          <w:spacing w:val="1"/>
          <w:sz w:val="24"/>
        </w:rPr>
        <w:t xml:space="preserve"> </w:t>
      </w:r>
      <w:r>
        <w:rPr>
          <w:sz w:val="24"/>
        </w:rPr>
        <w:t>Cost,</w:t>
      </w:r>
      <w:r>
        <w:rPr>
          <w:spacing w:val="-2"/>
          <w:sz w:val="24"/>
        </w:rPr>
        <w:t xml:space="preserve"> </w:t>
      </w:r>
      <w:r>
        <w:rPr>
          <w:sz w:val="24"/>
        </w:rPr>
        <w:t>Worksheet</w:t>
      </w:r>
      <w:r>
        <w:rPr>
          <w:spacing w:val="-1"/>
          <w:sz w:val="24"/>
        </w:rPr>
        <w:t xml:space="preserve"> </w:t>
      </w:r>
      <w:r>
        <w:rPr>
          <w:sz w:val="24"/>
        </w:rPr>
        <w:t>2,</w:t>
      </w:r>
      <w:r>
        <w:rPr>
          <w:spacing w:val="-1"/>
          <w:sz w:val="24"/>
        </w:rPr>
        <w:t xml:space="preserve"> </w:t>
      </w:r>
      <w:r>
        <w:rPr>
          <w:sz w:val="24"/>
        </w:rPr>
        <w:t>cell</w:t>
      </w:r>
      <w:r>
        <w:rPr>
          <w:spacing w:val="-1"/>
          <w:sz w:val="24"/>
        </w:rPr>
        <w:t xml:space="preserve"> </w:t>
      </w:r>
      <w:r>
        <w:rPr>
          <w:spacing w:val="-4"/>
          <w:sz w:val="24"/>
        </w:rPr>
        <w:t>P56.</w:t>
      </w:r>
    </w:p>
    <w:p>
      <w:pPr>
        <w:pStyle w:val="ListParagraph"/>
        <w:numPr>
          <w:ilvl w:val="0"/>
          <w:numId w:val="3"/>
        </w:numPr>
        <w:tabs>
          <w:tab w:val="left" w:pos="584"/>
        </w:tabs>
        <w:spacing w:before="40" w:after="0" w:line="235" w:lineRule="auto"/>
        <w:ind w:left="584" w:right="648" w:hanging="360"/>
        <w:jc w:val="left"/>
        <w:rPr>
          <w:sz w:val="24"/>
        </w:rPr>
      </w:pPr>
      <w:r>
        <w:rPr>
          <w:sz w:val="24"/>
        </w:rPr>
        <w:t>For an MA-PD plan, if the MA and Part D enrollment differ after taking into account hospice</w:t>
      </w:r>
      <w:r>
        <w:rPr>
          <w:spacing w:val="-4"/>
          <w:sz w:val="24"/>
        </w:rPr>
        <w:t xml:space="preserve"> </w:t>
      </w:r>
      <w:r>
        <w:rPr>
          <w:sz w:val="24"/>
        </w:rPr>
        <w:t>and</w:t>
      </w:r>
      <w:r>
        <w:rPr>
          <w:spacing w:val="-3"/>
          <w:sz w:val="24"/>
        </w:rPr>
        <w:t xml:space="preserve"> </w:t>
      </w:r>
      <w:r>
        <w:rPr>
          <w:sz w:val="24"/>
        </w:rPr>
        <w:t>ESRD</w:t>
      </w:r>
      <w:r>
        <w:rPr>
          <w:spacing w:val="-3"/>
          <w:sz w:val="24"/>
        </w:rPr>
        <w:t xml:space="preserve"> </w:t>
      </w:r>
      <w:r>
        <w:rPr>
          <w:sz w:val="24"/>
        </w:rPr>
        <w:t>enrollees,</w:t>
      </w:r>
      <w:r>
        <w:rPr>
          <w:spacing w:val="-3"/>
          <w:sz w:val="24"/>
        </w:rPr>
        <w:t xml:space="preserve"> </w:t>
      </w:r>
      <w:r>
        <w:rPr>
          <w:sz w:val="24"/>
        </w:rPr>
        <w:t>justification</w:t>
      </w:r>
      <w:r>
        <w:rPr>
          <w:spacing w:val="-3"/>
          <w:sz w:val="24"/>
        </w:rPr>
        <w:t xml:space="preserve"> </w:t>
      </w:r>
      <w:r>
        <w:rPr>
          <w:sz w:val="24"/>
        </w:rPr>
        <w:t>that</w:t>
      </w:r>
      <w:r>
        <w:rPr>
          <w:spacing w:val="-3"/>
          <w:sz w:val="24"/>
        </w:rPr>
        <w:t xml:space="preserve"> </w:t>
      </w:r>
      <w:r>
        <w:rPr>
          <w:sz w:val="24"/>
        </w:rPr>
        <w:t>base</w:t>
      </w:r>
      <w:r>
        <w:rPr>
          <w:spacing w:val="-4"/>
          <w:sz w:val="24"/>
        </w:rPr>
        <w:t xml:space="preserve"> </w:t>
      </w:r>
      <w:r>
        <w:rPr>
          <w:sz w:val="24"/>
        </w:rPr>
        <w:t>period</w:t>
      </w:r>
      <w:r>
        <w:rPr>
          <w:spacing w:val="-3"/>
          <w:sz w:val="24"/>
        </w:rPr>
        <w:t xml:space="preserve"> </w:t>
      </w:r>
      <w:r>
        <w:rPr>
          <w:sz w:val="24"/>
        </w:rPr>
        <w:t>and</w:t>
      </w:r>
      <w:r>
        <w:rPr>
          <w:spacing w:val="-3"/>
          <w:sz w:val="24"/>
        </w:rPr>
        <w:t xml:space="preserve"> </w:t>
      </w:r>
      <w:r>
        <w:rPr>
          <w:sz w:val="24"/>
        </w:rPr>
        <w:t>projected</w:t>
      </w:r>
      <w:r>
        <w:rPr>
          <w:spacing w:val="-2"/>
          <w:sz w:val="24"/>
        </w:rPr>
        <w:t xml:space="preserve"> </w:t>
      </w:r>
      <w:r>
        <w:rPr>
          <w:sz w:val="24"/>
        </w:rPr>
        <w:t>enrollment</w:t>
      </w:r>
      <w:r>
        <w:rPr>
          <w:spacing w:val="-3"/>
          <w:sz w:val="24"/>
        </w:rPr>
        <w:t xml:space="preserve"> </w:t>
      </w:r>
      <w:r>
        <w:rPr>
          <w:sz w:val="24"/>
        </w:rPr>
        <w:t>in</w:t>
      </w:r>
      <w:r>
        <w:rPr>
          <w:spacing w:val="-3"/>
          <w:sz w:val="24"/>
        </w:rPr>
        <w:t xml:space="preserve"> </w:t>
      </w:r>
      <w:r>
        <w:rPr>
          <w:sz w:val="24"/>
        </w:rPr>
        <w:t>the corresponding MA and Part D bids reflect the same underlying population (Worksheets 1 and 3).</w:t>
      </w:r>
    </w:p>
    <w:p>
      <w:pPr>
        <w:pStyle w:val="ListParagraph"/>
        <w:numPr>
          <w:ilvl w:val="0"/>
          <w:numId w:val="3"/>
        </w:numPr>
        <w:tabs>
          <w:tab w:val="left" w:pos="584"/>
        </w:tabs>
        <w:spacing w:before="37" w:after="0" w:line="235" w:lineRule="auto"/>
        <w:ind w:left="584" w:right="855" w:hanging="360"/>
        <w:jc w:val="left"/>
        <w:rPr>
          <w:sz w:val="24"/>
        </w:rPr>
      </w:pPr>
      <w:r>
        <w:rPr>
          <w:sz w:val="24"/>
        </w:rPr>
        <w:t>A</w:t>
      </w:r>
      <w:r>
        <w:rPr>
          <w:spacing w:val="-4"/>
          <w:sz w:val="24"/>
        </w:rPr>
        <w:t xml:space="preserve"> </w:t>
      </w:r>
      <w:r>
        <w:rPr>
          <w:sz w:val="24"/>
        </w:rPr>
        <w:t>detailed</w:t>
      </w:r>
      <w:r>
        <w:rPr>
          <w:spacing w:val="-3"/>
          <w:sz w:val="24"/>
        </w:rPr>
        <w:t xml:space="preserve"> </w:t>
      </w:r>
      <w:r>
        <w:rPr>
          <w:sz w:val="24"/>
        </w:rPr>
        <w:t>breakout</w:t>
      </w:r>
      <w:r>
        <w:rPr>
          <w:spacing w:val="-3"/>
          <w:sz w:val="24"/>
        </w:rPr>
        <w:t xml:space="preserve"> </w:t>
      </w:r>
      <w:r>
        <w:rPr>
          <w:sz w:val="24"/>
        </w:rPr>
        <w:t>of</w:t>
      </w:r>
      <w:r>
        <w:rPr>
          <w:spacing w:val="-3"/>
          <w:sz w:val="24"/>
        </w:rPr>
        <w:t xml:space="preserve"> </w:t>
      </w:r>
      <w:r>
        <w:rPr>
          <w:sz w:val="24"/>
        </w:rPr>
        <w:t>“Claims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deductible”</w:t>
      </w:r>
      <w:r>
        <w:rPr>
          <w:spacing w:val="-5"/>
          <w:sz w:val="24"/>
        </w:rPr>
        <w:t xml:space="preserve"> </w:t>
      </w:r>
      <w:r>
        <w:rPr>
          <w:sz w:val="24"/>
        </w:rPr>
        <w:t>listed</w:t>
      </w:r>
      <w:r>
        <w:rPr>
          <w:spacing w:val="-3"/>
          <w:sz w:val="24"/>
        </w:rPr>
        <w:t xml:space="preserve"> </w:t>
      </w:r>
      <w:r>
        <w:rPr>
          <w:sz w:val="24"/>
        </w:rPr>
        <w:t>in line</w:t>
      </w:r>
      <w:r>
        <w:rPr>
          <w:spacing w:val="-4"/>
          <w:sz w:val="24"/>
        </w:rPr>
        <w:t xml:space="preserve"> </w:t>
      </w:r>
      <w:r>
        <w:rPr>
          <w:sz w:val="24"/>
        </w:rPr>
        <w:t>12</w:t>
      </w:r>
      <w:r>
        <w:rPr>
          <w:spacing w:val="-3"/>
          <w:sz w:val="24"/>
        </w:rPr>
        <w:t xml:space="preserve"> </w:t>
      </w:r>
      <w:r>
        <w:rPr>
          <w:sz w:val="24"/>
        </w:rPr>
        <w:t>and</w:t>
      </w:r>
      <w:r>
        <w:rPr>
          <w:spacing w:val="-3"/>
          <w:sz w:val="24"/>
        </w:rPr>
        <w:t xml:space="preserve"> </w:t>
      </w:r>
      <w:r>
        <w:rPr>
          <w:sz w:val="24"/>
        </w:rPr>
        <w:t>line</w:t>
      </w:r>
      <w:r>
        <w:rPr>
          <w:spacing w:val="-4"/>
          <w:sz w:val="24"/>
        </w:rPr>
        <w:t xml:space="preserve"> </w:t>
      </w:r>
      <w:r>
        <w:rPr>
          <w:sz w:val="24"/>
        </w:rPr>
        <w:t>25</w:t>
      </w:r>
      <w:r>
        <w:rPr>
          <w:spacing w:val="-3"/>
          <w:sz w:val="24"/>
        </w:rPr>
        <w:t xml:space="preserve"> </w:t>
      </w:r>
      <w:r>
        <w:rPr>
          <w:sz w:val="24"/>
        </w:rPr>
        <w:t>of Worksheet 6. This documentation should include the details underlying all values in</w:t>
      </w:r>
    </w:p>
    <w:p>
      <w:pPr>
        <w:pStyle w:val="BodyText"/>
        <w:spacing w:before="1" w:line="232" w:lineRule="auto"/>
        <w:ind w:left="584" w:right="478"/>
      </w:pPr>
      <w:r>
        <w:t>lines</w:t>
      </w:r>
      <w:r>
        <w:rPr>
          <w:spacing w:val="-3"/>
        </w:rPr>
        <w:t xml:space="preserve"> </w:t>
      </w:r>
      <w:r>
        <w:t>12</w:t>
      </w:r>
      <w:r>
        <w:rPr>
          <w:spacing w:val="-3"/>
        </w:rPr>
        <w:t xml:space="preserve"> </w:t>
      </w:r>
      <w:r>
        <w:t>and</w:t>
      </w:r>
      <w:r>
        <w:rPr>
          <w:spacing w:val="-3"/>
        </w:rPr>
        <w:t xml:space="preserve"> </w:t>
      </w:r>
      <w:r>
        <w:t>25</w:t>
      </w:r>
      <w:r>
        <w:rPr>
          <w:spacing w:val="-3"/>
        </w:rPr>
        <w:t xml:space="preserve"> </w:t>
      </w:r>
      <w:r>
        <w:t>and</w:t>
      </w:r>
      <w:r>
        <w:rPr>
          <w:spacing w:val="-3"/>
        </w:rPr>
        <w:t xml:space="preserve"> </w:t>
      </w:r>
      <w:r>
        <w:t>be</w:t>
      </w:r>
      <w:r>
        <w:rPr>
          <w:spacing w:val="-4"/>
        </w:rPr>
        <w:t xml:space="preserve"> </w:t>
      </w:r>
      <w:r>
        <w:t>set</w:t>
      </w:r>
      <w:r>
        <w:rPr>
          <w:spacing w:val="-3"/>
        </w:rPr>
        <w:t xml:space="preserve"> </w:t>
      </w:r>
      <w:r>
        <w:t>up</w:t>
      </w:r>
      <w:r>
        <w:rPr>
          <w:spacing w:val="-3"/>
        </w:rPr>
        <w:t xml:space="preserve"> </w:t>
      </w:r>
      <w:r>
        <w:t>similarly</w:t>
      </w:r>
      <w:r>
        <w:rPr>
          <w:spacing w:val="-3"/>
        </w:rPr>
        <w:t xml:space="preserve"> </w:t>
      </w:r>
      <w:r>
        <w:t>to</w:t>
      </w:r>
      <w:r>
        <w:rPr>
          <w:spacing w:val="-3"/>
        </w:rPr>
        <w:t xml:space="preserve"> </w:t>
      </w:r>
      <w:r>
        <w:t>the</w:t>
      </w:r>
      <w:r>
        <w:rPr>
          <w:spacing w:val="-3"/>
        </w:rPr>
        <w:t xml:space="preserve"> </w:t>
      </w:r>
      <w:r>
        <w:t>way</w:t>
      </w:r>
      <w:r>
        <w:rPr>
          <w:spacing w:val="-3"/>
        </w:rPr>
        <w:t xml:space="preserve"> </w:t>
      </w:r>
      <w:r>
        <w:t>in</w:t>
      </w:r>
      <w:r>
        <w:rPr>
          <w:spacing w:val="-3"/>
        </w:rPr>
        <w:t xml:space="preserve"> </w:t>
      </w:r>
      <w:r>
        <w:t>which</w:t>
      </w:r>
      <w:r>
        <w:rPr>
          <w:spacing w:val="-3"/>
        </w:rPr>
        <w:t xml:space="preserve"> </w:t>
      </w:r>
      <w:r>
        <w:t>the</w:t>
      </w:r>
      <w:r>
        <w:rPr>
          <w:spacing w:val="-3"/>
        </w:rPr>
        <w:t xml:space="preserve"> </w:t>
      </w:r>
      <w:r>
        <w:t>breakouts</w:t>
      </w:r>
      <w:r>
        <w:rPr>
          <w:spacing w:val="-3"/>
        </w:rPr>
        <w:t xml:space="preserve"> </w:t>
      </w:r>
      <w:r>
        <w:t>for</w:t>
      </w:r>
      <w:r>
        <w:rPr>
          <w:spacing w:val="-3"/>
        </w:rPr>
        <w:t xml:space="preserve"> </w:t>
      </w:r>
      <w:r>
        <w:t>“Claims</w:t>
      </w:r>
      <w:r>
        <w:rPr>
          <w:spacing w:val="-3"/>
        </w:rPr>
        <w:t xml:space="preserve"> </w:t>
      </w:r>
      <w:r>
        <w:t>Not Subject to the Deductible” are set up in rows 1-10 and 14-23.</w:t>
      </w:r>
    </w:p>
    <w:p>
      <w:pPr>
        <w:pStyle w:val="BodyText"/>
        <w:spacing w:before="0"/>
        <w:ind w:left="0"/>
      </w:pPr>
    </w:p>
    <w:p>
      <w:pPr>
        <w:pStyle w:val="BodyText"/>
        <w:spacing w:before="175"/>
        <w:ind w:left="0"/>
      </w:pPr>
    </w:p>
    <w:p>
      <w:pPr>
        <w:pStyle w:val="Heading2"/>
        <w:ind w:left="224"/>
      </w:pPr>
      <w:bookmarkStart w:id="287" w:name="Part D Checklist for Required Supporting"/>
      <w:bookmarkEnd w:id="287"/>
      <w:bookmarkStart w:id="288" w:name="_bookmark84"/>
      <w:bookmarkEnd w:id="288"/>
      <w:r>
        <w:rPr>
          <w:smallCaps/>
        </w:rPr>
        <w:t>Part</w:t>
      </w:r>
      <w:r>
        <w:rPr>
          <w:smallCaps/>
          <w:spacing w:val="-2"/>
        </w:rPr>
        <w:t xml:space="preserve"> </w:t>
      </w:r>
      <w:r>
        <w:rPr>
          <w:smallCaps/>
        </w:rPr>
        <w:t>D</w:t>
      </w:r>
      <w:r>
        <w:rPr>
          <w:smallCaps/>
          <w:spacing w:val="-15"/>
        </w:rPr>
        <w:t xml:space="preserve"> </w:t>
      </w:r>
      <w:r>
        <w:rPr>
          <w:smallCaps/>
        </w:rPr>
        <w:t>Checklist</w:t>
      </w:r>
      <w:r>
        <w:rPr>
          <w:smallCaps/>
          <w:spacing w:val="-8"/>
        </w:rPr>
        <w:t xml:space="preserve"> </w:t>
      </w:r>
      <w:r>
        <w:rPr>
          <w:smallCaps/>
        </w:rPr>
        <w:t>for</w:t>
      </w:r>
      <w:r>
        <w:rPr>
          <w:smallCaps/>
          <w:spacing w:val="-7"/>
        </w:rPr>
        <w:t xml:space="preserve"> </w:t>
      </w:r>
      <w:r>
        <w:rPr>
          <w:smallCaps/>
        </w:rPr>
        <w:t>Required</w:t>
      </w:r>
      <w:r>
        <w:rPr>
          <w:smallCaps/>
          <w:spacing w:val="-7"/>
        </w:rPr>
        <w:t xml:space="preserve"> </w:t>
      </w:r>
      <w:r>
        <w:rPr>
          <w:smallCaps/>
        </w:rPr>
        <w:t>Supporting</w:t>
      </w:r>
      <w:r>
        <w:rPr>
          <w:smallCaps/>
          <w:spacing w:val="-9"/>
        </w:rPr>
        <w:t xml:space="preserve"> </w:t>
      </w:r>
      <w:r>
        <w:rPr>
          <w:smallCaps/>
          <w:spacing w:val="-2"/>
        </w:rPr>
        <w:t>Documentation</w:t>
      </w:r>
    </w:p>
    <w:p>
      <w:pPr>
        <w:pStyle w:val="BodyText"/>
        <w:spacing w:before="8"/>
        <w:ind w:left="0"/>
        <w:rPr>
          <w:rFonts w:ascii="Arial"/>
          <w:b/>
          <w:sz w:val="15"/>
        </w:rPr>
      </w:pPr>
    </w:p>
    <w:tbl>
      <w:tblPr>
        <w:tblStyle w:val="TableNormal"/>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43"/>
      </w:tblGrid>
      <w:tr>
        <w:tblPrEx>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80"/>
          <w:jc w:val="left"/>
        </w:trPr>
        <w:tc>
          <w:tcPr>
            <w:tcW w:w="9443" w:type="dxa"/>
          </w:tcPr>
          <w:p>
            <w:pPr>
              <w:pStyle w:val="TableParagraph"/>
              <w:spacing w:before="19"/>
              <w:ind w:left="112"/>
              <w:rPr>
                <w:rFonts w:ascii="Arial" w:hAnsi="Arial"/>
                <w:b/>
                <w:sz w:val="21"/>
              </w:rPr>
            </w:pPr>
            <w:bookmarkStart w:id="289" w:name="Initial June Bid Submission – Required f"/>
            <w:bookmarkEnd w:id="289"/>
            <w:r>
              <w:rPr>
                <w:rFonts w:ascii="Arial" w:hAnsi="Arial"/>
                <w:b/>
                <w:sz w:val="21"/>
              </w:rPr>
              <w:t>Initial</w:t>
            </w:r>
            <w:r>
              <w:rPr>
                <w:rFonts w:ascii="Arial" w:hAnsi="Arial"/>
                <w:b/>
                <w:spacing w:val="-7"/>
                <w:sz w:val="21"/>
              </w:rPr>
              <w:t xml:space="preserve"> </w:t>
            </w:r>
            <w:r>
              <w:rPr>
                <w:rFonts w:ascii="Arial" w:hAnsi="Arial"/>
                <w:b/>
                <w:sz w:val="21"/>
              </w:rPr>
              <w:t>June</w:t>
            </w:r>
            <w:r>
              <w:rPr>
                <w:rFonts w:ascii="Arial" w:hAnsi="Arial"/>
                <w:b/>
                <w:spacing w:val="-5"/>
                <w:sz w:val="21"/>
              </w:rPr>
              <w:t xml:space="preserve"> </w:t>
            </w:r>
            <w:r>
              <w:rPr>
                <w:rFonts w:ascii="Arial" w:hAnsi="Arial"/>
                <w:b/>
                <w:sz w:val="21"/>
              </w:rPr>
              <w:t>Bid</w:t>
            </w:r>
            <w:r>
              <w:rPr>
                <w:rFonts w:ascii="Arial" w:hAnsi="Arial"/>
                <w:b/>
                <w:spacing w:val="-5"/>
                <w:sz w:val="21"/>
              </w:rPr>
              <w:t xml:space="preserve"> </w:t>
            </w:r>
            <w:r>
              <w:rPr>
                <w:rFonts w:ascii="Arial" w:hAnsi="Arial"/>
                <w:b/>
                <w:sz w:val="21"/>
              </w:rPr>
              <w:t>Submission</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Required</w:t>
            </w:r>
            <w:r>
              <w:rPr>
                <w:rFonts w:ascii="Arial" w:hAnsi="Arial"/>
                <w:b/>
                <w:spacing w:val="-6"/>
                <w:sz w:val="21"/>
              </w:rPr>
              <w:t xml:space="preserve"> </w:t>
            </w:r>
            <w:r>
              <w:rPr>
                <w:rFonts w:ascii="Arial" w:hAnsi="Arial"/>
                <w:b/>
                <w:sz w:val="21"/>
              </w:rPr>
              <w:t>for</w:t>
            </w:r>
            <w:r>
              <w:rPr>
                <w:rFonts w:ascii="Arial" w:hAnsi="Arial"/>
                <w:b/>
                <w:spacing w:val="-8"/>
                <w:sz w:val="21"/>
              </w:rPr>
              <w:t xml:space="preserve"> </w:t>
            </w:r>
            <w:r>
              <w:rPr>
                <w:rFonts w:ascii="Arial" w:hAnsi="Arial"/>
                <w:b/>
                <w:sz w:val="21"/>
              </w:rPr>
              <w:t>All</w:t>
            </w:r>
            <w:r>
              <w:rPr>
                <w:rFonts w:ascii="Arial" w:hAnsi="Arial"/>
                <w:b/>
                <w:spacing w:val="-6"/>
                <w:sz w:val="21"/>
              </w:rPr>
              <w:t xml:space="preserve"> </w:t>
            </w:r>
            <w:r>
              <w:rPr>
                <w:rFonts w:ascii="Arial" w:hAnsi="Arial"/>
                <w:b/>
                <w:spacing w:val="-4"/>
                <w:sz w:val="21"/>
              </w:rPr>
              <w:t>Bids</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1</w:t>
            </w:r>
            <w:r>
              <w:rPr>
                <w:spacing w:val="-3"/>
                <w:sz w:val="24"/>
              </w:rPr>
              <w:t xml:space="preserve"> </w:t>
            </w:r>
            <w:r>
              <w:rPr>
                <w:sz w:val="24"/>
              </w:rPr>
              <w:t xml:space="preserve">Cover </w:t>
            </w:r>
            <w:r>
              <w:rPr>
                <w:spacing w:val="-2"/>
                <w:sz w:val="24"/>
              </w:rPr>
              <w:t>sheet</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2</w:t>
            </w:r>
            <w:r>
              <w:rPr>
                <w:spacing w:val="-1"/>
                <w:sz w:val="24"/>
              </w:rPr>
              <w:t xml:space="preserve"> </w:t>
            </w:r>
            <w:r>
              <w:rPr>
                <w:sz w:val="24"/>
              </w:rPr>
              <w:t>Product</w:t>
            </w:r>
            <w:r>
              <w:rPr>
                <w:spacing w:val="-1"/>
                <w:sz w:val="24"/>
              </w:rPr>
              <w:t xml:space="preserve"> </w:t>
            </w:r>
            <w:r>
              <w:rPr>
                <w:spacing w:val="-2"/>
                <w:sz w:val="24"/>
              </w:rPr>
              <w:t>narrative</w:t>
            </w:r>
          </w:p>
        </w:tc>
      </w:tr>
      <w:tr>
        <w:tblPrEx>
          <w:tblW w:w="0" w:type="auto"/>
          <w:jc w:val="left"/>
          <w:tblInd w:w="116" w:type="dxa"/>
          <w:tblLayout w:type="fixed"/>
          <w:tblCellMar>
            <w:top w:w="0" w:type="dxa"/>
            <w:left w:w="0" w:type="dxa"/>
            <w:bottom w:w="0" w:type="dxa"/>
            <w:right w:w="0" w:type="dxa"/>
          </w:tblCellMar>
          <w:tblLook w:val="01E0"/>
        </w:tblPrEx>
        <w:trPr>
          <w:trHeight w:val="314"/>
          <w:jc w:val="left"/>
        </w:trPr>
        <w:tc>
          <w:tcPr>
            <w:tcW w:w="9443" w:type="dxa"/>
          </w:tcPr>
          <w:p>
            <w:pPr>
              <w:pStyle w:val="TableParagraph"/>
              <w:spacing w:before="20" w:line="273" w:lineRule="exact"/>
              <w:ind w:left="112"/>
              <w:rPr>
                <w:sz w:val="24"/>
              </w:rPr>
            </w:pPr>
            <w:r>
              <w:rPr>
                <w:sz w:val="24"/>
              </w:rPr>
              <w:t>3</w:t>
            </w:r>
            <w:r>
              <w:rPr>
                <w:spacing w:val="-2"/>
                <w:sz w:val="24"/>
              </w:rPr>
              <w:t xml:space="preserve"> </w:t>
            </w:r>
            <w:r>
              <w:rPr>
                <w:sz w:val="24"/>
              </w:rPr>
              <w:t>Related-party</w:t>
            </w:r>
            <w:r>
              <w:rPr>
                <w:spacing w:val="-2"/>
                <w:sz w:val="24"/>
              </w:rPr>
              <w:t xml:space="preserve"> declaration</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4</w:t>
            </w:r>
            <w:r>
              <w:rPr>
                <w:spacing w:val="-2"/>
                <w:sz w:val="24"/>
              </w:rPr>
              <w:t xml:space="preserve"> </w:t>
            </w:r>
            <w:r>
              <w:rPr>
                <w:sz w:val="24"/>
              </w:rPr>
              <w:t>Sequestration</w:t>
            </w:r>
            <w:r>
              <w:rPr>
                <w:spacing w:val="-1"/>
                <w:sz w:val="24"/>
              </w:rPr>
              <w:t xml:space="preserve"> </w:t>
            </w:r>
            <w:r>
              <w:rPr>
                <w:spacing w:val="-2"/>
                <w:sz w:val="24"/>
              </w:rPr>
              <w:t>assumptions</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5</w:t>
            </w:r>
            <w:r>
              <w:rPr>
                <w:spacing w:val="-1"/>
                <w:sz w:val="24"/>
              </w:rPr>
              <w:t xml:space="preserve"> </w:t>
            </w:r>
            <w:r>
              <w:rPr>
                <w:sz w:val="24"/>
              </w:rPr>
              <w:t>Claims</w:t>
            </w:r>
            <w:r>
              <w:rPr>
                <w:spacing w:val="-1"/>
                <w:sz w:val="24"/>
              </w:rPr>
              <w:t xml:space="preserve"> </w:t>
            </w:r>
            <w:r>
              <w:rPr>
                <w:sz w:val="24"/>
              </w:rPr>
              <w:t>credibility</w:t>
            </w:r>
            <w:r>
              <w:rPr>
                <w:spacing w:val="-1"/>
                <w:sz w:val="24"/>
              </w:rPr>
              <w:t xml:space="preserve"> </w:t>
            </w:r>
            <w:r>
              <w:rPr>
                <w:spacing w:val="-2"/>
                <w:sz w:val="24"/>
              </w:rPr>
              <w:t>assumption</w:t>
            </w:r>
          </w:p>
        </w:tc>
      </w:tr>
      <w:tr>
        <w:tblPrEx>
          <w:tblW w:w="0" w:type="auto"/>
          <w:jc w:val="left"/>
          <w:tblInd w:w="116" w:type="dxa"/>
          <w:tblLayout w:type="fixed"/>
          <w:tblCellMar>
            <w:top w:w="0" w:type="dxa"/>
            <w:left w:w="0" w:type="dxa"/>
            <w:bottom w:w="0" w:type="dxa"/>
            <w:right w:w="0" w:type="dxa"/>
          </w:tblCellMar>
          <w:tblLook w:val="01E0"/>
        </w:tblPrEx>
        <w:trPr>
          <w:trHeight w:val="592"/>
          <w:jc w:val="left"/>
        </w:trPr>
        <w:tc>
          <w:tcPr>
            <w:tcW w:w="9443" w:type="dxa"/>
          </w:tcPr>
          <w:p>
            <w:pPr>
              <w:pStyle w:val="TableParagraph"/>
              <w:spacing w:before="18"/>
              <w:ind w:left="112" w:right="151"/>
              <w:rPr>
                <w:sz w:val="24"/>
              </w:rPr>
            </w:pPr>
            <w:r>
              <w:rPr>
                <w:sz w:val="24"/>
              </w:rPr>
              <w:t>6</w:t>
            </w:r>
            <w:r>
              <w:rPr>
                <w:spacing w:val="-3"/>
                <w:sz w:val="24"/>
              </w:rPr>
              <w:t xml:space="preserve"> </w:t>
            </w:r>
            <w:r>
              <w:rPr>
                <w:sz w:val="24"/>
              </w:rPr>
              <w:t>Mapping</w:t>
            </w:r>
            <w:r>
              <w:rPr>
                <w:spacing w:val="-3"/>
                <w:sz w:val="24"/>
              </w:rPr>
              <w:t xml:space="preserve"> </w:t>
            </w:r>
            <w:r>
              <w:rPr>
                <w:sz w:val="24"/>
              </w:rPr>
              <w:t>of</w:t>
            </w:r>
            <w:r>
              <w:rPr>
                <w:spacing w:val="-3"/>
                <w:sz w:val="24"/>
              </w:rPr>
              <w:t xml:space="preserve"> </w:t>
            </w:r>
            <w:r>
              <w:rPr>
                <w:sz w:val="24"/>
              </w:rPr>
              <w:t>allowed</w:t>
            </w:r>
            <w:r>
              <w:rPr>
                <w:spacing w:val="-3"/>
                <w:sz w:val="24"/>
              </w:rPr>
              <w:t xml:space="preserve"> </w:t>
            </w:r>
            <w:r>
              <w:rPr>
                <w:sz w:val="24"/>
              </w:rPr>
              <w:t>costs,</w:t>
            </w:r>
            <w:r>
              <w:rPr>
                <w:spacing w:val="-3"/>
                <w:sz w:val="24"/>
              </w:rPr>
              <w:t xml:space="preserve"> </w:t>
            </w:r>
            <w:r>
              <w:rPr>
                <w:sz w:val="24"/>
              </w:rPr>
              <w:t>script</w:t>
            </w:r>
            <w:r>
              <w:rPr>
                <w:spacing w:val="-3"/>
                <w:sz w:val="24"/>
              </w:rPr>
              <w:t xml:space="preserve"> </w:t>
            </w:r>
            <w:r>
              <w:rPr>
                <w:sz w:val="24"/>
              </w:rPr>
              <w:t>counts</w:t>
            </w:r>
            <w:r>
              <w:rPr>
                <w:spacing w:val="-3"/>
                <w:sz w:val="24"/>
              </w:rPr>
              <w:t xml:space="preserve"> </w:t>
            </w:r>
            <w:r>
              <w:rPr>
                <w:sz w:val="24"/>
              </w:rPr>
              <w:t>and</w:t>
            </w:r>
            <w:r>
              <w:rPr>
                <w:spacing w:val="-3"/>
                <w:sz w:val="24"/>
              </w:rPr>
              <w:t xml:space="preserve"> </w:t>
            </w:r>
            <w:r>
              <w:rPr>
                <w:sz w:val="24"/>
              </w:rPr>
              <w:t>cost</w:t>
            </w:r>
            <w:r>
              <w:rPr>
                <w:spacing w:val="-3"/>
                <w:sz w:val="24"/>
              </w:rPr>
              <w:t xml:space="preserve"> </w:t>
            </w:r>
            <w:r>
              <w:rPr>
                <w:sz w:val="24"/>
              </w:rPr>
              <w:t>sharing</w:t>
            </w:r>
            <w:r>
              <w:rPr>
                <w:spacing w:val="-3"/>
                <w:sz w:val="24"/>
              </w:rPr>
              <w:t xml:space="preserve"> </w:t>
            </w:r>
            <w:r>
              <w:rPr>
                <w:sz w:val="24"/>
              </w:rPr>
              <w:t>in</w:t>
            </w:r>
            <w:r>
              <w:rPr>
                <w:spacing w:val="-3"/>
                <w:sz w:val="24"/>
              </w:rPr>
              <w:t xml:space="preserve"> </w:t>
            </w:r>
            <w:r>
              <w:rPr>
                <w:sz w:val="24"/>
              </w:rPr>
              <w:t>formulary</w:t>
            </w:r>
            <w:r>
              <w:rPr>
                <w:spacing w:val="-3"/>
                <w:sz w:val="24"/>
              </w:rPr>
              <w:t xml:space="preserve"> </w:t>
            </w:r>
            <w:r>
              <w:rPr>
                <w:sz w:val="24"/>
              </w:rPr>
              <w:t>tiers</w:t>
            </w:r>
            <w:r>
              <w:rPr>
                <w:spacing w:val="-3"/>
                <w:sz w:val="24"/>
              </w:rPr>
              <w:t xml:space="preserve"> </w:t>
            </w:r>
            <w:r>
              <w:rPr>
                <w:sz w:val="24"/>
              </w:rPr>
              <w:t>to</w:t>
            </w:r>
            <w:r>
              <w:rPr>
                <w:spacing w:val="-3"/>
                <w:sz w:val="24"/>
              </w:rPr>
              <w:t xml:space="preserve"> </w:t>
            </w:r>
            <w:r>
              <w:rPr>
                <w:sz w:val="24"/>
              </w:rPr>
              <w:t>type-of-drug and point-of-sale (retail or mail order as defined by the PBP) categories</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7</w:t>
            </w:r>
            <w:r>
              <w:rPr>
                <w:spacing w:val="-1"/>
                <w:sz w:val="24"/>
              </w:rPr>
              <w:t xml:space="preserve"> </w:t>
            </w:r>
            <w:r>
              <w:rPr>
                <w:sz w:val="24"/>
              </w:rPr>
              <w:t>Non-benefit</w:t>
            </w:r>
            <w:r>
              <w:rPr>
                <w:spacing w:val="-1"/>
                <w:sz w:val="24"/>
              </w:rPr>
              <w:t xml:space="preserve"> </w:t>
            </w:r>
            <w:r>
              <w:rPr>
                <w:spacing w:val="-2"/>
                <w:sz w:val="24"/>
              </w:rPr>
              <w:t>expenses</w:t>
            </w:r>
          </w:p>
        </w:tc>
      </w:tr>
      <w:tr>
        <w:tblPrEx>
          <w:tblW w:w="0" w:type="auto"/>
          <w:jc w:val="left"/>
          <w:tblInd w:w="116" w:type="dxa"/>
          <w:tblLayout w:type="fixed"/>
          <w:tblCellMar>
            <w:top w:w="0" w:type="dxa"/>
            <w:left w:w="0" w:type="dxa"/>
            <w:bottom w:w="0" w:type="dxa"/>
            <w:right w:w="0" w:type="dxa"/>
          </w:tblCellMar>
          <w:tblLook w:val="01E0"/>
        </w:tblPrEx>
        <w:trPr>
          <w:trHeight w:val="313"/>
          <w:jc w:val="left"/>
        </w:trPr>
        <w:tc>
          <w:tcPr>
            <w:tcW w:w="9443" w:type="dxa"/>
          </w:tcPr>
          <w:p>
            <w:pPr>
              <w:pStyle w:val="TableParagraph"/>
              <w:spacing w:before="20" w:line="273" w:lineRule="exact"/>
              <w:ind w:left="112"/>
              <w:rPr>
                <w:sz w:val="24"/>
              </w:rPr>
            </w:pPr>
            <w:r>
              <w:rPr>
                <w:sz w:val="24"/>
              </w:rPr>
              <w:t>8</w:t>
            </w:r>
            <w:r>
              <w:rPr>
                <w:spacing w:val="-1"/>
                <w:sz w:val="24"/>
              </w:rPr>
              <w:t xml:space="preserve"> </w:t>
            </w:r>
            <w:r>
              <w:rPr>
                <w:sz w:val="24"/>
              </w:rPr>
              <w:t>Gain/loss</w:t>
            </w:r>
            <w:r>
              <w:rPr>
                <w:spacing w:val="-1"/>
                <w:sz w:val="24"/>
              </w:rPr>
              <w:t xml:space="preserve"> </w:t>
            </w:r>
            <w:r>
              <w:rPr>
                <w:spacing w:val="-2"/>
                <w:sz w:val="24"/>
              </w:rPr>
              <w:t>margin</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1"/>
              <w:ind w:left="112"/>
              <w:rPr>
                <w:sz w:val="24"/>
              </w:rPr>
            </w:pPr>
            <w:r>
              <w:rPr>
                <w:sz w:val="24"/>
              </w:rPr>
              <w:t>9</w:t>
            </w:r>
            <w:r>
              <w:rPr>
                <w:spacing w:val="-2"/>
                <w:sz w:val="24"/>
              </w:rPr>
              <w:t xml:space="preserve"> </w:t>
            </w:r>
            <w:r>
              <w:rPr>
                <w:sz w:val="24"/>
              </w:rPr>
              <w:t>Projected</w:t>
            </w:r>
            <w:r>
              <w:rPr>
                <w:spacing w:val="-2"/>
                <w:sz w:val="24"/>
              </w:rPr>
              <w:t xml:space="preserve"> </w:t>
            </w:r>
            <w:r>
              <w:rPr>
                <w:sz w:val="24"/>
              </w:rPr>
              <w:t>risk</w:t>
            </w:r>
            <w:r>
              <w:rPr>
                <w:spacing w:val="-1"/>
                <w:sz w:val="24"/>
              </w:rPr>
              <w:t xml:space="preserve"> </w:t>
            </w:r>
            <w:r>
              <w:rPr>
                <w:spacing w:val="-2"/>
                <w:sz w:val="24"/>
              </w:rPr>
              <w:t>scores</w:t>
            </w:r>
          </w:p>
        </w:tc>
      </w:tr>
    </w:tbl>
    <w:p>
      <w:pPr>
        <w:pStyle w:val="BodyText"/>
        <w:spacing w:before="158"/>
        <w:ind w:left="0"/>
        <w:rPr>
          <w:rFonts w:ascii="Arial"/>
          <w:b/>
          <w:sz w:val="20"/>
        </w:rPr>
      </w:pPr>
    </w:p>
    <w:tbl>
      <w:tblPr>
        <w:tblStyle w:val="TableNormal"/>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43"/>
      </w:tblGrid>
      <w:tr>
        <w:tblPrEx>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80"/>
          <w:jc w:val="left"/>
        </w:trPr>
        <w:tc>
          <w:tcPr>
            <w:tcW w:w="9443" w:type="dxa"/>
          </w:tcPr>
          <w:p>
            <w:pPr>
              <w:pStyle w:val="TableParagraph"/>
              <w:spacing w:before="19"/>
              <w:ind w:left="112"/>
              <w:rPr>
                <w:rFonts w:ascii="Arial" w:hAnsi="Arial"/>
                <w:b/>
                <w:sz w:val="21"/>
              </w:rPr>
            </w:pPr>
            <w:r>
              <w:rPr>
                <w:rFonts w:ascii="Arial" w:hAnsi="Arial"/>
                <w:b/>
                <w:sz w:val="21"/>
              </w:rPr>
              <w:t>Initial</w:t>
            </w:r>
            <w:r>
              <w:rPr>
                <w:rFonts w:ascii="Arial" w:hAnsi="Arial"/>
                <w:b/>
                <w:spacing w:val="-9"/>
                <w:sz w:val="21"/>
              </w:rPr>
              <w:t xml:space="preserve"> </w:t>
            </w:r>
            <w:r>
              <w:rPr>
                <w:rFonts w:ascii="Arial" w:hAnsi="Arial"/>
                <w:b/>
                <w:sz w:val="21"/>
              </w:rPr>
              <w:t>June</w:t>
            </w:r>
            <w:r>
              <w:rPr>
                <w:rFonts w:ascii="Arial" w:hAnsi="Arial"/>
                <w:b/>
                <w:spacing w:val="-5"/>
                <w:sz w:val="21"/>
              </w:rPr>
              <w:t xml:space="preserve"> </w:t>
            </w:r>
            <w:r>
              <w:rPr>
                <w:rFonts w:ascii="Arial" w:hAnsi="Arial"/>
                <w:b/>
                <w:sz w:val="21"/>
              </w:rPr>
              <w:t>Bid</w:t>
            </w:r>
            <w:r>
              <w:rPr>
                <w:rFonts w:ascii="Arial" w:hAnsi="Arial"/>
                <w:b/>
                <w:spacing w:val="-4"/>
                <w:sz w:val="21"/>
              </w:rPr>
              <w:t xml:space="preserve"> </w:t>
            </w:r>
            <w:r>
              <w:rPr>
                <w:rFonts w:ascii="Arial" w:hAnsi="Arial"/>
                <w:b/>
                <w:sz w:val="21"/>
              </w:rPr>
              <w:t>Submission</w:t>
            </w:r>
            <w:r>
              <w:rPr>
                <w:rFonts w:ascii="Arial" w:hAnsi="Arial"/>
                <w:b/>
                <w:spacing w:val="-3"/>
                <w:sz w:val="21"/>
              </w:rPr>
              <w:t xml:space="preserve"> </w:t>
            </w:r>
            <w:r>
              <w:rPr>
                <w:rFonts w:ascii="Arial" w:hAnsi="Arial"/>
                <w:b/>
                <w:sz w:val="21"/>
              </w:rPr>
              <w:t>–</w:t>
            </w:r>
            <w:r>
              <w:rPr>
                <w:rFonts w:ascii="Arial" w:hAnsi="Arial"/>
                <w:b/>
                <w:spacing w:val="-5"/>
                <w:sz w:val="21"/>
              </w:rPr>
              <w:t xml:space="preserve"> </w:t>
            </w:r>
            <w:r>
              <w:rPr>
                <w:rFonts w:ascii="Arial" w:hAnsi="Arial"/>
                <w:b/>
                <w:sz w:val="21"/>
              </w:rPr>
              <w:t>Required</w:t>
            </w:r>
            <w:r>
              <w:rPr>
                <w:rFonts w:ascii="Arial" w:hAnsi="Arial"/>
                <w:b/>
                <w:spacing w:val="-6"/>
                <w:sz w:val="21"/>
              </w:rPr>
              <w:t xml:space="preserve"> </w:t>
            </w:r>
            <w:r>
              <w:rPr>
                <w:rFonts w:ascii="Arial" w:hAnsi="Arial"/>
                <w:b/>
                <w:sz w:val="21"/>
              </w:rPr>
              <w:t>for</w:t>
            </w:r>
            <w:r>
              <w:rPr>
                <w:rFonts w:ascii="Arial" w:hAnsi="Arial"/>
                <w:b/>
                <w:spacing w:val="-8"/>
                <w:sz w:val="21"/>
              </w:rPr>
              <w:t xml:space="preserve"> </w:t>
            </w:r>
            <w:r>
              <w:rPr>
                <w:rFonts w:ascii="Arial" w:hAnsi="Arial"/>
                <w:b/>
                <w:sz w:val="21"/>
              </w:rPr>
              <w:t>All</w:t>
            </w:r>
            <w:r>
              <w:rPr>
                <w:rFonts w:ascii="Arial" w:hAnsi="Arial"/>
                <w:b/>
                <w:spacing w:val="-6"/>
                <w:sz w:val="21"/>
              </w:rPr>
              <w:t xml:space="preserve"> </w:t>
            </w:r>
            <w:r>
              <w:rPr>
                <w:rFonts w:ascii="Arial" w:hAnsi="Arial"/>
                <w:b/>
                <w:sz w:val="21"/>
              </w:rPr>
              <w:t>Bids</w:t>
            </w:r>
            <w:r>
              <w:rPr>
                <w:rFonts w:ascii="Arial" w:hAnsi="Arial"/>
                <w:b/>
                <w:spacing w:val="-7"/>
                <w:sz w:val="21"/>
              </w:rPr>
              <w:t xml:space="preserve"> </w:t>
            </w:r>
            <w:r>
              <w:rPr>
                <w:rFonts w:ascii="Arial" w:hAnsi="Arial"/>
                <w:b/>
                <w:sz w:val="21"/>
              </w:rPr>
              <w:t>with</w:t>
            </w:r>
            <w:r>
              <w:rPr>
                <w:rFonts w:ascii="Arial" w:hAnsi="Arial"/>
                <w:b/>
                <w:spacing w:val="-4"/>
                <w:sz w:val="21"/>
              </w:rPr>
              <w:t xml:space="preserve"> </w:t>
            </w:r>
            <w:r>
              <w:rPr>
                <w:rFonts w:ascii="Arial" w:hAnsi="Arial"/>
                <w:b/>
                <w:sz w:val="21"/>
              </w:rPr>
              <w:t>Specified</w:t>
            </w:r>
            <w:r>
              <w:rPr>
                <w:rFonts w:ascii="Arial" w:hAnsi="Arial"/>
                <w:b/>
                <w:spacing w:val="-7"/>
                <w:sz w:val="21"/>
              </w:rPr>
              <w:t xml:space="preserve"> </w:t>
            </w:r>
            <w:r>
              <w:rPr>
                <w:rFonts w:ascii="Arial" w:hAnsi="Arial"/>
                <w:b/>
                <w:spacing w:val="-2"/>
                <w:sz w:val="21"/>
              </w:rPr>
              <w:t>Assumptions</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10</w:t>
            </w:r>
            <w:r>
              <w:rPr>
                <w:spacing w:val="-1"/>
                <w:sz w:val="24"/>
              </w:rPr>
              <w:t xml:space="preserve"> </w:t>
            </w:r>
            <w:r>
              <w:rPr>
                <w:sz w:val="24"/>
              </w:rPr>
              <w:t>Base</w:t>
            </w:r>
            <w:r>
              <w:rPr>
                <w:spacing w:val="-2"/>
                <w:sz w:val="24"/>
              </w:rPr>
              <w:t xml:space="preserve"> </w:t>
            </w:r>
            <w:r>
              <w:rPr>
                <w:sz w:val="24"/>
              </w:rPr>
              <w:t>period experience</w:t>
            </w:r>
            <w:r>
              <w:rPr>
                <w:spacing w:val="-2"/>
                <w:sz w:val="24"/>
              </w:rPr>
              <w:t xml:space="preserve"> </w:t>
            </w:r>
            <w:r>
              <w:rPr>
                <w:sz w:val="24"/>
              </w:rPr>
              <w:t xml:space="preserve">and </w:t>
            </w:r>
            <w:r>
              <w:rPr>
                <w:spacing w:val="-2"/>
                <w:sz w:val="24"/>
              </w:rPr>
              <w:t>projections</w:t>
            </w:r>
          </w:p>
        </w:tc>
      </w:tr>
      <w:tr>
        <w:tblPrEx>
          <w:tblW w:w="0" w:type="auto"/>
          <w:jc w:val="left"/>
          <w:tblInd w:w="116" w:type="dxa"/>
          <w:tblLayout w:type="fixed"/>
          <w:tblCellMar>
            <w:top w:w="0" w:type="dxa"/>
            <w:left w:w="0" w:type="dxa"/>
            <w:bottom w:w="0" w:type="dxa"/>
            <w:right w:w="0" w:type="dxa"/>
          </w:tblCellMar>
          <w:tblLook w:val="01E0"/>
        </w:tblPrEx>
        <w:trPr>
          <w:trHeight w:val="313"/>
          <w:jc w:val="left"/>
        </w:trPr>
        <w:tc>
          <w:tcPr>
            <w:tcW w:w="9443" w:type="dxa"/>
          </w:tcPr>
          <w:p>
            <w:pPr>
              <w:pStyle w:val="TableParagraph"/>
              <w:spacing w:before="20" w:line="273" w:lineRule="exact"/>
              <w:ind w:left="112"/>
              <w:rPr>
                <w:sz w:val="24"/>
              </w:rPr>
            </w:pPr>
            <w:r>
              <w:rPr>
                <w:sz w:val="24"/>
              </w:rPr>
              <w:t>11</w:t>
            </w:r>
            <w:r>
              <w:rPr>
                <w:spacing w:val="-1"/>
                <w:sz w:val="24"/>
              </w:rPr>
              <w:t xml:space="preserve"> </w:t>
            </w:r>
            <w:r>
              <w:rPr>
                <w:sz w:val="24"/>
              </w:rPr>
              <w:t>Trend</w:t>
            </w:r>
            <w:r>
              <w:rPr>
                <w:spacing w:val="-1"/>
                <w:sz w:val="24"/>
              </w:rPr>
              <w:t xml:space="preserve"> </w:t>
            </w:r>
            <w:r>
              <w:rPr>
                <w:sz w:val="24"/>
              </w:rPr>
              <w:t>projection</w:t>
            </w:r>
            <w:r>
              <w:rPr>
                <w:spacing w:val="-1"/>
                <w:sz w:val="24"/>
              </w:rPr>
              <w:t xml:space="preserve"> </w:t>
            </w:r>
            <w:r>
              <w:rPr>
                <w:sz w:val="24"/>
              </w:rPr>
              <w:t>factor</w:t>
            </w:r>
            <w:r>
              <w:rPr>
                <w:spacing w:val="-1"/>
                <w:sz w:val="24"/>
              </w:rPr>
              <w:t xml:space="preserve"> </w:t>
            </w:r>
            <w:r>
              <w:rPr>
                <w:spacing w:val="-2"/>
                <w:sz w:val="24"/>
              </w:rPr>
              <w:t>development</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12</w:t>
            </w:r>
            <w:r>
              <w:rPr>
                <w:spacing w:val="-2"/>
                <w:sz w:val="24"/>
              </w:rPr>
              <w:t xml:space="preserve"> </w:t>
            </w:r>
            <w:r>
              <w:rPr>
                <w:sz w:val="24"/>
              </w:rPr>
              <w:t>Manual</w:t>
            </w:r>
            <w:r>
              <w:rPr>
                <w:spacing w:val="-1"/>
                <w:sz w:val="24"/>
              </w:rPr>
              <w:t xml:space="preserve"> </w:t>
            </w:r>
            <w:r>
              <w:rPr>
                <w:sz w:val="24"/>
              </w:rPr>
              <w:t>rate</w:t>
            </w:r>
            <w:r>
              <w:rPr>
                <w:spacing w:val="-1"/>
                <w:sz w:val="24"/>
              </w:rPr>
              <w:t xml:space="preserve"> </w:t>
            </w:r>
            <w:r>
              <w:rPr>
                <w:spacing w:val="-2"/>
                <w:sz w:val="24"/>
              </w:rPr>
              <w:t>development</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13</w:t>
            </w:r>
            <w:r>
              <w:rPr>
                <w:spacing w:val="-2"/>
                <w:sz w:val="24"/>
              </w:rPr>
              <w:t xml:space="preserve"> </w:t>
            </w:r>
            <w:r>
              <w:rPr>
                <w:sz w:val="24"/>
              </w:rPr>
              <w:t>Related-party</w:t>
            </w:r>
            <w:r>
              <w:rPr>
                <w:spacing w:val="-1"/>
                <w:sz w:val="24"/>
              </w:rPr>
              <w:t xml:space="preserve"> </w:t>
            </w:r>
            <w:r>
              <w:rPr>
                <w:spacing w:val="-2"/>
                <w:sz w:val="24"/>
              </w:rPr>
              <w:t>arrangements</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14</w:t>
            </w:r>
            <w:r>
              <w:rPr>
                <w:spacing w:val="-1"/>
                <w:sz w:val="24"/>
              </w:rPr>
              <w:t xml:space="preserve"> </w:t>
            </w:r>
            <w:r>
              <w:rPr>
                <w:sz w:val="24"/>
              </w:rPr>
              <w:t>Input</w:t>
            </w:r>
            <w:r>
              <w:rPr>
                <w:spacing w:val="-1"/>
                <w:sz w:val="24"/>
              </w:rPr>
              <w:t xml:space="preserve"> </w:t>
            </w:r>
            <w:r>
              <w:rPr>
                <w:sz w:val="24"/>
              </w:rPr>
              <w:t>sheet(s)</w:t>
            </w:r>
            <w:r>
              <w:rPr>
                <w:spacing w:val="-1"/>
                <w:sz w:val="24"/>
              </w:rPr>
              <w:t xml:space="preserve"> </w:t>
            </w:r>
            <w:r>
              <w:rPr>
                <w:sz w:val="24"/>
              </w:rPr>
              <w:t>for</w:t>
            </w:r>
            <w:r>
              <w:rPr>
                <w:spacing w:val="-1"/>
                <w:sz w:val="24"/>
              </w:rPr>
              <w:t xml:space="preserve"> </w:t>
            </w:r>
            <w:r>
              <w:rPr>
                <w:sz w:val="24"/>
              </w:rPr>
              <w:t xml:space="preserve">pricing </w:t>
            </w:r>
            <w:r>
              <w:rPr>
                <w:spacing w:val="-2"/>
                <w:sz w:val="24"/>
              </w:rPr>
              <w:t>model</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15</w:t>
            </w:r>
            <w:r>
              <w:rPr>
                <w:spacing w:val="-1"/>
                <w:sz w:val="24"/>
              </w:rPr>
              <w:t xml:space="preserve"> </w:t>
            </w:r>
            <w:r>
              <w:rPr>
                <w:sz w:val="24"/>
              </w:rPr>
              <w:t>Bid</w:t>
            </w:r>
            <w:r>
              <w:rPr>
                <w:spacing w:val="-1"/>
                <w:sz w:val="24"/>
              </w:rPr>
              <w:t xml:space="preserve"> </w:t>
            </w:r>
            <w:r>
              <w:rPr>
                <w:sz w:val="24"/>
              </w:rPr>
              <w:t>audit</w:t>
            </w:r>
            <w:r>
              <w:rPr>
                <w:spacing w:val="-1"/>
                <w:sz w:val="24"/>
              </w:rPr>
              <w:t xml:space="preserve"> </w:t>
            </w:r>
            <w:r>
              <w:rPr>
                <w:sz w:val="24"/>
              </w:rPr>
              <w:t>results</w:t>
            </w:r>
            <w:r>
              <w:rPr>
                <w:spacing w:val="-2"/>
                <w:sz w:val="24"/>
              </w:rPr>
              <w:t xml:space="preserve"> </w:t>
            </w:r>
            <w:r>
              <w:rPr>
                <w:sz w:val="24"/>
              </w:rPr>
              <w:t>and</w:t>
            </w:r>
            <w:r>
              <w:rPr>
                <w:spacing w:val="-1"/>
                <w:sz w:val="24"/>
              </w:rPr>
              <w:t xml:space="preserve"> </w:t>
            </w:r>
            <w:r>
              <w:rPr>
                <w:sz w:val="24"/>
              </w:rPr>
              <w:t>compliance</w:t>
            </w:r>
            <w:r>
              <w:rPr>
                <w:spacing w:val="-1"/>
                <w:sz w:val="24"/>
              </w:rPr>
              <w:t xml:space="preserve"> </w:t>
            </w:r>
            <w:r>
              <w:rPr>
                <w:spacing w:val="-2"/>
                <w:sz w:val="24"/>
              </w:rPr>
              <w:t>issues</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16</w:t>
            </w:r>
            <w:r>
              <w:rPr>
                <w:spacing w:val="-2"/>
                <w:sz w:val="24"/>
              </w:rPr>
              <w:t xml:space="preserve"> </w:t>
            </w:r>
            <w:r>
              <w:rPr>
                <w:sz w:val="24"/>
              </w:rPr>
              <w:t>Reliance</w:t>
            </w:r>
            <w:r>
              <w:rPr>
                <w:spacing w:val="-2"/>
                <w:sz w:val="24"/>
              </w:rPr>
              <w:t xml:space="preserve"> information</w:t>
            </w:r>
          </w:p>
        </w:tc>
      </w:tr>
      <w:tr>
        <w:tblPrEx>
          <w:tblW w:w="0" w:type="auto"/>
          <w:jc w:val="left"/>
          <w:tblInd w:w="116" w:type="dxa"/>
          <w:tblLayout w:type="fixed"/>
          <w:tblCellMar>
            <w:top w:w="0" w:type="dxa"/>
            <w:left w:w="0" w:type="dxa"/>
            <w:bottom w:w="0" w:type="dxa"/>
            <w:right w:w="0" w:type="dxa"/>
          </w:tblCellMar>
          <w:tblLook w:val="01E0"/>
        </w:tblPrEx>
        <w:trPr>
          <w:trHeight w:val="314"/>
          <w:jc w:val="left"/>
        </w:trPr>
        <w:tc>
          <w:tcPr>
            <w:tcW w:w="9443" w:type="dxa"/>
          </w:tcPr>
          <w:p>
            <w:pPr>
              <w:pStyle w:val="TableParagraph"/>
              <w:spacing w:before="20" w:line="273" w:lineRule="exact"/>
              <w:ind w:left="112"/>
              <w:rPr>
                <w:sz w:val="24"/>
              </w:rPr>
            </w:pPr>
            <w:r>
              <w:rPr>
                <w:sz w:val="24"/>
              </w:rPr>
              <w:t>17</w:t>
            </w:r>
            <w:r>
              <w:rPr>
                <w:spacing w:val="-2"/>
                <w:sz w:val="24"/>
              </w:rPr>
              <w:t xml:space="preserve"> </w:t>
            </w:r>
            <w:r>
              <w:rPr>
                <w:sz w:val="24"/>
              </w:rPr>
              <w:t>VBID</w:t>
            </w:r>
            <w:r>
              <w:rPr>
                <w:spacing w:val="-2"/>
                <w:sz w:val="24"/>
              </w:rPr>
              <w:t xml:space="preserve"> Model</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1"/>
              <w:ind w:left="112"/>
              <w:rPr>
                <w:sz w:val="24"/>
              </w:rPr>
            </w:pPr>
            <w:r>
              <w:rPr>
                <w:sz w:val="24"/>
              </w:rPr>
              <w:t>18</w:t>
            </w:r>
            <w:r>
              <w:rPr>
                <w:spacing w:val="-2"/>
                <w:sz w:val="24"/>
              </w:rPr>
              <w:t xml:space="preserve"> </w:t>
            </w:r>
            <w:r>
              <w:rPr>
                <w:sz w:val="24"/>
              </w:rPr>
              <w:t>Induced</w:t>
            </w:r>
            <w:r>
              <w:rPr>
                <w:spacing w:val="-2"/>
                <w:sz w:val="24"/>
              </w:rPr>
              <w:t xml:space="preserve"> </w:t>
            </w:r>
            <w:r>
              <w:rPr>
                <w:sz w:val="24"/>
              </w:rPr>
              <w:t>utilization</w:t>
            </w:r>
            <w:r>
              <w:rPr>
                <w:spacing w:val="-2"/>
                <w:sz w:val="24"/>
              </w:rPr>
              <w:t xml:space="preserve"> </w:t>
            </w:r>
            <w:r>
              <w:rPr>
                <w:sz w:val="24"/>
              </w:rPr>
              <w:t xml:space="preserve">factor </w:t>
            </w:r>
            <w:r>
              <w:rPr>
                <w:spacing w:val="-2"/>
                <w:sz w:val="24"/>
              </w:rPr>
              <w:t>development</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19 –</w:t>
            </w:r>
            <w:r>
              <w:rPr>
                <w:spacing w:val="-1"/>
                <w:sz w:val="24"/>
              </w:rPr>
              <w:t xml:space="preserve"> </w:t>
            </w:r>
            <w:r>
              <w:rPr>
                <w:sz w:val="24"/>
              </w:rPr>
              <w:t xml:space="preserve">33 Not </w:t>
            </w:r>
            <w:r>
              <w:rPr>
                <w:spacing w:val="-2"/>
                <w:sz w:val="24"/>
              </w:rPr>
              <w:t>applicable</w:t>
            </w:r>
          </w:p>
        </w:tc>
      </w:tr>
    </w:tbl>
    <w:p>
      <w:pPr>
        <w:spacing w:after="0"/>
        <w:rPr>
          <w:sz w:val="24"/>
        </w:rPr>
        <w:sectPr>
          <w:pgSz w:w="12240" w:h="15840"/>
          <w:pgMar w:top="1340" w:right="1000" w:bottom="940" w:left="1360" w:header="727" w:footer="747"/>
          <w:cols w:space="720"/>
        </w:sectPr>
      </w:pPr>
    </w:p>
    <w:p>
      <w:pPr>
        <w:pStyle w:val="BodyText"/>
        <w:spacing w:before="9"/>
        <w:ind w:left="0"/>
        <w:rPr>
          <w:rFonts w:ascii="Arial"/>
          <w:b/>
          <w:sz w:val="7"/>
        </w:rPr>
      </w:pPr>
    </w:p>
    <w:tbl>
      <w:tblPr>
        <w:tblStyle w:val="TableNormal"/>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43"/>
      </w:tblGrid>
      <w:tr>
        <w:tblPrEx>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8"/>
          <w:jc w:val="left"/>
        </w:trPr>
        <w:tc>
          <w:tcPr>
            <w:tcW w:w="9443" w:type="dxa"/>
          </w:tcPr>
          <w:p>
            <w:pPr>
              <w:pStyle w:val="TableParagraph"/>
              <w:spacing w:before="19" w:line="239" w:lineRule="exact"/>
              <w:ind w:left="112"/>
              <w:rPr>
                <w:rFonts w:ascii="Arial"/>
                <w:b/>
                <w:sz w:val="21"/>
              </w:rPr>
            </w:pPr>
            <w:r>
              <w:rPr>
                <w:rFonts w:ascii="Arial"/>
                <w:b/>
                <w:sz w:val="21"/>
              </w:rPr>
              <w:t>Upon</w:t>
            </w:r>
            <w:r>
              <w:rPr>
                <w:rFonts w:ascii="Arial"/>
                <w:b/>
                <w:spacing w:val="-6"/>
                <w:sz w:val="21"/>
              </w:rPr>
              <w:t xml:space="preserve"> </w:t>
            </w:r>
            <w:r>
              <w:rPr>
                <w:rFonts w:ascii="Arial"/>
                <w:b/>
                <w:sz w:val="21"/>
              </w:rPr>
              <w:t>Request</w:t>
            </w:r>
            <w:r>
              <w:rPr>
                <w:rFonts w:ascii="Arial"/>
                <w:b/>
                <w:spacing w:val="-5"/>
                <w:sz w:val="21"/>
              </w:rPr>
              <w:t xml:space="preserve"> </w:t>
            </w:r>
            <w:r>
              <w:rPr>
                <w:rFonts w:ascii="Arial"/>
                <w:b/>
                <w:sz w:val="21"/>
              </w:rPr>
              <w:t>by</w:t>
            </w:r>
            <w:r>
              <w:rPr>
                <w:rFonts w:ascii="Arial"/>
                <w:b/>
                <w:spacing w:val="-6"/>
                <w:sz w:val="21"/>
              </w:rPr>
              <w:t xml:space="preserve"> </w:t>
            </w:r>
            <w:r>
              <w:rPr>
                <w:rFonts w:ascii="Arial"/>
                <w:b/>
                <w:sz w:val="21"/>
              </w:rPr>
              <w:t>CMS</w:t>
            </w:r>
            <w:r>
              <w:rPr>
                <w:rFonts w:ascii="Arial"/>
                <w:b/>
                <w:spacing w:val="-4"/>
                <w:sz w:val="21"/>
              </w:rPr>
              <w:t xml:space="preserve"> </w:t>
            </w:r>
            <w:r>
              <w:rPr>
                <w:rFonts w:ascii="Arial"/>
                <w:b/>
                <w:spacing w:val="-2"/>
                <w:sz w:val="21"/>
              </w:rPr>
              <w:t>Reviewers</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34</w:t>
            </w:r>
            <w:r>
              <w:rPr>
                <w:spacing w:val="-1"/>
                <w:sz w:val="24"/>
              </w:rPr>
              <w:t xml:space="preserve"> </w:t>
            </w:r>
            <w:r>
              <w:rPr>
                <w:sz w:val="24"/>
              </w:rPr>
              <w:t>Bid not anti-</w:t>
            </w:r>
            <w:r>
              <w:rPr>
                <w:spacing w:val="-2"/>
                <w:sz w:val="24"/>
              </w:rPr>
              <w:t>competitive</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35</w:t>
            </w:r>
            <w:r>
              <w:rPr>
                <w:spacing w:val="-2"/>
                <w:sz w:val="24"/>
              </w:rPr>
              <w:t xml:space="preserve"> </w:t>
            </w:r>
            <w:r>
              <w:rPr>
                <w:sz w:val="24"/>
              </w:rPr>
              <w:t>Related-party</w:t>
            </w:r>
            <w:r>
              <w:rPr>
                <w:spacing w:val="-1"/>
                <w:sz w:val="24"/>
              </w:rPr>
              <w:t xml:space="preserve"> </w:t>
            </w:r>
            <w:r>
              <w:rPr>
                <w:spacing w:val="-2"/>
                <w:sz w:val="24"/>
              </w:rPr>
              <w:t>contracts</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36</w:t>
            </w:r>
            <w:r>
              <w:rPr>
                <w:spacing w:val="-2"/>
                <w:sz w:val="24"/>
              </w:rPr>
              <w:t xml:space="preserve"> </w:t>
            </w:r>
            <w:r>
              <w:rPr>
                <w:sz w:val="24"/>
              </w:rPr>
              <w:t>Reliance</w:t>
            </w:r>
            <w:r>
              <w:rPr>
                <w:spacing w:val="-2"/>
                <w:sz w:val="24"/>
              </w:rPr>
              <w:t xml:space="preserve"> letter</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37</w:t>
            </w:r>
            <w:r>
              <w:rPr>
                <w:spacing w:val="-1"/>
                <w:sz w:val="24"/>
              </w:rPr>
              <w:t xml:space="preserve"> </w:t>
            </w:r>
            <w:r>
              <w:rPr>
                <w:sz w:val="24"/>
              </w:rPr>
              <w:t>OFM</w:t>
            </w:r>
            <w:r>
              <w:rPr>
                <w:spacing w:val="-1"/>
                <w:sz w:val="24"/>
              </w:rPr>
              <w:t xml:space="preserve"> </w:t>
            </w:r>
            <w:r>
              <w:rPr>
                <w:sz w:val="24"/>
              </w:rPr>
              <w:t>audit</w:t>
            </w:r>
            <w:r>
              <w:rPr>
                <w:spacing w:val="-1"/>
                <w:sz w:val="24"/>
              </w:rPr>
              <w:t xml:space="preserve"> </w:t>
            </w:r>
            <w:r>
              <w:rPr>
                <w:spacing w:val="-2"/>
                <w:sz w:val="24"/>
              </w:rPr>
              <w:t>results</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38</w:t>
            </w:r>
            <w:r>
              <w:rPr>
                <w:spacing w:val="-3"/>
                <w:sz w:val="24"/>
              </w:rPr>
              <w:t xml:space="preserve"> </w:t>
            </w:r>
            <w:r>
              <w:rPr>
                <w:sz w:val="24"/>
              </w:rPr>
              <w:t>Benefit</w:t>
            </w:r>
            <w:r>
              <w:rPr>
                <w:spacing w:val="-1"/>
                <w:sz w:val="24"/>
              </w:rPr>
              <w:t xml:space="preserve"> </w:t>
            </w:r>
            <w:r>
              <w:rPr>
                <w:spacing w:val="-2"/>
                <w:sz w:val="24"/>
              </w:rPr>
              <w:t>value/margin</w:t>
            </w:r>
          </w:p>
        </w:tc>
      </w:tr>
      <w:tr>
        <w:tblPrEx>
          <w:tblW w:w="0" w:type="auto"/>
          <w:jc w:val="left"/>
          <w:tblInd w:w="116" w:type="dxa"/>
          <w:tblLayout w:type="fixed"/>
          <w:tblCellMar>
            <w:top w:w="0" w:type="dxa"/>
            <w:left w:w="0" w:type="dxa"/>
            <w:bottom w:w="0" w:type="dxa"/>
            <w:right w:w="0" w:type="dxa"/>
          </w:tblCellMar>
          <w:tblLook w:val="01E0"/>
        </w:tblPrEx>
        <w:trPr>
          <w:trHeight w:val="314"/>
          <w:jc w:val="left"/>
        </w:trPr>
        <w:tc>
          <w:tcPr>
            <w:tcW w:w="9443" w:type="dxa"/>
          </w:tcPr>
          <w:p>
            <w:pPr>
              <w:pStyle w:val="TableParagraph"/>
              <w:spacing w:before="20" w:line="273" w:lineRule="exact"/>
              <w:ind w:left="112"/>
              <w:rPr>
                <w:sz w:val="24"/>
              </w:rPr>
            </w:pPr>
            <w:r>
              <w:rPr>
                <w:sz w:val="24"/>
              </w:rPr>
              <w:t>39</w:t>
            </w:r>
            <w:r>
              <w:rPr>
                <w:spacing w:val="-1"/>
                <w:sz w:val="24"/>
              </w:rPr>
              <w:t xml:space="preserve"> </w:t>
            </w:r>
            <w:r>
              <w:rPr>
                <w:sz w:val="24"/>
              </w:rPr>
              <w:t>Actual</w:t>
            </w:r>
            <w:r>
              <w:rPr>
                <w:spacing w:val="-1"/>
                <w:sz w:val="24"/>
              </w:rPr>
              <w:t xml:space="preserve"> </w:t>
            </w:r>
            <w:r>
              <w:rPr>
                <w:sz w:val="24"/>
              </w:rPr>
              <w:t xml:space="preserve">to </w:t>
            </w:r>
            <w:r>
              <w:rPr>
                <w:spacing w:val="-2"/>
                <w:sz w:val="24"/>
              </w:rPr>
              <w:t>Projected</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40</w:t>
            </w:r>
            <w:r>
              <w:rPr>
                <w:spacing w:val="-1"/>
                <w:sz w:val="24"/>
              </w:rPr>
              <w:t xml:space="preserve"> </w:t>
            </w:r>
            <w:r>
              <w:rPr>
                <w:sz w:val="24"/>
              </w:rPr>
              <w:t>MA-PD</w:t>
            </w:r>
            <w:r>
              <w:rPr>
                <w:spacing w:val="-1"/>
                <w:sz w:val="24"/>
              </w:rPr>
              <w:t xml:space="preserve"> </w:t>
            </w:r>
            <w:r>
              <w:rPr>
                <w:spacing w:val="-2"/>
                <w:sz w:val="24"/>
              </w:rPr>
              <w:t>enrollment</w:t>
            </w:r>
          </w:p>
        </w:tc>
      </w:tr>
      <w:tr>
        <w:tblPrEx>
          <w:tblW w:w="0" w:type="auto"/>
          <w:jc w:val="left"/>
          <w:tblInd w:w="116" w:type="dxa"/>
          <w:tblLayout w:type="fixed"/>
          <w:tblCellMar>
            <w:top w:w="0" w:type="dxa"/>
            <w:left w:w="0" w:type="dxa"/>
            <w:bottom w:w="0" w:type="dxa"/>
            <w:right w:w="0" w:type="dxa"/>
          </w:tblCellMar>
          <w:tblLook w:val="01E0"/>
        </w:tblPrEx>
        <w:trPr>
          <w:trHeight w:val="316"/>
          <w:jc w:val="left"/>
        </w:trPr>
        <w:tc>
          <w:tcPr>
            <w:tcW w:w="9443" w:type="dxa"/>
          </w:tcPr>
          <w:p>
            <w:pPr>
              <w:pStyle w:val="TableParagraph"/>
              <w:spacing w:before="20"/>
              <w:ind w:left="112"/>
              <w:rPr>
                <w:sz w:val="24"/>
              </w:rPr>
            </w:pPr>
            <w:r>
              <w:rPr>
                <w:sz w:val="24"/>
              </w:rPr>
              <w:t>41</w:t>
            </w:r>
            <w:r>
              <w:rPr>
                <w:spacing w:val="-1"/>
                <w:sz w:val="24"/>
              </w:rPr>
              <w:t xml:space="preserve"> </w:t>
            </w:r>
            <w:r>
              <w:rPr>
                <w:sz w:val="24"/>
              </w:rPr>
              <w:t>Claims subject</w:t>
            </w:r>
            <w:r>
              <w:rPr>
                <w:spacing w:val="-1"/>
                <w:sz w:val="24"/>
              </w:rPr>
              <w:t xml:space="preserve"> </w:t>
            </w:r>
            <w:r>
              <w:rPr>
                <w:sz w:val="24"/>
              </w:rPr>
              <w:t>to</w:t>
            </w:r>
            <w:r>
              <w:rPr>
                <w:spacing w:val="1"/>
                <w:sz w:val="24"/>
              </w:rPr>
              <w:t xml:space="preserve"> </w:t>
            </w:r>
            <w:r>
              <w:rPr>
                <w:spacing w:val="-2"/>
                <w:sz w:val="24"/>
              </w:rPr>
              <w:t>deductible</w:t>
            </w:r>
          </w:p>
        </w:tc>
      </w:tr>
    </w:tbl>
    <w:p>
      <w:pPr>
        <w:spacing w:after="0"/>
        <w:rPr>
          <w:sz w:val="24"/>
        </w:rPr>
        <w:sectPr>
          <w:pgSz w:w="12240" w:h="15840"/>
          <w:pgMar w:top="1340" w:right="1000" w:bottom="940" w:left="1360" w:header="727" w:footer="747"/>
          <w:cols w:space="720"/>
        </w:sectPr>
      </w:pPr>
    </w:p>
    <w:p>
      <w:pPr>
        <w:pStyle w:val="Heading2"/>
        <w:spacing w:before="88"/>
        <w:ind w:left="224"/>
      </w:pPr>
      <w:bookmarkStart w:id="290" w:name="Sample Supporting Documentation"/>
      <w:bookmarkEnd w:id="290"/>
      <w:bookmarkStart w:id="291" w:name="_bookmark85"/>
      <w:bookmarkEnd w:id="291"/>
      <w:r>
        <w:rPr>
          <w:smallCaps/>
        </w:rPr>
        <w:t>Sample</w:t>
      </w:r>
      <w:r>
        <w:rPr>
          <w:smallCaps/>
          <w:spacing w:val="-11"/>
        </w:rPr>
        <w:t xml:space="preserve"> </w:t>
      </w:r>
      <w:r>
        <w:rPr>
          <w:smallCaps/>
        </w:rPr>
        <w:t>Supporting</w:t>
      </w:r>
      <w:r>
        <w:rPr>
          <w:smallCaps/>
          <w:spacing w:val="-11"/>
        </w:rPr>
        <w:t xml:space="preserve"> </w:t>
      </w:r>
      <w:r>
        <w:rPr>
          <w:smallCaps/>
          <w:spacing w:val="-2"/>
        </w:rPr>
        <w:t>Documentation</w:t>
      </w:r>
    </w:p>
    <w:p>
      <w:pPr>
        <w:spacing w:before="240"/>
        <w:ind w:left="224" w:right="0" w:firstLine="0"/>
        <w:jc w:val="left"/>
        <w:rPr>
          <w:rFonts w:ascii="Arial"/>
          <w:b/>
          <w:sz w:val="21"/>
        </w:rPr>
      </w:pPr>
      <w:bookmarkStart w:id="292" w:name="SAMPLE PD Cover Sheets"/>
      <w:bookmarkEnd w:id="292"/>
      <w:r>
        <w:rPr>
          <w:rFonts w:ascii="Arial"/>
          <w:b/>
          <w:sz w:val="21"/>
        </w:rPr>
        <w:t>SAMPLE</w:t>
      </w:r>
      <w:r>
        <w:rPr>
          <w:rFonts w:ascii="Arial"/>
          <w:b/>
          <w:spacing w:val="-6"/>
          <w:sz w:val="21"/>
        </w:rPr>
        <w:t xml:space="preserve"> </w:t>
      </w:r>
      <w:r>
        <w:rPr>
          <w:rFonts w:ascii="Arial"/>
          <w:b/>
          <w:sz w:val="21"/>
        </w:rPr>
        <w:t>PD</w:t>
      </w:r>
      <w:r>
        <w:rPr>
          <w:rFonts w:ascii="Arial"/>
          <w:b/>
          <w:spacing w:val="-5"/>
          <w:sz w:val="21"/>
        </w:rPr>
        <w:t xml:space="preserve"> </w:t>
      </w:r>
      <w:r>
        <w:rPr>
          <w:rFonts w:ascii="Arial"/>
          <w:b/>
          <w:sz w:val="21"/>
        </w:rPr>
        <w:t>Cover</w:t>
      </w:r>
      <w:r>
        <w:rPr>
          <w:rFonts w:ascii="Arial"/>
          <w:b/>
          <w:spacing w:val="-5"/>
          <w:sz w:val="21"/>
        </w:rPr>
        <w:t xml:space="preserve"> </w:t>
      </w:r>
      <w:r>
        <w:rPr>
          <w:rFonts w:ascii="Arial"/>
          <w:b/>
          <w:spacing w:val="-2"/>
          <w:sz w:val="21"/>
        </w:rPr>
        <w:t>Sheets</w:t>
      </w:r>
    </w:p>
    <w:p>
      <w:pPr>
        <w:spacing w:before="239"/>
        <w:ind w:left="64" w:right="277" w:firstLine="0"/>
        <w:jc w:val="center"/>
        <w:rPr>
          <w:rFonts w:ascii="Arial"/>
          <w:b/>
          <w:sz w:val="21"/>
        </w:rPr>
      </w:pPr>
      <w:bookmarkStart w:id="293" w:name="Part D Cover Sheet #1 - CY2026 Initial B"/>
      <w:bookmarkEnd w:id="293"/>
      <w:r>
        <w:rPr>
          <w:rFonts w:ascii="Arial"/>
          <w:b/>
          <w:sz w:val="21"/>
        </w:rPr>
        <w:t>Part</w:t>
      </w:r>
      <w:r>
        <w:rPr>
          <w:rFonts w:ascii="Arial"/>
          <w:b/>
          <w:spacing w:val="-5"/>
          <w:sz w:val="21"/>
        </w:rPr>
        <w:t xml:space="preserve"> </w:t>
      </w:r>
      <w:r>
        <w:rPr>
          <w:rFonts w:ascii="Arial"/>
          <w:b/>
          <w:sz w:val="21"/>
        </w:rPr>
        <w:t>D</w:t>
      </w:r>
      <w:r>
        <w:rPr>
          <w:rFonts w:ascii="Arial"/>
          <w:b/>
          <w:spacing w:val="-4"/>
          <w:sz w:val="21"/>
        </w:rPr>
        <w:t xml:space="preserve"> </w:t>
      </w:r>
      <w:r>
        <w:rPr>
          <w:rFonts w:ascii="Arial"/>
          <w:b/>
          <w:sz w:val="21"/>
        </w:rPr>
        <w:t>Cover</w:t>
      </w:r>
      <w:r>
        <w:rPr>
          <w:rFonts w:ascii="Arial"/>
          <w:b/>
          <w:spacing w:val="-4"/>
          <w:sz w:val="21"/>
        </w:rPr>
        <w:t xml:space="preserve"> </w:t>
      </w:r>
      <w:r>
        <w:rPr>
          <w:rFonts w:ascii="Arial"/>
          <w:b/>
          <w:sz w:val="21"/>
        </w:rPr>
        <w:t>Sheet</w:t>
      </w:r>
      <w:r>
        <w:rPr>
          <w:rFonts w:ascii="Arial"/>
          <w:b/>
          <w:spacing w:val="-3"/>
          <w:sz w:val="21"/>
        </w:rPr>
        <w:t xml:space="preserve"> </w:t>
      </w:r>
      <w:r>
        <w:rPr>
          <w:rFonts w:ascii="Arial"/>
          <w:b/>
          <w:sz w:val="21"/>
        </w:rPr>
        <w:t>#1</w:t>
      </w:r>
      <w:r>
        <w:rPr>
          <w:rFonts w:ascii="Arial"/>
          <w:b/>
          <w:spacing w:val="-4"/>
          <w:sz w:val="21"/>
        </w:rPr>
        <w:t xml:space="preserve"> </w:t>
      </w:r>
      <w:r>
        <w:rPr>
          <w:rFonts w:ascii="Arial"/>
          <w:b/>
          <w:sz w:val="21"/>
        </w:rPr>
        <w:t>-</w:t>
      </w:r>
      <w:r>
        <w:rPr>
          <w:rFonts w:ascii="Arial"/>
          <w:b/>
          <w:spacing w:val="-4"/>
          <w:sz w:val="21"/>
        </w:rPr>
        <w:t xml:space="preserve"> </w:t>
      </w:r>
      <w:r>
        <w:rPr>
          <w:rFonts w:ascii="Arial"/>
          <w:b/>
          <w:sz w:val="21"/>
        </w:rPr>
        <w:t>CY2026</w:t>
      </w:r>
      <w:r>
        <w:rPr>
          <w:rFonts w:ascii="Arial"/>
          <w:b/>
          <w:spacing w:val="-4"/>
          <w:sz w:val="21"/>
        </w:rPr>
        <w:t xml:space="preserve"> </w:t>
      </w:r>
      <w:r>
        <w:rPr>
          <w:rFonts w:ascii="Arial"/>
          <w:b/>
          <w:sz w:val="21"/>
        </w:rPr>
        <w:t>Initial</w:t>
      </w:r>
      <w:r>
        <w:rPr>
          <w:rFonts w:ascii="Arial"/>
          <w:b/>
          <w:spacing w:val="-4"/>
          <w:sz w:val="21"/>
        </w:rPr>
        <w:t xml:space="preserve"> </w:t>
      </w:r>
      <w:r>
        <w:rPr>
          <w:rFonts w:ascii="Arial"/>
          <w:b/>
          <w:sz w:val="21"/>
        </w:rPr>
        <w:t>Bid</w:t>
      </w:r>
      <w:r>
        <w:rPr>
          <w:rFonts w:ascii="Arial"/>
          <w:b/>
          <w:spacing w:val="-2"/>
          <w:sz w:val="21"/>
        </w:rPr>
        <w:t xml:space="preserve"> Submission</w:t>
      </w:r>
    </w:p>
    <w:p>
      <w:pPr>
        <w:spacing w:before="120" w:after="5" w:line="343" w:lineRule="auto"/>
        <w:ind w:left="224" w:right="5388" w:firstLine="0"/>
        <w:jc w:val="left"/>
        <w:rPr>
          <w:sz w:val="24"/>
        </w:rPr>
      </w:pPr>
      <w:r>
        <w:rPr>
          <w:b/>
          <w:sz w:val="24"/>
        </w:rPr>
        <w:t>Organization Name</w:t>
      </w:r>
      <w:r>
        <w:rPr>
          <w:sz w:val="24"/>
        </w:rPr>
        <w:t xml:space="preserve">: Health One </w:t>
      </w:r>
      <w:r>
        <w:rPr>
          <w:b/>
          <w:sz w:val="24"/>
        </w:rPr>
        <w:t>Contract(s):</w:t>
      </w:r>
      <w:r>
        <w:rPr>
          <w:b/>
          <w:spacing w:val="-10"/>
          <w:sz w:val="24"/>
        </w:rPr>
        <w:t xml:space="preserve"> </w:t>
      </w:r>
      <w:r>
        <w:rPr>
          <w:sz w:val="24"/>
        </w:rPr>
        <w:t>Hxxxx,</w:t>
      </w:r>
      <w:r>
        <w:rPr>
          <w:spacing w:val="-8"/>
          <w:sz w:val="24"/>
        </w:rPr>
        <w:t xml:space="preserve"> </w:t>
      </w:r>
      <w:r>
        <w:rPr>
          <w:sz w:val="24"/>
        </w:rPr>
        <w:t>Hyyyy</w:t>
      </w:r>
      <w:r>
        <w:rPr>
          <w:spacing w:val="-10"/>
          <w:sz w:val="24"/>
        </w:rPr>
        <w:t xml:space="preserve"> </w:t>
      </w:r>
      <w:r>
        <w:rPr>
          <w:sz w:val="24"/>
        </w:rPr>
        <w:t>and</w:t>
      </w:r>
      <w:r>
        <w:rPr>
          <w:spacing w:val="-10"/>
          <w:sz w:val="24"/>
        </w:rPr>
        <w:t xml:space="preserve"> </w:t>
      </w:r>
      <w:r>
        <w:rPr>
          <w:sz w:val="24"/>
        </w:rPr>
        <w:t xml:space="preserve">Szzzz </w:t>
      </w:r>
      <w:r>
        <w:rPr>
          <w:b/>
          <w:sz w:val="24"/>
        </w:rPr>
        <w:t xml:space="preserve">Date: </w:t>
      </w:r>
      <w:r>
        <w:rPr>
          <w:sz w:val="24"/>
        </w:rPr>
        <w:t>June 2, 2025</w:t>
      </w:r>
    </w:p>
    <w:tbl>
      <w:tblPr>
        <w:tblStyle w:val="TableNormal"/>
        <w:tblW w:w="0" w:type="auto"/>
        <w:jc w:val="lef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1630"/>
        <w:gridCol w:w="2381"/>
        <w:gridCol w:w="1508"/>
        <w:gridCol w:w="1733"/>
      </w:tblGrid>
      <w:tr>
        <w:tblPrEx>
          <w:tblW w:w="0" w:type="auto"/>
          <w:jc w:val="lef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031"/>
          <w:jc w:val="left"/>
        </w:trPr>
        <w:tc>
          <w:tcPr>
            <w:tcW w:w="2088" w:type="dxa"/>
          </w:tcPr>
          <w:p>
            <w:pPr>
              <w:pStyle w:val="TableParagraph"/>
              <w:spacing w:before="251"/>
              <w:ind w:left="0"/>
              <w:rPr>
                <w:sz w:val="22"/>
              </w:rPr>
            </w:pPr>
          </w:p>
          <w:p>
            <w:pPr>
              <w:pStyle w:val="TableParagraph"/>
              <w:spacing w:before="1" w:line="250" w:lineRule="atLeast"/>
              <w:ind w:left="426" w:hanging="106"/>
              <w:rPr>
                <w:b/>
                <w:sz w:val="22"/>
              </w:rPr>
            </w:pPr>
            <w:r>
              <w:rPr>
                <w:b/>
                <w:spacing w:val="-2"/>
                <w:sz w:val="22"/>
              </w:rPr>
              <w:t>Documentation Requirement</w:t>
            </w:r>
          </w:p>
        </w:tc>
        <w:tc>
          <w:tcPr>
            <w:tcW w:w="1630" w:type="dxa"/>
          </w:tcPr>
          <w:p>
            <w:pPr>
              <w:pStyle w:val="TableParagraph"/>
              <w:spacing w:before="251"/>
              <w:ind w:left="0"/>
              <w:rPr>
                <w:sz w:val="22"/>
              </w:rPr>
            </w:pPr>
          </w:p>
          <w:p>
            <w:pPr>
              <w:pStyle w:val="TableParagraph"/>
              <w:spacing w:before="1" w:line="250" w:lineRule="atLeast"/>
              <w:ind w:left="185" w:firstLine="261"/>
              <w:rPr>
                <w:b/>
                <w:sz w:val="22"/>
              </w:rPr>
            </w:pPr>
            <w:r>
              <w:rPr>
                <w:b/>
                <w:spacing w:val="-2"/>
                <w:sz w:val="22"/>
              </w:rPr>
              <w:t xml:space="preserve">Specific </w:t>
            </w:r>
            <w:r>
              <w:rPr>
                <w:b/>
                <w:sz w:val="22"/>
              </w:rPr>
              <w:t>Bid(s)</w:t>
            </w:r>
            <w:r>
              <w:rPr>
                <w:b/>
                <w:spacing w:val="-14"/>
                <w:sz w:val="22"/>
              </w:rPr>
              <w:t xml:space="preserve"> </w:t>
            </w:r>
            <w:r>
              <w:rPr>
                <w:b/>
                <w:sz w:val="22"/>
              </w:rPr>
              <w:t>or</w:t>
            </w:r>
            <w:r>
              <w:rPr>
                <w:b/>
                <w:spacing w:val="-14"/>
                <w:sz w:val="22"/>
              </w:rPr>
              <w:t xml:space="preserve"> </w:t>
            </w:r>
            <w:r>
              <w:rPr>
                <w:b/>
                <w:sz w:val="22"/>
              </w:rPr>
              <w:t>N/A</w:t>
            </w:r>
          </w:p>
        </w:tc>
        <w:tc>
          <w:tcPr>
            <w:tcW w:w="2381" w:type="dxa"/>
          </w:tcPr>
          <w:p>
            <w:pPr>
              <w:pStyle w:val="TableParagraph"/>
              <w:ind w:left="0"/>
              <w:rPr>
                <w:sz w:val="22"/>
              </w:rPr>
            </w:pPr>
          </w:p>
          <w:p>
            <w:pPr>
              <w:pStyle w:val="TableParagraph"/>
              <w:ind w:left="0"/>
              <w:rPr>
                <w:sz w:val="22"/>
              </w:rPr>
            </w:pPr>
          </w:p>
          <w:p>
            <w:pPr>
              <w:pStyle w:val="TableParagraph"/>
              <w:ind w:left="0"/>
              <w:rPr>
                <w:sz w:val="22"/>
              </w:rPr>
            </w:pPr>
          </w:p>
          <w:p>
            <w:pPr>
              <w:pStyle w:val="TableParagraph"/>
              <w:spacing w:line="252" w:lineRule="exact"/>
              <w:ind w:left="710"/>
              <w:rPr>
                <w:b/>
                <w:sz w:val="22"/>
              </w:rPr>
            </w:pPr>
            <w:r>
              <w:rPr>
                <w:b/>
                <w:sz w:val="22"/>
              </w:rPr>
              <w:t>File</w:t>
            </w:r>
            <w:r>
              <w:rPr>
                <w:b/>
                <w:spacing w:val="1"/>
                <w:sz w:val="22"/>
              </w:rPr>
              <w:t xml:space="preserve"> </w:t>
            </w:r>
            <w:r>
              <w:rPr>
                <w:b/>
                <w:spacing w:val="-4"/>
                <w:sz w:val="22"/>
              </w:rPr>
              <w:t>Name</w:t>
            </w:r>
          </w:p>
        </w:tc>
        <w:tc>
          <w:tcPr>
            <w:tcW w:w="1508" w:type="dxa"/>
          </w:tcPr>
          <w:p>
            <w:pPr>
              <w:pStyle w:val="TableParagraph"/>
              <w:ind w:left="232" w:right="222" w:hanging="2"/>
              <w:jc w:val="center"/>
              <w:rPr>
                <w:b/>
                <w:sz w:val="22"/>
              </w:rPr>
            </w:pPr>
            <w:r>
              <w:rPr>
                <w:b/>
                <w:spacing w:val="-2"/>
                <w:sz w:val="22"/>
              </w:rPr>
              <w:t xml:space="preserve">Location </w:t>
            </w:r>
            <w:r>
              <w:rPr>
                <w:b/>
                <w:sz w:val="22"/>
              </w:rPr>
              <w:t>within</w:t>
            </w:r>
            <w:r>
              <w:rPr>
                <w:b/>
                <w:spacing w:val="-5"/>
                <w:sz w:val="22"/>
              </w:rPr>
              <w:t xml:space="preserve"> </w:t>
            </w:r>
            <w:r>
              <w:rPr>
                <w:b/>
                <w:sz w:val="22"/>
              </w:rPr>
              <w:t xml:space="preserve">File </w:t>
            </w:r>
            <w:r>
              <w:rPr>
                <w:b/>
                <w:spacing w:val="-4"/>
                <w:sz w:val="22"/>
              </w:rPr>
              <w:t xml:space="preserve">(if </w:t>
            </w:r>
            <w:r>
              <w:rPr>
                <w:b/>
                <w:spacing w:val="-2"/>
                <w:sz w:val="22"/>
              </w:rPr>
              <w:t>applicable)</w:t>
            </w:r>
          </w:p>
        </w:tc>
        <w:tc>
          <w:tcPr>
            <w:tcW w:w="1733" w:type="dxa"/>
          </w:tcPr>
          <w:p>
            <w:pPr>
              <w:pStyle w:val="TableParagraph"/>
              <w:spacing w:before="251"/>
              <w:ind w:left="0"/>
              <w:rPr>
                <w:sz w:val="22"/>
              </w:rPr>
            </w:pPr>
          </w:p>
          <w:p>
            <w:pPr>
              <w:pStyle w:val="TableParagraph"/>
              <w:spacing w:before="1" w:line="250" w:lineRule="atLeast"/>
              <w:ind w:left="136" w:hanging="22"/>
              <w:rPr>
                <w:b/>
                <w:sz w:val="22"/>
              </w:rPr>
            </w:pPr>
            <w:r>
              <w:rPr>
                <w:b/>
                <w:sz w:val="22"/>
              </w:rPr>
              <w:t>Applies</w:t>
            </w:r>
            <w:r>
              <w:rPr>
                <w:b/>
                <w:spacing w:val="-14"/>
                <w:sz w:val="22"/>
              </w:rPr>
              <w:t xml:space="preserve"> </w:t>
            </w:r>
            <w:r>
              <w:rPr>
                <w:b/>
                <w:sz w:val="22"/>
              </w:rPr>
              <w:t>to:</w:t>
            </w:r>
            <w:r>
              <w:rPr>
                <w:b/>
                <w:spacing w:val="-14"/>
                <w:sz w:val="22"/>
              </w:rPr>
              <w:t xml:space="preserve"> </w:t>
            </w:r>
            <w:r>
              <w:rPr>
                <w:b/>
                <w:sz w:val="22"/>
              </w:rPr>
              <w:t>MA, Part D,</w:t>
            </w:r>
            <w:r>
              <w:rPr>
                <w:b/>
                <w:spacing w:val="-1"/>
                <w:sz w:val="22"/>
              </w:rPr>
              <w:t xml:space="preserve"> </w:t>
            </w:r>
            <w:r>
              <w:rPr>
                <w:b/>
                <w:sz w:val="22"/>
              </w:rPr>
              <w:t>or</w:t>
            </w:r>
            <w:r>
              <w:rPr>
                <w:b/>
                <w:spacing w:val="-2"/>
                <w:sz w:val="22"/>
              </w:rPr>
              <w:t xml:space="preserve"> </w:t>
            </w:r>
            <w:r>
              <w:rPr>
                <w:b/>
                <w:spacing w:val="-4"/>
                <w:sz w:val="22"/>
              </w:rPr>
              <w:t>Both</w:t>
            </w:r>
          </w:p>
        </w:tc>
      </w:tr>
      <w:tr>
        <w:tblPrEx>
          <w:tblW w:w="0" w:type="auto"/>
          <w:jc w:val="left"/>
          <w:tblInd w:w="342" w:type="dxa"/>
          <w:tblLayout w:type="fixed"/>
          <w:tblCellMar>
            <w:top w:w="0" w:type="dxa"/>
            <w:left w:w="0" w:type="dxa"/>
            <w:bottom w:w="0" w:type="dxa"/>
            <w:right w:w="0" w:type="dxa"/>
          </w:tblCellMar>
          <w:tblLook w:val="01E0"/>
        </w:tblPrEx>
        <w:trPr>
          <w:trHeight w:val="252"/>
          <w:jc w:val="left"/>
        </w:trPr>
        <w:tc>
          <w:tcPr>
            <w:tcW w:w="2088" w:type="dxa"/>
          </w:tcPr>
          <w:p>
            <w:pPr>
              <w:pStyle w:val="TableParagraph"/>
              <w:spacing w:line="232" w:lineRule="exact"/>
              <w:rPr>
                <w:sz w:val="22"/>
              </w:rPr>
            </w:pPr>
            <w:r>
              <w:rPr>
                <w:sz w:val="22"/>
              </w:rPr>
              <w:t>1</w:t>
            </w:r>
            <w:r>
              <w:rPr>
                <w:spacing w:val="-1"/>
                <w:sz w:val="22"/>
              </w:rPr>
              <w:t xml:space="preserve"> </w:t>
            </w:r>
            <w:r>
              <w:rPr>
                <w:sz w:val="22"/>
              </w:rPr>
              <w:t>Cover</w:t>
            </w:r>
            <w:r>
              <w:rPr>
                <w:spacing w:val="-1"/>
                <w:sz w:val="22"/>
              </w:rPr>
              <w:t xml:space="preserve"> </w:t>
            </w:r>
            <w:r>
              <w:rPr>
                <w:spacing w:val="-2"/>
                <w:sz w:val="22"/>
              </w:rPr>
              <w:t>sheet</w:t>
            </w:r>
          </w:p>
        </w:tc>
        <w:tc>
          <w:tcPr>
            <w:tcW w:w="1630" w:type="dxa"/>
          </w:tcPr>
          <w:p>
            <w:pPr>
              <w:pStyle w:val="TableParagraph"/>
              <w:spacing w:line="232" w:lineRule="exact"/>
              <w:rPr>
                <w:sz w:val="22"/>
              </w:rPr>
            </w:pPr>
            <w:r>
              <w:rPr>
                <w:sz w:val="22"/>
              </w:rPr>
              <w:t>All</w:t>
            </w:r>
            <w:r>
              <w:rPr>
                <w:spacing w:val="-1"/>
                <w:sz w:val="22"/>
              </w:rPr>
              <w:t xml:space="preserve"> </w:t>
            </w:r>
            <w:r>
              <w:rPr>
                <w:spacing w:val="-4"/>
                <w:sz w:val="22"/>
              </w:rPr>
              <w:t>bids</w:t>
            </w:r>
          </w:p>
        </w:tc>
        <w:tc>
          <w:tcPr>
            <w:tcW w:w="2381" w:type="dxa"/>
          </w:tcPr>
          <w:p>
            <w:pPr>
              <w:pStyle w:val="TableParagraph"/>
              <w:spacing w:line="232" w:lineRule="exact"/>
              <w:rPr>
                <w:sz w:val="22"/>
              </w:rPr>
            </w:pPr>
            <w:r>
              <w:rPr>
                <w:sz w:val="22"/>
              </w:rPr>
              <w:t>Cover</w:t>
            </w:r>
            <w:r>
              <w:rPr>
                <w:spacing w:val="-4"/>
                <w:sz w:val="22"/>
              </w:rPr>
              <w:t xml:space="preserve"> </w:t>
            </w:r>
            <w:r>
              <w:rPr>
                <w:sz w:val="22"/>
              </w:rPr>
              <w:t>Sheet</w:t>
            </w:r>
            <w:r>
              <w:rPr>
                <w:spacing w:val="-4"/>
                <w:sz w:val="22"/>
              </w:rPr>
              <w:t xml:space="preserve"> </w:t>
            </w:r>
            <w:r>
              <w:rPr>
                <w:sz w:val="22"/>
              </w:rPr>
              <w:t>6-2-</w:t>
            </w:r>
            <w:r>
              <w:rPr>
                <w:spacing w:val="-2"/>
                <w:sz w:val="22"/>
              </w:rPr>
              <w:t>25.pdf</w:t>
            </w:r>
          </w:p>
        </w:tc>
        <w:tc>
          <w:tcPr>
            <w:tcW w:w="1508" w:type="dxa"/>
          </w:tcPr>
          <w:p>
            <w:pPr>
              <w:pStyle w:val="TableParagraph"/>
              <w:spacing w:line="232" w:lineRule="exact"/>
              <w:ind w:left="108"/>
              <w:rPr>
                <w:sz w:val="22"/>
              </w:rPr>
            </w:pPr>
            <w:r>
              <w:rPr>
                <w:sz w:val="22"/>
              </w:rPr>
              <w:t xml:space="preserve">Page </w:t>
            </w:r>
            <w:r>
              <w:rPr>
                <w:spacing w:val="-10"/>
                <w:sz w:val="22"/>
              </w:rPr>
              <w:t>1</w:t>
            </w:r>
          </w:p>
        </w:tc>
        <w:tc>
          <w:tcPr>
            <w:tcW w:w="1733" w:type="dxa"/>
          </w:tcPr>
          <w:p>
            <w:pPr>
              <w:pStyle w:val="TableParagraph"/>
              <w:spacing w:line="232" w:lineRule="exact"/>
              <w:rPr>
                <w:sz w:val="22"/>
              </w:rPr>
            </w:pPr>
            <w:r>
              <w:rPr>
                <w:spacing w:val="-4"/>
                <w:sz w:val="22"/>
              </w:rPr>
              <w:t>both</w:t>
            </w:r>
          </w:p>
        </w:tc>
      </w:tr>
      <w:tr>
        <w:tblPrEx>
          <w:tblW w:w="0" w:type="auto"/>
          <w:jc w:val="left"/>
          <w:tblInd w:w="342" w:type="dxa"/>
          <w:tblLayout w:type="fixed"/>
          <w:tblCellMar>
            <w:top w:w="0" w:type="dxa"/>
            <w:left w:w="0" w:type="dxa"/>
            <w:bottom w:w="0" w:type="dxa"/>
            <w:right w:w="0" w:type="dxa"/>
          </w:tblCellMar>
          <w:tblLook w:val="01E0"/>
        </w:tblPrEx>
        <w:trPr>
          <w:trHeight w:val="254"/>
          <w:jc w:val="left"/>
        </w:trPr>
        <w:tc>
          <w:tcPr>
            <w:tcW w:w="2088" w:type="dxa"/>
          </w:tcPr>
          <w:p>
            <w:pPr>
              <w:pStyle w:val="TableParagraph"/>
              <w:spacing w:before="1" w:line="233" w:lineRule="exact"/>
              <w:rPr>
                <w:sz w:val="22"/>
              </w:rPr>
            </w:pPr>
            <w:r>
              <w:rPr>
                <w:sz w:val="22"/>
              </w:rPr>
              <w:t>2</w:t>
            </w:r>
            <w:r>
              <w:rPr>
                <w:spacing w:val="-1"/>
                <w:sz w:val="22"/>
              </w:rPr>
              <w:t xml:space="preserve"> </w:t>
            </w:r>
            <w:r>
              <w:rPr>
                <w:sz w:val="22"/>
              </w:rPr>
              <w:t xml:space="preserve">Product </w:t>
            </w:r>
            <w:r>
              <w:rPr>
                <w:spacing w:val="-2"/>
                <w:sz w:val="22"/>
              </w:rPr>
              <w:t>narrative</w:t>
            </w:r>
          </w:p>
        </w:tc>
        <w:tc>
          <w:tcPr>
            <w:tcW w:w="1630" w:type="dxa"/>
          </w:tcPr>
          <w:p>
            <w:pPr>
              <w:pStyle w:val="TableParagraph"/>
              <w:spacing w:before="1" w:line="233" w:lineRule="exact"/>
              <w:rPr>
                <w:sz w:val="22"/>
              </w:rPr>
            </w:pPr>
            <w:r>
              <w:rPr>
                <w:sz w:val="22"/>
              </w:rPr>
              <w:t>All</w:t>
            </w:r>
            <w:r>
              <w:rPr>
                <w:spacing w:val="-1"/>
                <w:sz w:val="22"/>
              </w:rPr>
              <w:t xml:space="preserve"> </w:t>
            </w:r>
            <w:r>
              <w:rPr>
                <w:spacing w:val="-4"/>
                <w:sz w:val="22"/>
              </w:rPr>
              <w:t>bids</w:t>
            </w:r>
          </w:p>
        </w:tc>
        <w:tc>
          <w:tcPr>
            <w:tcW w:w="2381" w:type="dxa"/>
          </w:tcPr>
          <w:p>
            <w:pPr>
              <w:pStyle w:val="TableParagraph"/>
              <w:spacing w:before="1" w:line="233" w:lineRule="exact"/>
              <w:rPr>
                <w:sz w:val="22"/>
              </w:rPr>
            </w:pPr>
            <w:r>
              <w:rPr>
                <w:sz w:val="22"/>
              </w:rPr>
              <w:t>Cover</w:t>
            </w:r>
            <w:r>
              <w:rPr>
                <w:spacing w:val="-4"/>
                <w:sz w:val="22"/>
              </w:rPr>
              <w:t xml:space="preserve"> </w:t>
            </w:r>
            <w:r>
              <w:rPr>
                <w:sz w:val="22"/>
              </w:rPr>
              <w:t>Sheet</w:t>
            </w:r>
            <w:r>
              <w:rPr>
                <w:spacing w:val="-4"/>
                <w:sz w:val="22"/>
              </w:rPr>
              <w:t xml:space="preserve"> </w:t>
            </w:r>
            <w:r>
              <w:rPr>
                <w:sz w:val="22"/>
              </w:rPr>
              <w:t>6-2-</w:t>
            </w:r>
            <w:r>
              <w:rPr>
                <w:spacing w:val="-2"/>
                <w:sz w:val="22"/>
              </w:rPr>
              <w:t>25.pdf</w:t>
            </w:r>
          </w:p>
        </w:tc>
        <w:tc>
          <w:tcPr>
            <w:tcW w:w="1508" w:type="dxa"/>
          </w:tcPr>
          <w:p>
            <w:pPr>
              <w:pStyle w:val="TableParagraph"/>
              <w:spacing w:before="1" w:line="233" w:lineRule="exact"/>
              <w:ind w:left="108"/>
              <w:rPr>
                <w:sz w:val="22"/>
              </w:rPr>
            </w:pPr>
            <w:r>
              <w:rPr>
                <w:sz w:val="22"/>
              </w:rPr>
              <w:t>Pages</w:t>
            </w:r>
            <w:r>
              <w:rPr>
                <w:spacing w:val="-2"/>
                <w:sz w:val="22"/>
              </w:rPr>
              <w:t xml:space="preserve"> </w:t>
            </w:r>
            <w:r>
              <w:rPr>
                <w:sz w:val="22"/>
              </w:rPr>
              <w:t>2-</w:t>
            </w:r>
            <w:r>
              <w:rPr>
                <w:spacing w:val="-10"/>
                <w:sz w:val="22"/>
              </w:rPr>
              <w:t>4</w:t>
            </w:r>
          </w:p>
        </w:tc>
        <w:tc>
          <w:tcPr>
            <w:tcW w:w="1733" w:type="dxa"/>
          </w:tcPr>
          <w:p>
            <w:pPr>
              <w:pStyle w:val="TableParagraph"/>
              <w:spacing w:before="1" w:line="233" w:lineRule="exact"/>
              <w:rPr>
                <w:sz w:val="22"/>
              </w:rPr>
            </w:pPr>
            <w:r>
              <w:rPr>
                <w:spacing w:val="-4"/>
                <w:sz w:val="22"/>
              </w:rPr>
              <w:t>both</w:t>
            </w:r>
          </w:p>
        </w:tc>
      </w:tr>
      <w:tr>
        <w:tblPrEx>
          <w:tblW w:w="0" w:type="auto"/>
          <w:jc w:val="left"/>
          <w:tblInd w:w="342" w:type="dxa"/>
          <w:tblLayout w:type="fixed"/>
          <w:tblCellMar>
            <w:top w:w="0" w:type="dxa"/>
            <w:left w:w="0" w:type="dxa"/>
            <w:bottom w:w="0" w:type="dxa"/>
            <w:right w:w="0" w:type="dxa"/>
          </w:tblCellMar>
          <w:tblLook w:val="01E0"/>
        </w:tblPrEx>
        <w:trPr>
          <w:trHeight w:val="505"/>
          <w:jc w:val="left"/>
        </w:trPr>
        <w:tc>
          <w:tcPr>
            <w:tcW w:w="2088" w:type="dxa"/>
          </w:tcPr>
          <w:p>
            <w:pPr>
              <w:pStyle w:val="TableParagraph"/>
              <w:spacing w:line="254" w:lineRule="exact"/>
              <w:ind w:right="602"/>
              <w:rPr>
                <w:sz w:val="22"/>
              </w:rPr>
            </w:pPr>
            <w:r>
              <w:rPr>
                <w:sz w:val="22"/>
              </w:rPr>
              <w:t>3</w:t>
            </w:r>
            <w:r>
              <w:rPr>
                <w:spacing w:val="-14"/>
                <w:sz w:val="22"/>
              </w:rPr>
              <w:t xml:space="preserve"> </w:t>
            </w:r>
            <w:r>
              <w:rPr>
                <w:sz w:val="22"/>
              </w:rPr>
              <w:t>Related-</w:t>
            </w:r>
            <w:r>
              <w:rPr>
                <w:sz w:val="22"/>
              </w:rPr>
              <w:t xml:space="preserve">party </w:t>
            </w:r>
            <w:r>
              <w:rPr>
                <w:spacing w:val="-2"/>
                <w:sz w:val="22"/>
              </w:rPr>
              <w:t>declaration</w:t>
            </w:r>
          </w:p>
        </w:tc>
        <w:tc>
          <w:tcPr>
            <w:tcW w:w="1630" w:type="dxa"/>
          </w:tcPr>
          <w:p>
            <w:pPr>
              <w:pStyle w:val="TableParagraph"/>
              <w:spacing w:line="251" w:lineRule="exact"/>
              <w:rPr>
                <w:sz w:val="22"/>
              </w:rPr>
            </w:pPr>
            <w:r>
              <w:rPr>
                <w:sz w:val="22"/>
              </w:rPr>
              <w:t>All</w:t>
            </w:r>
            <w:r>
              <w:rPr>
                <w:spacing w:val="-1"/>
                <w:sz w:val="22"/>
              </w:rPr>
              <w:t xml:space="preserve"> </w:t>
            </w:r>
            <w:r>
              <w:rPr>
                <w:spacing w:val="-4"/>
                <w:sz w:val="22"/>
              </w:rPr>
              <w:t>bids</w:t>
            </w:r>
          </w:p>
        </w:tc>
        <w:tc>
          <w:tcPr>
            <w:tcW w:w="2381" w:type="dxa"/>
          </w:tcPr>
          <w:p>
            <w:pPr>
              <w:pStyle w:val="TableParagraph"/>
              <w:spacing w:line="251" w:lineRule="exact"/>
              <w:rPr>
                <w:sz w:val="22"/>
              </w:rPr>
            </w:pPr>
            <w:r>
              <w:rPr>
                <w:sz w:val="22"/>
              </w:rPr>
              <w:t>Cover</w:t>
            </w:r>
            <w:r>
              <w:rPr>
                <w:spacing w:val="-4"/>
                <w:sz w:val="22"/>
              </w:rPr>
              <w:t xml:space="preserve"> </w:t>
            </w:r>
            <w:r>
              <w:rPr>
                <w:sz w:val="22"/>
              </w:rPr>
              <w:t>Sheet</w:t>
            </w:r>
            <w:r>
              <w:rPr>
                <w:spacing w:val="-4"/>
                <w:sz w:val="22"/>
              </w:rPr>
              <w:t xml:space="preserve"> </w:t>
            </w:r>
            <w:r>
              <w:rPr>
                <w:sz w:val="22"/>
              </w:rPr>
              <w:t>6-2-</w:t>
            </w:r>
            <w:r>
              <w:rPr>
                <w:spacing w:val="-2"/>
                <w:sz w:val="22"/>
              </w:rPr>
              <w:t>25.pdf</w:t>
            </w:r>
          </w:p>
        </w:tc>
        <w:tc>
          <w:tcPr>
            <w:tcW w:w="1508" w:type="dxa"/>
          </w:tcPr>
          <w:p>
            <w:pPr>
              <w:pStyle w:val="TableParagraph"/>
              <w:spacing w:line="251" w:lineRule="exact"/>
              <w:ind w:left="108"/>
              <w:rPr>
                <w:sz w:val="22"/>
              </w:rPr>
            </w:pPr>
            <w:r>
              <w:rPr>
                <w:sz w:val="22"/>
              </w:rPr>
              <w:t xml:space="preserve">Page </w:t>
            </w:r>
            <w:r>
              <w:rPr>
                <w:spacing w:val="-10"/>
                <w:sz w:val="22"/>
              </w:rPr>
              <w:t>7</w:t>
            </w:r>
          </w:p>
        </w:tc>
        <w:tc>
          <w:tcPr>
            <w:tcW w:w="1733" w:type="dxa"/>
          </w:tcPr>
          <w:p>
            <w:pPr>
              <w:pStyle w:val="TableParagraph"/>
              <w:spacing w:line="251" w:lineRule="exact"/>
              <w:rPr>
                <w:sz w:val="22"/>
              </w:rPr>
            </w:pPr>
            <w:r>
              <w:rPr>
                <w:spacing w:val="-4"/>
                <w:sz w:val="22"/>
              </w:rPr>
              <w:t>both</w:t>
            </w:r>
          </w:p>
        </w:tc>
      </w:tr>
      <w:tr>
        <w:tblPrEx>
          <w:tblW w:w="0" w:type="auto"/>
          <w:jc w:val="left"/>
          <w:tblInd w:w="342" w:type="dxa"/>
          <w:tblLayout w:type="fixed"/>
          <w:tblCellMar>
            <w:top w:w="0" w:type="dxa"/>
            <w:left w:w="0" w:type="dxa"/>
            <w:bottom w:w="0" w:type="dxa"/>
            <w:right w:w="0" w:type="dxa"/>
          </w:tblCellMar>
          <w:tblLook w:val="01E0"/>
        </w:tblPrEx>
        <w:trPr>
          <w:trHeight w:val="252"/>
          <w:jc w:val="left"/>
        </w:trPr>
        <w:tc>
          <w:tcPr>
            <w:tcW w:w="2088" w:type="dxa"/>
          </w:tcPr>
          <w:p>
            <w:pPr>
              <w:pStyle w:val="TableParagraph"/>
              <w:spacing w:line="232" w:lineRule="exact"/>
              <w:rPr>
                <w:sz w:val="22"/>
              </w:rPr>
            </w:pPr>
            <w:r>
              <w:rPr>
                <w:sz w:val="22"/>
              </w:rPr>
              <w:t xml:space="preserve">4 </w:t>
            </w:r>
            <w:r>
              <w:rPr>
                <w:spacing w:val="-2"/>
                <w:sz w:val="22"/>
              </w:rPr>
              <w:t>Sequestration</w:t>
            </w:r>
          </w:p>
        </w:tc>
        <w:tc>
          <w:tcPr>
            <w:tcW w:w="1630" w:type="dxa"/>
          </w:tcPr>
          <w:p>
            <w:pPr>
              <w:pStyle w:val="TableParagraph"/>
              <w:spacing w:line="232" w:lineRule="exact"/>
              <w:rPr>
                <w:sz w:val="22"/>
              </w:rPr>
            </w:pPr>
            <w:r>
              <w:rPr>
                <w:sz w:val="22"/>
              </w:rPr>
              <w:t>All</w:t>
            </w:r>
            <w:r>
              <w:rPr>
                <w:spacing w:val="-1"/>
                <w:sz w:val="22"/>
              </w:rPr>
              <w:t xml:space="preserve"> </w:t>
            </w:r>
            <w:r>
              <w:rPr>
                <w:spacing w:val="-4"/>
                <w:sz w:val="22"/>
              </w:rPr>
              <w:t>bids</w:t>
            </w:r>
          </w:p>
        </w:tc>
        <w:tc>
          <w:tcPr>
            <w:tcW w:w="2381" w:type="dxa"/>
          </w:tcPr>
          <w:p>
            <w:pPr>
              <w:pStyle w:val="TableParagraph"/>
              <w:spacing w:line="232" w:lineRule="exact"/>
              <w:rPr>
                <w:sz w:val="22"/>
              </w:rPr>
            </w:pPr>
            <w:r>
              <w:rPr>
                <w:sz w:val="22"/>
              </w:rPr>
              <w:t>Cover</w:t>
            </w:r>
            <w:r>
              <w:rPr>
                <w:spacing w:val="-4"/>
                <w:sz w:val="22"/>
              </w:rPr>
              <w:t xml:space="preserve"> </w:t>
            </w:r>
            <w:r>
              <w:rPr>
                <w:sz w:val="22"/>
              </w:rPr>
              <w:t>Sheet</w:t>
            </w:r>
            <w:r>
              <w:rPr>
                <w:spacing w:val="-4"/>
                <w:sz w:val="22"/>
              </w:rPr>
              <w:t xml:space="preserve"> </w:t>
            </w:r>
            <w:r>
              <w:rPr>
                <w:sz w:val="22"/>
              </w:rPr>
              <w:t>6-2-</w:t>
            </w:r>
            <w:r>
              <w:rPr>
                <w:spacing w:val="-2"/>
                <w:sz w:val="22"/>
              </w:rPr>
              <w:t>25.pdf</w:t>
            </w:r>
          </w:p>
        </w:tc>
        <w:tc>
          <w:tcPr>
            <w:tcW w:w="1508" w:type="dxa"/>
          </w:tcPr>
          <w:p>
            <w:pPr>
              <w:pStyle w:val="TableParagraph"/>
              <w:spacing w:line="232" w:lineRule="exact"/>
              <w:ind w:left="108"/>
              <w:rPr>
                <w:sz w:val="22"/>
              </w:rPr>
            </w:pPr>
            <w:r>
              <w:rPr>
                <w:sz w:val="22"/>
              </w:rPr>
              <w:t xml:space="preserve">Page </w:t>
            </w:r>
            <w:r>
              <w:rPr>
                <w:spacing w:val="-10"/>
                <w:sz w:val="22"/>
              </w:rPr>
              <w:t>7</w:t>
            </w:r>
          </w:p>
        </w:tc>
        <w:tc>
          <w:tcPr>
            <w:tcW w:w="1733" w:type="dxa"/>
          </w:tcPr>
          <w:p>
            <w:pPr>
              <w:pStyle w:val="TableParagraph"/>
              <w:spacing w:line="232" w:lineRule="exact"/>
              <w:rPr>
                <w:sz w:val="22"/>
              </w:rPr>
            </w:pPr>
            <w:r>
              <w:rPr>
                <w:spacing w:val="-4"/>
                <w:sz w:val="22"/>
              </w:rPr>
              <w:t>both</w:t>
            </w:r>
          </w:p>
        </w:tc>
      </w:tr>
      <w:tr>
        <w:tblPrEx>
          <w:tblW w:w="0" w:type="auto"/>
          <w:jc w:val="left"/>
          <w:tblInd w:w="342" w:type="dxa"/>
          <w:tblLayout w:type="fixed"/>
          <w:tblCellMar>
            <w:top w:w="0" w:type="dxa"/>
            <w:left w:w="0" w:type="dxa"/>
            <w:bottom w:w="0" w:type="dxa"/>
            <w:right w:w="0" w:type="dxa"/>
          </w:tblCellMar>
          <w:tblLook w:val="01E0"/>
        </w:tblPrEx>
        <w:trPr>
          <w:trHeight w:val="505"/>
          <w:jc w:val="left"/>
        </w:trPr>
        <w:tc>
          <w:tcPr>
            <w:tcW w:w="2088" w:type="dxa"/>
          </w:tcPr>
          <w:p>
            <w:pPr>
              <w:pStyle w:val="TableParagraph"/>
              <w:spacing w:line="252" w:lineRule="exact"/>
              <w:ind w:right="846"/>
              <w:rPr>
                <w:sz w:val="22"/>
              </w:rPr>
            </w:pPr>
            <w:r>
              <w:rPr>
                <w:sz w:val="22"/>
              </w:rPr>
              <w:t>5</w:t>
            </w:r>
            <w:r>
              <w:rPr>
                <w:spacing w:val="-14"/>
                <w:sz w:val="22"/>
              </w:rPr>
              <w:t xml:space="preserve"> </w:t>
            </w:r>
            <w:r>
              <w:rPr>
                <w:sz w:val="22"/>
              </w:rPr>
              <w:t xml:space="preserve">Credibility </w:t>
            </w:r>
            <w:r>
              <w:rPr>
                <w:spacing w:val="-2"/>
                <w:sz w:val="22"/>
              </w:rPr>
              <w:t>assumption</w:t>
            </w:r>
          </w:p>
        </w:tc>
        <w:tc>
          <w:tcPr>
            <w:tcW w:w="1630" w:type="dxa"/>
          </w:tcPr>
          <w:p>
            <w:pPr>
              <w:pStyle w:val="TableParagraph"/>
              <w:spacing w:line="251" w:lineRule="exact"/>
              <w:rPr>
                <w:sz w:val="22"/>
              </w:rPr>
            </w:pPr>
            <w:r>
              <w:rPr>
                <w:sz w:val="22"/>
              </w:rPr>
              <w:t>All</w:t>
            </w:r>
            <w:r>
              <w:rPr>
                <w:spacing w:val="-1"/>
                <w:sz w:val="22"/>
              </w:rPr>
              <w:t xml:space="preserve"> </w:t>
            </w:r>
            <w:r>
              <w:rPr>
                <w:spacing w:val="-4"/>
                <w:sz w:val="22"/>
              </w:rPr>
              <w:t>bids</w:t>
            </w:r>
          </w:p>
        </w:tc>
        <w:tc>
          <w:tcPr>
            <w:tcW w:w="2381" w:type="dxa"/>
          </w:tcPr>
          <w:p>
            <w:pPr>
              <w:pStyle w:val="TableParagraph"/>
              <w:spacing w:line="251" w:lineRule="exact"/>
              <w:rPr>
                <w:sz w:val="22"/>
              </w:rPr>
            </w:pPr>
            <w:r>
              <w:rPr>
                <w:sz w:val="22"/>
              </w:rPr>
              <w:t>Cover</w:t>
            </w:r>
            <w:r>
              <w:rPr>
                <w:spacing w:val="-4"/>
                <w:sz w:val="22"/>
              </w:rPr>
              <w:t xml:space="preserve"> </w:t>
            </w:r>
            <w:r>
              <w:rPr>
                <w:sz w:val="22"/>
              </w:rPr>
              <w:t>Sheet</w:t>
            </w:r>
            <w:r>
              <w:rPr>
                <w:spacing w:val="-4"/>
                <w:sz w:val="22"/>
              </w:rPr>
              <w:t xml:space="preserve"> </w:t>
            </w:r>
            <w:r>
              <w:rPr>
                <w:sz w:val="22"/>
              </w:rPr>
              <w:t>6-2-</w:t>
            </w:r>
            <w:r>
              <w:rPr>
                <w:spacing w:val="-2"/>
                <w:sz w:val="22"/>
              </w:rPr>
              <w:t>25.pdf</w:t>
            </w:r>
          </w:p>
        </w:tc>
        <w:tc>
          <w:tcPr>
            <w:tcW w:w="1508" w:type="dxa"/>
          </w:tcPr>
          <w:p>
            <w:pPr>
              <w:pStyle w:val="TableParagraph"/>
              <w:spacing w:line="251" w:lineRule="exact"/>
              <w:ind w:left="108"/>
              <w:rPr>
                <w:sz w:val="22"/>
              </w:rPr>
            </w:pPr>
            <w:r>
              <w:rPr>
                <w:sz w:val="22"/>
              </w:rPr>
              <w:t xml:space="preserve">Page </w:t>
            </w:r>
            <w:r>
              <w:rPr>
                <w:spacing w:val="-10"/>
                <w:sz w:val="22"/>
              </w:rPr>
              <w:t>5</w:t>
            </w:r>
          </w:p>
        </w:tc>
        <w:tc>
          <w:tcPr>
            <w:tcW w:w="1733" w:type="dxa"/>
          </w:tcPr>
          <w:p>
            <w:pPr>
              <w:pStyle w:val="TableParagraph"/>
              <w:spacing w:line="251" w:lineRule="exact"/>
              <w:rPr>
                <w:sz w:val="22"/>
              </w:rPr>
            </w:pPr>
            <w:r>
              <w:rPr>
                <w:spacing w:val="-4"/>
                <w:sz w:val="22"/>
              </w:rPr>
              <w:t>both</w:t>
            </w:r>
          </w:p>
        </w:tc>
      </w:tr>
      <w:tr>
        <w:tblPrEx>
          <w:tblW w:w="0" w:type="auto"/>
          <w:jc w:val="left"/>
          <w:tblInd w:w="342" w:type="dxa"/>
          <w:tblLayout w:type="fixed"/>
          <w:tblCellMar>
            <w:top w:w="0" w:type="dxa"/>
            <w:left w:w="0" w:type="dxa"/>
            <w:bottom w:w="0" w:type="dxa"/>
            <w:right w:w="0" w:type="dxa"/>
          </w:tblCellMar>
          <w:tblLook w:val="01E0"/>
        </w:tblPrEx>
        <w:trPr>
          <w:trHeight w:val="506"/>
          <w:jc w:val="left"/>
        </w:trPr>
        <w:tc>
          <w:tcPr>
            <w:tcW w:w="2088" w:type="dxa"/>
          </w:tcPr>
          <w:p>
            <w:pPr>
              <w:pStyle w:val="TableParagraph"/>
              <w:spacing w:line="252" w:lineRule="exact"/>
              <w:rPr>
                <w:sz w:val="22"/>
              </w:rPr>
            </w:pPr>
            <w:r>
              <w:rPr>
                <w:sz w:val="22"/>
              </w:rPr>
              <w:t>6</w:t>
            </w:r>
            <w:r>
              <w:rPr>
                <w:spacing w:val="-14"/>
                <w:sz w:val="22"/>
              </w:rPr>
              <w:t xml:space="preserve"> </w:t>
            </w:r>
            <w:r>
              <w:rPr>
                <w:sz w:val="22"/>
              </w:rPr>
              <w:t>Cost</w:t>
            </w:r>
            <w:r>
              <w:rPr>
                <w:spacing w:val="-14"/>
                <w:sz w:val="22"/>
              </w:rPr>
              <w:t xml:space="preserve"> </w:t>
            </w:r>
            <w:r>
              <w:rPr>
                <w:sz w:val="22"/>
              </w:rPr>
              <w:t xml:space="preserve">sharing </w:t>
            </w:r>
            <w:r>
              <w:rPr>
                <w:spacing w:val="-2"/>
                <w:sz w:val="22"/>
              </w:rPr>
              <w:t>mapping</w:t>
            </w:r>
          </w:p>
        </w:tc>
        <w:tc>
          <w:tcPr>
            <w:tcW w:w="1630" w:type="dxa"/>
          </w:tcPr>
          <w:p>
            <w:pPr>
              <w:pStyle w:val="TableParagraph"/>
              <w:spacing w:line="251" w:lineRule="exact"/>
              <w:rPr>
                <w:sz w:val="22"/>
              </w:rPr>
            </w:pPr>
            <w:r>
              <w:rPr>
                <w:sz w:val="22"/>
              </w:rPr>
              <w:t>All</w:t>
            </w:r>
            <w:r>
              <w:rPr>
                <w:spacing w:val="-1"/>
                <w:sz w:val="22"/>
              </w:rPr>
              <w:t xml:space="preserve"> </w:t>
            </w:r>
            <w:r>
              <w:rPr>
                <w:spacing w:val="-4"/>
                <w:sz w:val="22"/>
              </w:rPr>
              <w:t>bids</w:t>
            </w:r>
          </w:p>
        </w:tc>
        <w:tc>
          <w:tcPr>
            <w:tcW w:w="2381" w:type="dxa"/>
          </w:tcPr>
          <w:p>
            <w:pPr>
              <w:pStyle w:val="TableParagraph"/>
              <w:spacing w:line="251" w:lineRule="exact"/>
              <w:rPr>
                <w:sz w:val="22"/>
              </w:rPr>
            </w:pPr>
            <w:r>
              <w:rPr>
                <w:sz w:val="22"/>
              </w:rPr>
              <w:t>Cover</w:t>
            </w:r>
            <w:r>
              <w:rPr>
                <w:spacing w:val="-4"/>
                <w:sz w:val="22"/>
              </w:rPr>
              <w:t xml:space="preserve"> </w:t>
            </w:r>
            <w:r>
              <w:rPr>
                <w:sz w:val="22"/>
              </w:rPr>
              <w:t>Sheet</w:t>
            </w:r>
            <w:r>
              <w:rPr>
                <w:spacing w:val="-4"/>
                <w:sz w:val="22"/>
              </w:rPr>
              <w:t xml:space="preserve"> </w:t>
            </w:r>
            <w:r>
              <w:rPr>
                <w:sz w:val="22"/>
              </w:rPr>
              <w:t>6-2-</w:t>
            </w:r>
            <w:r>
              <w:rPr>
                <w:spacing w:val="-2"/>
                <w:sz w:val="22"/>
              </w:rPr>
              <w:t>25.pdf</w:t>
            </w:r>
          </w:p>
        </w:tc>
        <w:tc>
          <w:tcPr>
            <w:tcW w:w="1508" w:type="dxa"/>
          </w:tcPr>
          <w:p>
            <w:pPr>
              <w:pStyle w:val="TableParagraph"/>
              <w:spacing w:line="251" w:lineRule="exact"/>
              <w:ind w:left="108"/>
              <w:rPr>
                <w:sz w:val="22"/>
              </w:rPr>
            </w:pPr>
            <w:r>
              <w:rPr>
                <w:sz w:val="22"/>
              </w:rPr>
              <w:t xml:space="preserve">Page </w:t>
            </w:r>
            <w:r>
              <w:rPr>
                <w:spacing w:val="-10"/>
                <w:sz w:val="22"/>
              </w:rPr>
              <w:t>6</w:t>
            </w:r>
          </w:p>
        </w:tc>
        <w:tc>
          <w:tcPr>
            <w:tcW w:w="1733" w:type="dxa"/>
          </w:tcPr>
          <w:p>
            <w:pPr>
              <w:pStyle w:val="TableParagraph"/>
              <w:spacing w:line="251" w:lineRule="exact"/>
              <w:rPr>
                <w:sz w:val="22"/>
              </w:rPr>
            </w:pPr>
            <w:r>
              <w:rPr>
                <w:spacing w:val="-4"/>
                <w:sz w:val="22"/>
              </w:rPr>
              <w:t>both</w:t>
            </w:r>
          </w:p>
        </w:tc>
      </w:tr>
      <w:tr>
        <w:tblPrEx>
          <w:tblW w:w="0" w:type="auto"/>
          <w:jc w:val="left"/>
          <w:tblInd w:w="342" w:type="dxa"/>
          <w:tblLayout w:type="fixed"/>
          <w:tblCellMar>
            <w:top w:w="0" w:type="dxa"/>
            <w:left w:w="0" w:type="dxa"/>
            <w:bottom w:w="0" w:type="dxa"/>
            <w:right w:w="0" w:type="dxa"/>
          </w:tblCellMar>
          <w:tblLook w:val="01E0"/>
        </w:tblPrEx>
        <w:trPr>
          <w:trHeight w:val="505"/>
          <w:jc w:val="left"/>
        </w:trPr>
        <w:tc>
          <w:tcPr>
            <w:tcW w:w="2088" w:type="dxa"/>
          </w:tcPr>
          <w:p>
            <w:pPr>
              <w:pStyle w:val="TableParagraph"/>
              <w:spacing w:line="252" w:lineRule="exact"/>
              <w:ind w:right="737"/>
              <w:rPr>
                <w:sz w:val="22"/>
              </w:rPr>
            </w:pPr>
            <w:r>
              <w:rPr>
                <w:sz w:val="22"/>
              </w:rPr>
              <w:t>7</w:t>
            </w:r>
            <w:r>
              <w:rPr>
                <w:spacing w:val="-14"/>
                <w:sz w:val="22"/>
              </w:rPr>
              <w:t xml:space="preserve"> </w:t>
            </w:r>
            <w:r>
              <w:rPr>
                <w:sz w:val="22"/>
              </w:rPr>
              <w:t>Non-</w:t>
            </w:r>
            <w:r>
              <w:rPr>
                <w:sz w:val="22"/>
              </w:rPr>
              <w:t xml:space="preserve">benefit </w:t>
            </w:r>
            <w:r>
              <w:rPr>
                <w:spacing w:val="-2"/>
                <w:sz w:val="22"/>
              </w:rPr>
              <w:t>expenses</w:t>
            </w:r>
          </w:p>
        </w:tc>
        <w:tc>
          <w:tcPr>
            <w:tcW w:w="1630" w:type="dxa"/>
          </w:tcPr>
          <w:p>
            <w:pPr>
              <w:pStyle w:val="TableParagraph"/>
              <w:spacing w:line="251" w:lineRule="exact"/>
              <w:rPr>
                <w:sz w:val="22"/>
              </w:rPr>
            </w:pPr>
            <w:r>
              <w:rPr>
                <w:sz w:val="22"/>
              </w:rPr>
              <w:t>All</w:t>
            </w:r>
            <w:r>
              <w:rPr>
                <w:spacing w:val="-1"/>
                <w:sz w:val="22"/>
              </w:rPr>
              <w:t xml:space="preserve"> </w:t>
            </w:r>
            <w:r>
              <w:rPr>
                <w:spacing w:val="-4"/>
                <w:sz w:val="22"/>
              </w:rPr>
              <w:t>bids</w:t>
            </w:r>
          </w:p>
        </w:tc>
        <w:tc>
          <w:tcPr>
            <w:tcW w:w="2381" w:type="dxa"/>
          </w:tcPr>
          <w:p>
            <w:pPr>
              <w:pStyle w:val="TableParagraph"/>
              <w:spacing w:line="251" w:lineRule="exact"/>
              <w:rPr>
                <w:sz w:val="22"/>
              </w:rPr>
            </w:pPr>
            <w:r>
              <w:rPr>
                <w:spacing w:val="-2"/>
                <w:sz w:val="22"/>
              </w:rPr>
              <w:t>AdminProfit.xlsx</w:t>
            </w:r>
          </w:p>
        </w:tc>
        <w:tc>
          <w:tcPr>
            <w:tcW w:w="1508" w:type="dxa"/>
          </w:tcPr>
          <w:p>
            <w:pPr>
              <w:pStyle w:val="TableParagraph"/>
              <w:spacing w:line="251" w:lineRule="exact"/>
              <w:ind w:left="108"/>
              <w:rPr>
                <w:sz w:val="22"/>
              </w:rPr>
            </w:pPr>
            <w:r>
              <w:rPr>
                <w:spacing w:val="-2"/>
                <w:sz w:val="22"/>
              </w:rPr>
              <w:t>Sheet1</w:t>
            </w:r>
          </w:p>
        </w:tc>
        <w:tc>
          <w:tcPr>
            <w:tcW w:w="1733" w:type="dxa"/>
          </w:tcPr>
          <w:p>
            <w:pPr>
              <w:pStyle w:val="TableParagraph"/>
              <w:spacing w:line="251" w:lineRule="exact"/>
              <w:rPr>
                <w:sz w:val="22"/>
              </w:rPr>
            </w:pPr>
            <w:r>
              <w:rPr>
                <w:spacing w:val="-4"/>
                <w:sz w:val="22"/>
              </w:rPr>
              <w:t>both</w:t>
            </w:r>
          </w:p>
        </w:tc>
      </w:tr>
      <w:tr>
        <w:tblPrEx>
          <w:tblW w:w="0" w:type="auto"/>
          <w:jc w:val="left"/>
          <w:tblInd w:w="342" w:type="dxa"/>
          <w:tblLayout w:type="fixed"/>
          <w:tblCellMar>
            <w:top w:w="0" w:type="dxa"/>
            <w:left w:w="0" w:type="dxa"/>
            <w:bottom w:w="0" w:type="dxa"/>
            <w:right w:w="0" w:type="dxa"/>
          </w:tblCellMar>
          <w:tblLook w:val="01E0"/>
        </w:tblPrEx>
        <w:trPr>
          <w:trHeight w:val="251"/>
          <w:jc w:val="left"/>
        </w:trPr>
        <w:tc>
          <w:tcPr>
            <w:tcW w:w="2088" w:type="dxa"/>
          </w:tcPr>
          <w:p>
            <w:pPr>
              <w:pStyle w:val="TableParagraph"/>
              <w:spacing w:line="232" w:lineRule="exact"/>
              <w:rPr>
                <w:sz w:val="22"/>
              </w:rPr>
            </w:pPr>
            <w:r>
              <w:rPr>
                <w:sz w:val="22"/>
              </w:rPr>
              <w:t>8</w:t>
            </w:r>
            <w:r>
              <w:rPr>
                <w:spacing w:val="-3"/>
                <w:sz w:val="22"/>
              </w:rPr>
              <w:t xml:space="preserve"> </w:t>
            </w:r>
            <w:r>
              <w:rPr>
                <w:sz w:val="22"/>
              </w:rPr>
              <w:t>Gain/loss</w:t>
            </w:r>
            <w:r>
              <w:rPr>
                <w:spacing w:val="-4"/>
                <w:sz w:val="22"/>
              </w:rPr>
              <w:t xml:space="preserve"> </w:t>
            </w:r>
            <w:r>
              <w:rPr>
                <w:spacing w:val="-2"/>
                <w:sz w:val="22"/>
              </w:rPr>
              <w:t>margin</w:t>
            </w:r>
          </w:p>
        </w:tc>
        <w:tc>
          <w:tcPr>
            <w:tcW w:w="1630" w:type="dxa"/>
          </w:tcPr>
          <w:p>
            <w:pPr>
              <w:pStyle w:val="TableParagraph"/>
              <w:spacing w:line="232" w:lineRule="exact"/>
              <w:rPr>
                <w:sz w:val="22"/>
              </w:rPr>
            </w:pPr>
            <w:r>
              <w:rPr>
                <w:sz w:val="22"/>
              </w:rPr>
              <w:t>All</w:t>
            </w:r>
            <w:r>
              <w:rPr>
                <w:spacing w:val="-1"/>
                <w:sz w:val="22"/>
              </w:rPr>
              <w:t xml:space="preserve"> </w:t>
            </w:r>
            <w:r>
              <w:rPr>
                <w:spacing w:val="-4"/>
                <w:sz w:val="22"/>
              </w:rPr>
              <w:t>bids</w:t>
            </w:r>
          </w:p>
        </w:tc>
        <w:tc>
          <w:tcPr>
            <w:tcW w:w="2381" w:type="dxa"/>
          </w:tcPr>
          <w:p>
            <w:pPr>
              <w:pStyle w:val="TableParagraph"/>
              <w:spacing w:line="232" w:lineRule="exact"/>
              <w:rPr>
                <w:sz w:val="22"/>
              </w:rPr>
            </w:pPr>
            <w:r>
              <w:rPr>
                <w:spacing w:val="-2"/>
                <w:sz w:val="22"/>
              </w:rPr>
              <w:t>AdminProfit.xlsx</w:t>
            </w:r>
          </w:p>
        </w:tc>
        <w:tc>
          <w:tcPr>
            <w:tcW w:w="1508" w:type="dxa"/>
          </w:tcPr>
          <w:p>
            <w:pPr>
              <w:pStyle w:val="TableParagraph"/>
              <w:spacing w:line="232" w:lineRule="exact"/>
              <w:ind w:left="108"/>
              <w:rPr>
                <w:sz w:val="22"/>
              </w:rPr>
            </w:pPr>
            <w:r>
              <w:rPr>
                <w:spacing w:val="-2"/>
                <w:sz w:val="22"/>
              </w:rPr>
              <w:t>Sheet2</w:t>
            </w:r>
          </w:p>
        </w:tc>
        <w:tc>
          <w:tcPr>
            <w:tcW w:w="1733" w:type="dxa"/>
          </w:tcPr>
          <w:p>
            <w:pPr>
              <w:pStyle w:val="TableParagraph"/>
              <w:spacing w:line="232" w:lineRule="exact"/>
              <w:rPr>
                <w:sz w:val="22"/>
              </w:rPr>
            </w:pPr>
            <w:r>
              <w:rPr>
                <w:spacing w:val="-4"/>
                <w:sz w:val="22"/>
              </w:rPr>
              <w:t>both</w:t>
            </w:r>
          </w:p>
        </w:tc>
      </w:tr>
      <w:tr>
        <w:tblPrEx>
          <w:tblW w:w="0" w:type="auto"/>
          <w:jc w:val="left"/>
          <w:tblInd w:w="342" w:type="dxa"/>
          <w:tblLayout w:type="fixed"/>
          <w:tblCellMar>
            <w:top w:w="0" w:type="dxa"/>
            <w:left w:w="0" w:type="dxa"/>
            <w:bottom w:w="0" w:type="dxa"/>
            <w:right w:w="0" w:type="dxa"/>
          </w:tblCellMar>
          <w:tblLook w:val="01E0"/>
        </w:tblPrEx>
        <w:trPr>
          <w:trHeight w:val="506"/>
          <w:jc w:val="left"/>
        </w:trPr>
        <w:tc>
          <w:tcPr>
            <w:tcW w:w="2088" w:type="dxa"/>
          </w:tcPr>
          <w:p>
            <w:pPr>
              <w:pStyle w:val="TableParagraph"/>
              <w:spacing w:line="251" w:lineRule="exact"/>
              <w:rPr>
                <w:sz w:val="22"/>
              </w:rPr>
            </w:pPr>
            <w:r>
              <w:rPr>
                <w:sz w:val="22"/>
              </w:rPr>
              <w:t>9</w:t>
            </w:r>
            <w:r>
              <w:rPr>
                <w:spacing w:val="-1"/>
                <w:sz w:val="22"/>
              </w:rPr>
              <w:t xml:space="preserve"> </w:t>
            </w:r>
            <w:r>
              <w:rPr>
                <w:sz w:val="22"/>
              </w:rPr>
              <w:t>Risk</w:t>
            </w:r>
            <w:r>
              <w:rPr>
                <w:spacing w:val="-2"/>
                <w:sz w:val="22"/>
              </w:rPr>
              <w:t xml:space="preserve"> scores</w:t>
            </w:r>
          </w:p>
        </w:tc>
        <w:tc>
          <w:tcPr>
            <w:tcW w:w="1630" w:type="dxa"/>
          </w:tcPr>
          <w:p>
            <w:pPr>
              <w:pStyle w:val="TableParagraph"/>
              <w:spacing w:line="251" w:lineRule="exact"/>
              <w:rPr>
                <w:sz w:val="22"/>
              </w:rPr>
            </w:pPr>
            <w:r>
              <w:rPr>
                <w:sz w:val="22"/>
              </w:rPr>
              <w:t>All</w:t>
            </w:r>
            <w:r>
              <w:rPr>
                <w:spacing w:val="-1"/>
                <w:sz w:val="22"/>
              </w:rPr>
              <w:t xml:space="preserve"> </w:t>
            </w:r>
            <w:r>
              <w:rPr>
                <w:spacing w:val="-4"/>
                <w:sz w:val="22"/>
              </w:rPr>
              <w:t>bids</w:t>
            </w:r>
          </w:p>
        </w:tc>
        <w:tc>
          <w:tcPr>
            <w:tcW w:w="2381" w:type="dxa"/>
          </w:tcPr>
          <w:p>
            <w:pPr>
              <w:pStyle w:val="TableParagraph"/>
              <w:spacing w:line="251" w:lineRule="exact"/>
              <w:rPr>
                <w:sz w:val="22"/>
              </w:rPr>
            </w:pPr>
            <w:r>
              <w:rPr>
                <w:sz w:val="22"/>
              </w:rPr>
              <w:t>Risk</w:t>
            </w:r>
            <w:r>
              <w:rPr>
                <w:spacing w:val="-1"/>
                <w:sz w:val="22"/>
              </w:rPr>
              <w:t xml:space="preserve"> </w:t>
            </w:r>
            <w:r>
              <w:rPr>
                <w:spacing w:val="-2"/>
                <w:sz w:val="22"/>
              </w:rPr>
              <w:t>CY26.xlsx</w:t>
            </w:r>
          </w:p>
        </w:tc>
        <w:tc>
          <w:tcPr>
            <w:tcW w:w="1508" w:type="dxa"/>
          </w:tcPr>
          <w:p>
            <w:pPr>
              <w:pStyle w:val="TableParagraph"/>
              <w:spacing w:line="251" w:lineRule="exact"/>
              <w:ind w:left="108"/>
              <w:rPr>
                <w:sz w:val="22"/>
              </w:rPr>
            </w:pPr>
            <w:r>
              <w:rPr>
                <w:sz w:val="22"/>
              </w:rPr>
              <w:t>MA-Sheet</w:t>
            </w:r>
            <w:r>
              <w:rPr>
                <w:spacing w:val="-5"/>
                <w:sz w:val="22"/>
              </w:rPr>
              <w:t xml:space="preserve"> </w:t>
            </w:r>
            <w:r>
              <w:rPr>
                <w:spacing w:val="-10"/>
                <w:sz w:val="22"/>
              </w:rPr>
              <w:t>1</w:t>
            </w:r>
          </w:p>
          <w:p>
            <w:pPr>
              <w:pStyle w:val="TableParagraph"/>
              <w:spacing w:before="2" w:line="233" w:lineRule="exact"/>
              <w:ind w:left="108"/>
              <w:rPr>
                <w:sz w:val="22"/>
              </w:rPr>
            </w:pPr>
            <w:r>
              <w:rPr>
                <w:sz w:val="22"/>
              </w:rPr>
              <w:t>PD-Sheet</w:t>
            </w:r>
            <w:r>
              <w:rPr>
                <w:spacing w:val="-4"/>
                <w:sz w:val="22"/>
              </w:rPr>
              <w:t xml:space="preserve"> </w:t>
            </w:r>
            <w:r>
              <w:rPr>
                <w:spacing w:val="-10"/>
                <w:sz w:val="22"/>
              </w:rPr>
              <w:t>2</w:t>
            </w:r>
          </w:p>
        </w:tc>
        <w:tc>
          <w:tcPr>
            <w:tcW w:w="1733" w:type="dxa"/>
          </w:tcPr>
          <w:p>
            <w:pPr>
              <w:pStyle w:val="TableParagraph"/>
              <w:spacing w:line="251" w:lineRule="exact"/>
              <w:rPr>
                <w:sz w:val="22"/>
              </w:rPr>
            </w:pPr>
            <w:r>
              <w:rPr>
                <w:spacing w:val="-4"/>
                <w:sz w:val="22"/>
              </w:rPr>
              <w:t>both</w:t>
            </w:r>
          </w:p>
        </w:tc>
      </w:tr>
      <w:tr>
        <w:tblPrEx>
          <w:tblW w:w="0" w:type="auto"/>
          <w:jc w:val="left"/>
          <w:tblInd w:w="342" w:type="dxa"/>
          <w:tblLayout w:type="fixed"/>
          <w:tblCellMar>
            <w:top w:w="0" w:type="dxa"/>
            <w:left w:w="0" w:type="dxa"/>
            <w:bottom w:w="0" w:type="dxa"/>
            <w:right w:w="0" w:type="dxa"/>
          </w:tblCellMar>
          <w:tblLook w:val="01E0"/>
        </w:tblPrEx>
        <w:trPr>
          <w:trHeight w:val="506"/>
          <w:jc w:val="left"/>
        </w:trPr>
        <w:tc>
          <w:tcPr>
            <w:tcW w:w="2088" w:type="dxa"/>
          </w:tcPr>
          <w:p>
            <w:pPr>
              <w:pStyle w:val="TableParagraph"/>
              <w:spacing w:line="251" w:lineRule="exact"/>
              <w:rPr>
                <w:sz w:val="22"/>
              </w:rPr>
            </w:pPr>
            <w:r>
              <w:rPr>
                <w:sz w:val="22"/>
              </w:rPr>
              <w:t>12</w:t>
            </w:r>
            <w:r>
              <w:rPr>
                <w:spacing w:val="-2"/>
                <w:sz w:val="22"/>
              </w:rPr>
              <w:t xml:space="preserve"> </w:t>
            </w:r>
            <w:r>
              <w:rPr>
                <w:sz w:val="22"/>
              </w:rPr>
              <w:t>Manual</w:t>
            </w:r>
            <w:r>
              <w:rPr>
                <w:spacing w:val="-2"/>
                <w:sz w:val="22"/>
              </w:rPr>
              <w:t xml:space="preserve"> rates</w:t>
            </w:r>
          </w:p>
        </w:tc>
        <w:tc>
          <w:tcPr>
            <w:tcW w:w="1630" w:type="dxa"/>
          </w:tcPr>
          <w:p>
            <w:pPr>
              <w:pStyle w:val="TableParagraph"/>
              <w:spacing w:line="254" w:lineRule="exact"/>
              <w:ind w:right="506"/>
              <w:rPr>
                <w:sz w:val="22"/>
              </w:rPr>
            </w:pPr>
            <w:r>
              <w:rPr>
                <w:spacing w:val="-2"/>
                <w:sz w:val="22"/>
              </w:rPr>
              <w:t>Hxxxx-</w:t>
            </w:r>
            <w:r>
              <w:rPr>
                <w:spacing w:val="-2"/>
                <w:sz w:val="22"/>
              </w:rPr>
              <w:t>003 Syyyy-</w:t>
            </w:r>
            <w:r>
              <w:rPr>
                <w:spacing w:val="-5"/>
                <w:sz w:val="22"/>
              </w:rPr>
              <w:t>001</w:t>
            </w:r>
          </w:p>
        </w:tc>
        <w:tc>
          <w:tcPr>
            <w:tcW w:w="2381" w:type="dxa"/>
          </w:tcPr>
          <w:p>
            <w:pPr>
              <w:pStyle w:val="TableParagraph"/>
              <w:spacing w:line="251" w:lineRule="exact"/>
              <w:rPr>
                <w:sz w:val="22"/>
              </w:rPr>
            </w:pPr>
            <w:r>
              <w:rPr>
                <w:spacing w:val="-2"/>
                <w:sz w:val="22"/>
              </w:rPr>
              <w:t>Manual.xlsx</w:t>
            </w:r>
          </w:p>
        </w:tc>
        <w:tc>
          <w:tcPr>
            <w:tcW w:w="1508" w:type="dxa"/>
          </w:tcPr>
          <w:p>
            <w:pPr>
              <w:pStyle w:val="TableParagraph"/>
              <w:spacing w:line="251" w:lineRule="exact"/>
              <w:ind w:left="108"/>
              <w:rPr>
                <w:sz w:val="22"/>
              </w:rPr>
            </w:pPr>
            <w:r>
              <w:rPr>
                <w:sz w:val="22"/>
              </w:rPr>
              <w:t>Section</w:t>
            </w:r>
            <w:r>
              <w:rPr>
                <w:spacing w:val="-2"/>
                <w:sz w:val="22"/>
              </w:rPr>
              <w:t xml:space="preserve"> </w:t>
            </w:r>
            <w:r>
              <w:rPr>
                <w:spacing w:val="-5"/>
                <w:sz w:val="22"/>
              </w:rPr>
              <w:t>II</w:t>
            </w:r>
          </w:p>
        </w:tc>
        <w:tc>
          <w:tcPr>
            <w:tcW w:w="1733" w:type="dxa"/>
          </w:tcPr>
          <w:p>
            <w:pPr>
              <w:pStyle w:val="TableParagraph"/>
              <w:spacing w:line="251" w:lineRule="exact"/>
              <w:rPr>
                <w:sz w:val="22"/>
              </w:rPr>
            </w:pPr>
            <w:r>
              <w:rPr>
                <w:spacing w:val="-5"/>
                <w:sz w:val="22"/>
              </w:rPr>
              <w:t>PD</w:t>
            </w:r>
          </w:p>
        </w:tc>
      </w:tr>
      <w:tr>
        <w:tblPrEx>
          <w:tblW w:w="0" w:type="auto"/>
          <w:jc w:val="left"/>
          <w:tblInd w:w="342" w:type="dxa"/>
          <w:tblLayout w:type="fixed"/>
          <w:tblCellMar>
            <w:top w:w="0" w:type="dxa"/>
            <w:left w:w="0" w:type="dxa"/>
            <w:bottom w:w="0" w:type="dxa"/>
            <w:right w:w="0" w:type="dxa"/>
          </w:tblCellMar>
          <w:tblLook w:val="01E0"/>
        </w:tblPrEx>
        <w:trPr>
          <w:trHeight w:val="503"/>
          <w:jc w:val="left"/>
        </w:trPr>
        <w:tc>
          <w:tcPr>
            <w:tcW w:w="2088" w:type="dxa"/>
          </w:tcPr>
          <w:p>
            <w:pPr>
              <w:pStyle w:val="TableParagraph"/>
              <w:spacing w:line="249" w:lineRule="exact"/>
              <w:rPr>
                <w:sz w:val="22"/>
              </w:rPr>
            </w:pPr>
            <w:r>
              <w:rPr>
                <w:sz w:val="22"/>
              </w:rPr>
              <w:t>24</w:t>
            </w:r>
            <w:r>
              <w:rPr>
                <w:spacing w:val="-1"/>
                <w:sz w:val="22"/>
              </w:rPr>
              <w:t xml:space="preserve"> </w:t>
            </w:r>
            <w:r>
              <w:rPr>
                <w:sz w:val="22"/>
              </w:rPr>
              <w:t>ESRD</w:t>
            </w:r>
            <w:r>
              <w:rPr>
                <w:spacing w:val="-2"/>
                <w:sz w:val="22"/>
              </w:rPr>
              <w:t xml:space="preserve"> subsidy</w:t>
            </w:r>
          </w:p>
        </w:tc>
        <w:tc>
          <w:tcPr>
            <w:tcW w:w="1630" w:type="dxa"/>
          </w:tcPr>
          <w:p>
            <w:pPr>
              <w:pStyle w:val="TableParagraph"/>
              <w:spacing w:line="249" w:lineRule="exact"/>
              <w:rPr>
                <w:sz w:val="22"/>
              </w:rPr>
            </w:pPr>
            <w:r>
              <w:rPr>
                <w:spacing w:val="-2"/>
                <w:sz w:val="22"/>
              </w:rPr>
              <w:t>Hxxxx-</w:t>
            </w:r>
            <w:r>
              <w:rPr>
                <w:spacing w:val="-5"/>
                <w:sz w:val="22"/>
              </w:rPr>
              <w:t>001</w:t>
            </w:r>
          </w:p>
          <w:p>
            <w:pPr>
              <w:pStyle w:val="TableParagraph"/>
              <w:spacing w:before="1" w:line="233" w:lineRule="exact"/>
              <w:rPr>
                <w:sz w:val="22"/>
              </w:rPr>
            </w:pPr>
            <w:r>
              <w:rPr>
                <w:spacing w:val="-2"/>
                <w:sz w:val="22"/>
              </w:rPr>
              <w:t>Hxxxx-</w:t>
            </w:r>
            <w:r>
              <w:rPr>
                <w:spacing w:val="-5"/>
                <w:sz w:val="22"/>
              </w:rPr>
              <w:t>004</w:t>
            </w:r>
          </w:p>
        </w:tc>
        <w:tc>
          <w:tcPr>
            <w:tcW w:w="2381" w:type="dxa"/>
          </w:tcPr>
          <w:p>
            <w:pPr>
              <w:pStyle w:val="TableParagraph"/>
              <w:spacing w:line="249" w:lineRule="exact"/>
              <w:rPr>
                <w:sz w:val="22"/>
              </w:rPr>
            </w:pPr>
            <w:r>
              <w:rPr>
                <w:spacing w:val="-2"/>
                <w:sz w:val="22"/>
              </w:rPr>
              <w:t>Manual.xlsx</w:t>
            </w:r>
          </w:p>
        </w:tc>
        <w:tc>
          <w:tcPr>
            <w:tcW w:w="1508" w:type="dxa"/>
          </w:tcPr>
          <w:p>
            <w:pPr>
              <w:pStyle w:val="TableParagraph"/>
              <w:spacing w:line="249" w:lineRule="exact"/>
              <w:ind w:left="108"/>
              <w:rPr>
                <w:sz w:val="22"/>
              </w:rPr>
            </w:pPr>
            <w:r>
              <w:rPr>
                <w:sz w:val="22"/>
              </w:rPr>
              <w:t>Section</w:t>
            </w:r>
            <w:r>
              <w:rPr>
                <w:spacing w:val="-2"/>
                <w:sz w:val="22"/>
              </w:rPr>
              <w:t xml:space="preserve"> </w:t>
            </w:r>
            <w:r>
              <w:rPr>
                <w:spacing w:val="-10"/>
                <w:sz w:val="22"/>
              </w:rPr>
              <w:t>I</w:t>
            </w:r>
          </w:p>
        </w:tc>
        <w:tc>
          <w:tcPr>
            <w:tcW w:w="1733" w:type="dxa"/>
          </w:tcPr>
          <w:p>
            <w:pPr>
              <w:pStyle w:val="TableParagraph"/>
              <w:spacing w:line="249" w:lineRule="exact"/>
              <w:rPr>
                <w:sz w:val="22"/>
              </w:rPr>
            </w:pPr>
            <w:r>
              <w:rPr>
                <w:spacing w:val="-5"/>
                <w:sz w:val="22"/>
              </w:rPr>
              <w:t>MA</w:t>
            </w:r>
          </w:p>
        </w:tc>
      </w:tr>
    </w:tbl>
    <w:p>
      <w:pPr>
        <w:spacing w:after="0" w:line="249" w:lineRule="exact"/>
        <w:rPr>
          <w:sz w:val="22"/>
        </w:rPr>
        <w:sectPr>
          <w:pgSz w:w="12240" w:h="15840"/>
          <w:pgMar w:top="1340" w:right="1000" w:bottom="940" w:left="1360" w:header="727" w:footer="747"/>
          <w:cols w:space="720"/>
        </w:sectPr>
      </w:pPr>
    </w:p>
    <w:p>
      <w:pPr>
        <w:spacing w:before="87"/>
        <w:ind w:left="64" w:right="277" w:firstLine="0"/>
        <w:jc w:val="center"/>
        <w:rPr>
          <w:rFonts w:ascii="Arial"/>
          <w:b/>
          <w:sz w:val="21"/>
        </w:rPr>
      </w:pPr>
      <w:bookmarkStart w:id="294" w:name="Part D Cover Sheet #2 - CY2026 Subsequen"/>
      <w:bookmarkEnd w:id="294"/>
      <w:r>
        <w:rPr>
          <w:rFonts w:ascii="Arial"/>
          <w:b/>
          <w:sz w:val="21"/>
        </w:rPr>
        <w:t>Part</w:t>
      </w:r>
      <w:r>
        <w:rPr>
          <w:rFonts w:ascii="Arial"/>
          <w:b/>
          <w:spacing w:val="-7"/>
          <w:sz w:val="21"/>
        </w:rPr>
        <w:t xml:space="preserve"> </w:t>
      </w:r>
      <w:r>
        <w:rPr>
          <w:rFonts w:ascii="Arial"/>
          <w:b/>
          <w:sz w:val="21"/>
        </w:rPr>
        <w:t>D</w:t>
      </w:r>
      <w:r>
        <w:rPr>
          <w:rFonts w:ascii="Arial"/>
          <w:b/>
          <w:spacing w:val="-5"/>
          <w:sz w:val="21"/>
        </w:rPr>
        <w:t xml:space="preserve"> </w:t>
      </w:r>
      <w:r>
        <w:rPr>
          <w:rFonts w:ascii="Arial"/>
          <w:b/>
          <w:sz w:val="21"/>
        </w:rPr>
        <w:t>Cover</w:t>
      </w:r>
      <w:r>
        <w:rPr>
          <w:rFonts w:ascii="Arial"/>
          <w:b/>
          <w:spacing w:val="-4"/>
          <w:sz w:val="21"/>
        </w:rPr>
        <w:t xml:space="preserve"> </w:t>
      </w:r>
      <w:r>
        <w:rPr>
          <w:rFonts w:ascii="Arial"/>
          <w:b/>
          <w:sz w:val="21"/>
        </w:rPr>
        <w:t>Sheet</w:t>
      </w:r>
      <w:r>
        <w:rPr>
          <w:rFonts w:ascii="Arial"/>
          <w:b/>
          <w:spacing w:val="-4"/>
          <w:sz w:val="21"/>
        </w:rPr>
        <w:t xml:space="preserve"> </w:t>
      </w:r>
      <w:r>
        <w:rPr>
          <w:rFonts w:ascii="Arial"/>
          <w:b/>
          <w:sz w:val="21"/>
        </w:rPr>
        <w:t>#2</w:t>
      </w:r>
      <w:r>
        <w:rPr>
          <w:rFonts w:ascii="Arial"/>
          <w:b/>
          <w:spacing w:val="-3"/>
          <w:sz w:val="21"/>
        </w:rPr>
        <w:t xml:space="preserve"> </w:t>
      </w:r>
      <w:r>
        <w:rPr>
          <w:rFonts w:ascii="Arial"/>
          <w:b/>
          <w:sz w:val="21"/>
        </w:rPr>
        <w:t>-</w:t>
      </w:r>
      <w:r>
        <w:rPr>
          <w:rFonts w:ascii="Arial"/>
          <w:b/>
          <w:spacing w:val="-5"/>
          <w:sz w:val="21"/>
        </w:rPr>
        <w:t xml:space="preserve"> </w:t>
      </w:r>
      <w:r>
        <w:rPr>
          <w:rFonts w:ascii="Arial"/>
          <w:b/>
          <w:sz w:val="21"/>
        </w:rPr>
        <w:t>CY2026</w:t>
      </w:r>
      <w:r>
        <w:rPr>
          <w:rFonts w:ascii="Arial"/>
          <w:b/>
          <w:spacing w:val="-4"/>
          <w:sz w:val="21"/>
        </w:rPr>
        <w:t xml:space="preserve"> </w:t>
      </w:r>
      <w:r>
        <w:rPr>
          <w:rFonts w:ascii="Arial"/>
          <w:b/>
          <w:sz w:val="21"/>
        </w:rPr>
        <w:t>Subsequent</w:t>
      </w:r>
      <w:r>
        <w:rPr>
          <w:rFonts w:ascii="Arial"/>
          <w:b/>
          <w:spacing w:val="-4"/>
          <w:sz w:val="21"/>
        </w:rPr>
        <w:t xml:space="preserve"> </w:t>
      </w:r>
      <w:r>
        <w:rPr>
          <w:rFonts w:ascii="Arial"/>
          <w:b/>
          <w:sz w:val="21"/>
        </w:rPr>
        <w:t>Bid</w:t>
      </w:r>
      <w:r>
        <w:rPr>
          <w:rFonts w:ascii="Arial"/>
          <w:b/>
          <w:spacing w:val="-5"/>
          <w:sz w:val="21"/>
        </w:rPr>
        <w:t xml:space="preserve"> </w:t>
      </w:r>
      <w:r>
        <w:rPr>
          <w:rFonts w:ascii="Arial"/>
          <w:b/>
          <w:spacing w:val="-2"/>
          <w:sz w:val="21"/>
        </w:rPr>
        <w:t>Submission</w:t>
      </w:r>
    </w:p>
    <w:p>
      <w:pPr>
        <w:spacing w:before="121" w:after="5" w:line="343" w:lineRule="auto"/>
        <w:ind w:left="224" w:right="5388" w:firstLine="0"/>
        <w:jc w:val="left"/>
        <w:rPr>
          <w:sz w:val="24"/>
        </w:rPr>
      </w:pPr>
      <w:r>
        <w:rPr>
          <w:b/>
          <w:sz w:val="24"/>
        </w:rPr>
        <w:t xml:space="preserve">Organization Name: </w:t>
      </w:r>
      <w:r>
        <w:rPr>
          <w:sz w:val="24"/>
        </w:rPr>
        <w:t xml:space="preserve">Health One </w:t>
      </w:r>
      <w:r>
        <w:rPr>
          <w:b/>
          <w:sz w:val="24"/>
        </w:rPr>
        <w:t>Contract(s):</w:t>
      </w:r>
      <w:r>
        <w:rPr>
          <w:b/>
          <w:spacing w:val="-10"/>
          <w:sz w:val="24"/>
        </w:rPr>
        <w:t xml:space="preserve"> </w:t>
      </w:r>
      <w:r>
        <w:rPr>
          <w:sz w:val="24"/>
        </w:rPr>
        <w:t>Hxxxx,</w:t>
      </w:r>
      <w:r>
        <w:rPr>
          <w:spacing w:val="-8"/>
          <w:sz w:val="24"/>
        </w:rPr>
        <w:t xml:space="preserve"> </w:t>
      </w:r>
      <w:r>
        <w:rPr>
          <w:sz w:val="24"/>
        </w:rPr>
        <w:t>Hyyyy,</w:t>
      </w:r>
      <w:r>
        <w:rPr>
          <w:spacing w:val="-10"/>
          <w:sz w:val="24"/>
        </w:rPr>
        <w:t xml:space="preserve"> </w:t>
      </w:r>
      <w:r>
        <w:rPr>
          <w:sz w:val="24"/>
        </w:rPr>
        <w:t>and</w:t>
      </w:r>
      <w:r>
        <w:rPr>
          <w:spacing w:val="-10"/>
          <w:sz w:val="24"/>
        </w:rPr>
        <w:t xml:space="preserve"> </w:t>
      </w:r>
      <w:r>
        <w:rPr>
          <w:sz w:val="24"/>
        </w:rPr>
        <w:t xml:space="preserve">Szzzz </w:t>
      </w:r>
      <w:r>
        <w:rPr>
          <w:b/>
          <w:sz w:val="24"/>
        </w:rPr>
        <w:t xml:space="preserve">Date: </w:t>
      </w:r>
      <w:r>
        <w:rPr>
          <w:sz w:val="24"/>
        </w:rPr>
        <w:t>July 14, 2025</w:t>
      </w:r>
    </w:p>
    <w:tbl>
      <w:tblPr>
        <w:tblStyle w:val="TableNormal"/>
        <w:tblW w:w="0" w:type="auto"/>
        <w:jc w:val="lef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7"/>
        <w:gridCol w:w="1712"/>
        <w:gridCol w:w="2429"/>
        <w:gridCol w:w="1532"/>
        <w:gridCol w:w="1769"/>
      </w:tblGrid>
      <w:tr>
        <w:tblPrEx>
          <w:tblW w:w="0" w:type="auto"/>
          <w:jc w:val="lef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77"/>
          <w:jc w:val="left"/>
        </w:trPr>
        <w:tc>
          <w:tcPr>
            <w:tcW w:w="1867" w:type="dxa"/>
          </w:tcPr>
          <w:p>
            <w:pPr>
              <w:pStyle w:val="TableParagraph"/>
              <w:spacing w:before="250" w:line="250" w:lineRule="atLeast"/>
              <w:ind w:left="316" w:hanging="106"/>
              <w:rPr>
                <w:b/>
                <w:sz w:val="22"/>
              </w:rPr>
            </w:pPr>
            <w:r>
              <w:rPr>
                <w:b/>
                <w:spacing w:val="-2"/>
                <w:sz w:val="22"/>
              </w:rPr>
              <w:t>Documentation Requirement</w:t>
            </w:r>
          </w:p>
        </w:tc>
        <w:tc>
          <w:tcPr>
            <w:tcW w:w="1712" w:type="dxa"/>
          </w:tcPr>
          <w:p>
            <w:pPr>
              <w:pStyle w:val="TableParagraph"/>
              <w:spacing w:before="250" w:line="250" w:lineRule="atLeast"/>
              <w:ind w:left="223" w:firstLine="264"/>
              <w:rPr>
                <w:b/>
                <w:sz w:val="22"/>
              </w:rPr>
            </w:pPr>
            <w:r>
              <w:rPr>
                <w:b/>
                <w:spacing w:val="-2"/>
                <w:sz w:val="22"/>
              </w:rPr>
              <w:t xml:space="preserve">Specific </w:t>
            </w:r>
            <w:r>
              <w:rPr>
                <w:b/>
                <w:sz w:val="22"/>
              </w:rPr>
              <w:t>Bid(s)</w:t>
            </w:r>
            <w:r>
              <w:rPr>
                <w:b/>
                <w:spacing w:val="-14"/>
                <w:sz w:val="22"/>
              </w:rPr>
              <w:t xml:space="preserve"> </w:t>
            </w:r>
            <w:r>
              <w:rPr>
                <w:b/>
                <w:sz w:val="22"/>
              </w:rPr>
              <w:t>or</w:t>
            </w:r>
            <w:r>
              <w:rPr>
                <w:b/>
                <w:spacing w:val="-14"/>
                <w:sz w:val="22"/>
              </w:rPr>
              <w:t xml:space="preserve"> </w:t>
            </w:r>
            <w:r>
              <w:rPr>
                <w:b/>
                <w:sz w:val="22"/>
              </w:rPr>
              <w:t>N/A</w:t>
            </w:r>
          </w:p>
        </w:tc>
        <w:tc>
          <w:tcPr>
            <w:tcW w:w="2429" w:type="dxa"/>
          </w:tcPr>
          <w:p>
            <w:pPr>
              <w:pStyle w:val="TableParagraph"/>
              <w:ind w:left="0"/>
              <w:rPr>
                <w:sz w:val="22"/>
              </w:rPr>
            </w:pPr>
          </w:p>
          <w:p>
            <w:pPr>
              <w:pStyle w:val="TableParagraph"/>
              <w:spacing w:before="1"/>
              <w:ind w:left="0"/>
              <w:rPr>
                <w:sz w:val="22"/>
              </w:rPr>
            </w:pPr>
          </w:p>
          <w:p>
            <w:pPr>
              <w:pStyle w:val="TableParagraph"/>
              <w:spacing w:line="250" w:lineRule="exact"/>
              <w:ind w:left="6"/>
              <w:jc w:val="center"/>
              <w:rPr>
                <w:b/>
                <w:sz w:val="22"/>
              </w:rPr>
            </w:pPr>
            <w:r>
              <w:rPr>
                <w:b/>
                <w:sz w:val="22"/>
              </w:rPr>
              <w:t>File</w:t>
            </w:r>
            <w:r>
              <w:rPr>
                <w:b/>
                <w:spacing w:val="1"/>
                <w:sz w:val="22"/>
              </w:rPr>
              <w:t xml:space="preserve"> </w:t>
            </w:r>
            <w:r>
              <w:rPr>
                <w:b/>
                <w:spacing w:val="-4"/>
                <w:sz w:val="22"/>
              </w:rPr>
              <w:t>Name</w:t>
            </w:r>
          </w:p>
        </w:tc>
        <w:tc>
          <w:tcPr>
            <w:tcW w:w="1532" w:type="dxa"/>
          </w:tcPr>
          <w:p>
            <w:pPr>
              <w:pStyle w:val="TableParagraph"/>
              <w:ind w:left="259" w:right="251" w:firstLine="1"/>
              <w:jc w:val="center"/>
              <w:rPr>
                <w:b/>
                <w:sz w:val="22"/>
              </w:rPr>
            </w:pPr>
            <w:r>
              <w:rPr>
                <w:b/>
                <w:spacing w:val="-2"/>
                <w:sz w:val="22"/>
              </w:rPr>
              <w:t xml:space="preserve">Location </w:t>
            </w:r>
            <w:r>
              <w:rPr>
                <w:b/>
                <w:sz w:val="22"/>
              </w:rPr>
              <w:t>within</w:t>
            </w:r>
            <w:r>
              <w:rPr>
                <w:b/>
                <w:spacing w:val="-5"/>
                <w:sz w:val="22"/>
              </w:rPr>
              <w:t xml:space="preserve"> </w:t>
            </w:r>
            <w:r>
              <w:rPr>
                <w:b/>
                <w:spacing w:val="-4"/>
                <w:sz w:val="22"/>
              </w:rPr>
              <w:t>File</w:t>
            </w:r>
          </w:p>
          <w:p>
            <w:pPr>
              <w:pStyle w:val="TableParagraph"/>
              <w:spacing w:before="1" w:line="250" w:lineRule="exact"/>
              <w:ind w:left="5"/>
              <w:jc w:val="center"/>
              <w:rPr>
                <w:b/>
                <w:sz w:val="22"/>
              </w:rPr>
            </w:pPr>
            <w:r>
              <w:rPr>
                <w:b/>
                <w:sz w:val="22"/>
              </w:rPr>
              <w:t>(if</w:t>
            </w:r>
            <w:r>
              <w:rPr>
                <w:b/>
                <w:spacing w:val="-1"/>
                <w:sz w:val="22"/>
              </w:rPr>
              <w:t xml:space="preserve"> </w:t>
            </w:r>
            <w:r>
              <w:rPr>
                <w:b/>
                <w:spacing w:val="-2"/>
                <w:sz w:val="22"/>
              </w:rPr>
              <w:t>applicable)</w:t>
            </w:r>
          </w:p>
        </w:tc>
        <w:tc>
          <w:tcPr>
            <w:tcW w:w="1769" w:type="dxa"/>
          </w:tcPr>
          <w:p>
            <w:pPr>
              <w:pStyle w:val="TableParagraph"/>
              <w:spacing w:before="250" w:line="250" w:lineRule="atLeast"/>
              <w:ind w:left="153" w:hanging="22"/>
              <w:rPr>
                <w:b/>
                <w:sz w:val="22"/>
              </w:rPr>
            </w:pPr>
            <w:r>
              <w:rPr>
                <w:b/>
                <w:sz w:val="22"/>
              </w:rPr>
              <w:t>Applies</w:t>
            </w:r>
            <w:r>
              <w:rPr>
                <w:b/>
                <w:spacing w:val="-14"/>
                <w:sz w:val="22"/>
              </w:rPr>
              <w:t xml:space="preserve"> </w:t>
            </w:r>
            <w:r>
              <w:rPr>
                <w:b/>
                <w:sz w:val="22"/>
              </w:rPr>
              <w:t>to:</w:t>
            </w:r>
            <w:r>
              <w:rPr>
                <w:b/>
                <w:spacing w:val="-14"/>
                <w:sz w:val="22"/>
              </w:rPr>
              <w:t xml:space="preserve"> </w:t>
            </w:r>
            <w:r>
              <w:rPr>
                <w:b/>
                <w:sz w:val="22"/>
              </w:rPr>
              <w:t>MA, Part D,</w:t>
            </w:r>
            <w:r>
              <w:rPr>
                <w:b/>
                <w:spacing w:val="-1"/>
                <w:sz w:val="22"/>
              </w:rPr>
              <w:t xml:space="preserve"> </w:t>
            </w:r>
            <w:r>
              <w:rPr>
                <w:b/>
                <w:sz w:val="22"/>
              </w:rPr>
              <w:t>or</w:t>
            </w:r>
            <w:r>
              <w:rPr>
                <w:b/>
                <w:spacing w:val="-2"/>
                <w:sz w:val="22"/>
              </w:rPr>
              <w:t xml:space="preserve"> </w:t>
            </w:r>
            <w:r>
              <w:rPr>
                <w:b/>
                <w:spacing w:val="-4"/>
                <w:sz w:val="22"/>
              </w:rPr>
              <w:t>Both</w:t>
            </w:r>
          </w:p>
        </w:tc>
      </w:tr>
      <w:tr>
        <w:tblPrEx>
          <w:tblW w:w="0" w:type="auto"/>
          <w:jc w:val="left"/>
          <w:tblInd w:w="342" w:type="dxa"/>
          <w:tblLayout w:type="fixed"/>
          <w:tblCellMar>
            <w:top w:w="0" w:type="dxa"/>
            <w:left w:w="0" w:type="dxa"/>
            <w:bottom w:w="0" w:type="dxa"/>
            <w:right w:w="0" w:type="dxa"/>
          </w:tblCellMar>
          <w:tblLook w:val="01E0"/>
        </w:tblPrEx>
        <w:trPr>
          <w:trHeight w:val="1519"/>
          <w:jc w:val="left"/>
        </w:trPr>
        <w:tc>
          <w:tcPr>
            <w:tcW w:w="1867" w:type="dxa"/>
          </w:tcPr>
          <w:p>
            <w:pPr>
              <w:pStyle w:val="TableParagraph"/>
              <w:spacing w:line="251" w:lineRule="exact"/>
              <w:rPr>
                <w:sz w:val="22"/>
              </w:rPr>
            </w:pPr>
            <w:r>
              <w:rPr>
                <w:sz w:val="22"/>
              </w:rPr>
              <w:t>1</w:t>
            </w:r>
            <w:r>
              <w:rPr>
                <w:spacing w:val="-1"/>
                <w:sz w:val="22"/>
              </w:rPr>
              <w:t xml:space="preserve"> </w:t>
            </w:r>
            <w:r>
              <w:rPr>
                <w:sz w:val="22"/>
              </w:rPr>
              <w:t>Cover</w:t>
            </w:r>
            <w:r>
              <w:rPr>
                <w:spacing w:val="-1"/>
                <w:sz w:val="22"/>
              </w:rPr>
              <w:t xml:space="preserve"> </w:t>
            </w:r>
            <w:r>
              <w:rPr>
                <w:spacing w:val="-2"/>
                <w:sz w:val="22"/>
              </w:rPr>
              <w:t>sheet</w:t>
            </w:r>
          </w:p>
        </w:tc>
        <w:tc>
          <w:tcPr>
            <w:tcW w:w="1712" w:type="dxa"/>
          </w:tcPr>
          <w:p>
            <w:pPr>
              <w:pStyle w:val="TableParagraph"/>
              <w:ind w:right="588"/>
              <w:jc w:val="both"/>
              <w:rPr>
                <w:sz w:val="22"/>
              </w:rPr>
            </w:pPr>
            <w:r>
              <w:rPr>
                <w:spacing w:val="-2"/>
                <w:sz w:val="22"/>
              </w:rPr>
              <w:t>Hxxxx-</w:t>
            </w:r>
            <w:r>
              <w:rPr>
                <w:spacing w:val="-2"/>
                <w:sz w:val="22"/>
              </w:rPr>
              <w:t>001 Hxxxx-003 Hxxxx-004 Hxxxx-801 Hyyyy-</w:t>
            </w:r>
            <w:r>
              <w:rPr>
                <w:spacing w:val="-5"/>
                <w:sz w:val="22"/>
              </w:rPr>
              <w:t>001</w:t>
            </w:r>
          </w:p>
          <w:p>
            <w:pPr>
              <w:pStyle w:val="TableParagraph"/>
              <w:spacing w:before="1" w:line="233" w:lineRule="exact"/>
              <w:rPr>
                <w:sz w:val="22"/>
              </w:rPr>
            </w:pPr>
            <w:r>
              <w:rPr>
                <w:spacing w:val="-2"/>
                <w:sz w:val="22"/>
              </w:rPr>
              <w:t>Hzzzz-</w:t>
            </w:r>
            <w:r>
              <w:rPr>
                <w:spacing w:val="-5"/>
                <w:sz w:val="22"/>
              </w:rPr>
              <w:t>001</w:t>
            </w:r>
          </w:p>
        </w:tc>
        <w:tc>
          <w:tcPr>
            <w:tcW w:w="2429" w:type="dxa"/>
          </w:tcPr>
          <w:p>
            <w:pPr>
              <w:pStyle w:val="TableParagraph"/>
              <w:spacing w:line="251" w:lineRule="exact"/>
              <w:ind w:left="6" w:right="6"/>
              <w:jc w:val="center"/>
              <w:rPr>
                <w:sz w:val="22"/>
              </w:rPr>
            </w:pPr>
            <w:r>
              <w:rPr>
                <w:sz w:val="22"/>
              </w:rPr>
              <w:t>Cover</w:t>
            </w:r>
            <w:r>
              <w:rPr>
                <w:spacing w:val="-4"/>
                <w:sz w:val="22"/>
              </w:rPr>
              <w:t xml:space="preserve"> </w:t>
            </w:r>
            <w:r>
              <w:rPr>
                <w:sz w:val="22"/>
              </w:rPr>
              <w:t>Sheet</w:t>
            </w:r>
            <w:r>
              <w:rPr>
                <w:spacing w:val="-4"/>
                <w:sz w:val="22"/>
              </w:rPr>
              <w:t xml:space="preserve"> </w:t>
            </w:r>
            <w:r>
              <w:rPr>
                <w:sz w:val="22"/>
              </w:rPr>
              <w:t>7-14-</w:t>
            </w:r>
            <w:r>
              <w:rPr>
                <w:spacing w:val="-2"/>
                <w:sz w:val="22"/>
              </w:rPr>
              <w:t>25.doc</w:t>
            </w:r>
          </w:p>
        </w:tc>
        <w:tc>
          <w:tcPr>
            <w:tcW w:w="1532" w:type="dxa"/>
          </w:tcPr>
          <w:p>
            <w:pPr>
              <w:pStyle w:val="TableParagraph"/>
              <w:spacing w:line="251" w:lineRule="exact"/>
              <w:rPr>
                <w:sz w:val="22"/>
              </w:rPr>
            </w:pPr>
            <w:r>
              <w:rPr>
                <w:spacing w:val="-5"/>
                <w:sz w:val="22"/>
              </w:rPr>
              <w:t>n/a</w:t>
            </w:r>
          </w:p>
        </w:tc>
        <w:tc>
          <w:tcPr>
            <w:tcW w:w="1769" w:type="dxa"/>
          </w:tcPr>
          <w:p>
            <w:pPr>
              <w:pStyle w:val="TableParagraph"/>
              <w:spacing w:line="251" w:lineRule="exact"/>
              <w:ind w:left="105"/>
              <w:rPr>
                <w:sz w:val="22"/>
              </w:rPr>
            </w:pPr>
            <w:r>
              <w:rPr>
                <w:spacing w:val="-4"/>
                <w:sz w:val="22"/>
              </w:rPr>
              <w:t>both</w:t>
            </w:r>
          </w:p>
        </w:tc>
      </w:tr>
    </w:tbl>
    <w:p>
      <w:pPr>
        <w:spacing w:before="240"/>
        <w:ind w:left="224" w:right="0" w:firstLine="0"/>
        <w:jc w:val="left"/>
        <w:rPr>
          <w:rFonts w:ascii="Arial"/>
          <w:b/>
          <w:sz w:val="21"/>
        </w:rPr>
      </w:pPr>
      <w:bookmarkStart w:id="295" w:name="SAMPLE Format for Reliance on Informatio"/>
      <w:bookmarkEnd w:id="295"/>
      <w:r>
        <w:rPr>
          <w:rFonts w:ascii="Arial"/>
          <w:b/>
          <w:sz w:val="21"/>
        </w:rPr>
        <w:t>SAMPLE</w:t>
      </w:r>
      <w:r>
        <w:rPr>
          <w:rFonts w:ascii="Arial"/>
          <w:b/>
          <w:spacing w:val="-10"/>
          <w:sz w:val="21"/>
        </w:rPr>
        <w:t xml:space="preserve"> </w:t>
      </w:r>
      <w:r>
        <w:rPr>
          <w:rFonts w:ascii="Arial"/>
          <w:b/>
          <w:sz w:val="21"/>
        </w:rPr>
        <w:t>Format</w:t>
      </w:r>
      <w:r>
        <w:rPr>
          <w:rFonts w:ascii="Arial"/>
          <w:b/>
          <w:spacing w:val="-8"/>
          <w:sz w:val="21"/>
        </w:rPr>
        <w:t xml:space="preserve"> </w:t>
      </w:r>
      <w:r>
        <w:rPr>
          <w:rFonts w:ascii="Arial"/>
          <w:b/>
          <w:sz w:val="21"/>
        </w:rPr>
        <w:t>for</w:t>
      </w:r>
      <w:r>
        <w:rPr>
          <w:rFonts w:ascii="Arial"/>
          <w:b/>
          <w:spacing w:val="-6"/>
          <w:sz w:val="21"/>
        </w:rPr>
        <w:t xml:space="preserve"> </w:t>
      </w:r>
      <w:r>
        <w:rPr>
          <w:rFonts w:ascii="Arial"/>
          <w:b/>
          <w:sz w:val="21"/>
        </w:rPr>
        <w:t>Reliance</w:t>
      </w:r>
      <w:r>
        <w:rPr>
          <w:rFonts w:ascii="Arial"/>
          <w:b/>
          <w:spacing w:val="-6"/>
          <w:sz w:val="21"/>
        </w:rPr>
        <w:t xml:space="preserve"> </w:t>
      </w:r>
      <w:r>
        <w:rPr>
          <w:rFonts w:ascii="Arial"/>
          <w:b/>
          <w:sz w:val="21"/>
        </w:rPr>
        <w:t>on</w:t>
      </w:r>
      <w:r>
        <w:rPr>
          <w:rFonts w:ascii="Arial"/>
          <w:b/>
          <w:spacing w:val="-5"/>
          <w:sz w:val="21"/>
        </w:rPr>
        <w:t xml:space="preserve"> </w:t>
      </w:r>
      <w:r>
        <w:rPr>
          <w:rFonts w:ascii="Arial"/>
          <w:b/>
          <w:sz w:val="21"/>
        </w:rPr>
        <w:t>Information</w:t>
      </w:r>
      <w:r>
        <w:rPr>
          <w:rFonts w:ascii="Arial"/>
          <w:b/>
          <w:spacing w:val="-5"/>
          <w:sz w:val="21"/>
        </w:rPr>
        <w:t xml:space="preserve"> </w:t>
      </w:r>
      <w:r>
        <w:rPr>
          <w:rFonts w:ascii="Arial"/>
          <w:b/>
          <w:sz w:val="21"/>
        </w:rPr>
        <w:t>Supplied</w:t>
      </w:r>
      <w:r>
        <w:rPr>
          <w:rFonts w:ascii="Arial"/>
          <w:b/>
          <w:spacing w:val="-8"/>
          <w:sz w:val="21"/>
        </w:rPr>
        <w:t xml:space="preserve"> </w:t>
      </w:r>
      <w:r>
        <w:rPr>
          <w:rFonts w:ascii="Arial"/>
          <w:b/>
          <w:sz w:val="21"/>
        </w:rPr>
        <w:t>by</w:t>
      </w:r>
      <w:r>
        <w:rPr>
          <w:rFonts w:ascii="Arial"/>
          <w:b/>
          <w:spacing w:val="-6"/>
          <w:sz w:val="21"/>
        </w:rPr>
        <w:t xml:space="preserve"> </w:t>
      </w:r>
      <w:r>
        <w:rPr>
          <w:rFonts w:ascii="Arial"/>
          <w:b/>
          <w:spacing w:val="-2"/>
          <w:sz w:val="21"/>
        </w:rPr>
        <w:t>Others</w:t>
      </w:r>
    </w:p>
    <w:p>
      <w:pPr>
        <w:pStyle w:val="BodyText"/>
        <w:spacing w:before="6"/>
        <w:ind w:left="0"/>
        <w:rPr>
          <w:rFonts w:ascii="Arial"/>
          <w:b/>
          <w:sz w:val="10"/>
        </w:rPr>
      </w:pPr>
    </w:p>
    <w:tbl>
      <w:tblPr>
        <w:tblStyle w:val="TableNormal"/>
        <w:tblW w:w="0" w:type="auto"/>
        <w:jc w:val="lef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951"/>
        <w:gridCol w:w="3020"/>
        <w:gridCol w:w="1750"/>
        <w:gridCol w:w="2161"/>
      </w:tblGrid>
      <w:tr>
        <w:tblPrEx>
          <w:tblW w:w="0" w:type="auto"/>
          <w:jc w:val="left"/>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777"/>
          <w:jc w:val="left"/>
        </w:trPr>
        <w:tc>
          <w:tcPr>
            <w:tcW w:w="1548" w:type="dxa"/>
          </w:tcPr>
          <w:p>
            <w:pPr>
              <w:pStyle w:val="TableParagraph"/>
              <w:ind w:left="0"/>
              <w:rPr>
                <w:rFonts w:ascii="Arial"/>
                <w:b/>
                <w:sz w:val="22"/>
              </w:rPr>
            </w:pPr>
          </w:p>
          <w:p>
            <w:pPr>
              <w:pStyle w:val="TableParagraph"/>
              <w:spacing w:before="1"/>
              <w:ind w:left="0"/>
              <w:rPr>
                <w:rFonts w:ascii="Arial"/>
                <w:b/>
                <w:sz w:val="22"/>
              </w:rPr>
            </w:pPr>
          </w:p>
          <w:p>
            <w:pPr>
              <w:pStyle w:val="TableParagraph"/>
              <w:spacing w:line="250" w:lineRule="exact"/>
              <w:ind w:left="7"/>
              <w:jc w:val="center"/>
              <w:rPr>
                <w:b/>
                <w:sz w:val="22"/>
              </w:rPr>
            </w:pPr>
            <w:r>
              <w:rPr>
                <w:b/>
                <w:spacing w:val="-5"/>
                <w:sz w:val="22"/>
              </w:rPr>
              <w:t>Bid</w:t>
            </w:r>
          </w:p>
        </w:tc>
        <w:tc>
          <w:tcPr>
            <w:tcW w:w="951" w:type="dxa"/>
          </w:tcPr>
          <w:p>
            <w:pPr>
              <w:pStyle w:val="TableParagraph"/>
              <w:ind w:left="158" w:right="142"/>
              <w:rPr>
                <w:b/>
                <w:sz w:val="22"/>
              </w:rPr>
            </w:pPr>
            <w:r>
              <w:rPr>
                <w:b/>
                <w:sz w:val="22"/>
              </w:rPr>
              <w:t>MA</w:t>
            </w:r>
            <w:r>
              <w:rPr>
                <w:b/>
                <w:spacing w:val="-14"/>
                <w:sz w:val="22"/>
              </w:rPr>
              <w:t xml:space="preserve"> </w:t>
            </w:r>
            <w:r>
              <w:rPr>
                <w:b/>
                <w:sz w:val="22"/>
              </w:rPr>
              <w:t>or Part</w:t>
            </w:r>
            <w:r>
              <w:rPr>
                <w:b/>
                <w:spacing w:val="1"/>
                <w:sz w:val="22"/>
              </w:rPr>
              <w:t xml:space="preserve"> </w:t>
            </w:r>
            <w:r>
              <w:rPr>
                <w:b/>
                <w:spacing w:val="-10"/>
                <w:sz w:val="22"/>
              </w:rPr>
              <w:t>D</w:t>
            </w:r>
          </w:p>
          <w:p>
            <w:pPr>
              <w:pStyle w:val="TableParagraph"/>
              <w:spacing w:before="1" w:line="250" w:lineRule="exact"/>
              <w:ind w:left="114"/>
              <w:rPr>
                <w:b/>
                <w:sz w:val="22"/>
              </w:rPr>
            </w:pPr>
            <w:r>
              <w:rPr>
                <w:b/>
                <w:sz w:val="22"/>
              </w:rPr>
              <w:t xml:space="preserve">or </w:t>
            </w:r>
            <w:r>
              <w:rPr>
                <w:b/>
                <w:spacing w:val="-4"/>
                <w:sz w:val="22"/>
              </w:rPr>
              <w:t>Both</w:t>
            </w:r>
          </w:p>
        </w:tc>
        <w:tc>
          <w:tcPr>
            <w:tcW w:w="3020" w:type="dxa"/>
          </w:tcPr>
          <w:p>
            <w:pPr>
              <w:pStyle w:val="TableParagraph"/>
              <w:spacing w:before="250"/>
              <w:ind w:left="7" w:right="2"/>
              <w:jc w:val="center"/>
              <w:rPr>
                <w:b/>
                <w:sz w:val="22"/>
              </w:rPr>
            </w:pPr>
            <w:r>
              <w:rPr>
                <w:b/>
                <w:spacing w:val="-2"/>
                <w:sz w:val="22"/>
              </w:rPr>
              <w:t>Source</w:t>
            </w:r>
          </w:p>
          <w:p>
            <w:pPr>
              <w:pStyle w:val="TableParagraph"/>
              <w:spacing w:before="4" w:line="250" w:lineRule="exact"/>
              <w:ind w:left="7"/>
              <w:jc w:val="center"/>
              <w:rPr>
                <w:b/>
                <w:sz w:val="22"/>
              </w:rPr>
            </w:pPr>
            <w:r>
              <w:rPr>
                <w:b/>
                <w:sz w:val="22"/>
              </w:rPr>
              <w:t>(Name,</w:t>
            </w:r>
            <w:r>
              <w:rPr>
                <w:b/>
                <w:spacing w:val="-7"/>
                <w:sz w:val="22"/>
              </w:rPr>
              <w:t xml:space="preserve"> </w:t>
            </w:r>
            <w:r>
              <w:rPr>
                <w:b/>
                <w:sz w:val="22"/>
              </w:rPr>
              <w:t>Position,</w:t>
            </w:r>
            <w:r>
              <w:rPr>
                <w:b/>
                <w:spacing w:val="-4"/>
                <w:sz w:val="22"/>
              </w:rPr>
              <w:t xml:space="preserve"> </w:t>
            </w:r>
            <w:r>
              <w:rPr>
                <w:b/>
                <w:spacing w:val="-2"/>
                <w:sz w:val="22"/>
              </w:rPr>
              <w:t>Company)</w:t>
            </w:r>
          </w:p>
        </w:tc>
        <w:tc>
          <w:tcPr>
            <w:tcW w:w="1750" w:type="dxa"/>
          </w:tcPr>
          <w:p>
            <w:pPr>
              <w:pStyle w:val="TableParagraph"/>
              <w:spacing w:before="250" w:line="250" w:lineRule="atLeast"/>
              <w:ind w:left="299" w:right="166" w:firstLine="216"/>
              <w:rPr>
                <w:b/>
                <w:sz w:val="22"/>
              </w:rPr>
            </w:pPr>
            <w:r>
              <w:rPr>
                <w:b/>
                <w:sz w:val="22"/>
              </w:rPr>
              <w:t xml:space="preserve">Type of </w:t>
            </w:r>
            <w:r>
              <w:rPr>
                <w:b/>
                <w:spacing w:val="-2"/>
                <w:sz w:val="22"/>
              </w:rPr>
              <w:t>Information</w:t>
            </w:r>
          </w:p>
        </w:tc>
        <w:tc>
          <w:tcPr>
            <w:tcW w:w="2161" w:type="dxa"/>
          </w:tcPr>
          <w:p>
            <w:pPr>
              <w:pStyle w:val="TableParagraph"/>
              <w:ind w:left="0"/>
              <w:rPr>
                <w:rFonts w:ascii="Arial"/>
                <w:b/>
                <w:sz w:val="22"/>
              </w:rPr>
            </w:pPr>
          </w:p>
          <w:p>
            <w:pPr>
              <w:pStyle w:val="TableParagraph"/>
              <w:spacing w:before="1"/>
              <w:ind w:left="0"/>
              <w:rPr>
                <w:rFonts w:ascii="Arial"/>
                <w:b/>
                <w:sz w:val="22"/>
              </w:rPr>
            </w:pPr>
          </w:p>
          <w:p>
            <w:pPr>
              <w:pStyle w:val="TableParagraph"/>
              <w:spacing w:line="250" w:lineRule="exact"/>
              <w:ind w:left="570"/>
              <w:rPr>
                <w:b/>
                <w:sz w:val="22"/>
              </w:rPr>
            </w:pPr>
            <w:r>
              <w:rPr>
                <w:b/>
                <w:spacing w:val="-2"/>
                <w:sz w:val="22"/>
              </w:rPr>
              <w:t>Comments</w:t>
            </w:r>
          </w:p>
        </w:tc>
      </w:tr>
      <w:tr>
        <w:tblPrEx>
          <w:tblW w:w="0" w:type="auto"/>
          <w:jc w:val="left"/>
          <w:tblInd w:w="342" w:type="dxa"/>
          <w:tblLayout w:type="fixed"/>
          <w:tblCellMar>
            <w:top w:w="0" w:type="dxa"/>
            <w:left w:w="0" w:type="dxa"/>
            <w:bottom w:w="0" w:type="dxa"/>
            <w:right w:w="0" w:type="dxa"/>
          </w:tblCellMar>
          <w:tblLook w:val="01E0"/>
        </w:tblPrEx>
        <w:trPr>
          <w:trHeight w:val="760"/>
          <w:jc w:val="left"/>
        </w:trPr>
        <w:tc>
          <w:tcPr>
            <w:tcW w:w="1548" w:type="dxa"/>
          </w:tcPr>
          <w:p>
            <w:pPr>
              <w:pStyle w:val="TableParagraph"/>
              <w:spacing w:before="1"/>
              <w:rPr>
                <w:sz w:val="22"/>
              </w:rPr>
            </w:pPr>
            <w:r>
              <w:rPr>
                <w:spacing w:val="-2"/>
                <w:sz w:val="22"/>
              </w:rPr>
              <w:t>Hxxxx-</w:t>
            </w:r>
            <w:r>
              <w:rPr>
                <w:spacing w:val="-5"/>
                <w:sz w:val="22"/>
              </w:rPr>
              <w:t>002</w:t>
            </w:r>
          </w:p>
        </w:tc>
        <w:tc>
          <w:tcPr>
            <w:tcW w:w="951" w:type="dxa"/>
          </w:tcPr>
          <w:p>
            <w:pPr>
              <w:pStyle w:val="TableParagraph"/>
              <w:spacing w:before="1"/>
              <w:rPr>
                <w:sz w:val="22"/>
              </w:rPr>
            </w:pPr>
            <w:r>
              <w:rPr>
                <w:spacing w:val="-4"/>
                <w:sz w:val="22"/>
              </w:rPr>
              <w:t>both</w:t>
            </w:r>
          </w:p>
        </w:tc>
        <w:tc>
          <w:tcPr>
            <w:tcW w:w="3020" w:type="dxa"/>
          </w:tcPr>
          <w:p>
            <w:pPr>
              <w:pStyle w:val="TableParagraph"/>
              <w:spacing w:before="1"/>
              <w:ind w:left="105"/>
              <w:rPr>
                <w:sz w:val="22"/>
              </w:rPr>
            </w:pPr>
            <w:r>
              <w:rPr>
                <w:sz w:val="22"/>
              </w:rPr>
              <w:t>Joe</w:t>
            </w:r>
            <w:r>
              <w:rPr>
                <w:spacing w:val="-10"/>
                <w:sz w:val="22"/>
              </w:rPr>
              <w:t xml:space="preserve"> </w:t>
            </w:r>
            <w:r>
              <w:rPr>
                <w:sz w:val="22"/>
              </w:rPr>
              <w:t>Smith,</w:t>
            </w:r>
            <w:r>
              <w:rPr>
                <w:spacing w:val="-10"/>
                <w:sz w:val="22"/>
              </w:rPr>
              <w:t xml:space="preserve"> </w:t>
            </w:r>
            <w:r>
              <w:rPr>
                <w:sz w:val="22"/>
              </w:rPr>
              <w:t>Director</w:t>
            </w:r>
            <w:r>
              <w:rPr>
                <w:spacing w:val="-10"/>
                <w:sz w:val="22"/>
              </w:rPr>
              <w:t xml:space="preserve"> </w:t>
            </w:r>
            <w:r>
              <w:rPr>
                <w:sz w:val="22"/>
              </w:rPr>
              <w:t>of</w:t>
            </w:r>
            <w:r>
              <w:rPr>
                <w:spacing w:val="-10"/>
                <w:sz w:val="22"/>
              </w:rPr>
              <w:t xml:space="preserve"> </w:t>
            </w:r>
            <w:r>
              <w:rPr>
                <w:sz w:val="22"/>
              </w:rPr>
              <w:t>Finance, ABC Health Plan</w:t>
            </w:r>
          </w:p>
        </w:tc>
        <w:tc>
          <w:tcPr>
            <w:tcW w:w="1750" w:type="dxa"/>
          </w:tcPr>
          <w:p>
            <w:pPr>
              <w:pStyle w:val="TableParagraph"/>
              <w:spacing w:line="252" w:lineRule="exact"/>
              <w:ind w:right="166"/>
              <w:rPr>
                <w:sz w:val="22"/>
              </w:rPr>
            </w:pPr>
            <w:r>
              <w:rPr>
                <w:spacing w:val="-2"/>
                <w:sz w:val="22"/>
              </w:rPr>
              <w:t xml:space="preserve">Administrative expenses, </w:t>
            </w:r>
            <w:r>
              <w:rPr>
                <w:sz w:val="22"/>
              </w:rPr>
              <w:t>gain/loss</w:t>
            </w:r>
            <w:r>
              <w:rPr>
                <w:spacing w:val="-14"/>
                <w:sz w:val="22"/>
              </w:rPr>
              <w:t xml:space="preserve"> </w:t>
            </w:r>
            <w:r>
              <w:rPr>
                <w:sz w:val="22"/>
              </w:rPr>
              <w:t>margin</w:t>
            </w:r>
          </w:p>
        </w:tc>
        <w:tc>
          <w:tcPr>
            <w:tcW w:w="2161" w:type="dxa"/>
          </w:tcPr>
          <w:p>
            <w:pPr>
              <w:pStyle w:val="TableParagraph"/>
              <w:ind w:left="0"/>
              <w:rPr>
                <w:sz w:val="22"/>
              </w:rPr>
            </w:pPr>
          </w:p>
        </w:tc>
      </w:tr>
      <w:tr>
        <w:tblPrEx>
          <w:tblW w:w="0" w:type="auto"/>
          <w:jc w:val="left"/>
          <w:tblInd w:w="342" w:type="dxa"/>
          <w:tblLayout w:type="fixed"/>
          <w:tblCellMar>
            <w:top w:w="0" w:type="dxa"/>
            <w:left w:w="0" w:type="dxa"/>
            <w:bottom w:w="0" w:type="dxa"/>
            <w:right w:w="0" w:type="dxa"/>
          </w:tblCellMar>
          <w:tblLook w:val="01E0"/>
        </w:tblPrEx>
        <w:trPr>
          <w:trHeight w:val="1264"/>
          <w:jc w:val="left"/>
        </w:trPr>
        <w:tc>
          <w:tcPr>
            <w:tcW w:w="1548" w:type="dxa"/>
          </w:tcPr>
          <w:p>
            <w:pPr>
              <w:pStyle w:val="TableParagraph"/>
              <w:spacing w:line="251" w:lineRule="exact"/>
              <w:rPr>
                <w:sz w:val="22"/>
              </w:rPr>
            </w:pPr>
            <w:r>
              <w:rPr>
                <w:spacing w:val="-2"/>
                <w:sz w:val="22"/>
              </w:rPr>
              <w:t>Hxxxx-</w:t>
            </w:r>
            <w:r>
              <w:rPr>
                <w:spacing w:val="-5"/>
                <w:sz w:val="22"/>
              </w:rPr>
              <w:t>002</w:t>
            </w:r>
          </w:p>
        </w:tc>
        <w:tc>
          <w:tcPr>
            <w:tcW w:w="951" w:type="dxa"/>
          </w:tcPr>
          <w:p>
            <w:pPr>
              <w:pStyle w:val="TableParagraph"/>
              <w:spacing w:line="251" w:lineRule="exact"/>
              <w:rPr>
                <w:sz w:val="22"/>
              </w:rPr>
            </w:pPr>
            <w:r>
              <w:rPr>
                <w:spacing w:val="-4"/>
                <w:sz w:val="22"/>
              </w:rPr>
              <w:t>both</w:t>
            </w:r>
          </w:p>
        </w:tc>
        <w:tc>
          <w:tcPr>
            <w:tcW w:w="3020" w:type="dxa"/>
          </w:tcPr>
          <w:p>
            <w:pPr>
              <w:pStyle w:val="TableParagraph"/>
              <w:ind w:left="105"/>
              <w:rPr>
                <w:sz w:val="22"/>
              </w:rPr>
            </w:pPr>
            <w:r>
              <w:rPr>
                <w:sz w:val="22"/>
              </w:rPr>
              <w:t>Jane</w:t>
            </w:r>
            <w:r>
              <w:rPr>
                <w:spacing w:val="-13"/>
                <w:sz w:val="22"/>
              </w:rPr>
              <w:t xml:space="preserve"> </w:t>
            </w:r>
            <w:r>
              <w:rPr>
                <w:sz w:val="22"/>
              </w:rPr>
              <w:t>Doe,</w:t>
            </w:r>
            <w:r>
              <w:rPr>
                <w:spacing w:val="-13"/>
                <w:sz w:val="22"/>
              </w:rPr>
              <w:t xml:space="preserve"> </w:t>
            </w:r>
            <w:r>
              <w:rPr>
                <w:sz w:val="22"/>
              </w:rPr>
              <w:t>Medicare</w:t>
            </w:r>
            <w:r>
              <w:rPr>
                <w:spacing w:val="-13"/>
                <w:sz w:val="22"/>
              </w:rPr>
              <w:t xml:space="preserve"> </w:t>
            </w:r>
            <w:r>
              <w:rPr>
                <w:sz w:val="22"/>
              </w:rPr>
              <w:t>Analyst, ABC Health Plan</w:t>
            </w:r>
          </w:p>
        </w:tc>
        <w:tc>
          <w:tcPr>
            <w:tcW w:w="1750" w:type="dxa"/>
          </w:tcPr>
          <w:p>
            <w:pPr>
              <w:pStyle w:val="TableParagraph"/>
              <w:ind w:right="148"/>
              <w:rPr>
                <w:sz w:val="22"/>
              </w:rPr>
            </w:pPr>
            <w:r>
              <w:rPr>
                <w:sz w:val="22"/>
              </w:rPr>
              <w:t>Claim</w:t>
            </w:r>
            <w:r>
              <w:rPr>
                <w:spacing w:val="-14"/>
                <w:sz w:val="22"/>
              </w:rPr>
              <w:t xml:space="preserve"> </w:t>
            </w:r>
            <w:r>
              <w:rPr>
                <w:sz w:val="22"/>
              </w:rPr>
              <w:t>modeling, risk score</w:t>
            </w:r>
          </w:p>
        </w:tc>
        <w:tc>
          <w:tcPr>
            <w:tcW w:w="2161" w:type="dxa"/>
          </w:tcPr>
          <w:p>
            <w:pPr>
              <w:pStyle w:val="TableParagraph"/>
              <w:ind w:left="106"/>
              <w:rPr>
                <w:sz w:val="22"/>
              </w:rPr>
            </w:pPr>
            <w:r>
              <w:rPr>
                <w:sz w:val="22"/>
              </w:rPr>
              <w:t>I have not performed any</w:t>
            </w:r>
            <w:r>
              <w:rPr>
                <w:spacing w:val="-14"/>
                <w:sz w:val="22"/>
              </w:rPr>
              <w:t xml:space="preserve"> </w:t>
            </w:r>
            <w:r>
              <w:rPr>
                <w:sz w:val="22"/>
              </w:rPr>
              <w:t>independent</w:t>
            </w:r>
            <w:r>
              <w:rPr>
                <w:spacing w:val="-14"/>
                <w:sz w:val="22"/>
              </w:rPr>
              <w:t xml:space="preserve"> </w:t>
            </w:r>
            <w:r>
              <w:rPr>
                <w:sz w:val="22"/>
              </w:rPr>
              <w:t>audit or otherwise verified the accuracy of these</w:t>
            </w:r>
          </w:p>
          <w:p>
            <w:pPr>
              <w:pStyle w:val="TableParagraph"/>
              <w:spacing w:line="233" w:lineRule="exact"/>
              <w:ind w:left="106"/>
              <w:rPr>
                <w:sz w:val="22"/>
              </w:rPr>
            </w:pPr>
            <w:r>
              <w:rPr>
                <w:sz w:val="22"/>
              </w:rPr>
              <w:t>data</w:t>
            </w:r>
            <w:r>
              <w:rPr>
                <w:spacing w:val="-2"/>
                <w:sz w:val="22"/>
              </w:rPr>
              <w:t xml:space="preserve"> </w:t>
            </w:r>
            <w:r>
              <w:rPr>
                <w:sz w:val="22"/>
              </w:rPr>
              <w:t>or</w:t>
            </w:r>
            <w:r>
              <w:rPr>
                <w:spacing w:val="-1"/>
                <w:sz w:val="22"/>
              </w:rPr>
              <w:t xml:space="preserve"> </w:t>
            </w:r>
            <w:r>
              <w:rPr>
                <w:spacing w:val="-2"/>
                <w:sz w:val="22"/>
              </w:rPr>
              <w:t>information.</w:t>
            </w:r>
          </w:p>
        </w:tc>
      </w:tr>
    </w:tbl>
    <w:p>
      <w:pPr>
        <w:spacing w:after="0" w:line="233" w:lineRule="exact"/>
        <w:rPr>
          <w:sz w:val="22"/>
        </w:rPr>
        <w:sectPr>
          <w:pgSz w:w="12240" w:h="15840"/>
          <w:pgMar w:top="1340" w:right="1000" w:bottom="940" w:left="1360" w:header="727" w:footer="747"/>
          <w:cols w:space="720"/>
        </w:sectPr>
      </w:pPr>
    </w:p>
    <w:p>
      <w:pPr>
        <w:spacing w:before="187" w:line="322" w:lineRule="exact"/>
        <w:ind w:left="224" w:right="0" w:firstLine="0"/>
        <w:jc w:val="left"/>
        <w:rPr>
          <w:rFonts w:ascii="Arial" w:hAnsi="Arial"/>
          <w:b/>
          <w:sz w:val="28"/>
        </w:rPr>
      </w:pPr>
      <w:bookmarkStart w:id="296" w:name="Appendix C – Employer/Union-Only Group ("/>
      <w:bookmarkEnd w:id="296"/>
      <w:bookmarkStart w:id="297" w:name="_bookmark86"/>
      <w:bookmarkEnd w:id="297"/>
      <w:r>
        <w:rPr>
          <w:rFonts w:ascii="Arial" w:hAnsi="Arial"/>
          <w:b/>
          <w:sz w:val="28"/>
        </w:rPr>
        <w:t>APPENDIX</w:t>
      </w:r>
      <w:r>
        <w:rPr>
          <w:rFonts w:ascii="Arial" w:hAnsi="Arial"/>
          <w:b/>
          <w:spacing w:val="-10"/>
          <w:sz w:val="28"/>
        </w:rPr>
        <w:t xml:space="preserve"> </w:t>
      </w:r>
      <w:r>
        <w:rPr>
          <w:rFonts w:ascii="Arial" w:hAnsi="Arial"/>
          <w:b/>
          <w:sz w:val="28"/>
        </w:rPr>
        <w:t>C</w:t>
      </w:r>
      <w:r>
        <w:rPr>
          <w:rFonts w:ascii="Arial" w:hAnsi="Arial"/>
          <w:b/>
          <w:spacing w:val="-6"/>
          <w:sz w:val="28"/>
        </w:rPr>
        <w:t xml:space="preserve"> </w:t>
      </w:r>
      <w:r>
        <w:rPr>
          <w:rFonts w:ascii="Arial" w:hAnsi="Arial"/>
          <w:b/>
          <w:sz w:val="28"/>
        </w:rPr>
        <w:t>–</w:t>
      </w:r>
      <w:r>
        <w:rPr>
          <w:rFonts w:ascii="Arial" w:hAnsi="Arial"/>
          <w:b/>
          <w:spacing w:val="-6"/>
          <w:sz w:val="28"/>
        </w:rPr>
        <w:t xml:space="preserve"> </w:t>
      </w:r>
      <w:r>
        <w:rPr>
          <w:rFonts w:ascii="Arial" w:hAnsi="Arial"/>
          <w:b/>
          <w:sz w:val="28"/>
        </w:rPr>
        <w:t>EMPLOYER/UNION-ONLY</w:t>
      </w:r>
      <w:r>
        <w:rPr>
          <w:rFonts w:ascii="Arial" w:hAnsi="Arial"/>
          <w:b/>
          <w:spacing w:val="-4"/>
          <w:sz w:val="28"/>
        </w:rPr>
        <w:t xml:space="preserve"> </w:t>
      </w:r>
      <w:r>
        <w:rPr>
          <w:rFonts w:ascii="Arial" w:hAnsi="Arial"/>
          <w:b/>
          <w:sz w:val="28"/>
        </w:rPr>
        <w:t>GROUP</w:t>
      </w:r>
      <w:r>
        <w:rPr>
          <w:rFonts w:ascii="Arial" w:hAnsi="Arial"/>
          <w:b/>
          <w:spacing w:val="-7"/>
          <w:sz w:val="28"/>
        </w:rPr>
        <w:t xml:space="preserve"> </w:t>
      </w:r>
      <w:r>
        <w:rPr>
          <w:rFonts w:ascii="Arial" w:hAnsi="Arial"/>
          <w:b/>
          <w:spacing w:val="-2"/>
          <w:sz w:val="28"/>
        </w:rPr>
        <w:t>(EGWP)</w:t>
      </w:r>
    </w:p>
    <w:p>
      <w:pPr>
        <w:tabs>
          <w:tab w:val="left" w:pos="9470"/>
        </w:tabs>
        <w:spacing w:before="0"/>
        <w:ind w:left="195" w:right="0" w:firstLine="0"/>
        <w:jc w:val="left"/>
        <w:rPr>
          <w:rFonts w:ascii="Arial"/>
          <w:b/>
          <w:sz w:val="28"/>
        </w:rPr>
      </w:pPr>
      <w:r>
        <w:rPr>
          <w:rFonts w:ascii="Arial"/>
          <w:b/>
          <w:spacing w:val="-50"/>
          <w:sz w:val="28"/>
          <w:u w:val="single"/>
        </w:rPr>
        <w:t xml:space="preserve"> </w:t>
      </w:r>
      <w:r>
        <w:rPr>
          <w:rFonts w:ascii="Arial"/>
          <w:b/>
          <w:spacing w:val="-2"/>
          <w:sz w:val="28"/>
          <w:u w:val="single"/>
        </w:rPr>
        <w:t>REQUIREMENTS</w:t>
      </w:r>
      <w:r>
        <w:rPr>
          <w:rFonts w:ascii="Arial"/>
          <w:b/>
          <w:sz w:val="28"/>
          <w:u w:val="single"/>
        </w:rPr>
        <w:tab/>
      </w:r>
    </w:p>
    <w:p>
      <w:pPr>
        <w:pStyle w:val="BodyText"/>
        <w:spacing w:before="269"/>
        <w:ind w:left="224" w:right="478"/>
      </w:pPr>
      <w:r>
        <w:t>The</w:t>
      </w:r>
      <w:r>
        <w:rPr>
          <w:spacing w:val="-6"/>
        </w:rPr>
        <w:t xml:space="preserve"> </w:t>
      </w:r>
      <w:r>
        <w:t>Medicare</w:t>
      </w:r>
      <w:r>
        <w:rPr>
          <w:spacing w:val="-6"/>
        </w:rPr>
        <w:t xml:space="preserve"> </w:t>
      </w:r>
      <w:r>
        <w:t>Prescription</w:t>
      </w:r>
      <w:r>
        <w:rPr>
          <w:spacing w:val="-4"/>
        </w:rPr>
        <w:t xml:space="preserve"> </w:t>
      </w:r>
      <w:r>
        <w:t>Drug,</w:t>
      </w:r>
      <w:r>
        <w:rPr>
          <w:spacing w:val="-2"/>
        </w:rPr>
        <w:t xml:space="preserve"> </w:t>
      </w:r>
      <w:r>
        <w:t>Improvement,</w:t>
      </w:r>
      <w:r>
        <w:rPr>
          <w:spacing w:val="-4"/>
        </w:rPr>
        <w:t xml:space="preserve"> </w:t>
      </w:r>
      <w:r>
        <w:t>and</w:t>
      </w:r>
      <w:r>
        <w:rPr>
          <w:spacing w:val="-4"/>
        </w:rPr>
        <w:t xml:space="preserve"> </w:t>
      </w:r>
      <w:r>
        <w:t>Modernization</w:t>
      </w:r>
      <w:r>
        <w:rPr>
          <w:spacing w:val="-4"/>
        </w:rPr>
        <w:t xml:space="preserve"> </w:t>
      </w:r>
      <w:r>
        <w:t>Act</w:t>
      </w:r>
      <w:r>
        <w:rPr>
          <w:spacing w:val="-4"/>
        </w:rPr>
        <w:t xml:space="preserve"> </w:t>
      </w:r>
      <w:r>
        <w:t>of</w:t>
      </w:r>
      <w:r>
        <w:rPr>
          <w:spacing w:val="-4"/>
        </w:rPr>
        <w:t xml:space="preserve"> </w:t>
      </w:r>
      <w:r>
        <w:t>2003</w:t>
      </w:r>
      <w:r>
        <w:rPr>
          <w:spacing w:val="-4"/>
        </w:rPr>
        <w:t xml:space="preserve"> </w:t>
      </w:r>
      <w:r>
        <w:t>(MMA)</w:t>
      </w:r>
      <w:r>
        <w:rPr>
          <w:spacing w:val="-3"/>
        </w:rPr>
        <w:t xml:space="preserve"> </w:t>
      </w:r>
      <w:r>
        <w:t>gives employers and unions a number of options for providing prescription drug coverage to their retirees. Employers and unions may–</w:t>
      </w:r>
    </w:p>
    <w:p>
      <w:pPr>
        <w:pStyle w:val="ListParagraph"/>
        <w:numPr>
          <w:ilvl w:val="0"/>
          <w:numId w:val="2"/>
        </w:numPr>
        <w:tabs>
          <w:tab w:val="left" w:pos="944"/>
        </w:tabs>
        <w:spacing w:before="120" w:after="0" w:line="240" w:lineRule="auto"/>
        <w:ind w:left="944" w:right="559" w:hanging="360"/>
        <w:jc w:val="left"/>
        <w:rPr>
          <w:sz w:val="24"/>
        </w:rPr>
      </w:pPr>
      <w:r>
        <w:rPr>
          <w:sz w:val="24"/>
        </w:rPr>
        <w:t>Provide</w:t>
      </w:r>
      <w:r>
        <w:rPr>
          <w:spacing w:val="-5"/>
          <w:sz w:val="24"/>
        </w:rPr>
        <w:t xml:space="preserve"> </w:t>
      </w:r>
      <w:r>
        <w:rPr>
          <w:sz w:val="24"/>
        </w:rPr>
        <w:t>coverage</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as</w:t>
      </w:r>
      <w:r>
        <w:rPr>
          <w:spacing w:val="-4"/>
          <w:sz w:val="24"/>
        </w:rPr>
        <w:t xml:space="preserve"> </w:t>
      </w:r>
      <w:r>
        <w:rPr>
          <w:sz w:val="24"/>
        </w:rPr>
        <w:t>good</w:t>
      </w:r>
      <w:r>
        <w:rPr>
          <w:spacing w:val="-3"/>
          <w:sz w:val="24"/>
        </w:rPr>
        <w:t xml:space="preserve"> </w:t>
      </w:r>
      <w:r>
        <w:rPr>
          <w:sz w:val="24"/>
        </w:rPr>
        <w:t>as</w:t>
      </w:r>
      <w:r>
        <w:rPr>
          <w:spacing w:val="-4"/>
          <w:sz w:val="24"/>
        </w:rPr>
        <w:t xml:space="preserve"> </w:t>
      </w:r>
      <w:r>
        <w:rPr>
          <w:sz w:val="24"/>
        </w:rPr>
        <w:t>Medicare’s</w:t>
      </w:r>
      <w:r>
        <w:rPr>
          <w:spacing w:val="-2"/>
          <w:sz w:val="24"/>
        </w:rPr>
        <w:t xml:space="preserve"> </w:t>
      </w:r>
      <w:r>
        <w:rPr>
          <w:sz w:val="24"/>
        </w:rPr>
        <w:t>Part</w:t>
      </w:r>
      <w:r>
        <w:rPr>
          <w:spacing w:val="-3"/>
          <w:sz w:val="24"/>
        </w:rPr>
        <w:t xml:space="preserve"> </w:t>
      </w:r>
      <w:r>
        <w:rPr>
          <w:sz w:val="24"/>
        </w:rPr>
        <w:t>D</w:t>
      </w:r>
      <w:r>
        <w:rPr>
          <w:spacing w:val="-4"/>
          <w:sz w:val="24"/>
        </w:rPr>
        <w:t xml:space="preserve"> </w:t>
      </w:r>
      <w:r>
        <w:rPr>
          <w:sz w:val="24"/>
        </w:rPr>
        <w:t>DS</w:t>
      </w:r>
      <w:r>
        <w:rPr>
          <w:spacing w:val="-3"/>
          <w:sz w:val="24"/>
        </w:rPr>
        <w:t xml:space="preserve"> </w:t>
      </w:r>
      <w:r>
        <w:rPr>
          <w:sz w:val="24"/>
        </w:rPr>
        <w:t>benefit</w:t>
      </w:r>
      <w:r>
        <w:rPr>
          <w:spacing w:val="-3"/>
          <w:sz w:val="24"/>
        </w:rPr>
        <w:t xml:space="preserve"> </w:t>
      </w:r>
      <w:r>
        <w:rPr>
          <w:sz w:val="24"/>
        </w:rPr>
        <w:t>and</w:t>
      </w:r>
      <w:r>
        <w:rPr>
          <w:spacing w:val="-3"/>
          <w:sz w:val="24"/>
        </w:rPr>
        <w:t xml:space="preserve"> </w:t>
      </w:r>
      <w:r>
        <w:rPr>
          <w:sz w:val="24"/>
        </w:rPr>
        <w:t>receive</w:t>
      </w:r>
      <w:r>
        <w:rPr>
          <w:spacing w:val="-3"/>
          <w:sz w:val="24"/>
        </w:rPr>
        <w:t xml:space="preserve"> </w:t>
      </w:r>
      <w:r>
        <w:rPr>
          <w:sz w:val="24"/>
        </w:rPr>
        <w:t>a</w:t>
      </w:r>
      <w:r>
        <w:rPr>
          <w:spacing w:val="-5"/>
          <w:sz w:val="24"/>
        </w:rPr>
        <w:t xml:space="preserve"> </w:t>
      </w:r>
      <w:r>
        <w:rPr>
          <w:sz w:val="24"/>
        </w:rPr>
        <w:t>retiree subsidy for a portion of the plan costs;</w:t>
      </w:r>
    </w:p>
    <w:p>
      <w:pPr>
        <w:pStyle w:val="ListParagraph"/>
        <w:numPr>
          <w:ilvl w:val="0"/>
          <w:numId w:val="2"/>
        </w:numPr>
        <w:tabs>
          <w:tab w:val="left" w:pos="944"/>
        </w:tabs>
        <w:spacing w:before="41" w:after="0" w:line="240" w:lineRule="auto"/>
        <w:ind w:left="944" w:right="0" w:hanging="360"/>
        <w:jc w:val="left"/>
        <w:rPr>
          <w:sz w:val="24"/>
        </w:rPr>
      </w:pPr>
      <w:r>
        <w:rPr>
          <w:sz w:val="24"/>
        </w:rPr>
        <w:t>Purchase</w:t>
      </w:r>
      <w:r>
        <w:rPr>
          <w:spacing w:val="-2"/>
          <w:sz w:val="24"/>
        </w:rPr>
        <w:t xml:space="preserve"> </w:t>
      </w:r>
      <w:r>
        <w:rPr>
          <w:sz w:val="24"/>
        </w:rPr>
        <w:t>customized</w:t>
      </w:r>
      <w:r>
        <w:rPr>
          <w:spacing w:val="-1"/>
          <w:sz w:val="24"/>
        </w:rPr>
        <w:t xml:space="preserve"> </w:t>
      </w:r>
      <w:r>
        <w:rPr>
          <w:sz w:val="24"/>
        </w:rPr>
        <w:t>benefits</w:t>
      </w:r>
      <w:r>
        <w:rPr>
          <w:spacing w:val="-1"/>
          <w:sz w:val="24"/>
        </w:rPr>
        <w:t xml:space="preserve"> </w:t>
      </w:r>
      <w:r>
        <w:rPr>
          <w:sz w:val="24"/>
        </w:rPr>
        <w:t>from</w:t>
      </w:r>
      <w:r>
        <w:rPr>
          <w:spacing w:val="-1"/>
          <w:sz w:val="24"/>
        </w:rPr>
        <w:t xml:space="preserve"> </w:t>
      </w:r>
      <w:r>
        <w:rPr>
          <w:sz w:val="24"/>
        </w:rPr>
        <w:t>a</w:t>
      </w:r>
      <w:r>
        <w:rPr>
          <w:spacing w:val="-1"/>
          <w:sz w:val="24"/>
        </w:rPr>
        <w:t xml:space="preserve"> </w:t>
      </w:r>
      <w:r>
        <w:rPr>
          <w:sz w:val="24"/>
        </w:rPr>
        <w:t>PDP or</w:t>
      </w:r>
      <w:r>
        <w:rPr>
          <w:spacing w:val="-1"/>
          <w:sz w:val="24"/>
        </w:rPr>
        <w:t xml:space="preserve"> </w:t>
      </w:r>
      <w:r>
        <w:rPr>
          <w:sz w:val="24"/>
        </w:rPr>
        <w:t>MA-PD</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CMS</w:t>
      </w:r>
      <w:r>
        <w:rPr>
          <w:spacing w:val="-1"/>
          <w:sz w:val="24"/>
        </w:rPr>
        <w:t xml:space="preserve"> </w:t>
      </w:r>
      <w:r>
        <w:rPr>
          <w:sz w:val="24"/>
        </w:rPr>
        <w:t xml:space="preserve">waivers; </w:t>
      </w:r>
      <w:r>
        <w:rPr>
          <w:spacing w:val="-5"/>
          <w:sz w:val="24"/>
        </w:rPr>
        <w:t>or</w:t>
      </w:r>
    </w:p>
    <w:p>
      <w:pPr>
        <w:pStyle w:val="ListParagraph"/>
        <w:numPr>
          <w:ilvl w:val="0"/>
          <w:numId w:val="2"/>
        </w:numPr>
        <w:tabs>
          <w:tab w:val="left" w:pos="944"/>
        </w:tabs>
        <w:spacing w:before="40" w:after="0" w:line="240" w:lineRule="auto"/>
        <w:ind w:left="944" w:right="483" w:hanging="360"/>
        <w:jc w:val="left"/>
        <w:rPr>
          <w:sz w:val="24"/>
        </w:rPr>
      </w:pPr>
      <w:r>
        <w:rPr>
          <w:sz w:val="24"/>
        </w:rPr>
        <w:t>Contract</w:t>
      </w:r>
      <w:r>
        <w:rPr>
          <w:spacing w:val="-4"/>
          <w:sz w:val="24"/>
        </w:rPr>
        <w:t xml:space="preserve"> </w:t>
      </w:r>
      <w:r>
        <w:rPr>
          <w:sz w:val="24"/>
        </w:rPr>
        <w:t>directly</w:t>
      </w:r>
      <w:r>
        <w:rPr>
          <w:spacing w:val="-4"/>
          <w:sz w:val="24"/>
        </w:rPr>
        <w:t xml:space="preserve"> </w:t>
      </w:r>
      <w:r>
        <w:rPr>
          <w:sz w:val="24"/>
        </w:rPr>
        <w:t>with</w:t>
      </w:r>
      <w:r>
        <w:rPr>
          <w:spacing w:val="-4"/>
          <w:sz w:val="24"/>
        </w:rPr>
        <w:t xml:space="preserve"> </w:t>
      </w:r>
      <w:r>
        <w:rPr>
          <w:sz w:val="24"/>
        </w:rPr>
        <w:t>CMS</w:t>
      </w:r>
      <w:r>
        <w:rPr>
          <w:spacing w:val="-4"/>
          <w:sz w:val="24"/>
        </w:rPr>
        <w:t xml:space="preserve"> </w:t>
      </w:r>
      <w:r>
        <w:rPr>
          <w:sz w:val="24"/>
        </w:rPr>
        <w:t>to</w:t>
      </w:r>
      <w:r>
        <w:rPr>
          <w:spacing w:val="-4"/>
          <w:sz w:val="24"/>
        </w:rPr>
        <w:t xml:space="preserve"> </w:t>
      </w:r>
      <w:r>
        <w:rPr>
          <w:sz w:val="24"/>
        </w:rPr>
        <w:t>become</w:t>
      </w:r>
      <w:r>
        <w:rPr>
          <w:spacing w:val="-4"/>
          <w:sz w:val="24"/>
        </w:rPr>
        <w:t xml:space="preserve"> </w:t>
      </w:r>
      <w:r>
        <w:rPr>
          <w:sz w:val="24"/>
        </w:rPr>
        <w:t>a</w:t>
      </w:r>
      <w:r>
        <w:rPr>
          <w:spacing w:val="-6"/>
          <w:sz w:val="24"/>
        </w:rPr>
        <w:t xml:space="preserve"> </w:t>
      </w:r>
      <w:r>
        <w:rPr>
          <w:sz w:val="24"/>
        </w:rPr>
        <w:t>PDP</w:t>
      </w:r>
      <w:r>
        <w:rPr>
          <w:spacing w:val="-4"/>
          <w:sz w:val="24"/>
        </w:rPr>
        <w:t xml:space="preserve"> </w:t>
      </w:r>
      <w:r>
        <w:rPr>
          <w:sz w:val="24"/>
        </w:rPr>
        <w:t>and</w:t>
      </w:r>
      <w:r>
        <w:rPr>
          <w:spacing w:val="-1"/>
          <w:sz w:val="24"/>
        </w:rPr>
        <w:t xml:space="preserve"> </w:t>
      </w:r>
      <w:r>
        <w:rPr>
          <w:sz w:val="24"/>
        </w:rPr>
        <w:t>provide</w:t>
      </w:r>
      <w:r>
        <w:rPr>
          <w:spacing w:val="-6"/>
          <w:sz w:val="24"/>
        </w:rPr>
        <w:t xml:space="preserve"> </w:t>
      </w:r>
      <w:r>
        <w:rPr>
          <w:sz w:val="24"/>
        </w:rPr>
        <w:t>customized</w:t>
      </w:r>
      <w:r>
        <w:rPr>
          <w:spacing w:val="-4"/>
          <w:sz w:val="24"/>
        </w:rPr>
        <w:t xml:space="preserve"> </w:t>
      </w:r>
      <w:r>
        <w:rPr>
          <w:sz w:val="24"/>
        </w:rPr>
        <w:t>benefits</w:t>
      </w:r>
      <w:r>
        <w:rPr>
          <w:spacing w:val="-4"/>
          <w:sz w:val="24"/>
        </w:rPr>
        <w:t xml:space="preserve"> </w:t>
      </w:r>
      <w:r>
        <w:rPr>
          <w:sz w:val="24"/>
        </w:rPr>
        <w:t>pursuant to CMS waivers.</w:t>
      </w:r>
    </w:p>
    <w:p>
      <w:pPr>
        <w:pStyle w:val="BodyText"/>
        <w:spacing w:before="119"/>
        <w:ind w:left="224" w:right="455"/>
      </w:pPr>
      <w:r>
        <w:t>Under</w:t>
      </w:r>
      <w:r>
        <w:rPr>
          <w:spacing w:val="-1"/>
        </w:rPr>
        <w:t xml:space="preserve"> </w:t>
      </w:r>
      <w:r>
        <w:t>Sections 1860D-22(b)</w:t>
      </w:r>
      <w:r>
        <w:rPr>
          <w:spacing w:val="-2"/>
        </w:rPr>
        <w:t xml:space="preserve"> </w:t>
      </w:r>
      <w:r>
        <w:t>and 1857(i) of the</w:t>
      </w:r>
      <w:r>
        <w:rPr>
          <w:spacing w:val="-2"/>
        </w:rPr>
        <w:t xml:space="preserve"> </w:t>
      </w:r>
      <w:r>
        <w:t>Social Security Act (SSA), CMS may waive or modify</w:t>
      </w:r>
      <w:r>
        <w:rPr>
          <w:spacing w:val="-1"/>
        </w:rPr>
        <w:t xml:space="preserve"> </w:t>
      </w:r>
      <w:r>
        <w:t>Part D</w:t>
      </w:r>
      <w:r>
        <w:rPr>
          <w:spacing w:val="-1"/>
        </w:rPr>
        <w:t xml:space="preserve"> </w:t>
      </w:r>
      <w:r>
        <w:t>requirements that hinder the</w:t>
      </w:r>
      <w:r>
        <w:rPr>
          <w:spacing w:val="-2"/>
        </w:rPr>
        <w:t xml:space="preserve"> </w:t>
      </w:r>
      <w:r>
        <w:t>design of, offering of, or enrollment in an employer or union Part D retiree plan. The waiver authority applies to PDPs and MA-PDs that offer employer/union-only</w:t>
      </w:r>
      <w:r>
        <w:rPr>
          <w:spacing w:val="-4"/>
        </w:rPr>
        <w:t xml:space="preserve"> </w:t>
      </w:r>
      <w:r>
        <w:t>group</w:t>
      </w:r>
      <w:r>
        <w:rPr>
          <w:spacing w:val="-4"/>
        </w:rPr>
        <w:t xml:space="preserve"> </w:t>
      </w:r>
      <w:r>
        <w:t>plans</w:t>
      </w:r>
      <w:r>
        <w:rPr>
          <w:spacing w:val="-4"/>
        </w:rPr>
        <w:t xml:space="preserve"> </w:t>
      </w:r>
      <w:r>
        <w:t>and</w:t>
      </w:r>
      <w:r>
        <w:rPr>
          <w:spacing w:val="-4"/>
        </w:rPr>
        <w:t xml:space="preserve"> </w:t>
      </w:r>
      <w:r>
        <w:t>to</w:t>
      </w:r>
      <w:r>
        <w:rPr>
          <w:spacing w:val="-4"/>
        </w:rPr>
        <w:t xml:space="preserve"> </w:t>
      </w:r>
      <w:r>
        <w:t>employer/union-only</w:t>
      </w:r>
      <w:r>
        <w:rPr>
          <w:spacing w:val="-4"/>
        </w:rPr>
        <w:t xml:space="preserve"> </w:t>
      </w:r>
      <w:r>
        <w:t>groups</w:t>
      </w:r>
      <w:r>
        <w:rPr>
          <w:spacing w:val="-4"/>
        </w:rPr>
        <w:t xml:space="preserve"> </w:t>
      </w:r>
      <w:r>
        <w:t>that</w:t>
      </w:r>
      <w:r>
        <w:rPr>
          <w:spacing w:val="-4"/>
        </w:rPr>
        <w:t xml:space="preserve"> </w:t>
      </w:r>
      <w:r>
        <w:t>contract</w:t>
      </w:r>
      <w:r>
        <w:rPr>
          <w:spacing w:val="-4"/>
        </w:rPr>
        <w:t xml:space="preserve"> </w:t>
      </w:r>
      <w:r>
        <w:t>directly</w:t>
      </w:r>
      <w:r>
        <w:rPr>
          <w:spacing w:val="-4"/>
        </w:rPr>
        <w:t xml:space="preserve"> </w:t>
      </w:r>
      <w:r>
        <w:t>with CMS to become a PDP.</w:t>
      </w:r>
    </w:p>
    <w:p>
      <w:pPr>
        <w:pStyle w:val="BodyText"/>
        <w:spacing w:before="122"/>
        <w:ind w:left="224" w:right="478"/>
      </w:pPr>
      <w:r>
        <w:t>For</w:t>
      </w:r>
      <w:r>
        <w:rPr>
          <w:spacing w:val="-3"/>
        </w:rPr>
        <w:t xml:space="preserve"> </w:t>
      </w:r>
      <w:r>
        <w:t>CY2006,</w:t>
      </w:r>
      <w:r>
        <w:rPr>
          <w:spacing w:val="-3"/>
        </w:rPr>
        <w:t xml:space="preserve"> </w:t>
      </w:r>
      <w:r>
        <w:t>CMS</w:t>
      </w:r>
      <w:r>
        <w:rPr>
          <w:spacing w:val="-2"/>
        </w:rPr>
        <w:t xml:space="preserve"> </w:t>
      </w:r>
      <w:r>
        <w:t>issued</w:t>
      </w:r>
      <w:r>
        <w:rPr>
          <w:spacing w:val="-3"/>
        </w:rPr>
        <w:t xml:space="preserve"> </w:t>
      </w:r>
      <w:r>
        <w:t>guidance</w:t>
      </w:r>
      <w:r>
        <w:rPr>
          <w:spacing w:val="-4"/>
        </w:rPr>
        <w:t xml:space="preserve"> </w:t>
      </w:r>
      <w:r>
        <w:t>that</w:t>
      </w:r>
      <w:r>
        <w:rPr>
          <w:spacing w:val="-3"/>
        </w:rPr>
        <w:t xml:space="preserve"> </w:t>
      </w:r>
      <w:r>
        <w:t>waives</w:t>
      </w:r>
      <w:r>
        <w:rPr>
          <w:spacing w:val="-3"/>
        </w:rPr>
        <w:t xml:space="preserve"> </w:t>
      </w:r>
      <w:r>
        <w:t>or</w:t>
      </w:r>
      <w:r>
        <w:rPr>
          <w:spacing w:val="-2"/>
        </w:rPr>
        <w:t xml:space="preserve"> </w:t>
      </w:r>
      <w:r>
        <w:t>modifies</w:t>
      </w:r>
      <w:r>
        <w:rPr>
          <w:spacing w:val="-3"/>
        </w:rPr>
        <w:t xml:space="preserve"> </w:t>
      </w:r>
      <w:r>
        <w:t>many</w:t>
      </w:r>
      <w:r>
        <w:rPr>
          <w:spacing w:val="-3"/>
        </w:rPr>
        <w:t xml:space="preserve"> </w:t>
      </w:r>
      <w:r>
        <w:t>of</w:t>
      </w:r>
      <w:r>
        <w:rPr>
          <w:spacing w:val="-4"/>
        </w:rPr>
        <w:t xml:space="preserve"> </w:t>
      </w:r>
      <w:r>
        <w:t>the</w:t>
      </w:r>
      <w:r>
        <w:rPr>
          <w:spacing w:val="-3"/>
        </w:rPr>
        <w:t xml:space="preserve"> </w:t>
      </w:r>
      <w:r>
        <w:t>requirements</w:t>
      </w:r>
      <w:r>
        <w:rPr>
          <w:spacing w:val="-3"/>
        </w:rPr>
        <w:t xml:space="preserve"> </w:t>
      </w:r>
      <w:r>
        <w:t>for</w:t>
      </w:r>
      <w:r>
        <w:rPr>
          <w:spacing w:val="-5"/>
        </w:rPr>
        <w:t xml:space="preserve"> </w:t>
      </w:r>
      <w:r>
        <w:t>these entities. All of the standard Part D bidding guidelines apply, with the exception of those specifically waived.</w:t>
      </w:r>
    </w:p>
    <w:p>
      <w:pPr>
        <w:pStyle w:val="BodyText"/>
        <w:ind w:left="224"/>
      </w:pPr>
      <w:r>
        <w:t>For</w:t>
      </w:r>
      <w:r>
        <w:rPr>
          <w:spacing w:val="-1"/>
        </w:rPr>
        <w:t xml:space="preserve"> </w:t>
      </w:r>
      <w:r>
        <w:t>CY2026,</w:t>
      </w:r>
      <w:r>
        <w:rPr>
          <w:spacing w:val="-1"/>
        </w:rPr>
        <w:t xml:space="preserve"> </w:t>
      </w:r>
      <w:r>
        <w:t>CMS</w:t>
      </w:r>
      <w:r>
        <w:rPr>
          <w:spacing w:val="-1"/>
        </w:rPr>
        <w:t xml:space="preserve"> </w:t>
      </w:r>
      <w:r>
        <w:t>does not</w:t>
      </w:r>
      <w:r>
        <w:rPr>
          <w:spacing w:val="-1"/>
        </w:rPr>
        <w:t xml:space="preserve"> </w:t>
      </w:r>
      <w:r>
        <w:t>require</w:t>
      </w:r>
      <w:r>
        <w:rPr>
          <w:spacing w:val="-3"/>
        </w:rPr>
        <w:t xml:space="preserve"> </w:t>
      </w:r>
      <w:r>
        <w:t>a Part</w:t>
      </w:r>
      <w:r>
        <w:rPr>
          <w:spacing w:val="-1"/>
        </w:rPr>
        <w:t xml:space="preserve"> </w:t>
      </w:r>
      <w:r>
        <w:t>D</w:t>
      </w:r>
      <w:r>
        <w:rPr>
          <w:spacing w:val="-2"/>
        </w:rPr>
        <w:t xml:space="preserve"> </w:t>
      </w:r>
      <w:r>
        <w:t>BPT for</w:t>
      </w:r>
      <w:r>
        <w:rPr>
          <w:spacing w:val="-1"/>
        </w:rPr>
        <w:t xml:space="preserve"> </w:t>
      </w:r>
      <w:r>
        <w:t>employer/union-only</w:t>
      </w:r>
      <w:r>
        <w:rPr>
          <w:spacing w:val="1"/>
        </w:rPr>
        <w:t xml:space="preserve"> </w:t>
      </w:r>
      <w:r>
        <w:t>group</w:t>
      </w:r>
      <w:r>
        <w:rPr>
          <w:spacing w:val="-1"/>
        </w:rPr>
        <w:t xml:space="preserve"> </w:t>
      </w:r>
      <w:r>
        <w:rPr>
          <w:spacing w:val="-2"/>
        </w:rPr>
        <w:t>plans.</w:t>
      </w:r>
    </w:p>
    <w:p>
      <w:pPr>
        <w:spacing w:after="0"/>
        <w:sectPr>
          <w:headerReference w:type="default" r:id="rId39"/>
          <w:footerReference w:type="default" r:id="rId40"/>
          <w:pgSz w:w="12240" w:h="15840"/>
          <w:pgMar w:top="1340" w:right="1000" w:bottom="940" w:left="1360" w:header="727" w:footer="747"/>
          <w:cols w:space="720"/>
        </w:sectPr>
      </w:pPr>
    </w:p>
    <w:p>
      <w:pPr>
        <w:spacing w:before="207" w:line="322" w:lineRule="exact"/>
        <w:ind w:left="224" w:right="0" w:firstLine="0"/>
        <w:jc w:val="left"/>
        <w:rPr>
          <w:rFonts w:ascii="Arial" w:hAnsi="Arial"/>
          <w:b/>
          <w:sz w:val="28"/>
        </w:rPr>
      </w:pPr>
      <w:bookmarkStart w:id="298" w:name="Appendix D – Calculation of National Ave"/>
      <w:bookmarkEnd w:id="298"/>
      <w:bookmarkStart w:id="299" w:name="_bookmark87"/>
      <w:bookmarkEnd w:id="299"/>
      <w:r>
        <w:rPr>
          <w:rFonts w:ascii="Arial" w:hAnsi="Arial"/>
          <w:b/>
          <w:sz w:val="28"/>
        </w:rPr>
        <w:t>APPENDIX</w:t>
      </w:r>
      <w:r>
        <w:rPr>
          <w:rFonts w:ascii="Arial" w:hAnsi="Arial"/>
          <w:b/>
          <w:spacing w:val="-10"/>
          <w:sz w:val="28"/>
        </w:rPr>
        <w:t xml:space="preserve"> </w:t>
      </w:r>
      <w:r>
        <w:rPr>
          <w:rFonts w:ascii="Arial" w:hAnsi="Arial"/>
          <w:b/>
          <w:sz w:val="28"/>
        </w:rPr>
        <w:t>D</w:t>
      </w:r>
      <w:r>
        <w:rPr>
          <w:rFonts w:ascii="Arial" w:hAnsi="Arial"/>
          <w:b/>
          <w:spacing w:val="-6"/>
          <w:sz w:val="28"/>
        </w:rPr>
        <w:t xml:space="preserve"> </w:t>
      </w:r>
      <w:r>
        <w:rPr>
          <w:rFonts w:ascii="Arial" w:hAnsi="Arial"/>
          <w:b/>
          <w:sz w:val="28"/>
        </w:rPr>
        <w:t>–</w:t>
      </w:r>
      <w:r>
        <w:rPr>
          <w:rFonts w:ascii="Arial" w:hAnsi="Arial"/>
          <w:b/>
          <w:spacing w:val="-8"/>
          <w:sz w:val="28"/>
        </w:rPr>
        <w:t xml:space="preserve"> </w:t>
      </w:r>
      <w:r>
        <w:rPr>
          <w:rFonts w:ascii="Arial" w:hAnsi="Arial"/>
          <w:b/>
          <w:sz w:val="28"/>
        </w:rPr>
        <w:t>CALCULATION</w:t>
      </w:r>
      <w:r>
        <w:rPr>
          <w:rFonts w:ascii="Arial" w:hAnsi="Arial"/>
          <w:b/>
          <w:spacing w:val="-8"/>
          <w:sz w:val="28"/>
        </w:rPr>
        <w:t xml:space="preserve"> </w:t>
      </w:r>
      <w:r>
        <w:rPr>
          <w:rFonts w:ascii="Arial" w:hAnsi="Arial"/>
          <w:b/>
          <w:sz w:val="28"/>
        </w:rPr>
        <w:t>OF</w:t>
      </w:r>
      <w:r>
        <w:rPr>
          <w:rFonts w:ascii="Arial" w:hAnsi="Arial"/>
          <w:b/>
          <w:spacing w:val="-7"/>
          <w:sz w:val="28"/>
        </w:rPr>
        <w:t xml:space="preserve"> </w:t>
      </w:r>
      <w:r>
        <w:rPr>
          <w:rFonts w:ascii="Arial" w:hAnsi="Arial"/>
          <w:b/>
          <w:sz w:val="28"/>
        </w:rPr>
        <w:t>NATIONAL</w:t>
      </w:r>
      <w:r>
        <w:rPr>
          <w:rFonts w:ascii="Arial" w:hAnsi="Arial"/>
          <w:b/>
          <w:spacing w:val="-5"/>
          <w:sz w:val="28"/>
        </w:rPr>
        <w:t xml:space="preserve"> </w:t>
      </w:r>
      <w:r>
        <w:rPr>
          <w:rFonts w:ascii="Arial" w:hAnsi="Arial"/>
          <w:b/>
          <w:sz w:val="28"/>
        </w:rPr>
        <w:t>AVERAGE</w:t>
      </w:r>
      <w:r>
        <w:rPr>
          <w:rFonts w:ascii="Arial" w:hAnsi="Arial"/>
          <w:b/>
          <w:spacing w:val="-8"/>
          <w:sz w:val="28"/>
        </w:rPr>
        <w:t xml:space="preserve"> </w:t>
      </w:r>
      <w:r>
        <w:rPr>
          <w:rFonts w:ascii="Arial" w:hAnsi="Arial"/>
          <w:b/>
          <w:spacing w:val="-2"/>
          <w:sz w:val="28"/>
        </w:rPr>
        <w:t>MONTHLY</w:t>
      </w:r>
    </w:p>
    <w:p>
      <w:pPr>
        <w:tabs>
          <w:tab w:val="left" w:pos="9470"/>
        </w:tabs>
        <w:spacing w:before="0"/>
        <w:ind w:left="195" w:right="0" w:firstLine="0"/>
        <w:jc w:val="left"/>
        <w:rPr>
          <w:rFonts w:ascii="Arial"/>
          <w:b/>
          <w:sz w:val="28"/>
        </w:rPr>
      </w:pPr>
      <w:r>
        <w:rPr>
          <w:rFonts w:ascii="Arial"/>
          <w:b/>
          <w:spacing w:val="-50"/>
          <w:sz w:val="28"/>
          <w:u w:val="single"/>
        </w:rPr>
        <w:t xml:space="preserve"> </w:t>
      </w:r>
      <w:r>
        <w:rPr>
          <w:rFonts w:ascii="Arial"/>
          <w:b/>
          <w:sz w:val="28"/>
          <w:u w:val="single"/>
        </w:rPr>
        <w:t>BID</w:t>
      </w:r>
      <w:r>
        <w:rPr>
          <w:rFonts w:ascii="Arial"/>
          <w:b/>
          <w:spacing w:val="-3"/>
          <w:sz w:val="28"/>
          <w:u w:val="single"/>
        </w:rPr>
        <w:t xml:space="preserve"> </w:t>
      </w:r>
      <w:r>
        <w:rPr>
          <w:rFonts w:ascii="Arial"/>
          <w:b/>
          <w:spacing w:val="-2"/>
          <w:sz w:val="28"/>
          <w:u w:val="single"/>
        </w:rPr>
        <w:t>AMOUNT</w:t>
      </w:r>
      <w:r>
        <w:rPr>
          <w:rFonts w:ascii="Arial"/>
          <w:b/>
          <w:sz w:val="28"/>
          <w:u w:val="single"/>
        </w:rPr>
        <w:tab/>
      </w:r>
    </w:p>
    <w:p>
      <w:pPr>
        <w:pStyle w:val="BodyText"/>
        <w:spacing w:before="270"/>
        <w:ind w:left="224"/>
      </w:pPr>
      <w:r>
        <w:t>The</w:t>
      </w:r>
      <w:r>
        <w:rPr>
          <w:spacing w:val="-5"/>
        </w:rPr>
        <w:t xml:space="preserve"> </w:t>
      </w:r>
      <w:r>
        <w:t>CY2026 benchmarks will</w:t>
      </w:r>
      <w:r>
        <w:rPr>
          <w:spacing w:val="-1"/>
        </w:rPr>
        <w:t xml:space="preserve"> </w:t>
      </w:r>
      <w:r>
        <w:t>be</w:t>
      </w:r>
      <w:r>
        <w:rPr>
          <w:spacing w:val="-1"/>
        </w:rPr>
        <w:t xml:space="preserve"> </w:t>
      </w:r>
      <w:r>
        <w:t>based on the 2025 enrollments applied</w:t>
      </w:r>
      <w:r>
        <w:rPr>
          <w:spacing w:val="-1"/>
        </w:rPr>
        <w:t xml:space="preserve"> </w:t>
      </w:r>
      <w:r>
        <w:t xml:space="preserve">to the 2026 </w:t>
      </w:r>
      <w:r>
        <w:rPr>
          <w:spacing w:val="-2"/>
        </w:rPr>
        <w:t>bids.</w:t>
      </w:r>
    </w:p>
    <w:p>
      <w:pPr>
        <w:pStyle w:val="BodyText"/>
        <w:ind w:left="224" w:right="1044"/>
      </w:pPr>
      <w:r>
        <w:t>The following table illustrates the impact of the weighted enrollment methodology for two</w:t>
      </w:r>
      <w:r>
        <w:rPr>
          <w:spacing w:val="-4"/>
        </w:rPr>
        <w:t xml:space="preserve"> </w:t>
      </w:r>
      <w:r>
        <w:t>enrollment</w:t>
      </w:r>
      <w:r>
        <w:rPr>
          <w:spacing w:val="-3"/>
        </w:rPr>
        <w:t xml:space="preserve"> </w:t>
      </w:r>
      <w:r>
        <w:t>periods,</w:t>
      </w:r>
      <w:r>
        <w:rPr>
          <w:spacing w:val="-3"/>
        </w:rPr>
        <w:t xml:space="preserve"> </w:t>
      </w:r>
      <w:r>
        <w:t>June</w:t>
      </w:r>
      <w:r>
        <w:rPr>
          <w:spacing w:val="-3"/>
        </w:rPr>
        <w:t xml:space="preserve"> </w:t>
      </w:r>
      <w:r>
        <w:t>2024</w:t>
      </w:r>
      <w:r>
        <w:rPr>
          <w:spacing w:val="-3"/>
        </w:rPr>
        <w:t xml:space="preserve"> </w:t>
      </w:r>
      <w:r>
        <w:t>and</w:t>
      </w:r>
      <w:r>
        <w:rPr>
          <w:spacing w:val="-3"/>
        </w:rPr>
        <w:t xml:space="preserve"> </w:t>
      </w:r>
      <w:r>
        <w:t>March</w:t>
      </w:r>
      <w:r>
        <w:rPr>
          <w:spacing w:val="-3"/>
        </w:rPr>
        <w:t xml:space="preserve"> </w:t>
      </w:r>
      <w:r>
        <w:t>2025.</w:t>
      </w:r>
      <w:r>
        <w:rPr>
          <w:spacing w:val="-3"/>
        </w:rPr>
        <w:t xml:space="preserve"> </w:t>
      </w:r>
      <w:r>
        <w:t>Recall</w:t>
      </w:r>
      <w:r>
        <w:rPr>
          <w:spacing w:val="-3"/>
        </w:rPr>
        <w:t xml:space="preserve"> </w:t>
      </w:r>
      <w:r>
        <w:t>that</w:t>
      </w:r>
      <w:r>
        <w:rPr>
          <w:spacing w:val="-3"/>
        </w:rPr>
        <w:t xml:space="preserve"> </w:t>
      </w:r>
      <w:r>
        <w:t>the</w:t>
      </w:r>
      <w:r>
        <w:rPr>
          <w:spacing w:val="-3"/>
        </w:rPr>
        <w:t xml:space="preserve"> </w:t>
      </w:r>
      <w:r>
        <w:t>2025</w:t>
      </w:r>
      <w:r>
        <w:rPr>
          <w:spacing w:val="-3"/>
        </w:rPr>
        <w:t xml:space="preserve"> </w:t>
      </w:r>
      <w:r>
        <w:t>benchmark</w:t>
      </w:r>
      <w:r>
        <w:rPr>
          <w:spacing w:val="-3"/>
        </w:rPr>
        <w:t xml:space="preserve"> </w:t>
      </w:r>
      <w:r>
        <w:t>was calculated as 100 percent of the enrollment-weighted approach.</w:t>
      </w:r>
    </w:p>
    <w:p>
      <w:pPr>
        <w:pStyle w:val="BodyText"/>
        <w:ind w:left="224"/>
      </w:pPr>
      <w:r>
        <w:t>The</w:t>
      </w:r>
      <w:r>
        <w:rPr>
          <w:spacing w:val="-5"/>
        </w:rPr>
        <w:t xml:space="preserve"> </w:t>
      </w:r>
      <w:r>
        <w:t>same</w:t>
      </w:r>
      <w:r>
        <w:rPr>
          <w:spacing w:val="-1"/>
        </w:rPr>
        <w:t xml:space="preserve"> </w:t>
      </w:r>
      <w:r>
        <w:t>values are</w:t>
      </w:r>
      <w:r>
        <w:rPr>
          <w:spacing w:val="-2"/>
        </w:rPr>
        <w:t xml:space="preserve"> </w:t>
      </w:r>
      <w:r>
        <w:t>presented based</w:t>
      </w:r>
      <w:r>
        <w:rPr>
          <w:spacing w:val="-1"/>
        </w:rPr>
        <w:t xml:space="preserve"> </w:t>
      </w:r>
      <w:r>
        <w:t>on</w:t>
      </w:r>
      <w:r>
        <w:rPr>
          <w:spacing w:val="-1"/>
        </w:rPr>
        <w:t xml:space="preserve"> </w:t>
      </w:r>
      <w:r>
        <w:t>the</w:t>
      </w:r>
      <w:r>
        <w:rPr>
          <w:spacing w:val="1"/>
        </w:rPr>
        <w:t xml:space="preserve"> </w:t>
      </w:r>
      <w:r>
        <w:t>March</w:t>
      </w:r>
      <w:r>
        <w:rPr>
          <w:spacing w:val="-1"/>
        </w:rPr>
        <w:t xml:space="preserve"> </w:t>
      </w:r>
      <w:r>
        <w:t>2025 enrollment.</w:t>
      </w:r>
      <w:r>
        <w:rPr>
          <w:spacing w:val="-1"/>
        </w:rPr>
        <w:t xml:space="preserve"> </w:t>
      </w:r>
      <w:r>
        <w:t>Since</w:t>
      </w:r>
      <w:r>
        <w:rPr>
          <w:spacing w:val="-2"/>
        </w:rPr>
        <w:t xml:space="preserve"> </w:t>
      </w:r>
      <w:r>
        <w:rPr>
          <w:spacing w:val="-5"/>
        </w:rPr>
        <w:t>the</w:t>
      </w:r>
    </w:p>
    <w:p>
      <w:pPr>
        <w:pStyle w:val="BodyText"/>
        <w:spacing w:before="0"/>
        <w:ind w:left="224" w:right="478"/>
      </w:pPr>
      <w:r>
        <w:t>2026</w:t>
      </w:r>
      <w:r>
        <w:rPr>
          <w:spacing w:val="-4"/>
        </w:rPr>
        <w:t xml:space="preserve"> </w:t>
      </w:r>
      <w:r>
        <w:t>benchmarks</w:t>
      </w:r>
      <w:r>
        <w:rPr>
          <w:spacing w:val="-3"/>
        </w:rPr>
        <w:t xml:space="preserve"> </w:t>
      </w:r>
      <w:r>
        <w:t>will</w:t>
      </w:r>
      <w:r>
        <w:rPr>
          <w:spacing w:val="-3"/>
        </w:rPr>
        <w:t xml:space="preserve"> </w:t>
      </w:r>
      <w:r>
        <w:t>be</w:t>
      </w:r>
      <w:r>
        <w:rPr>
          <w:spacing w:val="-2"/>
        </w:rPr>
        <w:t xml:space="preserve"> </w:t>
      </w:r>
      <w:r>
        <w:t>based</w:t>
      </w:r>
      <w:r>
        <w:rPr>
          <w:spacing w:val="-3"/>
        </w:rPr>
        <w:t xml:space="preserve"> </w:t>
      </w:r>
      <w:r>
        <w:t>on</w:t>
      </w:r>
      <w:r>
        <w:rPr>
          <w:spacing w:val="-2"/>
        </w:rPr>
        <w:t xml:space="preserve"> </w:t>
      </w:r>
      <w:r>
        <w:t>2025</w:t>
      </w:r>
      <w:r>
        <w:rPr>
          <w:spacing w:val="-3"/>
        </w:rPr>
        <w:t xml:space="preserve"> </w:t>
      </w:r>
      <w:r>
        <w:t>enrollment,</w:t>
      </w:r>
      <w:r>
        <w:rPr>
          <w:spacing w:val="-3"/>
        </w:rPr>
        <w:t xml:space="preserve"> </w:t>
      </w:r>
      <w:r>
        <w:t>these</w:t>
      </w:r>
      <w:r>
        <w:rPr>
          <w:spacing w:val="-4"/>
        </w:rPr>
        <w:t xml:space="preserve"> </w:t>
      </w:r>
      <w:r>
        <w:t>values</w:t>
      </w:r>
      <w:r>
        <w:rPr>
          <w:spacing w:val="-3"/>
        </w:rPr>
        <w:t xml:space="preserve"> </w:t>
      </w:r>
      <w:r>
        <w:t>may</w:t>
      </w:r>
      <w:r>
        <w:rPr>
          <w:spacing w:val="-3"/>
        </w:rPr>
        <w:t xml:space="preserve"> </w:t>
      </w:r>
      <w:r>
        <w:t>be</w:t>
      </w:r>
      <w:r>
        <w:rPr>
          <w:spacing w:val="-4"/>
        </w:rPr>
        <w:t xml:space="preserve"> </w:t>
      </w:r>
      <w:r>
        <w:t>useful</w:t>
      </w:r>
      <w:r>
        <w:rPr>
          <w:spacing w:val="-3"/>
        </w:rPr>
        <w:t xml:space="preserve"> </w:t>
      </w:r>
      <w:r>
        <w:t>for</w:t>
      </w:r>
      <w:r>
        <w:rPr>
          <w:spacing w:val="-3"/>
        </w:rPr>
        <w:t xml:space="preserve"> </w:t>
      </w:r>
      <w:r>
        <w:t>estimating the 2026 benchmarks. The left section of the table shows the actual 2025 benchmarks, which were calculated based on June 2024 enrollment. The right section, titled “March 2025 Enrollment,” indicates how the 2025 benchmarks would have been calculated based on more current enrollment data.</w:t>
      </w:r>
    </w:p>
    <w:p>
      <w:pPr>
        <w:pStyle w:val="BodyText"/>
        <w:spacing w:before="7"/>
        <w:ind w:left="0"/>
        <w:rPr>
          <w:sz w:val="10"/>
        </w:rPr>
      </w:pPr>
    </w:p>
    <w:tbl>
      <w:tblPr>
        <w:tblStyle w:val="TableNormal"/>
        <w:tblW w:w="0" w:type="auto"/>
        <w:jc w:val="left"/>
        <w:tblInd w:w="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15"/>
        <w:gridCol w:w="2160"/>
        <w:gridCol w:w="2071"/>
      </w:tblGrid>
      <w:tr>
        <w:tblPrEx>
          <w:tblW w:w="0" w:type="auto"/>
          <w:jc w:val="left"/>
          <w:tblInd w:w="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402"/>
          <w:jc w:val="left"/>
        </w:trPr>
        <w:tc>
          <w:tcPr>
            <w:tcW w:w="4515" w:type="dxa"/>
          </w:tcPr>
          <w:p>
            <w:pPr>
              <w:pStyle w:val="TableParagraph"/>
              <w:ind w:left="0"/>
              <w:rPr>
                <w:sz w:val="24"/>
              </w:rPr>
            </w:pPr>
          </w:p>
        </w:tc>
        <w:tc>
          <w:tcPr>
            <w:tcW w:w="4231" w:type="dxa"/>
            <w:gridSpan w:val="2"/>
          </w:tcPr>
          <w:p>
            <w:pPr>
              <w:pStyle w:val="TableParagraph"/>
              <w:spacing w:before="61"/>
              <w:ind w:left="460"/>
              <w:rPr>
                <w:b/>
                <w:sz w:val="24"/>
              </w:rPr>
            </w:pPr>
            <w:r>
              <w:rPr>
                <w:b/>
                <w:sz w:val="24"/>
              </w:rPr>
              <w:t>Enrollment</w:t>
            </w:r>
            <w:r>
              <w:rPr>
                <w:b/>
                <w:spacing w:val="-2"/>
                <w:sz w:val="24"/>
              </w:rPr>
              <w:t xml:space="preserve"> </w:t>
            </w:r>
            <w:r>
              <w:rPr>
                <w:b/>
                <w:sz w:val="24"/>
              </w:rPr>
              <w:t>Weighted</w:t>
            </w:r>
            <w:r>
              <w:rPr>
                <w:b/>
                <w:spacing w:val="-2"/>
                <w:sz w:val="24"/>
              </w:rPr>
              <w:t xml:space="preserve"> Approach</w:t>
            </w:r>
          </w:p>
        </w:tc>
      </w:tr>
      <w:tr>
        <w:tblPrEx>
          <w:tblW w:w="0" w:type="auto"/>
          <w:jc w:val="left"/>
          <w:tblInd w:w="338" w:type="dxa"/>
          <w:tblLayout w:type="fixed"/>
          <w:tblCellMar>
            <w:top w:w="0" w:type="dxa"/>
            <w:left w:w="0" w:type="dxa"/>
            <w:bottom w:w="0" w:type="dxa"/>
            <w:right w:w="0" w:type="dxa"/>
          </w:tblCellMar>
          <w:tblLook w:val="01E0"/>
        </w:tblPrEx>
        <w:trPr>
          <w:trHeight w:val="687"/>
          <w:jc w:val="left"/>
        </w:trPr>
        <w:tc>
          <w:tcPr>
            <w:tcW w:w="4515" w:type="dxa"/>
          </w:tcPr>
          <w:p>
            <w:pPr>
              <w:pStyle w:val="TableParagraph"/>
              <w:ind w:left="0"/>
              <w:rPr>
                <w:sz w:val="24"/>
              </w:rPr>
            </w:pPr>
          </w:p>
        </w:tc>
        <w:tc>
          <w:tcPr>
            <w:tcW w:w="2160" w:type="dxa"/>
          </w:tcPr>
          <w:p>
            <w:pPr>
              <w:pStyle w:val="TableParagraph"/>
              <w:spacing w:before="68"/>
              <w:ind w:left="491" w:firstLine="69"/>
              <w:rPr>
                <w:b/>
                <w:sz w:val="24"/>
              </w:rPr>
            </w:pPr>
            <w:r>
              <w:rPr>
                <w:b/>
                <w:sz w:val="24"/>
              </w:rPr>
              <w:t xml:space="preserve">June 2024 </w:t>
            </w:r>
            <w:r>
              <w:rPr>
                <w:b/>
                <w:spacing w:val="-2"/>
                <w:sz w:val="24"/>
              </w:rPr>
              <w:t>Enrollment</w:t>
            </w:r>
          </w:p>
        </w:tc>
        <w:tc>
          <w:tcPr>
            <w:tcW w:w="2071" w:type="dxa"/>
          </w:tcPr>
          <w:p>
            <w:pPr>
              <w:pStyle w:val="TableParagraph"/>
              <w:spacing w:before="68"/>
              <w:ind w:left="446" w:right="395" w:hanging="29"/>
              <w:rPr>
                <w:b/>
                <w:sz w:val="24"/>
              </w:rPr>
            </w:pPr>
            <w:r>
              <w:rPr>
                <w:b/>
                <w:sz w:val="24"/>
              </w:rPr>
              <w:t>March</w:t>
            </w:r>
            <w:r>
              <w:rPr>
                <w:b/>
                <w:spacing w:val="-15"/>
                <w:sz w:val="24"/>
              </w:rPr>
              <w:t xml:space="preserve"> </w:t>
            </w:r>
            <w:r>
              <w:rPr>
                <w:b/>
                <w:sz w:val="24"/>
              </w:rPr>
              <w:t xml:space="preserve">2025 </w:t>
            </w:r>
            <w:r>
              <w:rPr>
                <w:b/>
                <w:spacing w:val="-2"/>
                <w:sz w:val="24"/>
              </w:rPr>
              <w:t>Enrollment</w:t>
            </w:r>
          </w:p>
        </w:tc>
      </w:tr>
      <w:tr>
        <w:tblPrEx>
          <w:tblW w:w="0" w:type="auto"/>
          <w:jc w:val="left"/>
          <w:tblInd w:w="338" w:type="dxa"/>
          <w:tblLayout w:type="fixed"/>
          <w:tblCellMar>
            <w:top w:w="0" w:type="dxa"/>
            <w:left w:w="0" w:type="dxa"/>
            <w:bottom w:w="0" w:type="dxa"/>
            <w:right w:w="0" w:type="dxa"/>
          </w:tblCellMar>
          <w:tblLook w:val="01E0"/>
        </w:tblPrEx>
        <w:trPr>
          <w:trHeight w:val="702"/>
          <w:jc w:val="left"/>
        </w:trPr>
        <w:tc>
          <w:tcPr>
            <w:tcW w:w="4515" w:type="dxa"/>
          </w:tcPr>
          <w:p>
            <w:pPr>
              <w:pStyle w:val="TableParagraph"/>
              <w:spacing w:before="212"/>
              <w:ind w:left="17"/>
              <w:jc w:val="center"/>
              <w:rPr>
                <w:b/>
                <w:sz w:val="24"/>
              </w:rPr>
            </w:pPr>
            <w:r>
              <w:rPr>
                <w:b/>
                <w:sz w:val="24"/>
              </w:rPr>
              <w:t>National</w:t>
            </w:r>
            <w:r>
              <w:rPr>
                <w:b/>
                <w:spacing w:val="-1"/>
                <w:sz w:val="24"/>
              </w:rPr>
              <w:t xml:space="preserve"> </w:t>
            </w:r>
            <w:r>
              <w:rPr>
                <w:b/>
                <w:sz w:val="24"/>
              </w:rPr>
              <w:t>average</w:t>
            </w:r>
            <w:r>
              <w:rPr>
                <w:b/>
                <w:spacing w:val="-2"/>
                <w:sz w:val="24"/>
              </w:rPr>
              <w:t xml:space="preserve"> </w:t>
            </w:r>
            <w:r>
              <w:rPr>
                <w:b/>
                <w:sz w:val="24"/>
              </w:rPr>
              <w:t>monthly</w:t>
            </w:r>
            <w:r>
              <w:rPr>
                <w:b/>
                <w:spacing w:val="-1"/>
                <w:sz w:val="24"/>
              </w:rPr>
              <w:t xml:space="preserve"> </w:t>
            </w:r>
            <w:r>
              <w:rPr>
                <w:b/>
                <w:sz w:val="24"/>
              </w:rPr>
              <w:t xml:space="preserve">bid </w:t>
            </w:r>
            <w:r>
              <w:rPr>
                <w:b/>
                <w:spacing w:val="-2"/>
                <w:sz w:val="24"/>
              </w:rPr>
              <w:t>amount</w:t>
            </w:r>
          </w:p>
        </w:tc>
        <w:tc>
          <w:tcPr>
            <w:tcW w:w="2160" w:type="dxa"/>
          </w:tcPr>
          <w:p>
            <w:pPr>
              <w:pStyle w:val="TableParagraph"/>
              <w:spacing w:before="212"/>
              <w:ind w:left="688"/>
              <w:rPr>
                <w:b/>
                <w:sz w:val="24"/>
              </w:rPr>
            </w:pPr>
            <w:r>
              <w:rPr>
                <w:b/>
                <w:spacing w:val="-2"/>
                <w:sz w:val="24"/>
              </w:rPr>
              <w:t>$179.45</w:t>
            </w:r>
          </w:p>
        </w:tc>
        <w:tc>
          <w:tcPr>
            <w:tcW w:w="2071" w:type="dxa"/>
          </w:tcPr>
          <w:p>
            <w:pPr>
              <w:pStyle w:val="TableParagraph"/>
              <w:spacing w:before="212"/>
              <w:ind w:left="19"/>
              <w:jc w:val="center"/>
              <w:rPr>
                <w:b/>
                <w:sz w:val="24"/>
              </w:rPr>
            </w:pPr>
            <w:r>
              <w:rPr>
                <w:b/>
                <w:spacing w:val="-4"/>
                <w:sz w:val="24"/>
              </w:rPr>
              <w:t>$TBD</w:t>
            </w:r>
          </w:p>
        </w:tc>
      </w:tr>
      <w:tr>
        <w:tblPrEx>
          <w:tblW w:w="0" w:type="auto"/>
          <w:jc w:val="left"/>
          <w:tblInd w:w="338" w:type="dxa"/>
          <w:tblLayout w:type="fixed"/>
          <w:tblCellMar>
            <w:top w:w="0" w:type="dxa"/>
            <w:left w:w="0" w:type="dxa"/>
            <w:bottom w:w="0" w:type="dxa"/>
            <w:right w:w="0" w:type="dxa"/>
          </w:tblCellMar>
          <w:tblLook w:val="01E0"/>
        </w:tblPrEx>
        <w:trPr>
          <w:trHeight w:val="702"/>
          <w:jc w:val="left"/>
        </w:trPr>
        <w:tc>
          <w:tcPr>
            <w:tcW w:w="4515" w:type="dxa"/>
          </w:tcPr>
          <w:p>
            <w:pPr>
              <w:pStyle w:val="TableParagraph"/>
              <w:spacing w:before="75"/>
              <w:ind w:left="1125" w:hanging="639"/>
              <w:rPr>
                <w:b/>
                <w:sz w:val="24"/>
              </w:rPr>
            </w:pPr>
            <w:r>
              <w:rPr>
                <w:b/>
                <w:sz w:val="24"/>
              </w:rPr>
              <w:t>Base</w:t>
            </w:r>
            <w:r>
              <w:rPr>
                <w:b/>
                <w:spacing w:val="-14"/>
                <w:sz w:val="24"/>
              </w:rPr>
              <w:t xml:space="preserve"> </w:t>
            </w:r>
            <w:r>
              <w:rPr>
                <w:b/>
                <w:sz w:val="24"/>
              </w:rPr>
              <w:t>beneficiary</w:t>
            </w:r>
            <w:r>
              <w:rPr>
                <w:b/>
                <w:spacing w:val="-13"/>
                <w:sz w:val="24"/>
              </w:rPr>
              <w:t xml:space="preserve"> </w:t>
            </w:r>
            <w:r>
              <w:rPr>
                <w:b/>
                <w:sz w:val="24"/>
              </w:rPr>
              <w:t>premium</w:t>
            </w:r>
            <w:r>
              <w:rPr>
                <w:b/>
                <w:spacing w:val="-11"/>
                <w:sz w:val="24"/>
              </w:rPr>
              <w:t xml:space="preserve"> </w:t>
            </w:r>
            <w:r>
              <w:rPr>
                <w:b/>
                <w:sz w:val="24"/>
              </w:rPr>
              <w:t>without premium stabilization</w:t>
            </w:r>
          </w:p>
        </w:tc>
        <w:tc>
          <w:tcPr>
            <w:tcW w:w="2160" w:type="dxa"/>
          </w:tcPr>
          <w:p>
            <w:pPr>
              <w:pStyle w:val="TableParagraph"/>
              <w:spacing w:before="212"/>
              <w:ind w:left="748"/>
              <w:rPr>
                <w:b/>
                <w:sz w:val="24"/>
              </w:rPr>
            </w:pPr>
            <w:r>
              <w:rPr>
                <w:b/>
                <w:spacing w:val="-2"/>
                <w:sz w:val="24"/>
              </w:rPr>
              <w:t>$55.98</w:t>
            </w:r>
          </w:p>
        </w:tc>
        <w:tc>
          <w:tcPr>
            <w:tcW w:w="2071" w:type="dxa"/>
          </w:tcPr>
          <w:p>
            <w:pPr>
              <w:pStyle w:val="TableParagraph"/>
              <w:spacing w:before="212"/>
              <w:ind w:left="19"/>
              <w:jc w:val="center"/>
              <w:rPr>
                <w:b/>
                <w:sz w:val="24"/>
              </w:rPr>
            </w:pPr>
            <w:r>
              <w:rPr>
                <w:b/>
                <w:spacing w:val="-4"/>
                <w:sz w:val="24"/>
              </w:rPr>
              <w:t>$TBD</w:t>
            </w:r>
          </w:p>
        </w:tc>
      </w:tr>
      <w:tr>
        <w:tblPrEx>
          <w:tblW w:w="0" w:type="auto"/>
          <w:jc w:val="left"/>
          <w:tblInd w:w="338" w:type="dxa"/>
          <w:tblLayout w:type="fixed"/>
          <w:tblCellMar>
            <w:top w:w="0" w:type="dxa"/>
            <w:left w:w="0" w:type="dxa"/>
            <w:bottom w:w="0" w:type="dxa"/>
            <w:right w:w="0" w:type="dxa"/>
          </w:tblCellMar>
          <w:tblLook w:val="01E0"/>
        </w:tblPrEx>
        <w:trPr>
          <w:trHeight w:val="702"/>
          <w:jc w:val="left"/>
        </w:trPr>
        <w:tc>
          <w:tcPr>
            <w:tcW w:w="4515" w:type="dxa"/>
          </w:tcPr>
          <w:p>
            <w:pPr>
              <w:pStyle w:val="TableParagraph"/>
              <w:spacing w:before="212"/>
              <w:ind w:left="17" w:right="2"/>
              <w:jc w:val="center"/>
              <w:rPr>
                <w:b/>
                <w:sz w:val="24"/>
              </w:rPr>
            </w:pPr>
            <w:r>
              <w:rPr>
                <w:b/>
                <w:sz w:val="24"/>
              </w:rPr>
              <w:t>Base</w:t>
            </w:r>
            <w:r>
              <w:rPr>
                <w:b/>
                <w:spacing w:val="-3"/>
                <w:sz w:val="24"/>
              </w:rPr>
              <w:t xml:space="preserve"> </w:t>
            </w:r>
            <w:r>
              <w:rPr>
                <w:b/>
                <w:sz w:val="24"/>
              </w:rPr>
              <w:t>beneficiary</w:t>
            </w:r>
            <w:r>
              <w:rPr>
                <w:b/>
                <w:spacing w:val="-2"/>
                <w:sz w:val="24"/>
              </w:rPr>
              <w:t xml:space="preserve"> premium</w:t>
            </w:r>
          </w:p>
        </w:tc>
        <w:tc>
          <w:tcPr>
            <w:tcW w:w="2160" w:type="dxa"/>
          </w:tcPr>
          <w:p>
            <w:pPr>
              <w:pStyle w:val="TableParagraph"/>
              <w:spacing w:before="212"/>
              <w:ind w:left="748"/>
              <w:rPr>
                <w:b/>
                <w:sz w:val="24"/>
              </w:rPr>
            </w:pPr>
            <w:r>
              <w:rPr>
                <w:b/>
                <w:spacing w:val="-2"/>
                <w:sz w:val="24"/>
              </w:rPr>
              <w:t>$36.78</w:t>
            </w:r>
          </w:p>
        </w:tc>
        <w:tc>
          <w:tcPr>
            <w:tcW w:w="2071" w:type="dxa"/>
          </w:tcPr>
          <w:p>
            <w:pPr>
              <w:pStyle w:val="TableParagraph"/>
              <w:spacing w:before="212"/>
              <w:ind w:left="19"/>
              <w:jc w:val="center"/>
              <w:rPr>
                <w:b/>
                <w:sz w:val="24"/>
              </w:rPr>
            </w:pPr>
            <w:r>
              <w:rPr>
                <w:b/>
                <w:spacing w:val="-4"/>
                <w:sz w:val="24"/>
              </w:rPr>
              <w:t>$TBD</w:t>
            </w:r>
          </w:p>
        </w:tc>
      </w:tr>
      <w:tr>
        <w:tblPrEx>
          <w:tblW w:w="0" w:type="auto"/>
          <w:jc w:val="left"/>
          <w:tblInd w:w="338" w:type="dxa"/>
          <w:tblLayout w:type="fixed"/>
          <w:tblCellMar>
            <w:top w:w="0" w:type="dxa"/>
            <w:left w:w="0" w:type="dxa"/>
            <w:bottom w:w="0" w:type="dxa"/>
            <w:right w:w="0" w:type="dxa"/>
          </w:tblCellMar>
          <w:tblLook w:val="01E0"/>
        </w:tblPrEx>
        <w:trPr>
          <w:trHeight w:val="702"/>
          <w:jc w:val="left"/>
        </w:trPr>
        <w:tc>
          <w:tcPr>
            <w:tcW w:w="4515" w:type="dxa"/>
          </w:tcPr>
          <w:p>
            <w:pPr>
              <w:pStyle w:val="TableParagraph"/>
              <w:spacing w:before="212"/>
              <w:ind w:left="17" w:right="2"/>
              <w:jc w:val="center"/>
              <w:rPr>
                <w:b/>
                <w:sz w:val="24"/>
              </w:rPr>
            </w:pPr>
            <w:r>
              <w:rPr>
                <w:b/>
                <w:sz w:val="24"/>
              </w:rPr>
              <w:t>Direct</w:t>
            </w:r>
            <w:r>
              <w:rPr>
                <w:b/>
                <w:spacing w:val="-3"/>
                <w:sz w:val="24"/>
              </w:rPr>
              <w:t xml:space="preserve"> </w:t>
            </w:r>
            <w:r>
              <w:rPr>
                <w:b/>
                <w:spacing w:val="-2"/>
                <w:sz w:val="24"/>
              </w:rPr>
              <w:t>subsidy</w:t>
            </w:r>
          </w:p>
        </w:tc>
        <w:tc>
          <w:tcPr>
            <w:tcW w:w="2160" w:type="dxa"/>
          </w:tcPr>
          <w:p>
            <w:pPr>
              <w:pStyle w:val="TableParagraph"/>
              <w:spacing w:before="212"/>
              <w:ind w:left="688"/>
              <w:rPr>
                <w:b/>
                <w:sz w:val="24"/>
              </w:rPr>
            </w:pPr>
            <w:r>
              <w:rPr>
                <w:b/>
                <w:spacing w:val="-2"/>
                <w:sz w:val="24"/>
              </w:rPr>
              <w:t>$142.67</w:t>
            </w:r>
          </w:p>
        </w:tc>
        <w:tc>
          <w:tcPr>
            <w:tcW w:w="2071" w:type="dxa"/>
          </w:tcPr>
          <w:p>
            <w:pPr>
              <w:pStyle w:val="TableParagraph"/>
              <w:spacing w:before="212"/>
              <w:ind w:left="19"/>
              <w:jc w:val="center"/>
              <w:rPr>
                <w:b/>
                <w:sz w:val="24"/>
              </w:rPr>
            </w:pPr>
            <w:r>
              <w:rPr>
                <w:b/>
                <w:spacing w:val="-4"/>
                <w:sz w:val="24"/>
              </w:rPr>
              <w:t>$TBD</w:t>
            </w:r>
          </w:p>
        </w:tc>
      </w:tr>
    </w:tbl>
    <w:p>
      <w:pPr>
        <w:pStyle w:val="BodyText"/>
        <w:spacing w:before="121"/>
        <w:ind w:left="224" w:right="515"/>
      </w:pPr>
      <w:r>
        <w:t>This</w:t>
      </w:r>
      <w:r>
        <w:rPr>
          <w:spacing w:val="-3"/>
        </w:rPr>
        <w:t xml:space="preserve"> </w:t>
      </w:r>
      <w:r>
        <w:t>illustrative</w:t>
      </w:r>
      <w:r>
        <w:rPr>
          <w:spacing w:val="-3"/>
        </w:rPr>
        <w:t xml:space="preserve"> </w:t>
      </w:r>
      <w:r>
        <w:t>recalculation</w:t>
      </w:r>
      <w:r>
        <w:rPr>
          <w:spacing w:val="-3"/>
        </w:rPr>
        <w:t xml:space="preserve"> </w:t>
      </w:r>
      <w:r>
        <w:t>of</w:t>
      </w:r>
      <w:r>
        <w:rPr>
          <w:spacing w:val="-3"/>
        </w:rPr>
        <w:t xml:space="preserve"> </w:t>
      </w:r>
      <w:r>
        <w:t>the</w:t>
      </w:r>
      <w:r>
        <w:rPr>
          <w:spacing w:val="-2"/>
        </w:rPr>
        <w:t xml:space="preserve"> </w:t>
      </w:r>
      <w:r>
        <w:t>2025</w:t>
      </w:r>
      <w:r>
        <w:rPr>
          <w:spacing w:val="-3"/>
        </w:rPr>
        <w:t xml:space="preserve"> </w:t>
      </w:r>
      <w:r>
        <w:t>benchmarks</w:t>
      </w:r>
      <w:r>
        <w:rPr>
          <w:spacing w:val="-3"/>
        </w:rPr>
        <w:t xml:space="preserve"> </w:t>
      </w:r>
      <w:r>
        <w:t>is</w:t>
      </w:r>
      <w:r>
        <w:rPr>
          <w:spacing w:val="-3"/>
        </w:rPr>
        <w:t xml:space="preserve"> </w:t>
      </w:r>
      <w:r>
        <w:t>provided</w:t>
      </w:r>
      <w:r>
        <w:rPr>
          <w:spacing w:val="-3"/>
        </w:rPr>
        <w:t xml:space="preserve"> </w:t>
      </w:r>
      <w:r>
        <w:t>for</w:t>
      </w:r>
      <w:r>
        <w:rPr>
          <w:spacing w:val="-4"/>
        </w:rPr>
        <w:t xml:space="preserve"> </w:t>
      </w:r>
      <w:r>
        <w:t>the</w:t>
      </w:r>
      <w:r>
        <w:rPr>
          <w:spacing w:val="-3"/>
        </w:rPr>
        <w:t xml:space="preserve"> </w:t>
      </w:r>
      <w:r>
        <w:t>purpose</w:t>
      </w:r>
      <w:r>
        <w:rPr>
          <w:spacing w:val="-4"/>
        </w:rPr>
        <w:t xml:space="preserve"> </w:t>
      </w:r>
      <w:r>
        <w:t>of</w:t>
      </w:r>
      <w:r>
        <w:rPr>
          <w:spacing w:val="-3"/>
        </w:rPr>
        <w:t xml:space="preserve"> </w:t>
      </w:r>
      <w:r>
        <w:t>assisting Part D sponsors in developing the projected 2026 national average monthly bid amount and base</w:t>
      </w:r>
      <w:r>
        <w:rPr>
          <w:spacing w:val="-4"/>
        </w:rPr>
        <w:t xml:space="preserve"> </w:t>
      </w:r>
      <w:r>
        <w:t>beneficiary</w:t>
      </w:r>
      <w:r>
        <w:rPr>
          <w:spacing w:val="-3"/>
        </w:rPr>
        <w:t xml:space="preserve"> </w:t>
      </w:r>
      <w:r>
        <w:t>premium,</w:t>
      </w:r>
      <w:r>
        <w:rPr>
          <w:spacing w:val="-3"/>
        </w:rPr>
        <w:t xml:space="preserve"> </w:t>
      </w:r>
      <w:r>
        <w:t>which</w:t>
      </w:r>
      <w:r>
        <w:rPr>
          <w:spacing w:val="-3"/>
        </w:rPr>
        <w:t xml:space="preserve"> </w:t>
      </w:r>
      <w:r>
        <w:t>will</w:t>
      </w:r>
      <w:r>
        <w:rPr>
          <w:spacing w:val="-3"/>
        </w:rPr>
        <w:t xml:space="preserve"> </w:t>
      </w:r>
      <w:r>
        <w:t>be</w:t>
      </w:r>
      <w:r>
        <w:rPr>
          <w:spacing w:val="-4"/>
        </w:rPr>
        <w:t xml:space="preserve"> </w:t>
      </w:r>
      <w:r>
        <w:t>used</w:t>
      </w:r>
      <w:r>
        <w:rPr>
          <w:spacing w:val="-3"/>
        </w:rPr>
        <w:t xml:space="preserve"> </w:t>
      </w:r>
      <w:r>
        <w:t>in</w:t>
      </w:r>
      <w:r>
        <w:rPr>
          <w:spacing w:val="-3"/>
        </w:rPr>
        <w:t xml:space="preserve"> </w:t>
      </w:r>
      <w:r>
        <w:t>the</w:t>
      </w:r>
      <w:r>
        <w:rPr>
          <w:spacing w:val="-4"/>
        </w:rPr>
        <w:t xml:space="preserve"> </w:t>
      </w:r>
      <w:r>
        <w:t>calculation</w:t>
      </w:r>
      <w:r>
        <w:rPr>
          <w:spacing w:val="-3"/>
        </w:rPr>
        <w:t xml:space="preserve"> </w:t>
      </w:r>
      <w:r>
        <w:t>of</w:t>
      </w:r>
      <w:r>
        <w:rPr>
          <w:spacing w:val="-4"/>
        </w:rPr>
        <w:t xml:space="preserve"> </w:t>
      </w:r>
      <w:r>
        <w:t>the</w:t>
      </w:r>
      <w:r>
        <w:rPr>
          <w:spacing w:val="-3"/>
        </w:rPr>
        <w:t xml:space="preserve"> </w:t>
      </w:r>
      <w:r>
        <w:t>plan’s</w:t>
      </w:r>
      <w:r>
        <w:rPr>
          <w:spacing w:val="-4"/>
        </w:rPr>
        <w:t xml:space="preserve"> </w:t>
      </w:r>
      <w:r>
        <w:t>target</w:t>
      </w:r>
      <w:r>
        <w:rPr>
          <w:spacing w:val="-3"/>
        </w:rPr>
        <w:t xml:space="preserve"> </w:t>
      </w:r>
      <w:r>
        <w:t>premium. The final 2026 benchmarks will be based on the 2025 enrollments applied to the 2026 bids.</w:t>
      </w:r>
    </w:p>
    <w:p>
      <w:pPr>
        <w:spacing w:after="0"/>
        <w:sectPr>
          <w:headerReference w:type="default" r:id="rId41"/>
          <w:footerReference w:type="default" r:id="rId42"/>
          <w:pgSz w:w="12240" w:h="15840"/>
          <w:pgMar w:top="1340" w:right="1000" w:bottom="940" w:left="1360" w:header="727" w:footer="747"/>
          <w:cols w:space="720"/>
        </w:sectPr>
      </w:pPr>
    </w:p>
    <w:p>
      <w:pPr>
        <w:spacing w:before="87" w:line="322" w:lineRule="exact"/>
        <w:ind w:left="224" w:right="0" w:firstLine="0"/>
        <w:jc w:val="left"/>
        <w:rPr>
          <w:rFonts w:ascii="Arial" w:hAnsi="Arial"/>
          <w:b/>
          <w:sz w:val="28"/>
        </w:rPr>
      </w:pPr>
      <w:bookmarkStart w:id="300" w:name="Appendix E – Calculation of Low-Income B"/>
      <w:bookmarkEnd w:id="300"/>
      <w:bookmarkStart w:id="301" w:name="_bookmark88"/>
      <w:bookmarkEnd w:id="301"/>
      <w:r>
        <w:rPr>
          <w:rFonts w:ascii="Arial" w:hAnsi="Arial"/>
          <w:b/>
          <w:sz w:val="28"/>
        </w:rPr>
        <w:t>APPENDIX</w:t>
      </w:r>
      <w:r>
        <w:rPr>
          <w:rFonts w:ascii="Arial" w:hAnsi="Arial"/>
          <w:b/>
          <w:spacing w:val="-7"/>
          <w:sz w:val="28"/>
        </w:rPr>
        <w:t xml:space="preserve"> </w:t>
      </w:r>
      <w:r>
        <w:rPr>
          <w:rFonts w:ascii="Arial" w:hAnsi="Arial"/>
          <w:b/>
          <w:sz w:val="28"/>
        </w:rPr>
        <w:t>E</w:t>
      </w:r>
      <w:r>
        <w:rPr>
          <w:rFonts w:ascii="Arial" w:hAnsi="Arial"/>
          <w:b/>
          <w:spacing w:val="-7"/>
          <w:sz w:val="28"/>
        </w:rPr>
        <w:t xml:space="preserve"> </w:t>
      </w:r>
      <w:r>
        <w:rPr>
          <w:rFonts w:ascii="Arial" w:hAnsi="Arial"/>
          <w:b/>
          <w:sz w:val="28"/>
        </w:rPr>
        <w:t>–</w:t>
      </w:r>
      <w:r>
        <w:rPr>
          <w:rFonts w:ascii="Arial" w:hAnsi="Arial"/>
          <w:b/>
          <w:spacing w:val="-7"/>
          <w:sz w:val="28"/>
        </w:rPr>
        <w:t xml:space="preserve"> </w:t>
      </w:r>
      <w:r>
        <w:rPr>
          <w:rFonts w:ascii="Arial" w:hAnsi="Arial"/>
          <w:b/>
          <w:sz w:val="28"/>
        </w:rPr>
        <w:t>CALCULATION</w:t>
      </w:r>
      <w:r>
        <w:rPr>
          <w:rFonts w:ascii="Arial" w:hAnsi="Arial"/>
          <w:b/>
          <w:spacing w:val="-6"/>
          <w:sz w:val="28"/>
        </w:rPr>
        <w:t xml:space="preserve"> </w:t>
      </w:r>
      <w:r>
        <w:rPr>
          <w:rFonts w:ascii="Arial" w:hAnsi="Arial"/>
          <w:b/>
          <w:sz w:val="28"/>
        </w:rPr>
        <w:t>OF</w:t>
      </w:r>
      <w:r>
        <w:rPr>
          <w:rFonts w:ascii="Arial" w:hAnsi="Arial"/>
          <w:b/>
          <w:spacing w:val="-6"/>
          <w:sz w:val="28"/>
        </w:rPr>
        <w:t xml:space="preserve"> </w:t>
      </w:r>
      <w:r>
        <w:rPr>
          <w:rFonts w:ascii="Arial" w:hAnsi="Arial"/>
          <w:b/>
          <w:sz w:val="28"/>
        </w:rPr>
        <w:t>LOW-INCOME</w:t>
      </w:r>
      <w:r>
        <w:rPr>
          <w:rFonts w:ascii="Arial" w:hAnsi="Arial"/>
          <w:b/>
          <w:spacing w:val="-6"/>
          <w:sz w:val="28"/>
        </w:rPr>
        <w:t xml:space="preserve"> </w:t>
      </w:r>
      <w:r>
        <w:rPr>
          <w:rFonts w:ascii="Arial" w:hAnsi="Arial"/>
          <w:b/>
          <w:spacing w:val="-2"/>
          <w:sz w:val="28"/>
        </w:rPr>
        <w:t>BENCHMARK</w:t>
      </w:r>
    </w:p>
    <w:p>
      <w:pPr>
        <w:tabs>
          <w:tab w:val="left" w:pos="9470"/>
        </w:tabs>
        <w:spacing w:before="0"/>
        <w:ind w:left="195" w:right="0" w:firstLine="0"/>
        <w:jc w:val="left"/>
        <w:rPr>
          <w:rFonts w:ascii="Arial"/>
          <w:b/>
          <w:sz w:val="28"/>
        </w:rPr>
      </w:pPr>
      <w:r>
        <w:rPr>
          <w:rFonts w:ascii="Arial"/>
          <w:b/>
          <w:spacing w:val="-50"/>
          <w:sz w:val="28"/>
          <w:u w:val="single"/>
        </w:rPr>
        <w:t xml:space="preserve"> </w:t>
      </w:r>
      <w:r>
        <w:rPr>
          <w:rFonts w:ascii="Arial"/>
          <w:b/>
          <w:sz w:val="28"/>
          <w:u w:val="single"/>
        </w:rPr>
        <w:t>PREMIUM</w:t>
      </w:r>
      <w:r>
        <w:rPr>
          <w:rFonts w:ascii="Arial"/>
          <w:b/>
          <w:spacing w:val="-7"/>
          <w:sz w:val="28"/>
          <w:u w:val="single"/>
        </w:rPr>
        <w:t xml:space="preserve"> </w:t>
      </w:r>
      <w:r>
        <w:rPr>
          <w:rFonts w:ascii="Arial"/>
          <w:b/>
          <w:spacing w:val="-2"/>
          <w:sz w:val="28"/>
          <w:u w:val="single"/>
        </w:rPr>
        <w:t>AMOUNTS</w:t>
      </w:r>
      <w:r>
        <w:rPr>
          <w:rFonts w:ascii="Arial"/>
          <w:b/>
          <w:sz w:val="28"/>
          <w:u w:val="single"/>
        </w:rPr>
        <w:tab/>
      </w:r>
    </w:p>
    <w:p>
      <w:pPr>
        <w:pStyle w:val="BodyText"/>
        <w:spacing w:before="270"/>
        <w:ind w:left="224" w:right="465"/>
      </w:pPr>
      <w:r>
        <w:t>The</w:t>
      </w:r>
      <w:r>
        <w:rPr>
          <w:spacing w:val="-6"/>
        </w:rPr>
        <w:t xml:space="preserve"> </w:t>
      </w:r>
      <w:r>
        <w:t>Medicare</w:t>
      </w:r>
      <w:r>
        <w:rPr>
          <w:spacing w:val="-6"/>
        </w:rPr>
        <w:t xml:space="preserve"> </w:t>
      </w:r>
      <w:r>
        <w:t>Prescription</w:t>
      </w:r>
      <w:r>
        <w:rPr>
          <w:spacing w:val="-4"/>
        </w:rPr>
        <w:t xml:space="preserve"> </w:t>
      </w:r>
      <w:r>
        <w:t>Drug,</w:t>
      </w:r>
      <w:r>
        <w:rPr>
          <w:spacing w:val="-2"/>
        </w:rPr>
        <w:t xml:space="preserve"> </w:t>
      </w:r>
      <w:r>
        <w:t>Improvement,</w:t>
      </w:r>
      <w:r>
        <w:rPr>
          <w:spacing w:val="-4"/>
        </w:rPr>
        <w:t xml:space="preserve"> </w:t>
      </w:r>
      <w:r>
        <w:t>and</w:t>
      </w:r>
      <w:r>
        <w:rPr>
          <w:spacing w:val="-4"/>
        </w:rPr>
        <w:t xml:space="preserve"> </w:t>
      </w:r>
      <w:r>
        <w:t>Modernization</w:t>
      </w:r>
      <w:r>
        <w:rPr>
          <w:spacing w:val="-4"/>
        </w:rPr>
        <w:t xml:space="preserve"> </w:t>
      </w:r>
      <w:r>
        <w:t>Act</w:t>
      </w:r>
      <w:r>
        <w:rPr>
          <w:spacing w:val="-4"/>
        </w:rPr>
        <w:t xml:space="preserve"> </w:t>
      </w:r>
      <w:r>
        <w:t>of</w:t>
      </w:r>
      <w:r>
        <w:rPr>
          <w:spacing w:val="-4"/>
        </w:rPr>
        <w:t xml:space="preserve"> </w:t>
      </w:r>
      <w:r>
        <w:t>2003</w:t>
      </w:r>
      <w:r>
        <w:rPr>
          <w:spacing w:val="-4"/>
        </w:rPr>
        <w:t xml:space="preserve"> </w:t>
      </w:r>
      <w:r>
        <w:t>(MMA)</w:t>
      </w:r>
      <w:r>
        <w:rPr>
          <w:spacing w:val="-5"/>
        </w:rPr>
        <w:t xml:space="preserve"> </w:t>
      </w:r>
      <w:r>
        <w:t xml:space="preserve">directs CMS to use a weighted average to calculate the regional low-income benchmark premium amounts used in the determination of the low-income premium subsidy amounts. In determining the CY2006 low-income benchmark premium amounts, PDPs were weighted equally, MA-PDs were assigned a weight based on prior enrollment as of March 31, 2005, and new MA-PDs were assigned a zero weight. For CY2007, under the “Medicare Demonstration to Transition Enrollment of Low-Income Subsidy Beneficiaries,” CMS calculated the regional low-income benchmark premium amounts using the same weighting methodology applied in </w:t>
      </w:r>
      <w:r>
        <w:rPr>
          <w:spacing w:val="-2"/>
        </w:rPr>
        <w:t>2006.</w:t>
      </w:r>
    </w:p>
    <w:p>
      <w:pPr>
        <w:pStyle w:val="BodyText"/>
        <w:spacing w:before="121"/>
        <w:ind w:left="224" w:right="478"/>
      </w:pPr>
      <w:r>
        <w:t>For</w:t>
      </w:r>
      <w:r>
        <w:rPr>
          <w:spacing w:val="-4"/>
        </w:rPr>
        <w:t xml:space="preserve"> </w:t>
      </w:r>
      <w:r>
        <w:t>CY2008,</w:t>
      </w:r>
      <w:r>
        <w:rPr>
          <w:spacing w:val="-3"/>
        </w:rPr>
        <w:t xml:space="preserve"> </w:t>
      </w:r>
      <w:r>
        <w:t>CMS</w:t>
      </w:r>
      <w:r>
        <w:rPr>
          <w:spacing w:val="-3"/>
        </w:rPr>
        <w:t xml:space="preserve"> </w:t>
      </w:r>
      <w:r>
        <w:t>implemented</w:t>
      </w:r>
      <w:r>
        <w:rPr>
          <w:spacing w:val="-3"/>
        </w:rPr>
        <w:t xml:space="preserve"> </w:t>
      </w:r>
      <w:r>
        <w:t>a</w:t>
      </w:r>
      <w:r>
        <w:rPr>
          <w:spacing w:val="-5"/>
        </w:rPr>
        <w:t xml:space="preserve"> </w:t>
      </w:r>
      <w:r>
        <w:t>transition</w:t>
      </w:r>
      <w:r>
        <w:rPr>
          <w:spacing w:val="-3"/>
        </w:rPr>
        <w:t xml:space="preserve"> </w:t>
      </w:r>
      <w:r>
        <w:t>to</w:t>
      </w:r>
      <w:r>
        <w:rPr>
          <w:spacing w:val="-3"/>
        </w:rPr>
        <w:t xml:space="preserve"> </w:t>
      </w:r>
      <w:r>
        <w:t>the</w:t>
      </w:r>
      <w:r>
        <w:rPr>
          <w:spacing w:val="-3"/>
        </w:rPr>
        <w:t xml:space="preserve"> </w:t>
      </w:r>
      <w:r>
        <w:t>statutorily</w:t>
      </w:r>
      <w:r>
        <w:rPr>
          <w:spacing w:val="-3"/>
        </w:rPr>
        <w:t xml:space="preserve"> </w:t>
      </w:r>
      <w:r>
        <w:t>required</w:t>
      </w:r>
      <w:r>
        <w:rPr>
          <w:spacing w:val="-3"/>
        </w:rPr>
        <w:t xml:space="preserve"> </w:t>
      </w:r>
      <w:r>
        <w:t>weighting</w:t>
      </w:r>
      <w:r>
        <w:rPr>
          <w:spacing w:val="-3"/>
        </w:rPr>
        <w:t xml:space="preserve"> </w:t>
      </w:r>
      <w:r>
        <w:t>such</w:t>
      </w:r>
      <w:r>
        <w:rPr>
          <w:spacing w:val="-3"/>
        </w:rPr>
        <w:t xml:space="preserve"> </w:t>
      </w:r>
      <w:r>
        <w:t>that</w:t>
      </w:r>
      <w:r>
        <w:rPr>
          <w:spacing w:val="-3"/>
        </w:rPr>
        <w:t xml:space="preserve"> </w:t>
      </w:r>
      <w:r>
        <w:t>the regional low-income benchmark premiums would experience a smaller decrease. CMS calculated the 2008 regional benchmarks using a composite of the 2006 weighting approach (simple</w:t>
      </w:r>
      <w:r>
        <w:rPr>
          <w:spacing w:val="-2"/>
        </w:rPr>
        <w:t xml:space="preserve"> </w:t>
      </w:r>
      <w:r>
        <w:t>average) and</w:t>
      </w:r>
      <w:r>
        <w:rPr>
          <w:spacing w:val="-1"/>
        </w:rPr>
        <w:t xml:space="preserve"> </w:t>
      </w:r>
      <w:r>
        <w:t>the statutory</w:t>
      </w:r>
      <w:r>
        <w:rPr>
          <w:spacing w:val="-1"/>
        </w:rPr>
        <w:t xml:space="preserve"> </w:t>
      </w:r>
      <w:r>
        <w:t>weighting</w:t>
      </w:r>
      <w:r>
        <w:rPr>
          <w:spacing w:val="-1"/>
        </w:rPr>
        <w:t xml:space="preserve"> </w:t>
      </w:r>
      <w:r>
        <w:t>formula</w:t>
      </w:r>
      <w:r>
        <w:rPr>
          <w:spacing w:val="-2"/>
        </w:rPr>
        <w:t xml:space="preserve"> </w:t>
      </w:r>
      <w:r>
        <w:t>(weighted</w:t>
      </w:r>
      <w:r>
        <w:rPr>
          <w:spacing w:val="-1"/>
        </w:rPr>
        <w:t xml:space="preserve"> </w:t>
      </w:r>
      <w:r>
        <w:t>average), as</w:t>
      </w:r>
      <w:r>
        <w:rPr>
          <w:spacing w:val="-1"/>
        </w:rPr>
        <w:t xml:space="preserve"> </w:t>
      </w:r>
      <w:r>
        <w:t>described</w:t>
      </w:r>
      <w:r>
        <w:rPr>
          <w:spacing w:val="-1"/>
        </w:rPr>
        <w:t xml:space="preserve"> </w:t>
      </w:r>
      <w:r>
        <w:t>below:</w:t>
      </w:r>
    </w:p>
    <w:p>
      <w:pPr>
        <w:pStyle w:val="ListParagraph"/>
        <w:numPr>
          <w:ilvl w:val="0"/>
          <w:numId w:val="2"/>
        </w:numPr>
        <w:tabs>
          <w:tab w:val="left" w:pos="944"/>
        </w:tabs>
        <w:spacing w:before="120" w:after="0" w:line="240" w:lineRule="auto"/>
        <w:ind w:left="944" w:right="461" w:hanging="360"/>
        <w:jc w:val="left"/>
        <w:rPr>
          <w:sz w:val="24"/>
        </w:rPr>
      </w:pPr>
      <w:r>
        <w:rPr>
          <w:sz w:val="24"/>
        </w:rPr>
        <w:t>The first component, the simple average, was the same as the 2006 weighting methodology for the regional low-income benchmark premium amount. The PDP organization</w:t>
      </w:r>
      <w:r>
        <w:rPr>
          <w:spacing w:val="-4"/>
          <w:sz w:val="24"/>
        </w:rPr>
        <w:t xml:space="preserve"> </w:t>
      </w:r>
      <w:r>
        <w:rPr>
          <w:sz w:val="24"/>
        </w:rPr>
        <w:t>premium</w:t>
      </w:r>
      <w:r>
        <w:rPr>
          <w:spacing w:val="-4"/>
          <w:sz w:val="24"/>
        </w:rPr>
        <w:t xml:space="preserve"> </w:t>
      </w:r>
      <w:r>
        <w:rPr>
          <w:sz w:val="24"/>
        </w:rPr>
        <w:t>amounts</w:t>
      </w:r>
      <w:r>
        <w:rPr>
          <w:spacing w:val="-4"/>
          <w:sz w:val="24"/>
        </w:rPr>
        <w:t xml:space="preserve"> </w:t>
      </w:r>
      <w:r>
        <w:rPr>
          <w:sz w:val="24"/>
        </w:rPr>
        <w:t>for</w:t>
      </w:r>
      <w:r>
        <w:rPr>
          <w:spacing w:val="-6"/>
          <w:sz w:val="24"/>
        </w:rPr>
        <w:t xml:space="preserve"> </w:t>
      </w:r>
      <w:r>
        <w:rPr>
          <w:sz w:val="24"/>
        </w:rPr>
        <w:t>basic</w:t>
      </w:r>
      <w:r>
        <w:rPr>
          <w:spacing w:val="-4"/>
          <w:sz w:val="24"/>
        </w:rPr>
        <w:t xml:space="preserve"> </w:t>
      </w:r>
      <w:r>
        <w:rPr>
          <w:sz w:val="24"/>
        </w:rPr>
        <w:t>prescription</w:t>
      </w:r>
      <w:r>
        <w:rPr>
          <w:spacing w:val="-4"/>
          <w:sz w:val="24"/>
        </w:rPr>
        <w:t xml:space="preserve"> </w:t>
      </w:r>
      <w:r>
        <w:rPr>
          <w:sz w:val="24"/>
        </w:rPr>
        <w:t>drug</w:t>
      </w:r>
      <w:r>
        <w:rPr>
          <w:spacing w:val="-4"/>
          <w:sz w:val="24"/>
        </w:rPr>
        <w:t xml:space="preserve"> </w:t>
      </w:r>
      <w:r>
        <w:rPr>
          <w:sz w:val="24"/>
        </w:rPr>
        <w:t>coverage</w:t>
      </w:r>
      <w:r>
        <w:rPr>
          <w:spacing w:val="-5"/>
          <w:sz w:val="24"/>
        </w:rPr>
        <w:t xml:space="preserve"> </w:t>
      </w:r>
      <w:r>
        <w:rPr>
          <w:sz w:val="24"/>
        </w:rPr>
        <w:t>in</w:t>
      </w:r>
      <w:r>
        <w:rPr>
          <w:spacing w:val="-4"/>
          <w:sz w:val="24"/>
        </w:rPr>
        <w:t xml:space="preserve"> </w:t>
      </w:r>
      <w:r>
        <w:rPr>
          <w:sz w:val="24"/>
        </w:rPr>
        <w:t>each</w:t>
      </w:r>
      <w:r>
        <w:rPr>
          <w:spacing w:val="-4"/>
          <w:sz w:val="24"/>
        </w:rPr>
        <w:t xml:space="preserve"> </w:t>
      </w:r>
      <w:r>
        <w:rPr>
          <w:sz w:val="24"/>
        </w:rPr>
        <w:t>region were weighted equally and the MA-PD plan premiums, after the application of Part A/B rebates, were weighted based upon prior enrollment.</w:t>
      </w:r>
    </w:p>
    <w:p>
      <w:pPr>
        <w:pStyle w:val="ListParagraph"/>
        <w:numPr>
          <w:ilvl w:val="0"/>
          <w:numId w:val="2"/>
        </w:numPr>
        <w:tabs>
          <w:tab w:val="left" w:pos="944"/>
        </w:tabs>
        <w:spacing w:before="39" w:after="0" w:line="240" w:lineRule="auto"/>
        <w:ind w:left="944" w:right="614" w:hanging="360"/>
        <w:jc w:val="both"/>
        <w:rPr>
          <w:sz w:val="24"/>
        </w:rPr>
      </w:pPr>
      <w:r>
        <w:rPr>
          <w:sz w:val="24"/>
        </w:rPr>
        <w:t>The</w:t>
      </w:r>
      <w:r>
        <w:rPr>
          <w:spacing w:val="-5"/>
          <w:sz w:val="24"/>
        </w:rPr>
        <w:t xml:space="preserve"> </w:t>
      </w:r>
      <w:r>
        <w:rPr>
          <w:sz w:val="24"/>
        </w:rPr>
        <w:t>second</w:t>
      </w:r>
      <w:r>
        <w:rPr>
          <w:spacing w:val="-2"/>
          <w:sz w:val="24"/>
        </w:rPr>
        <w:t xml:space="preserve"> </w:t>
      </w:r>
      <w:r>
        <w:rPr>
          <w:sz w:val="24"/>
        </w:rPr>
        <w:t>component</w:t>
      </w:r>
      <w:r>
        <w:rPr>
          <w:spacing w:val="-2"/>
          <w:sz w:val="24"/>
        </w:rPr>
        <w:t xml:space="preserve"> </w:t>
      </w:r>
      <w:r>
        <w:rPr>
          <w:sz w:val="24"/>
        </w:rPr>
        <w:t>was</w:t>
      </w:r>
      <w:r>
        <w:rPr>
          <w:spacing w:val="-4"/>
          <w:sz w:val="24"/>
        </w:rPr>
        <w:t xml:space="preserve"> </w:t>
      </w:r>
      <w:r>
        <w:rPr>
          <w:sz w:val="24"/>
        </w:rPr>
        <w:t>a</w:t>
      </w:r>
      <w:r>
        <w:rPr>
          <w:spacing w:val="-5"/>
          <w:sz w:val="24"/>
        </w:rPr>
        <w:t xml:space="preserve"> </w:t>
      </w:r>
      <w:r>
        <w:rPr>
          <w:sz w:val="24"/>
        </w:rPr>
        <w:t>weighted</w:t>
      </w:r>
      <w:r>
        <w:rPr>
          <w:spacing w:val="-4"/>
          <w:sz w:val="24"/>
        </w:rPr>
        <w:t xml:space="preserve"> </w:t>
      </w:r>
      <w:r>
        <w:rPr>
          <w:sz w:val="24"/>
        </w:rPr>
        <w:t>average</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premium</w:t>
      </w:r>
      <w:r>
        <w:rPr>
          <w:spacing w:val="-4"/>
          <w:sz w:val="24"/>
        </w:rPr>
        <w:t xml:space="preserve"> </w:t>
      </w:r>
      <w:r>
        <w:rPr>
          <w:sz w:val="24"/>
        </w:rPr>
        <w:t>amounts</w:t>
      </w:r>
      <w:r>
        <w:rPr>
          <w:spacing w:val="-4"/>
          <w:sz w:val="24"/>
        </w:rPr>
        <w:t xml:space="preserve"> </w:t>
      </w:r>
      <w:r>
        <w:rPr>
          <w:sz w:val="24"/>
        </w:rPr>
        <w:t>for</w:t>
      </w:r>
      <w:r>
        <w:rPr>
          <w:spacing w:val="-5"/>
          <w:sz w:val="24"/>
        </w:rPr>
        <w:t xml:space="preserve"> </w:t>
      </w:r>
      <w:r>
        <w:rPr>
          <w:sz w:val="24"/>
        </w:rPr>
        <w:t>each</w:t>
      </w:r>
      <w:r>
        <w:rPr>
          <w:spacing w:val="-4"/>
          <w:sz w:val="24"/>
        </w:rPr>
        <w:t xml:space="preserve"> </w:t>
      </w:r>
      <w:r>
        <w:rPr>
          <w:sz w:val="24"/>
        </w:rPr>
        <w:t>PDP and</w:t>
      </w:r>
      <w:r>
        <w:rPr>
          <w:spacing w:val="-2"/>
          <w:sz w:val="24"/>
        </w:rPr>
        <w:t xml:space="preserve"> </w:t>
      </w:r>
      <w:r>
        <w:rPr>
          <w:sz w:val="24"/>
        </w:rPr>
        <w:t>MA-PD</w:t>
      </w:r>
      <w:r>
        <w:rPr>
          <w:spacing w:val="-3"/>
          <w:sz w:val="24"/>
        </w:rPr>
        <w:t xml:space="preserve"> </w:t>
      </w:r>
      <w:r>
        <w:rPr>
          <w:sz w:val="24"/>
        </w:rPr>
        <w:t>with</w:t>
      </w:r>
      <w:r>
        <w:rPr>
          <w:spacing w:val="-2"/>
          <w:sz w:val="24"/>
        </w:rPr>
        <w:t xml:space="preserve"> </w:t>
      </w:r>
      <w:r>
        <w:rPr>
          <w:sz w:val="24"/>
        </w:rPr>
        <w:t>a</w:t>
      </w:r>
      <w:r>
        <w:rPr>
          <w:spacing w:val="-3"/>
          <w:sz w:val="24"/>
        </w:rPr>
        <w:t xml:space="preserve"> </w:t>
      </w:r>
      <w:r>
        <w:rPr>
          <w:sz w:val="24"/>
        </w:rPr>
        <w:t>weighting</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each</w:t>
      </w:r>
      <w:r>
        <w:rPr>
          <w:spacing w:val="-2"/>
          <w:sz w:val="24"/>
        </w:rPr>
        <w:t xml:space="preserve"> </w:t>
      </w:r>
      <w:r>
        <w:rPr>
          <w:sz w:val="24"/>
        </w:rPr>
        <w:t>plan’s</w:t>
      </w:r>
      <w:r>
        <w:rPr>
          <w:spacing w:val="-3"/>
          <w:sz w:val="24"/>
        </w:rPr>
        <w:t xml:space="preserve"> </w:t>
      </w:r>
      <w:r>
        <w:rPr>
          <w:sz w:val="24"/>
        </w:rPr>
        <w:t>prior</w:t>
      </w:r>
      <w:r>
        <w:rPr>
          <w:spacing w:val="-3"/>
          <w:sz w:val="24"/>
        </w:rPr>
        <w:t xml:space="preserve"> </w:t>
      </w:r>
      <w:r>
        <w:rPr>
          <w:sz w:val="24"/>
        </w:rPr>
        <w:t>enrollment</w:t>
      </w:r>
      <w:r>
        <w:rPr>
          <w:spacing w:val="-2"/>
          <w:sz w:val="24"/>
        </w:rPr>
        <w:t xml:space="preserve"> </w:t>
      </w:r>
      <w:r>
        <w:rPr>
          <w:sz w:val="24"/>
        </w:rPr>
        <w:t>as</w:t>
      </w:r>
      <w:r>
        <w:rPr>
          <w:spacing w:val="-3"/>
          <w:sz w:val="24"/>
        </w:rPr>
        <w:t xml:space="preserve"> </w:t>
      </w:r>
      <w:r>
        <w:rPr>
          <w:sz w:val="24"/>
        </w:rPr>
        <w:t>a</w:t>
      </w:r>
      <w:r>
        <w:rPr>
          <w:spacing w:val="-4"/>
          <w:sz w:val="24"/>
        </w:rPr>
        <w:t xml:space="preserve"> </w:t>
      </w:r>
      <w:r>
        <w:rPr>
          <w:sz w:val="24"/>
        </w:rPr>
        <w:t>percentage</w:t>
      </w:r>
      <w:r>
        <w:rPr>
          <w:spacing w:val="-3"/>
          <w:sz w:val="24"/>
        </w:rPr>
        <w:t xml:space="preserve"> </w:t>
      </w:r>
      <w:r>
        <w:rPr>
          <w:sz w:val="24"/>
        </w:rPr>
        <w:t>of all beneficiaries enrolled in those plans.</w:t>
      </w:r>
    </w:p>
    <w:p>
      <w:pPr>
        <w:pStyle w:val="BodyText"/>
        <w:ind w:left="224" w:right="425"/>
      </w:pPr>
      <w:r>
        <w:t>For</w:t>
      </w:r>
      <w:r>
        <w:rPr>
          <w:spacing w:val="-3"/>
        </w:rPr>
        <w:t xml:space="preserve"> </w:t>
      </w:r>
      <w:r>
        <w:t>CY2008,</w:t>
      </w:r>
      <w:r>
        <w:rPr>
          <w:spacing w:val="-3"/>
        </w:rPr>
        <w:t xml:space="preserve"> </w:t>
      </w:r>
      <w:r>
        <w:t>the</w:t>
      </w:r>
      <w:r>
        <w:rPr>
          <w:spacing w:val="-3"/>
        </w:rPr>
        <w:t xml:space="preserve"> </w:t>
      </w:r>
      <w:r>
        <w:t>regional</w:t>
      </w:r>
      <w:r>
        <w:rPr>
          <w:spacing w:val="-3"/>
        </w:rPr>
        <w:t xml:space="preserve"> </w:t>
      </w:r>
      <w:r>
        <w:t>low-income</w:t>
      </w:r>
      <w:r>
        <w:rPr>
          <w:spacing w:val="-4"/>
        </w:rPr>
        <w:t xml:space="preserve"> </w:t>
      </w:r>
      <w:r>
        <w:t>benchmark</w:t>
      </w:r>
      <w:r>
        <w:rPr>
          <w:spacing w:val="-2"/>
        </w:rPr>
        <w:t xml:space="preserve"> </w:t>
      </w:r>
      <w:r>
        <w:t>amount</w:t>
      </w:r>
      <w:r>
        <w:rPr>
          <w:spacing w:val="-3"/>
        </w:rPr>
        <w:t xml:space="preserve"> </w:t>
      </w:r>
      <w:r>
        <w:t>was</w:t>
      </w:r>
      <w:r>
        <w:rPr>
          <w:spacing w:val="-3"/>
        </w:rPr>
        <w:t xml:space="preserve"> </w:t>
      </w:r>
      <w:r>
        <w:t>based</w:t>
      </w:r>
      <w:r>
        <w:rPr>
          <w:spacing w:val="-3"/>
        </w:rPr>
        <w:t xml:space="preserve"> </w:t>
      </w:r>
      <w:r>
        <w:t>on</w:t>
      </w:r>
      <w:r>
        <w:rPr>
          <w:spacing w:val="-2"/>
        </w:rPr>
        <w:t xml:space="preserve"> </w:t>
      </w:r>
      <w:r>
        <w:t>50</w:t>
      </w:r>
      <w:r>
        <w:rPr>
          <w:spacing w:val="-1"/>
        </w:rPr>
        <w:t xml:space="preserve"> </w:t>
      </w:r>
      <w:r>
        <w:t>percent</w:t>
      </w:r>
      <w:r>
        <w:rPr>
          <w:spacing w:val="-3"/>
        </w:rPr>
        <w:t xml:space="preserve"> </w:t>
      </w:r>
      <w:r>
        <w:t>of</w:t>
      </w:r>
      <w:r>
        <w:rPr>
          <w:spacing w:val="-3"/>
        </w:rPr>
        <w:t xml:space="preserve"> </w:t>
      </w:r>
      <w:r>
        <w:t>the</w:t>
      </w:r>
      <w:r>
        <w:rPr>
          <w:spacing w:val="-3"/>
        </w:rPr>
        <w:t xml:space="preserve"> </w:t>
      </w:r>
      <w:r>
        <w:t>first component and 50 percent of the second component, as described above.</w:t>
      </w:r>
    </w:p>
    <w:p>
      <w:pPr>
        <w:pStyle w:val="BodyText"/>
        <w:ind w:left="224" w:right="478"/>
      </w:pPr>
      <w:r>
        <w:t>For</w:t>
      </w:r>
      <w:r>
        <w:rPr>
          <w:spacing w:val="-4"/>
        </w:rPr>
        <w:t xml:space="preserve"> </w:t>
      </w:r>
      <w:r>
        <w:t>CY2009,</w:t>
      </w:r>
      <w:r>
        <w:rPr>
          <w:spacing w:val="-4"/>
        </w:rPr>
        <w:t xml:space="preserve"> </w:t>
      </w:r>
      <w:r>
        <w:t>the</w:t>
      </w:r>
      <w:r>
        <w:rPr>
          <w:spacing w:val="-4"/>
        </w:rPr>
        <w:t xml:space="preserve"> </w:t>
      </w:r>
      <w:r>
        <w:t>“Medicare</w:t>
      </w:r>
      <w:r>
        <w:rPr>
          <w:spacing w:val="-5"/>
        </w:rPr>
        <w:t xml:space="preserve"> </w:t>
      </w:r>
      <w:r>
        <w:t>Demonstration</w:t>
      </w:r>
      <w:r>
        <w:rPr>
          <w:spacing w:val="-4"/>
        </w:rPr>
        <w:t xml:space="preserve"> </w:t>
      </w:r>
      <w:r>
        <w:t>to</w:t>
      </w:r>
      <w:r>
        <w:rPr>
          <w:spacing w:val="-4"/>
        </w:rPr>
        <w:t xml:space="preserve"> </w:t>
      </w:r>
      <w:r>
        <w:t>Transition</w:t>
      </w:r>
      <w:r>
        <w:rPr>
          <w:spacing w:val="-4"/>
        </w:rPr>
        <w:t xml:space="preserve"> </w:t>
      </w:r>
      <w:r>
        <w:t>Enrollment</w:t>
      </w:r>
      <w:r>
        <w:rPr>
          <w:spacing w:val="-4"/>
        </w:rPr>
        <w:t xml:space="preserve"> </w:t>
      </w:r>
      <w:r>
        <w:t>of</w:t>
      </w:r>
      <w:r>
        <w:rPr>
          <w:spacing w:val="-4"/>
        </w:rPr>
        <w:t xml:space="preserve"> </w:t>
      </w:r>
      <w:r>
        <w:t>Low-Income</w:t>
      </w:r>
      <w:r>
        <w:rPr>
          <w:spacing w:val="-4"/>
        </w:rPr>
        <w:t xml:space="preserve"> </w:t>
      </w:r>
      <w:r>
        <w:t>Subsidy Beneficiaries” and the de minimis policy were not in effect. The regional low-income benchmark amounts were calculated based on 100 percent of the weighted LIS enrollments.</w:t>
      </w:r>
    </w:p>
    <w:p>
      <w:pPr>
        <w:pStyle w:val="BodyText"/>
        <w:ind w:left="224" w:right="478"/>
      </w:pPr>
      <w:r>
        <w:t>For</w:t>
      </w:r>
      <w:r>
        <w:rPr>
          <w:spacing w:val="-4"/>
        </w:rPr>
        <w:t xml:space="preserve"> </w:t>
      </w:r>
      <w:r>
        <w:t>CY2010,</w:t>
      </w:r>
      <w:r>
        <w:rPr>
          <w:spacing w:val="-4"/>
        </w:rPr>
        <w:t xml:space="preserve"> </w:t>
      </w:r>
      <w:r>
        <w:t>the</w:t>
      </w:r>
      <w:r>
        <w:rPr>
          <w:spacing w:val="-5"/>
        </w:rPr>
        <w:t xml:space="preserve"> </w:t>
      </w:r>
      <w:r>
        <w:t>“Medicare</w:t>
      </w:r>
      <w:r>
        <w:rPr>
          <w:spacing w:val="-6"/>
        </w:rPr>
        <w:t xml:space="preserve"> </w:t>
      </w:r>
      <w:r>
        <w:t>Demonstration</w:t>
      </w:r>
      <w:r>
        <w:rPr>
          <w:spacing w:val="-4"/>
        </w:rPr>
        <w:t xml:space="preserve"> </w:t>
      </w:r>
      <w:r>
        <w:t>to</w:t>
      </w:r>
      <w:r>
        <w:rPr>
          <w:spacing w:val="-4"/>
        </w:rPr>
        <w:t xml:space="preserve"> </w:t>
      </w:r>
      <w:r>
        <w:t>Revise</w:t>
      </w:r>
      <w:r>
        <w:rPr>
          <w:spacing w:val="-3"/>
        </w:rPr>
        <w:t xml:space="preserve"> </w:t>
      </w:r>
      <w:r>
        <w:t>Part</w:t>
      </w:r>
      <w:r>
        <w:rPr>
          <w:spacing w:val="-4"/>
        </w:rPr>
        <w:t xml:space="preserve"> </w:t>
      </w:r>
      <w:r>
        <w:t>D</w:t>
      </w:r>
      <w:r>
        <w:rPr>
          <w:spacing w:val="-5"/>
        </w:rPr>
        <w:t xml:space="preserve"> </w:t>
      </w:r>
      <w:r>
        <w:t>Low-Income</w:t>
      </w:r>
      <w:r>
        <w:rPr>
          <w:spacing w:val="-3"/>
        </w:rPr>
        <w:t xml:space="preserve"> </w:t>
      </w:r>
      <w:r>
        <w:t>Benchmark Calculation” established that the regional low-income benchmark amounts, based on</w:t>
      </w:r>
    </w:p>
    <w:p>
      <w:pPr>
        <w:pStyle w:val="BodyText"/>
        <w:spacing w:before="0"/>
        <w:ind w:left="224" w:right="478"/>
      </w:pPr>
      <w:r>
        <w:t>100</w:t>
      </w:r>
      <w:r>
        <w:rPr>
          <w:spacing w:val="-4"/>
        </w:rPr>
        <w:t xml:space="preserve"> </w:t>
      </w:r>
      <w:r>
        <w:t>percent</w:t>
      </w:r>
      <w:r>
        <w:rPr>
          <w:spacing w:val="-3"/>
        </w:rPr>
        <w:t xml:space="preserve"> </w:t>
      </w:r>
      <w:r>
        <w:t>of</w:t>
      </w:r>
      <w:r>
        <w:rPr>
          <w:spacing w:val="-3"/>
        </w:rPr>
        <w:t xml:space="preserve"> </w:t>
      </w:r>
      <w:r>
        <w:t>the</w:t>
      </w:r>
      <w:r>
        <w:rPr>
          <w:spacing w:val="-5"/>
        </w:rPr>
        <w:t xml:space="preserve"> </w:t>
      </w:r>
      <w:r>
        <w:t>weighted</w:t>
      </w:r>
      <w:r>
        <w:rPr>
          <w:spacing w:val="-3"/>
        </w:rPr>
        <w:t xml:space="preserve"> </w:t>
      </w:r>
      <w:r>
        <w:t>LIS</w:t>
      </w:r>
      <w:r>
        <w:rPr>
          <w:spacing w:val="-3"/>
        </w:rPr>
        <w:t xml:space="preserve"> </w:t>
      </w:r>
      <w:r>
        <w:t>enrollments,</w:t>
      </w:r>
      <w:r>
        <w:rPr>
          <w:spacing w:val="-3"/>
        </w:rPr>
        <w:t xml:space="preserve"> </w:t>
      </w:r>
      <w:r>
        <w:t>would</w:t>
      </w:r>
      <w:r>
        <w:rPr>
          <w:spacing w:val="-3"/>
        </w:rPr>
        <w:t xml:space="preserve"> </w:t>
      </w:r>
      <w:r>
        <w:t>be</w:t>
      </w:r>
      <w:r>
        <w:rPr>
          <w:spacing w:val="-4"/>
        </w:rPr>
        <w:t xml:space="preserve"> </w:t>
      </w:r>
      <w:r>
        <w:t>calculated</w:t>
      </w:r>
      <w:r>
        <w:rPr>
          <w:spacing w:val="-3"/>
        </w:rPr>
        <w:t xml:space="preserve"> </w:t>
      </w:r>
      <w:r>
        <w:t>using</w:t>
      </w:r>
      <w:r>
        <w:rPr>
          <w:spacing w:val="-3"/>
        </w:rPr>
        <w:t xml:space="preserve"> </w:t>
      </w:r>
      <w:r>
        <w:t>the</w:t>
      </w:r>
      <w:r>
        <w:rPr>
          <w:spacing w:val="-1"/>
        </w:rPr>
        <w:t xml:space="preserve"> </w:t>
      </w:r>
      <w:r>
        <w:t>Part</w:t>
      </w:r>
      <w:r>
        <w:rPr>
          <w:spacing w:val="-3"/>
        </w:rPr>
        <w:t xml:space="preserve"> </w:t>
      </w:r>
      <w:r>
        <w:t>D</w:t>
      </w:r>
      <w:r>
        <w:rPr>
          <w:spacing w:val="-4"/>
        </w:rPr>
        <w:t xml:space="preserve"> </w:t>
      </w:r>
      <w:r>
        <w:t>premiums for MA-PD plans before they were reduced by any applicable MA A/B rebates.</w:t>
      </w:r>
    </w:p>
    <w:p>
      <w:pPr>
        <w:pStyle w:val="BodyText"/>
        <w:ind w:left="224" w:right="478"/>
      </w:pPr>
      <w:r>
        <w:t>For CY2011 and subsequent years, in accord with the codification of the “Medicare Demonstration to Revise Part D Low-Income Benchmark Calculation”, the weighted average premium</w:t>
      </w:r>
      <w:r>
        <w:rPr>
          <w:spacing w:val="-3"/>
        </w:rPr>
        <w:t xml:space="preserve"> </w:t>
      </w:r>
      <w:r>
        <w:t>amounts</w:t>
      </w:r>
      <w:r>
        <w:rPr>
          <w:spacing w:val="-2"/>
        </w:rPr>
        <w:t xml:space="preserve"> </w:t>
      </w:r>
      <w:r>
        <w:t>are</w:t>
      </w:r>
      <w:r>
        <w:rPr>
          <w:spacing w:val="-5"/>
        </w:rPr>
        <w:t xml:space="preserve"> </w:t>
      </w:r>
      <w:r>
        <w:t>to be</w:t>
      </w:r>
      <w:r>
        <w:rPr>
          <w:spacing w:val="-4"/>
        </w:rPr>
        <w:t xml:space="preserve"> </w:t>
      </w:r>
      <w:r>
        <w:t>calculated</w:t>
      </w:r>
      <w:r>
        <w:rPr>
          <w:spacing w:val="-3"/>
        </w:rPr>
        <w:t xml:space="preserve"> </w:t>
      </w:r>
      <w:r>
        <w:t>using</w:t>
      </w:r>
      <w:r>
        <w:rPr>
          <w:spacing w:val="-3"/>
        </w:rPr>
        <w:t xml:space="preserve"> </w:t>
      </w:r>
      <w:r>
        <w:t>the</w:t>
      </w:r>
      <w:r>
        <w:rPr>
          <w:spacing w:val="-4"/>
        </w:rPr>
        <w:t xml:space="preserve"> </w:t>
      </w:r>
      <w:r>
        <w:t>Part</w:t>
      </w:r>
      <w:r>
        <w:rPr>
          <w:spacing w:val="-3"/>
        </w:rPr>
        <w:t xml:space="preserve"> </w:t>
      </w:r>
      <w:r>
        <w:t>D</w:t>
      </w:r>
      <w:r>
        <w:rPr>
          <w:spacing w:val="-4"/>
        </w:rPr>
        <w:t xml:space="preserve"> </w:t>
      </w:r>
      <w:r>
        <w:t>premiums</w:t>
      </w:r>
      <w:r>
        <w:rPr>
          <w:spacing w:val="-3"/>
        </w:rPr>
        <w:t xml:space="preserve"> </w:t>
      </w:r>
      <w:r>
        <w:t>for</w:t>
      </w:r>
      <w:r>
        <w:rPr>
          <w:spacing w:val="-4"/>
        </w:rPr>
        <w:t xml:space="preserve"> </w:t>
      </w:r>
      <w:r>
        <w:t>MA-PD</w:t>
      </w:r>
      <w:r>
        <w:rPr>
          <w:spacing w:val="-3"/>
        </w:rPr>
        <w:t xml:space="preserve"> </w:t>
      </w:r>
      <w:r>
        <w:t>plans</w:t>
      </w:r>
      <w:r>
        <w:rPr>
          <w:spacing w:val="-3"/>
        </w:rPr>
        <w:t xml:space="preserve"> </w:t>
      </w:r>
      <w:r>
        <w:t>before</w:t>
      </w:r>
      <w:r>
        <w:rPr>
          <w:spacing w:val="-4"/>
        </w:rPr>
        <w:t xml:space="preserve"> </w:t>
      </w:r>
      <w:r>
        <w:t>they have been reduced by any applicable Part A/B rebates.</w:t>
      </w:r>
    </w:p>
    <w:p>
      <w:pPr>
        <w:pStyle w:val="BodyText"/>
        <w:spacing w:before="121"/>
        <w:ind w:left="224" w:right="566"/>
      </w:pPr>
      <w:r>
        <w:t>The</w:t>
      </w:r>
      <w:r>
        <w:rPr>
          <w:spacing w:val="-6"/>
        </w:rPr>
        <w:t xml:space="preserve"> </w:t>
      </w:r>
      <w:r>
        <w:t>following</w:t>
      </w:r>
      <w:r>
        <w:rPr>
          <w:spacing w:val="-4"/>
        </w:rPr>
        <w:t xml:space="preserve"> </w:t>
      </w:r>
      <w:r>
        <w:t>table</w:t>
      </w:r>
      <w:r>
        <w:rPr>
          <w:spacing w:val="-4"/>
        </w:rPr>
        <w:t xml:space="preserve"> </w:t>
      </w:r>
      <w:r>
        <w:t>illustrates</w:t>
      </w:r>
      <w:r>
        <w:rPr>
          <w:spacing w:val="-4"/>
        </w:rPr>
        <w:t xml:space="preserve"> </w:t>
      </w:r>
      <w:r>
        <w:t>the</w:t>
      </w:r>
      <w:r>
        <w:rPr>
          <w:spacing w:val="-5"/>
        </w:rPr>
        <w:t xml:space="preserve"> </w:t>
      </w:r>
      <w:r>
        <w:t>impact</w:t>
      </w:r>
      <w:r>
        <w:rPr>
          <w:spacing w:val="-4"/>
        </w:rPr>
        <w:t xml:space="preserve"> </w:t>
      </w:r>
      <w:r>
        <w:t>of</w:t>
      </w:r>
      <w:r>
        <w:rPr>
          <w:spacing w:val="-3"/>
        </w:rPr>
        <w:t xml:space="preserve"> </w:t>
      </w:r>
      <w:r>
        <w:t>calculating</w:t>
      </w:r>
      <w:r>
        <w:rPr>
          <w:spacing w:val="-4"/>
        </w:rPr>
        <w:t xml:space="preserve"> </w:t>
      </w:r>
      <w:r>
        <w:t>the</w:t>
      </w:r>
      <w:r>
        <w:rPr>
          <w:spacing w:val="-4"/>
        </w:rPr>
        <w:t xml:space="preserve"> </w:t>
      </w:r>
      <w:r>
        <w:t>regional</w:t>
      </w:r>
      <w:r>
        <w:rPr>
          <w:spacing w:val="-4"/>
        </w:rPr>
        <w:t xml:space="preserve"> </w:t>
      </w:r>
      <w:r>
        <w:t>low-income</w:t>
      </w:r>
      <w:r>
        <w:rPr>
          <w:spacing w:val="-4"/>
        </w:rPr>
        <w:t xml:space="preserve"> </w:t>
      </w:r>
      <w:r>
        <w:t>benchmark amounts based on 100 percent of the weighted LIS enrollments for two enrollment periods, June 2024 and March 2025.</w:t>
      </w:r>
    </w:p>
    <w:p>
      <w:pPr>
        <w:spacing w:after="0"/>
        <w:sectPr>
          <w:headerReference w:type="default" r:id="rId43"/>
          <w:footerReference w:type="default" r:id="rId44"/>
          <w:pgSz w:w="12240" w:h="15840"/>
          <w:pgMar w:top="1340" w:right="1000" w:bottom="940" w:left="1360" w:header="727" w:footer="747"/>
          <w:cols w:space="720"/>
        </w:sectPr>
      </w:pPr>
    </w:p>
    <w:p>
      <w:pPr>
        <w:pStyle w:val="BodyText"/>
        <w:spacing w:before="6" w:after="1"/>
        <w:ind w:left="0"/>
        <w:rPr>
          <w:sz w:val="7"/>
        </w:rPr>
      </w:pPr>
    </w:p>
    <w:tbl>
      <w:tblPr>
        <w:tblStyle w:val="TableNormal"/>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3089"/>
        <w:gridCol w:w="1910"/>
        <w:gridCol w:w="2121"/>
      </w:tblGrid>
      <w:tr>
        <w:tblPrEx>
          <w:tblW w:w="0" w:type="auto"/>
          <w:jc w:val="left"/>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9"/>
          <w:jc w:val="left"/>
        </w:trPr>
        <w:tc>
          <w:tcPr>
            <w:tcW w:w="960" w:type="dxa"/>
            <w:vMerge w:val="restart"/>
          </w:tcPr>
          <w:p>
            <w:pPr>
              <w:pStyle w:val="TableParagraph"/>
              <w:spacing w:before="186"/>
              <w:ind w:left="0"/>
              <w:rPr>
                <w:sz w:val="24"/>
              </w:rPr>
            </w:pPr>
          </w:p>
          <w:p>
            <w:pPr>
              <w:pStyle w:val="TableParagraph"/>
              <w:ind w:left="9" w:right="2"/>
              <w:jc w:val="center"/>
              <w:rPr>
                <w:b/>
                <w:sz w:val="24"/>
              </w:rPr>
            </w:pPr>
            <w:r>
              <w:rPr>
                <w:b/>
                <w:spacing w:val="-5"/>
                <w:sz w:val="24"/>
              </w:rPr>
              <w:t>PD</w:t>
            </w:r>
          </w:p>
          <w:p>
            <w:pPr>
              <w:pStyle w:val="TableParagraph"/>
              <w:ind w:left="9" w:right="1"/>
              <w:jc w:val="center"/>
              <w:rPr>
                <w:b/>
                <w:sz w:val="24"/>
              </w:rPr>
            </w:pPr>
            <w:r>
              <w:rPr>
                <w:b/>
                <w:spacing w:val="-2"/>
                <w:sz w:val="24"/>
              </w:rPr>
              <w:t>Region</w:t>
            </w:r>
          </w:p>
        </w:tc>
        <w:tc>
          <w:tcPr>
            <w:tcW w:w="3089" w:type="dxa"/>
            <w:vMerge w:val="restart"/>
          </w:tcPr>
          <w:p>
            <w:pPr>
              <w:pStyle w:val="TableParagraph"/>
              <w:ind w:left="0"/>
              <w:rPr>
                <w:sz w:val="24"/>
              </w:rPr>
            </w:pPr>
          </w:p>
          <w:p>
            <w:pPr>
              <w:pStyle w:val="TableParagraph"/>
              <w:spacing w:before="47"/>
              <w:ind w:left="0"/>
              <w:rPr>
                <w:sz w:val="24"/>
              </w:rPr>
            </w:pPr>
          </w:p>
          <w:p>
            <w:pPr>
              <w:pStyle w:val="TableParagraph"/>
              <w:ind w:left="12" w:right="7"/>
              <w:jc w:val="center"/>
              <w:rPr>
                <w:b/>
                <w:sz w:val="24"/>
              </w:rPr>
            </w:pPr>
            <w:r>
              <w:rPr>
                <w:b/>
                <w:spacing w:val="-2"/>
                <w:sz w:val="24"/>
              </w:rPr>
              <w:t>State(s)</w:t>
            </w:r>
          </w:p>
        </w:tc>
        <w:tc>
          <w:tcPr>
            <w:tcW w:w="4031" w:type="dxa"/>
            <w:gridSpan w:val="2"/>
          </w:tcPr>
          <w:p>
            <w:pPr>
              <w:pStyle w:val="TableParagraph"/>
              <w:spacing w:before="16" w:line="273" w:lineRule="exact"/>
              <w:ind w:left="360"/>
              <w:rPr>
                <w:b/>
                <w:sz w:val="24"/>
              </w:rPr>
            </w:pPr>
            <w:r>
              <w:rPr>
                <w:b/>
                <w:sz w:val="24"/>
              </w:rPr>
              <w:t>Enrollment</w:t>
            </w:r>
            <w:r>
              <w:rPr>
                <w:b/>
                <w:spacing w:val="-2"/>
                <w:sz w:val="24"/>
              </w:rPr>
              <w:t xml:space="preserve"> </w:t>
            </w:r>
            <w:r>
              <w:rPr>
                <w:b/>
                <w:sz w:val="24"/>
              </w:rPr>
              <w:t>Weighted</w:t>
            </w:r>
            <w:r>
              <w:rPr>
                <w:b/>
                <w:spacing w:val="-2"/>
                <w:sz w:val="24"/>
              </w:rPr>
              <w:t xml:space="preserve"> Approach</w:t>
            </w:r>
          </w:p>
        </w:tc>
      </w:tr>
      <w:tr>
        <w:tblPrEx>
          <w:tblW w:w="0" w:type="auto"/>
          <w:jc w:val="left"/>
          <w:tblInd w:w="224" w:type="dxa"/>
          <w:tblLayout w:type="fixed"/>
          <w:tblCellMar>
            <w:top w:w="0" w:type="dxa"/>
            <w:left w:w="0" w:type="dxa"/>
            <w:bottom w:w="0" w:type="dxa"/>
            <w:right w:w="0" w:type="dxa"/>
          </w:tblCellMar>
          <w:tblLook w:val="01E0"/>
        </w:tblPrEx>
        <w:trPr>
          <w:trHeight w:val="837"/>
          <w:jc w:val="left"/>
        </w:trPr>
        <w:tc>
          <w:tcPr>
            <w:tcW w:w="960" w:type="dxa"/>
            <w:vMerge/>
            <w:tcBorders>
              <w:top w:val="nil"/>
            </w:tcBorders>
          </w:tcPr>
          <w:p>
            <w:pPr>
              <w:rPr>
                <w:sz w:val="2"/>
                <w:szCs w:val="2"/>
              </w:rPr>
            </w:pPr>
          </w:p>
        </w:tc>
        <w:tc>
          <w:tcPr>
            <w:tcW w:w="3089" w:type="dxa"/>
            <w:vMerge/>
            <w:tcBorders>
              <w:top w:val="nil"/>
            </w:tcBorders>
          </w:tcPr>
          <w:p>
            <w:pPr>
              <w:rPr>
                <w:sz w:val="2"/>
                <w:szCs w:val="2"/>
              </w:rPr>
            </w:pPr>
          </w:p>
        </w:tc>
        <w:tc>
          <w:tcPr>
            <w:tcW w:w="1910" w:type="dxa"/>
          </w:tcPr>
          <w:p>
            <w:pPr>
              <w:pStyle w:val="TableParagraph"/>
              <w:spacing w:before="143"/>
              <w:ind w:left="367" w:firstLine="69"/>
              <w:rPr>
                <w:b/>
                <w:sz w:val="24"/>
              </w:rPr>
            </w:pPr>
            <w:r>
              <w:rPr>
                <w:b/>
                <w:sz w:val="24"/>
              </w:rPr>
              <w:t xml:space="preserve">June 2024 </w:t>
            </w:r>
            <w:r>
              <w:rPr>
                <w:b/>
                <w:spacing w:val="-2"/>
                <w:sz w:val="24"/>
              </w:rPr>
              <w:t>Enrollment</w:t>
            </w:r>
          </w:p>
        </w:tc>
        <w:tc>
          <w:tcPr>
            <w:tcW w:w="2121" w:type="dxa"/>
          </w:tcPr>
          <w:p>
            <w:pPr>
              <w:pStyle w:val="TableParagraph"/>
              <w:spacing w:before="143"/>
              <w:ind w:left="473" w:right="432" w:hanging="29"/>
              <w:rPr>
                <w:b/>
                <w:sz w:val="24"/>
              </w:rPr>
            </w:pPr>
            <w:r>
              <w:rPr>
                <w:b/>
                <w:sz w:val="24"/>
              </w:rPr>
              <w:t>March</w:t>
            </w:r>
            <w:r>
              <w:rPr>
                <w:b/>
                <w:spacing w:val="-15"/>
                <w:sz w:val="24"/>
              </w:rPr>
              <w:t xml:space="preserve"> </w:t>
            </w:r>
            <w:r>
              <w:rPr>
                <w:b/>
                <w:sz w:val="24"/>
              </w:rPr>
              <w:t xml:space="preserve">2025 </w:t>
            </w:r>
            <w:r>
              <w:rPr>
                <w:b/>
                <w:spacing w:val="-2"/>
                <w:sz w:val="24"/>
              </w:rPr>
              <w:t>Enrollment</w:t>
            </w:r>
          </w:p>
        </w:tc>
      </w:tr>
      <w:tr>
        <w:tblPrEx>
          <w:tblW w:w="0" w:type="auto"/>
          <w:jc w:val="left"/>
          <w:tblInd w:w="224" w:type="dxa"/>
          <w:tblLayout w:type="fixed"/>
          <w:tblCellMar>
            <w:top w:w="0" w:type="dxa"/>
            <w:left w:w="0" w:type="dxa"/>
            <w:bottom w:w="0" w:type="dxa"/>
            <w:right w:w="0" w:type="dxa"/>
          </w:tblCellMar>
          <w:tblLook w:val="01E0"/>
        </w:tblPrEx>
        <w:trPr>
          <w:trHeight w:val="316"/>
          <w:jc w:val="left"/>
        </w:trPr>
        <w:tc>
          <w:tcPr>
            <w:tcW w:w="960" w:type="dxa"/>
          </w:tcPr>
          <w:p>
            <w:pPr>
              <w:pStyle w:val="TableParagraph"/>
              <w:spacing w:before="43"/>
              <w:ind w:left="9" w:right="1"/>
              <w:jc w:val="center"/>
              <w:rPr>
                <w:b/>
                <w:sz w:val="20"/>
              </w:rPr>
            </w:pPr>
            <w:r>
              <w:rPr>
                <w:b/>
                <w:spacing w:val="-10"/>
                <w:sz w:val="20"/>
              </w:rPr>
              <w:t>1</w:t>
            </w:r>
          </w:p>
        </w:tc>
        <w:tc>
          <w:tcPr>
            <w:tcW w:w="3089" w:type="dxa"/>
          </w:tcPr>
          <w:p>
            <w:pPr>
              <w:pStyle w:val="TableParagraph"/>
              <w:spacing w:before="43"/>
              <w:ind w:left="12" w:right="5"/>
              <w:jc w:val="center"/>
              <w:rPr>
                <w:b/>
                <w:sz w:val="20"/>
              </w:rPr>
            </w:pPr>
            <w:r>
              <w:rPr>
                <w:b/>
                <w:sz w:val="20"/>
              </w:rPr>
              <w:t>NH,</w:t>
            </w:r>
            <w:r>
              <w:rPr>
                <w:b/>
                <w:spacing w:val="-3"/>
                <w:sz w:val="20"/>
              </w:rPr>
              <w:t xml:space="preserve"> </w:t>
            </w:r>
            <w:r>
              <w:rPr>
                <w:b/>
                <w:spacing w:val="-5"/>
                <w:sz w:val="20"/>
              </w:rPr>
              <w:t>ME</w:t>
            </w:r>
          </w:p>
        </w:tc>
        <w:tc>
          <w:tcPr>
            <w:tcW w:w="1910" w:type="dxa"/>
          </w:tcPr>
          <w:p>
            <w:pPr>
              <w:pStyle w:val="TableParagraph"/>
              <w:spacing w:before="43"/>
              <w:ind w:left="56"/>
              <w:jc w:val="center"/>
              <w:rPr>
                <w:b/>
                <w:sz w:val="20"/>
              </w:rPr>
            </w:pPr>
            <w:r>
              <w:rPr>
                <w:b/>
                <w:spacing w:val="-2"/>
                <w:sz w:val="20"/>
              </w:rPr>
              <w:t>$33.77</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right="1"/>
              <w:jc w:val="center"/>
              <w:rPr>
                <w:b/>
                <w:sz w:val="20"/>
              </w:rPr>
            </w:pPr>
            <w:r>
              <w:rPr>
                <w:b/>
                <w:spacing w:val="-10"/>
                <w:sz w:val="20"/>
              </w:rPr>
              <w:t>2</w:t>
            </w:r>
          </w:p>
        </w:tc>
        <w:tc>
          <w:tcPr>
            <w:tcW w:w="3089" w:type="dxa"/>
          </w:tcPr>
          <w:p>
            <w:pPr>
              <w:pStyle w:val="TableParagraph"/>
              <w:spacing w:before="43"/>
              <w:ind w:left="12" w:right="8"/>
              <w:jc w:val="center"/>
              <w:rPr>
                <w:b/>
                <w:sz w:val="20"/>
              </w:rPr>
            </w:pPr>
            <w:r>
              <w:rPr>
                <w:b/>
                <w:sz w:val="20"/>
              </w:rPr>
              <w:t>CT,</w:t>
            </w:r>
            <w:r>
              <w:rPr>
                <w:b/>
                <w:spacing w:val="-4"/>
                <w:sz w:val="20"/>
              </w:rPr>
              <w:t xml:space="preserve"> </w:t>
            </w:r>
            <w:r>
              <w:rPr>
                <w:b/>
                <w:sz w:val="20"/>
              </w:rPr>
              <w:t>MA,</w:t>
            </w:r>
            <w:r>
              <w:rPr>
                <w:b/>
                <w:spacing w:val="-4"/>
                <w:sz w:val="20"/>
              </w:rPr>
              <w:t xml:space="preserve"> </w:t>
            </w:r>
            <w:r>
              <w:rPr>
                <w:b/>
                <w:sz w:val="20"/>
              </w:rPr>
              <w:t>RI,</w:t>
            </w:r>
            <w:r>
              <w:rPr>
                <w:b/>
                <w:spacing w:val="-3"/>
                <w:sz w:val="20"/>
              </w:rPr>
              <w:t xml:space="preserve"> </w:t>
            </w:r>
            <w:r>
              <w:rPr>
                <w:b/>
                <w:spacing w:val="-5"/>
                <w:sz w:val="20"/>
              </w:rPr>
              <w:t>VT</w:t>
            </w:r>
          </w:p>
        </w:tc>
        <w:tc>
          <w:tcPr>
            <w:tcW w:w="1910" w:type="dxa"/>
          </w:tcPr>
          <w:p>
            <w:pPr>
              <w:pStyle w:val="TableParagraph"/>
              <w:spacing w:before="43"/>
              <w:ind w:left="56"/>
              <w:jc w:val="center"/>
              <w:rPr>
                <w:b/>
                <w:sz w:val="20"/>
              </w:rPr>
            </w:pPr>
            <w:r>
              <w:rPr>
                <w:b/>
                <w:spacing w:val="-2"/>
                <w:sz w:val="20"/>
              </w:rPr>
              <w:t>$52.52</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right="1"/>
              <w:jc w:val="center"/>
              <w:rPr>
                <w:b/>
                <w:sz w:val="20"/>
              </w:rPr>
            </w:pPr>
            <w:r>
              <w:rPr>
                <w:b/>
                <w:spacing w:val="-10"/>
                <w:sz w:val="20"/>
              </w:rPr>
              <w:t>3</w:t>
            </w:r>
          </w:p>
        </w:tc>
        <w:tc>
          <w:tcPr>
            <w:tcW w:w="3089" w:type="dxa"/>
          </w:tcPr>
          <w:p>
            <w:pPr>
              <w:pStyle w:val="TableParagraph"/>
              <w:spacing w:before="46"/>
              <w:ind w:left="12" w:right="4"/>
              <w:jc w:val="center"/>
              <w:rPr>
                <w:b/>
                <w:sz w:val="20"/>
              </w:rPr>
            </w:pPr>
            <w:r>
              <w:rPr>
                <w:b/>
                <w:spacing w:val="-5"/>
                <w:sz w:val="20"/>
              </w:rPr>
              <w:t>NY</w:t>
            </w:r>
          </w:p>
        </w:tc>
        <w:tc>
          <w:tcPr>
            <w:tcW w:w="1910" w:type="dxa"/>
          </w:tcPr>
          <w:p>
            <w:pPr>
              <w:pStyle w:val="TableParagraph"/>
              <w:spacing w:before="46"/>
              <w:ind w:left="56"/>
              <w:jc w:val="center"/>
              <w:rPr>
                <w:b/>
                <w:sz w:val="20"/>
              </w:rPr>
            </w:pPr>
            <w:r>
              <w:rPr>
                <w:b/>
                <w:spacing w:val="-2"/>
                <w:sz w:val="20"/>
              </w:rPr>
              <w:t>$72.34</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right="1"/>
              <w:jc w:val="center"/>
              <w:rPr>
                <w:b/>
                <w:sz w:val="20"/>
              </w:rPr>
            </w:pPr>
            <w:r>
              <w:rPr>
                <w:b/>
                <w:spacing w:val="-10"/>
                <w:sz w:val="20"/>
              </w:rPr>
              <w:t>4</w:t>
            </w:r>
          </w:p>
        </w:tc>
        <w:tc>
          <w:tcPr>
            <w:tcW w:w="3089" w:type="dxa"/>
          </w:tcPr>
          <w:p>
            <w:pPr>
              <w:pStyle w:val="TableParagraph"/>
              <w:spacing w:before="43"/>
              <w:ind w:left="12" w:right="5"/>
              <w:jc w:val="center"/>
              <w:rPr>
                <w:b/>
                <w:sz w:val="20"/>
              </w:rPr>
            </w:pPr>
            <w:r>
              <w:rPr>
                <w:b/>
                <w:spacing w:val="-5"/>
                <w:sz w:val="20"/>
              </w:rPr>
              <w:t>NJ</w:t>
            </w:r>
          </w:p>
        </w:tc>
        <w:tc>
          <w:tcPr>
            <w:tcW w:w="1910" w:type="dxa"/>
          </w:tcPr>
          <w:p>
            <w:pPr>
              <w:pStyle w:val="TableParagraph"/>
              <w:spacing w:before="43"/>
              <w:ind w:left="56"/>
              <w:jc w:val="center"/>
              <w:rPr>
                <w:b/>
                <w:sz w:val="20"/>
              </w:rPr>
            </w:pPr>
            <w:r>
              <w:rPr>
                <w:b/>
                <w:spacing w:val="-2"/>
                <w:sz w:val="20"/>
              </w:rPr>
              <w:t>$56.86</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right="1"/>
              <w:jc w:val="center"/>
              <w:rPr>
                <w:b/>
                <w:sz w:val="20"/>
              </w:rPr>
            </w:pPr>
            <w:r>
              <w:rPr>
                <w:b/>
                <w:spacing w:val="-10"/>
                <w:sz w:val="20"/>
              </w:rPr>
              <w:t>5</w:t>
            </w:r>
          </w:p>
        </w:tc>
        <w:tc>
          <w:tcPr>
            <w:tcW w:w="3089" w:type="dxa"/>
          </w:tcPr>
          <w:p>
            <w:pPr>
              <w:pStyle w:val="TableParagraph"/>
              <w:spacing w:before="46"/>
              <w:ind w:left="12" w:right="9"/>
              <w:jc w:val="center"/>
              <w:rPr>
                <w:b/>
                <w:sz w:val="20"/>
              </w:rPr>
            </w:pPr>
            <w:r>
              <w:rPr>
                <w:b/>
                <w:sz w:val="20"/>
              </w:rPr>
              <w:t>DE,</w:t>
            </w:r>
            <w:r>
              <w:rPr>
                <w:b/>
                <w:spacing w:val="-4"/>
                <w:sz w:val="20"/>
              </w:rPr>
              <w:t xml:space="preserve"> </w:t>
            </w:r>
            <w:r>
              <w:rPr>
                <w:b/>
                <w:sz w:val="20"/>
              </w:rPr>
              <w:t>DC,</w:t>
            </w:r>
            <w:r>
              <w:rPr>
                <w:b/>
                <w:spacing w:val="-3"/>
                <w:sz w:val="20"/>
              </w:rPr>
              <w:t xml:space="preserve"> </w:t>
            </w:r>
            <w:r>
              <w:rPr>
                <w:b/>
                <w:spacing w:val="-5"/>
                <w:sz w:val="20"/>
              </w:rPr>
              <w:t>MD</w:t>
            </w:r>
          </w:p>
        </w:tc>
        <w:tc>
          <w:tcPr>
            <w:tcW w:w="1910" w:type="dxa"/>
          </w:tcPr>
          <w:p>
            <w:pPr>
              <w:pStyle w:val="TableParagraph"/>
              <w:spacing w:before="46"/>
              <w:ind w:left="56"/>
              <w:jc w:val="center"/>
              <w:rPr>
                <w:b/>
                <w:sz w:val="20"/>
              </w:rPr>
            </w:pPr>
            <w:r>
              <w:rPr>
                <w:b/>
                <w:spacing w:val="-2"/>
                <w:sz w:val="20"/>
              </w:rPr>
              <w:t>$46.32</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right="1"/>
              <w:jc w:val="center"/>
              <w:rPr>
                <w:b/>
                <w:sz w:val="20"/>
              </w:rPr>
            </w:pPr>
            <w:r>
              <w:rPr>
                <w:b/>
                <w:spacing w:val="-10"/>
                <w:sz w:val="20"/>
              </w:rPr>
              <w:t>6</w:t>
            </w:r>
          </w:p>
        </w:tc>
        <w:tc>
          <w:tcPr>
            <w:tcW w:w="3089" w:type="dxa"/>
          </w:tcPr>
          <w:p>
            <w:pPr>
              <w:pStyle w:val="TableParagraph"/>
              <w:spacing w:before="43"/>
              <w:ind w:left="12" w:right="6"/>
              <w:jc w:val="center"/>
              <w:rPr>
                <w:b/>
                <w:sz w:val="20"/>
              </w:rPr>
            </w:pPr>
            <w:r>
              <w:rPr>
                <w:b/>
                <w:sz w:val="20"/>
              </w:rPr>
              <w:t>PA,</w:t>
            </w:r>
            <w:r>
              <w:rPr>
                <w:b/>
                <w:spacing w:val="-4"/>
                <w:sz w:val="20"/>
              </w:rPr>
              <w:t xml:space="preserve"> </w:t>
            </w:r>
            <w:r>
              <w:rPr>
                <w:b/>
                <w:spacing w:val="-5"/>
                <w:sz w:val="20"/>
              </w:rPr>
              <w:t>WV</w:t>
            </w:r>
          </w:p>
        </w:tc>
        <w:tc>
          <w:tcPr>
            <w:tcW w:w="1910" w:type="dxa"/>
          </w:tcPr>
          <w:p>
            <w:pPr>
              <w:pStyle w:val="TableParagraph"/>
              <w:spacing w:before="43"/>
              <w:ind w:left="56"/>
              <w:jc w:val="center"/>
              <w:rPr>
                <w:b/>
                <w:sz w:val="20"/>
              </w:rPr>
            </w:pPr>
            <w:r>
              <w:rPr>
                <w:b/>
                <w:spacing w:val="-2"/>
                <w:sz w:val="20"/>
              </w:rPr>
              <w:t>$48.36</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right="1"/>
              <w:jc w:val="center"/>
              <w:rPr>
                <w:b/>
                <w:sz w:val="20"/>
              </w:rPr>
            </w:pPr>
            <w:r>
              <w:rPr>
                <w:b/>
                <w:spacing w:val="-10"/>
                <w:sz w:val="20"/>
              </w:rPr>
              <w:t>7</w:t>
            </w:r>
          </w:p>
        </w:tc>
        <w:tc>
          <w:tcPr>
            <w:tcW w:w="3089" w:type="dxa"/>
          </w:tcPr>
          <w:p>
            <w:pPr>
              <w:pStyle w:val="TableParagraph"/>
              <w:spacing w:before="46"/>
              <w:ind w:left="12" w:right="4"/>
              <w:jc w:val="center"/>
              <w:rPr>
                <w:b/>
                <w:sz w:val="20"/>
              </w:rPr>
            </w:pPr>
            <w:r>
              <w:rPr>
                <w:b/>
                <w:spacing w:val="-5"/>
                <w:sz w:val="20"/>
              </w:rPr>
              <w:t>VA</w:t>
            </w:r>
          </w:p>
        </w:tc>
        <w:tc>
          <w:tcPr>
            <w:tcW w:w="1910" w:type="dxa"/>
          </w:tcPr>
          <w:p>
            <w:pPr>
              <w:pStyle w:val="TableParagraph"/>
              <w:spacing w:before="46"/>
              <w:ind w:left="56"/>
              <w:jc w:val="center"/>
              <w:rPr>
                <w:b/>
                <w:sz w:val="20"/>
              </w:rPr>
            </w:pPr>
            <w:r>
              <w:rPr>
                <w:b/>
                <w:spacing w:val="-2"/>
                <w:sz w:val="20"/>
              </w:rPr>
              <w:t>$30.70</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9"/>
          <w:jc w:val="left"/>
        </w:trPr>
        <w:tc>
          <w:tcPr>
            <w:tcW w:w="960" w:type="dxa"/>
          </w:tcPr>
          <w:p>
            <w:pPr>
              <w:pStyle w:val="TableParagraph"/>
              <w:spacing w:before="44"/>
              <w:ind w:left="9" w:right="1"/>
              <w:jc w:val="center"/>
              <w:rPr>
                <w:b/>
                <w:sz w:val="20"/>
              </w:rPr>
            </w:pPr>
            <w:r>
              <w:rPr>
                <w:b/>
                <w:spacing w:val="-10"/>
                <w:sz w:val="20"/>
              </w:rPr>
              <w:t>8</w:t>
            </w:r>
          </w:p>
        </w:tc>
        <w:tc>
          <w:tcPr>
            <w:tcW w:w="3089" w:type="dxa"/>
          </w:tcPr>
          <w:p>
            <w:pPr>
              <w:pStyle w:val="TableParagraph"/>
              <w:spacing w:before="44"/>
              <w:ind w:left="12" w:right="4"/>
              <w:jc w:val="center"/>
              <w:rPr>
                <w:b/>
                <w:sz w:val="20"/>
              </w:rPr>
            </w:pPr>
            <w:r>
              <w:rPr>
                <w:b/>
                <w:spacing w:val="-5"/>
                <w:sz w:val="20"/>
              </w:rPr>
              <w:t>NC</w:t>
            </w:r>
          </w:p>
        </w:tc>
        <w:tc>
          <w:tcPr>
            <w:tcW w:w="1910" w:type="dxa"/>
          </w:tcPr>
          <w:p>
            <w:pPr>
              <w:pStyle w:val="TableParagraph"/>
              <w:spacing w:before="44"/>
              <w:ind w:left="56"/>
              <w:jc w:val="center"/>
              <w:rPr>
                <w:b/>
                <w:sz w:val="20"/>
              </w:rPr>
            </w:pPr>
            <w:r>
              <w:rPr>
                <w:b/>
                <w:spacing w:val="-2"/>
                <w:sz w:val="20"/>
              </w:rPr>
              <w:t>$51.22</w:t>
            </w:r>
          </w:p>
        </w:tc>
        <w:tc>
          <w:tcPr>
            <w:tcW w:w="2121" w:type="dxa"/>
          </w:tcPr>
          <w:p>
            <w:pPr>
              <w:pStyle w:val="TableParagraph"/>
              <w:spacing w:before="44"/>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right="1"/>
              <w:jc w:val="center"/>
              <w:rPr>
                <w:b/>
                <w:sz w:val="20"/>
              </w:rPr>
            </w:pPr>
            <w:r>
              <w:rPr>
                <w:b/>
                <w:spacing w:val="-10"/>
                <w:sz w:val="20"/>
              </w:rPr>
              <w:t>9</w:t>
            </w:r>
          </w:p>
        </w:tc>
        <w:tc>
          <w:tcPr>
            <w:tcW w:w="3089" w:type="dxa"/>
          </w:tcPr>
          <w:p>
            <w:pPr>
              <w:pStyle w:val="TableParagraph"/>
              <w:spacing w:before="46"/>
              <w:ind w:left="12" w:right="5"/>
              <w:jc w:val="center"/>
              <w:rPr>
                <w:b/>
                <w:sz w:val="20"/>
              </w:rPr>
            </w:pPr>
            <w:r>
              <w:rPr>
                <w:b/>
                <w:spacing w:val="-5"/>
                <w:sz w:val="20"/>
              </w:rPr>
              <w:t>SC</w:t>
            </w:r>
          </w:p>
        </w:tc>
        <w:tc>
          <w:tcPr>
            <w:tcW w:w="1910" w:type="dxa"/>
          </w:tcPr>
          <w:p>
            <w:pPr>
              <w:pStyle w:val="TableParagraph"/>
              <w:spacing w:before="46"/>
              <w:ind w:left="56"/>
              <w:jc w:val="center"/>
              <w:rPr>
                <w:b/>
                <w:sz w:val="20"/>
              </w:rPr>
            </w:pPr>
            <w:r>
              <w:rPr>
                <w:b/>
                <w:spacing w:val="-2"/>
                <w:sz w:val="20"/>
              </w:rPr>
              <w:t>$46.57</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jc w:val="center"/>
              <w:rPr>
                <w:b/>
                <w:sz w:val="20"/>
              </w:rPr>
            </w:pPr>
            <w:r>
              <w:rPr>
                <w:b/>
                <w:spacing w:val="-5"/>
                <w:sz w:val="20"/>
              </w:rPr>
              <w:t>10</w:t>
            </w:r>
          </w:p>
        </w:tc>
        <w:tc>
          <w:tcPr>
            <w:tcW w:w="3089" w:type="dxa"/>
          </w:tcPr>
          <w:p>
            <w:pPr>
              <w:pStyle w:val="TableParagraph"/>
              <w:spacing w:before="43"/>
              <w:ind w:left="12" w:right="1"/>
              <w:jc w:val="center"/>
              <w:rPr>
                <w:b/>
                <w:sz w:val="20"/>
              </w:rPr>
            </w:pPr>
            <w:r>
              <w:rPr>
                <w:b/>
                <w:spacing w:val="-5"/>
                <w:sz w:val="20"/>
              </w:rPr>
              <w:t>GA</w:t>
            </w:r>
          </w:p>
        </w:tc>
        <w:tc>
          <w:tcPr>
            <w:tcW w:w="1910" w:type="dxa"/>
          </w:tcPr>
          <w:p>
            <w:pPr>
              <w:pStyle w:val="TableParagraph"/>
              <w:spacing w:before="43"/>
              <w:ind w:left="56"/>
              <w:jc w:val="center"/>
              <w:rPr>
                <w:b/>
                <w:sz w:val="20"/>
              </w:rPr>
            </w:pPr>
            <w:r>
              <w:rPr>
                <w:b/>
                <w:spacing w:val="-2"/>
                <w:sz w:val="20"/>
              </w:rPr>
              <w:t>$39.99</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jc w:val="center"/>
              <w:rPr>
                <w:b/>
                <w:sz w:val="20"/>
              </w:rPr>
            </w:pPr>
            <w:r>
              <w:rPr>
                <w:b/>
                <w:spacing w:val="-5"/>
                <w:sz w:val="20"/>
              </w:rPr>
              <w:t>11</w:t>
            </w:r>
          </w:p>
        </w:tc>
        <w:tc>
          <w:tcPr>
            <w:tcW w:w="3089" w:type="dxa"/>
          </w:tcPr>
          <w:p>
            <w:pPr>
              <w:pStyle w:val="TableParagraph"/>
              <w:spacing w:before="46"/>
              <w:ind w:left="12" w:right="3"/>
              <w:jc w:val="center"/>
              <w:rPr>
                <w:b/>
                <w:sz w:val="20"/>
              </w:rPr>
            </w:pPr>
            <w:r>
              <w:rPr>
                <w:b/>
                <w:spacing w:val="-5"/>
                <w:sz w:val="20"/>
              </w:rPr>
              <w:t>FL</w:t>
            </w:r>
          </w:p>
        </w:tc>
        <w:tc>
          <w:tcPr>
            <w:tcW w:w="1910" w:type="dxa"/>
          </w:tcPr>
          <w:p>
            <w:pPr>
              <w:pStyle w:val="TableParagraph"/>
              <w:spacing w:before="46"/>
              <w:ind w:left="56"/>
              <w:jc w:val="center"/>
              <w:rPr>
                <w:b/>
                <w:sz w:val="20"/>
              </w:rPr>
            </w:pPr>
            <w:r>
              <w:rPr>
                <w:b/>
                <w:spacing w:val="-2"/>
                <w:sz w:val="20"/>
              </w:rPr>
              <w:t>$20.30</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jc w:val="center"/>
              <w:rPr>
                <w:b/>
                <w:sz w:val="20"/>
              </w:rPr>
            </w:pPr>
            <w:r>
              <w:rPr>
                <w:b/>
                <w:spacing w:val="-5"/>
                <w:sz w:val="20"/>
              </w:rPr>
              <w:t>12</w:t>
            </w:r>
          </w:p>
        </w:tc>
        <w:tc>
          <w:tcPr>
            <w:tcW w:w="3089" w:type="dxa"/>
          </w:tcPr>
          <w:p>
            <w:pPr>
              <w:pStyle w:val="TableParagraph"/>
              <w:spacing w:before="43"/>
              <w:ind w:left="12" w:right="6"/>
              <w:jc w:val="center"/>
              <w:rPr>
                <w:b/>
                <w:sz w:val="20"/>
              </w:rPr>
            </w:pPr>
            <w:r>
              <w:rPr>
                <w:b/>
                <w:sz w:val="20"/>
              </w:rPr>
              <w:t>AL,</w:t>
            </w:r>
            <w:r>
              <w:rPr>
                <w:b/>
                <w:spacing w:val="-5"/>
                <w:sz w:val="20"/>
              </w:rPr>
              <w:t xml:space="preserve"> TN</w:t>
            </w:r>
          </w:p>
        </w:tc>
        <w:tc>
          <w:tcPr>
            <w:tcW w:w="1910" w:type="dxa"/>
          </w:tcPr>
          <w:p>
            <w:pPr>
              <w:pStyle w:val="TableParagraph"/>
              <w:spacing w:before="43"/>
              <w:ind w:left="56"/>
              <w:jc w:val="center"/>
              <w:rPr>
                <w:b/>
                <w:sz w:val="20"/>
              </w:rPr>
            </w:pPr>
            <w:r>
              <w:rPr>
                <w:b/>
                <w:spacing w:val="-2"/>
                <w:sz w:val="20"/>
              </w:rPr>
              <w:t>$40.01</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jc w:val="center"/>
              <w:rPr>
                <w:b/>
                <w:sz w:val="20"/>
              </w:rPr>
            </w:pPr>
            <w:r>
              <w:rPr>
                <w:b/>
                <w:spacing w:val="-5"/>
                <w:sz w:val="20"/>
              </w:rPr>
              <w:t>13</w:t>
            </w:r>
          </w:p>
        </w:tc>
        <w:tc>
          <w:tcPr>
            <w:tcW w:w="3089" w:type="dxa"/>
          </w:tcPr>
          <w:p>
            <w:pPr>
              <w:pStyle w:val="TableParagraph"/>
              <w:spacing w:before="46"/>
              <w:ind w:left="12" w:right="5"/>
              <w:jc w:val="center"/>
              <w:rPr>
                <w:b/>
                <w:sz w:val="20"/>
              </w:rPr>
            </w:pPr>
            <w:r>
              <w:rPr>
                <w:b/>
                <w:spacing w:val="-5"/>
                <w:sz w:val="20"/>
              </w:rPr>
              <w:t>MI</w:t>
            </w:r>
          </w:p>
        </w:tc>
        <w:tc>
          <w:tcPr>
            <w:tcW w:w="1910" w:type="dxa"/>
          </w:tcPr>
          <w:p>
            <w:pPr>
              <w:pStyle w:val="TableParagraph"/>
              <w:spacing w:before="46"/>
              <w:ind w:left="56"/>
              <w:jc w:val="center"/>
              <w:rPr>
                <w:b/>
                <w:sz w:val="20"/>
              </w:rPr>
            </w:pPr>
            <w:r>
              <w:rPr>
                <w:b/>
                <w:spacing w:val="-2"/>
                <w:sz w:val="20"/>
              </w:rPr>
              <w:t>$26.58</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jc w:val="center"/>
              <w:rPr>
                <w:b/>
                <w:sz w:val="20"/>
              </w:rPr>
            </w:pPr>
            <w:r>
              <w:rPr>
                <w:b/>
                <w:spacing w:val="-5"/>
                <w:sz w:val="20"/>
              </w:rPr>
              <w:t>14</w:t>
            </w:r>
          </w:p>
        </w:tc>
        <w:tc>
          <w:tcPr>
            <w:tcW w:w="3089" w:type="dxa"/>
          </w:tcPr>
          <w:p>
            <w:pPr>
              <w:pStyle w:val="TableParagraph"/>
              <w:spacing w:before="43"/>
              <w:ind w:left="12" w:right="5"/>
              <w:jc w:val="center"/>
              <w:rPr>
                <w:b/>
                <w:sz w:val="20"/>
              </w:rPr>
            </w:pPr>
            <w:r>
              <w:rPr>
                <w:b/>
                <w:spacing w:val="-5"/>
                <w:sz w:val="20"/>
              </w:rPr>
              <w:t>OH</w:t>
            </w:r>
          </w:p>
        </w:tc>
        <w:tc>
          <w:tcPr>
            <w:tcW w:w="1910" w:type="dxa"/>
          </w:tcPr>
          <w:p>
            <w:pPr>
              <w:pStyle w:val="TableParagraph"/>
              <w:spacing w:before="43"/>
              <w:ind w:left="56"/>
              <w:jc w:val="center"/>
              <w:rPr>
                <w:b/>
                <w:sz w:val="20"/>
              </w:rPr>
            </w:pPr>
            <w:r>
              <w:rPr>
                <w:b/>
                <w:spacing w:val="-2"/>
                <w:sz w:val="20"/>
              </w:rPr>
              <w:t>$39.30</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jc w:val="center"/>
              <w:rPr>
                <w:b/>
                <w:sz w:val="20"/>
              </w:rPr>
            </w:pPr>
            <w:r>
              <w:rPr>
                <w:b/>
                <w:spacing w:val="-5"/>
                <w:sz w:val="20"/>
              </w:rPr>
              <w:t>15</w:t>
            </w:r>
          </w:p>
        </w:tc>
        <w:tc>
          <w:tcPr>
            <w:tcW w:w="3089" w:type="dxa"/>
          </w:tcPr>
          <w:p>
            <w:pPr>
              <w:pStyle w:val="TableParagraph"/>
              <w:spacing w:before="46"/>
              <w:ind w:left="12" w:right="4"/>
              <w:jc w:val="center"/>
              <w:rPr>
                <w:b/>
                <w:sz w:val="20"/>
              </w:rPr>
            </w:pPr>
            <w:r>
              <w:rPr>
                <w:b/>
                <w:sz w:val="20"/>
              </w:rPr>
              <w:t>IN,</w:t>
            </w:r>
            <w:r>
              <w:rPr>
                <w:b/>
                <w:spacing w:val="-4"/>
                <w:sz w:val="20"/>
              </w:rPr>
              <w:t xml:space="preserve"> </w:t>
            </w:r>
            <w:r>
              <w:rPr>
                <w:b/>
                <w:spacing w:val="-5"/>
                <w:sz w:val="20"/>
              </w:rPr>
              <w:t>KY</w:t>
            </w:r>
          </w:p>
        </w:tc>
        <w:tc>
          <w:tcPr>
            <w:tcW w:w="1910" w:type="dxa"/>
          </w:tcPr>
          <w:p>
            <w:pPr>
              <w:pStyle w:val="TableParagraph"/>
              <w:spacing w:before="46"/>
              <w:ind w:left="56"/>
              <w:jc w:val="center"/>
              <w:rPr>
                <w:b/>
                <w:sz w:val="20"/>
              </w:rPr>
            </w:pPr>
            <w:r>
              <w:rPr>
                <w:b/>
                <w:spacing w:val="-2"/>
                <w:sz w:val="20"/>
              </w:rPr>
              <w:t>$49.58</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jc w:val="center"/>
              <w:rPr>
                <w:b/>
                <w:sz w:val="20"/>
              </w:rPr>
            </w:pPr>
            <w:r>
              <w:rPr>
                <w:b/>
                <w:spacing w:val="-5"/>
                <w:sz w:val="20"/>
              </w:rPr>
              <w:t>16</w:t>
            </w:r>
          </w:p>
        </w:tc>
        <w:tc>
          <w:tcPr>
            <w:tcW w:w="3089" w:type="dxa"/>
          </w:tcPr>
          <w:p>
            <w:pPr>
              <w:pStyle w:val="TableParagraph"/>
              <w:spacing w:before="43"/>
              <w:ind w:left="12" w:right="6"/>
              <w:jc w:val="center"/>
              <w:rPr>
                <w:b/>
                <w:sz w:val="20"/>
              </w:rPr>
            </w:pPr>
            <w:r>
              <w:rPr>
                <w:b/>
                <w:spacing w:val="-5"/>
                <w:sz w:val="20"/>
              </w:rPr>
              <w:t>WI</w:t>
            </w:r>
          </w:p>
        </w:tc>
        <w:tc>
          <w:tcPr>
            <w:tcW w:w="1910" w:type="dxa"/>
          </w:tcPr>
          <w:p>
            <w:pPr>
              <w:pStyle w:val="TableParagraph"/>
              <w:spacing w:before="43"/>
              <w:ind w:left="56"/>
              <w:jc w:val="center"/>
              <w:rPr>
                <w:b/>
                <w:sz w:val="20"/>
              </w:rPr>
            </w:pPr>
            <w:r>
              <w:rPr>
                <w:b/>
                <w:spacing w:val="-2"/>
                <w:sz w:val="20"/>
              </w:rPr>
              <w:t>$43.51</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jc w:val="center"/>
              <w:rPr>
                <w:b/>
                <w:sz w:val="20"/>
              </w:rPr>
            </w:pPr>
            <w:r>
              <w:rPr>
                <w:b/>
                <w:spacing w:val="-5"/>
                <w:sz w:val="20"/>
              </w:rPr>
              <w:t>17</w:t>
            </w:r>
          </w:p>
        </w:tc>
        <w:tc>
          <w:tcPr>
            <w:tcW w:w="3089" w:type="dxa"/>
          </w:tcPr>
          <w:p>
            <w:pPr>
              <w:pStyle w:val="TableParagraph"/>
              <w:spacing w:before="46"/>
              <w:ind w:left="12" w:right="7"/>
              <w:jc w:val="center"/>
              <w:rPr>
                <w:b/>
                <w:sz w:val="20"/>
              </w:rPr>
            </w:pPr>
            <w:r>
              <w:rPr>
                <w:b/>
                <w:spacing w:val="-5"/>
                <w:sz w:val="20"/>
              </w:rPr>
              <w:t>IL</w:t>
            </w:r>
          </w:p>
        </w:tc>
        <w:tc>
          <w:tcPr>
            <w:tcW w:w="1910" w:type="dxa"/>
          </w:tcPr>
          <w:p>
            <w:pPr>
              <w:pStyle w:val="TableParagraph"/>
              <w:spacing w:before="46"/>
              <w:ind w:left="56"/>
              <w:jc w:val="center"/>
              <w:rPr>
                <w:b/>
                <w:sz w:val="20"/>
              </w:rPr>
            </w:pPr>
            <w:r>
              <w:rPr>
                <w:b/>
                <w:spacing w:val="-2"/>
                <w:sz w:val="20"/>
              </w:rPr>
              <w:t>$22.77</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jc w:val="center"/>
              <w:rPr>
                <w:b/>
                <w:sz w:val="20"/>
              </w:rPr>
            </w:pPr>
            <w:r>
              <w:rPr>
                <w:b/>
                <w:spacing w:val="-5"/>
                <w:sz w:val="20"/>
              </w:rPr>
              <w:t>18</w:t>
            </w:r>
          </w:p>
        </w:tc>
        <w:tc>
          <w:tcPr>
            <w:tcW w:w="3089" w:type="dxa"/>
          </w:tcPr>
          <w:p>
            <w:pPr>
              <w:pStyle w:val="TableParagraph"/>
              <w:spacing w:before="43"/>
              <w:ind w:left="12" w:right="4"/>
              <w:jc w:val="center"/>
              <w:rPr>
                <w:b/>
                <w:sz w:val="20"/>
              </w:rPr>
            </w:pPr>
            <w:r>
              <w:rPr>
                <w:b/>
                <w:spacing w:val="-5"/>
                <w:sz w:val="20"/>
              </w:rPr>
              <w:t>MO</w:t>
            </w:r>
          </w:p>
        </w:tc>
        <w:tc>
          <w:tcPr>
            <w:tcW w:w="1910" w:type="dxa"/>
          </w:tcPr>
          <w:p>
            <w:pPr>
              <w:pStyle w:val="TableParagraph"/>
              <w:spacing w:before="43"/>
              <w:ind w:left="56"/>
              <w:jc w:val="center"/>
              <w:rPr>
                <w:b/>
                <w:sz w:val="20"/>
              </w:rPr>
            </w:pPr>
            <w:r>
              <w:rPr>
                <w:b/>
                <w:spacing w:val="-2"/>
                <w:sz w:val="20"/>
              </w:rPr>
              <w:t>$50.99</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jc w:val="center"/>
              <w:rPr>
                <w:b/>
                <w:sz w:val="20"/>
              </w:rPr>
            </w:pPr>
            <w:r>
              <w:rPr>
                <w:b/>
                <w:spacing w:val="-5"/>
                <w:sz w:val="20"/>
              </w:rPr>
              <w:t>19</w:t>
            </w:r>
          </w:p>
        </w:tc>
        <w:tc>
          <w:tcPr>
            <w:tcW w:w="3089" w:type="dxa"/>
          </w:tcPr>
          <w:p>
            <w:pPr>
              <w:pStyle w:val="TableParagraph"/>
              <w:spacing w:before="46"/>
              <w:ind w:left="12" w:right="4"/>
              <w:jc w:val="center"/>
              <w:rPr>
                <w:b/>
                <w:sz w:val="20"/>
              </w:rPr>
            </w:pPr>
            <w:r>
              <w:rPr>
                <w:b/>
                <w:spacing w:val="-5"/>
                <w:sz w:val="20"/>
              </w:rPr>
              <w:t>AR</w:t>
            </w:r>
          </w:p>
        </w:tc>
        <w:tc>
          <w:tcPr>
            <w:tcW w:w="1910" w:type="dxa"/>
          </w:tcPr>
          <w:p>
            <w:pPr>
              <w:pStyle w:val="TableParagraph"/>
              <w:spacing w:before="46"/>
              <w:ind w:left="56"/>
              <w:jc w:val="center"/>
              <w:rPr>
                <w:b/>
                <w:sz w:val="20"/>
              </w:rPr>
            </w:pPr>
            <w:r>
              <w:rPr>
                <w:b/>
                <w:spacing w:val="-2"/>
                <w:sz w:val="20"/>
              </w:rPr>
              <w:t>$20.91</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jc w:val="center"/>
              <w:rPr>
                <w:b/>
                <w:sz w:val="20"/>
              </w:rPr>
            </w:pPr>
            <w:r>
              <w:rPr>
                <w:b/>
                <w:spacing w:val="-5"/>
                <w:sz w:val="20"/>
              </w:rPr>
              <w:t>20</w:t>
            </w:r>
          </w:p>
        </w:tc>
        <w:tc>
          <w:tcPr>
            <w:tcW w:w="3089" w:type="dxa"/>
          </w:tcPr>
          <w:p>
            <w:pPr>
              <w:pStyle w:val="TableParagraph"/>
              <w:spacing w:before="43"/>
              <w:ind w:left="12" w:right="5"/>
              <w:jc w:val="center"/>
              <w:rPr>
                <w:b/>
                <w:sz w:val="20"/>
              </w:rPr>
            </w:pPr>
            <w:r>
              <w:rPr>
                <w:b/>
                <w:spacing w:val="-5"/>
                <w:sz w:val="20"/>
              </w:rPr>
              <w:t>MS</w:t>
            </w:r>
          </w:p>
        </w:tc>
        <w:tc>
          <w:tcPr>
            <w:tcW w:w="1910" w:type="dxa"/>
          </w:tcPr>
          <w:p>
            <w:pPr>
              <w:pStyle w:val="TableParagraph"/>
              <w:spacing w:before="43"/>
              <w:ind w:left="56"/>
              <w:jc w:val="center"/>
              <w:rPr>
                <w:b/>
                <w:sz w:val="20"/>
              </w:rPr>
            </w:pPr>
            <w:r>
              <w:rPr>
                <w:b/>
                <w:spacing w:val="-2"/>
                <w:sz w:val="20"/>
              </w:rPr>
              <w:t>$47.25</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jc w:val="center"/>
              <w:rPr>
                <w:b/>
                <w:sz w:val="20"/>
              </w:rPr>
            </w:pPr>
            <w:r>
              <w:rPr>
                <w:b/>
                <w:spacing w:val="-5"/>
                <w:sz w:val="20"/>
              </w:rPr>
              <w:t>21</w:t>
            </w:r>
          </w:p>
        </w:tc>
        <w:tc>
          <w:tcPr>
            <w:tcW w:w="3089" w:type="dxa"/>
          </w:tcPr>
          <w:p>
            <w:pPr>
              <w:pStyle w:val="TableParagraph"/>
              <w:spacing w:before="46"/>
              <w:ind w:left="12" w:right="8"/>
              <w:jc w:val="center"/>
              <w:rPr>
                <w:b/>
                <w:sz w:val="20"/>
              </w:rPr>
            </w:pPr>
            <w:r>
              <w:rPr>
                <w:b/>
                <w:spacing w:val="-5"/>
                <w:sz w:val="20"/>
              </w:rPr>
              <w:t>LA</w:t>
            </w:r>
          </w:p>
        </w:tc>
        <w:tc>
          <w:tcPr>
            <w:tcW w:w="1910" w:type="dxa"/>
          </w:tcPr>
          <w:p>
            <w:pPr>
              <w:pStyle w:val="TableParagraph"/>
              <w:spacing w:before="46"/>
              <w:ind w:left="56"/>
              <w:jc w:val="center"/>
              <w:rPr>
                <w:b/>
                <w:sz w:val="20"/>
              </w:rPr>
            </w:pPr>
            <w:r>
              <w:rPr>
                <w:b/>
                <w:spacing w:val="-2"/>
                <w:sz w:val="20"/>
              </w:rPr>
              <w:t>$55.63</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jc w:val="center"/>
              <w:rPr>
                <w:b/>
                <w:sz w:val="20"/>
              </w:rPr>
            </w:pPr>
            <w:r>
              <w:rPr>
                <w:b/>
                <w:spacing w:val="-5"/>
                <w:sz w:val="20"/>
              </w:rPr>
              <w:t>22</w:t>
            </w:r>
          </w:p>
        </w:tc>
        <w:tc>
          <w:tcPr>
            <w:tcW w:w="3089" w:type="dxa"/>
          </w:tcPr>
          <w:p>
            <w:pPr>
              <w:pStyle w:val="TableParagraph"/>
              <w:spacing w:before="43"/>
              <w:ind w:left="12" w:right="8"/>
              <w:jc w:val="center"/>
              <w:rPr>
                <w:b/>
                <w:sz w:val="20"/>
              </w:rPr>
            </w:pPr>
            <w:r>
              <w:rPr>
                <w:b/>
                <w:spacing w:val="-5"/>
                <w:sz w:val="20"/>
              </w:rPr>
              <w:t>TX</w:t>
            </w:r>
          </w:p>
        </w:tc>
        <w:tc>
          <w:tcPr>
            <w:tcW w:w="1910" w:type="dxa"/>
          </w:tcPr>
          <w:p>
            <w:pPr>
              <w:pStyle w:val="TableParagraph"/>
              <w:spacing w:before="43"/>
              <w:ind w:left="56"/>
              <w:jc w:val="center"/>
              <w:rPr>
                <w:b/>
                <w:sz w:val="20"/>
              </w:rPr>
            </w:pPr>
            <w:r>
              <w:rPr>
                <w:b/>
                <w:spacing w:val="-2"/>
                <w:sz w:val="20"/>
              </w:rPr>
              <w:t>$18.30</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jc w:val="center"/>
              <w:rPr>
                <w:b/>
                <w:sz w:val="20"/>
              </w:rPr>
            </w:pPr>
            <w:r>
              <w:rPr>
                <w:b/>
                <w:spacing w:val="-5"/>
                <w:sz w:val="20"/>
              </w:rPr>
              <w:t>23</w:t>
            </w:r>
          </w:p>
        </w:tc>
        <w:tc>
          <w:tcPr>
            <w:tcW w:w="3089" w:type="dxa"/>
          </w:tcPr>
          <w:p>
            <w:pPr>
              <w:pStyle w:val="TableParagraph"/>
              <w:spacing w:before="46"/>
              <w:ind w:left="12" w:right="5"/>
              <w:jc w:val="center"/>
              <w:rPr>
                <w:b/>
                <w:sz w:val="20"/>
              </w:rPr>
            </w:pPr>
            <w:r>
              <w:rPr>
                <w:b/>
                <w:spacing w:val="-5"/>
                <w:sz w:val="20"/>
              </w:rPr>
              <w:t>OK</w:t>
            </w:r>
          </w:p>
        </w:tc>
        <w:tc>
          <w:tcPr>
            <w:tcW w:w="1910" w:type="dxa"/>
          </w:tcPr>
          <w:p>
            <w:pPr>
              <w:pStyle w:val="TableParagraph"/>
              <w:spacing w:before="46"/>
              <w:ind w:left="56"/>
              <w:jc w:val="center"/>
              <w:rPr>
                <w:b/>
                <w:sz w:val="20"/>
              </w:rPr>
            </w:pPr>
            <w:r>
              <w:rPr>
                <w:b/>
                <w:spacing w:val="-2"/>
                <w:sz w:val="20"/>
              </w:rPr>
              <w:t>$49.75</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jc w:val="center"/>
              <w:rPr>
                <w:b/>
                <w:sz w:val="20"/>
              </w:rPr>
            </w:pPr>
            <w:r>
              <w:rPr>
                <w:b/>
                <w:spacing w:val="-5"/>
                <w:sz w:val="20"/>
              </w:rPr>
              <w:t>24</w:t>
            </w:r>
          </w:p>
        </w:tc>
        <w:tc>
          <w:tcPr>
            <w:tcW w:w="3089" w:type="dxa"/>
          </w:tcPr>
          <w:p>
            <w:pPr>
              <w:pStyle w:val="TableParagraph"/>
              <w:spacing w:before="43"/>
              <w:ind w:left="12" w:right="1"/>
              <w:jc w:val="center"/>
              <w:rPr>
                <w:b/>
                <w:sz w:val="20"/>
              </w:rPr>
            </w:pPr>
            <w:r>
              <w:rPr>
                <w:b/>
                <w:spacing w:val="-5"/>
                <w:sz w:val="20"/>
              </w:rPr>
              <w:t>KS</w:t>
            </w:r>
          </w:p>
        </w:tc>
        <w:tc>
          <w:tcPr>
            <w:tcW w:w="1910" w:type="dxa"/>
          </w:tcPr>
          <w:p>
            <w:pPr>
              <w:pStyle w:val="TableParagraph"/>
              <w:spacing w:before="43"/>
              <w:ind w:left="56"/>
              <w:jc w:val="center"/>
              <w:rPr>
                <w:b/>
                <w:sz w:val="20"/>
              </w:rPr>
            </w:pPr>
            <w:r>
              <w:rPr>
                <w:b/>
                <w:spacing w:val="-2"/>
                <w:sz w:val="20"/>
              </w:rPr>
              <w:t>$51.73</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jc w:val="center"/>
              <w:rPr>
                <w:b/>
                <w:sz w:val="20"/>
              </w:rPr>
            </w:pPr>
            <w:r>
              <w:rPr>
                <w:b/>
                <w:spacing w:val="-5"/>
                <w:sz w:val="20"/>
              </w:rPr>
              <w:t>25</w:t>
            </w:r>
          </w:p>
        </w:tc>
        <w:tc>
          <w:tcPr>
            <w:tcW w:w="3089" w:type="dxa"/>
          </w:tcPr>
          <w:p>
            <w:pPr>
              <w:pStyle w:val="TableParagraph"/>
              <w:spacing w:before="46"/>
              <w:ind w:left="12" w:right="10"/>
              <w:jc w:val="center"/>
              <w:rPr>
                <w:b/>
                <w:sz w:val="20"/>
              </w:rPr>
            </w:pPr>
            <w:r>
              <w:rPr>
                <w:b/>
                <w:sz w:val="20"/>
              </w:rPr>
              <w:t>IA,</w:t>
            </w:r>
            <w:r>
              <w:rPr>
                <w:b/>
                <w:spacing w:val="-4"/>
                <w:sz w:val="20"/>
              </w:rPr>
              <w:t xml:space="preserve"> </w:t>
            </w:r>
            <w:r>
              <w:rPr>
                <w:b/>
                <w:sz w:val="20"/>
              </w:rPr>
              <w:t>MN,</w:t>
            </w:r>
            <w:r>
              <w:rPr>
                <w:b/>
                <w:spacing w:val="-3"/>
                <w:sz w:val="20"/>
              </w:rPr>
              <w:t xml:space="preserve"> </w:t>
            </w:r>
            <w:r>
              <w:rPr>
                <w:b/>
                <w:sz w:val="20"/>
              </w:rPr>
              <w:t>MT,</w:t>
            </w:r>
            <w:r>
              <w:rPr>
                <w:b/>
                <w:spacing w:val="-4"/>
                <w:sz w:val="20"/>
              </w:rPr>
              <w:t xml:space="preserve"> </w:t>
            </w:r>
            <w:r>
              <w:rPr>
                <w:b/>
                <w:sz w:val="20"/>
              </w:rPr>
              <w:t>ND,</w:t>
            </w:r>
            <w:r>
              <w:rPr>
                <w:b/>
                <w:spacing w:val="-3"/>
                <w:sz w:val="20"/>
              </w:rPr>
              <w:t xml:space="preserve"> </w:t>
            </w:r>
            <w:r>
              <w:rPr>
                <w:b/>
                <w:sz w:val="20"/>
              </w:rPr>
              <w:t>NE,</w:t>
            </w:r>
            <w:r>
              <w:rPr>
                <w:b/>
                <w:spacing w:val="-3"/>
                <w:sz w:val="20"/>
              </w:rPr>
              <w:t xml:space="preserve"> </w:t>
            </w:r>
            <w:r>
              <w:rPr>
                <w:b/>
                <w:sz w:val="20"/>
              </w:rPr>
              <w:t>SD,</w:t>
            </w:r>
            <w:r>
              <w:rPr>
                <w:b/>
                <w:spacing w:val="-3"/>
                <w:sz w:val="20"/>
              </w:rPr>
              <w:t xml:space="preserve"> </w:t>
            </w:r>
            <w:r>
              <w:rPr>
                <w:b/>
                <w:spacing w:val="-5"/>
                <w:sz w:val="20"/>
              </w:rPr>
              <w:t>WY</w:t>
            </w:r>
          </w:p>
        </w:tc>
        <w:tc>
          <w:tcPr>
            <w:tcW w:w="1910" w:type="dxa"/>
          </w:tcPr>
          <w:p>
            <w:pPr>
              <w:pStyle w:val="TableParagraph"/>
              <w:spacing w:before="46"/>
              <w:ind w:left="56"/>
              <w:jc w:val="center"/>
              <w:rPr>
                <w:b/>
                <w:sz w:val="20"/>
              </w:rPr>
            </w:pPr>
            <w:r>
              <w:rPr>
                <w:b/>
                <w:spacing w:val="-2"/>
                <w:sz w:val="20"/>
              </w:rPr>
              <w:t>$50.63</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jc w:val="center"/>
              <w:rPr>
                <w:b/>
                <w:sz w:val="20"/>
              </w:rPr>
            </w:pPr>
            <w:r>
              <w:rPr>
                <w:b/>
                <w:spacing w:val="-5"/>
                <w:sz w:val="20"/>
              </w:rPr>
              <w:t>26</w:t>
            </w:r>
          </w:p>
        </w:tc>
        <w:tc>
          <w:tcPr>
            <w:tcW w:w="3089" w:type="dxa"/>
          </w:tcPr>
          <w:p>
            <w:pPr>
              <w:pStyle w:val="TableParagraph"/>
              <w:spacing w:before="43"/>
              <w:ind w:left="12" w:right="3"/>
              <w:jc w:val="center"/>
              <w:rPr>
                <w:b/>
                <w:sz w:val="20"/>
              </w:rPr>
            </w:pPr>
            <w:r>
              <w:rPr>
                <w:b/>
                <w:spacing w:val="-5"/>
                <w:sz w:val="20"/>
              </w:rPr>
              <w:t>NM</w:t>
            </w:r>
          </w:p>
        </w:tc>
        <w:tc>
          <w:tcPr>
            <w:tcW w:w="1910" w:type="dxa"/>
          </w:tcPr>
          <w:p>
            <w:pPr>
              <w:pStyle w:val="TableParagraph"/>
              <w:spacing w:before="43"/>
              <w:ind w:left="56"/>
              <w:jc w:val="center"/>
              <w:rPr>
                <w:b/>
                <w:sz w:val="20"/>
              </w:rPr>
            </w:pPr>
            <w:r>
              <w:rPr>
                <w:b/>
                <w:spacing w:val="-2"/>
                <w:sz w:val="20"/>
              </w:rPr>
              <w:t>$15.83</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jc w:val="center"/>
              <w:rPr>
                <w:b/>
                <w:sz w:val="20"/>
              </w:rPr>
            </w:pPr>
            <w:r>
              <w:rPr>
                <w:b/>
                <w:spacing w:val="-5"/>
                <w:sz w:val="20"/>
              </w:rPr>
              <w:t>27</w:t>
            </w:r>
          </w:p>
        </w:tc>
        <w:tc>
          <w:tcPr>
            <w:tcW w:w="3089" w:type="dxa"/>
          </w:tcPr>
          <w:p>
            <w:pPr>
              <w:pStyle w:val="TableParagraph"/>
              <w:spacing w:before="46"/>
              <w:ind w:left="12" w:right="3"/>
              <w:jc w:val="center"/>
              <w:rPr>
                <w:b/>
                <w:sz w:val="20"/>
              </w:rPr>
            </w:pPr>
            <w:r>
              <w:rPr>
                <w:b/>
                <w:spacing w:val="-5"/>
                <w:sz w:val="20"/>
              </w:rPr>
              <w:t>CO</w:t>
            </w:r>
          </w:p>
        </w:tc>
        <w:tc>
          <w:tcPr>
            <w:tcW w:w="1910" w:type="dxa"/>
          </w:tcPr>
          <w:p>
            <w:pPr>
              <w:pStyle w:val="TableParagraph"/>
              <w:spacing w:before="46"/>
              <w:ind w:left="56"/>
              <w:jc w:val="center"/>
              <w:rPr>
                <w:b/>
                <w:sz w:val="20"/>
              </w:rPr>
            </w:pPr>
            <w:r>
              <w:rPr>
                <w:b/>
                <w:spacing w:val="-2"/>
                <w:sz w:val="20"/>
              </w:rPr>
              <w:t>$37.02</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jc w:val="center"/>
              <w:rPr>
                <w:b/>
                <w:sz w:val="20"/>
              </w:rPr>
            </w:pPr>
            <w:r>
              <w:rPr>
                <w:b/>
                <w:spacing w:val="-5"/>
                <w:sz w:val="20"/>
              </w:rPr>
              <w:t>28</w:t>
            </w:r>
          </w:p>
        </w:tc>
        <w:tc>
          <w:tcPr>
            <w:tcW w:w="3089" w:type="dxa"/>
          </w:tcPr>
          <w:p>
            <w:pPr>
              <w:pStyle w:val="TableParagraph"/>
              <w:spacing w:before="43"/>
              <w:ind w:left="12" w:right="6"/>
              <w:jc w:val="center"/>
              <w:rPr>
                <w:b/>
                <w:sz w:val="20"/>
              </w:rPr>
            </w:pPr>
            <w:r>
              <w:rPr>
                <w:b/>
                <w:spacing w:val="-5"/>
                <w:sz w:val="20"/>
              </w:rPr>
              <w:t>AZ</w:t>
            </w:r>
          </w:p>
        </w:tc>
        <w:tc>
          <w:tcPr>
            <w:tcW w:w="1910" w:type="dxa"/>
          </w:tcPr>
          <w:p>
            <w:pPr>
              <w:pStyle w:val="TableParagraph"/>
              <w:spacing w:before="43"/>
              <w:ind w:left="56"/>
              <w:jc w:val="center"/>
              <w:rPr>
                <w:b/>
                <w:sz w:val="20"/>
              </w:rPr>
            </w:pPr>
            <w:r>
              <w:rPr>
                <w:b/>
                <w:spacing w:val="-2"/>
                <w:sz w:val="20"/>
              </w:rPr>
              <w:t>$30.10</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jc w:val="center"/>
              <w:rPr>
                <w:b/>
                <w:sz w:val="20"/>
              </w:rPr>
            </w:pPr>
            <w:r>
              <w:rPr>
                <w:b/>
                <w:spacing w:val="-5"/>
                <w:sz w:val="20"/>
              </w:rPr>
              <w:t>29</w:t>
            </w:r>
          </w:p>
        </w:tc>
        <w:tc>
          <w:tcPr>
            <w:tcW w:w="3089" w:type="dxa"/>
          </w:tcPr>
          <w:p>
            <w:pPr>
              <w:pStyle w:val="TableParagraph"/>
              <w:spacing w:before="46"/>
              <w:ind w:left="12" w:right="4"/>
              <w:jc w:val="center"/>
              <w:rPr>
                <w:b/>
                <w:sz w:val="20"/>
              </w:rPr>
            </w:pPr>
            <w:r>
              <w:rPr>
                <w:b/>
                <w:spacing w:val="-5"/>
                <w:sz w:val="20"/>
              </w:rPr>
              <w:t>NV</w:t>
            </w:r>
          </w:p>
        </w:tc>
        <w:tc>
          <w:tcPr>
            <w:tcW w:w="1910" w:type="dxa"/>
          </w:tcPr>
          <w:p>
            <w:pPr>
              <w:pStyle w:val="TableParagraph"/>
              <w:spacing w:before="46"/>
              <w:ind w:left="56"/>
              <w:jc w:val="center"/>
              <w:rPr>
                <w:b/>
                <w:sz w:val="20"/>
              </w:rPr>
            </w:pPr>
            <w:r>
              <w:rPr>
                <w:b/>
                <w:spacing w:val="-2"/>
                <w:sz w:val="20"/>
              </w:rPr>
              <w:t>$21.31</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jc w:val="center"/>
              <w:rPr>
                <w:b/>
                <w:sz w:val="20"/>
              </w:rPr>
            </w:pPr>
            <w:r>
              <w:rPr>
                <w:b/>
                <w:spacing w:val="-5"/>
                <w:sz w:val="20"/>
              </w:rPr>
              <w:t>30</w:t>
            </w:r>
          </w:p>
        </w:tc>
        <w:tc>
          <w:tcPr>
            <w:tcW w:w="3089" w:type="dxa"/>
          </w:tcPr>
          <w:p>
            <w:pPr>
              <w:pStyle w:val="TableParagraph"/>
              <w:spacing w:before="43"/>
              <w:ind w:left="12" w:right="6"/>
              <w:jc w:val="center"/>
              <w:rPr>
                <w:b/>
                <w:sz w:val="20"/>
              </w:rPr>
            </w:pPr>
            <w:r>
              <w:rPr>
                <w:b/>
                <w:sz w:val="20"/>
              </w:rPr>
              <w:t>OR,</w:t>
            </w:r>
            <w:r>
              <w:rPr>
                <w:b/>
                <w:spacing w:val="-4"/>
                <w:sz w:val="20"/>
              </w:rPr>
              <w:t xml:space="preserve"> </w:t>
            </w:r>
            <w:r>
              <w:rPr>
                <w:b/>
                <w:spacing w:val="-5"/>
                <w:sz w:val="20"/>
              </w:rPr>
              <w:t>WA</w:t>
            </w:r>
          </w:p>
        </w:tc>
        <w:tc>
          <w:tcPr>
            <w:tcW w:w="1910" w:type="dxa"/>
          </w:tcPr>
          <w:p>
            <w:pPr>
              <w:pStyle w:val="TableParagraph"/>
              <w:spacing w:before="43"/>
              <w:ind w:left="56"/>
              <w:jc w:val="center"/>
              <w:rPr>
                <w:b/>
                <w:sz w:val="20"/>
              </w:rPr>
            </w:pPr>
            <w:r>
              <w:rPr>
                <w:b/>
                <w:spacing w:val="-2"/>
                <w:sz w:val="20"/>
              </w:rPr>
              <w:t>$26.15</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jc w:val="center"/>
              <w:rPr>
                <w:b/>
                <w:sz w:val="20"/>
              </w:rPr>
            </w:pPr>
            <w:r>
              <w:rPr>
                <w:b/>
                <w:spacing w:val="-5"/>
                <w:sz w:val="20"/>
              </w:rPr>
              <w:t>31</w:t>
            </w:r>
          </w:p>
        </w:tc>
        <w:tc>
          <w:tcPr>
            <w:tcW w:w="3089" w:type="dxa"/>
          </w:tcPr>
          <w:p>
            <w:pPr>
              <w:pStyle w:val="TableParagraph"/>
              <w:spacing w:before="46"/>
              <w:ind w:left="12" w:right="8"/>
              <w:jc w:val="center"/>
              <w:rPr>
                <w:b/>
                <w:sz w:val="20"/>
              </w:rPr>
            </w:pPr>
            <w:r>
              <w:rPr>
                <w:b/>
                <w:sz w:val="20"/>
              </w:rPr>
              <w:t>ID,</w:t>
            </w:r>
            <w:r>
              <w:rPr>
                <w:b/>
                <w:spacing w:val="-4"/>
                <w:sz w:val="20"/>
              </w:rPr>
              <w:t xml:space="preserve"> </w:t>
            </w:r>
            <w:r>
              <w:rPr>
                <w:b/>
                <w:spacing w:val="-5"/>
                <w:sz w:val="20"/>
              </w:rPr>
              <w:t>UT</w:t>
            </w:r>
          </w:p>
        </w:tc>
        <w:tc>
          <w:tcPr>
            <w:tcW w:w="1910" w:type="dxa"/>
          </w:tcPr>
          <w:p>
            <w:pPr>
              <w:pStyle w:val="TableParagraph"/>
              <w:spacing w:before="46"/>
              <w:ind w:left="56"/>
              <w:jc w:val="center"/>
              <w:rPr>
                <w:b/>
                <w:sz w:val="20"/>
              </w:rPr>
            </w:pPr>
            <w:r>
              <w:rPr>
                <w:b/>
                <w:spacing w:val="-2"/>
                <w:sz w:val="20"/>
              </w:rPr>
              <w:t>$54.65</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18"/>
          <w:jc w:val="left"/>
        </w:trPr>
        <w:tc>
          <w:tcPr>
            <w:tcW w:w="960" w:type="dxa"/>
          </w:tcPr>
          <w:p>
            <w:pPr>
              <w:pStyle w:val="TableParagraph"/>
              <w:spacing w:before="43"/>
              <w:ind w:left="9"/>
              <w:jc w:val="center"/>
              <w:rPr>
                <w:b/>
                <w:sz w:val="20"/>
              </w:rPr>
            </w:pPr>
            <w:r>
              <w:rPr>
                <w:b/>
                <w:spacing w:val="-5"/>
                <w:sz w:val="20"/>
              </w:rPr>
              <w:t>32</w:t>
            </w:r>
          </w:p>
        </w:tc>
        <w:tc>
          <w:tcPr>
            <w:tcW w:w="3089" w:type="dxa"/>
          </w:tcPr>
          <w:p>
            <w:pPr>
              <w:pStyle w:val="TableParagraph"/>
              <w:spacing w:before="43"/>
              <w:ind w:left="12" w:right="4"/>
              <w:jc w:val="center"/>
              <w:rPr>
                <w:b/>
                <w:sz w:val="20"/>
              </w:rPr>
            </w:pPr>
            <w:r>
              <w:rPr>
                <w:b/>
                <w:spacing w:val="-5"/>
                <w:sz w:val="20"/>
              </w:rPr>
              <w:t>CA</w:t>
            </w:r>
          </w:p>
        </w:tc>
        <w:tc>
          <w:tcPr>
            <w:tcW w:w="1910" w:type="dxa"/>
          </w:tcPr>
          <w:p>
            <w:pPr>
              <w:pStyle w:val="TableParagraph"/>
              <w:spacing w:before="43"/>
              <w:ind w:left="56"/>
              <w:jc w:val="center"/>
              <w:rPr>
                <w:b/>
                <w:sz w:val="20"/>
              </w:rPr>
            </w:pPr>
            <w:r>
              <w:rPr>
                <w:b/>
                <w:spacing w:val="-2"/>
                <w:sz w:val="20"/>
              </w:rPr>
              <w:t>$29.66</w:t>
            </w:r>
          </w:p>
        </w:tc>
        <w:tc>
          <w:tcPr>
            <w:tcW w:w="2121" w:type="dxa"/>
          </w:tcPr>
          <w:p>
            <w:pPr>
              <w:pStyle w:val="TableParagraph"/>
              <w:spacing w:before="43"/>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321"/>
          <w:jc w:val="left"/>
        </w:trPr>
        <w:tc>
          <w:tcPr>
            <w:tcW w:w="960" w:type="dxa"/>
          </w:tcPr>
          <w:p>
            <w:pPr>
              <w:pStyle w:val="TableParagraph"/>
              <w:spacing w:before="46"/>
              <w:ind w:left="9"/>
              <w:jc w:val="center"/>
              <w:rPr>
                <w:b/>
                <w:sz w:val="20"/>
              </w:rPr>
            </w:pPr>
            <w:r>
              <w:rPr>
                <w:b/>
                <w:spacing w:val="-5"/>
                <w:sz w:val="20"/>
              </w:rPr>
              <w:t>33</w:t>
            </w:r>
          </w:p>
        </w:tc>
        <w:tc>
          <w:tcPr>
            <w:tcW w:w="3089" w:type="dxa"/>
          </w:tcPr>
          <w:p>
            <w:pPr>
              <w:pStyle w:val="TableParagraph"/>
              <w:spacing w:before="46"/>
              <w:ind w:left="12"/>
              <w:jc w:val="center"/>
              <w:rPr>
                <w:b/>
                <w:sz w:val="20"/>
              </w:rPr>
            </w:pPr>
            <w:r>
              <w:rPr>
                <w:b/>
                <w:spacing w:val="-5"/>
                <w:sz w:val="20"/>
              </w:rPr>
              <w:t>HI</w:t>
            </w:r>
          </w:p>
        </w:tc>
        <w:tc>
          <w:tcPr>
            <w:tcW w:w="1910" w:type="dxa"/>
          </w:tcPr>
          <w:p>
            <w:pPr>
              <w:pStyle w:val="TableParagraph"/>
              <w:spacing w:before="46"/>
              <w:ind w:left="56"/>
              <w:jc w:val="center"/>
              <w:rPr>
                <w:b/>
                <w:sz w:val="20"/>
              </w:rPr>
            </w:pPr>
            <w:r>
              <w:rPr>
                <w:b/>
                <w:spacing w:val="-2"/>
                <w:sz w:val="20"/>
              </w:rPr>
              <w:t>$47.68</w:t>
            </w:r>
          </w:p>
        </w:tc>
        <w:tc>
          <w:tcPr>
            <w:tcW w:w="2121" w:type="dxa"/>
          </w:tcPr>
          <w:p>
            <w:pPr>
              <w:pStyle w:val="TableParagraph"/>
              <w:spacing w:before="46"/>
              <w:ind w:left="6"/>
              <w:jc w:val="center"/>
              <w:rPr>
                <w:b/>
                <w:sz w:val="20"/>
              </w:rPr>
            </w:pPr>
            <w:r>
              <w:rPr>
                <w:b/>
                <w:spacing w:val="-4"/>
                <w:sz w:val="20"/>
              </w:rPr>
              <w:t>$TBD</w:t>
            </w:r>
          </w:p>
        </w:tc>
      </w:tr>
      <w:tr>
        <w:tblPrEx>
          <w:tblW w:w="0" w:type="auto"/>
          <w:jc w:val="left"/>
          <w:tblInd w:w="224" w:type="dxa"/>
          <w:tblLayout w:type="fixed"/>
          <w:tblCellMar>
            <w:top w:w="0" w:type="dxa"/>
            <w:left w:w="0" w:type="dxa"/>
            <w:bottom w:w="0" w:type="dxa"/>
            <w:right w:w="0" w:type="dxa"/>
          </w:tblCellMar>
          <w:tblLook w:val="01E0"/>
        </w:tblPrEx>
        <w:trPr>
          <w:trHeight w:val="299"/>
          <w:jc w:val="left"/>
        </w:trPr>
        <w:tc>
          <w:tcPr>
            <w:tcW w:w="960" w:type="dxa"/>
          </w:tcPr>
          <w:p>
            <w:pPr>
              <w:pStyle w:val="TableParagraph"/>
              <w:spacing w:before="34"/>
              <w:ind w:left="9"/>
              <w:jc w:val="center"/>
              <w:rPr>
                <w:b/>
                <w:sz w:val="20"/>
              </w:rPr>
            </w:pPr>
            <w:r>
              <w:rPr>
                <w:b/>
                <w:spacing w:val="-5"/>
                <w:sz w:val="20"/>
              </w:rPr>
              <w:t>34</w:t>
            </w:r>
          </w:p>
        </w:tc>
        <w:tc>
          <w:tcPr>
            <w:tcW w:w="3089" w:type="dxa"/>
          </w:tcPr>
          <w:p>
            <w:pPr>
              <w:pStyle w:val="TableParagraph"/>
              <w:spacing w:before="34"/>
              <w:ind w:left="12" w:right="3"/>
              <w:jc w:val="center"/>
              <w:rPr>
                <w:b/>
                <w:sz w:val="20"/>
              </w:rPr>
            </w:pPr>
            <w:r>
              <w:rPr>
                <w:b/>
                <w:spacing w:val="-5"/>
                <w:sz w:val="20"/>
              </w:rPr>
              <w:t>AK</w:t>
            </w:r>
          </w:p>
        </w:tc>
        <w:tc>
          <w:tcPr>
            <w:tcW w:w="1910" w:type="dxa"/>
          </w:tcPr>
          <w:p>
            <w:pPr>
              <w:pStyle w:val="TableParagraph"/>
              <w:spacing w:before="34"/>
              <w:ind w:left="56"/>
              <w:jc w:val="center"/>
              <w:rPr>
                <w:b/>
                <w:sz w:val="20"/>
              </w:rPr>
            </w:pPr>
            <w:r>
              <w:rPr>
                <w:b/>
                <w:spacing w:val="-2"/>
                <w:sz w:val="20"/>
              </w:rPr>
              <w:t>$38.85</w:t>
            </w:r>
          </w:p>
        </w:tc>
        <w:tc>
          <w:tcPr>
            <w:tcW w:w="2121" w:type="dxa"/>
          </w:tcPr>
          <w:p>
            <w:pPr>
              <w:pStyle w:val="TableParagraph"/>
              <w:spacing w:before="34"/>
              <w:ind w:left="6"/>
              <w:jc w:val="center"/>
              <w:rPr>
                <w:b/>
                <w:sz w:val="20"/>
              </w:rPr>
            </w:pPr>
            <w:r>
              <w:rPr>
                <w:b/>
                <w:spacing w:val="-4"/>
                <w:sz w:val="20"/>
              </w:rPr>
              <w:t>$TBD</w:t>
            </w:r>
          </w:p>
        </w:tc>
      </w:tr>
    </w:tbl>
    <w:p>
      <w:pPr>
        <w:spacing w:after="0"/>
        <w:jc w:val="center"/>
        <w:rPr>
          <w:sz w:val="20"/>
        </w:rPr>
        <w:sectPr>
          <w:pgSz w:w="12240" w:h="15840"/>
          <w:pgMar w:top="1340" w:right="1000" w:bottom="940" w:left="1360" w:header="727" w:footer="747"/>
          <w:cols w:space="720"/>
        </w:sectPr>
      </w:pPr>
    </w:p>
    <w:p>
      <w:pPr>
        <w:pStyle w:val="Heading1"/>
        <w:tabs>
          <w:tab w:val="left" w:pos="9470"/>
        </w:tabs>
        <w:rPr>
          <w:u w:val="none"/>
        </w:rPr>
      </w:pPr>
      <w:bookmarkStart w:id="302" w:name="Appendix F – Trending Risk Scores"/>
      <w:bookmarkEnd w:id="302"/>
      <w:bookmarkStart w:id="303" w:name="_bookmark89"/>
      <w:bookmarkEnd w:id="303"/>
      <w:r>
        <w:rPr>
          <w:spacing w:val="-50"/>
          <w:u w:val="single"/>
        </w:rPr>
        <w:t xml:space="preserve"> </w:t>
      </w:r>
      <w:r>
        <w:rPr>
          <w:u w:val="single"/>
        </w:rPr>
        <w:t>APPENDIX</w:t>
      </w:r>
      <w:r>
        <w:rPr>
          <w:spacing w:val="-6"/>
          <w:u w:val="single"/>
        </w:rPr>
        <w:t xml:space="preserve"> </w:t>
      </w:r>
      <w:r>
        <w:rPr>
          <w:u w:val="single"/>
        </w:rPr>
        <w:t>F</w:t>
      </w:r>
      <w:r>
        <w:rPr>
          <w:spacing w:val="-3"/>
          <w:u w:val="single"/>
        </w:rPr>
        <w:t xml:space="preserve"> </w:t>
      </w:r>
      <w:r>
        <w:rPr>
          <w:u w:val="single"/>
        </w:rPr>
        <w:t>–</w:t>
      </w:r>
      <w:r>
        <w:rPr>
          <w:spacing w:val="-5"/>
          <w:u w:val="single"/>
        </w:rPr>
        <w:t xml:space="preserve"> </w:t>
      </w:r>
      <w:r>
        <w:rPr>
          <w:u w:val="single"/>
        </w:rPr>
        <w:t>TRENDING</w:t>
      </w:r>
      <w:r>
        <w:rPr>
          <w:spacing w:val="-6"/>
          <w:u w:val="single"/>
        </w:rPr>
        <w:t xml:space="preserve"> </w:t>
      </w:r>
      <w:r>
        <w:rPr>
          <w:u w:val="single"/>
        </w:rPr>
        <w:t>RISK</w:t>
      </w:r>
      <w:r>
        <w:rPr>
          <w:spacing w:val="-2"/>
          <w:u w:val="single"/>
        </w:rPr>
        <w:t xml:space="preserve"> SCORES</w:t>
      </w:r>
      <w:r>
        <w:rPr>
          <w:u w:val="single"/>
        </w:rPr>
        <w:tab/>
      </w:r>
    </w:p>
    <w:p>
      <w:pPr>
        <w:pStyle w:val="BodyText"/>
        <w:spacing w:before="271"/>
        <w:ind w:left="224" w:right="478"/>
      </w:pPr>
      <w:r>
        <w:t>This</w:t>
      </w:r>
      <w:r>
        <w:rPr>
          <w:spacing w:val="-4"/>
        </w:rPr>
        <w:t xml:space="preserve"> </w:t>
      </w:r>
      <w:r>
        <w:t>appendix</w:t>
      </w:r>
      <w:r>
        <w:rPr>
          <w:spacing w:val="-4"/>
        </w:rPr>
        <w:t xml:space="preserve"> </w:t>
      </w:r>
      <w:r>
        <w:t>includes</w:t>
      </w:r>
      <w:r>
        <w:rPr>
          <w:spacing w:val="-4"/>
        </w:rPr>
        <w:t xml:space="preserve"> </w:t>
      </w:r>
      <w:r>
        <w:t>the</w:t>
      </w:r>
      <w:r>
        <w:rPr>
          <w:spacing w:val="-5"/>
        </w:rPr>
        <w:t xml:space="preserve"> </w:t>
      </w:r>
      <w:r>
        <w:t>following</w:t>
      </w:r>
      <w:r>
        <w:rPr>
          <w:spacing w:val="-4"/>
        </w:rPr>
        <w:t xml:space="preserve"> </w:t>
      </w:r>
      <w:r>
        <w:t>considerations</w:t>
      </w:r>
      <w:r>
        <w:rPr>
          <w:spacing w:val="-4"/>
        </w:rPr>
        <w:t xml:space="preserve"> </w:t>
      </w:r>
      <w:r>
        <w:t>for</w:t>
      </w:r>
      <w:r>
        <w:rPr>
          <w:spacing w:val="-3"/>
        </w:rPr>
        <w:t xml:space="preserve"> </w:t>
      </w:r>
      <w:r>
        <w:t>developing</w:t>
      </w:r>
      <w:r>
        <w:rPr>
          <w:spacing w:val="-4"/>
        </w:rPr>
        <w:t xml:space="preserve"> </w:t>
      </w:r>
      <w:r>
        <w:t>trends</w:t>
      </w:r>
      <w:r>
        <w:rPr>
          <w:spacing w:val="-2"/>
        </w:rPr>
        <w:t xml:space="preserve"> </w:t>
      </w:r>
      <w:r>
        <w:t>for</w:t>
      </w:r>
      <w:r>
        <w:rPr>
          <w:spacing w:val="-6"/>
        </w:rPr>
        <w:t xml:space="preserve"> </w:t>
      </w:r>
      <w:r>
        <w:t>coding</w:t>
      </w:r>
      <w:r>
        <w:rPr>
          <w:spacing w:val="-4"/>
        </w:rPr>
        <w:t xml:space="preserve"> </w:t>
      </w:r>
      <w:r>
        <w:t>and population changes to project CY2026 risk scores.</w:t>
      </w:r>
    </w:p>
    <w:p>
      <w:pPr>
        <w:pStyle w:val="ListParagraph"/>
        <w:numPr>
          <w:ilvl w:val="0"/>
          <w:numId w:val="1"/>
        </w:numPr>
        <w:tabs>
          <w:tab w:val="left" w:pos="944"/>
        </w:tabs>
        <w:spacing w:before="120" w:after="0" w:line="240" w:lineRule="auto"/>
        <w:ind w:left="944" w:right="0" w:hanging="360"/>
        <w:jc w:val="left"/>
        <w:rPr>
          <w:sz w:val="24"/>
        </w:rPr>
      </w:pPr>
      <w:r>
        <w:rPr>
          <w:sz w:val="24"/>
        </w:rPr>
        <w:t>Include</w:t>
      </w:r>
      <w:r>
        <w:rPr>
          <w:spacing w:val="-2"/>
          <w:sz w:val="24"/>
        </w:rPr>
        <w:t xml:space="preserve"> </w:t>
      </w:r>
      <w:r>
        <w:rPr>
          <w:sz w:val="24"/>
        </w:rPr>
        <w:t>the</w:t>
      </w:r>
      <w:r>
        <w:rPr>
          <w:spacing w:val="-2"/>
          <w:sz w:val="24"/>
        </w:rPr>
        <w:t xml:space="preserve"> </w:t>
      </w:r>
      <w:r>
        <w:rPr>
          <w:sz w:val="24"/>
        </w:rPr>
        <w:t>most</w:t>
      </w:r>
      <w:r>
        <w:rPr>
          <w:spacing w:val="-1"/>
          <w:sz w:val="24"/>
        </w:rPr>
        <w:t xml:space="preserve"> </w:t>
      </w:r>
      <w:r>
        <w:rPr>
          <w:sz w:val="24"/>
        </w:rPr>
        <w:t>recent</w:t>
      </w:r>
      <w:r>
        <w:rPr>
          <w:spacing w:val="-1"/>
          <w:sz w:val="24"/>
        </w:rPr>
        <w:t xml:space="preserve"> </w:t>
      </w:r>
      <w:r>
        <w:rPr>
          <w:sz w:val="24"/>
        </w:rPr>
        <w:t>annual</w:t>
      </w:r>
      <w:r>
        <w:rPr>
          <w:spacing w:val="-1"/>
          <w:sz w:val="24"/>
        </w:rPr>
        <w:t xml:space="preserve"> </w:t>
      </w:r>
      <w:r>
        <w:rPr>
          <w:sz w:val="24"/>
        </w:rPr>
        <w:t>consecutive</w:t>
      </w:r>
      <w:r>
        <w:rPr>
          <w:spacing w:val="-1"/>
          <w:sz w:val="24"/>
        </w:rPr>
        <w:t xml:space="preserve"> </w:t>
      </w:r>
      <w:r>
        <w:rPr>
          <w:sz w:val="24"/>
        </w:rPr>
        <w:t>calendar</w:t>
      </w:r>
      <w:r>
        <w:rPr>
          <w:spacing w:val="-1"/>
          <w:sz w:val="24"/>
        </w:rPr>
        <w:t xml:space="preserve"> </w:t>
      </w:r>
      <w:r>
        <w:rPr>
          <w:sz w:val="24"/>
        </w:rPr>
        <w:t>risk</w:t>
      </w:r>
      <w:r>
        <w:rPr>
          <w:spacing w:val="-1"/>
          <w:sz w:val="24"/>
        </w:rPr>
        <w:t xml:space="preserve"> </w:t>
      </w:r>
      <w:r>
        <w:rPr>
          <w:sz w:val="24"/>
        </w:rPr>
        <w:t>scores</w:t>
      </w:r>
      <w:r>
        <w:rPr>
          <w:spacing w:val="-1"/>
          <w:sz w:val="24"/>
        </w:rPr>
        <w:t xml:space="preserve"> </w:t>
      </w:r>
      <w:r>
        <w:rPr>
          <w:sz w:val="24"/>
        </w:rPr>
        <w:t>that</w:t>
      </w:r>
      <w:r>
        <w:rPr>
          <w:spacing w:val="-1"/>
          <w:sz w:val="24"/>
        </w:rPr>
        <w:t xml:space="preserve"> </w:t>
      </w:r>
      <w:r>
        <w:rPr>
          <w:sz w:val="24"/>
        </w:rPr>
        <w:t>are</w:t>
      </w:r>
      <w:r>
        <w:rPr>
          <w:spacing w:val="-2"/>
          <w:sz w:val="24"/>
        </w:rPr>
        <w:t xml:space="preserve"> available.</w:t>
      </w:r>
    </w:p>
    <w:p>
      <w:pPr>
        <w:pStyle w:val="ListParagraph"/>
        <w:numPr>
          <w:ilvl w:val="0"/>
          <w:numId w:val="1"/>
        </w:numPr>
        <w:tabs>
          <w:tab w:val="left" w:pos="944"/>
        </w:tabs>
        <w:spacing w:before="38" w:after="0" w:line="240" w:lineRule="auto"/>
        <w:ind w:left="944" w:right="0" w:hanging="360"/>
        <w:jc w:val="left"/>
        <w:rPr>
          <w:sz w:val="24"/>
        </w:rPr>
      </w:pPr>
      <w:r>
        <w:rPr>
          <w:sz w:val="24"/>
        </w:rPr>
        <w:t>Use</w:t>
      </w:r>
      <w:r>
        <w:rPr>
          <w:spacing w:val="-3"/>
          <w:sz w:val="24"/>
        </w:rPr>
        <w:t xml:space="preserve"> </w:t>
      </w:r>
      <w:r>
        <w:rPr>
          <w:sz w:val="24"/>
        </w:rPr>
        <w:t>raw risk</w:t>
      </w:r>
      <w:r>
        <w:rPr>
          <w:spacing w:val="-1"/>
          <w:sz w:val="24"/>
        </w:rPr>
        <w:t xml:space="preserve"> </w:t>
      </w:r>
      <w:r>
        <w:rPr>
          <w:sz w:val="24"/>
        </w:rPr>
        <w:t>scores that are</w:t>
      </w:r>
      <w:r>
        <w:rPr>
          <w:spacing w:val="-3"/>
          <w:sz w:val="24"/>
        </w:rPr>
        <w:t xml:space="preserve"> </w:t>
      </w:r>
      <w:r>
        <w:rPr>
          <w:sz w:val="24"/>
        </w:rPr>
        <w:t xml:space="preserve">not </w:t>
      </w:r>
      <w:r>
        <w:rPr>
          <w:spacing w:val="-2"/>
          <w:sz w:val="24"/>
        </w:rPr>
        <w:t>normalized.</w:t>
      </w:r>
    </w:p>
    <w:p>
      <w:pPr>
        <w:pStyle w:val="ListParagraph"/>
        <w:numPr>
          <w:ilvl w:val="0"/>
          <w:numId w:val="1"/>
        </w:numPr>
        <w:tabs>
          <w:tab w:val="left" w:pos="944"/>
        </w:tabs>
        <w:spacing w:before="41" w:after="0" w:line="240" w:lineRule="auto"/>
        <w:ind w:left="944" w:right="0" w:hanging="360"/>
        <w:jc w:val="left"/>
        <w:rPr>
          <w:sz w:val="24"/>
        </w:rPr>
      </w:pPr>
      <w:r>
        <w:rPr>
          <w:sz w:val="24"/>
        </w:rPr>
        <w:t>Reflect</w:t>
      </w:r>
      <w:r>
        <w:rPr>
          <w:spacing w:val="-1"/>
          <w:sz w:val="24"/>
        </w:rPr>
        <w:t xml:space="preserve"> </w:t>
      </w:r>
      <w:r>
        <w:rPr>
          <w:sz w:val="24"/>
        </w:rPr>
        <w:t>the</w:t>
      </w:r>
      <w:r>
        <w:rPr>
          <w:spacing w:val="-2"/>
          <w:sz w:val="24"/>
        </w:rPr>
        <w:t xml:space="preserve"> </w:t>
      </w:r>
      <w:r>
        <w:rPr>
          <w:sz w:val="24"/>
        </w:rPr>
        <w:t>same amount</w:t>
      </w:r>
      <w:r>
        <w:rPr>
          <w:spacing w:val="-1"/>
          <w:sz w:val="24"/>
        </w:rPr>
        <w:t xml:space="preserve"> </w:t>
      </w:r>
      <w:r>
        <w:rPr>
          <w:sz w:val="24"/>
        </w:rPr>
        <w:t>of</w:t>
      </w:r>
      <w:r>
        <w:rPr>
          <w:spacing w:val="-1"/>
          <w:sz w:val="24"/>
        </w:rPr>
        <w:t xml:space="preserve"> </w:t>
      </w:r>
      <w:r>
        <w:rPr>
          <w:sz w:val="24"/>
        </w:rPr>
        <w:t>paid</w:t>
      </w:r>
      <w:r>
        <w:rPr>
          <w:spacing w:val="-1"/>
          <w:sz w:val="24"/>
        </w:rPr>
        <w:t xml:space="preserve"> </w:t>
      </w:r>
      <w:r>
        <w:rPr>
          <w:sz w:val="24"/>
        </w:rPr>
        <w:t>claims</w:t>
      </w:r>
      <w:r>
        <w:rPr>
          <w:spacing w:val="-1"/>
          <w:sz w:val="24"/>
        </w:rPr>
        <w:t xml:space="preserve"> </w:t>
      </w:r>
      <w:r>
        <w:rPr>
          <w:sz w:val="24"/>
        </w:rPr>
        <w:t>run-out</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z w:val="24"/>
        </w:rPr>
        <w:t>year’s</w:t>
      </w:r>
      <w:r>
        <w:rPr>
          <w:spacing w:val="-2"/>
          <w:sz w:val="24"/>
        </w:rPr>
        <w:t xml:space="preserve"> </w:t>
      </w:r>
      <w:r>
        <w:rPr>
          <w:sz w:val="24"/>
        </w:rPr>
        <w:t xml:space="preserve">risk </w:t>
      </w:r>
      <w:r>
        <w:rPr>
          <w:spacing w:val="-2"/>
          <w:sz w:val="24"/>
        </w:rPr>
        <w:t>scores.</w:t>
      </w:r>
    </w:p>
    <w:p>
      <w:pPr>
        <w:pStyle w:val="ListParagraph"/>
        <w:numPr>
          <w:ilvl w:val="0"/>
          <w:numId w:val="1"/>
        </w:numPr>
        <w:tabs>
          <w:tab w:val="left" w:pos="944"/>
        </w:tabs>
        <w:spacing w:before="41" w:after="0" w:line="240" w:lineRule="auto"/>
        <w:ind w:left="944" w:right="470" w:hanging="360"/>
        <w:jc w:val="left"/>
        <w:rPr>
          <w:sz w:val="24"/>
        </w:rPr>
      </w:pPr>
      <w:r>
        <w:rPr>
          <w:sz w:val="24"/>
        </w:rPr>
        <w:t>Use</w:t>
      </w:r>
      <w:r>
        <w:rPr>
          <w:spacing w:val="-5"/>
          <w:sz w:val="24"/>
        </w:rPr>
        <w:t xml:space="preserve"> </w:t>
      </w:r>
      <w:r>
        <w:rPr>
          <w:sz w:val="24"/>
        </w:rPr>
        <w:t>final</w:t>
      </w:r>
      <w:r>
        <w:rPr>
          <w:spacing w:val="-3"/>
          <w:sz w:val="24"/>
        </w:rPr>
        <w:t xml:space="preserve"> </w:t>
      </w:r>
      <w:r>
        <w:rPr>
          <w:sz w:val="24"/>
        </w:rPr>
        <w:t>risk</w:t>
      </w:r>
      <w:r>
        <w:rPr>
          <w:spacing w:val="-3"/>
          <w:sz w:val="24"/>
        </w:rPr>
        <w:t xml:space="preserve"> </w:t>
      </w:r>
      <w:r>
        <w:rPr>
          <w:sz w:val="24"/>
        </w:rPr>
        <w:t>scores</w:t>
      </w:r>
      <w:r>
        <w:rPr>
          <w:spacing w:val="-3"/>
          <w:sz w:val="24"/>
        </w:rPr>
        <w:t xml:space="preserve"> </w:t>
      </w:r>
      <w:r>
        <w:rPr>
          <w:sz w:val="24"/>
        </w:rPr>
        <w:t>from</w:t>
      </w:r>
      <w:r>
        <w:rPr>
          <w:spacing w:val="-3"/>
          <w:sz w:val="24"/>
        </w:rPr>
        <w:t xml:space="preserve"> </w:t>
      </w:r>
      <w:r>
        <w:rPr>
          <w:sz w:val="24"/>
        </w:rPr>
        <w:t>each</w:t>
      </w:r>
      <w:r>
        <w:rPr>
          <w:spacing w:val="-3"/>
          <w:sz w:val="24"/>
        </w:rPr>
        <w:t xml:space="preserve"> </w:t>
      </w:r>
      <w:r>
        <w:rPr>
          <w:sz w:val="24"/>
        </w:rPr>
        <w:t>year</w:t>
      </w:r>
      <w:r>
        <w:rPr>
          <w:spacing w:val="-3"/>
          <w:sz w:val="24"/>
        </w:rPr>
        <w:t xml:space="preserve"> </w:t>
      </w:r>
      <w:r>
        <w:rPr>
          <w:sz w:val="24"/>
        </w:rPr>
        <w:t>or</w:t>
      </w:r>
      <w:r>
        <w:rPr>
          <w:spacing w:val="-3"/>
          <w:sz w:val="24"/>
        </w:rPr>
        <w:t xml:space="preserve"> </w:t>
      </w:r>
      <w:r>
        <w:rPr>
          <w:sz w:val="24"/>
        </w:rPr>
        <w:t>apply</w:t>
      </w:r>
      <w:r>
        <w:rPr>
          <w:spacing w:val="-3"/>
          <w:sz w:val="24"/>
        </w:rPr>
        <w:t xml:space="preserve"> </w:t>
      </w:r>
      <w:r>
        <w:rPr>
          <w:sz w:val="24"/>
        </w:rPr>
        <w:t>a</w:t>
      </w:r>
      <w:r>
        <w:rPr>
          <w:spacing w:val="-3"/>
          <w:sz w:val="24"/>
        </w:rPr>
        <w:t xml:space="preserve"> </w:t>
      </w:r>
      <w:r>
        <w:rPr>
          <w:sz w:val="24"/>
        </w:rPr>
        <w:t>completion</w:t>
      </w:r>
      <w:r>
        <w:rPr>
          <w:spacing w:val="-3"/>
          <w:sz w:val="24"/>
        </w:rPr>
        <w:t xml:space="preserve"> </w:t>
      </w:r>
      <w:r>
        <w:rPr>
          <w:sz w:val="24"/>
        </w:rPr>
        <w:t>factor</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set</w:t>
      </w:r>
      <w:r>
        <w:rPr>
          <w:spacing w:val="-3"/>
          <w:sz w:val="24"/>
        </w:rPr>
        <w:t xml:space="preserve"> </w:t>
      </w:r>
      <w:r>
        <w:rPr>
          <w:sz w:val="24"/>
        </w:rPr>
        <w:t>of</w:t>
      </w:r>
      <w:r>
        <w:rPr>
          <w:spacing w:val="-3"/>
          <w:sz w:val="24"/>
        </w:rPr>
        <w:t xml:space="preserve"> </w:t>
      </w:r>
      <w:r>
        <w:rPr>
          <w:sz w:val="24"/>
        </w:rPr>
        <w:t>scores to approximate a final score.</w:t>
      </w:r>
    </w:p>
    <w:p>
      <w:pPr>
        <w:pStyle w:val="ListParagraph"/>
        <w:numPr>
          <w:ilvl w:val="0"/>
          <w:numId w:val="1"/>
        </w:numPr>
        <w:tabs>
          <w:tab w:val="left" w:pos="944"/>
        </w:tabs>
        <w:spacing w:before="38" w:after="0" w:line="240" w:lineRule="auto"/>
        <w:ind w:left="944" w:right="0" w:hanging="360"/>
        <w:jc w:val="left"/>
        <w:rPr>
          <w:sz w:val="24"/>
        </w:rPr>
      </w:pPr>
      <w:r>
        <w:rPr>
          <w:sz w:val="24"/>
        </w:rPr>
        <w:t>Use</w:t>
      </w:r>
      <w:r>
        <w:rPr>
          <w:spacing w:val="-5"/>
          <w:sz w:val="24"/>
        </w:rPr>
        <w:t xml:space="preserve"> </w:t>
      </w:r>
      <w:r>
        <w:rPr>
          <w:sz w:val="24"/>
        </w:rPr>
        <w:t>the</w:t>
      </w:r>
      <w:r>
        <w:rPr>
          <w:spacing w:val="-1"/>
          <w:sz w:val="24"/>
        </w:rPr>
        <w:t xml:space="preserve"> </w:t>
      </w:r>
      <w:r>
        <w:rPr>
          <w:sz w:val="24"/>
        </w:rPr>
        <w:t>same cohort for each year (for example,</w:t>
      </w:r>
      <w:r>
        <w:rPr>
          <w:spacing w:val="-1"/>
          <w:sz w:val="24"/>
        </w:rPr>
        <w:t xml:space="preserve"> </w:t>
      </w:r>
      <w:r>
        <w:rPr>
          <w:sz w:val="24"/>
        </w:rPr>
        <w:t>the</w:t>
      </w:r>
      <w:r>
        <w:rPr>
          <w:spacing w:val="-1"/>
          <w:sz w:val="24"/>
        </w:rPr>
        <w:t xml:space="preserve"> </w:t>
      </w:r>
      <w:r>
        <w:rPr>
          <w:sz w:val="24"/>
        </w:rPr>
        <w:t xml:space="preserve">July </w:t>
      </w:r>
      <w:r>
        <w:rPr>
          <w:spacing w:val="-2"/>
          <w:sz w:val="24"/>
        </w:rPr>
        <w:t>cohort).</w:t>
      </w:r>
    </w:p>
    <w:p>
      <w:pPr>
        <w:pStyle w:val="ListParagraph"/>
        <w:numPr>
          <w:ilvl w:val="0"/>
          <w:numId w:val="1"/>
        </w:numPr>
        <w:tabs>
          <w:tab w:val="left" w:pos="944"/>
        </w:tabs>
        <w:spacing w:before="41" w:after="0" w:line="240" w:lineRule="auto"/>
        <w:ind w:left="944" w:right="654" w:hanging="360"/>
        <w:jc w:val="left"/>
        <w:rPr>
          <w:sz w:val="24"/>
        </w:rPr>
      </w:pPr>
      <w:r>
        <w:rPr>
          <w:sz w:val="24"/>
        </w:rPr>
        <w:t>Use the same model to estimate all payment year scores. If possible, use the risk adjustment</w:t>
      </w:r>
      <w:r>
        <w:rPr>
          <w:spacing w:val="-4"/>
          <w:sz w:val="24"/>
        </w:rPr>
        <w:t xml:space="preserve"> </w:t>
      </w:r>
      <w:r>
        <w:rPr>
          <w:sz w:val="24"/>
        </w:rPr>
        <w:t>model</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upcoming</w:t>
      </w:r>
      <w:r>
        <w:rPr>
          <w:spacing w:val="-4"/>
          <w:sz w:val="24"/>
        </w:rPr>
        <w:t xml:space="preserve"> </w:t>
      </w:r>
      <w:r>
        <w:rPr>
          <w:sz w:val="24"/>
        </w:rPr>
        <w:t>payment</w:t>
      </w:r>
      <w:r>
        <w:rPr>
          <w:spacing w:val="-4"/>
          <w:sz w:val="24"/>
        </w:rPr>
        <w:t xml:space="preserve"> </w:t>
      </w:r>
      <w:r>
        <w:rPr>
          <w:sz w:val="24"/>
        </w:rPr>
        <w:t>year</w:t>
      </w:r>
      <w:r>
        <w:rPr>
          <w:spacing w:val="-3"/>
          <w:sz w:val="24"/>
        </w:rPr>
        <w:t xml:space="preserve"> </w:t>
      </w:r>
      <w:r>
        <w:rPr>
          <w:sz w:val="24"/>
        </w:rPr>
        <w:t>or</w:t>
      </w:r>
      <w:r>
        <w:rPr>
          <w:spacing w:val="-4"/>
          <w:sz w:val="24"/>
        </w:rPr>
        <w:t xml:space="preserve"> </w:t>
      </w:r>
      <w:r>
        <w:rPr>
          <w:sz w:val="24"/>
        </w:rPr>
        <w:t>apply</w:t>
      </w:r>
      <w:r>
        <w:rPr>
          <w:spacing w:val="-4"/>
          <w:sz w:val="24"/>
        </w:rPr>
        <w:t xml:space="preserve"> </w:t>
      </w:r>
      <w:r>
        <w:rPr>
          <w:sz w:val="24"/>
        </w:rPr>
        <w:t>a</w:t>
      </w:r>
      <w:r>
        <w:rPr>
          <w:spacing w:val="-4"/>
          <w:sz w:val="24"/>
        </w:rPr>
        <w:t xml:space="preserve"> </w:t>
      </w:r>
      <w:r>
        <w:rPr>
          <w:sz w:val="24"/>
        </w:rPr>
        <w:t>conversion</w:t>
      </w:r>
      <w:r>
        <w:rPr>
          <w:spacing w:val="-4"/>
          <w:sz w:val="24"/>
        </w:rPr>
        <w:t xml:space="preserve"> </w:t>
      </w:r>
      <w:r>
        <w:rPr>
          <w:sz w:val="24"/>
        </w:rPr>
        <w:t>factor</w:t>
      </w:r>
      <w:r>
        <w:rPr>
          <w:spacing w:val="-4"/>
          <w:sz w:val="24"/>
        </w:rPr>
        <w:t xml:space="preserve"> </w:t>
      </w:r>
      <w:r>
        <w:rPr>
          <w:sz w:val="24"/>
        </w:rPr>
        <w:t>to</w:t>
      </w:r>
      <w:r>
        <w:rPr>
          <w:spacing w:val="-4"/>
          <w:sz w:val="24"/>
        </w:rPr>
        <w:t xml:space="preserve"> </w:t>
      </w:r>
      <w:r>
        <w:rPr>
          <w:sz w:val="24"/>
        </w:rPr>
        <w:t>each payment year’s risk scores to convert to a single risk model.</w:t>
      </w:r>
    </w:p>
    <w:p>
      <w:pPr>
        <w:pStyle w:val="ListParagraph"/>
        <w:numPr>
          <w:ilvl w:val="1"/>
          <w:numId w:val="1"/>
        </w:numPr>
        <w:tabs>
          <w:tab w:val="left" w:pos="1304"/>
        </w:tabs>
        <w:spacing w:before="41" w:after="0" w:line="240" w:lineRule="auto"/>
        <w:ind w:left="1304" w:right="632" w:hanging="360"/>
        <w:jc w:val="left"/>
        <w:rPr>
          <w:sz w:val="24"/>
        </w:rPr>
      </w:pPr>
      <w:r>
        <w:rPr>
          <w:sz w:val="24"/>
        </w:rPr>
        <w:t>The model conversion factor should be bid-specific. It can be generated from the risk</w:t>
      </w:r>
      <w:r>
        <w:rPr>
          <w:spacing w:val="-3"/>
          <w:sz w:val="24"/>
        </w:rPr>
        <w:t xml:space="preserve"> </w:t>
      </w:r>
      <w:r>
        <w:rPr>
          <w:sz w:val="24"/>
        </w:rPr>
        <w:t>scores</w:t>
      </w:r>
      <w:r>
        <w:rPr>
          <w:spacing w:val="-3"/>
          <w:sz w:val="24"/>
        </w:rPr>
        <w:t xml:space="preserve"> </w:t>
      </w:r>
      <w:r>
        <w:rPr>
          <w:sz w:val="24"/>
        </w:rPr>
        <w:t>that</w:t>
      </w:r>
      <w:r>
        <w:rPr>
          <w:spacing w:val="-3"/>
          <w:sz w:val="24"/>
        </w:rPr>
        <w:t xml:space="preserve"> </w:t>
      </w:r>
      <w:r>
        <w:rPr>
          <w:sz w:val="24"/>
        </w:rPr>
        <w:t>CMS</w:t>
      </w:r>
      <w:r>
        <w:rPr>
          <w:spacing w:val="-3"/>
          <w:sz w:val="24"/>
        </w:rPr>
        <w:t xml:space="preserve"> </w:t>
      </w:r>
      <w:r>
        <w:rPr>
          <w:sz w:val="24"/>
        </w:rPr>
        <w:t>sends</w:t>
      </w:r>
      <w:r>
        <w:rPr>
          <w:spacing w:val="-3"/>
          <w:sz w:val="24"/>
        </w:rPr>
        <w:t xml:space="preserve"> </w:t>
      </w:r>
      <w:r>
        <w:rPr>
          <w:sz w:val="24"/>
        </w:rPr>
        <w:t>to</w:t>
      </w:r>
      <w:r>
        <w:rPr>
          <w:spacing w:val="-2"/>
          <w:sz w:val="24"/>
        </w:rPr>
        <w:t xml:space="preserve"> </w:t>
      </w:r>
      <w:r>
        <w:rPr>
          <w:sz w:val="24"/>
        </w:rPr>
        <w:t>Part</w:t>
      </w:r>
      <w:r>
        <w:rPr>
          <w:spacing w:val="-3"/>
          <w:sz w:val="24"/>
        </w:rPr>
        <w:t xml:space="preserve"> </w:t>
      </w:r>
      <w:r>
        <w:rPr>
          <w:sz w:val="24"/>
        </w:rPr>
        <w:t>D</w:t>
      </w:r>
      <w:r>
        <w:rPr>
          <w:spacing w:val="-4"/>
          <w:sz w:val="24"/>
        </w:rPr>
        <w:t xml:space="preserve"> </w:t>
      </w:r>
      <w:r>
        <w:rPr>
          <w:sz w:val="24"/>
        </w:rPr>
        <w:t>sponsors</w:t>
      </w:r>
      <w:r>
        <w:rPr>
          <w:spacing w:val="-3"/>
          <w:sz w:val="24"/>
        </w:rPr>
        <w:t xml:space="preserve"> </w:t>
      </w:r>
      <w:r>
        <w:rPr>
          <w:sz w:val="24"/>
        </w:rPr>
        <w:t>to</w:t>
      </w:r>
      <w:r>
        <w:rPr>
          <w:spacing w:val="-3"/>
          <w:sz w:val="24"/>
        </w:rPr>
        <w:t xml:space="preserve"> </w:t>
      </w:r>
      <w:r>
        <w:rPr>
          <w:sz w:val="24"/>
        </w:rPr>
        <w:t>support</w:t>
      </w:r>
      <w:r>
        <w:rPr>
          <w:spacing w:val="-3"/>
          <w:sz w:val="24"/>
        </w:rPr>
        <w:t xml:space="preserve"> </w:t>
      </w:r>
      <w:r>
        <w:rPr>
          <w:sz w:val="24"/>
        </w:rPr>
        <w:t>bidding;</w:t>
      </w:r>
      <w:r>
        <w:rPr>
          <w:spacing w:val="-3"/>
          <w:sz w:val="24"/>
        </w:rPr>
        <w:t xml:space="preserve"> </w:t>
      </w:r>
      <w:r>
        <w:rPr>
          <w:sz w:val="24"/>
        </w:rPr>
        <w:t>however, Part</w:t>
      </w:r>
      <w:r>
        <w:rPr>
          <w:spacing w:val="-3"/>
          <w:sz w:val="24"/>
        </w:rPr>
        <w:t xml:space="preserve"> </w:t>
      </w:r>
      <w:r>
        <w:rPr>
          <w:sz w:val="24"/>
        </w:rPr>
        <w:t>D sponsors should also consider whether other years in their trends have a different conversion factor (for example, when the population mix differs).</w:t>
      </w:r>
    </w:p>
    <w:p>
      <w:pPr>
        <w:pStyle w:val="ListParagraph"/>
        <w:numPr>
          <w:ilvl w:val="1"/>
          <w:numId w:val="1"/>
        </w:numPr>
        <w:tabs>
          <w:tab w:val="left" w:pos="1304"/>
        </w:tabs>
        <w:spacing w:before="39" w:after="0" w:line="240" w:lineRule="auto"/>
        <w:ind w:left="1304" w:right="746" w:hanging="360"/>
        <w:jc w:val="left"/>
        <w:rPr>
          <w:sz w:val="24"/>
        </w:rPr>
      </w:pPr>
      <w:r>
        <w:rPr>
          <w:sz w:val="24"/>
        </w:rPr>
        <w:t>The</w:t>
      </w:r>
      <w:r>
        <w:rPr>
          <w:spacing w:val="-5"/>
          <w:sz w:val="24"/>
        </w:rPr>
        <w:t xml:space="preserve"> </w:t>
      </w:r>
      <w:r>
        <w:rPr>
          <w:sz w:val="24"/>
        </w:rPr>
        <w:t>conversion</w:t>
      </w:r>
      <w:r>
        <w:rPr>
          <w:spacing w:val="-3"/>
          <w:sz w:val="24"/>
        </w:rPr>
        <w:t xml:space="preserve"> </w:t>
      </w:r>
      <w:r>
        <w:rPr>
          <w:sz w:val="24"/>
        </w:rPr>
        <w:t>factor</w:t>
      </w:r>
      <w:r>
        <w:rPr>
          <w:spacing w:val="-2"/>
          <w:sz w:val="24"/>
        </w:rPr>
        <w:t xml:space="preserve"> </w:t>
      </w:r>
      <w:r>
        <w:rPr>
          <w:sz w:val="24"/>
        </w:rPr>
        <w:t>can</w:t>
      </w:r>
      <w:r>
        <w:rPr>
          <w:spacing w:val="-3"/>
          <w:sz w:val="24"/>
        </w:rPr>
        <w:t xml:space="preserve"> </w:t>
      </w:r>
      <w:r>
        <w:rPr>
          <w:sz w:val="24"/>
        </w:rPr>
        <w:t>be</w:t>
      </w:r>
      <w:r>
        <w:rPr>
          <w:spacing w:val="-4"/>
          <w:sz w:val="24"/>
        </w:rPr>
        <w:t xml:space="preserve"> </w:t>
      </w:r>
      <w:r>
        <w:rPr>
          <w:sz w:val="24"/>
        </w:rPr>
        <w:t>derived</w:t>
      </w:r>
      <w:r>
        <w:rPr>
          <w:spacing w:val="-3"/>
          <w:sz w:val="24"/>
        </w:rPr>
        <w:t xml:space="preserve"> </w:t>
      </w:r>
      <w:r>
        <w:rPr>
          <w:sz w:val="24"/>
        </w:rPr>
        <w:t>by</w:t>
      </w:r>
      <w:r>
        <w:rPr>
          <w:spacing w:val="-2"/>
          <w:sz w:val="24"/>
        </w:rPr>
        <w:t xml:space="preserve"> </w:t>
      </w:r>
      <w:r>
        <w:rPr>
          <w:sz w:val="24"/>
        </w:rPr>
        <w:t>calculating</w:t>
      </w:r>
      <w:r>
        <w:rPr>
          <w:spacing w:val="-3"/>
          <w:sz w:val="24"/>
        </w:rPr>
        <w:t xml:space="preserve"> </w:t>
      </w:r>
      <w:r>
        <w:rPr>
          <w:sz w:val="24"/>
        </w:rPr>
        <w:t>risk</w:t>
      </w:r>
      <w:r>
        <w:rPr>
          <w:spacing w:val="-3"/>
          <w:sz w:val="24"/>
        </w:rPr>
        <w:t xml:space="preserve"> </w:t>
      </w:r>
      <w:r>
        <w:rPr>
          <w:sz w:val="24"/>
        </w:rPr>
        <w:t>scores</w:t>
      </w:r>
      <w:r>
        <w:rPr>
          <w:spacing w:val="-3"/>
          <w:sz w:val="24"/>
        </w:rPr>
        <w:t xml:space="preserve"> </w:t>
      </w:r>
      <w:r>
        <w:rPr>
          <w:sz w:val="24"/>
        </w:rPr>
        <w:t>from</w:t>
      </w:r>
      <w:r>
        <w:rPr>
          <w:spacing w:val="-3"/>
          <w:sz w:val="24"/>
        </w:rPr>
        <w:t xml:space="preserve"> </w:t>
      </w:r>
      <w:r>
        <w:rPr>
          <w:sz w:val="24"/>
        </w:rPr>
        <w:t>a</w:t>
      </w:r>
      <w:r>
        <w:rPr>
          <w:spacing w:val="-5"/>
          <w:sz w:val="24"/>
        </w:rPr>
        <w:t xml:space="preserve"> </w:t>
      </w:r>
      <w:r>
        <w:rPr>
          <w:sz w:val="24"/>
        </w:rPr>
        <w:t>year</w:t>
      </w:r>
      <w:r>
        <w:rPr>
          <w:spacing w:val="-3"/>
          <w:sz w:val="24"/>
        </w:rPr>
        <w:t xml:space="preserve"> </w:t>
      </w:r>
      <w:r>
        <w:rPr>
          <w:sz w:val="24"/>
        </w:rPr>
        <w:t>under two different models. The factor can be a ratio of the scores under each model.</w:t>
      </w:r>
    </w:p>
    <w:p>
      <w:pPr>
        <w:pStyle w:val="ListParagraph"/>
        <w:numPr>
          <w:ilvl w:val="0"/>
          <w:numId w:val="1"/>
        </w:numPr>
        <w:tabs>
          <w:tab w:val="left" w:pos="944"/>
        </w:tabs>
        <w:spacing w:before="41" w:after="0" w:line="240" w:lineRule="auto"/>
        <w:ind w:left="944" w:right="870" w:hanging="360"/>
        <w:jc w:val="left"/>
        <w:rPr>
          <w:sz w:val="24"/>
        </w:rPr>
      </w:pPr>
      <w:r>
        <w:rPr>
          <w:sz w:val="24"/>
        </w:rPr>
        <w:t>When a Part D sponsor is converting risk scores from one model to another, a conversion</w:t>
      </w:r>
      <w:r>
        <w:rPr>
          <w:spacing w:val="-4"/>
          <w:sz w:val="24"/>
        </w:rPr>
        <w:t xml:space="preserve"> </w:t>
      </w:r>
      <w:r>
        <w:rPr>
          <w:sz w:val="24"/>
        </w:rPr>
        <w:t>between</w:t>
      </w:r>
      <w:r>
        <w:rPr>
          <w:spacing w:val="-4"/>
          <w:sz w:val="24"/>
        </w:rPr>
        <w:t xml:space="preserve"> </w:t>
      </w:r>
      <w:r>
        <w:rPr>
          <w:sz w:val="24"/>
        </w:rPr>
        <w:t>denominator</w:t>
      </w:r>
      <w:r>
        <w:rPr>
          <w:spacing w:val="-4"/>
          <w:sz w:val="24"/>
        </w:rPr>
        <w:t xml:space="preserve"> </w:t>
      </w:r>
      <w:r>
        <w:rPr>
          <w:sz w:val="24"/>
        </w:rPr>
        <w:t>years</w:t>
      </w:r>
      <w:r>
        <w:rPr>
          <w:spacing w:val="-4"/>
          <w:sz w:val="24"/>
        </w:rPr>
        <w:t xml:space="preserve"> </w:t>
      </w:r>
      <w:r>
        <w:rPr>
          <w:sz w:val="24"/>
        </w:rPr>
        <w:t>is,</w:t>
      </w:r>
      <w:r>
        <w:rPr>
          <w:spacing w:val="-4"/>
          <w:sz w:val="24"/>
        </w:rPr>
        <w:t xml:space="preserve"> </w:t>
      </w:r>
      <w:r>
        <w:rPr>
          <w:sz w:val="24"/>
        </w:rPr>
        <w:t>more</w:t>
      </w:r>
      <w:r>
        <w:rPr>
          <w:spacing w:val="-6"/>
          <w:sz w:val="24"/>
        </w:rPr>
        <w:t xml:space="preserve"> </w:t>
      </w:r>
      <w:r>
        <w:rPr>
          <w:sz w:val="24"/>
        </w:rPr>
        <w:t>than</w:t>
      </w:r>
      <w:r>
        <w:rPr>
          <w:spacing w:val="-4"/>
          <w:sz w:val="24"/>
        </w:rPr>
        <w:t xml:space="preserve"> </w:t>
      </w:r>
      <w:r>
        <w:rPr>
          <w:sz w:val="24"/>
        </w:rPr>
        <w:t>likely,</w:t>
      </w:r>
      <w:r>
        <w:rPr>
          <w:spacing w:val="-4"/>
          <w:sz w:val="24"/>
        </w:rPr>
        <w:t xml:space="preserve"> </w:t>
      </w:r>
      <w:r>
        <w:rPr>
          <w:sz w:val="24"/>
        </w:rPr>
        <w:t>occurring</w:t>
      </w:r>
      <w:r>
        <w:rPr>
          <w:spacing w:val="-4"/>
          <w:sz w:val="24"/>
        </w:rPr>
        <w:t xml:space="preserve"> </w:t>
      </w:r>
      <w:r>
        <w:rPr>
          <w:sz w:val="24"/>
        </w:rPr>
        <w:t>also. The</w:t>
      </w:r>
      <w:r>
        <w:rPr>
          <w:spacing w:val="-6"/>
          <w:sz w:val="24"/>
        </w:rPr>
        <w:t xml:space="preserve"> </w:t>
      </w:r>
      <w:r>
        <w:rPr>
          <w:sz w:val="24"/>
        </w:rPr>
        <w:t>risk scores in the conversion factor should be raw if the factor will be applied to an old model raw risk score, which is then projected to the payment year.</w:t>
      </w:r>
    </w:p>
    <w:p>
      <w:pPr>
        <w:pStyle w:val="ListParagraph"/>
        <w:numPr>
          <w:ilvl w:val="0"/>
          <w:numId w:val="1"/>
        </w:numPr>
        <w:tabs>
          <w:tab w:val="left" w:pos="944"/>
        </w:tabs>
        <w:spacing w:before="39" w:after="0" w:line="240" w:lineRule="auto"/>
        <w:ind w:left="944" w:right="487" w:hanging="360"/>
        <w:jc w:val="left"/>
        <w:rPr>
          <w:sz w:val="24"/>
        </w:rPr>
      </w:pPr>
      <w:r>
        <w:rPr>
          <w:sz w:val="24"/>
        </w:rPr>
        <w:t>If Part D sponsor compares scores within a single cohort, and the risk adjustment models do not have the same denominator year, the raw risk scores should be normalized to the same year. Otherwise, some portion of the ratio between the models will</w:t>
      </w:r>
      <w:r>
        <w:rPr>
          <w:spacing w:val="-3"/>
          <w:sz w:val="24"/>
        </w:rPr>
        <w:t xml:space="preserve"> </w:t>
      </w:r>
      <w:r>
        <w:rPr>
          <w:sz w:val="24"/>
        </w:rPr>
        <w:t>be</w:t>
      </w:r>
      <w:r>
        <w:rPr>
          <w:spacing w:val="-4"/>
          <w:sz w:val="24"/>
        </w:rPr>
        <w:t xml:space="preserve"> </w:t>
      </w:r>
      <w:r>
        <w:rPr>
          <w:sz w:val="24"/>
        </w:rPr>
        <w:t>attributed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more</w:t>
      </w:r>
      <w:r>
        <w:rPr>
          <w:spacing w:val="-5"/>
          <w:sz w:val="24"/>
        </w:rPr>
        <w:t xml:space="preserve"> </w:t>
      </w:r>
      <w:r>
        <w:rPr>
          <w:sz w:val="24"/>
        </w:rPr>
        <w:t>recent</w:t>
      </w:r>
      <w:r>
        <w:rPr>
          <w:spacing w:val="-3"/>
          <w:sz w:val="24"/>
        </w:rPr>
        <w:t xml:space="preserve"> </w:t>
      </w:r>
      <w:r>
        <w:rPr>
          <w:sz w:val="24"/>
        </w:rPr>
        <w:t>denominator</w:t>
      </w:r>
      <w:r>
        <w:rPr>
          <w:spacing w:val="-2"/>
          <w:sz w:val="24"/>
        </w:rPr>
        <w:t xml:space="preserve"> </w:t>
      </w:r>
      <w:r>
        <w:rPr>
          <w:sz w:val="24"/>
        </w:rPr>
        <w:t>rather</w:t>
      </w:r>
      <w:r>
        <w:rPr>
          <w:spacing w:val="-5"/>
          <w:sz w:val="24"/>
        </w:rPr>
        <w:t xml:space="preserve"> </w:t>
      </w:r>
      <w:r>
        <w:rPr>
          <w:sz w:val="24"/>
        </w:rPr>
        <w:t>than</w:t>
      </w:r>
      <w:r>
        <w:rPr>
          <w:spacing w:val="-3"/>
          <w:sz w:val="24"/>
        </w:rPr>
        <w:t xml:space="preserve"> </w:t>
      </w:r>
      <w:r>
        <w:rPr>
          <w:sz w:val="24"/>
        </w:rPr>
        <w:t>to</w:t>
      </w:r>
      <w:r>
        <w:rPr>
          <w:spacing w:val="-1"/>
          <w:sz w:val="24"/>
        </w:rPr>
        <w:t xml:space="preserve"> </w:t>
      </w:r>
      <w:r>
        <w:rPr>
          <w:sz w:val="24"/>
        </w:rPr>
        <w:t>a</w:t>
      </w:r>
      <w:r>
        <w:rPr>
          <w:spacing w:val="-4"/>
          <w:sz w:val="24"/>
        </w:rPr>
        <w:t xml:space="preserve"> </w:t>
      </w:r>
      <w:r>
        <w:rPr>
          <w:sz w:val="24"/>
        </w:rPr>
        <w:t>difference</w:t>
      </w:r>
      <w:r>
        <w:rPr>
          <w:spacing w:val="-4"/>
          <w:sz w:val="24"/>
        </w:rPr>
        <w:t xml:space="preserve"> </w:t>
      </w:r>
      <w:r>
        <w:rPr>
          <w:sz w:val="24"/>
        </w:rPr>
        <w:t>in</w:t>
      </w:r>
      <w:r>
        <w:rPr>
          <w:spacing w:val="-3"/>
          <w:sz w:val="24"/>
        </w:rPr>
        <w:t xml:space="preserve"> </w:t>
      </w:r>
      <w:r>
        <w:rPr>
          <w:sz w:val="24"/>
        </w:rPr>
        <w:t xml:space="preserve">predicted </w:t>
      </w:r>
      <w:r>
        <w:rPr>
          <w:spacing w:val="-2"/>
          <w:sz w:val="24"/>
        </w:rPr>
        <w:t>risk.</w:t>
      </w:r>
    </w:p>
    <w:p>
      <w:pPr>
        <w:pStyle w:val="ListParagraph"/>
        <w:numPr>
          <w:ilvl w:val="0"/>
          <w:numId w:val="1"/>
        </w:numPr>
        <w:tabs>
          <w:tab w:val="left" w:pos="944"/>
        </w:tabs>
        <w:spacing w:before="41" w:after="0" w:line="240" w:lineRule="auto"/>
        <w:ind w:left="944" w:right="673" w:hanging="360"/>
        <w:jc w:val="left"/>
        <w:rPr>
          <w:sz w:val="24"/>
        </w:rPr>
      </w:pPr>
      <w:r>
        <w:rPr>
          <w:sz w:val="24"/>
        </w:rPr>
        <w:t>Divide</w:t>
      </w:r>
      <w:r>
        <w:rPr>
          <w:spacing w:val="-4"/>
          <w:sz w:val="24"/>
        </w:rPr>
        <w:t xml:space="preserve"> </w:t>
      </w:r>
      <w:r>
        <w:rPr>
          <w:sz w:val="24"/>
        </w:rPr>
        <w:t>cohorts</w:t>
      </w:r>
      <w:r>
        <w:rPr>
          <w:spacing w:val="-4"/>
          <w:sz w:val="24"/>
        </w:rPr>
        <w:t xml:space="preserve"> </w:t>
      </w:r>
      <w:r>
        <w:rPr>
          <w:sz w:val="24"/>
        </w:rPr>
        <w:t>into</w:t>
      </w:r>
      <w:r>
        <w:rPr>
          <w:spacing w:val="-4"/>
          <w:sz w:val="24"/>
        </w:rPr>
        <w:t xml:space="preserve"> </w:t>
      </w:r>
      <w:r>
        <w:rPr>
          <w:sz w:val="24"/>
        </w:rPr>
        <w:t>meaningful</w:t>
      </w:r>
      <w:r>
        <w:rPr>
          <w:spacing w:val="-4"/>
          <w:sz w:val="24"/>
        </w:rPr>
        <w:t xml:space="preserve"> </w:t>
      </w:r>
      <w:r>
        <w:rPr>
          <w:sz w:val="24"/>
        </w:rPr>
        <w:t>subgroups</w:t>
      </w:r>
      <w:r>
        <w:rPr>
          <w:spacing w:val="-4"/>
          <w:sz w:val="24"/>
        </w:rPr>
        <w:t xml:space="preserve"> </w:t>
      </w:r>
      <w:r>
        <w:rPr>
          <w:sz w:val="24"/>
        </w:rPr>
        <w:t>using</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considerations</w:t>
      </w:r>
      <w:r>
        <w:rPr>
          <w:spacing w:val="-1"/>
          <w:sz w:val="24"/>
        </w:rPr>
        <w:t xml:space="preserve"> </w:t>
      </w:r>
      <w:r>
        <w:rPr>
          <w:sz w:val="24"/>
        </w:rPr>
        <w:t>that</w:t>
      </w:r>
      <w:r>
        <w:rPr>
          <w:spacing w:val="-4"/>
          <w:sz w:val="24"/>
        </w:rPr>
        <w:t xml:space="preserve"> </w:t>
      </w:r>
      <w:r>
        <w:rPr>
          <w:sz w:val="24"/>
        </w:rPr>
        <w:t>are</w:t>
      </w:r>
      <w:r>
        <w:rPr>
          <w:spacing w:val="-6"/>
          <w:sz w:val="24"/>
        </w:rPr>
        <w:t xml:space="preserve"> </w:t>
      </w:r>
      <w:r>
        <w:rPr>
          <w:sz w:val="24"/>
        </w:rPr>
        <w:t xml:space="preserve">used to determine allowed costs and project enrollment in each subgroup to the payment </w:t>
      </w:r>
      <w:r>
        <w:rPr>
          <w:spacing w:val="-4"/>
          <w:sz w:val="24"/>
        </w:rPr>
        <w:t>year.</w:t>
      </w:r>
    </w:p>
    <w:p>
      <w:pPr>
        <w:pStyle w:val="ListParagraph"/>
        <w:numPr>
          <w:ilvl w:val="1"/>
          <w:numId w:val="1"/>
        </w:numPr>
        <w:tabs>
          <w:tab w:val="left" w:pos="1304"/>
        </w:tabs>
        <w:spacing w:before="40" w:after="0" w:line="240" w:lineRule="auto"/>
        <w:ind w:left="1304" w:right="631" w:hanging="360"/>
        <w:jc w:val="left"/>
        <w:rPr>
          <w:sz w:val="24"/>
        </w:rPr>
      </w:pPr>
      <w:r>
        <w:rPr>
          <w:sz w:val="24"/>
        </w:rPr>
        <w:t>Weight</w:t>
      </w:r>
      <w:r>
        <w:rPr>
          <w:spacing w:val="-4"/>
          <w:sz w:val="24"/>
        </w:rPr>
        <w:t xml:space="preserve"> </w:t>
      </w:r>
      <w:r>
        <w:rPr>
          <w:sz w:val="24"/>
        </w:rPr>
        <w:t>subgroup</w:t>
      </w:r>
      <w:r>
        <w:rPr>
          <w:spacing w:val="-4"/>
          <w:sz w:val="24"/>
        </w:rPr>
        <w:t xml:space="preserve"> </w:t>
      </w:r>
      <w:r>
        <w:rPr>
          <w:sz w:val="24"/>
        </w:rPr>
        <w:t>risk</w:t>
      </w:r>
      <w:r>
        <w:rPr>
          <w:spacing w:val="-4"/>
          <w:sz w:val="24"/>
        </w:rPr>
        <w:t xml:space="preserve"> </w:t>
      </w:r>
      <w:r>
        <w:rPr>
          <w:sz w:val="24"/>
        </w:rPr>
        <w:t>scores</w:t>
      </w:r>
      <w:r>
        <w:rPr>
          <w:spacing w:val="-4"/>
          <w:sz w:val="24"/>
        </w:rPr>
        <w:t xml:space="preserve"> </w:t>
      </w:r>
      <w:r>
        <w:rPr>
          <w:sz w:val="24"/>
        </w:rPr>
        <w:t>by</w:t>
      </w:r>
      <w:r>
        <w:rPr>
          <w:spacing w:val="-4"/>
          <w:sz w:val="24"/>
        </w:rPr>
        <w:t xml:space="preserve"> </w:t>
      </w:r>
      <w:r>
        <w:rPr>
          <w:sz w:val="24"/>
        </w:rPr>
        <w:t>enrollment</w:t>
      </w:r>
      <w:r>
        <w:rPr>
          <w:spacing w:val="-4"/>
          <w:sz w:val="24"/>
        </w:rPr>
        <w:t xml:space="preserve"> </w:t>
      </w:r>
      <w:r>
        <w:rPr>
          <w:sz w:val="24"/>
        </w:rPr>
        <w:t>in</w:t>
      </w:r>
      <w:r>
        <w:rPr>
          <w:spacing w:val="-4"/>
          <w:sz w:val="24"/>
        </w:rPr>
        <w:t xml:space="preserve"> </w:t>
      </w:r>
      <w:r>
        <w:rPr>
          <w:sz w:val="24"/>
        </w:rPr>
        <w:t>each</w:t>
      </w:r>
      <w:r>
        <w:rPr>
          <w:spacing w:val="-4"/>
          <w:sz w:val="24"/>
        </w:rPr>
        <w:t xml:space="preserve"> </w:t>
      </w:r>
      <w:r>
        <w:rPr>
          <w:sz w:val="24"/>
        </w:rPr>
        <w:t>subgroup</w:t>
      </w:r>
      <w:r>
        <w:rPr>
          <w:spacing w:val="-4"/>
          <w:sz w:val="24"/>
        </w:rPr>
        <w:t xml:space="preserve"> </w:t>
      </w:r>
      <w:r>
        <w:rPr>
          <w:sz w:val="24"/>
        </w:rPr>
        <w:t>per</w:t>
      </w:r>
      <w:r>
        <w:rPr>
          <w:spacing w:val="-4"/>
          <w:sz w:val="24"/>
        </w:rPr>
        <w:t xml:space="preserve"> </w:t>
      </w:r>
      <w:r>
        <w:rPr>
          <w:sz w:val="24"/>
        </w:rPr>
        <w:t>year</w:t>
      </w:r>
      <w:r>
        <w:rPr>
          <w:spacing w:val="-4"/>
          <w:sz w:val="24"/>
        </w:rPr>
        <w:t xml:space="preserve"> </w:t>
      </w:r>
      <w:r>
        <w:rPr>
          <w:sz w:val="24"/>
        </w:rPr>
        <w:t>to</w:t>
      </w:r>
      <w:r>
        <w:rPr>
          <w:spacing w:val="-4"/>
          <w:sz w:val="24"/>
        </w:rPr>
        <w:t xml:space="preserve"> </w:t>
      </w:r>
      <w:r>
        <w:rPr>
          <w:sz w:val="24"/>
        </w:rPr>
        <w:t>determine annual risk scores for trending.</w:t>
      </w:r>
    </w:p>
    <w:p>
      <w:pPr>
        <w:pStyle w:val="ListParagraph"/>
        <w:numPr>
          <w:ilvl w:val="0"/>
          <w:numId w:val="1"/>
        </w:numPr>
        <w:tabs>
          <w:tab w:val="left" w:pos="944"/>
        </w:tabs>
        <w:spacing w:before="39" w:after="0" w:line="240" w:lineRule="auto"/>
        <w:ind w:left="944" w:right="449" w:hanging="360"/>
        <w:jc w:val="left"/>
        <w:rPr>
          <w:sz w:val="24"/>
        </w:rPr>
      </w:pPr>
      <w:r>
        <w:rPr>
          <w:sz w:val="24"/>
        </w:rPr>
        <w:t>Compare</w:t>
      </w:r>
      <w:r>
        <w:rPr>
          <w:spacing w:val="-3"/>
          <w:sz w:val="24"/>
        </w:rPr>
        <w:t xml:space="preserve"> </w:t>
      </w:r>
      <w:r>
        <w:rPr>
          <w:sz w:val="24"/>
        </w:rPr>
        <w:t>year</w:t>
      </w:r>
      <w:r>
        <w:rPr>
          <w:spacing w:val="-2"/>
          <w:sz w:val="24"/>
        </w:rPr>
        <w:t xml:space="preserve"> </w:t>
      </w:r>
      <w:r>
        <w:rPr>
          <w:sz w:val="24"/>
        </w:rPr>
        <w:t>over</w:t>
      </w:r>
      <w:r>
        <w:rPr>
          <w:spacing w:val="-2"/>
          <w:sz w:val="24"/>
        </w:rPr>
        <w:t xml:space="preserve"> </w:t>
      </w:r>
      <w:r>
        <w:rPr>
          <w:sz w:val="24"/>
        </w:rPr>
        <w:t>year</w:t>
      </w:r>
      <w:r>
        <w:rPr>
          <w:spacing w:val="-1"/>
          <w:sz w:val="24"/>
        </w:rPr>
        <w:t xml:space="preserve"> </w:t>
      </w:r>
      <w:r>
        <w:rPr>
          <w:sz w:val="24"/>
        </w:rPr>
        <w:t>risk</w:t>
      </w:r>
      <w:r>
        <w:rPr>
          <w:spacing w:val="-2"/>
          <w:sz w:val="24"/>
        </w:rPr>
        <w:t xml:space="preserve"> </w:t>
      </w:r>
      <w:r>
        <w:rPr>
          <w:sz w:val="24"/>
        </w:rPr>
        <w:t>scores</w:t>
      </w:r>
      <w:r>
        <w:rPr>
          <w:spacing w:val="-2"/>
          <w:sz w:val="24"/>
        </w:rPr>
        <w:t xml:space="preserve"> </w:t>
      </w:r>
      <w:r>
        <w:rPr>
          <w:sz w:val="24"/>
        </w:rPr>
        <w:t>to</w:t>
      </w:r>
      <w:r>
        <w:rPr>
          <w:spacing w:val="-2"/>
          <w:sz w:val="24"/>
        </w:rPr>
        <w:t xml:space="preserve"> </w:t>
      </w:r>
      <w:r>
        <w:rPr>
          <w:sz w:val="24"/>
        </w:rPr>
        <w:t>obtain</w:t>
      </w:r>
      <w:r>
        <w:rPr>
          <w:spacing w:val="-2"/>
          <w:sz w:val="24"/>
        </w:rPr>
        <w:t xml:space="preserve"> </w:t>
      </w:r>
      <w:r>
        <w:rPr>
          <w:sz w:val="24"/>
        </w:rPr>
        <w:t>a</w:t>
      </w:r>
      <w:r>
        <w:rPr>
          <w:spacing w:val="-3"/>
          <w:sz w:val="24"/>
        </w:rPr>
        <w:t xml:space="preserve"> </w:t>
      </w:r>
      <w:r>
        <w:rPr>
          <w:sz w:val="24"/>
        </w:rPr>
        <w:t>trend</w:t>
      </w:r>
      <w:r>
        <w:rPr>
          <w:spacing w:val="-2"/>
          <w:sz w:val="24"/>
        </w:rPr>
        <w:t xml:space="preserve"> </w:t>
      </w:r>
      <w:r>
        <w:rPr>
          <w:sz w:val="24"/>
        </w:rPr>
        <w:t>factor. Unless</w:t>
      </w:r>
      <w:r>
        <w:rPr>
          <w:spacing w:val="-2"/>
          <w:sz w:val="24"/>
        </w:rPr>
        <w:t xml:space="preserve"> </w:t>
      </w:r>
      <w:r>
        <w:rPr>
          <w:sz w:val="24"/>
        </w:rPr>
        <w:t>the</w:t>
      </w:r>
      <w:r>
        <w:rPr>
          <w:spacing w:val="-3"/>
          <w:sz w:val="24"/>
        </w:rPr>
        <w:t xml:space="preserve"> </w:t>
      </w:r>
      <w:r>
        <w:rPr>
          <w:sz w:val="24"/>
        </w:rPr>
        <w:t>Part D</w:t>
      </w:r>
      <w:r>
        <w:rPr>
          <w:spacing w:val="-3"/>
          <w:sz w:val="24"/>
        </w:rPr>
        <w:t xml:space="preserve"> </w:t>
      </w:r>
      <w:r>
        <w:rPr>
          <w:sz w:val="24"/>
        </w:rPr>
        <w:t>sponsor</w:t>
      </w:r>
      <w:r>
        <w:rPr>
          <w:spacing w:val="-2"/>
          <w:sz w:val="24"/>
        </w:rPr>
        <w:t xml:space="preserve"> </w:t>
      </w:r>
      <w:r>
        <w:rPr>
          <w:sz w:val="24"/>
        </w:rPr>
        <w:t>is anticipating</w:t>
      </w:r>
      <w:r>
        <w:rPr>
          <w:spacing w:val="-4"/>
          <w:sz w:val="24"/>
        </w:rPr>
        <w:t xml:space="preserve"> </w:t>
      </w:r>
      <w:r>
        <w:rPr>
          <w:sz w:val="24"/>
        </w:rPr>
        <w:t>changes</w:t>
      </w:r>
      <w:r>
        <w:rPr>
          <w:spacing w:val="-4"/>
          <w:sz w:val="24"/>
        </w:rPr>
        <w:t xml:space="preserve"> </w:t>
      </w:r>
      <w:r>
        <w:rPr>
          <w:sz w:val="24"/>
        </w:rPr>
        <w:t>in</w:t>
      </w:r>
      <w:r>
        <w:rPr>
          <w:spacing w:val="-4"/>
          <w:sz w:val="24"/>
        </w:rPr>
        <w:t xml:space="preserve"> </w:t>
      </w:r>
      <w:r>
        <w:rPr>
          <w:sz w:val="24"/>
        </w:rPr>
        <w:t>coding</w:t>
      </w:r>
      <w:r>
        <w:rPr>
          <w:spacing w:val="-4"/>
          <w:sz w:val="24"/>
        </w:rPr>
        <w:t xml:space="preserve"> </w:t>
      </w:r>
      <w:r>
        <w:rPr>
          <w:sz w:val="24"/>
        </w:rPr>
        <w:t>efforts</w:t>
      </w:r>
      <w:r>
        <w:rPr>
          <w:spacing w:val="-4"/>
          <w:sz w:val="24"/>
        </w:rPr>
        <w:t xml:space="preserve"> </w:t>
      </w:r>
      <w:r>
        <w:rPr>
          <w:sz w:val="24"/>
        </w:rPr>
        <w:t>or</w:t>
      </w:r>
      <w:r>
        <w:rPr>
          <w:spacing w:val="-4"/>
          <w:sz w:val="24"/>
        </w:rPr>
        <w:t xml:space="preserve"> </w:t>
      </w:r>
      <w:r>
        <w:rPr>
          <w:sz w:val="24"/>
        </w:rPr>
        <w:t>population</w:t>
      </w:r>
      <w:r>
        <w:rPr>
          <w:spacing w:val="-4"/>
          <w:sz w:val="24"/>
        </w:rPr>
        <w:t xml:space="preserve"> </w:t>
      </w:r>
      <w:r>
        <w:rPr>
          <w:sz w:val="24"/>
        </w:rPr>
        <w:t>characteristics,</w:t>
      </w:r>
      <w:r>
        <w:rPr>
          <w:spacing w:val="-4"/>
          <w:sz w:val="24"/>
        </w:rPr>
        <w:t xml:space="preserve"> </w:t>
      </w:r>
      <w:r>
        <w:rPr>
          <w:sz w:val="24"/>
        </w:rPr>
        <w:t>more</w:t>
      </w:r>
      <w:r>
        <w:rPr>
          <w:spacing w:val="-6"/>
          <w:sz w:val="24"/>
        </w:rPr>
        <w:t xml:space="preserve"> </w:t>
      </w:r>
      <w:r>
        <w:rPr>
          <w:sz w:val="24"/>
        </w:rPr>
        <w:t>than 2</w:t>
      </w:r>
      <w:r>
        <w:rPr>
          <w:spacing w:val="-4"/>
          <w:sz w:val="24"/>
        </w:rPr>
        <w:t xml:space="preserve"> </w:t>
      </w:r>
      <w:r>
        <w:rPr>
          <w:sz w:val="24"/>
        </w:rPr>
        <w:t>years</w:t>
      </w:r>
      <w:r>
        <w:rPr>
          <w:spacing w:val="-4"/>
          <w:sz w:val="24"/>
        </w:rPr>
        <w:t xml:space="preserve"> </w:t>
      </w:r>
      <w:r>
        <w:rPr>
          <w:sz w:val="24"/>
        </w:rPr>
        <w:t>of risk scores will help minimize the effect of random changes in coding patterns and enrolled population. If deviations from the previous trend are expected in the payment year, provide justification for such changes in the supporting documentation.</w:t>
      </w:r>
    </w:p>
    <w:p>
      <w:pPr>
        <w:pStyle w:val="ListParagraph"/>
        <w:numPr>
          <w:ilvl w:val="1"/>
          <w:numId w:val="1"/>
        </w:numPr>
        <w:tabs>
          <w:tab w:val="left" w:pos="1304"/>
        </w:tabs>
        <w:spacing w:before="41" w:after="0" w:line="240" w:lineRule="auto"/>
        <w:ind w:left="1304" w:right="820" w:hanging="360"/>
        <w:jc w:val="left"/>
        <w:rPr>
          <w:sz w:val="24"/>
        </w:rPr>
      </w:pPr>
      <w:r>
        <w:rPr>
          <w:sz w:val="24"/>
        </w:rPr>
        <w:t>If</w:t>
      </w:r>
      <w:r>
        <w:rPr>
          <w:spacing w:val="-5"/>
          <w:sz w:val="24"/>
        </w:rPr>
        <w:t xml:space="preserve"> </w:t>
      </w:r>
      <w:r>
        <w:rPr>
          <w:sz w:val="24"/>
        </w:rPr>
        <w:t>starting</w:t>
      </w:r>
      <w:r>
        <w:rPr>
          <w:spacing w:val="-3"/>
          <w:sz w:val="24"/>
        </w:rPr>
        <w:t xml:space="preserve"> </w:t>
      </w:r>
      <w:r>
        <w:rPr>
          <w:sz w:val="24"/>
        </w:rPr>
        <w:t>with</w:t>
      </w:r>
      <w:r>
        <w:rPr>
          <w:spacing w:val="-3"/>
          <w:sz w:val="24"/>
        </w:rPr>
        <w:t xml:space="preserve"> </w:t>
      </w:r>
      <w:r>
        <w:rPr>
          <w:sz w:val="24"/>
        </w:rPr>
        <w:t>base</w:t>
      </w:r>
      <w:r>
        <w:rPr>
          <w:spacing w:val="-5"/>
          <w:sz w:val="24"/>
        </w:rPr>
        <w:t xml:space="preserve"> </w:t>
      </w:r>
      <w:r>
        <w:rPr>
          <w:sz w:val="24"/>
        </w:rPr>
        <w:t>year</w:t>
      </w:r>
      <w:r>
        <w:rPr>
          <w:spacing w:val="-2"/>
          <w:sz w:val="24"/>
        </w:rPr>
        <w:t xml:space="preserve"> </w:t>
      </w:r>
      <w:r>
        <w:rPr>
          <w:sz w:val="24"/>
        </w:rPr>
        <w:t>risk</w:t>
      </w:r>
      <w:r>
        <w:rPr>
          <w:spacing w:val="-3"/>
          <w:sz w:val="24"/>
        </w:rPr>
        <w:t xml:space="preserve"> </w:t>
      </w:r>
      <w:r>
        <w:rPr>
          <w:sz w:val="24"/>
        </w:rPr>
        <w:t>scores</w:t>
      </w:r>
      <w:r>
        <w:rPr>
          <w:spacing w:val="-3"/>
          <w:sz w:val="24"/>
        </w:rPr>
        <w:t xml:space="preserve"> </w:t>
      </w:r>
      <w:r>
        <w:rPr>
          <w:sz w:val="24"/>
        </w:rPr>
        <w:t>that</w:t>
      </w:r>
      <w:r>
        <w:rPr>
          <w:spacing w:val="-3"/>
          <w:sz w:val="24"/>
        </w:rPr>
        <w:t xml:space="preserve"> </w:t>
      </w:r>
      <w:r>
        <w:rPr>
          <w:sz w:val="24"/>
        </w:rPr>
        <w:t>are</w:t>
      </w:r>
      <w:r>
        <w:rPr>
          <w:spacing w:val="-5"/>
          <w:sz w:val="24"/>
        </w:rPr>
        <w:t xml:space="preserve"> </w:t>
      </w:r>
      <w:r>
        <w:rPr>
          <w:sz w:val="24"/>
        </w:rPr>
        <w:t>blended,</w:t>
      </w:r>
      <w:r>
        <w:rPr>
          <w:spacing w:val="-3"/>
          <w:sz w:val="24"/>
        </w:rPr>
        <w:t xml:space="preserve"> </w:t>
      </w:r>
      <w:r>
        <w:rPr>
          <w:sz w:val="24"/>
        </w:rPr>
        <w:t>Plan</w:t>
      </w:r>
      <w:r>
        <w:rPr>
          <w:spacing w:val="-3"/>
          <w:sz w:val="24"/>
        </w:rPr>
        <w:t xml:space="preserve"> </w:t>
      </w:r>
      <w:r>
        <w:rPr>
          <w:sz w:val="24"/>
        </w:rPr>
        <w:t>sponsors are</w:t>
      </w:r>
      <w:r>
        <w:rPr>
          <w:spacing w:val="-5"/>
          <w:sz w:val="24"/>
        </w:rPr>
        <w:t xml:space="preserve"> </w:t>
      </w:r>
      <w:r>
        <w:rPr>
          <w:sz w:val="24"/>
        </w:rPr>
        <w:t xml:space="preserve">to </w:t>
      </w:r>
      <w:r>
        <w:rPr>
          <w:sz w:val="24"/>
        </w:rPr>
        <w:t>assess whether there are bid-specific risk score trends unique to each model and adjust their overall trend accordingly.</w:t>
      </w:r>
    </w:p>
    <w:p>
      <w:pPr>
        <w:pStyle w:val="ListParagraph"/>
        <w:numPr>
          <w:ilvl w:val="1"/>
          <w:numId w:val="1"/>
        </w:numPr>
        <w:tabs>
          <w:tab w:val="left" w:pos="1304"/>
        </w:tabs>
        <w:spacing w:before="41" w:after="0" w:line="240" w:lineRule="auto"/>
        <w:ind w:left="1304" w:right="761" w:hanging="360"/>
        <w:jc w:val="left"/>
        <w:rPr>
          <w:sz w:val="24"/>
        </w:rPr>
      </w:pPr>
      <w:r>
        <w:rPr>
          <w:sz w:val="24"/>
        </w:rPr>
        <w:t>Use</w:t>
      </w:r>
      <w:r>
        <w:rPr>
          <w:spacing w:val="-6"/>
          <w:sz w:val="24"/>
        </w:rPr>
        <w:t xml:space="preserve"> </w:t>
      </w:r>
      <w:r>
        <w:rPr>
          <w:sz w:val="24"/>
        </w:rPr>
        <w:t>this</w:t>
      </w:r>
      <w:r>
        <w:rPr>
          <w:spacing w:val="-4"/>
          <w:sz w:val="24"/>
        </w:rPr>
        <w:t xml:space="preserve"> </w:t>
      </w:r>
      <w:r>
        <w:rPr>
          <w:sz w:val="24"/>
        </w:rPr>
        <w:t>trend</w:t>
      </w:r>
      <w:r>
        <w:rPr>
          <w:spacing w:val="-4"/>
          <w:sz w:val="24"/>
        </w:rPr>
        <w:t xml:space="preserve"> </w:t>
      </w:r>
      <w:r>
        <w:rPr>
          <w:sz w:val="24"/>
        </w:rPr>
        <w:t>factor</w:t>
      </w:r>
      <w:r>
        <w:rPr>
          <w:spacing w:val="-4"/>
          <w:sz w:val="24"/>
        </w:rPr>
        <w:t xml:space="preserve"> </w:t>
      </w:r>
      <w:r>
        <w:rPr>
          <w:sz w:val="24"/>
        </w:rPr>
        <w:t>to</w:t>
      </w:r>
      <w:r>
        <w:rPr>
          <w:spacing w:val="-4"/>
          <w:sz w:val="24"/>
        </w:rPr>
        <w:t xml:space="preserve"> </w:t>
      </w:r>
      <w:r>
        <w:rPr>
          <w:sz w:val="24"/>
        </w:rPr>
        <w:t>project</w:t>
      </w:r>
      <w:r>
        <w:rPr>
          <w:spacing w:val="-4"/>
          <w:sz w:val="24"/>
        </w:rPr>
        <w:t xml:space="preserve"> </w:t>
      </w:r>
      <w:r>
        <w:rPr>
          <w:sz w:val="24"/>
        </w:rPr>
        <w:t>from</w:t>
      </w:r>
      <w:r>
        <w:rPr>
          <w:spacing w:val="-4"/>
          <w:sz w:val="24"/>
        </w:rPr>
        <w:t xml:space="preserve"> </w:t>
      </w:r>
      <w:r>
        <w:rPr>
          <w:sz w:val="24"/>
        </w:rPr>
        <w:t>base</w:t>
      </w:r>
      <w:r>
        <w:rPr>
          <w:spacing w:val="-5"/>
          <w:sz w:val="24"/>
        </w:rPr>
        <w:t xml:space="preserve"> </w:t>
      </w:r>
      <w:r>
        <w:rPr>
          <w:sz w:val="24"/>
        </w:rPr>
        <w:t>period</w:t>
      </w:r>
      <w:r>
        <w:rPr>
          <w:spacing w:val="-3"/>
          <w:sz w:val="24"/>
        </w:rPr>
        <w:t xml:space="preserve"> </w:t>
      </w:r>
      <w:r>
        <w:rPr>
          <w:sz w:val="24"/>
        </w:rPr>
        <w:t>risk</w:t>
      </w:r>
      <w:r>
        <w:rPr>
          <w:spacing w:val="-4"/>
          <w:sz w:val="24"/>
        </w:rPr>
        <w:t xml:space="preserve"> </w:t>
      </w:r>
      <w:r>
        <w:rPr>
          <w:sz w:val="24"/>
        </w:rPr>
        <w:t>scores</w:t>
      </w:r>
      <w:r>
        <w:rPr>
          <w:spacing w:val="-4"/>
          <w:sz w:val="24"/>
        </w:rPr>
        <w:t xml:space="preserve"> </w:t>
      </w:r>
      <w:r>
        <w:rPr>
          <w:sz w:val="24"/>
        </w:rPr>
        <w:t>to</w:t>
      </w:r>
      <w:r>
        <w:rPr>
          <w:spacing w:val="-4"/>
          <w:sz w:val="24"/>
        </w:rPr>
        <w:t xml:space="preserve"> </w:t>
      </w:r>
      <w:r>
        <w:rPr>
          <w:sz w:val="24"/>
        </w:rPr>
        <w:t>payment</w:t>
      </w:r>
      <w:r>
        <w:rPr>
          <w:spacing w:val="-4"/>
          <w:sz w:val="24"/>
        </w:rPr>
        <w:t xml:space="preserve"> </w:t>
      </w:r>
      <w:r>
        <w:rPr>
          <w:sz w:val="24"/>
        </w:rPr>
        <w:t>(contract) year raw risk scores.</w:t>
      </w:r>
    </w:p>
    <w:p>
      <w:pPr>
        <w:spacing w:after="0" w:line="240" w:lineRule="auto"/>
        <w:jc w:val="left"/>
        <w:rPr>
          <w:sz w:val="24"/>
        </w:rPr>
        <w:sectPr>
          <w:headerReference w:type="default" r:id="rId45"/>
          <w:footerReference w:type="default" r:id="rId46"/>
          <w:pgSz w:w="12240" w:h="15840"/>
          <w:pgMar w:top="1340" w:right="1000" w:bottom="940" w:left="1360" w:header="727" w:footer="747"/>
          <w:cols w:space="720"/>
        </w:sectPr>
      </w:pPr>
    </w:p>
    <w:p>
      <w:pPr>
        <w:pStyle w:val="BodyText"/>
        <w:spacing w:before="7"/>
        <w:ind w:left="0"/>
        <w:rPr>
          <w:sz w:val="3"/>
        </w:rPr>
      </w:pPr>
    </w:p>
    <w:p>
      <w:pPr>
        <w:pStyle w:val="BodyText"/>
        <w:spacing w:before="0" w:line="20" w:lineRule="exact"/>
        <w:ind w:left="195"/>
        <w:rPr>
          <w:sz w:val="2"/>
        </w:rPr>
      </w:pPr>
      <w:r>
        <w:rPr>
          <w:sz w:val="2"/>
        </w:rPr>
        <mc:AlternateContent>
          <mc:Choice Requires="wpg">
            <w:drawing>
              <wp:inline distT="0" distB="0" distL="0" distR="0">
                <wp:extent cx="5889625" cy="6350"/>
                <wp:effectExtent l="0" t="0" r="0" b="0"/>
                <wp:docPr id="6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5889625" cy="6350"/>
                          <a:chOff x="0" y="0"/>
                          <a:chExt cx="5889625" cy="6350"/>
                        </a:xfrm>
                      </wpg:grpSpPr>
                      <wps:wsp xmlns:wps="http://schemas.microsoft.com/office/word/2010/wordprocessingShape">
                        <wps:cNvPr id="70" name="Graphic 70"/>
                        <wps:cNvSpPr/>
                        <wps:spPr>
                          <a:xfrm>
                            <a:off x="0" y="0"/>
                            <a:ext cx="5889625" cy="6350"/>
                          </a:xfrm>
                          <a:custGeom>
                            <a:avLst/>
                            <a:gdLst/>
                            <a:rect l="l" t="t" r="r" b="b"/>
                            <a:pathLst>
                              <a:path fill="norm" h="6350" w="5889625" stroke="1">
                                <a:moveTo>
                                  <a:pt x="5889625" y="0"/>
                                </a:moveTo>
                                <a:lnTo>
                                  <a:pt x="0" y="0"/>
                                </a:lnTo>
                                <a:lnTo>
                                  <a:pt x="0" y="6096"/>
                                </a:lnTo>
                                <a:lnTo>
                                  <a:pt x="5889625" y="6096"/>
                                </a:lnTo>
                                <a:lnTo>
                                  <a:pt x="5889625"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40" style="width:463.75pt;height:0.5pt;mso-position-horizontal-relative:char;mso-position-vertical-relative:line" coordorigin="0,0" coordsize="9275,10">
                <v:rect id="_x0000_s1041" style="width:9275;height:10;position:absolute" filled="t" fillcolor="black" stroked="f">
                  <v:fill type="solid"/>
                </v:rect>
                <w10:wrap type="none"/>
              </v:group>
            </w:pict>
          </mc:Fallback>
        </mc:AlternateContent>
      </w:r>
    </w:p>
    <w:p>
      <w:pPr>
        <w:pStyle w:val="BodyText"/>
        <w:spacing w:before="8"/>
        <w:ind w:left="224" w:right="483"/>
      </w:pPr>
      <w:r>
        <mc:AlternateContent>
          <mc:Choice Requires="wps">
            <w:drawing>
              <wp:anchor distT="0" distB="0" distL="0" distR="0" simplePos="0" relativeHeight="251670528" behindDoc="1" locked="0" layoutInCell="1" allowOverlap="1">
                <wp:simplePos x="0" y="0"/>
                <wp:positionH relativeFrom="page">
                  <wp:posOffset>987856</wp:posOffset>
                </wp:positionH>
                <wp:positionV relativeFrom="paragraph">
                  <wp:posOffset>1587366</wp:posOffset>
                </wp:positionV>
                <wp:extent cx="5889625" cy="6350"/>
                <wp:effectExtent l="0" t="0" r="0" b="0"/>
                <wp:wrapTopAndBottom/>
                <wp:docPr id="71" name="Graphic 71"/>
                <wp:cNvGraphicFramePr/>
                <a:graphic xmlns:a="http://schemas.openxmlformats.org/drawingml/2006/main">
                  <a:graphicData uri="http://schemas.microsoft.com/office/word/2010/wordprocessingShape">
                    <wps:wsp xmlns:wps="http://schemas.microsoft.com/office/word/2010/wordprocessingShape">
                      <wps:cNvSpPr/>
                      <wps:spPr>
                        <a:xfrm>
                          <a:off x="0" y="0"/>
                          <a:ext cx="5889625" cy="6350"/>
                        </a:xfrm>
                        <a:custGeom>
                          <a:avLst/>
                          <a:gdLst/>
                          <a:rect l="l" t="t" r="r" b="b"/>
                          <a:pathLst>
                            <a:path fill="norm" h="6350" w="5889625" stroke="1">
                              <a:moveTo>
                                <a:pt x="5889625" y="0"/>
                              </a:moveTo>
                              <a:lnTo>
                                <a:pt x="0" y="0"/>
                              </a:lnTo>
                              <a:lnTo>
                                <a:pt x="0" y="6096"/>
                              </a:lnTo>
                              <a:lnTo>
                                <a:pt x="5889625" y="6096"/>
                              </a:lnTo>
                              <a:lnTo>
                                <a:pt x="5889625"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42" style="width:463.75pt;height:0.48pt;margin-top:124.99pt;margin-left:77.78pt;mso-position-horizontal-relative:page;mso-wrap-distance-left:0;mso-wrap-distance-right:0;position:absolute;z-index:-251644928" filled="t" fillcolor="black" stroked="f">
                <v:fill type="solid"/>
                <w10:wrap type="topAndBottom"/>
              </v:rect>
            </w:pict>
          </mc:Fallback>
        </mc:AlternateContent>
      </w:r>
      <w:r>
        <w:t>According to the Paperwork Reduction Act of 1995, no persons are required to respond to a collection of information unless it displays a valid OMB control number. The valid OMB control</w:t>
      </w:r>
      <w:r>
        <w:rPr>
          <w:spacing w:val="-3"/>
        </w:rPr>
        <w:t xml:space="preserve"> </w:t>
      </w:r>
      <w:r>
        <w:t>number</w:t>
      </w:r>
      <w:r>
        <w:rPr>
          <w:spacing w:val="-3"/>
        </w:rPr>
        <w:t xml:space="preserve"> </w:t>
      </w:r>
      <w:r>
        <w:t>for</w:t>
      </w:r>
      <w:r>
        <w:rPr>
          <w:spacing w:val="-3"/>
        </w:rPr>
        <w:t xml:space="preserve"> </w:t>
      </w:r>
      <w:r>
        <w:t>this</w:t>
      </w:r>
      <w:r>
        <w:rPr>
          <w:spacing w:val="-3"/>
        </w:rPr>
        <w:t xml:space="preserve"> </w:t>
      </w:r>
      <w:r>
        <w:t>information</w:t>
      </w:r>
      <w:r>
        <w:rPr>
          <w:spacing w:val="-3"/>
        </w:rPr>
        <w:t xml:space="preserve"> </w:t>
      </w:r>
      <w:r>
        <w:t>collection</w:t>
      </w:r>
      <w:r>
        <w:rPr>
          <w:spacing w:val="-3"/>
        </w:rPr>
        <w:t xml:space="preserve"> </w:t>
      </w:r>
      <w:r>
        <w:t>is</w:t>
      </w:r>
      <w:r>
        <w:rPr>
          <w:spacing w:val="-3"/>
        </w:rPr>
        <w:t xml:space="preserve"> </w:t>
      </w:r>
      <w:r>
        <w:t>0938-0944.</w:t>
      </w:r>
      <w:r>
        <w:rPr>
          <w:spacing w:val="-3"/>
        </w:rPr>
        <w:t xml:space="preserve"> </w:t>
      </w:r>
      <w:r>
        <w:t>The</w:t>
      </w:r>
      <w:r>
        <w:rPr>
          <w:spacing w:val="-5"/>
        </w:rPr>
        <w:t xml:space="preserve"> </w:t>
      </w:r>
      <w:r>
        <w:t>time</w:t>
      </w:r>
      <w:r>
        <w:rPr>
          <w:spacing w:val="-3"/>
        </w:rPr>
        <w:t xml:space="preserve"> </w:t>
      </w:r>
      <w:r>
        <w:t>required</w:t>
      </w:r>
      <w:r>
        <w:rPr>
          <w:spacing w:val="-3"/>
        </w:rPr>
        <w:t xml:space="preserve"> </w:t>
      </w:r>
      <w:r>
        <w:t>to</w:t>
      </w:r>
      <w:r>
        <w:rPr>
          <w:spacing w:val="-3"/>
        </w:rPr>
        <w:t xml:space="preserve"> </w:t>
      </w:r>
      <w:r>
        <w:t>complete</w:t>
      </w:r>
      <w:r>
        <w:rPr>
          <w:spacing w:val="-4"/>
        </w:rPr>
        <w:t xml:space="preserve"> </w:t>
      </w:r>
      <w:r>
        <w:t xml:space="preserve">this information collection is estimated to average 12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w:t>
      </w:r>
      <w:r>
        <w:rPr>
          <w:spacing w:val="-2"/>
        </w:rPr>
        <w:t>21244-1850.</w:t>
      </w:r>
    </w:p>
    <w:sectPr>
      <w:headerReference w:type="default" r:id="rId47"/>
      <w:footerReference w:type="default" r:id="rId48"/>
      <w:pgSz w:w="12240" w:h="15840"/>
      <w:pgMar w:top="1480" w:right="1000" w:bottom="940" w:left="1360" w:header="0" w:footer="74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Cambria Math">
    <w:altName w:val="Cambria Math"/>
    <w:charset w:val="00"/>
    <w:family w:val="roman"/>
    <w:pitch w:val="variable"/>
  </w:font>
  <w:font w:name="Wingdings">
    <w:altName w:val="Wingdings"/>
    <w:charset w:val="02"/>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58240" behindDoc="1" locked="0" layoutInCell="1" allowOverlap="1">
              <wp:simplePos x="0" y="0"/>
              <wp:positionH relativeFrom="page">
                <wp:posOffset>993444</wp:posOffset>
              </wp:positionH>
              <wp:positionV relativeFrom="page">
                <wp:posOffset>9406629</wp:posOffset>
              </wp:positionV>
              <wp:extent cx="702310" cy="16700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02310" cy="167005"/>
                      </a:xfrm>
                      <a:prstGeom prst="rect">
                        <a:avLst/>
                      </a:prstGeom>
                    </wps:spPr>
                    <wps:txbx>
                      <w:txbxContent>
                        <w:p>
                          <w:pPr>
                            <w:spacing w:before="12"/>
                            <w:ind w:left="20" w:right="0" w:firstLine="0"/>
                            <w:jc w:val="left"/>
                            <w:rPr>
                              <w:rFonts w:ascii="Arial"/>
                              <w:sz w:val="20"/>
                            </w:rPr>
                          </w:pPr>
                          <w:r>
                            <w:rPr>
                              <w:rFonts w:ascii="Arial"/>
                              <w:spacing w:val="-2"/>
                              <w:sz w:val="20"/>
                            </w:rPr>
                            <w:t>CMS-10142</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55.3pt;height:13.15pt;margin-top:740.68pt;margin-left:78.22pt;mso-position-horizontal-relative:page;mso-position-vertical-relative:page;position:absolute;z-index:-251657216" filled="f" stroked="f">
              <v:textbox inset="0,0,0,0">
                <w:txbxContent>
                  <w:p>
                    <w:pPr>
                      <w:spacing w:before="12"/>
                      <w:ind w:left="20" w:right="0" w:firstLine="0"/>
                      <w:jc w:val="left"/>
                      <w:rPr>
                        <w:rFonts w:ascii="Arial"/>
                        <w:sz w:val="20"/>
                      </w:rPr>
                    </w:pPr>
                    <w:r>
                      <w:rPr>
                        <w:rFonts w:ascii="Arial"/>
                        <w:spacing w:val="-2"/>
                        <w:sz w:val="20"/>
                      </w:rPr>
                      <w:t>CMS-10142</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93056" behindDoc="1" locked="0" layoutInCell="1" allowOverlap="1">
              <wp:simplePos x="0" y="0"/>
              <wp:positionH relativeFrom="page">
                <wp:posOffset>1130604</wp:posOffset>
              </wp:positionH>
              <wp:positionV relativeFrom="page">
                <wp:posOffset>9352862</wp:posOffset>
              </wp:positionV>
              <wp:extent cx="1796414" cy="173990"/>
              <wp:effectExtent l="0" t="0" r="0" b="0"/>
              <wp:wrapNone/>
              <wp:docPr id="40" name="Text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4" type="#_x0000_t202" style="width:141.45pt;height:13.7pt;margin-top:736.45pt;margin-left:89.02pt;mso-position-horizontal-relative:page;mso-position-vertical-relative:page;position:absolute;z-index:-251622400"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95104" behindDoc="1" locked="0" layoutInCell="1" allowOverlap="1">
              <wp:simplePos x="0" y="0"/>
              <wp:positionH relativeFrom="page">
                <wp:posOffset>5880353</wp:posOffset>
              </wp:positionH>
              <wp:positionV relativeFrom="page">
                <wp:posOffset>9352862</wp:posOffset>
              </wp:positionV>
              <wp:extent cx="764540" cy="173990"/>
              <wp:effectExtent l="0" t="0" r="0" b="0"/>
              <wp:wrapNone/>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45</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75" type="#_x0000_t202" style="width:60.2pt;height:13.7pt;margin-top:736.45pt;margin-left:463.02pt;mso-position-horizontal-relative:page;mso-position-vertical-relative:page;position:absolute;z-index:-251620352"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45</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97152" behindDoc="1" locked="0" layoutInCell="1" allowOverlap="1">
              <wp:simplePos x="0" y="0"/>
              <wp:positionH relativeFrom="page">
                <wp:posOffset>1130604</wp:posOffset>
              </wp:positionH>
              <wp:positionV relativeFrom="page">
                <wp:posOffset>9352862</wp:posOffset>
              </wp:positionV>
              <wp:extent cx="1796414" cy="173990"/>
              <wp:effectExtent l="0" t="0" r="0" b="0"/>
              <wp:wrapNone/>
              <wp:docPr id="43" name="Text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7" type="#_x0000_t202" style="width:141.45pt;height:13.7pt;margin-top:736.45pt;margin-left:89.02pt;mso-position-horizontal-relative:page;mso-position-vertical-relative:page;position:absolute;z-index:-251618304"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99200" behindDoc="1" locked="0" layoutInCell="1" allowOverlap="1">
              <wp:simplePos x="0" y="0"/>
              <wp:positionH relativeFrom="page">
                <wp:posOffset>5880353</wp:posOffset>
              </wp:positionH>
              <wp:positionV relativeFrom="page">
                <wp:posOffset>9352862</wp:posOffset>
              </wp:positionV>
              <wp:extent cx="764540" cy="173990"/>
              <wp:effectExtent l="0" t="0" r="0" b="0"/>
              <wp:wrapNone/>
              <wp:docPr id="44" name="Text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48</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78" type="#_x0000_t202" style="width:60.2pt;height:13.7pt;margin-top:736.45pt;margin-left:463.02pt;mso-position-horizontal-relative:page;mso-position-vertical-relative:page;position:absolute;z-index:-251616256"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48</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01248" behindDoc="1" locked="0" layoutInCell="1" allowOverlap="1">
              <wp:simplePos x="0" y="0"/>
              <wp:positionH relativeFrom="page">
                <wp:posOffset>993444</wp:posOffset>
              </wp:positionH>
              <wp:positionV relativeFrom="page">
                <wp:posOffset>9444302</wp:posOffset>
              </wp:positionV>
              <wp:extent cx="1796414" cy="173990"/>
              <wp:effectExtent l="0" t="0" r="0" b="0"/>
              <wp:wrapNone/>
              <wp:docPr id="46" name="Text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0" type="#_x0000_t202" style="width:141.45pt;height:13.7pt;margin-top:743.65pt;margin-left:78.22pt;mso-position-horizontal-relative:page;mso-position-vertical-relative:page;position:absolute;z-index:-251614208"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03296" behindDoc="1" locked="0" layoutInCell="1" allowOverlap="1">
              <wp:simplePos x="0" y="0"/>
              <wp:positionH relativeFrom="page">
                <wp:posOffset>5915405</wp:posOffset>
              </wp:positionH>
              <wp:positionV relativeFrom="page">
                <wp:posOffset>9444302</wp:posOffset>
              </wp:positionV>
              <wp:extent cx="764540" cy="173990"/>
              <wp:effectExtent l="0" t="0" r="0" b="0"/>
              <wp:wrapNone/>
              <wp:docPr id="47" name="Text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53</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81" type="#_x0000_t202" style="width:60.2pt;height:13.7pt;margin-top:743.65pt;margin-left:465.78pt;mso-position-horizontal-relative:page;mso-position-vertical-relative:page;position:absolute;z-index:-251612160"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53</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05344" behindDoc="1" locked="0" layoutInCell="1" allowOverlap="1">
              <wp:simplePos x="0" y="0"/>
              <wp:positionH relativeFrom="page">
                <wp:posOffset>993444</wp:posOffset>
              </wp:positionH>
              <wp:positionV relativeFrom="page">
                <wp:posOffset>9444302</wp:posOffset>
              </wp:positionV>
              <wp:extent cx="1796414" cy="173990"/>
              <wp:effectExtent l="0" t="0" r="0" b="0"/>
              <wp:wrapNone/>
              <wp:docPr id="49" name="Text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3" type="#_x0000_t202" style="width:141.45pt;height:13.7pt;margin-top:743.65pt;margin-left:78.22pt;mso-position-horizontal-relative:page;mso-position-vertical-relative:page;position:absolute;z-index:-251610112"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07392" behindDoc="1" locked="0" layoutInCell="1" allowOverlap="1">
              <wp:simplePos x="0" y="0"/>
              <wp:positionH relativeFrom="page">
                <wp:posOffset>5915405</wp:posOffset>
              </wp:positionH>
              <wp:positionV relativeFrom="page">
                <wp:posOffset>9444302</wp:posOffset>
              </wp:positionV>
              <wp:extent cx="764540" cy="173990"/>
              <wp:effectExtent l="0" t="0" r="0" b="0"/>
              <wp:wrapNone/>
              <wp:docPr id="50" name="Text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56</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84" type="#_x0000_t202" style="width:60.2pt;height:13.7pt;margin-top:743.65pt;margin-left:465.78pt;mso-position-horizontal-relative:page;mso-position-vertical-relative:page;position:absolute;z-index:-251608064"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56</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09440" behindDoc="1" locked="0" layoutInCell="1" allowOverlap="1">
              <wp:simplePos x="0" y="0"/>
              <wp:positionH relativeFrom="page">
                <wp:posOffset>993444</wp:posOffset>
              </wp:positionH>
              <wp:positionV relativeFrom="page">
                <wp:posOffset>9444302</wp:posOffset>
              </wp:positionV>
              <wp:extent cx="1796414" cy="173990"/>
              <wp:effectExtent l="0" t="0" r="0" b="0"/>
              <wp:wrapNone/>
              <wp:docPr id="53" name="Text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6" type="#_x0000_t202" style="width:141.45pt;height:13.7pt;margin-top:743.65pt;margin-left:78.22pt;mso-position-horizontal-relative:page;mso-position-vertical-relative:page;position:absolute;z-index:-251606016"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11488" behindDoc="1" locked="0" layoutInCell="1" allowOverlap="1">
              <wp:simplePos x="0" y="0"/>
              <wp:positionH relativeFrom="page">
                <wp:posOffset>5915405</wp:posOffset>
              </wp:positionH>
              <wp:positionV relativeFrom="page">
                <wp:posOffset>9444302</wp:posOffset>
              </wp:positionV>
              <wp:extent cx="764540" cy="173990"/>
              <wp:effectExtent l="0" t="0" r="0" b="0"/>
              <wp:wrapNone/>
              <wp:docPr id="54" name="Text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58</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87" type="#_x0000_t202" style="width:60.2pt;height:13.7pt;margin-top:743.65pt;margin-left:465.78pt;mso-position-horizontal-relative:page;mso-position-vertical-relative:page;position:absolute;z-index:-251603968"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58</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13536" behindDoc="1" locked="0" layoutInCell="1" allowOverlap="1">
              <wp:simplePos x="0" y="0"/>
              <wp:positionH relativeFrom="page">
                <wp:posOffset>993444</wp:posOffset>
              </wp:positionH>
              <wp:positionV relativeFrom="page">
                <wp:posOffset>9444302</wp:posOffset>
              </wp:positionV>
              <wp:extent cx="1796414" cy="173990"/>
              <wp:effectExtent l="0" t="0" r="0" b="0"/>
              <wp:wrapNone/>
              <wp:docPr id="56" name="Text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9" type="#_x0000_t202" style="width:141.45pt;height:13.7pt;margin-top:743.65pt;margin-left:78.22pt;mso-position-horizontal-relative:page;mso-position-vertical-relative:page;position:absolute;z-index:-251601920"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15584" behindDoc="1" locked="0" layoutInCell="1" allowOverlap="1">
              <wp:simplePos x="0" y="0"/>
              <wp:positionH relativeFrom="page">
                <wp:posOffset>5915405</wp:posOffset>
              </wp:positionH>
              <wp:positionV relativeFrom="page">
                <wp:posOffset>9444302</wp:posOffset>
              </wp:positionV>
              <wp:extent cx="764540" cy="173990"/>
              <wp:effectExtent l="0" t="0" r="0" b="0"/>
              <wp:wrapNone/>
              <wp:docPr id="57" name="Text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73</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90" type="#_x0000_t202" style="width:60.2pt;height:13.7pt;margin-top:743.65pt;margin-left:465.78pt;mso-position-horizontal-relative:page;mso-position-vertical-relative:page;position:absolute;z-index:-251599872"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73</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17632" behindDoc="1" locked="0" layoutInCell="1" allowOverlap="1">
              <wp:simplePos x="0" y="0"/>
              <wp:positionH relativeFrom="page">
                <wp:posOffset>993444</wp:posOffset>
              </wp:positionH>
              <wp:positionV relativeFrom="page">
                <wp:posOffset>9444302</wp:posOffset>
              </wp:positionV>
              <wp:extent cx="1796414" cy="173990"/>
              <wp:effectExtent l="0" t="0" r="0" b="0"/>
              <wp:wrapNone/>
              <wp:docPr id="59" name="Textbox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2" type="#_x0000_t202" style="width:141.45pt;height:13.7pt;margin-top:743.65pt;margin-left:78.22pt;mso-position-horizontal-relative:page;mso-position-vertical-relative:page;position:absolute;z-index:-251597824"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19680" behindDoc="1" locked="0" layoutInCell="1" allowOverlap="1">
              <wp:simplePos x="0" y="0"/>
              <wp:positionH relativeFrom="page">
                <wp:posOffset>5915405</wp:posOffset>
              </wp:positionH>
              <wp:positionV relativeFrom="page">
                <wp:posOffset>9444302</wp:posOffset>
              </wp:positionV>
              <wp:extent cx="764540" cy="173990"/>
              <wp:effectExtent l="0" t="0" r="0" b="0"/>
              <wp:wrapNone/>
              <wp:docPr id="60" name="Text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74</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93" type="#_x0000_t202" style="width:60.2pt;height:13.7pt;margin-top:743.65pt;margin-left:465.78pt;mso-position-horizontal-relative:page;mso-position-vertical-relative:page;position:absolute;z-index:-251595776"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74</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21728" behindDoc="1" locked="0" layoutInCell="1" allowOverlap="1">
              <wp:simplePos x="0" y="0"/>
              <wp:positionH relativeFrom="page">
                <wp:posOffset>993444</wp:posOffset>
              </wp:positionH>
              <wp:positionV relativeFrom="page">
                <wp:posOffset>9444302</wp:posOffset>
              </wp:positionV>
              <wp:extent cx="1796414" cy="173990"/>
              <wp:effectExtent l="0" t="0" r="0" b="0"/>
              <wp:wrapNone/>
              <wp:docPr id="62" name="Textbox 6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5" type="#_x0000_t202" style="width:141.45pt;height:13.7pt;margin-top:743.65pt;margin-left:78.22pt;mso-position-horizontal-relative:page;mso-position-vertical-relative:page;position:absolute;z-index:-251593728"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23776" behindDoc="1" locked="0" layoutInCell="1" allowOverlap="1">
              <wp:simplePos x="0" y="0"/>
              <wp:positionH relativeFrom="page">
                <wp:posOffset>5915405</wp:posOffset>
              </wp:positionH>
              <wp:positionV relativeFrom="page">
                <wp:posOffset>9444302</wp:posOffset>
              </wp:positionV>
              <wp:extent cx="764540" cy="173990"/>
              <wp:effectExtent l="0" t="0" r="0" b="0"/>
              <wp:wrapNone/>
              <wp:docPr id="63" name="Textbox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75</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96" type="#_x0000_t202" style="width:60.2pt;height:13.7pt;margin-top:743.65pt;margin-left:465.78pt;mso-position-horizontal-relative:page;mso-position-vertical-relative:page;position:absolute;z-index:-251591680"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75</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25824" behindDoc="1" locked="0" layoutInCell="1" allowOverlap="1">
              <wp:simplePos x="0" y="0"/>
              <wp:positionH relativeFrom="page">
                <wp:posOffset>993444</wp:posOffset>
              </wp:positionH>
              <wp:positionV relativeFrom="page">
                <wp:posOffset>9444302</wp:posOffset>
              </wp:positionV>
              <wp:extent cx="1796414" cy="173990"/>
              <wp:effectExtent l="0" t="0" r="0" b="0"/>
              <wp:wrapNone/>
              <wp:docPr id="65" name="Textbox 65"/>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8" type="#_x0000_t202" style="width:141.45pt;height:13.7pt;margin-top:743.65pt;margin-left:78.22pt;mso-position-horizontal-relative:page;mso-position-vertical-relative:page;position:absolute;z-index:-251589632"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27872" behindDoc="1" locked="0" layoutInCell="1" allowOverlap="1">
              <wp:simplePos x="0" y="0"/>
              <wp:positionH relativeFrom="page">
                <wp:posOffset>5915405</wp:posOffset>
              </wp:positionH>
              <wp:positionV relativeFrom="page">
                <wp:posOffset>9444302</wp:posOffset>
              </wp:positionV>
              <wp:extent cx="764540" cy="173990"/>
              <wp:effectExtent l="0" t="0" r="0" b="0"/>
              <wp:wrapNone/>
              <wp:docPr id="66" name="Textbox 66"/>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77</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99" type="#_x0000_t202" style="width:60.2pt;height:13.7pt;margin-top:743.65pt;margin-left:465.78pt;mso-position-horizontal-relative:page;mso-position-vertical-relative:page;position:absolute;z-index:-251587584"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77</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729920" behindDoc="1" locked="0" layoutInCell="1" allowOverlap="1">
              <wp:simplePos x="0" y="0"/>
              <wp:positionH relativeFrom="page">
                <wp:posOffset>993444</wp:posOffset>
              </wp:positionH>
              <wp:positionV relativeFrom="page">
                <wp:posOffset>9444302</wp:posOffset>
              </wp:positionV>
              <wp:extent cx="1796414" cy="173990"/>
              <wp:effectExtent l="0" t="0" r="0" b="0"/>
              <wp:wrapNone/>
              <wp:docPr id="67" name="Textbox 67"/>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100" type="#_x0000_t202" style="width:141.45pt;height:13.7pt;margin-top:743.65pt;margin-left:78.22pt;mso-position-horizontal-relative:page;mso-position-vertical-relative:page;position:absolute;z-index:-251585536"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731968" behindDoc="1" locked="0" layoutInCell="1" allowOverlap="1">
              <wp:simplePos x="0" y="0"/>
              <wp:positionH relativeFrom="page">
                <wp:posOffset>5915405</wp:posOffset>
              </wp:positionH>
              <wp:positionV relativeFrom="page">
                <wp:posOffset>9444302</wp:posOffset>
              </wp:positionV>
              <wp:extent cx="764540" cy="173990"/>
              <wp:effectExtent l="0" t="0" r="0" b="0"/>
              <wp:wrapNone/>
              <wp:docPr id="68" name="Textbox 68"/>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78</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101" type="#_x0000_t202" style="width:60.2pt;height:13.7pt;margin-top:743.65pt;margin-left:465.78pt;mso-position-horizontal-relative:page;mso-position-vertical-relative:page;position:absolute;z-index:-251583488"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78</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0288" behindDoc="1" locked="0" layoutInCell="1" allowOverlap="1">
              <wp:simplePos x="0" y="0"/>
              <wp:positionH relativeFrom="page">
                <wp:posOffset>993444</wp:posOffset>
              </wp:positionH>
              <wp:positionV relativeFrom="page">
                <wp:posOffset>9444302</wp:posOffset>
              </wp:positionV>
              <wp:extent cx="1796414" cy="17399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0" type="#_x0000_t202" style="width:141.45pt;height:13.7pt;margin-top:743.65pt;margin-left:78.22pt;mso-position-horizontal-relative:page;mso-position-vertical-relative:page;position:absolute;z-index:-251655168"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62336" behindDoc="1" locked="0" layoutInCell="1" allowOverlap="1">
              <wp:simplePos x="0" y="0"/>
              <wp:positionH relativeFrom="page">
                <wp:posOffset>5982461</wp:posOffset>
              </wp:positionH>
              <wp:positionV relativeFrom="page">
                <wp:posOffset>9444302</wp:posOffset>
              </wp:positionV>
              <wp:extent cx="697865" cy="173990"/>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7865"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2</w:t>
                          </w:r>
                          <w:r>
                            <w:rPr>
                              <w:sz w:val="21"/>
                            </w:rPr>
                            <w:fldChar w:fldCharType="end"/>
                          </w:r>
                          <w:r>
                            <w:rPr>
                              <w:spacing w:val="-3"/>
                              <w:sz w:val="21"/>
                            </w:rPr>
                            <w:t xml:space="preserve"> </w:t>
                          </w:r>
                          <w:r>
                            <w:rPr>
                              <w:sz w:val="21"/>
                            </w:rPr>
                            <w:t>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51" type="#_x0000_t202" style="width:54.95pt;height:13.7pt;margin-top:743.65pt;margin-left:471.06pt;mso-position-horizontal-relative:page;mso-position-vertical-relative:page;position:absolute;z-index:-251653120"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2</w:t>
                    </w:r>
                    <w:r>
                      <w:rPr>
                        <w:sz w:val="21"/>
                      </w:rPr>
                      <w:fldChar w:fldCharType="end"/>
                    </w:r>
                    <w:r>
                      <w:rPr>
                        <w:spacing w:val="-3"/>
                        <w:sz w:val="21"/>
                      </w:rPr>
                      <w:t xml:space="preserve"> </w:t>
                    </w:r>
                    <w:r>
                      <w:rPr>
                        <w:sz w:val="21"/>
                      </w:rPr>
                      <w:t>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4384" behindDoc="1" locked="0" layoutInCell="1" allowOverlap="1">
              <wp:simplePos x="0" y="0"/>
              <wp:positionH relativeFrom="page">
                <wp:posOffset>993444</wp:posOffset>
              </wp:positionH>
              <wp:positionV relativeFrom="page">
                <wp:posOffset>9444302</wp:posOffset>
              </wp:positionV>
              <wp:extent cx="1796414" cy="173990"/>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3" type="#_x0000_t202" style="width:141.45pt;height:13.7pt;margin-top:743.65pt;margin-left:78.22pt;mso-position-horizontal-relative:page;mso-position-vertical-relative:page;position:absolute;z-index:-251651072"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66432" behindDoc="1" locked="0" layoutInCell="1" allowOverlap="1">
              <wp:simplePos x="0" y="0"/>
              <wp:positionH relativeFrom="page">
                <wp:posOffset>5982461</wp:posOffset>
              </wp:positionH>
              <wp:positionV relativeFrom="page">
                <wp:posOffset>9444302</wp:posOffset>
              </wp:positionV>
              <wp:extent cx="697865" cy="17399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97865"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4</w:t>
                          </w:r>
                          <w:r>
                            <w:rPr>
                              <w:sz w:val="21"/>
                            </w:rPr>
                            <w:fldChar w:fldCharType="end"/>
                          </w:r>
                          <w:r>
                            <w:rPr>
                              <w:spacing w:val="-3"/>
                              <w:sz w:val="21"/>
                            </w:rPr>
                            <w:t xml:space="preserve"> </w:t>
                          </w:r>
                          <w:r>
                            <w:rPr>
                              <w:sz w:val="21"/>
                            </w:rPr>
                            <w:t>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54" type="#_x0000_t202" style="width:54.95pt;height:13.7pt;margin-top:743.65pt;margin-left:471.06pt;mso-position-horizontal-relative:page;mso-position-vertical-relative:page;position:absolute;z-index:-251649024"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4</w:t>
                    </w:r>
                    <w:r>
                      <w:rPr>
                        <w:sz w:val="21"/>
                      </w:rPr>
                      <w:fldChar w:fldCharType="end"/>
                    </w:r>
                    <w:r>
                      <w:rPr>
                        <w:spacing w:val="-3"/>
                        <w:sz w:val="21"/>
                      </w:rPr>
                      <w:t xml:space="preserve"> </w:t>
                    </w:r>
                    <w:r>
                      <w:rPr>
                        <w:sz w:val="21"/>
                      </w:rPr>
                      <w:t>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8480" behindDoc="1" locked="0" layoutInCell="1" allowOverlap="1">
              <wp:simplePos x="0" y="0"/>
              <wp:positionH relativeFrom="page">
                <wp:posOffset>993444</wp:posOffset>
              </wp:positionH>
              <wp:positionV relativeFrom="page">
                <wp:posOffset>9444302</wp:posOffset>
              </wp:positionV>
              <wp:extent cx="1796414" cy="17399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6" type="#_x0000_t202" style="width:141.45pt;height:13.7pt;margin-top:743.65pt;margin-left:78.22pt;mso-position-horizontal-relative:page;mso-position-vertical-relative:page;position:absolute;z-index:-251646976"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70528" behindDoc="1" locked="0" layoutInCell="1" allowOverlap="1">
              <wp:simplePos x="0" y="0"/>
              <wp:positionH relativeFrom="page">
                <wp:posOffset>5915405</wp:posOffset>
              </wp:positionH>
              <wp:positionV relativeFrom="page">
                <wp:posOffset>9444302</wp:posOffset>
              </wp:positionV>
              <wp:extent cx="764540" cy="17399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10</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57" type="#_x0000_t202" style="width:60.2pt;height:13.7pt;margin-top:743.65pt;margin-left:465.78pt;mso-position-horizontal-relative:page;mso-position-vertical-relative:page;position:absolute;z-index:-251644928"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10</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2576" behindDoc="1" locked="0" layoutInCell="1" allowOverlap="1">
              <wp:simplePos x="0" y="0"/>
              <wp:positionH relativeFrom="page">
                <wp:posOffset>993444</wp:posOffset>
              </wp:positionH>
              <wp:positionV relativeFrom="page">
                <wp:posOffset>9444302</wp:posOffset>
              </wp:positionV>
              <wp:extent cx="1796414" cy="173990"/>
              <wp:effectExtent l="0" t="0" r="0" b="0"/>
              <wp:wrapNone/>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9" type="#_x0000_t202" style="width:141.45pt;height:13.7pt;margin-top:743.65pt;margin-left:78.22pt;mso-position-horizontal-relative:page;mso-position-vertical-relative:page;position:absolute;z-index:-251642880"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74624" behindDoc="1" locked="0" layoutInCell="1" allowOverlap="1">
              <wp:simplePos x="0" y="0"/>
              <wp:positionH relativeFrom="page">
                <wp:posOffset>5915405</wp:posOffset>
              </wp:positionH>
              <wp:positionV relativeFrom="page">
                <wp:posOffset>9444302</wp:posOffset>
              </wp:positionV>
              <wp:extent cx="764540" cy="173990"/>
              <wp:effectExtent l="0" t="0" r="0" b="0"/>
              <wp:wrapNone/>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21</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60" type="#_x0000_t202" style="width:60.2pt;height:13.7pt;margin-top:743.65pt;margin-left:465.78pt;mso-position-horizontal-relative:page;mso-position-vertical-relative:page;position:absolute;z-index:-251640832"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21</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6672" behindDoc="1" locked="0" layoutInCell="1" allowOverlap="1">
              <wp:simplePos x="0" y="0"/>
              <wp:positionH relativeFrom="page">
                <wp:posOffset>1130604</wp:posOffset>
              </wp:positionH>
              <wp:positionV relativeFrom="page">
                <wp:posOffset>9352862</wp:posOffset>
              </wp:positionV>
              <wp:extent cx="1796414" cy="173990"/>
              <wp:effectExtent l="0" t="0" r="0" b="0"/>
              <wp:wrapNone/>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2" type="#_x0000_t202" style="width:141.45pt;height:13.7pt;margin-top:736.45pt;margin-left:89.02pt;mso-position-horizontal-relative:page;mso-position-vertical-relative:page;position:absolute;z-index:-251638784"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78720" behindDoc="1" locked="0" layoutInCell="1" allowOverlap="1">
              <wp:simplePos x="0" y="0"/>
              <wp:positionH relativeFrom="page">
                <wp:posOffset>5880353</wp:posOffset>
              </wp:positionH>
              <wp:positionV relativeFrom="page">
                <wp:posOffset>9352862</wp:posOffset>
              </wp:positionV>
              <wp:extent cx="764540" cy="173990"/>
              <wp:effectExtent l="0" t="0" r="0" b="0"/>
              <wp:wrapNone/>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24</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63" type="#_x0000_t202" style="width:60.2pt;height:13.7pt;margin-top:736.45pt;margin-left:463.02pt;mso-position-horizontal-relative:page;mso-position-vertical-relative:page;position:absolute;z-index:-251636736"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24</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0768" behindDoc="1" locked="0" layoutInCell="1" allowOverlap="1">
              <wp:simplePos x="0" y="0"/>
              <wp:positionH relativeFrom="page">
                <wp:posOffset>1130604</wp:posOffset>
              </wp:positionH>
              <wp:positionV relativeFrom="page">
                <wp:posOffset>9352862</wp:posOffset>
              </wp:positionV>
              <wp:extent cx="1796414" cy="173990"/>
              <wp:effectExtent l="0" t="0" r="0" b="0"/>
              <wp:wrapNone/>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5" type="#_x0000_t202" style="width:141.45pt;height:13.7pt;margin-top:736.45pt;margin-left:89.02pt;mso-position-horizontal-relative:page;mso-position-vertical-relative:page;position:absolute;z-index:-251634688"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82816" behindDoc="1" locked="0" layoutInCell="1" allowOverlap="1">
              <wp:simplePos x="0" y="0"/>
              <wp:positionH relativeFrom="page">
                <wp:posOffset>5880353</wp:posOffset>
              </wp:positionH>
              <wp:positionV relativeFrom="page">
                <wp:posOffset>9352862</wp:posOffset>
              </wp:positionV>
              <wp:extent cx="764540" cy="173990"/>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33</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66" type="#_x0000_t202" style="width:60.2pt;height:13.7pt;margin-top:736.45pt;margin-left:463.02pt;mso-position-horizontal-relative:page;mso-position-vertical-relative:page;position:absolute;z-index:-251632640"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33</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4864" behindDoc="1" locked="0" layoutInCell="1" allowOverlap="1">
              <wp:simplePos x="0" y="0"/>
              <wp:positionH relativeFrom="page">
                <wp:posOffset>1130604</wp:posOffset>
              </wp:positionH>
              <wp:positionV relativeFrom="page">
                <wp:posOffset>9352862</wp:posOffset>
              </wp:positionV>
              <wp:extent cx="1796414" cy="173990"/>
              <wp:effectExtent l="0" t="0" r="0" b="0"/>
              <wp:wrapNone/>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8" type="#_x0000_t202" style="width:141.45pt;height:13.7pt;margin-top:736.45pt;margin-left:89.02pt;mso-position-horizontal-relative:page;mso-position-vertical-relative:page;position:absolute;z-index:-251630592"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86912" behindDoc="1" locked="0" layoutInCell="1" allowOverlap="1">
              <wp:simplePos x="0" y="0"/>
              <wp:positionH relativeFrom="page">
                <wp:posOffset>5880353</wp:posOffset>
              </wp:positionH>
              <wp:positionV relativeFrom="page">
                <wp:posOffset>9352862</wp:posOffset>
              </wp:positionV>
              <wp:extent cx="764540" cy="173990"/>
              <wp:effectExtent l="0" t="0" r="0" b="0"/>
              <wp:wrapNone/>
              <wp:docPr id="35"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39</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69" type="#_x0000_t202" style="width:60.2pt;height:13.7pt;margin-top:736.45pt;margin-left:463.02pt;mso-position-horizontal-relative:page;mso-position-vertical-relative:page;position:absolute;z-index:-251628544"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39</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8960" behindDoc="1" locked="0" layoutInCell="1" allowOverlap="1">
              <wp:simplePos x="0" y="0"/>
              <wp:positionH relativeFrom="page">
                <wp:posOffset>1130604</wp:posOffset>
              </wp:positionH>
              <wp:positionV relativeFrom="page">
                <wp:posOffset>9352862</wp:posOffset>
              </wp:positionV>
              <wp:extent cx="1796414" cy="173990"/>
              <wp:effectExtent l="0" t="0" r="0" b="0"/>
              <wp:wrapNone/>
              <wp:docPr id="37" name="Text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1796414" cy="173990"/>
                      </a:xfrm>
                      <a:prstGeom prst="rect">
                        <a:avLst/>
                      </a:prstGeom>
                    </wps:spPr>
                    <wps:txbx>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1" type="#_x0000_t202" style="width:141.45pt;height:13.7pt;margin-top:736.45pt;margin-left:89.02pt;mso-position-horizontal-relative:page;mso-position-vertical-relative:page;position:absolute;z-index:-251626496" filled="f" stroked="f">
              <v:textbox inset="0,0,0,0">
                <w:txbxContent>
                  <w:p>
                    <w:pPr>
                      <w:spacing w:before="12"/>
                      <w:ind w:left="20" w:right="0" w:firstLine="0"/>
                      <w:jc w:val="left"/>
                      <w:rPr>
                        <w:sz w:val="21"/>
                      </w:rPr>
                    </w:pPr>
                    <w:r>
                      <w:rPr>
                        <w:sz w:val="21"/>
                      </w:rPr>
                      <w:t>CY2026</w:t>
                    </w:r>
                    <w:r>
                      <w:rPr>
                        <w:spacing w:val="-5"/>
                        <w:sz w:val="21"/>
                      </w:rPr>
                      <w:t xml:space="preserve"> </w:t>
                    </w:r>
                    <w:r>
                      <w:rPr>
                        <w:sz w:val="21"/>
                      </w:rPr>
                      <w:t>Part</w:t>
                    </w:r>
                    <w:r>
                      <w:rPr>
                        <w:spacing w:val="-5"/>
                        <w:sz w:val="21"/>
                      </w:rPr>
                      <w:t xml:space="preserve"> </w:t>
                    </w:r>
                    <w:r>
                      <w:rPr>
                        <w:sz w:val="21"/>
                      </w:rPr>
                      <w:t>D BPT</w:t>
                    </w:r>
                    <w:r>
                      <w:rPr>
                        <w:spacing w:val="-1"/>
                        <w:sz w:val="21"/>
                      </w:rPr>
                      <w:t xml:space="preserve"> </w:t>
                    </w:r>
                    <w:r>
                      <w:rPr>
                        <w:spacing w:val="-2"/>
                        <w:sz w:val="21"/>
                      </w:rPr>
                      <w:t>Instructions</w:t>
                    </w:r>
                  </w:p>
                </w:txbxContent>
              </v:textbox>
            </v:shape>
          </w:pict>
        </mc:Fallback>
      </mc:AlternateContent>
    </w:r>
    <w:r>
      <mc:AlternateContent>
        <mc:Choice Requires="wps">
          <w:drawing>
            <wp:anchor distT="0" distB="0" distL="0" distR="0" simplePos="0" relativeHeight="251691008" behindDoc="1" locked="0" layoutInCell="1" allowOverlap="1">
              <wp:simplePos x="0" y="0"/>
              <wp:positionH relativeFrom="page">
                <wp:posOffset>5880353</wp:posOffset>
              </wp:positionH>
              <wp:positionV relativeFrom="page">
                <wp:posOffset>9352862</wp:posOffset>
              </wp:positionV>
              <wp:extent cx="764540" cy="173990"/>
              <wp:effectExtent l="0" t="0" r="0" b="0"/>
              <wp:wrapNone/>
              <wp:docPr id="38" name="Text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764540" cy="173990"/>
                      </a:xfrm>
                      <a:prstGeom prst="rect">
                        <a:avLst/>
                      </a:prstGeom>
                    </wps:spPr>
                    <wps:txbx>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43</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wps:txbx>
                    <wps:bodyPr wrap="square" lIns="0" tIns="0" rIns="0" bIns="0" rtlCol="0"/>
                  </wps:wsp>
                </a:graphicData>
              </a:graphic>
            </wp:anchor>
          </w:drawing>
        </mc:Choice>
        <mc:Fallback>
          <w:pict>
            <v:shape id="_x0000_s2072" type="#_x0000_t202" style="width:60.2pt;height:13.7pt;margin-top:736.45pt;margin-left:463.02pt;mso-position-horizontal-relative:page;mso-position-vertical-relative:page;position:absolute;z-index:-251624448" filled="f" stroked="f">
              <v:textbox inset="0,0,0,0">
                <w:txbxContent>
                  <w:p>
                    <w:pPr>
                      <w:spacing w:before="12"/>
                      <w:ind w:left="20" w:right="0" w:firstLine="0"/>
                      <w:jc w:val="left"/>
                      <w:rPr>
                        <w:sz w:val="21"/>
                      </w:rPr>
                    </w:pPr>
                    <w:r>
                      <w:rPr>
                        <w:sz w:val="21"/>
                      </w:rPr>
                      <w:t xml:space="preserve">Page </w:t>
                    </w:r>
                    <w:r>
                      <w:rPr>
                        <w:sz w:val="21"/>
                      </w:rPr>
                      <w:fldChar w:fldCharType="begin"/>
                    </w:r>
                    <w:r>
                      <w:rPr>
                        <w:sz w:val="21"/>
                      </w:rPr>
                      <w:instrText xml:space="preserve"> PAGE </w:instrText>
                    </w:r>
                    <w:r>
                      <w:rPr>
                        <w:sz w:val="21"/>
                      </w:rPr>
                      <w:fldChar w:fldCharType="separate"/>
                    </w:r>
                    <w:r>
                      <w:rPr>
                        <w:sz w:val="21"/>
                      </w:rPr>
                      <w:t>43</w:t>
                    </w:r>
                    <w:r>
                      <w:rPr>
                        <w:sz w:val="21"/>
                      </w:rPr>
                      <w:fldChar w:fldCharType="end"/>
                    </w:r>
                    <w:r>
                      <w:rPr>
                        <w:sz w:val="21"/>
                      </w:rPr>
                      <w:t xml:space="preserve"> of</w:t>
                    </w:r>
                    <w:r>
                      <w:rPr>
                        <w:spacing w:val="-1"/>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78</w:t>
                    </w:r>
                    <w:r>
                      <w:rPr>
                        <w:spacing w:val="-5"/>
                        <w:sz w:val="21"/>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58240" behindDoc="1" locked="0" layoutInCell="1" allowOverlap="1">
              <wp:simplePos x="0" y="0"/>
              <wp:positionH relativeFrom="page">
                <wp:posOffset>5774816</wp:posOffset>
              </wp:positionH>
              <wp:positionV relativeFrom="page">
                <wp:posOffset>448637</wp:posOffset>
              </wp:positionV>
              <wp:extent cx="1098550" cy="182245"/>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8550" cy="182245"/>
                      </a:xfrm>
                      <a:prstGeom prst="rect">
                        <a:avLst/>
                      </a:prstGeom>
                    </wps:spPr>
                    <wps:txbx>
                      <w:txbxContent>
                        <w:p>
                          <w:pPr>
                            <w:spacing w:before="13"/>
                            <w:ind w:left="20" w:right="0" w:firstLine="0"/>
                            <w:jc w:val="left"/>
                            <w:rPr>
                              <w:rFonts w:ascii="Arial"/>
                              <w:b/>
                              <w:sz w:val="22"/>
                            </w:rPr>
                          </w:pPr>
                          <w:r>
                            <w:rPr>
                              <w:rFonts w:ascii="Arial"/>
                              <w:b/>
                              <w:spacing w:val="-2"/>
                              <w:sz w:val="22"/>
                            </w:rPr>
                            <w:t>INTRODUCTION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2" type="#_x0000_t202" style="width:86.5pt;height:14.35pt;margin-top:35.33pt;margin-left:454.71pt;mso-position-horizontal-relative:page;mso-position-vertical-relative:page;position:absolute;z-index:-251657216" filled="f" stroked="f">
              <v:textbox inset="0,0,0,0">
                <w:txbxContent>
                  <w:p>
                    <w:pPr>
                      <w:spacing w:before="13"/>
                      <w:ind w:left="20" w:right="0" w:firstLine="0"/>
                      <w:jc w:val="left"/>
                      <w:rPr>
                        <w:rFonts w:ascii="Arial"/>
                        <w:b/>
                        <w:sz w:val="22"/>
                      </w:rPr>
                    </w:pPr>
                    <w:r>
                      <w:rPr>
                        <w:rFonts w:ascii="Arial"/>
                        <w:b/>
                        <w:spacing w:val="-2"/>
                        <w:sz w:val="22"/>
                      </w:rPr>
                      <w:t>INTRODUCTION</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6672" behindDoc="1" locked="0" layoutInCell="1" allowOverlap="1">
              <wp:simplePos x="0" y="0"/>
              <wp:positionH relativeFrom="page">
                <wp:posOffset>5628513</wp:posOffset>
              </wp:positionH>
              <wp:positionV relativeFrom="page">
                <wp:posOffset>448637</wp:posOffset>
              </wp:positionV>
              <wp:extent cx="1052195" cy="182245"/>
              <wp:effectExtent l="0" t="0" r="0" b="0"/>
              <wp:wrapNone/>
              <wp:docPr id="45" name="Text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2195"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7</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9" type="#_x0000_t202" style="width:82.85pt;height:14.35pt;margin-top:35.33pt;margin-left:443.19pt;mso-position-horizontal-relative:page;mso-position-vertical-relative:page;position:absolute;z-index:-251638784"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7</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8720" behindDoc="1" locked="0" layoutInCell="1" allowOverlap="1">
              <wp:simplePos x="0" y="0"/>
              <wp:positionH relativeFrom="page">
                <wp:posOffset>5799201</wp:posOffset>
              </wp:positionH>
              <wp:positionV relativeFrom="page">
                <wp:posOffset>448637</wp:posOffset>
              </wp:positionV>
              <wp:extent cx="879475" cy="182245"/>
              <wp:effectExtent l="0" t="0" r="0" b="0"/>
              <wp:wrapNone/>
              <wp:docPr id="48" name="Text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879475"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8"/>
                              <w:sz w:val="22"/>
                            </w:rPr>
                            <w:t xml:space="preserve"> </w:t>
                          </w:r>
                          <w:r>
                            <w:rPr>
                              <w:rFonts w:ascii="Arial"/>
                              <w:b/>
                              <w:spacing w:val="-10"/>
                              <w:sz w:val="22"/>
                            </w:rPr>
                            <w:t>A</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2" type="#_x0000_t202" style="width:69.25pt;height:14.35pt;margin-top:35.33pt;margin-left:456.63pt;mso-position-horizontal-relative:page;mso-position-vertical-relative:page;position:absolute;z-index:-251636736" filled="f" stroked="f">
              <v:textbox inset="0,0,0,0">
                <w:txbxContent>
                  <w:p>
                    <w:pPr>
                      <w:spacing w:before="13"/>
                      <w:ind w:left="20" w:right="0" w:firstLine="0"/>
                      <w:jc w:val="left"/>
                      <w:rPr>
                        <w:rFonts w:ascii="Arial"/>
                        <w:b/>
                        <w:sz w:val="22"/>
                      </w:rPr>
                    </w:pPr>
                    <w:r>
                      <w:rPr>
                        <w:rFonts w:ascii="Arial"/>
                        <w:b/>
                        <w:sz w:val="22"/>
                      </w:rPr>
                      <w:t>APPENDIX</w:t>
                    </w:r>
                    <w:r>
                      <w:rPr>
                        <w:rFonts w:ascii="Arial"/>
                        <w:b/>
                        <w:spacing w:val="-8"/>
                        <w:sz w:val="22"/>
                      </w:rPr>
                      <w:t xml:space="preserve"> </w:t>
                    </w:r>
                    <w:r>
                      <w:rPr>
                        <w:rFonts w:ascii="Arial"/>
                        <w:b/>
                        <w:spacing w:val="-10"/>
                        <w:sz w:val="22"/>
                      </w:rPr>
                      <w:t>A</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0768" behindDoc="1" locked="0" layoutInCell="1" allowOverlap="1">
              <wp:simplePos x="0" y="0"/>
              <wp:positionH relativeFrom="page">
                <wp:posOffset>5799201</wp:posOffset>
              </wp:positionH>
              <wp:positionV relativeFrom="page">
                <wp:posOffset>448637</wp:posOffset>
              </wp:positionV>
              <wp:extent cx="880744" cy="182245"/>
              <wp:effectExtent l="0" t="0" r="0" b="0"/>
              <wp:wrapNone/>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6"/>
                              <w:sz w:val="22"/>
                            </w:rPr>
                            <w:t xml:space="preserve"> </w:t>
                          </w:r>
                          <w:r>
                            <w:rPr>
                              <w:rFonts w:ascii="Arial"/>
                              <w:b/>
                              <w:spacing w:val="-10"/>
                              <w:sz w:val="22"/>
                            </w:rPr>
                            <w:t>B</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5" type="#_x0000_t202" style="width:69.35pt;height:14.35pt;margin-top:35.33pt;margin-left:456.63pt;mso-position-horizontal-relative:page;mso-position-vertical-relative:page;position:absolute;z-index:-251634688" filled="f" stroked="f">
              <v:textbox inset="0,0,0,0">
                <w:txbxContent>
                  <w:p>
                    <w:pPr>
                      <w:spacing w:before="13"/>
                      <w:ind w:left="20" w:right="0" w:firstLine="0"/>
                      <w:jc w:val="left"/>
                      <w:rPr>
                        <w:rFonts w:ascii="Arial"/>
                        <w:b/>
                        <w:sz w:val="22"/>
                      </w:rPr>
                    </w:pPr>
                    <w:r>
                      <w:rPr>
                        <w:rFonts w:ascii="Arial"/>
                        <w:b/>
                        <w:sz w:val="22"/>
                      </w:rPr>
                      <w:t>APPENDIX</w:t>
                    </w:r>
                    <w:r>
                      <w:rPr>
                        <w:rFonts w:ascii="Arial"/>
                        <w:b/>
                        <w:spacing w:val="-6"/>
                        <w:sz w:val="22"/>
                      </w:rPr>
                      <w:t xml:space="preserve"> </w:t>
                    </w:r>
                    <w:r>
                      <w:rPr>
                        <w:rFonts w:ascii="Arial"/>
                        <w:b/>
                        <w:spacing w:val="-10"/>
                        <w:sz w:val="22"/>
                      </w:rPr>
                      <w:t>B</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2816" behindDoc="1" locked="0" layoutInCell="1" allowOverlap="1">
              <wp:simplePos x="0" y="0"/>
              <wp:positionH relativeFrom="page">
                <wp:posOffset>5799201</wp:posOffset>
              </wp:positionH>
              <wp:positionV relativeFrom="page">
                <wp:posOffset>448637</wp:posOffset>
              </wp:positionV>
              <wp:extent cx="880744" cy="182245"/>
              <wp:effectExtent l="0" t="0" r="0" b="0"/>
              <wp:wrapNone/>
              <wp:docPr id="55" name="Textbox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6"/>
                              <w:sz w:val="22"/>
                            </w:rPr>
                            <w:t xml:space="preserve"> </w:t>
                          </w:r>
                          <w:r>
                            <w:rPr>
                              <w:rFonts w:ascii="Arial"/>
                              <w:b/>
                              <w:spacing w:val="-10"/>
                              <w:sz w:val="22"/>
                            </w:rPr>
                            <w:t>C</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88" type="#_x0000_t202" style="width:69.35pt;height:14.35pt;margin-top:35.33pt;margin-left:456.63pt;mso-position-horizontal-relative:page;mso-position-vertical-relative:page;position:absolute;z-index:-251632640" filled="f" stroked="f">
              <v:textbox inset="0,0,0,0">
                <w:txbxContent>
                  <w:p>
                    <w:pPr>
                      <w:spacing w:before="13"/>
                      <w:ind w:left="20" w:right="0" w:firstLine="0"/>
                      <w:jc w:val="left"/>
                      <w:rPr>
                        <w:rFonts w:ascii="Arial"/>
                        <w:b/>
                        <w:sz w:val="22"/>
                      </w:rPr>
                    </w:pPr>
                    <w:r>
                      <w:rPr>
                        <w:rFonts w:ascii="Arial"/>
                        <w:b/>
                        <w:sz w:val="22"/>
                      </w:rPr>
                      <w:t>APPENDIX</w:t>
                    </w:r>
                    <w:r>
                      <w:rPr>
                        <w:rFonts w:ascii="Arial"/>
                        <w:b/>
                        <w:spacing w:val="-6"/>
                        <w:sz w:val="22"/>
                      </w:rPr>
                      <w:t xml:space="preserve"> </w:t>
                    </w:r>
                    <w:r>
                      <w:rPr>
                        <w:rFonts w:ascii="Arial"/>
                        <w:b/>
                        <w:spacing w:val="-10"/>
                        <w:sz w:val="22"/>
                      </w:rPr>
                      <w:t>C</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4864" behindDoc="1" locked="0" layoutInCell="1" allowOverlap="1">
              <wp:simplePos x="0" y="0"/>
              <wp:positionH relativeFrom="page">
                <wp:posOffset>5799201</wp:posOffset>
              </wp:positionH>
              <wp:positionV relativeFrom="page">
                <wp:posOffset>448637</wp:posOffset>
              </wp:positionV>
              <wp:extent cx="880744" cy="182245"/>
              <wp:effectExtent l="0" t="0" r="0" b="0"/>
              <wp:wrapNone/>
              <wp:docPr id="58" name="Textbox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880744"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6"/>
                              <w:sz w:val="22"/>
                            </w:rPr>
                            <w:t xml:space="preserve"> </w:t>
                          </w:r>
                          <w:r>
                            <w:rPr>
                              <w:rFonts w:ascii="Arial"/>
                              <w:b/>
                              <w:spacing w:val="-10"/>
                              <w:sz w:val="22"/>
                            </w:rPr>
                            <w:t>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1" type="#_x0000_t202" style="width:69.35pt;height:14.35pt;margin-top:35.33pt;margin-left:456.63pt;mso-position-horizontal-relative:page;mso-position-vertical-relative:page;position:absolute;z-index:-251630592" filled="f" stroked="f">
              <v:textbox inset="0,0,0,0">
                <w:txbxContent>
                  <w:p>
                    <w:pPr>
                      <w:spacing w:before="13"/>
                      <w:ind w:left="20" w:right="0" w:firstLine="0"/>
                      <w:jc w:val="left"/>
                      <w:rPr>
                        <w:rFonts w:ascii="Arial"/>
                        <w:b/>
                        <w:sz w:val="22"/>
                      </w:rPr>
                    </w:pPr>
                    <w:r>
                      <w:rPr>
                        <w:rFonts w:ascii="Arial"/>
                        <w:b/>
                        <w:sz w:val="22"/>
                      </w:rPr>
                      <w:t>APPENDIX</w:t>
                    </w:r>
                    <w:r>
                      <w:rPr>
                        <w:rFonts w:ascii="Arial"/>
                        <w:b/>
                        <w:spacing w:val="-6"/>
                        <w:sz w:val="22"/>
                      </w:rPr>
                      <w:t xml:space="preserve"> </w:t>
                    </w:r>
                    <w:r>
                      <w:rPr>
                        <w:rFonts w:ascii="Arial"/>
                        <w:b/>
                        <w:spacing w:val="-10"/>
                        <w:sz w:val="22"/>
                      </w:rPr>
                      <w:t>D</w:t>
                    </w: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6912" behindDoc="1" locked="0" layoutInCell="1" allowOverlap="1">
              <wp:simplePos x="0" y="0"/>
              <wp:positionH relativeFrom="page">
                <wp:posOffset>5806821</wp:posOffset>
              </wp:positionH>
              <wp:positionV relativeFrom="page">
                <wp:posOffset>448637</wp:posOffset>
              </wp:positionV>
              <wp:extent cx="873760" cy="182245"/>
              <wp:effectExtent l="0" t="0" r="0" b="0"/>
              <wp:wrapNone/>
              <wp:docPr id="61" name="Text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873760"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E</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4" type="#_x0000_t202" style="width:68.8pt;height:14.35pt;margin-top:35.33pt;margin-left:457.23pt;mso-position-horizontal-relative:page;mso-position-vertical-relative:page;position:absolute;z-index:-251628544" filled="f" stroked="f">
              <v:textbox inset="0,0,0,0">
                <w:txbxContent>
                  <w:p>
                    <w:pPr>
                      <w:spacing w:before="13"/>
                      <w:ind w:left="20" w:right="0" w:firstLine="0"/>
                      <w:jc w:val="left"/>
                      <w:rPr>
                        <w:rFonts w:ascii="Arial"/>
                        <w:b/>
                        <w:sz w:val="22"/>
                      </w:rPr>
                    </w:pPr>
                    <w:r>
                      <w:rPr>
                        <w:rFonts w:ascii="Arial"/>
                        <w:b/>
                        <w:sz w:val="22"/>
                      </w:rPr>
                      <w:t>APPENDIX</w:t>
                    </w:r>
                    <w:r>
                      <w:rPr>
                        <w:rFonts w:ascii="Arial"/>
                        <w:b/>
                        <w:spacing w:val="-5"/>
                        <w:sz w:val="22"/>
                      </w:rPr>
                      <w:t xml:space="preserve"> </w:t>
                    </w:r>
                    <w:r>
                      <w:rPr>
                        <w:rFonts w:ascii="Arial"/>
                        <w:b/>
                        <w:spacing w:val="-10"/>
                        <w:sz w:val="22"/>
                      </w:rPr>
                      <w:t>E</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88960" behindDoc="1" locked="0" layoutInCell="1" allowOverlap="1">
              <wp:simplePos x="0" y="0"/>
              <wp:positionH relativeFrom="page">
                <wp:posOffset>5814440</wp:posOffset>
              </wp:positionH>
              <wp:positionV relativeFrom="page">
                <wp:posOffset>448637</wp:posOffset>
              </wp:positionV>
              <wp:extent cx="866140" cy="182245"/>
              <wp:effectExtent l="0" t="0" r="0" b="0"/>
              <wp:wrapNone/>
              <wp:docPr id="64" name="Textbox 64"/>
              <wp:cNvGraphicFramePr/>
              <a:graphic xmlns:a="http://schemas.openxmlformats.org/drawingml/2006/main">
                <a:graphicData uri="http://schemas.microsoft.com/office/word/2010/wordprocessingShape">
                  <wps:wsp xmlns:wps="http://schemas.microsoft.com/office/word/2010/wordprocessingShape">
                    <wps:cNvSpPr txBox="1"/>
                    <wps:spPr>
                      <a:xfrm>
                        <a:off x="0" y="0"/>
                        <a:ext cx="866140" cy="182245"/>
                      </a:xfrm>
                      <a:prstGeom prst="rect">
                        <a:avLst/>
                      </a:prstGeom>
                    </wps:spPr>
                    <wps:txbx>
                      <w:txbxContent>
                        <w:p>
                          <w:pPr>
                            <w:spacing w:before="13"/>
                            <w:ind w:left="20" w:right="0" w:firstLine="0"/>
                            <w:jc w:val="left"/>
                            <w:rPr>
                              <w:rFonts w:ascii="Arial"/>
                              <w:b/>
                              <w:sz w:val="22"/>
                            </w:rPr>
                          </w:pPr>
                          <w:r>
                            <w:rPr>
                              <w:rFonts w:ascii="Arial"/>
                              <w:b/>
                              <w:sz w:val="22"/>
                            </w:rPr>
                            <w:t>APPENDIX</w:t>
                          </w:r>
                          <w:r>
                            <w:rPr>
                              <w:rFonts w:ascii="Arial"/>
                              <w:b/>
                              <w:spacing w:val="-6"/>
                              <w:sz w:val="22"/>
                            </w:rPr>
                            <w:t xml:space="preserve"> </w:t>
                          </w:r>
                          <w:r>
                            <w:rPr>
                              <w:rFonts w:ascii="Arial"/>
                              <w:b/>
                              <w:spacing w:val="-10"/>
                              <w:sz w:val="22"/>
                            </w:rPr>
                            <w:t>F</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97" type="#_x0000_t202" style="width:68.2pt;height:14.35pt;margin-top:35.33pt;margin-left:457.83pt;mso-position-horizontal-relative:page;mso-position-vertical-relative:page;position:absolute;z-index:-251626496" filled="f" stroked="f">
              <v:textbox inset="0,0,0,0">
                <w:txbxContent>
                  <w:p>
                    <w:pPr>
                      <w:spacing w:before="13"/>
                      <w:ind w:left="20" w:right="0" w:firstLine="0"/>
                      <w:jc w:val="left"/>
                      <w:rPr>
                        <w:rFonts w:ascii="Arial"/>
                        <w:b/>
                        <w:sz w:val="22"/>
                      </w:rPr>
                    </w:pPr>
                    <w:r>
                      <w:rPr>
                        <w:rFonts w:ascii="Arial"/>
                        <w:b/>
                        <w:sz w:val="22"/>
                      </w:rPr>
                      <w:t>APPENDIX</w:t>
                    </w:r>
                    <w:r>
                      <w:rPr>
                        <w:rFonts w:ascii="Arial"/>
                        <w:b/>
                        <w:spacing w:val="-6"/>
                        <w:sz w:val="22"/>
                      </w:rPr>
                      <w:t xml:space="preserve"> </w:t>
                    </w:r>
                    <w:r>
                      <w:rPr>
                        <w:rFonts w:ascii="Arial"/>
                        <w:b/>
                        <w:spacing w:val="-10"/>
                        <w:sz w:val="22"/>
                      </w:rPr>
                      <w:t>F</w:t>
                    </w:r>
                  </w:p>
                </w:txbxContent>
              </v:textbox>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0288" behindDoc="1" locked="0" layoutInCell="1" allowOverlap="1">
              <wp:simplePos x="0" y="0"/>
              <wp:positionH relativeFrom="page">
                <wp:posOffset>4959477</wp:posOffset>
              </wp:positionH>
              <wp:positionV relativeFrom="page">
                <wp:posOffset>448637</wp:posOffset>
              </wp:positionV>
              <wp:extent cx="1913255" cy="182245"/>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913255" cy="182245"/>
                      </a:xfrm>
                      <a:prstGeom prst="rect">
                        <a:avLst/>
                      </a:prstGeom>
                    </wps:spPr>
                    <wps:txbx>
                      <w:txbxContent>
                        <w:p>
                          <w:pPr>
                            <w:spacing w:before="13"/>
                            <w:ind w:left="20" w:right="0" w:firstLine="0"/>
                            <w:jc w:val="left"/>
                            <w:rPr>
                              <w:rFonts w:ascii="Arial"/>
                              <w:b/>
                              <w:sz w:val="22"/>
                            </w:rPr>
                          </w:pPr>
                          <w:r>
                            <w:rPr>
                              <w:rFonts w:ascii="Arial"/>
                              <w:b/>
                              <w:sz w:val="22"/>
                            </w:rPr>
                            <w:t>PRICING</w:t>
                          </w:r>
                          <w:r>
                            <w:rPr>
                              <w:rFonts w:ascii="Arial"/>
                              <w:b/>
                              <w:spacing w:val="-8"/>
                              <w:sz w:val="22"/>
                            </w:rPr>
                            <w:t xml:space="preserve"> </w:t>
                          </w:r>
                          <w:r>
                            <w:rPr>
                              <w:rFonts w:ascii="Arial"/>
                              <w:b/>
                              <w:spacing w:val="-2"/>
                              <w:sz w:val="22"/>
                            </w:rPr>
                            <w:t>CONSIDERATIONS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5" type="#_x0000_t202" style="width:150.65pt;height:14.35pt;margin-top:35.33pt;margin-left:390.51pt;mso-position-horizontal-relative:page;mso-position-vertical-relative:page;position:absolute;z-index:-251655168" filled="f" stroked="f">
              <v:textbox inset="0,0,0,0">
                <w:txbxContent>
                  <w:p>
                    <w:pPr>
                      <w:spacing w:before="13"/>
                      <w:ind w:left="20" w:right="0" w:firstLine="0"/>
                      <w:jc w:val="left"/>
                      <w:rPr>
                        <w:rFonts w:ascii="Arial"/>
                        <w:b/>
                        <w:sz w:val="22"/>
                      </w:rPr>
                    </w:pPr>
                    <w:r>
                      <w:rPr>
                        <w:rFonts w:ascii="Arial"/>
                        <w:b/>
                        <w:sz w:val="22"/>
                      </w:rPr>
                      <w:t>PRICING</w:t>
                    </w:r>
                    <w:r>
                      <w:rPr>
                        <w:rFonts w:ascii="Arial"/>
                        <w:b/>
                        <w:spacing w:val="-8"/>
                        <w:sz w:val="22"/>
                      </w:rPr>
                      <w:t xml:space="preserve"> </w:t>
                    </w:r>
                    <w:r>
                      <w:rPr>
                        <w:rFonts w:ascii="Arial"/>
                        <w:b/>
                        <w:spacing w:val="-2"/>
                        <w:sz w:val="22"/>
                      </w:rPr>
                      <w:t>CONSIDERATIONS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2336" behindDoc="1" locked="0" layoutInCell="1" allowOverlap="1">
              <wp:simplePos x="0" y="0"/>
              <wp:positionH relativeFrom="page">
                <wp:posOffset>4951857</wp:posOffset>
              </wp:positionH>
              <wp:positionV relativeFrom="page">
                <wp:posOffset>448637</wp:posOffset>
              </wp:positionV>
              <wp:extent cx="1896745" cy="182245"/>
              <wp:effectExtent l="0" t="0" r="0" b="0"/>
              <wp:wrapNone/>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96745" cy="182245"/>
                      </a:xfrm>
                      <a:prstGeom prst="rect">
                        <a:avLst/>
                      </a:prstGeom>
                    </wps:spPr>
                    <wps:txbx>
                      <w:txbxContent>
                        <w:p>
                          <w:pPr>
                            <w:spacing w:before="13"/>
                            <w:ind w:left="20" w:right="0" w:firstLine="0"/>
                            <w:jc w:val="left"/>
                            <w:rPr>
                              <w:rFonts w:ascii="Arial"/>
                              <w:b/>
                              <w:sz w:val="22"/>
                            </w:rPr>
                          </w:pPr>
                          <w:r>
                            <w:rPr>
                              <w:rFonts w:ascii="Arial"/>
                              <w:b/>
                              <w:sz w:val="22"/>
                            </w:rPr>
                            <w:t>DATA</w:t>
                          </w:r>
                          <w:r>
                            <w:rPr>
                              <w:rFonts w:ascii="Arial"/>
                              <w:b/>
                              <w:spacing w:val="-3"/>
                              <w:sz w:val="22"/>
                            </w:rPr>
                            <w:t xml:space="preserve"> </w:t>
                          </w:r>
                          <w:r>
                            <w:rPr>
                              <w:rFonts w:ascii="Arial"/>
                              <w:b/>
                              <w:sz w:val="22"/>
                            </w:rPr>
                            <w:t>ENTRY</w:t>
                          </w:r>
                          <w:r>
                            <w:rPr>
                              <w:rFonts w:ascii="Arial"/>
                              <w:b/>
                              <w:spacing w:val="-3"/>
                              <w:sz w:val="22"/>
                            </w:rPr>
                            <w:t xml:space="preserve"> </w:t>
                          </w:r>
                          <w:r>
                            <w:rPr>
                              <w:rFonts w:ascii="Arial"/>
                              <w:b/>
                              <w:sz w:val="22"/>
                            </w:rPr>
                            <w:t>&amp;</w:t>
                          </w:r>
                          <w:r>
                            <w:rPr>
                              <w:rFonts w:ascii="Arial"/>
                              <w:b/>
                              <w:spacing w:val="-3"/>
                              <w:sz w:val="22"/>
                            </w:rPr>
                            <w:t xml:space="preserve"> </w:t>
                          </w:r>
                          <w:r>
                            <w:rPr>
                              <w:rFonts w:ascii="Arial"/>
                              <w:b/>
                              <w:spacing w:val="-2"/>
                              <w:sz w:val="22"/>
                            </w:rPr>
                            <w:t>FORMULAS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58" type="#_x0000_t202" style="width:149.35pt;height:14.35pt;margin-top:35.33pt;margin-left:389.91pt;mso-position-horizontal-relative:page;mso-position-vertical-relative:page;position:absolute;z-index:-251653120" filled="f" stroked="f">
              <v:textbox inset="0,0,0,0">
                <w:txbxContent>
                  <w:p>
                    <w:pPr>
                      <w:spacing w:before="13"/>
                      <w:ind w:left="20" w:right="0" w:firstLine="0"/>
                      <w:jc w:val="left"/>
                      <w:rPr>
                        <w:rFonts w:ascii="Arial"/>
                        <w:b/>
                        <w:sz w:val="22"/>
                      </w:rPr>
                    </w:pPr>
                    <w:r>
                      <w:rPr>
                        <w:rFonts w:ascii="Arial"/>
                        <w:b/>
                        <w:sz w:val="22"/>
                      </w:rPr>
                      <w:t>DATA</w:t>
                    </w:r>
                    <w:r>
                      <w:rPr>
                        <w:rFonts w:ascii="Arial"/>
                        <w:b/>
                        <w:spacing w:val="-3"/>
                        <w:sz w:val="22"/>
                      </w:rPr>
                      <w:t xml:space="preserve"> </w:t>
                    </w:r>
                    <w:r>
                      <w:rPr>
                        <w:rFonts w:ascii="Arial"/>
                        <w:b/>
                        <w:sz w:val="22"/>
                      </w:rPr>
                      <w:t>ENTRY</w:t>
                    </w:r>
                    <w:r>
                      <w:rPr>
                        <w:rFonts w:ascii="Arial"/>
                        <w:b/>
                        <w:spacing w:val="-3"/>
                        <w:sz w:val="22"/>
                      </w:rPr>
                      <w:t xml:space="preserve"> </w:t>
                    </w:r>
                    <w:r>
                      <w:rPr>
                        <w:rFonts w:ascii="Arial"/>
                        <w:b/>
                        <w:sz w:val="22"/>
                      </w:rPr>
                      <w:t>&amp;</w:t>
                    </w:r>
                    <w:r>
                      <w:rPr>
                        <w:rFonts w:ascii="Arial"/>
                        <w:b/>
                        <w:spacing w:val="-3"/>
                        <w:sz w:val="22"/>
                      </w:rPr>
                      <w:t xml:space="preserve"> </w:t>
                    </w:r>
                    <w:r>
                      <w:rPr>
                        <w:rFonts w:ascii="Arial"/>
                        <w:b/>
                        <w:spacing w:val="-2"/>
                        <w:sz w:val="22"/>
                      </w:rPr>
                      <w:t>FORMULAS</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4384" behindDoc="1" locked="0" layoutInCell="1" allowOverlap="1">
              <wp:simplePos x="0" y="0"/>
              <wp:positionH relativeFrom="page">
                <wp:posOffset>5593460</wp:posOffset>
              </wp:positionH>
              <wp:positionV relativeFrom="page">
                <wp:posOffset>448637</wp:posOffset>
              </wp:positionV>
              <wp:extent cx="1050925" cy="182245"/>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0925"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8"/>
                              <w:sz w:val="22"/>
                            </w:rPr>
                            <w:t xml:space="preserve"> </w:t>
                          </w:r>
                          <w:r>
                            <w:rPr>
                              <w:rFonts w:ascii="Arial"/>
                              <w:b/>
                              <w:spacing w:val="-10"/>
                              <w:sz w:val="22"/>
                            </w:rPr>
                            <w:t>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1" type="#_x0000_t202" style="width:82.75pt;height:14.35pt;margin-top:35.33pt;margin-left:440.43pt;mso-position-horizontal-relative:page;mso-position-vertical-relative:page;position:absolute;z-index:-251651072"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8"/>
                        <w:sz w:val="22"/>
                      </w:rPr>
                      <w:t xml:space="preserve"> </w:t>
                    </w:r>
                    <w:r>
                      <w:rPr>
                        <w:rFonts w:ascii="Arial"/>
                        <w:b/>
                        <w:spacing w:val="-10"/>
                        <w:sz w:val="22"/>
                      </w:rPr>
                      <w:t>1</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6432" behindDoc="1" locked="0" layoutInCell="1" allowOverlap="1">
              <wp:simplePos x="0" y="0"/>
              <wp:positionH relativeFrom="page">
                <wp:posOffset>5593460</wp:posOffset>
              </wp:positionH>
              <wp:positionV relativeFrom="page">
                <wp:posOffset>448637</wp:posOffset>
              </wp:positionV>
              <wp:extent cx="1050925" cy="182245"/>
              <wp:effectExtent l="0" t="0" r="0" b="0"/>
              <wp:wrapNone/>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0925"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8"/>
                              <w:sz w:val="22"/>
                            </w:rPr>
                            <w:t xml:space="preserve"> </w:t>
                          </w:r>
                          <w:r>
                            <w:rPr>
                              <w:rFonts w:ascii="Arial"/>
                              <w:b/>
                              <w:spacing w:val="-10"/>
                              <w:sz w:val="22"/>
                            </w:rPr>
                            <w:t>2</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4" type="#_x0000_t202" style="width:82.75pt;height:14.35pt;margin-top:35.33pt;margin-left:440.43pt;mso-position-horizontal-relative:page;mso-position-vertical-relative:page;position:absolute;z-index:-251649024"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8"/>
                        <w:sz w:val="22"/>
                      </w:rPr>
                      <w:t xml:space="preserve"> </w:t>
                    </w:r>
                    <w:r>
                      <w:rPr>
                        <w:rFonts w:ascii="Arial"/>
                        <w:b/>
                        <w:spacing w:val="-10"/>
                        <w:sz w:val="22"/>
                      </w:rPr>
                      <w:t>2</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68480" behindDoc="1" locked="0" layoutInCell="1" allowOverlap="1">
              <wp:simplePos x="0" y="0"/>
              <wp:positionH relativeFrom="page">
                <wp:posOffset>5593460</wp:posOffset>
              </wp:positionH>
              <wp:positionV relativeFrom="page">
                <wp:posOffset>448637</wp:posOffset>
              </wp:positionV>
              <wp:extent cx="1050925" cy="182245"/>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0925"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8"/>
                              <w:sz w:val="22"/>
                            </w:rPr>
                            <w:t xml:space="preserve"> </w:t>
                          </w:r>
                          <w:r>
                            <w:rPr>
                              <w:rFonts w:ascii="Arial"/>
                              <w:b/>
                              <w:spacing w:val="-10"/>
                              <w:sz w:val="22"/>
                            </w:rPr>
                            <w:t>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67" type="#_x0000_t202" style="width:82.75pt;height:14.35pt;margin-top:35.33pt;margin-left:440.43pt;mso-position-horizontal-relative:page;mso-position-vertical-relative:page;position:absolute;z-index:-251646976"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8"/>
                        <w:sz w:val="22"/>
                      </w:rPr>
                      <w:t xml:space="preserve"> </w:t>
                    </w:r>
                    <w:r>
                      <w:rPr>
                        <w:rFonts w:ascii="Arial"/>
                        <w:b/>
                        <w:spacing w:val="-10"/>
                        <w:sz w:val="22"/>
                      </w:rPr>
                      <w:t>3</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0528" behindDoc="1" locked="0" layoutInCell="1" allowOverlap="1">
              <wp:simplePos x="0" y="0"/>
              <wp:positionH relativeFrom="page">
                <wp:posOffset>5593460</wp:posOffset>
              </wp:positionH>
              <wp:positionV relativeFrom="page">
                <wp:posOffset>448637</wp:posOffset>
              </wp:positionV>
              <wp:extent cx="1052195" cy="182245"/>
              <wp:effectExtent l="0" t="0" r="0" b="0"/>
              <wp:wrapNone/>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2195"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0" type="#_x0000_t202" style="width:82.85pt;height:14.35pt;margin-top:35.33pt;margin-left:440.43pt;mso-position-horizontal-relative:page;mso-position-vertical-relative:page;position:absolute;z-index:-251644928"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4</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2576" behindDoc="1" locked="0" layoutInCell="1" allowOverlap="1">
              <wp:simplePos x="0" y="0"/>
              <wp:positionH relativeFrom="page">
                <wp:posOffset>5593460</wp:posOffset>
              </wp:positionH>
              <wp:positionV relativeFrom="page">
                <wp:posOffset>448637</wp:posOffset>
              </wp:positionV>
              <wp:extent cx="1052195" cy="182245"/>
              <wp:effectExtent l="0" t="0" r="0" b="0"/>
              <wp:wrapNone/>
              <wp:docPr id="39" name="Text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2195"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3" type="#_x0000_t202" style="width:82.85pt;height:14.35pt;margin-top:35.33pt;margin-left:440.43pt;mso-position-horizontal-relative:page;mso-position-vertical-relative:page;position:absolute;z-index:-251642880"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5</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before="0" w:line="14" w:lineRule="auto"/>
      <w:ind w:left="0"/>
      <w:rPr>
        <w:sz w:val="20"/>
      </w:rPr>
    </w:pPr>
    <w:r>
      <mc:AlternateContent>
        <mc:Choice Requires="wps">
          <w:drawing>
            <wp:anchor distT="0" distB="0" distL="0" distR="0" simplePos="0" relativeHeight="251674624" behindDoc="1" locked="0" layoutInCell="1" allowOverlap="1">
              <wp:simplePos x="0" y="0"/>
              <wp:positionH relativeFrom="page">
                <wp:posOffset>5593460</wp:posOffset>
              </wp:positionH>
              <wp:positionV relativeFrom="page">
                <wp:posOffset>448637</wp:posOffset>
              </wp:positionV>
              <wp:extent cx="1052195" cy="182245"/>
              <wp:effectExtent l="0" t="0" r="0" b="0"/>
              <wp:wrapNone/>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2195" cy="182245"/>
                      </a:xfrm>
                      <a:prstGeom prst="rect">
                        <a:avLst/>
                      </a:prstGeom>
                    </wps:spPr>
                    <wps:txbx>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76" type="#_x0000_t202" style="width:82.85pt;height:14.35pt;margin-top:35.33pt;margin-left:440.43pt;mso-position-horizontal-relative:page;mso-position-vertical-relative:page;position:absolute;z-index:-251640832" filled="f" stroked="f">
              <v:textbox inset="0,0,0,0">
                <w:txbxContent>
                  <w:p>
                    <w:pPr>
                      <w:spacing w:before="13"/>
                      <w:ind w:left="20" w:right="0" w:firstLine="0"/>
                      <w:jc w:val="left"/>
                      <w:rPr>
                        <w:rFonts w:ascii="Arial"/>
                        <w:b/>
                        <w:sz w:val="22"/>
                      </w:rPr>
                    </w:pPr>
                    <w:r>
                      <w:rPr>
                        <w:rFonts w:ascii="Arial"/>
                        <w:b/>
                        <w:sz w:val="22"/>
                      </w:rPr>
                      <w:t>WORKSHEET</w:t>
                    </w:r>
                    <w:r>
                      <w:rPr>
                        <w:rFonts w:ascii="Arial"/>
                        <w:b/>
                        <w:spacing w:val="-7"/>
                        <w:sz w:val="22"/>
                      </w:rPr>
                      <w:t xml:space="preserve"> </w:t>
                    </w:r>
                    <w:r>
                      <w:rPr>
                        <w:rFonts w:ascii="Arial"/>
                        <w:b/>
                        <w:spacing w:val="-10"/>
                        <w:sz w:val="22"/>
                      </w:rPr>
                      <w:t>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837B1A"/>
    <w:multiLevelType w:val="hybridMultilevel"/>
    <w:tmpl w:val="00000000"/>
    <w:lvl w:ilvl="0">
      <w:start w:val="0"/>
      <w:numFmt w:val="bullet"/>
      <w:lvlText w:val="•"/>
      <w:lvlJc w:val="left"/>
      <w:pPr>
        <w:ind w:left="9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6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3002" w:hanging="360"/>
      </w:pPr>
      <w:rPr>
        <w:rFonts w:hint="default"/>
        <w:lang w:val="en-US" w:eastAsia="en-US" w:bidi="ar-SA"/>
      </w:rPr>
    </w:lvl>
    <w:lvl w:ilvl="4">
      <w:start w:val="0"/>
      <w:numFmt w:val="bullet"/>
      <w:lvlText w:val="•"/>
      <w:lvlJc w:val="left"/>
      <w:pPr>
        <w:ind w:left="3985" w:hanging="360"/>
      </w:pPr>
      <w:rPr>
        <w:rFonts w:hint="default"/>
        <w:lang w:val="en-US" w:eastAsia="en-US" w:bidi="ar-SA"/>
      </w:rPr>
    </w:lvl>
    <w:lvl w:ilvl="5">
      <w:start w:val="0"/>
      <w:numFmt w:val="bullet"/>
      <w:lvlText w:val="•"/>
      <w:lvlJc w:val="left"/>
      <w:pPr>
        <w:ind w:left="4967" w:hanging="360"/>
      </w:pPr>
      <w:rPr>
        <w:rFonts w:hint="default"/>
        <w:lang w:val="en-US" w:eastAsia="en-US" w:bidi="ar-SA"/>
      </w:rPr>
    </w:lvl>
    <w:lvl w:ilvl="6">
      <w:start w:val="0"/>
      <w:numFmt w:val="bullet"/>
      <w:lvlText w:val="•"/>
      <w:lvlJc w:val="left"/>
      <w:pPr>
        <w:ind w:left="5950" w:hanging="360"/>
      </w:pPr>
      <w:rPr>
        <w:rFonts w:hint="default"/>
        <w:lang w:val="en-US" w:eastAsia="en-US" w:bidi="ar-SA"/>
      </w:rPr>
    </w:lvl>
    <w:lvl w:ilvl="7">
      <w:start w:val="0"/>
      <w:numFmt w:val="bullet"/>
      <w:lvlText w:val="•"/>
      <w:lvlJc w:val="left"/>
      <w:pPr>
        <w:ind w:left="6932" w:hanging="360"/>
      </w:pPr>
      <w:rPr>
        <w:rFonts w:hint="default"/>
        <w:lang w:val="en-US" w:eastAsia="en-US" w:bidi="ar-SA"/>
      </w:rPr>
    </w:lvl>
    <w:lvl w:ilvl="8">
      <w:start w:val="0"/>
      <w:numFmt w:val="bullet"/>
      <w:lvlText w:val="•"/>
      <w:lvlJc w:val="left"/>
      <w:pPr>
        <w:ind w:left="7915" w:hanging="360"/>
      </w:pPr>
      <w:rPr>
        <w:rFonts w:hint="default"/>
        <w:lang w:val="en-US" w:eastAsia="en-US" w:bidi="ar-SA"/>
      </w:rPr>
    </w:lvl>
  </w:abstractNum>
  <w:abstractNum w:abstractNumId="1">
    <w:nsid w:val="1E36F3CD"/>
    <w:multiLevelType w:val="hybridMultilevel"/>
    <w:tmpl w:val="00000000"/>
    <w:lvl w:ilvl="0">
      <w:start w:val="0"/>
      <w:numFmt w:val="bullet"/>
      <w:lvlText w:val=""/>
      <w:lvlJc w:val="left"/>
      <w:pPr>
        <w:ind w:left="1160" w:hanging="360"/>
      </w:pPr>
      <w:rPr>
        <w:rFonts w:ascii="Wingdings" w:eastAsia="Wingdings" w:hAnsi="Wingdings" w:cs="Wingdings" w:hint="default"/>
        <w:b w:val="0"/>
        <w:bCs w:val="0"/>
        <w:i w:val="0"/>
        <w:iCs w:val="0"/>
        <w:spacing w:val="0"/>
        <w:w w:val="100"/>
        <w:sz w:val="21"/>
        <w:szCs w:val="21"/>
        <w:lang w:val="en-US" w:eastAsia="en-US" w:bidi="ar-SA"/>
      </w:rPr>
    </w:lvl>
    <w:lvl w:ilvl="1">
      <w:start w:val="0"/>
      <w:numFmt w:val="bullet"/>
      <w:lvlText w:val="•"/>
      <w:lvlJc w:val="left"/>
      <w:pPr>
        <w:ind w:left="2032" w:hanging="360"/>
      </w:pPr>
      <w:rPr>
        <w:rFonts w:hint="default"/>
        <w:lang w:val="en-US" w:eastAsia="en-US" w:bidi="ar-SA"/>
      </w:rPr>
    </w:lvl>
    <w:lvl w:ilvl="2">
      <w:start w:val="0"/>
      <w:numFmt w:val="bullet"/>
      <w:lvlText w:val="•"/>
      <w:lvlJc w:val="left"/>
      <w:pPr>
        <w:ind w:left="2904" w:hanging="360"/>
      </w:pPr>
      <w:rPr>
        <w:rFonts w:hint="default"/>
        <w:lang w:val="en-US" w:eastAsia="en-US" w:bidi="ar-SA"/>
      </w:rPr>
    </w:lvl>
    <w:lvl w:ilvl="3">
      <w:start w:val="0"/>
      <w:numFmt w:val="bullet"/>
      <w:lvlText w:val="•"/>
      <w:lvlJc w:val="left"/>
      <w:pPr>
        <w:ind w:left="3776" w:hanging="360"/>
      </w:pPr>
      <w:rPr>
        <w:rFonts w:hint="default"/>
        <w:lang w:val="en-US" w:eastAsia="en-US" w:bidi="ar-SA"/>
      </w:rPr>
    </w:lvl>
    <w:lvl w:ilvl="4">
      <w:start w:val="0"/>
      <w:numFmt w:val="bullet"/>
      <w:lvlText w:val="•"/>
      <w:lvlJc w:val="left"/>
      <w:pPr>
        <w:ind w:left="4648" w:hanging="360"/>
      </w:pPr>
      <w:rPr>
        <w:rFonts w:hint="default"/>
        <w:lang w:val="en-US" w:eastAsia="en-US" w:bidi="ar-SA"/>
      </w:rPr>
    </w:lvl>
    <w:lvl w:ilvl="5">
      <w:start w:val="0"/>
      <w:numFmt w:val="bullet"/>
      <w:lvlText w:val="•"/>
      <w:lvlJc w:val="left"/>
      <w:pPr>
        <w:ind w:left="5520" w:hanging="360"/>
      </w:pPr>
      <w:rPr>
        <w:rFonts w:hint="default"/>
        <w:lang w:val="en-US" w:eastAsia="en-US" w:bidi="ar-SA"/>
      </w:rPr>
    </w:lvl>
    <w:lvl w:ilvl="6">
      <w:start w:val="0"/>
      <w:numFmt w:val="bullet"/>
      <w:lvlText w:val="•"/>
      <w:lvlJc w:val="left"/>
      <w:pPr>
        <w:ind w:left="6392" w:hanging="360"/>
      </w:pPr>
      <w:rPr>
        <w:rFonts w:hint="default"/>
        <w:lang w:val="en-US" w:eastAsia="en-US" w:bidi="ar-SA"/>
      </w:rPr>
    </w:lvl>
    <w:lvl w:ilvl="7">
      <w:start w:val="0"/>
      <w:numFmt w:val="bullet"/>
      <w:lvlText w:val="•"/>
      <w:lvlJc w:val="left"/>
      <w:pPr>
        <w:ind w:left="7264" w:hanging="360"/>
      </w:pPr>
      <w:rPr>
        <w:rFonts w:hint="default"/>
        <w:lang w:val="en-US" w:eastAsia="en-US" w:bidi="ar-SA"/>
      </w:rPr>
    </w:lvl>
    <w:lvl w:ilvl="8">
      <w:start w:val="0"/>
      <w:numFmt w:val="bullet"/>
      <w:lvlText w:val="•"/>
      <w:lvlJc w:val="left"/>
      <w:pPr>
        <w:ind w:left="8136" w:hanging="360"/>
      </w:pPr>
      <w:rPr>
        <w:rFonts w:hint="default"/>
        <w:lang w:val="en-US" w:eastAsia="en-US" w:bidi="ar-SA"/>
      </w:rPr>
    </w:lvl>
  </w:abstractNum>
  <w:abstractNum w:abstractNumId="2">
    <w:nsid w:val="1E776933"/>
    <w:multiLevelType w:val="hybridMultilevel"/>
    <w:tmpl w:val="00000000"/>
    <w:lvl w:ilvl="0">
      <w:start w:val="0"/>
      <w:numFmt w:val="bullet"/>
      <w:lvlText w:val=""/>
      <w:lvlJc w:val="left"/>
      <w:pPr>
        <w:ind w:left="1160" w:hanging="360"/>
      </w:pPr>
      <w:rPr>
        <w:rFonts w:ascii="Wingdings" w:eastAsia="Wingdings" w:hAnsi="Wingdings" w:cs="Wingdings" w:hint="default"/>
        <w:b w:val="0"/>
        <w:bCs w:val="0"/>
        <w:i w:val="0"/>
        <w:iCs w:val="0"/>
        <w:spacing w:val="0"/>
        <w:w w:val="100"/>
        <w:sz w:val="21"/>
        <w:szCs w:val="21"/>
        <w:lang w:val="en-US" w:eastAsia="en-US" w:bidi="ar-SA"/>
      </w:rPr>
    </w:lvl>
    <w:lvl w:ilvl="1">
      <w:start w:val="0"/>
      <w:numFmt w:val="bullet"/>
      <w:lvlText w:val="•"/>
      <w:lvlJc w:val="left"/>
      <w:pPr>
        <w:ind w:left="2032" w:hanging="360"/>
      </w:pPr>
      <w:rPr>
        <w:rFonts w:hint="default"/>
        <w:lang w:val="en-US" w:eastAsia="en-US" w:bidi="ar-SA"/>
      </w:rPr>
    </w:lvl>
    <w:lvl w:ilvl="2">
      <w:start w:val="0"/>
      <w:numFmt w:val="bullet"/>
      <w:lvlText w:val="•"/>
      <w:lvlJc w:val="left"/>
      <w:pPr>
        <w:ind w:left="2904" w:hanging="360"/>
      </w:pPr>
      <w:rPr>
        <w:rFonts w:hint="default"/>
        <w:lang w:val="en-US" w:eastAsia="en-US" w:bidi="ar-SA"/>
      </w:rPr>
    </w:lvl>
    <w:lvl w:ilvl="3">
      <w:start w:val="0"/>
      <w:numFmt w:val="bullet"/>
      <w:lvlText w:val="•"/>
      <w:lvlJc w:val="left"/>
      <w:pPr>
        <w:ind w:left="3776" w:hanging="360"/>
      </w:pPr>
      <w:rPr>
        <w:rFonts w:hint="default"/>
        <w:lang w:val="en-US" w:eastAsia="en-US" w:bidi="ar-SA"/>
      </w:rPr>
    </w:lvl>
    <w:lvl w:ilvl="4">
      <w:start w:val="0"/>
      <w:numFmt w:val="bullet"/>
      <w:lvlText w:val="•"/>
      <w:lvlJc w:val="left"/>
      <w:pPr>
        <w:ind w:left="4648" w:hanging="360"/>
      </w:pPr>
      <w:rPr>
        <w:rFonts w:hint="default"/>
        <w:lang w:val="en-US" w:eastAsia="en-US" w:bidi="ar-SA"/>
      </w:rPr>
    </w:lvl>
    <w:lvl w:ilvl="5">
      <w:start w:val="0"/>
      <w:numFmt w:val="bullet"/>
      <w:lvlText w:val="•"/>
      <w:lvlJc w:val="left"/>
      <w:pPr>
        <w:ind w:left="5520" w:hanging="360"/>
      </w:pPr>
      <w:rPr>
        <w:rFonts w:hint="default"/>
        <w:lang w:val="en-US" w:eastAsia="en-US" w:bidi="ar-SA"/>
      </w:rPr>
    </w:lvl>
    <w:lvl w:ilvl="6">
      <w:start w:val="0"/>
      <w:numFmt w:val="bullet"/>
      <w:lvlText w:val="•"/>
      <w:lvlJc w:val="left"/>
      <w:pPr>
        <w:ind w:left="6392" w:hanging="360"/>
      </w:pPr>
      <w:rPr>
        <w:rFonts w:hint="default"/>
        <w:lang w:val="en-US" w:eastAsia="en-US" w:bidi="ar-SA"/>
      </w:rPr>
    </w:lvl>
    <w:lvl w:ilvl="7">
      <w:start w:val="0"/>
      <w:numFmt w:val="bullet"/>
      <w:lvlText w:val="•"/>
      <w:lvlJc w:val="left"/>
      <w:pPr>
        <w:ind w:left="7264" w:hanging="360"/>
      </w:pPr>
      <w:rPr>
        <w:rFonts w:hint="default"/>
        <w:lang w:val="en-US" w:eastAsia="en-US" w:bidi="ar-SA"/>
      </w:rPr>
    </w:lvl>
    <w:lvl w:ilvl="8">
      <w:start w:val="0"/>
      <w:numFmt w:val="bullet"/>
      <w:lvlText w:val="•"/>
      <w:lvlJc w:val="left"/>
      <w:pPr>
        <w:ind w:left="8136" w:hanging="360"/>
      </w:pPr>
      <w:rPr>
        <w:rFonts w:hint="default"/>
        <w:lang w:val="en-US" w:eastAsia="en-US" w:bidi="ar-SA"/>
      </w:rPr>
    </w:lvl>
  </w:abstractNum>
  <w:abstractNum w:abstractNumId="3">
    <w:nsid w:val="223625C6"/>
    <w:multiLevelType w:val="hybridMultilevel"/>
    <w:tmpl w:val="00000000"/>
    <w:lvl w:ilvl="0">
      <w:start w:val="34"/>
      <w:numFmt w:val="decimal"/>
      <w:lvlText w:val="%1."/>
      <w:lvlJc w:val="left"/>
      <w:pPr>
        <w:ind w:left="58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124"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093" w:hanging="540"/>
      </w:pPr>
      <w:rPr>
        <w:rFonts w:hint="default"/>
        <w:lang w:val="en-US" w:eastAsia="en-US" w:bidi="ar-SA"/>
      </w:rPr>
    </w:lvl>
    <w:lvl w:ilvl="3">
      <w:start w:val="0"/>
      <w:numFmt w:val="bullet"/>
      <w:lvlText w:val="•"/>
      <w:lvlJc w:val="left"/>
      <w:pPr>
        <w:ind w:left="3066" w:hanging="540"/>
      </w:pPr>
      <w:rPr>
        <w:rFonts w:hint="default"/>
        <w:lang w:val="en-US" w:eastAsia="en-US" w:bidi="ar-SA"/>
      </w:rPr>
    </w:lvl>
    <w:lvl w:ilvl="4">
      <w:start w:val="0"/>
      <w:numFmt w:val="bullet"/>
      <w:lvlText w:val="•"/>
      <w:lvlJc w:val="left"/>
      <w:pPr>
        <w:ind w:left="4040" w:hanging="540"/>
      </w:pPr>
      <w:rPr>
        <w:rFonts w:hint="default"/>
        <w:lang w:val="en-US" w:eastAsia="en-US" w:bidi="ar-SA"/>
      </w:rPr>
    </w:lvl>
    <w:lvl w:ilvl="5">
      <w:start w:val="0"/>
      <w:numFmt w:val="bullet"/>
      <w:lvlText w:val="•"/>
      <w:lvlJc w:val="left"/>
      <w:pPr>
        <w:ind w:left="5013" w:hanging="540"/>
      </w:pPr>
      <w:rPr>
        <w:rFonts w:hint="default"/>
        <w:lang w:val="en-US" w:eastAsia="en-US" w:bidi="ar-SA"/>
      </w:rPr>
    </w:lvl>
    <w:lvl w:ilvl="6">
      <w:start w:val="0"/>
      <w:numFmt w:val="bullet"/>
      <w:lvlText w:val="•"/>
      <w:lvlJc w:val="left"/>
      <w:pPr>
        <w:ind w:left="5986" w:hanging="540"/>
      </w:pPr>
      <w:rPr>
        <w:rFonts w:hint="default"/>
        <w:lang w:val="en-US" w:eastAsia="en-US" w:bidi="ar-SA"/>
      </w:rPr>
    </w:lvl>
    <w:lvl w:ilvl="7">
      <w:start w:val="0"/>
      <w:numFmt w:val="bullet"/>
      <w:lvlText w:val="•"/>
      <w:lvlJc w:val="left"/>
      <w:pPr>
        <w:ind w:left="6960" w:hanging="540"/>
      </w:pPr>
      <w:rPr>
        <w:rFonts w:hint="default"/>
        <w:lang w:val="en-US" w:eastAsia="en-US" w:bidi="ar-SA"/>
      </w:rPr>
    </w:lvl>
    <w:lvl w:ilvl="8">
      <w:start w:val="0"/>
      <w:numFmt w:val="bullet"/>
      <w:lvlText w:val="•"/>
      <w:lvlJc w:val="left"/>
      <w:pPr>
        <w:ind w:left="7933" w:hanging="540"/>
      </w:pPr>
      <w:rPr>
        <w:rFonts w:hint="default"/>
        <w:lang w:val="en-US" w:eastAsia="en-US" w:bidi="ar-SA"/>
      </w:rPr>
    </w:lvl>
  </w:abstractNum>
  <w:abstractNum w:abstractNumId="4">
    <w:nsid w:val="258F2915"/>
    <w:multiLevelType w:val="hybridMultilevel"/>
    <w:tmpl w:val="00000000"/>
    <w:lvl w:ilvl="0">
      <w:start w:val="1"/>
      <w:numFmt w:val="decimal"/>
      <w:lvlText w:val="%1."/>
      <w:lvlJc w:val="left"/>
      <w:pPr>
        <w:ind w:left="58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124"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844"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295"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0"/>
      <w:numFmt w:val="bullet"/>
      <w:lvlText w:val="•"/>
      <w:lvlJc w:val="left"/>
      <w:pPr>
        <w:ind w:left="2300" w:hanging="360"/>
      </w:pPr>
      <w:rPr>
        <w:rFonts w:hint="default"/>
        <w:lang w:val="en-US" w:eastAsia="en-US" w:bidi="ar-SA"/>
      </w:rPr>
    </w:lvl>
    <w:lvl w:ilvl="5">
      <w:start w:val="0"/>
      <w:numFmt w:val="bullet"/>
      <w:lvlText w:val="•"/>
      <w:lvlJc w:val="left"/>
      <w:pPr>
        <w:ind w:left="3563" w:hanging="360"/>
      </w:pPr>
      <w:rPr>
        <w:rFonts w:hint="default"/>
        <w:lang w:val="en-US" w:eastAsia="en-US" w:bidi="ar-SA"/>
      </w:rPr>
    </w:lvl>
    <w:lvl w:ilvl="6">
      <w:start w:val="0"/>
      <w:numFmt w:val="bullet"/>
      <w:lvlText w:val="•"/>
      <w:lvlJc w:val="left"/>
      <w:pPr>
        <w:ind w:left="4826" w:hanging="360"/>
      </w:pPr>
      <w:rPr>
        <w:rFonts w:hint="default"/>
        <w:lang w:val="en-US" w:eastAsia="en-US" w:bidi="ar-SA"/>
      </w:rPr>
    </w:lvl>
    <w:lvl w:ilvl="7">
      <w:start w:val="0"/>
      <w:numFmt w:val="bullet"/>
      <w:lvlText w:val="•"/>
      <w:lvlJc w:val="left"/>
      <w:pPr>
        <w:ind w:left="6090" w:hanging="360"/>
      </w:pPr>
      <w:rPr>
        <w:rFonts w:hint="default"/>
        <w:lang w:val="en-US" w:eastAsia="en-US" w:bidi="ar-SA"/>
      </w:rPr>
    </w:lvl>
    <w:lvl w:ilvl="8">
      <w:start w:val="0"/>
      <w:numFmt w:val="bullet"/>
      <w:lvlText w:val="•"/>
      <w:lvlJc w:val="left"/>
      <w:pPr>
        <w:ind w:left="7353" w:hanging="360"/>
      </w:pPr>
      <w:rPr>
        <w:rFonts w:hint="default"/>
        <w:lang w:val="en-US" w:eastAsia="en-US" w:bidi="ar-SA"/>
      </w:rPr>
    </w:lvl>
  </w:abstractNum>
  <w:abstractNum w:abstractNumId="5">
    <w:nsid w:val="2DA50B55"/>
    <w:multiLevelType w:val="hybridMultilevel"/>
    <w:tmpl w:val="00000000"/>
    <w:lvl w:ilvl="0">
      <w:start w:val="0"/>
      <w:numFmt w:val="bullet"/>
      <w:lvlText w:val="•"/>
      <w:lvlJc w:val="left"/>
      <w:pPr>
        <w:ind w:left="16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0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893" w:hanging="360"/>
      </w:pPr>
      <w:rPr>
        <w:rFonts w:hint="default"/>
        <w:lang w:val="en-US" w:eastAsia="en-US" w:bidi="ar-SA"/>
      </w:rPr>
    </w:lvl>
    <w:lvl w:ilvl="3">
      <w:start w:val="0"/>
      <w:numFmt w:val="bullet"/>
      <w:lvlText w:val="•"/>
      <w:lvlJc w:val="left"/>
      <w:pPr>
        <w:ind w:left="3766"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513" w:hanging="360"/>
      </w:pPr>
      <w:rPr>
        <w:rFonts w:hint="default"/>
        <w:lang w:val="en-US" w:eastAsia="en-US" w:bidi="ar-SA"/>
      </w:rPr>
    </w:lvl>
    <w:lvl w:ilvl="6">
      <w:start w:val="0"/>
      <w:numFmt w:val="bullet"/>
      <w:lvlText w:val="•"/>
      <w:lvlJc w:val="left"/>
      <w:pPr>
        <w:ind w:left="6386" w:hanging="360"/>
      </w:pPr>
      <w:rPr>
        <w:rFonts w:hint="default"/>
        <w:lang w:val="en-US" w:eastAsia="en-US" w:bidi="ar-SA"/>
      </w:rPr>
    </w:lvl>
    <w:lvl w:ilvl="7">
      <w:start w:val="0"/>
      <w:numFmt w:val="bullet"/>
      <w:lvlText w:val="•"/>
      <w:lvlJc w:val="left"/>
      <w:pPr>
        <w:ind w:left="7260" w:hanging="360"/>
      </w:pPr>
      <w:rPr>
        <w:rFonts w:hint="default"/>
        <w:lang w:val="en-US" w:eastAsia="en-US" w:bidi="ar-SA"/>
      </w:rPr>
    </w:lvl>
    <w:lvl w:ilvl="8">
      <w:start w:val="0"/>
      <w:numFmt w:val="bullet"/>
      <w:lvlText w:val="•"/>
      <w:lvlJc w:val="left"/>
      <w:pPr>
        <w:ind w:left="8133" w:hanging="360"/>
      </w:pPr>
      <w:rPr>
        <w:rFonts w:hint="default"/>
        <w:lang w:val="en-US" w:eastAsia="en-US" w:bidi="ar-SA"/>
      </w:rPr>
    </w:lvl>
  </w:abstractNum>
  <w:abstractNum w:abstractNumId="6">
    <w:nsid w:val="30D32227"/>
    <w:multiLevelType w:val="hybridMultilevel"/>
    <w:tmpl w:val="00000000"/>
    <w:lvl w:ilvl="0">
      <w:start w:val="0"/>
      <w:numFmt w:val="bullet"/>
      <w:lvlText w:val=""/>
      <w:lvlJc w:val="left"/>
      <w:pPr>
        <w:ind w:left="1160" w:hanging="360"/>
      </w:pPr>
      <w:rPr>
        <w:rFonts w:ascii="Wingdings" w:eastAsia="Wingdings" w:hAnsi="Wingdings" w:cs="Wingdings" w:hint="default"/>
        <w:b w:val="0"/>
        <w:bCs w:val="0"/>
        <w:i w:val="0"/>
        <w:iCs w:val="0"/>
        <w:spacing w:val="0"/>
        <w:w w:val="100"/>
        <w:sz w:val="21"/>
        <w:szCs w:val="21"/>
        <w:lang w:val="en-US" w:eastAsia="en-US" w:bidi="ar-SA"/>
      </w:rPr>
    </w:lvl>
    <w:lvl w:ilvl="1">
      <w:start w:val="0"/>
      <w:numFmt w:val="bullet"/>
      <w:lvlText w:val="•"/>
      <w:lvlJc w:val="left"/>
      <w:pPr>
        <w:ind w:left="2032" w:hanging="360"/>
      </w:pPr>
      <w:rPr>
        <w:rFonts w:hint="default"/>
        <w:lang w:val="en-US" w:eastAsia="en-US" w:bidi="ar-SA"/>
      </w:rPr>
    </w:lvl>
    <w:lvl w:ilvl="2">
      <w:start w:val="0"/>
      <w:numFmt w:val="bullet"/>
      <w:lvlText w:val="•"/>
      <w:lvlJc w:val="left"/>
      <w:pPr>
        <w:ind w:left="2904" w:hanging="360"/>
      </w:pPr>
      <w:rPr>
        <w:rFonts w:hint="default"/>
        <w:lang w:val="en-US" w:eastAsia="en-US" w:bidi="ar-SA"/>
      </w:rPr>
    </w:lvl>
    <w:lvl w:ilvl="3">
      <w:start w:val="0"/>
      <w:numFmt w:val="bullet"/>
      <w:lvlText w:val="•"/>
      <w:lvlJc w:val="left"/>
      <w:pPr>
        <w:ind w:left="3776" w:hanging="360"/>
      </w:pPr>
      <w:rPr>
        <w:rFonts w:hint="default"/>
        <w:lang w:val="en-US" w:eastAsia="en-US" w:bidi="ar-SA"/>
      </w:rPr>
    </w:lvl>
    <w:lvl w:ilvl="4">
      <w:start w:val="0"/>
      <w:numFmt w:val="bullet"/>
      <w:lvlText w:val="•"/>
      <w:lvlJc w:val="left"/>
      <w:pPr>
        <w:ind w:left="4648" w:hanging="360"/>
      </w:pPr>
      <w:rPr>
        <w:rFonts w:hint="default"/>
        <w:lang w:val="en-US" w:eastAsia="en-US" w:bidi="ar-SA"/>
      </w:rPr>
    </w:lvl>
    <w:lvl w:ilvl="5">
      <w:start w:val="0"/>
      <w:numFmt w:val="bullet"/>
      <w:lvlText w:val="•"/>
      <w:lvlJc w:val="left"/>
      <w:pPr>
        <w:ind w:left="5520" w:hanging="360"/>
      </w:pPr>
      <w:rPr>
        <w:rFonts w:hint="default"/>
        <w:lang w:val="en-US" w:eastAsia="en-US" w:bidi="ar-SA"/>
      </w:rPr>
    </w:lvl>
    <w:lvl w:ilvl="6">
      <w:start w:val="0"/>
      <w:numFmt w:val="bullet"/>
      <w:lvlText w:val="•"/>
      <w:lvlJc w:val="left"/>
      <w:pPr>
        <w:ind w:left="6392" w:hanging="360"/>
      </w:pPr>
      <w:rPr>
        <w:rFonts w:hint="default"/>
        <w:lang w:val="en-US" w:eastAsia="en-US" w:bidi="ar-SA"/>
      </w:rPr>
    </w:lvl>
    <w:lvl w:ilvl="7">
      <w:start w:val="0"/>
      <w:numFmt w:val="bullet"/>
      <w:lvlText w:val="•"/>
      <w:lvlJc w:val="left"/>
      <w:pPr>
        <w:ind w:left="7264" w:hanging="360"/>
      </w:pPr>
      <w:rPr>
        <w:rFonts w:hint="default"/>
        <w:lang w:val="en-US" w:eastAsia="en-US" w:bidi="ar-SA"/>
      </w:rPr>
    </w:lvl>
    <w:lvl w:ilvl="8">
      <w:start w:val="0"/>
      <w:numFmt w:val="bullet"/>
      <w:lvlText w:val="•"/>
      <w:lvlJc w:val="left"/>
      <w:pPr>
        <w:ind w:left="8136" w:hanging="360"/>
      </w:pPr>
      <w:rPr>
        <w:rFonts w:hint="default"/>
        <w:lang w:val="en-US" w:eastAsia="en-US" w:bidi="ar-SA"/>
      </w:rPr>
    </w:lvl>
  </w:abstractNum>
  <w:abstractNum w:abstractNumId="7">
    <w:nsid w:val="353BB5BF"/>
    <w:multiLevelType w:val="hybridMultilevel"/>
    <w:tmpl w:val="00000000"/>
    <w:lvl w:ilvl="0">
      <w:start w:val="1"/>
      <w:numFmt w:val="decimal"/>
      <w:lvlText w:val="%1)"/>
      <w:lvlJc w:val="left"/>
      <w:pPr>
        <w:ind w:left="11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032" w:hanging="360"/>
      </w:pPr>
      <w:rPr>
        <w:rFonts w:hint="default"/>
        <w:lang w:val="en-US" w:eastAsia="en-US" w:bidi="ar-SA"/>
      </w:rPr>
    </w:lvl>
    <w:lvl w:ilvl="2">
      <w:start w:val="0"/>
      <w:numFmt w:val="bullet"/>
      <w:lvlText w:val="•"/>
      <w:lvlJc w:val="left"/>
      <w:pPr>
        <w:ind w:left="2904" w:hanging="360"/>
      </w:pPr>
      <w:rPr>
        <w:rFonts w:hint="default"/>
        <w:lang w:val="en-US" w:eastAsia="en-US" w:bidi="ar-SA"/>
      </w:rPr>
    </w:lvl>
    <w:lvl w:ilvl="3">
      <w:start w:val="0"/>
      <w:numFmt w:val="bullet"/>
      <w:lvlText w:val="•"/>
      <w:lvlJc w:val="left"/>
      <w:pPr>
        <w:ind w:left="3776" w:hanging="360"/>
      </w:pPr>
      <w:rPr>
        <w:rFonts w:hint="default"/>
        <w:lang w:val="en-US" w:eastAsia="en-US" w:bidi="ar-SA"/>
      </w:rPr>
    </w:lvl>
    <w:lvl w:ilvl="4">
      <w:start w:val="0"/>
      <w:numFmt w:val="bullet"/>
      <w:lvlText w:val="•"/>
      <w:lvlJc w:val="left"/>
      <w:pPr>
        <w:ind w:left="4648" w:hanging="360"/>
      </w:pPr>
      <w:rPr>
        <w:rFonts w:hint="default"/>
        <w:lang w:val="en-US" w:eastAsia="en-US" w:bidi="ar-SA"/>
      </w:rPr>
    </w:lvl>
    <w:lvl w:ilvl="5">
      <w:start w:val="0"/>
      <w:numFmt w:val="bullet"/>
      <w:lvlText w:val="•"/>
      <w:lvlJc w:val="left"/>
      <w:pPr>
        <w:ind w:left="5520" w:hanging="360"/>
      </w:pPr>
      <w:rPr>
        <w:rFonts w:hint="default"/>
        <w:lang w:val="en-US" w:eastAsia="en-US" w:bidi="ar-SA"/>
      </w:rPr>
    </w:lvl>
    <w:lvl w:ilvl="6">
      <w:start w:val="0"/>
      <w:numFmt w:val="bullet"/>
      <w:lvlText w:val="•"/>
      <w:lvlJc w:val="left"/>
      <w:pPr>
        <w:ind w:left="6392" w:hanging="360"/>
      </w:pPr>
      <w:rPr>
        <w:rFonts w:hint="default"/>
        <w:lang w:val="en-US" w:eastAsia="en-US" w:bidi="ar-SA"/>
      </w:rPr>
    </w:lvl>
    <w:lvl w:ilvl="7">
      <w:start w:val="0"/>
      <w:numFmt w:val="bullet"/>
      <w:lvlText w:val="•"/>
      <w:lvlJc w:val="left"/>
      <w:pPr>
        <w:ind w:left="7264" w:hanging="360"/>
      </w:pPr>
      <w:rPr>
        <w:rFonts w:hint="default"/>
        <w:lang w:val="en-US" w:eastAsia="en-US" w:bidi="ar-SA"/>
      </w:rPr>
    </w:lvl>
    <w:lvl w:ilvl="8">
      <w:start w:val="0"/>
      <w:numFmt w:val="bullet"/>
      <w:lvlText w:val="•"/>
      <w:lvlJc w:val="left"/>
      <w:pPr>
        <w:ind w:left="8136" w:hanging="360"/>
      </w:pPr>
      <w:rPr>
        <w:rFonts w:hint="default"/>
        <w:lang w:val="en-US" w:eastAsia="en-US" w:bidi="ar-SA"/>
      </w:rPr>
    </w:lvl>
  </w:abstractNum>
  <w:abstractNum w:abstractNumId="8">
    <w:nsid w:val="40941945"/>
    <w:multiLevelType w:val="hybridMultilevel"/>
    <w:tmpl w:val="00000000"/>
    <w:lvl w:ilvl="0">
      <w:start w:val="0"/>
      <w:numFmt w:val="bullet"/>
      <w:lvlText w:val=""/>
      <w:lvlJc w:val="left"/>
      <w:pPr>
        <w:ind w:left="1304" w:hanging="360"/>
      </w:pPr>
      <w:rPr>
        <w:rFonts w:ascii="Wingdings" w:eastAsia="Wingdings" w:hAnsi="Wingdings" w:cs="Wingdings" w:hint="default"/>
        <w:b w:val="0"/>
        <w:bCs w:val="0"/>
        <w:i w:val="0"/>
        <w:iCs w:val="0"/>
        <w:spacing w:val="0"/>
        <w:w w:val="100"/>
        <w:sz w:val="21"/>
        <w:szCs w:val="21"/>
        <w:lang w:val="en-US" w:eastAsia="en-US" w:bidi="ar-SA"/>
      </w:rPr>
    </w:lvl>
    <w:lvl w:ilvl="1">
      <w:start w:val="0"/>
      <w:numFmt w:val="bullet"/>
      <w:lvlText w:val="•"/>
      <w:lvlJc w:val="left"/>
      <w:pPr>
        <w:ind w:left="16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486" w:hanging="360"/>
      </w:pPr>
      <w:rPr>
        <w:rFonts w:hint="default"/>
        <w:lang w:val="en-US" w:eastAsia="en-US" w:bidi="ar-SA"/>
      </w:rPr>
    </w:lvl>
    <w:lvl w:ilvl="4">
      <w:start w:val="0"/>
      <w:numFmt w:val="bullet"/>
      <w:lvlText w:val="•"/>
      <w:lvlJc w:val="left"/>
      <w:pPr>
        <w:ind w:left="4400" w:hanging="360"/>
      </w:pPr>
      <w:rPr>
        <w:rFonts w:hint="default"/>
        <w:lang w:val="en-US" w:eastAsia="en-US" w:bidi="ar-SA"/>
      </w:rPr>
    </w:lvl>
    <w:lvl w:ilvl="5">
      <w:start w:val="0"/>
      <w:numFmt w:val="bullet"/>
      <w:lvlText w:val="•"/>
      <w:lvlJc w:val="left"/>
      <w:pPr>
        <w:ind w:left="5313" w:hanging="360"/>
      </w:pPr>
      <w:rPr>
        <w:rFonts w:hint="default"/>
        <w:lang w:val="en-US" w:eastAsia="en-US" w:bidi="ar-SA"/>
      </w:rPr>
    </w:lvl>
    <w:lvl w:ilvl="6">
      <w:start w:val="0"/>
      <w:numFmt w:val="bullet"/>
      <w:lvlText w:val="•"/>
      <w:lvlJc w:val="left"/>
      <w:pPr>
        <w:ind w:left="6226" w:hanging="360"/>
      </w:pPr>
      <w:rPr>
        <w:rFonts w:hint="default"/>
        <w:lang w:val="en-US" w:eastAsia="en-US" w:bidi="ar-SA"/>
      </w:rPr>
    </w:lvl>
    <w:lvl w:ilvl="7">
      <w:start w:val="0"/>
      <w:numFmt w:val="bullet"/>
      <w:lvlText w:val="•"/>
      <w:lvlJc w:val="left"/>
      <w:pPr>
        <w:ind w:left="7140" w:hanging="360"/>
      </w:pPr>
      <w:rPr>
        <w:rFonts w:hint="default"/>
        <w:lang w:val="en-US" w:eastAsia="en-US" w:bidi="ar-SA"/>
      </w:rPr>
    </w:lvl>
    <w:lvl w:ilvl="8">
      <w:start w:val="0"/>
      <w:numFmt w:val="bullet"/>
      <w:lvlText w:val="•"/>
      <w:lvlJc w:val="left"/>
      <w:pPr>
        <w:ind w:left="8053" w:hanging="360"/>
      </w:pPr>
      <w:rPr>
        <w:rFonts w:hint="default"/>
        <w:lang w:val="en-US" w:eastAsia="en-US" w:bidi="ar-SA"/>
      </w:rPr>
    </w:lvl>
  </w:abstractNum>
  <w:abstractNum w:abstractNumId="9">
    <w:nsid w:val="4221D8EB"/>
    <w:multiLevelType w:val="hybridMultilevel"/>
    <w:tmpl w:val="00000000"/>
    <w:lvl w:ilvl="0">
      <w:start w:val="0"/>
      <w:numFmt w:val="bullet"/>
      <w:lvlText w:val="•"/>
      <w:lvlJc w:val="left"/>
      <w:pPr>
        <w:ind w:left="9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2687" w:hanging="360"/>
      </w:pPr>
      <w:rPr>
        <w:rFonts w:hint="default"/>
        <w:lang w:val="en-US" w:eastAsia="en-US" w:bidi="ar-SA"/>
      </w:rPr>
    </w:lvl>
    <w:lvl w:ilvl="4">
      <w:start w:val="0"/>
      <w:numFmt w:val="bullet"/>
      <w:lvlText w:val="•"/>
      <w:lvlJc w:val="left"/>
      <w:pPr>
        <w:ind w:left="3715" w:hanging="360"/>
      </w:pPr>
      <w:rPr>
        <w:rFonts w:hint="default"/>
        <w:lang w:val="en-US" w:eastAsia="en-US" w:bidi="ar-SA"/>
      </w:rPr>
    </w:lvl>
    <w:lvl w:ilvl="5">
      <w:start w:val="0"/>
      <w:numFmt w:val="bullet"/>
      <w:lvlText w:val="•"/>
      <w:lvlJc w:val="left"/>
      <w:pPr>
        <w:ind w:left="4742" w:hanging="360"/>
      </w:pPr>
      <w:rPr>
        <w:rFonts w:hint="default"/>
        <w:lang w:val="en-US" w:eastAsia="en-US" w:bidi="ar-SA"/>
      </w:rPr>
    </w:lvl>
    <w:lvl w:ilvl="6">
      <w:start w:val="0"/>
      <w:numFmt w:val="bullet"/>
      <w:lvlText w:val="•"/>
      <w:lvlJc w:val="left"/>
      <w:pPr>
        <w:ind w:left="5770" w:hanging="360"/>
      </w:pPr>
      <w:rPr>
        <w:rFonts w:hint="default"/>
        <w:lang w:val="en-US" w:eastAsia="en-US" w:bidi="ar-SA"/>
      </w:rPr>
    </w:lvl>
    <w:lvl w:ilvl="7">
      <w:start w:val="0"/>
      <w:numFmt w:val="bullet"/>
      <w:lvlText w:val="•"/>
      <w:lvlJc w:val="left"/>
      <w:pPr>
        <w:ind w:left="6797" w:hanging="360"/>
      </w:pPr>
      <w:rPr>
        <w:rFonts w:hint="default"/>
        <w:lang w:val="en-US" w:eastAsia="en-US" w:bidi="ar-SA"/>
      </w:rPr>
    </w:lvl>
    <w:lvl w:ilvl="8">
      <w:start w:val="0"/>
      <w:numFmt w:val="bullet"/>
      <w:lvlText w:val="•"/>
      <w:lvlJc w:val="left"/>
      <w:pPr>
        <w:ind w:left="7825" w:hanging="360"/>
      </w:pPr>
      <w:rPr>
        <w:rFonts w:hint="default"/>
        <w:lang w:val="en-US" w:eastAsia="en-US" w:bidi="ar-SA"/>
      </w:rPr>
    </w:lvl>
  </w:abstractNum>
  <w:abstractNum w:abstractNumId="10">
    <w:nsid w:val="42B1835F"/>
    <w:multiLevelType w:val="hybridMultilevel"/>
    <w:tmpl w:val="00000000"/>
    <w:lvl w:ilvl="0">
      <w:start w:val="0"/>
      <w:numFmt w:val="bullet"/>
      <w:lvlText w:val="•"/>
      <w:lvlJc w:val="left"/>
      <w:pPr>
        <w:ind w:left="9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253" w:hanging="360"/>
      </w:pPr>
      <w:rPr>
        <w:rFonts w:hint="default"/>
        <w:lang w:val="en-US" w:eastAsia="en-US" w:bidi="ar-SA"/>
      </w:rPr>
    </w:lvl>
    <w:lvl w:ilvl="3">
      <w:start w:val="0"/>
      <w:numFmt w:val="bullet"/>
      <w:lvlText w:val="•"/>
      <w:lvlJc w:val="left"/>
      <w:pPr>
        <w:ind w:left="3206" w:hanging="360"/>
      </w:pPr>
      <w:rPr>
        <w:rFonts w:hint="default"/>
        <w:lang w:val="en-US" w:eastAsia="en-US" w:bidi="ar-SA"/>
      </w:rPr>
    </w:lvl>
    <w:lvl w:ilvl="4">
      <w:start w:val="0"/>
      <w:numFmt w:val="bullet"/>
      <w:lvlText w:val="•"/>
      <w:lvlJc w:val="left"/>
      <w:pPr>
        <w:ind w:left="416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66"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11">
    <w:nsid w:val="4DA73089"/>
    <w:multiLevelType w:val="hybridMultilevel"/>
    <w:tmpl w:val="00000000"/>
    <w:lvl w:ilvl="0">
      <w:start w:val="1"/>
      <w:numFmt w:val="upperRoman"/>
      <w:lvlText w:val="%1."/>
      <w:lvlJc w:val="left"/>
      <w:pPr>
        <w:ind w:left="399" w:hanging="17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start w:val="0"/>
      <w:numFmt w:val="bullet"/>
      <w:lvlText w:val="•"/>
      <w:lvlJc w:val="left"/>
      <w:pPr>
        <w:ind w:left="1348" w:hanging="176"/>
      </w:pPr>
      <w:rPr>
        <w:rFonts w:hint="default"/>
        <w:lang w:val="en-US" w:eastAsia="en-US" w:bidi="ar-SA"/>
      </w:rPr>
    </w:lvl>
    <w:lvl w:ilvl="2">
      <w:start w:val="0"/>
      <w:numFmt w:val="bullet"/>
      <w:lvlText w:val="•"/>
      <w:lvlJc w:val="left"/>
      <w:pPr>
        <w:ind w:left="2296" w:hanging="176"/>
      </w:pPr>
      <w:rPr>
        <w:rFonts w:hint="default"/>
        <w:lang w:val="en-US" w:eastAsia="en-US" w:bidi="ar-SA"/>
      </w:rPr>
    </w:lvl>
    <w:lvl w:ilvl="3">
      <w:start w:val="0"/>
      <w:numFmt w:val="bullet"/>
      <w:lvlText w:val="•"/>
      <w:lvlJc w:val="left"/>
      <w:pPr>
        <w:ind w:left="3244" w:hanging="176"/>
      </w:pPr>
      <w:rPr>
        <w:rFonts w:hint="default"/>
        <w:lang w:val="en-US" w:eastAsia="en-US" w:bidi="ar-SA"/>
      </w:rPr>
    </w:lvl>
    <w:lvl w:ilvl="4">
      <w:start w:val="0"/>
      <w:numFmt w:val="bullet"/>
      <w:lvlText w:val="•"/>
      <w:lvlJc w:val="left"/>
      <w:pPr>
        <w:ind w:left="4192" w:hanging="176"/>
      </w:pPr>
      <w:rPr>
        <w:rFonts w:hint="default"/>
        <w:lang w:val="en-US" w:eastAsia="en-US" w:bidi="ar-SA"/>
      </w:rPr>
    </w:lvl>
    <w:lvl w:ilvl="5">
      <w:start w:val="0"/>
      <w:numFmt w:val="bullet"/>
      <w:lvlText w:val="•"/>
      <w:lvlJc w:val="left"/>
      <w:pPr>
        <w:ind w:left="5140" w:hanging="176"/>
      </w:pPr>
      <w:rPr>
        <w:rFonts w:hint="default"/>
        <w:lang w:val="en-US" w:eastAsia="en-US" w:bidi="ar-SA"/>
      </w:rPr>
    </w:lvl>
    <w:lvl w:ilvl="6">
      <w:start w:val="0"/>
      <w:numFmt w:val="bullet"/>
      <w:lvlText w:val="•"/>
      <w:lvlJc w:val="left"/>
      <w:pPr>
        <w:ind w:left="6088" w:hanging="176"/>
      </w:pPr>
      <w:rPr>
        <w:rFonts w:hint="default"/>
        <w:lang w:val="en-US" w:eastAsia="en-US" w:bidi="ar-SA"/>
      </w:rPr>
    </w:lvl>
    <w:lvl w:ilvl="7">
      <w:start w:val="0"/>
      <w:numFmt w:val="bullet"/>
      <w:lvlText w:val="•"/>
      <w:lvlJc w:val="left"/>
      <w:pPr>
        <w:ind w:left="7036" w:hanging="176"/>
      </w:pPr>
      <w:rPr>
        <w:rFonts w:hint="default"/>
        <w:lang w:val="en-US" w:eastAsia="en-US" w:bidi="ar-SA"/>
      </w:rPr>
    </w:lvl>
    <w:lvl w:ilvl="8">
      <w:start w:val="0"/>
      <w:numFmt w:val="bullet"/>
      <w:lvlText w:val="•"/>
      <w:lvlJc w:val="left"/>
      <w:pPr>
        <w:ind w:left="7984" w:hanging="176"/>
      </w:pPr>
      <w:rPr>
        <w:rFonts w:hint="default"/>
        <w:lang w:val="en-US" w:eastAsia="en-US" w:bidi="ar-SA"/>
      </w:rPr>
    </w:lvl>
  </w:abstractNum>
  <w:abstractNum w:abstractNumId="12">
    <w:nsid w:val="57AFD48F"/>
    <w:multiLevelType w:val="hybridMultilevel"/>
    <w:tmpl w:val="00000000"/>
    <w:lvl w:ilvl="0">
      <w:start w:val="0"/>
      <w:numFmt w:val="bullet"/>
      <w:lvlText w:val="•"/>
      <w:lvlJc w:val="left"/>
      <w:pPr>
        <w:ind w:left="1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032" w:hanging="360"/>
      </w:pPr>
      <w:rPr>
        <w:rFonts w:hint="default"/>
        <w:lang w:val="en-US" w:eastAsia="en-US" w:bidi="ar-SA"/>
      </w:rPr>
    </w:lvl>
    <w:lvl w:ilvl="2">
      <w:start w:val="0"/>
      <w:numFmt w:val="bullet"/>
      <w:lvlText w:val="•"/>
      <w:lvlJc w:val="left"/>
      <w:pPr>
        <w:ind w:left="2904" w:hanging="360"/>
      </w:pPr>
      <w:rPr>
        <w:rFonts w:hint="default"/>
        <w:lang w:val="en-US" w:eastAsia="en-US" w:bidi="ar-SA"/>
      </w:rPr>
    </w:lvl>
    <w:lvl w:ilvl="3">
      <w:start w:val="0"/>
      <w:numFmt w:val="bullet"/>
      <w:lvlText w:val="•"/>
      <w:lvlJc w:val="left"/>
      <w:pPr>
        <w:ind w:left="3776" w:hanging="360"/>
      </w:pPr>
      <w:rPr>
        <w:rFonts w:hint="default"/>
        <w:lang w:val="en-US" w:eastAsia="en-US" w:bidi="ar-SA"/>
      </w:rPr>
    </w:lvl>
    <w:lvl w:ilvl="4">
      <w:start w:val="0"/>
      <w:numFmt w:val="bullet"/>
      <w:lvlText w:val="•"/>
      <w:lvlJc w:val="left"/>
      <w:pPr>
        <w:ind w:left="4648" w:hanging="360"/>
      </w:pPr>
      <w:rPr>
        <w:rFonts w:hint="default"/>
        <w:lang w:val="en-US" w:eastAsia="en-US" w:bidi="ar-SA"/>
      </w:rPr>
    </w:lvl>
    <w:lvl w:ilvl="5">
      <w:start w:val="0"/>
      <w:numFmt w:val="bullet"/>
      <w:lvlText w:val="•"/>
      <w:lvlJc w:val="left"/>
      <w:pPr>
        <w:ind w:left="5520" w:hanging="360"/>
      </w:pPr>
      <w:rPr>
        <w:rFonts w:hint="default"/>
        <w:lang w:val="en-US" w:eastAsia="en-US" w:bidi="ar-SA"/>
      </w:rPr>
    </w:lvl>
    <w:lvl w:ilvl="6">
      <w:start w:val="0"/>
      <w:numFmt w:val="bullet"/>
      <w:lvlText w:val="•"/>
      <w:lvlJc w:val="left"/>
      <w:pPr>
        <w:ind w:left="6392" w:hanging="360"/>
      </w:pPr>
      <w:rPr>
        <w:rFonts w:hint="default"/>
        <w:lang w:val="en-US" w:eastAsia="en-US" w:bidi="ar-SA"/>
      </w:rPr>
    </w:lvl>
    <w:lvl w:ilvl="7">
      <w:start w:val="0"/>
      <w:numFmt w:val="bullet"/>
      <w:lvlText w:val="•"/>
      <w:lvlJc w:val="left"/>
      <w:pPr>
        <w:ind w:left="7264" w:hanging="360"/>
      </w:pPr>
      <w:rPr>
        <w:rFonts w:hint="default"/>
        <w:lang w:val="en-US" w:eastAsia="en-US" w:bidi="ar-SA"/>
      </w:rPr>
    </w:lvl>
    <w:lvl w:ilvl="8">
      <w:start w:val="0"/>
      <w:numFmt w:val="bullet"/>
      <w:lvlText w:val="•"/>
      <w:lvlJc w:val="left"/>
      <w:pPr>
        <w:ind w:left="8136" w:hanging="360"/>
      </w:pPr>
      <w:rPr>
        <w:rFonts w:hint="default"/>
        <w:lang w:val="en-US" w:eastAsia="en-US" w:bidi="ar-SA"/>
      </w:rPr>
    </w:lvl>
  </w:abstractNum>
  <w:abstractNum w:abstractNumId="13">
    <w:nsid w:val="627FB7E1"/>
    <w:multiLevelType w:val="hybridMultilevel"/>
    <w:tmpl w:val="00000000"/>
    <w:lvl w:ilvl="0">
      <w:start w:val="1"/>
      <w:numFmt w:val="upperRoman"/>
      <w:lvlText w:val="%1."/>
      <w:lvlJc w:val="left"/>
      <w:pPr>
        <w:ind w:left="459" w:hanging="264"/>
        <w:jc w:val="left"/>
      </w:pPr>
      <w:rPr>
        <w:rFonts w:hint="default"/>
        <w:spacing w:val="0"/>
        <w:w w:val="87"/>
        <w:u w:val="single" w:color="000000"/>
        <w:lang w:val="en-US" w:eastAsia="en-US" w:bidi="ar-SA"/>
      </w:rPr>
    </w:lvl>
    <w:lvl w:ilvl="1">
      <w:start w:val="0"/>
      <w:numFmt w:val="bullet"/>
      <w:lvlText w:val="•"/>
      <w:lvlJc w:val="left"/>
      <w:pPr>
        <w:ind w:left="9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933" w:hanging="360"/>
      </w:pPr>
      <w:rPr>
        <w:rFonts w:hint="default"/>
        <w:lang w:val="en-US" w:eastAsia="en-US" w:bidi="ar-SA"/>
      </w:rPr>
    </w:lvl>
    <w:lvl w:ilvl="3">
      <w:start w:val="0"/>
      <w:numFmt w:val="bullet"/>
      <w:lvlText w:val="•"/>
      <w:lvlJc w:val="left"/>
      <w:pPr>
        <w:ind w:left="2926" w:hanging="360"/>
      </w:pPr>
      <w:rPr>
        <w:rFonts w:hint="default"/>
        <w:lang w:val="en-US" w:eastAsia="en-US" w:bidi="ar-SA"/>
      </w:rPr>
    </w:lvl>
    <w:lvl w:ilvl="4">
      <w:start w:val="0"/>
      <w:numFmt w:val="bullet"/>
      <w:lvlText w:val="•"/>
      <w:lvlJc w:val="left"/>
      <w:pPr>
        <w:ind w:left="392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90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893" w:hanging="360"/>
      </w:pPr>
      <w:rPr>
        <w:rFonts w:hint="default"/>
        <w:lang w:val="en-US" w:eastAsia="en-US" w:bidi="ar-SA"/>
      </w:rPr>
    </w:lvl>
  </w:abstractNum>
  <w:abstractNum w:abstractNumId="14">
    <w:nsid w:val="644FCEE0"/>
    <w:multiLevelType w:val="hybridMultilevel"/>
    <w:tmpl w:val="00000000"/>
    <w:lvl w:ilvl="0">
      <w:start w:val="0"/>
      <w:numFmt w:val="bullet"/>
      <w:lvlText w:val="•"/>
      <w:lvlJc w:val="left"/>
      <w:pPr>
        <w:ind w:left="9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253" w:hanging="360"/>
      </w:pPr>
      <w:rPr>
        <w:rFonts w:hint="default"/>
        <w:lang w:val="en-US" w:eastAsia="en-US" w:bidi="ar-SA"/>
      </w:rPr>
    </w:lvl>
    <w:lvl w:ilvl="3">
      <w:start w:val="0"/>
      <w:numFmt w:val="bullet"/>
      <w:lvlText w:val="•"/>
      <w:lvlJc w:val="left"/>
      <w:pPr>
        <w:ind w:left="3206" w:hanging="360"/>
      </w:pPr>
      <w:rPr>
        <w:rFonts w:hint="default"/>
        <w:lang w:val="en-US" w:eastAsia="en-US" w:bidi="ar-SA"/>
      </w:rPr>
    </w:lvl>
    <w:lvl w:ilvl="4">
      <w:start w:val="0"/>
      <w:numFmt w:val="bullet"/>
      <w:lvlText w:val="•"/>
      <w:lvlJc w:val="left"/>
      <w:pPr>
        <w:ind w:left="416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66"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15">
    <w:nsid w:val="651EB31B"/>
    <w:multiLevelType w:val="hybridMultilevel"/>
    <w:tmpl w:val="00000000"/>
    <w:lvl w:ilvl="0">
      <w:start w:val="0"/>
      <w:numFmt w:val="bullet"/>
      <w:lvlText w:val=""/>
      <w:lvlJc w:val="left"/>
      <w:pPr>
        <w:ind w:left="944" w:hanging="360"/>
      </w:pPr>
      <w:rPr>
        <w:rFonts w:ascii="Wingdings" w:eastAsia="Wingdings" w:hAnsi="Wingdings" w:cs="Wingdings" w:hint="default"/>
        <w:b w:val="0"/>
        <w:bCs w:val="0"/>
        <w:i w:val="0"/>
        <w:iCs w:val="0"/>
        <w:spacing w:val="0"/>
        <w:w w:val="100"/>
        <w:sz w:val="21"/>
        <w:szCs w:val="21"/>
        <w:lang w:val="en-US" w:eastAsia="en-US" w:bidi="ar-SA"/>
      </w:rPr>
    </w:lvl>
    <w:lvl w:ilvl="1">
      <w:start w:val="0"/>
      <w:numFmt w:val="bullet"/>
      <w:lvlText w:val="•"/>
      <w:lvlJc w:val="left"/>
      <w:pPr>
        <w:ind w:left="1834" w:hanging="360"/>
      </w:pPr>
      <w:rPr>
        <w:rFonts w:hint="default"/>
        <w:lang w:val="en-US" w:eastAsia="en-US" w:bidi="ar-SA"/>
      </w:rPr>
    </w:lvl>
    <w:lvl w:ilvl="2">
      <w:start w:val="0"/>
      <w:numFmt w:val="bullet"/>
      <w:lvlText w:val="•"/>
      <w:lvlJc w:val="left"/>
      <w:pPr>
        <w:ind w:left="2728"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516"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198" w:hanging="360"/>
      </w:pPr>
      <w:rPr>
        <w:rFonts w:hint="default"/>
        <w:lang w:val="en-US" w:eastAsia="en-US" w:bidi="ar-SA"/>
      </w:rPr>
    </w:lvl>
    <w:lvl w:ilvl="8">
      <w:start w:val="0"/>
      <w:numFmt w:val="bullet"/>
      <w:lvlText w:val="•"/>
      <w:lvlJc w:val="left"/>
      <w:pPr>
        <w:ind w:left="8092" w:hanging="360"/>
      </w:pPr>
      <w:rPr>
        <w:rFonts w:hint="default"/>
        <w:lang w:val="en-US" w:eastAsia="en-US" w:bidi="ar-SA"/>
      </w:rPr>
    </w:lvl>
  </w:abstractNum>
  <w:abstractNum w:abstractNumId="16">
    <w:nsid w:val="6BFCBB7B"/>
    <w:multiLevelType w:val="hybridMultilevel"/>
    <w:tmpl w:val="00000000"/>
    <w:lvl w:ilvl="0">
      <w:start w:val="0"/>
      <w:numFmt w:val="bullet"/>
      <w:lvlText w:val="•"/>
      <w:lvlJc w:val="left"/>
      <w:pPr>
        <w:ind w:left="94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834" w:hanging="360"/>
      </w:pPr>
      <w:rPr>
        <w:rFonts w:hint="default"/>
        <w:lang w:val="en-US" w:eastAsia="en-US" w:bidi="ar-SA"/>
      </w:rPr>
    </w:lvl>
    <w:lvl w:ilvl="2">
      <w:start w:val="0"/>
      <w:numFmt w:val="bullet"/>
      <w:lvlText w:val="•"/>
      <w:lvlJc w:val="left"/>
      <w:pPr>
        <w:ind w:left="2728"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516"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198" w:hanging="360"/>
      </w:pPr>
      <w:rPr>
        <w:rFonts w:hint="default"/>
        <w:lang w:val="en-US" w:eastAsia="en-US" w:bidi="ar-SA"/>
      </w:rPr>
    </w:lvl>
    <w:lvl w:ilvl="8">
      <w:start w:val="0"/>
      <w:numFmt w:val="bullet"/>
      <w:lvlText w:val="•"/>
      <w:lvlJc w:val="left"/>
      <w:pPr>
        <w:ind w:left="8092" w:hanging="360"/>
      </w:pPr>
      <w:rPr>
        <w:rFonts w:hint="default"/>
        <w:lang w:val="en-US" w:eastAsia="en-US" w:bidi="ar-SA"/>
      </w:rPr>
    </w:lvl>
  </w:abstractNum>
  <w:abstractNum w:abstractNumId="17">
    <w:nsid w:val="727C2339"/>
    <w:multiLevelType w:val="hybridMultilevel"/>
    <w:tmpl w:val="00000000"/>
    <w:lvl w:ilvl="0">
      <w:start w:val="0"/>
      <w:numFmt w:val="bullet"/>
      <w:lvlText w:val="•"/>
      <w:lvlJc w:val="left"/>
      <w:pPr>
        <w:ind w:left="944" w:hanging="360"/>
      </w:pPr>
      <w:rPr>
        <w:rFonts w:ascii="Times New Roman" w:eastAsia="Times New Roman" w:hAnsi="Times New Roman" w:cs="Times New Roman" w:hint="default"/>
        <w:spacing w:val="0"/>
        <w:w w:val="100"/>
        <w:lang w:val="en-US" w:eastAsia="en-US" w:bidi="ar-SA"/>
      </w:rPr>
    </w:lvl>
    <w:lvl w:ilvl="1">
      <w:start w:val="0"/>
      <w:numFmt w:val="bullet"/>
      <w:lvlText w:val="◦"/>
      <w:lvlJc w:val="left"/>
      <w:pPr>
        <w:ind w:left="13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253" w:hanging="360"/>
      </w:pPr>
      <w:rPr>
        <w:rFonts w:hint="default"/>
        <w:lang w:val="en-US" w:eastAsia="en-US" w:bidi="ar-SA"/>
      </w:rPr>
    </w:lvl>
    <w:lvl w:ilvl="3">
      <w:start w:val="0"/>
      <w:numFmt w:val="bullet"/>
      <w:lvlText w:val="•"/>
      <w:lvlJc w:val="left"/>
      <w:pPr>
        <w:ind w:left="3206" w:hanging="360"/>
      </w:pPr>
      <w:rPr>
        <w:rFonts w:hint="default"/>
        <w:lang w:val="en-US" w:eastAsia="en-US" w:bidi="ar-SA"/>
      </w:rPr>
    </w:lvl>
    <w:lvl w:ilvl="4">
      <w:start w:val="0"/>
      <w:numFmt w:val="bullet"/>
      <w:lvlText w:val="•"/>
      <w:lvlJc w:val="left"/>
      <w:pPr>
        <w:ind w:left="416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66"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num w:numId="1">
    <w:abstractNumId w:val="10"/>
  </w:num>
  <w:num w:numId="2">
    <w:abstractNumId w:val="16"/>
  </w:num>
  <w:num w:numId="3">
    <w:abstractNumId w:val="3"/>
  </w:num>
  <w:num w:numId="4">
    <w:abstractNumId w:val="4"/>
  </w:num>
  <w:num w:numId="5">
    <w:abstractNumId w:val="17"/>
  </w:num>
  <w:num w:numId="6">
    <w:abstractNumId w:val="1"/>
  </w:num>
  <w:num w:numId="7">
    <w:abstractNumId w:val="12"/>
  </w:num>
  <w:num w:numId="8">
    <w:abstractNumId w:val="2"/>
  </w:num>
  <w:num w:numId="9">
    <w:abstractNumId w:val="7"/>
  </w:num>
  <w:num w:numId="10">
    <w:abstractNumId w:val="6"/>
  </w:num>
  <w:num w:numId="11">
    <w:abstractNumId w:val="15"/>
  </w:num>
  <w:num w:numId="12">
    <w:abstractNumId w:val="5"/>
  </w:num>
  <w:num w:numId="13">
    <w:abstractNumId w:val="9"/>
  </w:num>
  <w:num w:numId="14">
    <w:abstractNumId w:val="8"/>
  </w:num>
  <w:num w:numId="15">
    <w:abstractNumId w:val="0"/>
  </w:num>
  <w:num w:numId="16">
    <w:abstractNumId w:val="14"/>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Normal"/>
    <w:uiPriority w:val="1"/>
    <w:qFormat/>
    <w:pPr>
      <w:spacing w:before="1"/>
      <w:ind w:left="224"/>
    </w:pPr>
    <w:rPr>
      <w:rFonts w:ascii="Times New Roman" w:eastAsia="Times New Roman" w:hAnsi="Times New Roman" w:cs="Times New Roman"/>
      <w:sz w:val="21"/>
      <w:szCs w:val="21"/>
      <w:lang w:val="en-US" w:eastAsia="en-US" w:bidi="ar-SA"/>
    </w:rPr>
  </w:style>
  <w:style w:type="paragraph" w:customStyle="1" w:styleId="TOC2">
    <w:name w:val="TOC 2"/>
    <w:basedOn w:val="Normal"/>
    <w:uiPriority w:val="1"/>
    <w:qFormat/>
    <w:pPr>
      <w:spacing w:line="241" w:lineRule="exact"/>
      <w:ind w:left="440"/>
    </w:pPr>
    <w:rPr>
      <w:rFonts w:ascii="Times New Roman" w:eastAsia="Times New Roman" w:hAnsi="Times New Roman" w:cs="Times New Roman"/>
      <w:sz w:val="21"/>
      <w:szCs w:val="21"/>
      <w:lang w:val="en-US" w:eastAsia="en-US" w:bidi="ar-SA"/>
    </w:rPr>
  </w:style>
  <w:style w:type="paragraph" w:customStyle="1" w:styleId="TOC3">
    <w:name w:val="TOC 3"/>
    <w:basedOn w:val="Normal"/>
    <w:uiPriority w:val="1"/>
    <w:qFormat/>
    <w:pPr>
      <w:spacing w:before="1" w:line="241" w:lineRule="exact"/>
      <w:ind w:left="641"/>
    </w:pPr>
    <w:rPr>
      <w:rFonts w:ascii="Times New Roman" w:eastAsia="Times New Roman" w:hAnsi="Times New Roman" w:cs="Times New Roman"/>
      <w:sz w:val="21"/>
      <w:szCs w:val="21"/>
      <w:lang w:val="en-US" w:eastAsia="en-US" w:bidi="ar-SA"/>
    </w:rPr>
  </w:style>
  <w:style w:type="paragraph" w:styleId="BodyText">
    <w:name w:val="Body Text"/>
    <w:basedOn w:val="Normal"/>
    <w:uiPriority w:val="1"/>
    <w:qFormat/>
    <w:pPr>
      <w:spacing w:before="120"/>
      <w:ind w:left="944"/>
    </w:pPr>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spacing w:before="207"/>
      <w:ind w:left="195"/>
      <w:outlineLvl w:val="1"/>
    </w:pPr>
    <w:rPr>
      <w:rFonts w:ascii="Arial" w:eastAsia="Arial" w:hAnsi="Arial" w:cs="Arial"/>
      <w:b/>
      <w:bCs/>
      <w:sz w:val="28"/>
      <w:szCs w:val="28"/>
      <w:u w:val="single" w:color="000000"/>
      <w:lang w:val="en-US" w:eastAsia="en-US" w:bidi="ar-SA"/>
    </w:rPr>
  </w:style>
  <w:style w:type="paragraph" w:customStyle="1" w:styleId="Heading2">
    <w:name w:val="Heading 2"/>
    <w:basedOn w:val="Normal"/>
    <w:uiPriority w:val="1"/>
    <w:qFormat/>
    <w:pPr>
      <w:ind w:left="440"/>
      <w:outlineLvl w:val="2"/>
    </w:pPr>
    <w:rPr>
      <w:rFonts w:ascii="Arial" w:eastAsia="Arial" w:hAnsi="Arial" w:cs="Arial"/>
      <w:b/>
      <w:bCs/>
      <w:sz w:val="26"/>
      <w:szCs w:val="26"/>
      <w:lang w:val="en-US" w:eastAsia="en-US" w:bidi="ar-SA"/>
    </w:rPr>
  </w:style>
  <w:style w:type="paragraph" w:styleId="Title">
    <w:name w:val="Title"/>
    <w:basedOn w:val="Normal"/>
    <w:uiPriority w:val="1"/>
    <w:qFormat/>
    <w:pPr>
      <w:ind w:left="2218" w:right="2434"/>
      <w:jc w:val="center"/>
    </w:pPr>
    <w:rPr>
      <w:rFonts w:ascii="Arial" w:eastAsia="Arial" w:hAnsi="Arial" w:cs="Arial"/>
      <w:sz w:val="30"/>
      <w:szCs w:val="30"/>
      <w:lang w:val="en-US" w:eastAsia="en-US" w:bidi="ar-SA"/>
    </w:rPr>
  </w:style>
  <w:style w:type="paragraph" w:styleId="ListParagraph">
    <w:name w:val="List Paragraph"/>
    <w:basedOn w:val="Normal"/>
    <w:uiPriority w:val="1"/>
    <w:qFormat/>
    <w:pPr>
      <w:spacing w:before="41"/>
      <w:ind w:left="944"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pPr>
      <w:ind w:left="107"/>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ctuarial-bids@cms.hhs.gov" TargetMode="External" /><Relationship Id="rId11" Type="http://schemas.openxmlformats.org/officeDocument/2006/relationships/hyperlink" Target="mailto:hpms@cms.hhs.gov" TargetMode="External" /><Relationship Id="rId12" Type="http://schemas.openxmlformats.org/officeDocument/2006/relationships/hyperlink" Target="https://www.cms.gov/Regulations-and-Guidance/Guidance/Manuals/Internet-Only-Manuals-IOMs-Items/CMS050485" TargetMode="External" /><Relationship Id="rId13" Type="http://schemas.openxmlformats.org/officeDocument/2006/relationships/header" Target="header2.xml" /><Relationship Id="rId14" Type="http://schemas.openxmlformats.org/officeDocument/2006/relationships/footer" Target="footer4.xml" /><Relationship Id="rId15" Type="http://schemas.openxmlformats.org/officeDocument/2006/relationships/hyperlink" Target="https://www.cms.gov/Medicare/Health-Plans/MedicareAdvtgSpecRateStats/Bid-Pricing-Tools-and-Instructions-Items/BidGuidance" TargetMode="External" /><Relationship Id="rId16" Type="http://schemas.openxmlformats.org/officeDocument/2006/relationships/hyperlink" Target="https://www.cms.gov/medicare/payment/medicare-advantage-rates-statistics/risk-adjustment" TargetMode="External" /><Relationship Id="rId17" Type="http://schemas.openxmlformats.org/officeDocument/2006/relationships/hyperlink" Target="https://www.cms.gov/medicare/payment/medicare-advantage-rates-statistics/ratebooks-supporting-data" TargetMode="External" /><Relationship Id="rId18" Type="http://schemas.openxmlformats.org/officeDocument/2006/relationships/hyperlink" Target="https://www.csscoperations.com/" TargetMode="Externa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header" Target="header4.xml" /><Relationship Id="rId22" Type="http://schemas.openxmlformats.org/officeDocument/2006/relationships/footer" Target="footer6.xml" /><Relationship Id="rId23" Type="http://schemas.openxmlformats.org/officeDocument/2006/relationships/header" Target="header5.xml" /><Relationship Id="rId24" Type="http://schemas.openxmlformats.org/officeDocument/2006/relationships/footer" Target="footer7.xml" /><Relationship Id="rId25" Type="http://schemas.openxmlformats.org/officeDocument/2006/relationships/header" Target="header6.xml" /><Relationship Id="rId26" Type="http://schemas.openxmlformats.org/officeDocument/2006/relationships/footer" Target="footer8.xml" /><Relationship Id="rId27" Type="http://schemas.openxmlformats.org/officeDocument/2006/relationships/header" Target="header7.xml" /><Relationship Id="rId28" Type="http://schemas.openxmlformats.org/officeDocument/2006/relationships/footer" Target="footer9.xml" /><Relationship Id="rId29" Type="http://schemas.openxmlformats.org/officeDocument/2006/relationships/header" Target="header8.xml" /><Relationship Id="rId3" Type="http://schemas.openxmlformats.org/officeDocument/2006/relationships/fontTable" Target="fontTable.xml" /><Relationship Id="rId30" Type="http://schemas.openxmlformats.org/officeDocument/2006/relationships/footer" Target="footer10.xml" /><Relationship Id="rId31" Type="http://schemas.openxmlformats.org/officeDocument/2006/relationships/header" Target="header9.xml" /><Relationship Id="rId32" Type="http://schemas.openxmlformats.org/officeDocument/2006/relationships/footer" Target="footer11.xml" /><Relationship Id="rId33" Type="http://schemas.openxmlformats.org/officeDocument/2006/relationships/header" Target="header10.xml" /><Relationship Id="rId34" Type="http://schemas.openxmlformats.org/officeDocument/2006/relationships/footer" Target="footer12.xml" /><Relationship Id="rId35" Type="http://schemas.openxmlformats.org/officeDocument/2006/relationships/header" Target="header11.xml" /><Relationship Id="rId36" Type="http://schemas.openxmlformats.org/officeDocument/2006/relationships/footer" Target="footer13.xml" /><Relationship Id="rId37" Type="http://schemas.openxmlformats.org/officeDocument/2006/relationships/header" Target="header12.xml" /><Relationship Id="rId38" Type="http://schemas.openxmlformats.org/officeDocument/2006/relationships/footer" Target="footer14.xml" /><Relationship Id="rId39" Type="http://schemas.openxmlformats.org/officeDocument/2006/relationships/header" Target="header13.xml" /><Relationship Id="rId4" Type="http://schemas.openxmlformats.org/officeDocument/2006/relationships/footer" Target="footer1.xml" /><Relationship Id="rId40" Type="http://schemas.openxmlformats.org/officeDocument/2006/relationships/footer" Target="footer15.xml" /><Relationship Id="rId41" Type="http://schemas.openxmlformats.org/officeDocument/2006/relationships/header" Target="header14.xml" /><Relationship Id="rId42" Type="http://schemas.openxmlformats.org/officeDocument/2006/relationships/footer" Target="footer16.xml" /><Relationship Id="rId43" Type="http://schemas.openxmlformats.org/officeDocument/2006/relationships/header" Target="header15.xml" /><Relationship Id="rId44" Type="http://schemas.openxmlformats.org/officeDocument/2006/relationships/footer" Target="footer17.xml" /><Relationship Id="rId45" Type="http://schemas.openxmlformats.org/officeDocument/2006/relationships/header" Target="header16.xml" /><Relationship Id="rId46" Type="http://schemas.openxmlformats.org/officeDocument/2006/relationships/footer" Target="footer18.xml" /><Relationship Id="rId47" Type="http://schemas.openxmlformats.org/officeDocument/2006/relationships/header" Target="header17.xml" /><Relationship Id="rId48" Type="http://schemas.openxmlformats.org/officeDocument/2006/relationships/footer" Target="footer19.xml" /><Relationship Id="rId49" Type="http://schemas.openxmlformats.org/officeDocument/2006/relationships/theme" Target="theme/theme1.xml" /><Relationship Id="rId5" Type="http://schemas.openxmlformats.org/officeDocument/2006/relationships/footer" Target="footer2.xml" /><Relationship Id="rId50" Type="http://schemas.openxmlformats.org/officeDocument/2006/relationships/numbering" Target="numbering.xml" /><Relationship Id="rId51" Type="http://schemas.openxmlformats.org/officeDocument/2006/relationships/styles" Target="styles.xml" /><Relationship Id="rId6" Type="http://schemas.openxmlformats.org/officeDocument/2006/relationships/header" Target="header1.xml" /><Relationship Id="rId7" Type="http://schemas.openxmlformats.org/officeDocument/2006/relationships/footer" Target="footer3.xml" /><Relationship Id="rId8" Type="http://schemas.openxmlformats.org/officeDocument/2006/relationships/hyperlink" Target="https://www.cms.gov/medicare/payment/medicare-advantage-rates-statistics/announcements-and-documents" TargetMode="External" /><Relationship Id="rId9" Type="http://schemas.openxmlformats.org/officeDocument/2006/relationships/hyperlink" Target="https://www.cms.gov/medicare/payment/medicare-advantage-rates-statistics/actuarial-bid-train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PRESCRIPTION DRUG PLAN BID PRICING TOOL FOR CONTRACT YEAR 2026</dc:title>
  <dc:creator>HHS / CMS</dc:creator>
  <cp:revision>0</cp:revision>
  <dcterms:created xsi:type="dcterms:W3CDTF">2024-12-20T20:50:07Z</dcterms:created>
  <dcterms:modified xsi:type="dcterms:W3CDTF">2024-12-20T20:50:07Z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Microsoft® Word for Microsoft 365</vt:lpwstr>
  </property>
  <property fmtid="{D5CDD505-2E9C-101B-9397-08002B2CF9AE}" pid="4" name="LastSaved">
    <vt:filetime>2024-12-20T00:00:00Z</vt:filetime>
  </property>
  <property fmtid="{D5CDD505-2E9C-101B-9397-08002B2CF9AE}" pid="5" name="Producer">
    <vt:lpwstr>Microsoft® Word for Microsoft 365</vt:lpwstr>
  </property>
</Properties>
</file>