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D353D" w:rsidRPr="00C949DF" w:rsidP="00771A49" w14:paraId="6361DE3C" w14:textId="4092AD70">
      <w:pPr>
        <w:pStyle w:val="Title"/>
      </w:pPr>
      <w:r>
        <w:t xml:space="preserve"> </w:t>
      </w:r>
      <w:r w:rsidR="0069136F">
        <w:t>S</w:t>
      </w:r>
      <w:r w:rsidRPr="00C949DF">
        <w:t>upporting Statement for</w:t>
      </w:r>
      <w:r w:rsidRPr="00C949DF" w:rsidR="00771A49">
        <w:t xml:space="preserve"> Form SSA-2032-BK</w:t>
      </w:r>
    </w:p>
    <w:p w:rsidR="00771A49" w:rsidRPr="00C949DF" w:rsidP="00771A49" w14:paraId="3C9786D1" w14:textId="77777777">
      <w:pPr>
        <w:pStyle w:val="Title"/>
      </w:pPr>
      <w:r w:rsidRPr="00C949DF">
        <w:t>Request for Waiver of Special Veterans Benefits (SVB) Overpayment Recovery</w:t>
      </w:r>
    </w:p>
    <w:p w:rsidR="005D353D" w:rsidP="00771A49" w14:paraId="1C1BC802" w14:textId="77777777">
      <w:pPr>
        <w:pStyle w:val="Title"/>
      </w:pPr>
      <w:r w:rsidRPr="00C949DF">
        <w:t>Or Change in Repayment Rate</w:t>
      </w:r>
    </w:p>
    <w:p w:rsidR="00597EB6" w:rsidRPr="000C107A" w:rsidP="00771A49" w14:paraId="70D4C486" w14:textId="77777777">
      <w:pPr>
        <w:pStyle w:val="Title"/>
      </w:pPr>
      <w:r w:rsidRPr="000C107A">
        <w:t>20 CFR 408.900–408.950</w:t>
      </w:r>
    </w:p>
    <w:p w:rsidR="00906654" w:rsidRPr="00C949DF" w:rsidP="007C1FCF" w14:paraId="2D8433AE" w14:textId="77777777">
      <w:pPr>
        <w:jc w:val="center"/>
        <w:rPr>
          <w:b/>
          <w:sz w:val="24"/>
        </w:rPr>
      </w:pPr>
      <w:r>
        <w:rPr>
          <w:b/>
          <w:sz w:val="24"/>
        </w:rPr>
        <w:t>OMB Control No. 0960-0698</w:t>
      </w:r>
    </w:p>
    <w:p w:rsidR="005D353D" w:rsidRPr="00C949DF" w:rsidP="009E1F56" w14:paraId="43BF5C5F" w14:textId="77777777">
      <w:pPr>
        <w:tabs>
          <w:tab w:val="left" w:pos="-720"/>
          <w:tab w:val="left" w:pos="0"/>
        </w:tabs>
        <w:suppressAutoHyphens/>
        <w:rPr>
          <w:b/>
          <w:sz w:val="24"/>
        </w:rPr>
      </w:pPr>
    </w:p>
    <w:p w:rsidR="005D353D" w:rsidRPr="00C949DF" w:rsidP="003A015D" w14:paraId="1F479144" w14:textId="77777777">
      <w:pPr>
        <w:numPr>
          <w:ilvl w:val="0"/>
          <w:numId w:val="27"/>
        </w:numPr>
        <w:tabs>
          <w:tab w:val="left" w:pos="720"/>
        </w:tabs>
        <w:suppressAutoHyphens/>
        <w:ind w:left="720" w:hanging="540"/>
        <w:rPr>
          <w:b/>
          <w:sz w:val="24"/>
        </w:rPr>
      </w:pPr>
      <w:r w:rsidRPr="00C949DF">
        <w:rPr>
          <w:b/>
          <w:sz w:val="24"/>
          <w:u w:val="single"/>
        </w:rPr>
        <w:t>Justification</w:t>
      </w:r>
    </w:p>
    <w:p w:rsidR="005D353D" w:rsidRPr="00C949DF" w:rsidP="003A015D" w14:paraId="179C8EA2" w14:textId="77777777">
      <w:pPr>
        <w:tabs>
          <w:tab w:val="left" w:pos="-720"/>
        </w:tabs>
        <w:suppressAutoHyphens/>
        <w:rPr>
          <w:sz w:val="24"/>
        </w:rPr>
      </w:pPr>
    </w:p>
    <w:p w:rsidR="00021C5E" w:rsidRPr="00433CDC" w:rsidP="003A015D" w14:paraId="6C18A7C7" w14:textId="77777777">
      <w:pPr>
        <w:widowControl w:val="0"/>
        <w:numPr>
          <w:ilvl w:val="0"/>
          <w:numId w:val="14"/>
        </w:numPr>
        <w:tabs>
          <w:tab w:val="clear" w:pos="360"/>
          <w:tab w:val="num" w:pos="1440"/>
        </w:tabs>
        <w:suppressAutoHyphens/>
        <w:ind w:left="1440" w:hanging="720"/>
        <w:rPr>
          <w:sz w:val="24"/>
        </w:rPr>
      </w:pPr>
      <w:r w:rsidRPr="00021C5E">
        <w:rPr>
          <w:b/>
          <w:sz w:val="24"/>
          <w:szCs w:val="24"/>
        </w:rPr>
        <w:t xml:space="preserve">Introduction/Authoring Laws and </w:t>
      </w:r>
      <w:r w:rsidRPr="00021C5E">
        <w:rPr>
          <w:b/>
          <w:sz w:val="24"/>
          <w:szCs w:val="24"/>
        </w:rPr>
        <w:t>Regulations</w:t>
      </w:r>
    </w:p>
    <w:p w:rsidR="00433CDC" w:rsidP="003A015D" w14:paraId="08E96FB6" w14:textId="17BA0C0F">
      <w:pPr>
        <w:tabs>
          <w:tab w:val="left" w:pos="-720"/>
        </w:tabs>
        <w:suppressAutoHyphens/>
        <w:ind w:left="1440"/>
        <w:rPr>
          <w:sz w:val="24"/>
        </w:rPr>
      </w:pPr>
      <w:r w:rsidRPr="003C6695">
        <w:rPr>
          <w:i/>
          <w:sz w:val="24"/>
        </w:rPr>
        <w:t>Title VIII</w:t>
      </w:r>
      <w:r w:rsidRPr="00C949DF">
        <w:rPr>
          <w:sz w:val="24"/>
        </w:rPr>
        <w:t xml:space="preserve"> of the </w:t>
      </w:r>
      <w:r w:rsidRPr="003C6695">
        <w:rPr>
          <w:i/>
          <w:sz w:val="24"/>
        </w:rPr>
        <w:t xml:space="preserve">Social Security Act </w:t>
      </w:r>
      <w:r w:rsidRPr="005F3FB4">
        <w:rPr>
          <w:i/>
          <w:sz w:val="24"/>
        </w:rPr>
        <w:t>(</w:t>
      </w:r>
      <w:r w:rsidRPr="007173EC" w:rsidR="007173EC">
        <w:rPr>
          <w:iCs/>
          <w:sz w:val="24"/>
        </w:rPr>
        <w:t>the</w:t>
      </w:r>
      <w:r w:rsidR="007173EC">
        <w:rPr>
          <w:i/>
          <w:sz w:val="24"/>
        </w:rPr>
        <w:t xml:space="preserve"> </w:t>
      </w:r>
      <w:r w:rsidRPr="005F3FB4">
        <w:rPr>
          <w:i/>
          <w:sz w:val="24"/>
        </w:rPr>
        <w:t>Act)</w:t>
      </w:r>
      <w:r w:rsidRPr="00C949DF">
        <w:rPr>
          <w:sz w:val="24"/>
        </w:rPr>
        <w:t xml:space="preserve"> provides for the payment of benefits to certain World War II veterans who re</w:t>
      </w:r>
      <w:r>
        <w:rPr>
          <w:sz w:val="24"/>
        </w:rPr>
        <w:t>side outside the United States.</w:t>
      </w:r>
      <w:r w:rsidRPr="00C949DF">
        <w:rPr>
          <w:sz w:val="24"/>
        </w:rPr>
        <w:t xml:space="preserve"> </w:t>
      </w:r>
      <w:r>
        <w:rPr>
          <w:sz w:val="24"/>
        </w:rPr>
        <w:t xml:space="preserve"> </w:t>
      </w:r>
      <w:r w:rsidRPr="009E1F56">
        <w:rPr>
          <w:sz w:val="24"/>
        </w:rPr>
        <w:t xml:space="preserve">Section </w:t>
      </w:r>
      <w:r w:rsidRPr="00637BE3">
        <w:rPr>
          <w:i/>
          <w:sz w:val="24"/>
        </w:rPr>
        <w:t>808</w:t>
      </w:r>
      <w:r w:rsidRPr="00C949DF">
        <w:rPr>
          <w:sz w:val="24"/>
        </w:rPr>
        <w:t xml:space="preserve"> of </w:t>
      </w:r>
      <w:r w:rsidRPr="000D34C3">
        <w:rPr>
          <w:sz w:val="24"/>
        </w:rPr>
        <w:t>the</w:t>
      </w:r>
      <w:r w:rsidRPr="00637BE3">
        <w:rPr>
          <w:i/>
          <w:sz w:val="24"/>
        </w:rPr>
        <w:t xml:space="preserve"> Act</w:t>
      </w:r>
      <w:r w:rsidRPr="00C949DF">
        <w:rPr>
          <w:sz w:val="24"/>
        </w:rPr>
        <w:t xml:space="preserve"> </w:t>
      </w:r>
      <w:r>
        <w:rPr>
          <w:sz w:val="24"/>
        </w:rPr>
        <w:t>explains</w:t>
      </w:r>
      <w:r w:rsidRPr="00C949DF">
        <w:rPr>
          <w:sz w:val="24"/>
        </w:rPr>
        <w:t xml:space="preserve"> the recovery of overpayments under the </w:t>
      </w:r>
      <w:r w:rsidRPr="00EE2BCB">
        <w:rPr>
          <w:sz w:val="24"/>
          <w:szCs w:val="24"/>
        </w:rPr>
        <w:t xml:space="preserve">Special </w:t>
      </w:r>
      <w:r w:rsidRPr="00EE2BCB">
        <w:rPr>
          <w:sz w:val="24"/>
          <w:szCs w:val="24"/>
        </w:rPr>
        <w:t>Veterans Benefits</w:t>
      </w:r>
      <w:r w:rsidRPr="00C949DF">
        <w:t xml:space="preserve"> </w:t>
      </w:r>
      <w:r>
        <w:rPr>
          <w:sz w:val="24"/>
        </w:rPr>
        <w:t>(</w:t>
      </w:r>
      <w:r w:rsidRPr="00C949DF">
        <w:rPr>
          <w:sz w:val="24"/>
        </w:rPr>
        <w:t>SVB</w:t>
      </w:r>
      <w:r>
        <w:rPr>
          <w:sz w:val="24"/>
        </w:rPr>
        <w:t>)</w:t>
      </w:r>
      <w:r w:rsidRPr="00C949DF">
        <w:rPr>
          <w:sz w:val="24"/>
        </w:rPr>
        <w:t xml:space="preserve"> program.</w:t>
      </w:r>
      <w:r>
        <w:rPr>
          <w:sz w:val="24"/>
        </w:rPr>
        <w:t xml:space="preserve">  </w:t>
      </w:r>
      <w:r w:rsidRPr="009E1F56">
        <w:rPr>
          <w:sz w:val="24"/>
        </w:rPr>
        <w:t>Section</w:t>
      </w:r>
      <w:r w:rsidRPr="00637BE3">
        <w:rPr>
          <w:i/>
          <w:sz w:val="24"/>
        </w:rPr>
        <w:t xml:space="preserve"> 210</w:t>
      </w:r>
      <w:r w:rsidRPr="00C949DF">
        <w:rPr>
          <w:sz w:val="24"/>
        </w:rPr>
        <w:t xml:space="preserve"> of </w:t>
      </w:r>
      <w:r w:rsidRPr="00637BE3">
        <w:rPr>
          <w:i/>
          <w:sz w:val="24"/>
        </w:rPr>
        <w:t>P</w:t>
      </w:r>
      <w:r>
        <w:rPr>
          <w:i/>
          <w:sz w:val="24"/>
        </w:rPr>
        <w:t>ub. L</w:t>
      </w:r>
      <w:r w:rsidR="005F3FB4">
        <w:rPr>
          <w:i/>
          <w:sz w:val="24"/>
        </w:rPr>
        <w:t xml:space="preserve">. </w:t>
      </w:r>
      <w:r w:rsidRPr="00637BE3">
        <w:rPr>
          <w:i/>
          <w:sz w:val="24"/>
        </w:rPr>
        <w:t>108-203 (H.R. 743)</w:t>
      </w:r>
      <w:r w:rsidRPr="00C949DF">
        <w:rPr>
          <w:sz w:val="24"/>
        </w:rPr>
        <w:t xml:space="preserve"> expands the “Authority for Cross-Program Re</w:t>
      </w:r>
      <w:r>
        <w:rPr>
          <w:sz w:val="24"/>
        </w:rPr>
        <w:t>covery of Benefit Overpayments</w:t>
      </w:r>
      <w:r w:rsidR="00AB7E80">
        <w:rPr>
          <w:sz w:val="24"/>
        </w:rPr>
        <w:t>.</w:t>
      </w:r>
      <w:r>
        <w:rPr>
          <w:sz w:val="24"/>
        </w:rPr>
        <w:t>”</w:t>
      </w:r>
      <w:r w:rsidR="00A97739">
        <w:rPr>
          <w:sz w:val="24"/>
        </w:rPr>
        <w:t xml:space="preserve">  </w:t>
      </w:r>
      <w:r w:rsidR="00F66890">
        <w:rPr>
          <w:sz w:val="24"/>
        </w:rPr>
        <w:t>We use Form SSA-2032-BK, “Request for Waiver of Special Veterans Benefits Overpayment Recovery or Change in Repayment Rate” b</w:t>
      </w:r>
      <w:r w:rsidR="00AB7E80">
        <w:rPr>
          <w:sz w:val="24"/>
        </w:rPr>
        <w:t>ecause</w:t>
      </w:r>
      <w:r w:rsidR="00A97739">
        <w:rPr>
          <w:sz w:val="24"/>
        </w:rPr>
        <w:t xml:space="preserve"> SSA </w:t>
      </w:r>
      <w:r w:rsidR="00AB7E80">
        <w:rPr>
          <w:sz w:val="24"/>
        </w:rPr>
        <w:t xml:space="preserve">has </w:t>
      </w:r>
      <w:r w:rsidR="00A97739">
        <w:rPr>
          <w:sz w:val="24"/>
        </w:rPr>
        <w:t xml:space="preserve">the authority </w:t>
      </w:r>
      <w:r w:rsidR="005F3FB4">
        <w:rPr>
          <w:sz w:val="24"/>
        </w:rPr>
        <w:t>through these sections</w:t>
      </w:r>
      <w:r w:rsidR="00F66890">
        <w:rPr>
          <w:sz w:val="24"/>
        </w:rPr>
        <w:t xml:space="preserve"> of the law</w:t>
      </w:r>
      <w:r w:rsidR="005F3FB4">
        <w:rPr>
          <w:sz w:val="24"/>
        </w:rPr>
        <w:t xml:space="preserve"> </w:t>
      </w:r>
      <w:r w:rsidR="00A97739">
        <w:rPr>
          <w:sz w:val="24"/>
        </w:rPr>
        <w:t xml:space="preserve">to recover the </w:t>
      </w:r>
      <w:r w:rsidR="009C4C22">
        <w:rPr>
          <w:sz w:val="24"/>
        </w:rPr>
        <w:t>overpayment or</w:t>
      </w:r>
      <w:r w:rsidR="00A97739">
        <w:rPr>
          <w:sz w:val="24"/>
        </w:rPr>
        <w:t xml:space="preserve"> change a repayment rate</w:t>
      </w:r>
      <w:r w:rsidR="00132FF2">
        <w:rPr>
          <w:sz w:val="24"/>
        </w:rPr>
        <w:t xml:space="preserve"> for SVB beneficiaries</w:t>
      </w:r>
      <w:r w:rsidR="00F66890">
        <w:rPr>
          <w:sz w:val="24"/>
        </w:rPr>
        <w:t>.</w:t>
      </w:r>
    </w:p>
    <w:p w:rsidR="0025608F" w:rsidP="003A015D" w14:paraId="7E6F5AAD" w14:textId="77777777">
      <w:pPr>
        <w:tabs>
          <w:tab w:val="left" w:pos="-720"/>
        </w:tabs>
        <w:suppressAutoHyphens/>
        <w:ind w:left="1440"/>
        <w:rPr>
          <w:sz w:val="24"/>
        </w:rPr>
      </w:pPr>
    </w:p>
    <w:p w:rsidR="0025608F" w:rsidP="007173EC" w14:paraId="10F69C95" w14:textId="2FE2DE4B">
      <w:pPr>
        <w:tabs>
          <w:tab w:val="left" w:pos="-720"/>
        </w:tabs>
        <w:suppressAutoHyphens/>
        <w:ind w:left="1440"/>
        <w:rPr>
          <w:sz w:val="24"/>
        </w:rPr>
      </w:pPr>
      <w:r>
        <w:rPr>
          <w:sz w:val="24"/>
        </w:rPr>
        <w:t>SSA set forth t</w:t>
      </w:r>
      <w:r w:rsidRPr="00C949DF">
        <w:rPr>
          <w:sz w:val="24"/>
        </w:rPr>
        <w:t xml:space="preserve">he policies for implementing the pertinent sections of </w:t>
      </w:r>
      <w:r w:rsidRPr="000D34C3">
        <w:rPr>
          <w:sz w:val="24"/>
        </w:rPr>
        <w:t>the</w:t>
      </w:r>
      <w:r w:rsidRPr="00B3059A">
        <w:rPr>
          <w:i/>
          <w:sz w:val="24"/>
        </w:rPr>
        <w:t xml:space="preserve"> Act</w:t>
      </w:r>
      <w:r w:rsidRPr="00C949DF">
        <w:rPr>
          <w:sz w:val="24"/>
        </w:rPr>
        <w:t xml:space="preserve"> in </w:t>
      </w:r>
      <w:r w:rsidRPr="00655D77">
        <w:rPr>
          <w:i/>
          <w:sz w:val="24"/>
        </w:rPr>
        <w:t>20</w:t>
      </w:r>
      <w:r w:rsidR="00655D77">
        <w:rPr>
          <w:i/>
          <w:sz w:val="24"/>
        </w:rPr>
        <w:t> </w:t>
      </w:r>
      <w:r w:rsidRPr="00C42BB0">
        <w:rPr>
          <w:i/>
          <w:sz w:val="24"/>
        </w:rPr>
        <w:t>CFR</w:t>
      </w:r>
      <w:r w:rsidRPr="00C949DF">
        <w:rPr>
          <w:sz w:val="24"/>
        </w:rPr>
        <w:t xml:space="preserve"> </w:t>
      </w:r>
      <w:r>
        <w:rPr>
          <w:i/>
          <w:sz w:val="24"/>
        </w:rPr>
        <w:t>408.9</w:t>
      </w:r>
      <w:r>
        <w:rPr>
          <w:i/>
          <w:sz w:val="24"/>
        </w:rPr>
        <w:t>00</w:t>
      </w:r>
      <w:r w:rsidR="00365EAB">
        <w:rPr>
          <w:i/>
          <w:sz w:val="24"/>
        </w:rPr>
        <w:t xml:space="preserve"> - </w:t>
      </w:r>
      <w:r w:rsidRPr="00EE2BCB">
        <w:rPr>
          <w:i/>
          <w:sz w:val="24"/>
        </w:rPr>
        <w:t>408.950</w:t>
      </w:r>
      <w:r>
        <w:rPr>
          <w:sz w:val="24"/>
        </w:rPr>
        <w:t xml:space="preserve"> of the </w:t>
      </w:r>
      <w:r w:rsidRPr="00EE2BCB">
        <w:rPr>
          <w:i/>
          <w:sz w:val="24"/>
        </w:rPr>
        <w:t>Code of Federal Regulations</w:t>
      </w:r>
      <w:r>
        <w:rPr>
          <w:sz w:val="24"/>
        </w:rPr>
        <w:t xml:space="preserve">.  </w:t>
      </w:r>
      <w:r w:rsidRPr="00C949DF">
        <w:rPr>
          <w:i/>
          <w:sz w:val="24"/>
        </w:rPr>
        <w:t>20 CFR 408.923(b</w:t>
      </w:r>
      <w:r w:rsidRPr="00C949DF">
        <w:rPr>
          <w:sz w:val="24"/>
        </w:rPr>
        <w:t>) provides overpaid individual</w:t>
      </w:r>
      <w:r w:rsidR="009447C7">
        <w:rPr>
          <w:sz w:val="24"/>
        </w:rPr>
        <w:t>s</w:t>
      </w:r>
      <w:r w:rsidRPr="00C949DF">
        <w:rPr>
          <w:sz w:val="24"/>
        </w:rPr>
        <w:t xml:space="preserve"> with the opportunity to request a different rate of withholding from </w:t>
      </w:r>
      <w:r w:rsidR="009447C7">
        <w:rPr>
          <w:sz w:val="24"/>
        </w:rPr>
        <w:t>their</w:t>
      </w:r>
      <w:r w:rsidRPr="00C949DF">
        <w:rPr>
          <w:sz w:val="24"/>
        </w:rPr>
        <w:t xml:space="preserve"> SVB payments to recover an overpayment</w:t>
      </w:r>
      <w:r>
        <w:rPr>
          <w:sz w:val="24"/>
        </w:rPr>
        <w:t xml:space="preserve">.  </w:t>
      </w:r>
      <w:r w:rsidRPr="00C949DF">
        <w:rPr>
          <w:i/>
          <w:sz w:val="24"/>
        </w:rPr>
        <w:t xml:space="preserve">20 CFR 408.931(b) </w:t>
      </w:r>
      <w:r w:rsidRPr="00C949DF">
        <w:rPr>
          <w:sz w:val="24"/>
        </w:rPr>
        <w:t>and</w:t>
      </w:r>
      <w:r w:rsidRPr="00C949DF">
        <w:rPr>
          <w:i/>
          <w:sz w:val="24"/>
        </w:rPr>
        <w:t xml:space="preserve"> 408.932(c), (d)</w:t>
      </w:r>
      <w:r>
        <w:rPr>
          <w:i/>
          <w:sz w:val="24"/>
        </w:rPr>
        <w:t>,</w:t>
      </w:r>
      <w:r w:rsidRPr="00C949DF">
        <w:rPr>
          <w:i/>
          <w:sz w:val="24"/>
        </w:rPr>
        <w:t xml:space="preserve"> </w:t>
      </w:r>
      <w:r w:rsidRPr="00C949DF">
        <w:rPr>
          <w:sz w:val="24"/>
        </w:rPr>
        <w:t>and</w:t>
      </w:r>
      <w:r w:rsidRPr="00C949DF">
        <w:rPr>
          <w:i/>
          <w:sz w:val="24"/>
        </w:rPr>
        <w:t xml:space="preserve"> (e) </w:t>
      </w:r>
      <w:r>
        <w:rPr>
          <w:sz w:val="24"/>
        </w:rPr>
        <w:t>provide</w:t>
      </w:r>
      <w:r w:rsidRPr="00C949DF">
        <w:rPr>
          <w:sz w:val="24"/>
        </w:rPr>
        <w:t xml:space="preserve"> overpaid individual</w:t>
      </w:r>
      <w:r>
        <w:rPr>
          <w:sz w:val="24"/>
        </w:rPr>
        <w:t>s</w:t>
      </w:r>
      <w:r w:rsidRPr="00C949DF">
        <w:rPr>
          <w:sz w:val="24"/>
        </w:rPr>
        <w:t xml:space="preserve"> with an opportunity to request a different rate </w:t>
      </w:r>
      <w:r>
        <w:rPr>
          <w:sz w:val="24"/>
        </w:rPr>
        <w:t xml:space="preserve">of withholding from their </w:t>
      </w:r>
      <w:r w:rsidRPr="004203A1">
        <w:rPr>
          <w:i/>
          <w:sz w:val="24"/>
        </w:rPr>
        <w:t>Title II</w:t>
      </w:r>
      <w:r w:rsidRPr="00C949DF">
        <w:rPr>
          <w:sz w:val="24"/>
        </w:rPr>
        <w:t xml:space="preserve"> benefits </w:t>
      </w:r>
      <w:r>
        <w:rPr>
          <w:sz w:val="24"/>
        </w:rPr>
        <w:t xml:space="preserve">to recover an SVB overpayment.  </w:t>
      </w:r>
      <w:r w:rsidRPr="00C949DF">
        <w:rPr>
          <w:sz w:val="24"/>
        </w:rPr>
        <w:t xml:space="preserve">In addition, the </w:t>
      </w:r>
      <w:r w:rsidR="00132FF2">
        <w:rPr>
          <w:sz w:val="24"/>
        </w:rPr>
        <w:t>SVB beneficiary</w:t>
      </w:r>
      <w:r w:rsidRPr="00C949DF" w:rsidR="00132FF2">
        <w:rPr>
          <w:sz w:val="24"/>
        </w:rPr>
        <w:t xml:space="preserve"> </w:t>
      </w:r>
      <w:r w:rsidRPr="00C949DF">
        <w:rPr>
          <w:sz w:val="24"/>
        </w:rPr>
        <w:t>may ask SSA to review the determination that</w:t>
      </w:r>
      <w:r w:rsidRPr="00C949DF">
        <w:rPr>
          <w:sz w:val="24"/>
        </w:rPr>
        <w:t xml:space="preserve"> an overpayment balance still exists and to waive collection of the balance</w:t>
      </w:r>
      <w:r>
        <w:rPr>
          <w:sz w:val="24"/>
        </w:rPr>
        <w:t xml:space="preserve">.  </w:t>
      </w:r>
      <w:r w:rsidRPr="00C949DF">
        <w:rPr>
          <w:i/>
          <w:sz w:val="24"/>
        </w:rPr>
        <w:t>20 CFR 408.941(b)</w:t>
      </w:r>
      <w:r w:rsidRPr="00C949DF">
        <w:rPr>
          <w:sz w:val="24"/>
        </w:rPr>
        <w:t xml:space="preserve"> and </w:t>
      </w:r>
      <w:r w:rsidRPr="00EE2BCB">
        <w:rPr>
          <w:i/>
          <w:sz w:val="24"/>
        </w:rPr>
        <w:t>408.942</w:t>
      </w:r>
      <w:r w:rsidRPr="00C949DF">
        <w:rPr>
          <w:sz w:val="24"/>
        </w:rPr>
        <w:t xml:space="preserve"> requ</w:t>
      </w:r>
      <w:r w:rsidR="00365EAB">
        <w:rPr>
          <w:sz w:val="24"/>
        </w:rPr>
        <w:t>ire</w:t>
      </w:r>
      <w:r w:rsidR="00F66890">
        <w:rPr>
          <w:sz w:val="24"/>
        </w:rPr>
        <w:t>s</w:t>
      </w:r>
      <w:r w:rsidR="00365EAB">
        <w:rPr>
          <w:sz w:val="24"/>
        </w:rPr>
        <w:t xml:space="preserve"> </w:t>
      </w:r>
      <w:r>
        <w:rPr>
          <w:sz w:val="24"/>
        </w:rPr>
        <w:t>an overpaid individual</w:t>
      </w:r>
      <w:r w:rsidRPr="00C949DF">
        <w:rPr>
          <w:sz w:val="24"/>
        </w:rPr>
        <w:t xml:space="preserve"> who is subject to</w:t>
      </w:r>
      <w:r w:rsidR="00132FF2">
        <w:rPr>
          <w:sz w:val="24"/>
        </w:rPr>
        <w:t xml:space="preserve"> a</w:t>
      </w:r>
      <w:r w:rsidRPr="00C949DF">
        <w:rPr>
          <w:sz w:val="24"/>
        </w:rPr>
        <w:t xml:space="preserve"> F</w:t>
      </w:r>
      <w:r>
        <w:rPr>
          <w:sz w:val="24"/>
        </w:rPr>
        <w:t>ederal income tax refund offset</w:t>
      </w:r>
      <w:r w:rsidR="00365EAB">
        <w:rPr>
          <w:sz w:val="24"/>
        </w:rPr>
        <w:t xml:space="preserve"> to</w:t>
      </w:r>
      <w:r w:rsidRPr="00C949DF">
        <w:rPr>
          <w:sz w:val="24"/>
        </w:rPr>
        <w:t xml:space="preserve"> either send SSA evidence that the overpayment is not past du</w:t>
      </w:r>
      <w:r w:rsidRPr="00C949DF">
        <w:rPr>
          <w:sz w:val="24"/>
        </w:rPr>
        <w:t>e</w:t>
      </w:r>
      <w:r w:rsidR="00365EAB">
        <w:rPr>
          <w:sz w:val="24"/>
        </w:rPr>
        <w:t>,</w:t>
      </w:r>
      <w:r w:rsidRPr="00C949DF">
        <w:rPr>
          <w:sz w:val="24"/>
        </w:rPr>
        <w:t xml:space="preserve"> or legally enforceable</w:t>
      </w:r>
      <w:r w:rsidR="00365EAB">
        <w:rPr>
          <w:sz w:val="24"/>
        </w:rPr>
        <w:t>,</w:t>
      </w:r>
      <w:r w:rsidRPr="00C949DF">
        <w:rPr>
          <w:sz w:val="24"/>
        </w:rPr>
        <w:t xml:space="preserve"> or request waiver of the overpayment.</w:t>
      </w:r>
    </w:p>
    <w:p w:rsidR="00F66890" w:rsidP="003A015D" w14:paraId="0D2ED28C" w14:textId="58500B37">
      <w:pPr>
        <w:tabs>
          <w:tab w:val="left" w:pos="-720"/>
        </w:tabs>
        <w:suppressAutoHyphens/>
        <w:ind w:left="1440"/>
        <w:rPr>
          <w:sz w:val="24"/>
        </w:rPr>
      </w:pPr>
    </w:p>
    <w:p w:rsidR="00433CDC" w:rsidRPr="0025608F" w:rsidP="003A015D" w14:paraId="6F89206E" w14:textId="77777777">
      <w:pPr>
        <w:widowControl w:val="0"/>
        <w:numPr>
          <w:ilvl w:val="0"/>
          <w:numId w:val="14"/>
        </w:numPr>
        <w:tabs>
          <w:tab w:val="clear" w:pos="360"/>
          <w:tab w:val="num" w:pos="1440"/>
        </w:tabs>
        <w:suppressAutoHyphens/>
        <w:ind w:left="1440" w:hanging="720"/>
        <w:rPr>
          <w:sz w:val="24"/>
        </w:rPr>
      </w:pPr>
      <w:r w:rsidRPr="00021C5E">
        <w:rPr>
          <w:b/>
          <w:sz w:val="24"/>
          <w:szCs w:val="24"/>
        </w:rPr>
        <w:t>Description of Collection</w:t>
      </w:r>
    </w:p>
    <w:p w:rsidR="00C30A07" w:rsidP="00BB381E" w14:paraId="6105368F" w14:textId="6CF5E7CA">
      <w:pPr>
        <w:widowControl w:val="0"/>
        <w:suppressAutoHyphens/>
        <w:ind w:left="1440"/>
        <w:rPr>
          <w:sz w:val="24"/>
          <w:szCs w:val="24"/>
        </w:rPr>
      </w:pPr>
      <w:r w:rsidRPr="003A5790">
        <w:rPr>
          <w:i/>
          <w:iCs/>
          <w:sz w:val="24"/>
          <w:szCs w:val="24"/>
        </w:rPr>
        <w:t>Title VIII</w:t>
      </w:r>
      <w:r w:rsidRPr="00BB381E">
        <w:rPr>
          <w:sz w:val="24"/>
          <w:szCs w:val="24"/>
        </w:rPr>
        <w:t xml:space="preserve"> of the </w:t>
      </w:r>
      <w:r w:rsidRPr="00BB381E" w:rsidR="007173EC">
        <w:rPr>
          <w:i/>
          <w:iCs/>
          <w:sz w:val="24"/>
          <w:szCs w:val="24"/>
        </w:rPr>
        <w:t>Act</w:t>
      </w:r>
      <w:r w:rsidRPr="00BB381E">
        <w:rPr>
          <w:sz w:val="24"/>
          <w:szCs w:val="24"/>
        </w:rPr>
        <w:t xml:space="preserve"> requires SSA to pay a monthly</w:t>
      </w:r>
      <w:r w:rsidRPr="00BB381E" w:rsidR="00901E5B">
        <w:rPr>
          <w:sz w:val="24"/>
          <w:szCs w:val="24"/>
        </w:rPr>
        <w:t xml:space="preserve"> SVB</w:t>
      </w:r>
      <w:r w:rsidRPr="00BB381E">
        <w:rPr>
          <w:sz w:val="24"/>
          <w:szCs w:val="24"/>
        </w:rPr>
        <w:t xml:space="preserve"> benefit to qualified World War II veterans who reside outside the United States. </w:t>
      </w:r>
      <w:r w:rsidR="00516E34">
        <w:rPr>
          <w:sz w:val="24"/>
          <w:szCs w:val="24"/>
        </w:rPr>
        <w:t xml:space="preserve"> </w:t>
      </w:r>
      <w:r w:rsidRPr="00BB381E" w:rsidR="00716A96">
        <w:rPr>
          <w:sz w:val="24"/>
          <w:szCs w:val="24"/>
        </w:rPr>
        <w:t>When an SVB overpayment occurs in the amount of $30.01 or more, SSA mails a notice to the respondent explaining the following:</w:t>
      </w:r>
      <w:r w:rsidR="00787BC0">
        <w:rPr>
          <w:sz w:val="24"/>
          <w:szCs w:val="24"/>
        </w:rPr>
        <w:t xml:space="preserve">  </w:t>
      </w:r>
      <w:r w:rsidRPr="00BB381E" w:rsidR="00716A96">
        <w:rPr>
          <w:sz w:val="24"/>
          <w:szCs w:val="24"/>
        </w:rPr>
        <w:t xml:space="preserve">1) The amount and cause of the SVB overpayment; 2) a monthly list of the amounts that were paid and the amounts that should have been paid; 3) </w:t>
      </w:r>
      <w:r w:rsidR="00516E34">
        <w:rPr>
          <w:sz w:val="24"/>
          <w:szCs w:val="24"/>
        </w:rPr>
        <w:t>a</w:t>
      </w:r>
      <w:r w:rsidRPr="00BB381E" w:rsidR="00716A96">
        <w:rPr>
          <w:sz w:val="24"/>
          <w:szCs w:val="24"/>
        </w:rPr>
        <w:t xml:space="preserve"> request for refund of the full amount of the overpayment within 30 days, or if refund of the full amount is not possible, a request for partial payment using the envelope enclosed with the notice; 4) an alternative manner to resolve the overpayment (e.g., 10 percent rate of recovery, collection by installments, etc.) if full refund is not made; 5) the right to request waiver of the overpayment collection; 6) the right to request reconsideration of the facts of the overpayment (e.g., existence, amount, etc.); 7)</w:t>
      </w:r>
      <w:r w:rsidR="00BB381E">
        <w:rPr>
          <w:sz w:val="24"/>
          <w:szCs w:val="24"/>
        </w:rPr>
        <w:t xml:space="preserve"> </w:t>
      </w:r>
      <w:r w:rsidRPr="00BB381E" w:rsidR="00716A96">
        <w:rPr>
          <w:sz w:val="24"/>
          <w:szCs w:val="24"/>
        </w:rPr>
        <w:t xml:space="preserve">an explanation </w:t>
      </w:r>
      <w:r w:rsidR="00132FF2">
        <w:rPr>
          <w:sz w:val="24"/>
          <w:szCs w:val="24"/>
        </w:rPr>
        <w:t>of</w:t>
      </w:r>
      <w:r w:rsidRPr="00BB381E" w:rsidR="00132FF2">
        <w:rPr>
          <w:sz w:val="24"/>
          <w:szCs w:val="24"/>
        </w:rPr>
        <w:t xml:space="preserve"> </w:t>
      </w:r>
      <w:r w:rsidRPr="00BB381E" w:rsidR="00716A96">
        <w:rPr>
          <w:sz w:val="24"/>
          <w:szCs w:val="24"/>
        </w:rPr>
        <w:t>how to request waiver and/or reconsideration;</w:t>
      </w:r>
      <w:r w:rsidRPr="00BB381E" w:rsidR="00BB381E">
        <w:rPr>
          <w:sz w:val="24"/>
          <w:szCs w:val="24"/>
        </w:rPr>
        <w:t xml:space="preserve"> and 8) </w:t>
      </w:r>
      <w:r w:rsidR="00132FF2">
        <w:rPr>
          <w:sz w:val="24"/>
          <w:szCs w:val="24"/>
        </w:rPr>
        <w:t>informs the respondents</w:t>
      </w:r>
      <w:r w:rsidRPr="00BB381E" w:rsidR="00BB381E">
        <w:rPr>
          <w:sz w:val="24"/>
          <w:szCs w:val="24"/>
        </w:rPr>
        <w:t xml:space="preserve"> they can call</w:t>
      </w:r>
      <w:r w:rsidR="00132FF2">
        <w:rPr>
          <w:sz w:val="24"/>
          <w:szCs w:val="24"/>
        </w:rPr>
        <w:t xml:space="preserve"> SSA</w:t>
      </w:r>
      <w:r w:rsidRPr="00BB381E" w:rsidR="00BB381E">
        <w:rPr>
          <w:sz w:val="24"/>
          <w:szCs w:val="24"/>
        </w:rPr>
        <w:t xml:space="preserve">, write to </w:t>
      </w:r>
      <w:r w:rsidR="00132FF2">
        <w:rPr>
          <w:sz w:val="24"/>
          <w:szCs w:val="24"/>
        </w:rPr>
        <w:t xml:space="preserve">the </w:t>
      </w:r>
      <w:r w:rsidRPr="00BB381E" w:rsidR="00BB381E">
        <w:rPr>
          <w:sz w:val="24"/>
          <w:szCs w:val="24"/>
        </w:rPr>
        <w:t>address provided on the notice, or visit a</w:t>
      </w:r>
      <w:r w:rsidR="00132FF2">
        <w:rPr>
          <w:sz w:val="24"/>
          <w:szCs w:val="24"/>
        </w:rPr>
        <w:t>n</w:t>
      </w:r>
      <w:r w:rsidRPr="00BB381E" w:rsidR="00BB381E">
        <w:rPr>
          <w:sz w:val="24"/>
          <w:szCs w:val="24"/>
        </w:rPr>
        <w:t xml:space="preserve"> SSA office </w:t>
      </w:r>
      <w:r w:rsidRPr="00BB381E" w:rsidR="00BB381E">
        <w:rPr>
          <w:sz w:val="24"/>
          <w:szCs w:val="24"/>
        </w:rPr>
        <w:t xml:space="preserve">with the letter if they need help.  SSA also encloses an envelope </w:t>
      </w:r>
      <w:r w:rsidRPr="00BB381E" w:rsidR="00716A96">
        <w:rPr>
          <w:sz w:val="24"/>
          <w:szCs w:val="24"/>
        </w:rPr>
        <w:t>for refund purposes, and enclose</w:t>
      </w:r>
      <w:r w:rsidR="00516E34">
        <w:rPr>
          <w:sz w:val="24"/>
          <w:szCs w:val="24"/>
        </w:rPr>
        <w:t>s</w:t>
      </w:r>
      <w:r w:rsidRPr="00BB381E" w:rsidR="00716A96">
        <w:rPr>
          <w:sz w:val="24"/>
          <w:szCs w:val="24"/>
        </w:rPr>
        <w:t xml:space="preserve"> </w:t>
      </w:r>
      <w:r w:rsidR="00516E34">
        <w:rPr>
          <w:sz w:val="24"/>
          <w:szCs w:val="24"/>
        </w:rPr>
        <w:t>Form</w:t>
      </w:r>
      <w:r w:rsidRPr="00BB381E" w:rsidR="00716A96">
        <w:rPr>
          <w:sz w:val="24"/>
          <w:szCs w:val="24"/>
        </w:rPr>
        <w:t xml:space="preserve"> SSA-2032-BK, Request for Waiver of Special Veterans Benefits Overpayment Recovery or Change in Repayment Rate</w:t>
      </w:r>
      <w:r w:rsidRPr="00BB381E" w:rsidR="00BB381E">
        <w:rPr>
          <w:sz w:val="24"/>
          <w:szCs w:val="24"/>
        </w:rPr>
        <w:t xml:space="preserve"> with the notice.  </w:t>
      </w:r>
      <w:r w:rsidRPr="00371C69" w:rsidR="003868AF">
        <w:rPr>
          <w:sz w:val="24"/>
          <w:szCs w:val="24"/>
        </w:rPr>
        <w:t>Form SSA-2032-BK explains how the beneficiary can request a waiver of recovery of the overpayment or a change in the repayment rate</w:t>
      </w:r>
      <w:r w:rsidR="00B408B7">
        <w:rPr>
          <w:sz w:val="24"/>
          <w:szCs w:val="24"/>
        </w:rPr>
        <w:t xml:space="preserve"> and </w:t>
      </w:r>
      <w:r w:rsidRPr="00371C69" w:rsidR="003868AF">
        <w:rPr>
          <w:sz w:val="24"/>
          <w:szCs w:val="24"/>
        </w:rPr>
        <w:t xml:space="preserve">provides the respondent with information </w:t>
      </w:r>
      <w:r w:rsidR="00132FF2">
        <w:rPr>
          <w:sz w:val="24"/>
          <w:szCs w:val="24"/>
        </w:rPr>
        <w:t>regarding</w:t>
      </w:r>
      <w:r w:rsidRPr="00371C69" w:rsidR="00132FF2">
        <w:rPr>
          <w:sz w:val="24"/>
          <w:szCs w:val="24"/>
        </w:rPr>
        <w:t xml:space="preserve"> </w:t>
      </w:r>
      <w:r w:rsidRPr="00371C69" w:rsidR="003868AF">
        <w:rPr>
          <w:sz w:val="24"/>
          <w:szCs w:val="24"/>
        </w:rPr>
        <w:t>appeal rights.  The respondent complete</w:t>
      </w:r>
      <w:r w:rsidR="00132FF2">
        <w:rPr>
          <w:sz w:val="24"/>
          <w:szCs w:val="24"/>
        </w:rPr>
        <w:t>s</w:t>
      </w:r>
      <w:r w:rsidRPr="00371C69" w:rsidR="003868AF">
        <w:rPr>
          <w:sz w:val="24"/>
          <w:szCs w:val="24"/>
        </w:rPr>
        <w:t xml:space="preserve"> the SSA-2032-BK and mails </w:t>
      </w:r>
      <w:r w:rsidR="00132FF2">
        <w:rPr>
          <w:sz w:val="24"/>
          <w:szCs w:val="24"/>
        </w:rPr>
        <w:t xml:space="preserve">it </w:t>
      </w:r>
      <w:r w:rsidRPr="00371C69" w:rsidR="003868AF">
        <w:rPr>
          <w:sz w:val="24"/>
          <w:szCs w:val="24"/>
        </w:rPr>
        <w:t>back to SSA to ensure SSA obtains the information necessary to establish whether the claimant meets the waiver of recovery provisions of the overpayment, and to determine the repayment rate if we do not waive repayment</w:t>
      </w:r>
      <w:r w:rsidRPr="00371C69" w:rsidR="00BB381E">
        <w:rPr>
          <w:sz w:val="24"/>
          <w:szCs w:val="24"/>
        </w:rPr>
        <w:t xml:space="preserve">.  </w:t>
      </w:r>
      <w:r w:rsidRPr="00371C69">
        <w:rPr>
          <w:sz w:val="24"/>
          <w:szCs w:val="24"/>
        </w:rPr>
        <w:t>When SSA receives Form SSA</w:t>
      </w:r>
      <w:r w:rsidRPr="00371C69">
        <w:rPr>
          <w:sz w:val="24"/>
          <w:szCs w:val="24"/>
        </w:rPr>
        <w:t xml:space="preserve">-2032-BK, </w:t>
      </w:r>
      <w:r w:rsidR="006A798D">
        <w:rPr>
          <w:sz w:val="24"/>
          <w:szCs w:val="24"/>
        </w:rPr>
        <w:t xml:space="preserve">we input the information </w:t>
      </w:r>
      <w:r w:rsidR="00132FF2">
        <w:rPr>
          <w:sz w:val="24"/>
          <w:szCs w:val="24"/>
        </w:rPr>
        <w:t xml:space="preserve">into </w:t>
      </w:r>
      <w:r w:rsidR="006A798D">
        <w:rPr>
          <w:sz w:val="24"/>
          <w:szCs w:val="24"/>
        </w:rPr>
        <w:t>SSA’s Modernized Claims System (MCS).  I</w:t>
      </w:r>
      <w:r w:rsidRPr="00371C69">
        <w:rPr>
          <w:sz w:val="24"/>
          <w:szCs w:val="24"/>
        </w:rPr>
        <w:t>f the respondent indicate</w:t>
      </w:r>
      <w:r w:rsidR="00132FF2">
        <w:rPr>
          <w:sz w:val="24"/>
          <w:szCs w:val="24"/>
        </w:rPr>
        <w:t>s</w:t>
      </w:r>
      <w:r w:rsidRPr="00371C69">
        <w:rPr>
          <w:sz w:val="24"/>
          <w:szCs w:val="24"/>
        </w:rPr>
        <w:t xml:space="preserve"> they are without fault in Item 2A of the SSA-2032-BK,</w:t>
      </w:r>
      <w:r w:rsidR="003A5790">
        <w:rPr>
          <w:sz w:val="24"/>
          <w:szCs w:val="24"/>
        </w:rPr>
        <w:t xml:space="preserve"> they must also meet the following conditions for SSA to approve the waiver request</w:t>
      </w:r>
      <w:r w:rsidRPr="00371C69">
        <w:rPr>
          <w:sz w:val="24"/>
          <w:szCs w:val="24"/>
        </w:rPr>
        <w:t>:</w:t>
      </w:r>
    </w:p>
    <w:p w:rsidR="00EB14BC" w:rsidRPr="00371C69" w:rsidP="00BB381E" w14:paraId="30CA15FD" w14:textId="77777777">
      <w:pPr>
        <w:widowControl w:val="0"/>
        <w:suppressAutoHyphens/>
        <w:ind w:left="1440"/>
        <w:rPr>
          <w:sz w:val="24"/>
          <w:szCs w:val="24"/>
        </w:rPr>
      </w:pPr>
    </w:p>
    <w:p w:rsidR="00C30A07" w:rsidP="002639C4" w14:paraId="11D9D292" w14:textId="4201FB35">
      <w:pPr>
        <w:pStyle w:val="ListParagraph"/>
        <w:numPr>
          <w:ilvl w:val="0"/>
          <w:numId w:val="31"/>
        </w:numPr>
        <w:shd w:val="clear" w:color="auto" w:fill="FFFFFF"/>
        <w:suppressAutoHyphens/>
        <w:rPr>
          <w:rFonts w:ascii="Times New Roman" w:hAnsi="Times New Roman"/>
        </w:rPr>
      </w:pPr>
      <w:r w:rsidRPr="003A331C">
        <w:rPr>
          <w:rFonts w:ascii="Times New Roman" w:hAnsi="Times New Roman"/>
        </w:rPr>
        <w:t xml:space="preserve">Recovery would defeat the purpose of </w:t>
      </w:r>
      <w:r w:rsidRPr="003A5790" w:rsidR="00F32A48">
        <w:rPr>
          <w:rFonts w:ascii="Times New Roman" w:hAnsi="Times New Roman"/>
          <w:i/>
          <w:iCs/>
        </w:rPr>
        <w:t>T</w:t>
      </w:r>
      <w:r w:rsidRPr="003A5790">
        <w:rPr>
          <w:rFonts w:ascii="Times New Roman" w:hAnsi="Times New Roman"/>
          <w:i/>
          <w:iCs/>
        </w:rPr>
        <w:t>itle VII</w:t>
      </w:r>
      <w:r w:rsidRPr="003A331C">
        <w:rPr>
          <w:rFonts w:ascii="Times New Roman" w:hAnsi="Times New Roman"/>
        </w:rPr>
        <w:t xml:space="preserve"> of the </w:t>
      </w:r>
      <w:r w:rsidRPr="003A5790">
        <w:rPr>
          <w:rFonts w:ascii="Times New Roman" w:hAnsi="Times New Roman"/>
          <w:i/>
          <w:iCs/>
        </w:rPr>
        <w:t>Act</w:t>
      </w:r>
      <w:r w:rsidRPr="003A331C">
        <w:rPr>
          <w:rFonts w:ascii="Times New Roman" w:hAnsi="Times New Roman"/>
        </w:rPr>
        <w:t xml:space="preserve"> if </w:t>
      </w:r>
      <w:r w:rsidR="0017260D">
        <w:rPr>
          <w:rFonts w:ascii="Times New Roman" w:hAnsi="Times New Roman"/>
        </w:rPr>
        <w:t>it</w:t>
      </w:r>
      <w:r w:rsidRPr="003A331C" w:rsidR="0017260D">
        <w:rPr>
          <w:rFonts w:ascii="Times New Roman" w:hAnsi="Times New Roman"/>
        </w:rPr>
        <w:t xml:space="preserve"> </w:t>
      </w:r>
      <w:r w:rsidRPr="003A331C">
        <w:rPr>
          <w:rFonts w:ascii="Times New Roman" w:hAnsi="Times New Roman"/>
        </w:rPr>
        <w:t xml:space="preserve">would deprive the without fault debtor of income required for ordinary and necessary living </w:t>
      </w:r>
      <w:r w:rsidRPr="003A331C">
        <w:rPr>
          <w:rFonts w:ascii="Times New Roman" w:hAnsi="Times New Roman"/>
        </w:rPr>
        <w:t>expenses.</w:t>
      </w:r>
      <w:r w:rsidR="003A5790">
        <w:rPr>
          <w:rFonts w:ascii="Times New Roman" w:hAnsi="Times New Roman"/>
        </w:rPr>
        <w:t xml:space="preserve"> </w:t>
      </w:r>
      <w:r w:rsidRPr="003A331C">
        <w:rPr>
          <w:rFonts w:ascii="Times New Roman" w:hAnsi="Times New Roman"/>
        </w:rPr>
        <w:t xml:space="preserve"> </w:t>
      </w:r>
      <w:r w:rsidR="003A5790">
        <w:rPr>
          <w:rFonts w:ascii="Times New Roman" w:hAnsi="Times New Roman"/>
        </w:rPr>
        <w:t>In this situation, SSA would waive recovery.</w:t>
      </w:r>
    </w:p>
    <w:p w:rsidR="003A5790" w:rsidRPr="003A331C" w:rsidP="003A5790" w14:paraId="610EF8AB" w14:textId="77777777">
      <w:pPr>
        <w:pStyle w:val="ListParagraph"/>
        <w:shd w:val="clear" w:color="auto" w:fill="FFFFFF"/>
        <w:suppressAutoHyphens/>
        <w:ind w:left="1800"/>
        <w:rPr>
          <w:rFonts w:ascii="Times New Roman" w:hAnsi="Times New Roman"/>
        </w:rPr>
      </w:pPr>
    </w:p>
    <w:p w:rsidR="00C30A07" w:rsidRPr="00EB14BC" w:rsidP="00EB14BC" w14:paraId="02E7D318" w14:textId="79C7A801">
      <w:pPr>
        <w:pStyle w:val="ListParagraph"/>
        <w:numPr>
          <w:ilvl w:val="0"/>
          <w:numId w:val="31"/>
        </w:numPr>
        <w:suppressAutoHyphens/>
        <w:rPr>
          <w:rFonts w:ascii="Times New Roman" w:hAnsi="Times New Roman"/>
        </w:rPr>
      </w:pPr>
      <w:r w:rsidRPr="00EB14BC">
        <w:rPr>
          <w:rFonts w:ascii="Times New Roman" w:hAnsi="Times New Roman"/>
        </w:rPr>
        <w:t>Recovery would be against equity and good conscience</w:t>
      </w:r>
      <w:r w:rsidRPr="00EB14BC" w:rsidR="00EB14BC">
        <w:rPr>
          <w:rFonts w:ascii="Times New Roman" w:hAnsi="Times New Roman"/>
        </w:rPr>
        <w:t xml:space="preserve"> </w:t>
      </w:r>
      <w:r w:rsidRPr="00EB14BC">
        <w:rPr>
          <w:rFonts w:ascii="Times New Roman" w:hAnsi="Times New Roman"/>
        </w:rPr>
        <w:t>when a without fault debtor relies on benefit payments or on notice that such payments are to be made and gives up a valuable right or changes the</w:t>
      </w:r>
      <w:r w:rsidRPr="00EB14BC">
        <w:rPr>
          <w:rFonts w:ascii="Times New Roman" w:hAnsi="Times New Roman"/>
        </w:rPr>
        <w:t>ir position for the worse.</w:t>
      </w:r>
    </w:p>
    <w:p w:rsidR="00C30A07" w:rsidRPr="006F7779" w:rsidP="00BB381E" w14:paraId="3644A027" w14:textId="77777777">
      <w:pPr>
        <w:widowControl w:val="0"/>
        <w:suppressAutoHyphens/>
        <w:ind w:left="1440"/>
        <w:rPr>
          <w:sz w:val="24"/>
          <w:szCs w:val="24"/>
        </w:rPr>
      </w:pPr>
    </w:p>
    <w:p w:rsidR="00D8456F" w:rsidRPr="006F7779" w:rsidP="006F7779" w14:paraId="368BCD2B" w14:textId="568EDE3B">
      <w:pPr>
        <w:widowControl w:val="0"/>
        <w:suppressAutoHyphens/>
        <w:ind w:left="1440"/>
        <w:rPr>
          <w:sz w:val="24"/>
          <w:szCs w:val="24"/>
        </w:rPr>
      </w:pPr>
      <w:r w:rsidRPr="006F7779">
        <w:rPr>
          <w:sz w:val="24"/>
          <w:szCs w:val="24"/>
        </w:rPr>
        <w:t xml:space="preserve">SSA </w:t>
      </w:r>
      <w:r w:rsidR="0017260D">
        <w:rPr>
          <w:sz w:val="24"/>
          <w:szCs w:val="24"/>
        </w:rPr>
        <w:t>makes</w:t>
      </w:r>
      <w:r w:rsidRPr="006F7779">
        <w:rPr>
          <w:sz w:val="24"/>
          <w:szCs w:val="24"/>
        </w:rPr>
        <w:t xml:space="preserve"> a determination in 10 days and mail</w:t>
      </w:r>
      <w:r w:rsidR="0017260D">
        <w:rPr>
          <w:sz w:val="24"/>
          <w:szCs w:val="24"/>
        </w:rPr>
        <w:t>s</w:t>
      </w:r>
      <w:r w:rsidRPr="006F7779">
        <w:rPr>
          <w:sz w:val="24"/>
          <w:szCs w:val="24"/>
        </w:rPr>
        <w:t xml:space="preserve"> the respondent a notice letting them know if</w:t>
      </w:r>
      <w:r w:rsidR="006F7779">
        <w:rPr>
          <w:sz w:val="24"/>
          <w:szCs w:val="24"/>
        </w:rPr>
        <w:t xml:space="preserve"> SSA approved or denied the request</w:t>
      </w:r>
      <w:r w:rsidRPr="006F7779">
        <w:rPr>
          <w:sz w:val="24"/>
          <w:szCs w:val="24"/>
        </w:rPr>
        <w:t xml:space="preserve">.  If </w:t>
      </w:r>
      <w:r w:rsidRPr="006F7779" w:rsidR="00A51A29">
        <w:rPr>
          <w:sz w:val="24"/>
          <w:szCs w:val="24"/>
        </w:rPr>
        <w:t>SSA denies the request</w:t>
      </w:r>
      <w:r w:rsidRPr="006F7779">
        <w:rPr>
          <w:sz w:val="24"/>
          <w:szCs w:val="24"/>
        </w:rPr>
        <w:t xml:space="preserve"> the respondent can appeal the decision as stated in the notice</w:t>
      </w:r>
      <w:r w:rsidRPr="006F7779" w:rsidR="006F7779">
        <w:rPr>
          <w:sz w:val="24"/>
          <w:szCs w:val="24"/>
        </w:rPr>
        <w:t xml:space="preserve">.  </w:t>
      </w:r>
    </w:p>
    <w:p w:rsidR="0085109D" w:rsidP="0085109D" w14:paraId="5E05C121" w14:textId="77777777">
      <w:pPr>
        <w:ind w:left="1440"/>
        <w:rPr>
          <w:color w:val="0000FF"/>
        </w:rPr>
      </w:pPr>
    </w:p>
    <w:p w:rsidR="0085109D" w:rsidP="0085109D" w14:paraId="2FE75086" w14:textId="4E6BF2D8">
      <w:pPr>
        <w:ind w:left="1440"/>
        <w:rPr>
          <w:sz w:val="24"/>
          <w:szCs w:val="24"/>
        </w:rPr>
      </w:pPr>
      <w:r w:rsidRPr="0085109D">
        <w:rPr>
          <w:sz w:val="24"/>
          <w:szCs w:val="24"/>
        </w:rPr>
        <w:t>We identified the following psychological costs based on the requirements for this information collection:</w:t>
      </w:r>
    </w:p>
    <w:p w:rsidR="0085109D" w:rsidP="0085109D" w14:paraId="1E501905" w14:textId="01DCA046">
      <w:pPr>
        <w:ind w:left="1440"/>
        <w:rPr>
          <w:sz w:val="24"/>
          <w:szCs w:val="24"/>
        </w:rPr>
      </w:pPr>
    </w:p>
    <w:p w:rsidR="0085109D" w:rsidRPr="00B408B7" w:rsidP="0085109D" w14:paraId="1B944BC7" w14:textId="41F0570C">
      <w:pPr>
        <w:ind w:left="720" w:firstLine="720"/>
        <w:rPr>
          <w:sz w:val="24"/>
          <w:szCs w:val="24"/>
        </w:rPr>
      </w:pPr>
      <w:r w:rsidRPr="00B408B7">
        <w:rPr>
          <w:b/>
          <w:bCs/>
          <w:sz w:val="24"/>
          <w:szCs w:val="24"/>
          <w:u w:val="single"/>
        </w:rPr>
        <w:t>Psychological Cost</w:t>
      </w:r>
      <w:r w:rsidRPr="00B408B7">
        <w:rPr>
          <w:sz w:val="24"/>
          <w:szCs w:val="24"/>
        </w:rPr>
        <w:t>:</w:t>
      </w:r>
    </w:p>
    <w:p w:rsidR="00D00CDF" w:rsidRPr="00B408B7" w:rsidP="00B408B7" w14:paraId="053762CC" w14:textId="43EF5A36">
      <w:pPr>
        <w:pStyle w:val="ListParagraph"/>
        <w:numPr>
          <w:ilvl w:val="0"/>
          <w:numId w:val="33"/>
        </w:numPr>
        <w:rPr>
          <w:rFonts w:ascii="Times New Roman" w:hAnsi="Times New Roman"/>
        </w:rPr>
      </w:pPr>
      <w:r w:rsidRPr="00B408B7">
        <w:rPr>
          <w:rFonts w:ascii="Times New Roman" w:hAnsi="Times New Roman"/>
          <w:b/>
          <w:bCs/>
        </w:rPr>
        <w:t xml:space="preserve">Requirement for the Program:  </w:t>
      </w:r>
      <w:r w:rsidRPr="00B408B7">
        <w:rPr>
          <w:rFonts w:ascii="Times New Roman" w:hAnsi="Times New Roman"/>
        </w:rPr>
        <w:t>The SSA-2032-BK application pr</w:t>
      </w:r>
      <w:r w:rsidRPr="00B408B7">
        <w:rPr>
          <w:rFonts w:ascii="Times New Roman" w:hAnsi="Times New Roman"/>
        </w:rPr>
        <w:t>ocess asks individuals to provide some personal information about themselves so SSA can determine whether they are eligible to receive a Waiver of SVB Overpayment Recovery or Change in Repayment Rate.</w:t>
      </w:r>
    </w:p>
    <w:p w:rsidR="00D00CDF" w:rsidRPr="00B408B7" w:rsidP="00D00CDF" w14:paraId="469689E7" w14:textId="18353052">
      <w:pPr>
        <w:rPr>
          <w:b/>
          <w:bCs/>
          <w:sz w:val="24"/>
          <w:szCs w:val="24"/>
        </w:rPr>
      </w:pPr>
    </w:p>
    <w:p w:rsidR="00D00CDF" w:rsidRPr="00B408B7" w:rsidP="00B408B7" w14:paraId="4BC1C6D9" w14:textId="77777777">
      <w:pPr>
        <w:pStyle w:val="ListParagraph"/>
        <w:numPr>
          <w:ilvl w:val="0"/>
          <w:numId w:val="33"/>
        </w:numPr>
        <w:rPr>
          <w:rFonts w:ascii="Times New Roman" w:hAnsi="Times New Roman"/>
          <w:b/>
          <w:bCs/>
        </w:rPr>
      </w:pPr>
      <w:r w:rsidRPr="00B408B7">
        <w:rPr>
          <w:rFonts w:ascii="Times New Roman" w:hAnsi="Times New Roman"/>
          <w:b/>
          <w:bCs/>
        </w:rPr>
        <w:t xml:space="preserve">Psychological Cost:  </w:t>
      </w:r>
      <w:r w:rsidRPr="00B408B7">
        <w:rPr>
          <w:rFonts w:ascii="Times New Roman" w:hAnsi="Times New Roman"/>
        </w:rPr>
        <w:t>T</w:t>
      </w:r>
      <w:r w:rsidRPr="00B408B7">
        <w:rPr>
          <w:rFonts w:ascii="Times New Roman" w:hAnsi="Times New Roman"/>
          <w:snapToGrid w:val="0"/>
          <w:color w:val="000000"/>
        </w:rPr>
        <w:t>he respondent may perceive these</w:t>
      </w:r>
      <w:r w:rsidRPr="00B408B7">
        <w:rPr>
          <w:rFonts w:ascii="Times New Roman" w:hAnsi="Times New Roman"/>
          <w:snapToGrid w:val="0"/>
          <w:color w:val="000000"/>
        </w:rPr>
        <w:t xml:space="preserve"> questions as unduly invasive, and these factors can lead to individuals choosing to delay or abandon completing this form.</w:t>
      </w:r>
    </w:p>
    <w:p w:rsidR="0085109D" w:rsidRPr="008E00E0" w:rsidP="0085109D" w14:paraId="469405B5" w14:textId="77777777">
      <w:pPr>
        <w:ind w:left="1440"/>
        <w:rPr>
          <w:sz w:val="24"/>
          <w:szCs w:val="24"/>
        </w:rPr>
      </w:pPr>
    </w:p>
    <w:p w:rsidR="0085109D" w:rsidP="00D00CDF" w14:paraId="37ABDDB3" w14:textId="1B53C838">
      <w:pPr>
        <w:ind w:left="1440"/>
        <w:rPr>
          <w:sz w:val="24"/>
          <w:szCs w:val="24"/>
        </w:rPr>
      </w:pPr>
      <w:r w:rsidRPr="008E00E0">
        <w:rPr>
          <w:sz w:val="24"/>
          <w:szCs w:val="24"/>
        </w:rPr>
        <w:t xml:space="preserve">We understand these psychological costs may cause respondents to delay their completion of the information collection or cause them to abandon the information collection entirely.  However, we require full completion of this </w:t>
      </w:r>
      <w:r w:rsidRPr="00D00CDF">
        <w:rPr>
          <w:sz w:val="24"/>
          <w:szCs w:val="24"/>
        </w:rPr>
        <w:t>collection to r</w:t>
      </w:r>
      <w:r w:rsidR="003A5790">
        <w:rPr>
          <w:sz w:val="24"/>
          <w:szCs w:val="24"/>
        </w:rPr>
        <w:t>esolve the overpayment</w:t>
      </w:r>
      <w:r w:rsidRPr="00D00CDF">
        <w:rPr>
          <w:sz w:val="24"/>
          <w:szCs w:val="24"/>
        </w:rPr>
        <w:t>.  Therefore, we have taken this potential psychological cost into account when calculating our burden in #12 below.</w:t>
      </w:r>
    </w:p>
    <w:p w:rsidR="00BE6FCF" w:rsidRPr="00D00CDF" w:rsidP="00D00CDF" w14:paraId="5003DB9D" w14:textId="77777777">
      <w:pPr>
        <w:ind w:left="1440"/>
        <w:rPr>
          <w:sz w:val="24"/>
          <w:szCs w:val="24"/>
        </w:rPr>
      </w:pPr>
    </w:p>
    <w:p w:rsidR="0085109D" w:rsidRPr="00EF7813" w:rsidP="0085109D" w14:paraId="24FA6B67" w14:textId="7B404467">
      <w:pPr>
        <w:ind w:left="1440"/>
        <w:rPr>
          <w:color w:val="0000FF"/>
        </w:rPr>
      </w:pPr>
      <w:r>
        <w:rPr>
          <w:sz w:val="24"/>
          <w:szCs w:val="24"/>
        </w:rPr>
        <w:t>The r</w:t>
      </w:r>
      <w:r w:rsidRPr="006F7779">
        <w:rPr>
          <w:sz w:val="24"/>
          <w:szCs w:val="24"/>
        </w:rPr>
        <w:t>espondents are SVB beneficiaries who have overpayments on their Title VIII record and wish to file a claim for waiver of r</w:t>
      </w:r>
      <w:r w:rsidRPr="006F7779">
        <w:rPr>
          <w:sz w:val="24"/>
          <w:szCs w:val="24"/>
        </w:rPr>
        <w:t>ecovery or change in repayment rate</w:t>
      </w:r>
    </w:p>
    <w:p w:rsidR="00365EAB" w:rsidRPr="00365EAB" w:rsidP="003A015D" w14:paraId="7FA7409C" w14:textId="77777777">
      <w:pPr>
        <w:widowControl w:val="0"/>
        <w:suppressAutoHyphens/>
        <w:ind w:left="1440"/>
        <w:rPr>
          <w:sz w:val="24"/>
          <w:szCs w:val="24"/>
        </w:rPr>
      </w:pPr>
    </w:p>
    <w:p w:rsidR="00433CDC" w:rsidRPr="0025608F" w:rsidP="003A015D" w14:paraId="4E66AECF" w14:textId="5EDCEC5E">
      <w:pPr>
        <w:widowControl w:val="0"/>
        <w:numPr>
          <w:ilvl w:val="0"/>
          <w:numId w:val="14"/>
        </w:numPr>
        <w:tabs>
          <w:tab w:val="clear" w:pos="360"/>
          <w:tab w:val="num" w:pos="1440"/>
        </w:tabs>
        <w:suppressAutoHyphens/>
        <w:ind w:left="1440" w:hanging="720"/>
        <w:rPr>
          <w:sz w:val="24"/>
        </w:rPr>
      </w:pPr>
      <w:r w:rsidRPr="00365EAB">
        <w:rPr>
          <w:b/>
          <w:sz w:val="24"/>
          <w:szCs w:val="24"/>
        </w:rPr>
        <w:t>Use of Information Technology to Collect</w:t>
      </w:r>
      <w:r w:rsidRPr="008236EC">
        <w:rPr>
          <w:b/>
          <w:sz w:val="24"/>
          <w:szCs w:val="24"/>
        </w:rPr>
        <w:t xml:space="preserve"> the Information</w:t>
      </w:r>
    </w:p>
    <w:p w:rsidR="0025608F" w:rsidP="003A015D" w14:paraId="2F7A0C49" w14:textId="20B290C3">
      <w:pPr>
        <w:widowControl w:val="0"/>
        <w:suppressAutoHyphens/>
        <w:ind w:left="1440"/>
        <w:rPr>
          <w:sz w:val="24"/>
          <w:szCs w:val="24"/>
        </w:rPr>
      </w:pPr>
      <w:r>
        <w:rPr>
          <w:bCs/>
          <w:sz w:val="24"/>
          <w:szCs w:val="24"/>
        </w:rPr>
        <w:t xml:space="preserve">SSA mails the </w:t>
      </w:r>
      <w:r w:rsidRPr="0025608F">
        <w:rPr>
          <w:bCs/>
          <w:sz w:val="24"/>
          <w:szCs w:val="24"/>
        </w:rPr>
        <w:t>SSA</w:t>
      </w:r>
      <w:r w:rsidRPr="0025608F">
        <w:rPr>
          <w:bCs/>
          <w:sz w:val="24"/>
          <w:szCs w:val="24"/>
        </w:rPr>
        <w:noBreakHyphen/>
        <w:t xml:space="preserve">2032-BK is </w:t>
      </w:r>
      <w:r w:rsidR="00B408B7">
        <w:rPr>
          <w:bCs/>
          <w:sz w:val="24"/>
          <w:szCs w:val="24"/>
        </w:rPr>
        <w:t>mailed to the respondent with the notice</w:t>
      </w:r>
      <w:r>
        <w:rPr>
          <w:bCs/>
          <w:sz w:val="24"/>
          <w:szCs w:val="24"/>
        </w:rPr>
        <w:t xml:space="preserve">; </w:t>
      </w:r>
      <w:r w:rsidR="00B408B7">
        <w:rPr>
          <w:bCs/>
          <w:sz w:val="24"/>
          <w:szCs w:val="24"/>
        </w:rPr>
        <w:t>however</w:t>
      </w:r>
      <w:r w:rsidR="0017260D">
        <w:rPr>
          <w:bCs/>
          <w:sz w:val="24"/>
          <w:szCs w:val="24"/>
        </w:rPr>
        <w:t>,</w:t>
      </w:r>
      <w:r w:rsidR="00B408B7">
        <w:rPr>
          <w:bCs/>
          <w:sz w:val="24"/>
          <w:szCs w:val="24"/>
        </w:rPr>
        <w:t xml:space="preserve"> if the respondent needs an additional copy of the SSA-2032-BK, it is </w:t>
      </w:r>
      <w:r w:rsidRPr="0025608F">
        <w:rPr>
          <w:bCs/>
          <w:sz w:val="24"/>
          <w:szCs w:val="24"/>
        </w:rPr>
        <w:t xml:space="preserve">available as </w:t>
      </w:r>
      <w:r w:rsidRPr="0025608F">
        <w:rPr>
          <w:bCs/>
          <w:sz w:val="24"/>
          <w:szCs w:val="24"/>
        </w:rPr>
        <w:t>a p</w:t>
      </w:r>
      <w:r w:rsidR="00365EAB">
        <w:rPr>
          <w:bCs/>
          <w:sz w:val="24"/>
          <w:szCs w:val="24"/>
        </w:rPr>
        <w:t>rint</w:t>
      </w:r>
      <w:r w:rsidR="003A015D">
        <w:rPr>
          <w:bCs/>
          <w:sz w:val="24"/>
          <w:szCs w:val="24"/>
        </w:rPr>
        <w:noBreakHyphen/>
      </w:r>
      <w:r w:rsidR="00365EAB">
        <w:rPr>
          <w:bCs/>
          <w:sz w:val="24"/>
          <w:szCs w:val="24"/>
        </w:rPr>
        <w:t>only PDF on SSA’s website.</w:t>
      </w:r>
      <w:r w:rsidR="003C07B7">
        <w:rPr>
          <w:bCs/>
          <w:sz w:val="24"/>
          <w:szCs w:val="24"/>
        </w:rPr>
        <w:t xml:space="preserve">  D</w:t>
      </w:r>
      <w:r w:rsidRPr="003C07B7" w:rsidR="003C07B7">
        <w:rPr>
          <w:bCs/>
          <w:sz w:val="24"/>
          <w:szCs w:val="24"/>
        </w:rPr>
        <w:t>ue to the low volume of respondents for th</w:t>
      </w:r>
      <w:r w:rsidR="003C07B7">
        <w:rPr>
          <w:bCs/>
          <w:sz w:val="24"/>
          <w:szCs w:val="24"/>
        </w:rPr>
        <w:t>is</w:t>
      </w:r>
      <w:r w:rsidRPr="003C07B7" w:rsidR="003C07B7">
        <w:rPr>
          <w:bCs/>
          <w:sz w:val="24"/>
          <w:szCs w:val="24"/>
        </w:rPr>
        <w:t xml:space="preserve"> form, </w:t>
      </w:r>
      <w:r w:rsidR="00901E5B">
        <w:rPr>
          <w:bCs/>
          <w:sz w:val="24"/>
          <w:szCs w:val="24"/>
        </w:rPr>
        <w:t xml:space="preserve">and </w:t>
      </w:r>
      <w:r w:rsidRPr="00B6788C" w:rsidR="00901E5B">
        <w:rPr>
          <w:snapToGrid w:val="0"/>
          <w:sz w:val="24"/>
          <w:szCs w:val="24"/>
        </w:rPr>
        <w:t>because the population who can receive SVB are World War II veterans</w:t>
      </w:r>
      <w:r w:rsidR="00901E5B">
        <w:rPr>
          <w:snapToGrid w:val="0"/>
          <w:sz w:val="24"/>
          <w:szCs w:val="24"/>
        </w:rPr>
        <w:t>, the youngest of whom are now in their mid to late 90’s</w:t>
      </w:r>
      <w:r w:rsidRPr="00B6788C" w:rsidR="00901E5B">
        <w:rPr>
          <w:snapToGrid w:val="0"/>
          <w:sz w:val="24"/>
          <w:szCs w:val="24"/>
        </w:rPr>
        <w:t>,</w:t>
      </w:r>
      <w:r w:rsidR="00901E5B">
        <w:rPr>
          <w:snapToGrid w:val="0"/>
          <w:sz w:val="24"/>
          <w:szCs w:val="24"/>
        </w:rPr>
        <w:t xml:space="preserve"> </w:t>
      </w:r>
      <w:r w:rsidR="0017260D">
        <w:rPr>
          <w:snapToGrid w:val="0"/>
          <w:sz w:val="24"/>
          <w:szCs w:val="24"/>
        </w:rPr>
        <w:t>SSA did not schedule this form</w:t>
      </w:r>
      <w:r w:rsidRPr="003C07B7" w:rsidR="003C07B7">
        <w:rPr>
          <w:bCs/>
          <w:sz w:val="24"/>
          <w:szCs w:val="24"/>
        </w:rPr>
        <w:t xml:space="preserve"> for electronic implementation</w:t>
      </w:r>
      <w:r w:rsidR="003C07B7">
        <w:rPr>
          <w:bCs/>
          <w:sz w:val="24"/>
          <w:szCs w:val="24"/>
        </w:rPr>
        <w:t>.</w:t>
      </w:r>
      <w:r w:rsidR="00553081">
        <w:rPr>
          <w:bCs/>
          <w:sz w:val="24"/>
          <w:szCs w:val="24"/>
        </w:rPr>
        <w:t xml:space="preserve"> </w:t>
      </w:r>
      <w:r w:rsidR="003A39E0">
        <w:rPr>
          <w:bCs/>
          <w:sz w:val="24"/>
          <w:szCs w:val="24"/>
        </w:rPr>
        <w:t xml:space="preserve"> </w:t>
      </w:r>
      <w:r w:rsidR="00901E5B">
        <w:rPr>
          <w:bCs/>
          <w:sz w:val="24"/>
          <w:szCs w:val="24"/>
        </w:rPr>
        <w:t xml:space="preserve">As we </w:t>
      </w:r>
      <w:r w:rsidRPr="00B6788C" w:rsidR="00901E5B">
        <w:rPr>
          <w:snapToGrid w:val="0"/>
          <w:sz w:val="24"/>
          <w:szCs w:val="24"/>
        </w:rPr>
        <w:t>expect the respondent pool to continue to decrease over the next several years</w:t>
      </w:r>
      <w:r w:rsidR="00901E5B">
        <w:rPr>
          <w:snapToGrid w:val="0"/>
          <w:sz w:val="24"/>
          <w:szCs w:val="24"/>
        </w:rPr>
        <w:t>, until there are no longer any respondents who are eligible for SVB,</w:t>
      </w:r>
      <w:r w:rsidR="00901E5B">
        <w:rPr>
          <w:bCs/>
          <w:sz w:val="24"/>
          <w:szCs w:val="24"/>
        </w:rPr>
        <w:t xml:space="preserve"> </w:t>
      </w:r>
      <w:r w:rsidR="00553081">
        <w:rPr>
          <w:bCs/>
          <w:sz w:val="24"/>
          <w:szCs w:val="24"/>
        </w:rPr>
        <w:t>SSA anticipates that this form will be obsolete by the mid-2020s.</w:t>
      </w:r>
      <w:r w:rsidR="004E7888">
        <w:rPr>
          <w:bCs/>
          <w:sz w:val="24"/>
          <w:szCs w:val="24"/>
        </w:rPr>
        <w:t xml:space="preserve">  As of June 2022, we have </w:t>
      </w:r>
      <w:r w:rsidR="00D7410B">
        <w:rPr>
          <w:bCs/>
          <w:sz w:val="24"/>
          <w:szCs w:val="24"/>
        </w:rPr>
        <w:t>34</w:t>
      </w:r>
      <w:r w:rsidR="004E7888">
        <w:rPr>
          <w:bCs/>
          <w:sz w:val="24"/>
          <w:szCs w:val="24"/>
        </w:rPr>
        <w:t xml:space="preserve"> beneficiaries </w:t>
      </w:r>
      <w:r w:rsidR="00901E5B">
        <w:rPr>
          <w:bCs/>
          <w:sz w:val="24"/>
          <w:szCs w:val="24"/>
        </w:rPr>
        <w:t xml:space="preserve">still </w:t>
      </w:r>
      <w:r w:rsidR="004E7888">
        <w:rPr>
          <w:bCs/>
          <w:sz w:val="24"/>
          <w:szCs w:val="24"/>
        </w:rPr>
        <w:t>receiving SVB.</w:t>
      </w:r>
      <w:r w:rsidR="001A15FF">
        <w:rPr>
          <w:bCs/>
          <w:sz w:val="24"/>
          <w:szCs w:val="24"/>
        </w:rPr>
        <w:t xml:space="preserve">  Additionally, </w:t>
      </w:r>
      <w:r w:rsidRPr="001A15FF" w:rsidR="001A15FF">
        <w:rPr>
          <w:bCs/>
          <w:sz w:val="24"/>
          <w:szCs w:val="24"/>
        </w:rPr>
        <w:t>t</w:t>
      </w:r>
      <w:r w:rsidRPr="001A15FF" w:rsidR="004E7888">
        <w:rPr>
          <w:color w:val="000000"/>
          <w:sz w:val="24"/>
          <w:szCs w:val="24"/>
        </w:rPr>
        <w:t xml:space="preserve">his collection does not currently have a fully public-facing </w:t>
      </w:r>
      <w:r w:rsidR="00EB14BC">
        <w:rPr>
          <w:color w:val="000000"/>
          <w:sz w:val="24"/>
          <w:szCs w:val="24"/>
        </w:rPr>
        <w:t>submittable PDF</w:t>
      </w:r>
      <w:r w:rsidRPr="001A15FF" w:rsidR="004E7888">
        <w:rPr>
          <w:color w:val="000000"/>
          <w:sz w:val="24"/>
          <w:szCs w:val="24"/>
        </w:rPr>
        <w:t xml:space="preserve"> version, as</w:t>
      </w:r>
      <w:r w:rsidRPr="001A15FF" w:rsidR="001A15FF">
        <w:rPr>
          <w:color w:val="000000"/>
          <w:sz w:val="24"/>
          <w:szCs w:val="24"/>
        </w:rPr>
        <w:t xml:space="preserve"> </w:t>
      </w:r>
      <w:r w:rsidRPr="001A15FF" w:rsidR="004E7888">
        <w:rPr>
          <w:color w:val="000000"/>
          <w:sz w:val="24"/>
          <w:szCs w:val="24"/>
        </w:rPr>
        <w:t xml:space="preserve">we prioritized </w:t>
      </w:r>
      <w:r w:rsidR="0017260D">
        <w:rPr>
          <w:color w:val="000000"/>
          <w:sz w:val="24"/>
          <w:szCs w:val="24"/>
        </w:rPr>
        <w:t>higher volume</w:t>
      </w:r>
      <w:r w:rsidRPr="001A15FF" w:rsidR="0017260D">
        <w:rPr>
          <w:color w:val="000000"/>
          <w:sz w:val="24"/>
          <w:szCs w:val="24"/>
        </w:rPr>
        <w:t xml:space="preserve"> </w:t>
      </w:r>
      <w:r w:rsidRPr="001A15FF" w:rsidR="004E7888">
        <w:rPr>
          <w:color w:val="000000"/>
          <w:sz w:val="24"/>
          <w:szCs w:val="24"/>
        </w:rPr>
        <w:t>information collections for full electronic conversions</w:t>
      </w:r>
      <w:r w:rsidR="0017260D">
        <w:rPr>
          <w:color w:val="000000"/>
          <w:sz w:val="24"/>
          <w:szCs w:val="24"/>
        </w:rPr>
        <w:t>, and because we anticipate discontinuing this information collection within the next several years</w:t>
      </w:r>
      <w:r w:rsidRPr="001A15FF" w:rsidR="004E7888">
        <w:rPr>
          <w:color w:val="000000"/>
          <w:sz w:val="24"/>
          <w:szCs w:val="24"/>
        </w:rPr>
        <w:t>.</w:t>
      </w:r>
    </w:p>
    <w:p w:rsidR="00D06A65" w:rsidRPr="0025608F" w:rsidP="003A015D" w14:paraId="78360F94" w14:textId="77777777">
      <w:pPr>
        <w:widowControl w:val="0"/>
        <w:suppressAutoHyphens/>
        <w:ind w:left="1440"/>
        <w:rPr>
          <w:sz w:val="24"/>
          <w:szCs w:val="24"/>
        </w:rPr>
      </w:pPr>
    </w:p>
    <w:p w:rsidR="00433CDC" w:rsidRPr="0025608F" w:rsidP="003A015D" w14:paraId="4D009069" w14:textId="77777777">
      <w:pPr>
        <w:widowControl w:val="0"/>
        <w:numPr>
          <w:ilvl w:val="0"/>
          <w:numId w:val="14"/>
        </w:numPr>
        <w:tabs>
          <w:tab w:val="clear" w:pos="360"/>
          <w:tab w:val="num" w:pos="1440"/>
        </w:tabs>
        <w:suppressAutoHyphens/>
        <w:ind w:left="1440" w:hanging="720"/>
        <w:rPr>
          <w:sz w:val="24"/>
        </w:rPr>
      </w:pPr>
      <w:r w:rsidRPr="008236EC">
        <w:rPr>
          <w:b/>
          <w:sz w:val="24"/>
          <w:szCs w:val="24"/>
        </w:rPr>
        <w:t>Why We Cannot Use Duplicate Information</w:t>
      </w:r>
    </w:p>
    <w:p w:rsidR="0025608F" w:rsidP="003A015D" w14:paraId="29B0D880" w14:textId="3814060E">
      <w:pPr>
        <w:widowControl w:val="0"/>
        <w:suppressAutoHyphens/>
        <w:ind w:left="1440"/>
        <w:rPr>
          <w:sz w:val="24"/>
        </w:rPr>
      </w:pPr>
      <w:r w:rsidRPr="00C949DF">
        <w:rPr>
          <w:bCs/>
          <w:sz w:val="24"/>
        </w:rPr>
        <w:t>The nature of the</w:t>
      </w:r>
      <w:r>
        <w:rPr>
          <w:bCs/>
          <w:sz w:val="24"/>
        </w:rPr>
        <w:t xml:space="preserve"> </w:t>
      </w:r>
      <w:r w:rsidR="003A015D">
        <w:rPr>
          <w:bCs/>
          <w:sz w:val="24"/>
        </w:rPr>
        <w:t>i</w:t>
      </w:r>
      <w:r w:rsidRPr="00C949DF">
        <w:rPr>
          <w:bCs/>
          <w:sz w:val="24"/>
        </w:rPr>
        <w:t xml:space="preserve">nformation </w:t>
      </w:r>
      <w:r w:rsidR="003A015D">
        <w:rPr>
          <w:bCs/>
          <w:sz w:val="24"/>
        </w:rPr>
        <w:t xml:space="preserve">we collect </w:t>
      </w:r>
      <w:r w:rsidRPr="00C949DF">
        <w:rPr>
          <w:bCs/>
          <w:sz w:val="24"/>
        </w:rPr>
        <w:t xml:space="preserve">and the manner in which </w:t>
      </w:r>
      <w:r w:rsidR="003A015D">
        <w:rPr>
          <w:bCs/>
          <w:sz w:val="24"/>
        </w:rPr>
        <w:t xml:space="preserve">we </w:t>
      </w:r>
      <w:r w:rsidRPr="00C949DF">
        <w:rPr>
          <w:bCs/>
          <w:sz w:val="24"/>
        </w:rPr>
        <w:t>c</w:t>
      </w:r>
      <w:r>
        <w:rPr>
          <w:bCs/>
          <w:sz w:val="24"/>
        </w:rPr>
        <w:t>ollect</w:t>
      </w:r>
      <w:r w:rsidR="003A015D">
        <w:rPr>
          <w:bCs/>
          <w:sz w:val="24"/>
        </w:rPr>
        <w:t xml:space="preserve"> it</w:t>
      </w:r>
      <w:r>
        <w:rPr>
          <w:bCs/>
          <w:sz w:val="24"/>
        </w:rPr>
        <w:t xml:space="preserve"> preclude duplication.  </w:t>
      </w:r>
      <w:r w:rsidRPr="00C949DF">
        <w:rPr>
          <w:bCs/>
          <w:sz w:val="24"/>
        </w:rPr>
        <w:t>T</w:t>
      </w:r>
      <w:r w:rsidRPr="00C949DF">
        <w:rPr>
          <w:sz w:val="24"/>
        </w:rPr>
        <w:t xml:space="preserve">he SSA-632-BK </w:t>
      </w:r>
      <w:r>
        <w:rPr>
          <w:sz w:val="24"/>
        </w:rPr>
        <w:t xml:space="preserve">(0960-0037) </w:t>
      </w:r>
      <w:r w:rsidRPr="00C949DF">
        <w:rPr>
          <w:sz w:val="24"/>
        </w:rPr>
        <w:t>collects data similar to that collect</w:t>
      </w:r>
      <w:r>
        <w:rPr>
          <w:sz w:val="24"/>
        </w:rPr>
        <w:t>ed here.  However, the SSA-632-BK is more generic</w:t>
      </w:r>
      <w:r w:rsidR="009447C7">
        <w:rPr>
          <w:sz w:val="24"/>
        </w:rPr>
        <w:t>,</w:t>
      </w:r>
      <w:r>
        <w:rPr>
          <w:sz w:val="24"/>
        </w:rPr>
        <w:t xml:space="preserve"> whereas the design of the SSA</w:t>
      </w:r>
      <w:r>
        <w:rPr>
          <w:sz w:val="24"/>
        </w:rPr>
        <w:noBreakHyphen/>
        <w:t>2032</w:t>
      </w:r>
      <w:r>
        <w:rPr>
          <w:sz w:val="24"/>
        </w:rPr>
        <w:noBreakHyphen/>
        <w:t>BK</w:t>
      </w:r>
      <w:r w:rsidRPr="00C949DF">
        <w:rPr>
          <w:sz w:val="24"/>
        </w:rPr>
        <w:t xml:space="preserve"> </w:t>
      </w:r>
      <w:r>
        <w:rPr>
          <w:sz w:val="24"/>
        </w:rPr>
        <w:t>is</w:t>
      </w:r>
      <w:r w:rsidRPr="00C949DF">
        <w:rPr>
          <w:sz w:val="24"/>
        </w:rPr>
        <w:t xml:space="preserve"> specific for SVB overpayments</w:t>
      </w:r>
      <w:r w:rsidR="00D06A65">
        <w:rPr>
          <w:sz w:val="24"/>
        </w:rPr>
        <w:t>,</w:t>
      </w:r>
      <w:r w:rsidRPr="00C949DF">
        <w:rPr>
          <w:sz w:val="24"/>
        </w:rPr>
        <w:t xml:space="preserve"> or change in repayment rate</w:t>
      </w:r>
      <w:r w:rsidR="00D06A65">
        <w:rPr>
          <w:sz w:val="24"/>
        </w:rPr>
        <w:t>,</w:t>
      </w:r>
      <w:r w:rsidRPr="00C949DF">
        <w:rPr>
          <w:sz w:val="24"/>
        </w:rPr>
        <w:t xml:space="preserve"> for SVB beneficiaries</w:t>
      </w:r>
      <w:r>
        <w:rPr>
          <w:sz w:val="24"/>
        </w:rPr>
        <w:t>.</w:t>
      </w:r>
      <w:r w:rsidRPr="007225DC" w:rsidR="007225DC">
        <w:t xml:space="preserve"> </w:t>
      </w:r>
      <w:r w:rsidR="003A39E0">
        <w:t xml:space="preserve"> </w:t>
      </w:r>
      <w:r w:rsidR="0017260D">
        <w:rPr>
          <w:sz w:val="24"/>
        </w:rPr>
        <w:t xml:space="preserve">For instance, </w:t>
      </w:r>
      <w:r w:rsidR="00261459">
        <w:rPr>
          <w:sz w:val="24"/>
        </w:rPr>
        <w:t xml:space="preserve">SSA requires </w:t>
      </w:r>
      <w:r w:rsidRPr="007225DC" w:rsidR="007225DC">
        <w:rPr>
          <w:sz w:val="24"/>
        </w:rPr>
        <w:t xml:space="preserve">Title II and Title XVI waiver applicants </w:t>
      </w:r>
      <w:r w:rsidR="007225DC">
        <w:rPr>
          <w:sz w:val="24"/>
        </w:rPr>
        <w:t xml:space="preserve">using the SSA-632-BK </w:t>
      </w:r>
      <w:r w:rsidRPr="007225DC" w:rsidR="007225DC">
        <w:rPr>
          <w:sz w:val="24"/>
        </w:rPr>
        <w:t>to provide authorization to Access to Financial I</w:t>
      </w:r>
      <w:r w:rsidR="007225DC">
        <w:rPr>
          <w:sz w:val="24"/>
        </w:rPr>
        <w:t>nstitutions, which is not a requirement on the SSA-2032-BK</w:t>
      </w:r>
      <w:r w:rsidRPr="007225DC" w:rsidR="007225DC">
        <w:rPr>
          <w:sz w:val="24"/>
        </w:rPr>
        <w:t xml:space="preserve">.  </w:t>
      </w:r>
      <w:r w:rsidR="00BA2860">
        <w:rPr>
          <w:sz w:val="24"/>
        </w:rPr>
        <w:t>While it would be possible for SVB beneficiaries to use the SSA-632-BK, we provide them with a form tailored to SVB for this purpose to ensure we process it using the SVB requirements listed in #2 above.</w:t>
      </w:r>
    </w:p>
    <w:p w:rsidR="0025608F" w:rsidRPr="00433CDC" w:rsidP="003A015D" w14:paraId="006E5D80" w14:textId="77777777">
      <w:pPr>
        <w:widowControl w:val="0"/>
        <w:suppressAutoHyphens/>
        <w:ind w:left="1440"/>
        <w:rPr>
          <w:sz w:val="24"/>
        </w:rPr>
      </w:pPr>
    </w:p>
    <w:p w:rsidR="00433CDC" w:rsidRPr="0025608F" w:rsidP="003A015D" w14:paraId="2505B76A" w14:textId="77777777">
      <w:pPr>
        <w:widowControl w:val="0"/>
        <w:numPr>
          <w:ilvl w:val="0"/>
          <w:numId w:val="14"/>
        </w:numPr>
        <w:tabs>
          <w:tab w:val="clear" w:pos="360"/>
          <w:tab w:val="num" w:pos="1440"/>
        </w:tabs>
        <w:suppressAutoHyphens/>
        <w:ind w:left="1440" w:hanging="720"/>
        <w:rPr>
          <w:sz w:val="24"/>
        </w:rPr>
      </w:pPr>
      <w:r w:rsidRPr="008236EC">
        <w:rPr>
          <w:b/>
          <w:sz w:val="24"/>
          <w:szCs w:val="24"/>
        </w:rPr>
        <w:t>Minimizing Burden on Small Respondents</w:t>
      </w:r>
    </w:p>
    <w:p w:rsidR="0025608F" w:rsidRPr="0025608F" w:rsidP="003A015D" w14:paraId="675A3506" w14:textId="77777777">
      <w:pPr>
        <w:widowControl w:val="0"/>
        <w:suppressAutoHyphens/>
        <w:ind w:left="1440"/>
        <w:rPr>
          <w:sz w:val="24"/>
          <w:szCs w:val="24"/>
        </w:rPr>
      </w:pPr>
      <w:r w:rsidRPr="0025608F">
        <w:rPr>
          <w:sz w:val="24"/>
          <w:szCs w:val="24"/>
        </w:rPr>
        <w:t>This collection does not affect small businesses or other small entities.</w:t>
      </w:r>
    </w:p>
    <w:p w:rsidR="0025608F" w:rsidRPr="0025608F" w:rsidP="003A015D" w14:paraId="0AB11285" w14:textId="77777777">
      <w:pPr>
        <w:widowControl w:val="0"/>
        <w:suppressAutoHyphens/>
        <w:ind w:left="1440"/>
        <w:rPr>
          <w:sz w:val="24"/>
          <w:szCs w:val="24"/>
        </w:rPr>
      </w:pPr>
    </w:p>
    <w:p w:rsidR="00433CDC" w:rsidRPr="0025608F" w:rsidP="003A015D" w14:paraId="46202054" w14:textId="77777777">
      <w:pPr>
        <w:widowControl w:val="0"/>
        <w:numPr>
          <w:ilvl w:val="0"/>
          <w:numId w:val="14"/>
        </w:numPr>
        <w:tabs>
          <w:tab w:val="clear" w:pos="360"/>
          <w:tab w:val="num" w:pos="1440"/>
        </w:tabs>
        <w:suppressAutoHyphens/>
        <w:ind w:left="1440" w:hanging="720"/>
        <w:rPr>
          <w:sz w:val="24"/>
        </w:rPr>
      </w:pPr>
      <w:r w:rsidRPr="008236EC">
        <w:rPr>
          <w:b/>
          <w:sz w:val="24"/>
          <w:szCs w:val="24"/>
        </w:rPr>
        <w:t xml:space="preserve">Consequence of Not Collecting Information or Collecting it Less </w:t>
      </w:r>
      <w:r w:rsidR="003A015D">
        <w:rPr>
          <w:b/>
          <w:sz w:val="24"/>
          <w:szCs w:val="24"/>
        </w:rPr>
        <w:t>F</w:t>
      </w:r>
      <w:r w:rsidRPr="008236EC">
        <w:rPr>
          <w:b/>
          <w:sz w:val="24"/>
          <w:szCs w:val="24"/>
        </w:rPr>
        <w:t>requently</w:t>
      </w:r>
    </w:p>
    <w:p w:rsidR="0025608F" w:rsidRPr="00EB14BC" w:rsidP="00EB14BC" w14:paraId="60CB84FD" w14:textId="7D6850B1">
      <w:pPr>
        <w:widowControl w:val="0"/>
        <w:suppressAutoHyphens/>
        <w:ind w:left="1440"/>
        <w:rPr>
          <w:sz w:val="24"/>
          <w:szCs w:val="24"/>
        </w:rPr>
      </w:pPr>
      <w:r w:rsidRPr="00F811F6">
        <w:rPr>
          <w:sz w:val="24"/>
          <w:szCs w:val="24"/>
        </w:rPr>
        <w:t xml:space="preserve">If we did not use </w:t>
      </w:r>
      <w:r w:rsidR="007F7D33">
        <w:rPr>
          <w:sz w:val="24"/>
          <w:szCs w:val="24"/>
        </w:rPr>
        <w:t>F</w:t>
      </w:r>
      <w:r w:rsidRPr="00F811F6">
        <w:rPr>
          <w:sz w:val="24"/>
          <w:szCs w:val="24"/>
        </w:rPr>
        <w:t xml:space="preserve">orm SSA-2032-BK, SVB beneficiaries would </w:t>
      </w:r>
      <w:r w:rsidR="001A0456">
        <w:rPr>
          <w:sz w:val="24"/>
          <w:szCs w:val="24"/>
        </w:rPr>
        <w:t>not have a</w:t>
      </w:r>
      <w:r w:rsidRPr="00F811F6">
        <w:rPr>
          <w:sz w:val="24"/>
          <w:szCs w:val="24"/>
        </w:rPr>
        <w:t xml:space="preserve"> way to request a waiver of an overpayment</w:t>
      </w:r>
      <w:r w:rsidR="009447C7">
        <w:rPr>
          <w:sz w:val="24"/>
          <w:szCs w:val="24"/>
        </w:rPr>
        <w:t>,</w:t>
      </w:r>
      <w:r w:rsidRPr="00F811F6">
        <w:rPr>
          <w:sz w:val="24"/>
          <w:szCs w:val="24"/>
        </w:rPr>
        <w:t xml:space="preserve"> or a different rate of withhol</w:t>
      </w:r>
      <w:r>
        <w:rPr>
          <w:sz w:val="24"/>
          <w:szCs w:val="24"/>
        </w:rPr>
        <w:t>ding to repay the overpayment</w:t>
      </w:r>
      <w:r w:rsidR="001A0456">
        <w:rPr>
          <w:sz w:val="24"/>
          <w:szCs w:val="24"/>
        </w:rPr>
        <w:t xml:space="preserve"> without the added requirement to provide authorization to Access to Financial Institutions.  Therefore, the use of the SSA-2032-BK creates an easier method for the SVB respondents to make this request</w:t>
      </w:r>
      <w:r w:rsidR="007173EC">
        <w:rPr>
          <w:sz w:val="24"/>
          <w:szCs w:val="24"/>
        </w:rPr>
        <w:t>.</w:t>
      </w:r>
      <w:r w:rsidRPr="00F811F6">
        <w:rPr>
          <w:sz w:val="24"/>
          <w:szCs w:val="24"/>
        </w:rPr>
        <w:t xml:space="preserve"> </w:t>
      </w:r>
      <w:r>
        <w:rPr>
          <w:sz w:val="24"/>
          <w:szCs w:val="24"/>
        </w:rPr>
        <w:t xml:space="preserve"> </w:t>
      </w:r>
      <w:r w:rsidRPr="00F811F6">
        <w:rPr>
          <w:sz w:val="24"/>
          <w:szCs w:val="24"/>
        </w:rPr>
        <w:t>Because we only collect the information</w:t>
      </w:r>
      <w:r w:rsidR="001A0456">
        <w:rPr>
          <w:sz w:val="24"/>
          <w:szCs w:val="24"/>
        </w:rPr>
        <w:t xml:space="preserve"> both when we detect an overpayment and</w:t>
      </w:r>
      <w:r w:rsidRPr="00F811F6">
        <w:rPr>
          <w:sz w:val="24"/>
          <w:szCs w:val="24"/>
        </w:rPr>
        <w:t xml:space="preserve"> </w:t>
      </w:r>
      <w:r w:rsidR="00BA2860">
        <w:rPr>
          <w:sz w:val="24"/>
          <w:szCs w:val="24"/>
        </w:rPr>
        <w:t xml:space="preserve">when </w:t>
      </w:r>
      <w:r w:rsidRPr="00F811F6">
        <w:rPr>
          <w:sz w:val="24"/>
          <w:szCs w:val="24"/>
        </w:rPr>
        <w:t xml:space="preserve">the </w:t>
      </w:r>
      <w:r w:rsidR="00BA2860">
        <w:rPr>
          <w:sz w:val="24"/>
          <w:szCs w:val="24"/>
        </w:rPr>
        <w:t>SVB beneficiary requests it</w:t>
      </w:r>
      <w:r w:rsidRPr="00F811F6">
        <w:rPr>
          <w:sz w:val="24"/>
          <w:szCs w:val="24"/>
        </w:rPr>
        <w:t>, we cann</w:t>
      </w:r>
      <w:r>
        <w:rPr>
          <w:sz w:val="24"/>
          <w:szCs w:val="24"/>
        </w:rPr>
        <w:t xml:space="preserve">ot collect it less frequently.  </w:t>
      </w:r>
      <w:r w:rsidRPr="00F811F6">
        <w:rPr>
          <w:sz w:val="24"/>
          <w:szCs w:val="24"/>
        </w:rPr>
        <w:t>There are no technical or legal obstacles to burden reduction</w:t>
      </w:r>
      <w:r>
        <w:rPr>
          <w:sz w:val="24"/>
          <w:szCs w:val="24"/>
        </w:rPr>
        <w:t>.</w:t>
      </w:r>
    </w:p>
    <w:p w:rsidR="00433CDC" w:rsidRPr="0025608F" w:rsidP="003A015D" w14:paraId="7AB9BF8A" w14:textId="77777777">
      <w:pPr>
        <w:widowControl w:val="0"/>
        <w:numPr>
          <w:ilvl w:val="0"/>
          <w:numId w:val="14"/>
        </w:numPr>
        <w:tabs>
          <w:tab w:val="clear" w:pos="360"/>
          <w:tab w:val="num" w:pos="1440"/>
        </w:tabs>
        <w:suppressAutoHyphens/>
        <w:ind w:left="1440" w:hanging="720"/>
        <w:rPr>
          <w:sz w:val="24"/>
        </w:rPr>
      </w:pPr>
      <w:r w:rsidRPr="008236EC">
        <w:rPr>
          <w:b/>
          <w:sz w:val="24"/>
        </w:rPr>
        <w:t>Special Circumstances</w:t>
      </w:r>
    </w:p>
    <w:p w:rsidR="0025608F" w:rsidP="003A015D" w14:paraId="42F604F9" w14:textId="0C1FDF65">
      <w:pPr>
        <w:widowControl w:val="0"/>
        <w:suppressAutoHyphens/>
        <w:ind w:left="1440"/>
        <w:rPr>
          <w:i/>
          <w:sz w:val="24"/>
          <w:szCs w:val="24"/>
        </w:rPr>
      </w:pPr>
      <w:r w:rsidRPr="0025608F">
        <w:rPr>
          <w:sz w:val="24"/>
          <w:szCs w:val="24"/>
        </w:rPr>
        <w:t>There are no special circumstances that would cause SSA to conduct this in</w:t>
      </w:r>
      <w:r w:rsidRPr="0025608F">
        <w:rPr>
          <w:sz w:val="24"/>
          <w:szCs w:val="24"/>
        </w:rPr>
        <w:t xml:space="preserve">formation collection in a manner inconsistent with </w:t>
      </w:r>
      <w:r w:rsidRPr="0025608F">
        <w:rPr>
          <w:i/>
          <w:sz w:val="24"/>
          <w:szCs w:val="24"/>
        </w:rPr>
        <w:t>5 CFR 1320.5.</w:t>
      </w:r>
    </w:p>
    <w:p w:rsidR="003A5790" w:rsidRPr="0025608F" w:rsidP="003A015D" w14:paraId="3DC9D08D" w14:textId="77777777">
      <w:pPr>
        <w:widowControl w:val="0"/>
        <w:suppressAutoHyphens/>
        <w:ind w:left="1440"/>
        <w:rPr>
          <w:i/>
          <w:sz w:val="24"/>
          <w:szCs w:val="24"/>
        </w:rPr>
      </w:pPr>
    </w:p>
    <w:p w:rsidR="00433CDC" w:rsidRPr="001B09A6" w:rsidP="003A015D" w14:paraId="1DA2272E" w14:textId="77777777">
      <w:pPr>
        <w:widowControl w:val="0"/>
        <w:numPr>
          <w:ilvl w:val="0"/>
          <w:numId w:val="14"/>
        </w:numPr>
        <w:tabs>
          <w:tab w:val="clear" w:pos="360"/>
          <w:tab w:val="num" w:pos="1440"/>
        </w:tabs>
        <w:suppressAutoHyphens/>
        <w:ind w:left="1440" w:hanging="720"/>
        <w:rPr>
          <w:sz w:val="24"/>
        </w:rPr>
      </w:pPr>
      <w:r w:rsidRPr="008236EC">
        <w:rPr>
          <w:b/>
          <w:sz w:val="24"/>
          <w:szCs w:val="24"/>
        </w:rPr>
        <w:t>Solicitation of Public Comment and Other Consultations with the Public</w:t>
      </w:r>
    </w:p>
    <w:p w:rsidR="001B09A6" w:rsidP="003A015D" w14:paraId="70C5E4C0" w14:textId="07C1C771">
      <w:pPr>
        <w:widowControl w:val="0"/>
        <w:suppressAutoHyphens/>
        <w:ind w:left="1440"/>
        <w:rPr>
          <w:sz w:val="24"/>
          <w:szCs w:val="24"/>
        </w:rPr>
      </w:pPr>
      <w:r w:rsidRPr="001B09A6">
        <w:rPr>
          <w:sz w:val="24"/>
          <w:szCs w:val="24"/>
        </w:rPr>
        <w:t xml:space="preserve">The 60-day advance Federal Register Notice published on </w:t>
      </w:r>
      <w:r w:rsidR="00833B38">
        <w:rPr>
          <w:sz w:val="24"/>
          <w:szCs w:val="24"/>
        </w:rPr>
        <w:t xml:space="preserve">November 23, </w:t>
      </w:r>
      <w:r w:rsidR="00261459">
        <w:rPr>
          <w:sz w:val="24"/>
          <w:szCs w:val="24"/>
        </w:rPr>
        <w:t>2022,</w:t>
      </w:r>
      <w:r w:rsidR="007F7D33">
        <w:rPr>
          <w:sz w:val="24"/>
          <w:szCs w:val="24"/>
        </w:rPr>
        <w:t xml:space="preserve"> </w:t>
      </w:r>
      <w:r w:rsidRPr="001B09A6">
        <w:rPr>
          <w:sz w:val="24"/>
          <w:szCs w:val="24"/>
        </w:rPr>
        <w:t xml:space="preserve">at </w:t>
      </w:r>
      <w:r w:rsidR="007F7D33">
        <w:rPr>
          <w:sz w:val="24"/>
          <w:szCs w:val="24"/>
        </w:rPr>
        <w:t>8</w:t>
      </w:r>
      <w:r w:rsidR="00833B38">
        <w:rPr>
          <w:sz w:val="24"/>
          <w:szCs w:val="24"/>
        </w:rPr>
        <w:t>7</w:t>
      </w:r>
      <w:r w:rsidRPr="001B09A6">
        <w:rPr>
          <w:sz w:val="24"/>
          <w:szCs w:val="24"/>
        </w:rPr>
        <w:t xml:space="preserve"> FR </w:t>
      </w:r>
      <w:r w:rsidR="00833B38">
        <w:rPr>
          <w:sz w:val="24"/>
          <w:szCs w:val="24"/>
        </w:rPr>
        <w:t>71734</w:t>
      </w:r>
      <w:r w:rsidRPr="001B09A6">
        <w:rPr>
          <w:sz w:val="24"/>
          <w:szCs w:val="24"/>
        </w:rPr>
        <w:t xml:space="preserve">, and we received no public comments.  SSA published the second Notice on </w:t>
      </w:r>
      <w:r w:rsidR="0026721D">
        <w:rPr>
          <w:sz w:val="24"/>
          <w:szCs w:val="24"/>
        </w:rPr>
        <w:t>February 21, 2023</w:t>
      </w:r>
      <w:r w:rsidR="00833B38">
        <w:rPr>
          <w:sz w:val="24"/>
          <w:szCs w:val="24"/>
        </w:rPr>
        <w:t xml:space="preserve"> </w:t>
      </w:r>
      <w:r w:rsidR="00690C46">
        <w:rPr>
          <w:sz w:val="24"/>
          <w:szCs w:val="24"/>
        </w:rPr>
        <w:t xml:space="preserve">at </w:t>
      </w:r>
      <w:r w:rsidR="002E6803">
        <w:rPr>
          <w:sz w:val="24"/>
          <w:szCs w:val="24"/>
        </w:rPr>
        <w:t>8</w:t>
      </w:r>
      <w:r w:rsidR="001A0456">
        <w:rPr>
          <w:sz w:val="24"/>
          <w:szCs w:val="24"/>
        </w:rPr>
        <w:t>8</w:t>
      </w:r>
      <w:r w:rsidR="00690C46">
        <w:rPr>
          <w:sz w:val="24"/>
          <w:szCs w:val="24"/>
        </w:rPr>
        <w:t xml:space="preserve"> FR </w:t>
      </w:r>
      <w:r w:rsidR="0026721D">
        <w:rPr>
          <w:sz w:val="24"/>
          <w:szCs w:val="24"/>
        </w:rPr>
        <w:t>10614</w:t>
      </w:r>
      <w:r w:rsidRPr="001B09A6">
        <w:rPr>
          <w:sz w:val="24"/>
          <w:szCs w:val="24"/>
        </w:rPr>
        <w:t>.  If we receive comments in response to the 30-day Notice</w:t>
      </w:r>
      <w:r w:rsidR="007F7D33">
        <w:rPr>
          <w:sz w:val="24"/>
          <w:szCs w:val="24"/>
        </w:rPr>
        <w:t>, we will forward them to OMB.</w:t>
      </w:r>
    </w:p>
    <w:p w:rsidR="00D7410B" w:rsidRPr="001B09A6" w:rsidP="003A015D" w14:paraId="0D26D2B9" w14:textId="77777777">
      <w:pPr>
        <w:widowControl w:val="0"/>
        <w:suppressAutoHyphens/>
        <w:ind w:left="1440"/>
        <w:rPr>
          <w:sz w:val="24"/>
          <w:szCs w:val="24"/>
        </w:rPr>
      </w:pPr>
    </w:p>
    <w:p w:rsidR="00433CDC" w:rsidRPr="0025608F" w:rsidP="003A015D" w14:paraId="6E3E8CBA" w14:textId="77777777">
      <w:pPr>
        <w:widowControl w:val="0"/>
        <w:numPr>
          <w:ilvl w:val="0"/>
          <w:numId w:val="14"/>
        </w:numPr>
        <w:tabs>
          <w:tab w:val="clear" w:pos="360"/>
          <w:tab w:val="num" w:pos="1440"/>
        </w:tabs>
        <w:suppressAutoHyphens/>
        <w:ind w:left="1440" w:hanging="720"/>
        <w:rPr>
          <w:sz w:val="24"/>
        </w:rPr>
      </w:pPr>
      <w:r w:rsidRPr="006D41D0">
        <w:rPr>
          <w:b/>
          <w:sz w:val="24"/>
          <w:szCs w:val="24"/>
        </w:rPr>
        <w:t>Payment or Gifts to Respondents</w:t>
      </w:r>
    </w:p>
    <w:p w:rsidR="0025608F" w:rsidP="003A015D" w14:paraId="70A9A631" w14:textId="77777777">
      <w:pPr>
        <w:widowControl w:val="0"/>
        <w:suppressAutoHyphens/>
        <w:ind w:left="1440"/>
        <w:rPr>
          <w:sz w:val="24"/>
        </w:rPr>
      </w:pPr>
      <w:r w:rsidRPr="00C949DF">
        <w:rPr>
          <w:sz w:val="24"/>
        </w:rPr>
        <w:t xml:space="preserve">SSA </w:t>
      </w:r>
      <w:r>
        <w:rPr>
          <w:sz w:val="24"/>
        </w:rPr>
        <w:t xml:space="preserve">does not </w:t>
      </w:r>
      <w:r w:rsidRPr="00C949DF">
        <w:rPr>
          <w:sz w:val="24"/>
        </w:rPr>
        <w:t xml:space="preserve">provide </w:t>
      </w:r>
      <w:r w:rsidRPr="00C949DF">
        <w:rPr>
          <w:sz w:val="24"/>
        </w:rPr>
        <w:t>payment</w:t>
      </w:r>
      <w:r>
        <w:rPr>
          <w:sz w:val="24"/>
        </w:rPr>
        <w:t>s</w:t>
      </w:r>
      <w:r w:rsidRPr="00C949DF">
        <w:rPr>
          <w:sz w:val="24"/>
        </w:rPr>
        <w:t xml:space="preserve"> or gifts to the respondents</w:t>
      </w:r>
      <w:r>
        <w:rPr>
          <w:sz w:val="24"/>
        </w:rPr>
        <w:t>.</w:t>
      </w:r>
    </w:p>
    <w:p w:rsidR="0025608F" w:rsidRPr="00433CDC" w:rsidP="003A015D" w14:paraId="375991EC" w14:textId="77777777">
      <w:pPr>
        <w:widowControl w:val="0"/>
        <w:suppressAutoHyphens/>
        <w:ind w:left="1440"/>
        <w:rPr>
          <w:sz w:val="24"/>
        </w:rPr>
      </w:pPr>
    </w:p>
    <w:p w:rsidR="00433CDC" w:rsidRPr="0025608F" w:rsidP="003A015D" w14:paraId="023FE8C6" w14:textId="77777777">
      <w:pPr>
        <w:widowControl w:val="0"/>
        <w:numPr>
          <w:ilvl w:val="0"/>
          <w:numId w:val="14"/>
        </w:numPr>
        <w:tabs>
          <w:tab w:val="clear" w:pos="360"/>
          <w:tab w:val="num" w:pos="1440"/>
        </w:tabs>
        <w:suppressAutoHyphens/>
        <w:ind w:left="1440" w:hanging="720"/>
        <w:rPr>
          <w:sz w:val="24"/>
        </w:rPr>
      </w:pPr>
      <w:r w:rsidRPr="006D41D0">
        <w:rPr>
          <w:b/>
          <w:sz w:val="24"/>
          <w:szCs w:val="24"/>
        </w:rPr>
        <w:t>Assurances of Confidentiality</w:t>
      </w:r>
    </w:p>
    <w:p w:rsidR="0025608F" w:rsidP="003A015D" w14:paraId="68D1A5D4" w14:textId="77777777">
      <w:pPr>
        <w:ind w:left="1440"/>
        <w:rPr>
          <w:sz w:val="24"/>
          <w:szCs w:val="24"/>
        </w:rPr>
      </w:pPr>
      <w:r w:rsidRPr="00707145">
        <w:rPr>
          <w:sz w:val="24"/>
          <w:szCs w:val="24"/>
        </w:rPr>
        <w:t xml:space="preserve">SSA protects and holds confidential the information it collects in accordance with </w:t>
      </w:r>
    </w:p>
    <w:p w:rsidR="0025608F" w:rsidP="003A015D" w14:paraId="4DD3B52C" w14:textId="77777777">
      <w:pPr>
        <w:tabs>
          <w:tab w:val="left" w:pos="540"/>
        </w:tabs>
        <w:ind w:left="1440"/>
        <w:rPr>
          <w:sz w:val="24"/>
          <w:szCs w:val="24"/>
        </w:rPr>
      </w:pPr>
      <w:r w:rsidRPr="00DC3410">
        <w:rPr>
          <w:i/>
          <w:sz w:val="24"/>
          <w:szCs w:val="24"/>
        </w:rPr>
        <w:t>42 U.S.C. 1306, 20 CFR 401 and 402, 5 U.S.C. 552</w:t>
      </w:r>
      <w:r w:rsidRPr="00707145">
        <w:rPr>
          <w:sz w:val="24"/>
          <w:szCs w:val="24"/>
        </w:rPr>
        <w:t xml:space="preserve"> (Freedom of Information </w:t>
      </w:r>
    </w:p>
    <w:p w:rsidR="0025608F" w:rsidRPr="0025608F" w:rsidP="003A015D" w14:paraId="4DDA2CD4" w14:textId="77777777">
      <w:pPr>
        <w:widowControl w:val="0"/>
        <w:suppressAutoHyphens/>
        <w:ind w:left="1440"/>
        <w:rPr>
          <w:sz w:val="24"/>
        </w:rPr>
      </w:pPr>
      <w:r w:rsidRPr="00707145">
        <w:rPr>
          <w:sz w:val="24"/>
          <w:szCs w:val="24"/>
        </w:rPr>
        <w:t xml:space="preserve">Act), </w:t>
      </w:r>
      <w:r w:rsidRPr="00DC3410">
        <w:rPr>
          <w:i/>
          <w:sz w:val="24"/>
          <w:szCs w:val="24"/>
        </w:rPr>
        <w:t>5 U.S.C. 552a</w:t>
      </w:r>
      <w:r w:rsidRPr="00707145">
        <w:rPr>
          <w:sz w:val="24"/>
          <w:szCs w:val="24"/>
        </w:rPr>
        <w:t xml:space="preserve"> (Privacy Act of 1974), and OMB Circular No. A-130</w:t>
      </w:r>
      <w:r>
        <w:rPr>
          <w:sz w:val="24"/>
          <w:szCs w:val="24"/>
        </w:rPr>
        <w:t>.</w:t>
      </w:r>
    </w:p>
    <w:p w:rsidR="0025608F" w:rsidRPr="00433CDC" w:rsidP="003A015D" w14:paraId="45F6A4AC" w14:textId="77777777">
      <w:pPr>
        <w:widowControl w:val="0"/>
        <w:suppressAutoHyphens/>
        <w:ind w:left="1440"/>
        <w:rPr>
          <w:sz w:val="24"/>
        </w:rPr>
      </w:pPr>
    </w:p>
    <w:p w:rsidR="0025608F" w:rsidP="003A015D" w14:paraId="2218244A" w14:textId="77777777">
      <w:pPr>
        <w:widowControl w:val="0"/>
        <w:numPr>
          <w:ilvl w:val="0"/>
          <w:numId w:val="14"/>
        </w:numPr>
        <w:tabs>
          <w:tab w:val="clear" w:pos="360"/>
          <w:tab w:val="num" w:pos="1440"/>
        </w:tabs>
        <w:suppressAutoHyphens/>
        <w:ind w:left="1440" w:hanging="720"/>
        <w:rPr>
          <w:sz w:val="24"/>
        </w:rPr>
      </w:pPr>
      <w:r w:rsidRPr="00707145">
        <w:rPr>
          <w:b/>
          <w:sz w:val="24"/>
          <w:szCs w:val="24"/>
        </w:rPr>
        <w:t>Justification for Sensitive Questions</w:t>
      </w:r>
    </w:p>
    <w:p w:rsidR="00787BC0" w:rsidP="0021798A" w14:paraId="57C514AD" w14:textId="77777777">
      <w:pPr>
        <w:pStyle w:val="ListParagraph"/>
        <w:ind w:left="1440"/>
        <w:rPr>
          <w:rFonts w:ascii="Times New Roman" w:hAnsi="Times New Roman"/>
          <w:snapToGrid w:val="0"/>
        </w:rPr>
      </w:pPr>
      <w:r w:rsidRPr="0021798A">
        <w:rPr>
          <w:rFonts w:ascii="Times New Roman" w:hAnsi="Times New Roman"/>
          <w:snapToGrid w:val="0"/>
        </w:rPr>
        <w:t>As stated in #2 above, we need to ask some questions which some respondents may perceive as sensitive in nature to assess their eligibility for benefits under this p</w:t>
      </w:r>
      <w:r w:rsidRPr="0021798A">
        <w:rPr>
          <w:rFonts w:ascii="Times New Roman" w:hAnsi="Times New Roman"/>
          <w:snapToGrid w:val="0"/>
        </w:rPr>
        <w:t>rogram.  These include questions</w:t>
      </w:r>
      <w:r w:rsidR="0031666C">
        <w:rPr>
          <w:rFonts w:ascii="Times New Roman" w:hAnsi="Times New Roman"/>
          <w:snapToGrid w:val="0"/>
        </w:rPr>
        <w:t xml:space="preserve"> financial statement questions which include: </w:t>
      </w:r>
    </w:p>
    <w:p w:rsidR="0021798A" w:rsidRPr="0021798A" w:rsidP="0021798A" w14:paraId="218A5BE0" w14:textId="3EB711CE">
      <w:pPr>
        <w:pStyle w:val="ListParagraph"/>
        <w:ind w:left="1440"/>
        <w:rPr>
          <w:rFonts w:ascii="Times New Roman" w:hAnsi="Times New Roman"/>
        </w:rPr>
      </w:pPr>
      <w:r>
        <w:rPr>
          <w:rFonts w:ascii="Times New Roman" w:hAnsi="Times New Roman"/>
          <w:snapToGrid w:val="0"/>
        </w:rPr>
        <w:t>1) members of household members; 2) assets;</w:t>
      </w:r>
      <w:r w:rsidR="00787BC0">
        <w:rPr>
          <w:rFonts w:ascii="Times New Roman" w:hAnsi="Times New Roman"/>
          <w:snapToGrid w:val="0"/>
        </w:rPr>
        <w:t xml:space="preserve"> </w:t>
      </w:r>
      <w:r>
        <w:rPr>
          <w:rFonts w:ascii="Times New Roman" w:hAnsi="Times New Roman"/>
          <w:snapToGrid w:val="0"/>
        </w:rPr>
        <w:t xml:space="preserve">3) monthly household income; and 4) household expenses.  </w:t>
      </w:r>
      <w:r w:rsidRPr="0021798A">
        <w:rPr>
          <w:rFonts w:ascii="Times New Roman" w:hAnsi="Times New Roman"/>
          <w:snapToGrid w:val="0"/>
        </w:rPr>
        <w:t>As such, this information collection may have  psychological costs pertainin</w:t>
      </w:r>
      <w:r w:rsidRPr="0021798A">
        <w:rPr>
          <w:rFonts w:ascii="Times New Roman" w:hAnsi="Times New Roman"/>
          <w:snapToGrid w:val="0"/>
        </w:rPr>
        <w:t xml:space="preserve">g to collection of personal questions (which we also discussed in #2 above).  However, we must ask these questions to </w:t>
      </w:r>
      <w:r w:rsidRPr="0021798A">
        <w:rPr>
          <w:rFonts w:ascii="Times New Roman" w:hAnsi="Times New Roman"/>
        </w:rPr>
        <w:t>determine whether an applicant meets the statutory and regulatory conditions for entitlement under our programs.</w:t>
      </w:r>
    </w:p>
    <w:p w:rsidR="007F7D33" w:rsidP="003A015D" w14:paraId="73876470" w14:textId="77777777">
      <w:pPr>
        <w:widowControl w:val="0"/>
        <w:suppressAutoHyphens/>
        <w:ind w:left="1440"/>
        <w:rPr>
          <w:sz w:val="24"/>
        </w:rPr>
      </w:pPr>
    </w:p>
    <w:p w:rsidR="00433CDC" w:rsidRPr="005D274B" w:rsidP="003A015D" w14:paraId="69C0A2DF" w14:textId="6D4131E8">
      <w:pPr>
        <w:widowControl w:val="0"/>
        <w:numPr>
          <w:ilvl w:val="0"/>
          <w:numId w:val="14"/>
        </w:numPr>
        <w:tabs>
          <w:tab w:val="clear" w:pos="360"/>
          <w:tab w:val="num" w:pos="1440"/>
        </w:tabs>
        <w:suppressAutoHyphens/>
        <w:ind w:left="1440" w:hanging="720"/>
        <w:rPr>
          <w:sz w:val="24"/>
        </w:rPr>
      </w:pPr>
      <w:r w:rsidRPr="00707145">
        <w:rPr>
          <w:b/>
          <w:sz w:val="24"/>
          <w:szCs w:val="24"/>
        </w:rPr>
        <w:t>Estimates of Public Repo</w:t>
      </w:r>
      <w:r w:rsidRPr="00707145">
        <w:rPr>
          <w:b/>
          <w:sz w:val="24"/>
          <w:szCs w:val="24"/>
        </w:rPr>
        <w:t>rting Burden</w:t>
      </w:r>
    </w:p>
    <w:p w:rsidR="005D274B" w:rsidRPr="005D274B" w:rsidP="005D274B" w14:paraId="09810426" w14:textId="77777777">
      <w:pPr>
        <w:pStyle w:val="ListParagraph"/>
        <w:ind w:left="1440"/>
        <w:rPr>
          <w:rFonts w:ascii="Times New Roman" w:hAnsi="Times New Roman"/>
          <w:snapToGrid w:val="0"/>
        </w:rPr>
      </w:pPr>
      <w:r w:rsidRPr="005D274B">
        <w:rPr>
          <w:rFonts w:ascii="Times New Roman" w:hAnsi="Times New Roman"/>
          <w:snapToGrid w:val="0"/>
        </w:rPr>
        <w:t>SSA calculated the below burden using our management information data by estimating the amount of time respondents take to learn about the program; receive notices as needed; read and understand instructions; gather the data and documents need</w:t>
      </w:r>
      <w:r w:rsidRPr="005D274B">
        <w:rPr>
          <w:rFonts w:ascii="Times New Roman" w:hAnsi="Times New Roman"/>
          <w:snapToGrid w:val="0"/>
        </w:rPr>
        <w:t>ed; answer the questions and complete the information collection instrument; schedule any necessary appointment or required phone call; consult with any third parties (as needed); and wait to speak with SSA employees (as needed).  In addition, we also cons</w:t>
      </w:r>
      <w:r w:rsidRPr="005D274B">
        <w:rPr>
          <w:rFonts w:ascii="Times New Roman" w:hAnsi="Times New Roman"/>
          <w:snapToGrid w:val="0"/>
        </w:rPr>
        <w:t>idered any potential psychological costs associated with completion of this collection when calculating the burden.</w:t>
      </w:r>
    </w:p>
    <w:p w:rsidR="002E192F" w:rsidRPr="00686A92" w:rsidP="002E192F" w14:paraId="1E353C4D" w14:textId="77777777">
      <w:pPr>
        <w:widowControl w:val="0"/>
        <w:suppressAutoHyphens/>
        <w:ind w:left="1440"/>
        <w:rPr>
          <w:sz w:val="24"/>
        </w:rPr>
      </w:pPr>
    </w:p>
    <w:tbl>
      <w:tblPr>
        <w:tblpPr w:leftFromText="180" w:rightFromText="180" w:vertAnchor="text" w:tblpX="535" w:tblpY="1"/>
        <w:tblOverlap w:val="neve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6"/>
        <w:gridCol w:w="1523"/>
        <w:gridCol w:w="1310"/>
        <w:gridCol w:w="1190"/>
        <w:gridCol w:w="1256"/>
        <w:gridCol w:w="1389"/>
        <w:gridCol w:w="1721"/>
      </w:tblGrid>
      <w:tr w14:paraId="56AE67E3" w14:textId="77777777" w:rsidTr="007173EC">
        <w:tblPrEx>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607"/>
        </w:trPr>
        <w:tc>
          <w:tcPr>
            <w:tcW w:w="1416" w:type="dxa"/>
          </w:tcPr>
          <w:p w:rsidR="00686A92" w:rsidRPr="007173EC" w:rsidP="007173EC" w14:paraId="7B57100A" w14:textId="77777777">
            <w:pPr>
              <w:spacing w:after="160" w:line="259" w:lineRule="auto"/>
              <w:rPr>
                <w:rFonts w:eastAsia="Calibri"/>
                <w:b/>
                <w:sz w:val="24"/>
                <w:szCs w:val="24"/>
                <w:lang w:eastAsia="en-US"/>
              </w:rPr>
            </w:pPr>
            <w:r w:rsidRPr="007173EC">
              <w:rPr>
                <w:rFonts w:eastAsia="Calibri"/>
                <w:b/>
                <w:sz w:val="24"/>
                <w:szCs w:val="24"/>
                <w:lang w:eastAsia="en-US"/>
              </w:rPr>
              <w:t>Modality of Completion</w:t>
            </w:r>
          </w:p>
        </w:tc>
        <w:tc>
          <w:tcPr>
            <w:tcW w:w="1523" w:type="dxa"/>
          </w:tcPr>
          <w:p w:rsidR="00686A92" w:rsidRPr="007173EC" w:rsidP="007173EC" w14:paraId="560F4711" w14:textId="77777777">
            <w:pPr>
              <w:spacing w:after="160" w:line="259" w:lineRule="auto"/>
              <w:rPr>
                <w:rFonts w:eastAsia="Calibri"/>
                <w:b/>
                <w:sz w:val="24"/>
                <w:szCs w:val="24"/>
                <w:lang w:eastAsia="en-US"/>
              </w:rPr>
            </w:pPr>
            <w:r w:rsidRPr="007173EC">
              <w:rPr>
                <w:rFonts w:eastAsia="Calibri"/>
                <w:b/>
                <w:sz w:val="24"/>
                <w:szCs w:val="24"/>
                <w:lang w:eastAsia="en-US"/>
              </w:rPr>
              <w:t>Number of Respondents</w:t>
            </w:r>
          </w:p>
        </w:tc>
        <w:tc>
          <w:tcPr>
            <w:tcW w:w="1310" w:type="dxa"/>
          </w:tcPr>
          <w:p w:rsidR="00686A92" w:rsidRPr="007173EC" w:rsidP="007173EC" w14:paraId="232645B2" w14:textId="77777777">
            <w:pPr>
              <w:spacing w:after="160" w:line="259" w:lineRule="auto"/>
              <w:rPr>
                <w:rFonts w:eastAsia="Calibri"/>
                <w:b/>
                <w:sz w:val="24"/>
                <w:szCs w:val="24"/>
                <w:lang w:eastAsia="en-US"/>
              </w:rPr>
            </w:pPr>
            <w:r w:rsidRPr="007173EC">
              <w:rPr>
                <w:rFonts w:eastAsia="Calibri"/>
                <w:b/>
                <w:sz w:val="24"/>
                <w:szCs w:val="24"/>
                <w:lang w:eastAsia="en-US"/>
              </w:rPr>
              <w:t>Frequency of Response</w:t>
            </w:r>
          </w:p>
        </w:tc>
        <w:tc>
          <w:tcPr>
            <w:tcW w:w="1190" w:type="dxa"/>
          </w:tcPr>
          <w:p w:rsidR="00686A92" w:rsidRPr="007173EC" w:rsidP="007173EC" w14:paraId="0E4C946F" w14:textId="77777777">
            <w:pPr>
              <w:spacing w:after="160" w:line="259" w:lineRule="auto"/>
              <w:rPr>
                <w:rFonts w:eastAsia="Calibri"/>
                <w:b/>
                <w:sz w:val="24"/>
                <w:szCs w:val="24"/>
                <w:lang w:eastAsia="en-US"/>
              </w:rPr>
            </w:pPr>
            <w:r w:rsidRPr="007173EC">
              <w:rPr>
                <w:rFonts w:eastAsia="Calibri"/>
                <w:b/>
                <w:sz w:val="24"/>
                <w:szCs w:val="24"/>
                <w:lang w:eastAsia="en-US"/>
              </w:rPr>
              <w:t>Average Burden per Response (minutes)</w:t>
            </w:r>
          </w:p>
        </w:tc>
        <w:tc>
          <w:tcPr>
            <w:tcW w:w="1256" w:type="dxa"/>
          </w:tcPr>
          <w:p w:rsidR="00686A92" w:rsidRPr="007173EC" w:rsidP="007173EC" w14:paraId="2AE726D7" w14:textId="77777777">
            <w:pPr>
              <w:spacing w:after="160" w:line="259" w:lineRule="auto"/>
              <w:rPr>
                <w:rFonts w:eastAsia="Calibri"/>
                <w:b/>
                <w:sz w:val="24"/>
                <w:szCs w:val="24"/>
                <w:lang w:eastAsia="en-US"/>
              </w:rPr>
            </w:pPr>
            <w:r w:rsidRPr="007173EC">
              <w:rPr>
                <w:rFonts w:eastAsia="Calibri"/>
                <w:b/>
                <w:sz w:val="24"/>
                <w:szCs w:val="24"/>
                <w:lang w:eastAsia="en-US"/>
              </w:rPr>
              <w:t xml:space="preserve">Estimated Total Annual </w:t>
            </w:r>
            <w:r w:rsidRPr="007173EC">
              <w:rPr>
                <w:rFonts w:eastAsia="Calibri"/>
                <w:b/>
                <w:sz w:val="24"/>
                <w:szCs w:val="24"/>
                <w:lang w:eastAsia="en-US"/>
              </w:rPr>
              <w:t>Burden (hours)</w:t>
            </w:r>
          </w:p>
        </w:tc>
        <w:tc>
          <w:tcPr>
            <w:tcW w:w="1389" w:type="dxa"/>
          </w:tcPr>
          <w:p w:rsidR="00686A92" w:rsidRPr="007173EC" w:rsidP="007173EC" w14:paraId="00C9C8A5" w14:textId="77777777">
            <w:pPr>
              <w:spacing w:after="160" w:line="259" w:lineRule="auto"/>
              <w:rPr>
                <w:rFonts w:eastAsia="Calibri"/>
                <w:b/>
                <w:sz w:val="24"/>
                <w:szCs w:val="24"/>
                <w:lang w:eastAsia="en-US"/>
              </w:rPr>
            </w:pPr>
            <w:r w:rsidRPr="007173EC">
              <w:rPr>
                <w:rFonts w:eastAsia="Calibri"/>
                <w:b/>
                <w:sz w:val="24"/>
                <w:szCs w:val="24"/>
                <w:lang w:eastAsia="en-US"/>
              </w:rPr>
              <w:t>Average Theoretical Hourly Cost Amount (dollars)*</w:t>
            </w:r>
          </w:p>
        </w:tc>
        <w:tc>
          <w:tcPr>
            <w:tcW w:w="1721" w:type="dxa"/>
          </w:tcPr>
          <w:p w:rsidR="00686A92" w:rsidRPr="007173EC" w:rsidP="007173EC" w14:paraId="582320CE" w14:textId="77777777">
            <w:pPr>
              <w:spacing w:after="160" w:line="259" w:lineRule="auto"/>
              <w:rPr>
                <w:rFonts w:eastAsia="Calibri"/>
                <w:b/>
                <w:sz w:val="24"/>
                <w:szCs w:val="24"/>
                <w:lang w:eastAsia="en-US"/>
              </w:rPr>
            </w:pPr>
            <w:r w:rsidRPr="007173EC">
              <w:rPr>
                <w:rFonts w:eastAsia="Calibri"/>
                <w:b/>
                <w:sz w:val="24"/>
                <w:szCs w:val="24"/>
                <w:lang w:eastAsia="en-US"/>
              </w:rPr>
              <w:t>Total Annual Opportunity Cost (dollars)**</w:t>
            </w:r>
          </w:p>
        </w:tc>
      </w:tr>
      <w:tr w14:paraId="4A165653" w14:textId="77777777" w:rsidTr="007173EC">
        <w:tblPrEx>
          <w:tblW w:w="9805" w:type="dxa"/>
          <w:tblLook w:val="01E0"/>
        </w:tblPrEx>
        <w:trPr>
          <w:trHeight w:val="194"/>
        </w:trPr>
        <w:tc>
          <w:tcPr>
            <w:tcW w:w="1416" w:type="dxa"/>
          </w:tcPr>
          <w:p w:rsidR="00686A92" w:rsidRPr="007173EC" w:rsidP="007173EC" w14:paraId="7BD447BA" w14:textId="77777777">
            <w:pPr>
              <w:widowControl w:val="0"/>
              <w:autoSpaceDE w:val="0"/>
              <w:autoSpaceDN w:val="0"/>
              <w:adjustRightInd w:val="0"/>
              <w:rPr>
                <w:snapToGrid w:val="0"/>
                <w:sz w:val="24"/>
                <w:szCs w:val="24"/>
                <w:lang w:eastAsia="en-US"/>
              </w:rPr>
            </w:pPr>
            <w:r w:rsidRPr="007173EC">
              <w:rPr>
                <w:snapToGrid w:val="0"/>
                <w:sz w:val="24"/>
                <w:szCs w:val="24"/>
                <w:lang w:eastAsia="en-US"/>
              </w:rPr>
              <w:t>SSA-2032</w:t>
            </w:r>
          </w:p>
        </w:tc>
        <w:tc>
          <w:tcPr>
            <w:tcW w:w="1523" w:type="dxa"/>
          </w:tcPr>
          <w:p w:rsidR="00686A92" w:rsidRPr="007173EC" w:rsidP="007173EC" w14:paraId="19D0A9BA" w14:textId="169230C0">
            <w:pPr>
              <w:widowControl w:val="0"/>
              <w:autoSpaceDE w:val="0"/>
              <w:autoSpaceDN w:val="0"/>
              <w:adjustRightInd w:val="0"/>
              <w:jc w:val="right"/>
              <w:rPr>
                <w:snapToGrid w:val="0"/>
                <w:sz w:val="24"/>
                <w:szCs w:val="24"/>
                <w:lang w:eastAsia="en-US"/>
              </w:rPr>
            </w:pPr>
            <w:r w:rsidRPr="007173EC">
              <w:rPr>
                <w:snapToGrid w:val="0"/>
                <w:sz w:val="24"/>
                <w:szCs w:val="24"/>
                <w:lang w:eastAsia="en-US"/>
              </w:rPr>
              <w:t>34</w:t>
            </w:r>
          </w:p>
        </w:tc>
        <w:tc>
          <w:tcPr>
            <w:tcW w:w="1310" w:type="dxa"/>
          </w:tcPr>
          <w:p w:rsidR="00686A92" w:rsidRPr="007173EC" w:rsidP="007173EC" w14:paraId="750C017C" w14:textId="77777777">
            <w:pPr>
              <w:widowControl w:val="0"/>
              <w:autoSpaceDE w:val="0"/>
              <w:autoSpaceDN w:val="0"/>
              <w:adjustRightInd w:val="0"/>
              <w:jc w:val="right"/>
              <w:rPr>
                <w:snapToGrid w:val="0"/>
                <w:sz w:val="24"/>
                <w:szCs w:val="24"/>
                <w:lang w:eastAsia="en-US"/>
              </w:rPr>
            </w:pPr>
            <w:r w:rsidRPr="007173EC">
              <w:rPr>
                <w:snapToGrid w:val="0"/>
                <w:sz w:val="24"/>
                <w:szCs w:val="24"/>
                <w:lang w:eastAsia="en-US"/>
              </w:rPr>
              <w:t>1</w:t>
            </w:r>
          </w:p>
        </w:tc>
        <w:tc>
          <w:tcPr>
            <w:tcW w:w="1190" w:type="dxa"/>
          </w:tcPr>
          <w:p w:rsidR="00686A92" w:rsidRPr="007173EC" w:rsidP="007173EC" w14:paraId="68A1E5BC" w14:textId="77777777">
            <w:pPr>
              <w:widowControl w:val="0"/>
              <w:autoSpaceDE w:val="0"/>
              <w:autoSpaceDN w:val="0"/>
              <w:adjustRightInd w:val="0"/>
              <w:jc w:val="right"/>
              <w:rPr>
                <w:snapToGrid w:val="0"/>
                <w:sz w:val="24"/>
                <w:szCs w:val="24"/>
                <w:lang w:eastAsia="en-US"/>
              </w:rPr>
            </w:pPr>
            <w:r w:rsidRPr="007173EC">
              <w:rPr>
                <w:snapToGrid w:val="0"/>
                <w:sz w:val="24"/>
                <w:szCs w:val="24"/>
                <w:lang w:eastAsia="en-US"/>
              </w:rPr>
              <w:t>120</w:t>
            </w:r>
          </w:p>
        </w:tc>
        <w:tc>
          <w:tcPr>
            <w:tcW w:w="1256" w:type="dxa"/>
          </w:tcPr>
          <w:p w:rsidR="00686A92" w:rsidRPr="007173EC" w:rsidP="007173EC" w14:paraId="25F74885" w14:textId="7716DCC0">
            <w:pPr>
              <w:widowControl w:val="0"/>
              <w:autoSpaceDE w:val="0"/>
              <w:autoSpaceDN w:val="0"/>
              <w:adjustRightInd w:val="0"/>
              <w:jc w:val="right"/>
              <w:rPr>
                <w:snapToGrid w:val="0"/>
                <w:sz w:val="24"/>
                <w:szCs w:val="24"/>
                <w:lang w:eastAsia="en-US"/>
              </w:rPr>
            </w:pPr>
            <w:r w:rsidRPr="007173EC">
              <w:rPr>
                <w:snapToGrid w:val="0"/>
                <w:sz w:val="24"/>
                <w:szCs w:val="24"/>
                <w:lang w:eastAsia="en-US"/>
              </w:rPr>
              <w:t>68</w:t>
            </w:r>
          </w:p>
        </w:tc>
        <w:tc>
          <w:tcPr>
            <w:tcW w:w="1389" w:type="dxa"/>
          </w:tcPr>
          <w:p w:rsidR="00686A92" w:rsidRPr="007173EC" w:rsidP="007173EC" w14:paraId="1AA5ED63" w14:textId="50348601">
            <w:pPr>
              <w:spacing w:line="259" w:lineRule="auto"/>
              <w:jc w:val="right"/>
              <w:rPr>
                <w:rFonts w:eastAsia="Calibri"/>
                <w:sz w:val="24"/>
                <w:szCs w:val="24"/>
                <w:lang w:eastAsia="en-US"/>
              </w:rPr>
            </w:pPr>
            <w:r w:rsidRPr="007173EC">
              <w:rPr>
                <w:rFonts w:eastAsia="Calibri"/>
                <w:sz w:val="24"/>
                <w:szCs w:val="24"/>
                <w:lang w:eastAsia="en-US"/>
              </w:rPr>
              <w:t>$</w:t>
            </w:r>
            <w:r w:rsidRPr="007173EC" w:rsidR="006926ED">
              <w:rPr>
                <w:rFonts w:eastAsia="Calibri"/>
                <w:sz w:val="24"/>
                <w:szCs w:val="24"/>
                <w:lang w:eastAsia="en-US"/>
              </w:rPr>
              <w:t>28.01</w:t>
            </w:r>
            <w:r w:rsidRPr="007173EC">
              <w:rPr>
                <w:rFonts w:eastAsia="Calibri"/>
                <w:sz w:val="24"/>
                <w:szCs w:val="24"/>
                <w:lang w:eastAsia="en-US"/>
              </w:rPr>
              <w:t>*</w:t>
            </w:r>
          </w:p>
        </w:tc>
        <w:tc>
          <w:tcPr>
            <w:tcW w:w="1721" w:type="dxa"/>
          </w:tcPr>
          <w:p w:rsidR="00686A92" w:rsidRPr="007173EC" w:rsidP="007173EC" w14:paraId="6A90A4FC" w14:textId="0A87D415">
            <w:pPr>
              <w:spacing w:line="259" w:lineRule="auto"/>
              <w:jc w:val="right"/>
              <w:rPr>
                <w:rFonts w:eastAsia="Calibri"/>
                <w:sz w:val="24"/>
                <w:szCs w:val="24"/>
                <w:lang w:eastAsia="en-US"/>
              </w:rPr>
            </w:pPr>
            <w:r w:rsidRPr="007173EC">
              <w:rPr>
                <w:rFonts w:eastAsia="Calibri"/>
                <w:sz w:val="24"/>
                <w:szCs w:val="24"/>
                <w:lang w:eastAsia="en-US"/>
              </w:rPr>
              <w:t>$</w:t>
            </w:r>
            <w:r w:rsidRPr="007173EC" w:rsidR="006926ED">
              <w:rPr>
                <w:rFonts w:eastAsia="Calibri"/>
                <w:sz w:val="24"/>
                <w:szCs w:val="24"/>
                <w:lang w:eastAsia="en-US"/>
              </w:rPr>
              <w:t>1,90</w:t>
            </w:r>
            <w:r w:rsidR="0015491C">
              <w:rPr>
                <w:rFonts w:eastAsia="Calibri"/>
                <w:sz w:val="24"/>
                <w:szCs w:val="24"/>
                <w:lang w:eastAsia="en-US"/>
              </w:rPr>
              <w:t>5</w:t>
            </w:r>
            <w:r w:rsidRPr="007173EC">
              <w:rPr>
                <w:rFonts w:eastAsia="Calibri"/>
                <w:sz w:val="24"/>
                <w:szCs w:val="24"/>
                <w:lang w:eastAsia="en-US"/>
              </w:rPr>
              <w:t>**</w:t>
            </w:r>
          </w:p>
        </w:tc>
      </w:tr>
    </w:tbl>
    <w:p w:rsidR="00D8456F" w:rsidRPr="00D8456F" w:rsidP="00D7410B" w14:paraId="0A798245" w14:textId="77777777">
      <w:pPr>
        <w:ind w:left="1440" w:firstLine="90"/>
        <w:rPr>
          <w:sz w:val="24"/>
          <w:szCs w:val="24"/>
        </w:rPr>
      </w:pPr>
      <w:r w:rsidRPr="00D8456F">
        <w:rPr>
          <w:sz w:val="24"/>
          <w:szCs w:val="24"/>
        </w:rPr>
        <w:t xml:space="preserve">* We based this figure on the average U.S. worker’s hourly wages, as reported by Bureau of Labor </w:t>
      </w:r>
      <w:r w:rsidRPr="00D8456F">
        <w:rPr>
          <w:sz w:val="24"/>
          <w:szCs w:val="24"/>
        </w:rPr>
        <w:t>Statistics data (</w:t>
      </w:r>
      <w:hyperlink r:id="rId5" w:history="1">
        <w:r w:rsidRPr="00D8456F">
          <w:rPr>
            <w:color w:val="0000FF"/>
            <w:sz w:val="24"/>
            <w:szCs w:val="24"/>
            <w:u w:val="single"/>
          </w:rPr>
          <w:t>https://www.bls.gov/oes/current/oes_nat.htm</w:t>
        </w:r>
      </w:hyperlink>
      <w:r w:rsidRPr="00D8456F">
        <w:rPr>
          <w:sz w:val="24"/>
          <w:szCs w:val="24"/>
        </w:rPr>
        <w:t>).</w:t>
      </w:r>
    </w:p>
    <w:p w:rsidR="00D8456F" w:rsidP="00D8456F" w14:paraId="01A3F926" w14:textId="77777777">
      <w:pPr>
        <w:ind w:left="1354"/>
        <w:rPr>
          <w:sz w:val="24"/>
          <w:szCs w:val="24"/>
        </w:rPr>
      </w:pPr>
    </w:p>
    <w:p w:rsidR="00D8456F" w:rsidP="00D7410B" w14:paraId="728758EB" w14:textId="10064006">
      <w:pPr>
        <w:ind w:left="1440"/>
        <w:rPr>
          <w:b/>
          <w:bCs/>
          <w:sz w:val="24"/>
          <w:szCs w:val="24"/>
        </w:rPr>
      </w:pPr>
      <w:r w:rsidRPr="00D8456F">
        <w:rPr>
          <w:sz w:val="24"/>
          <w:szCs w:val="24"/>
        </w:rPr>
        <w:t xml:space="preserve">** This figure does not represent actual costs that SSA is imposing on recipients of Social Security payments to complete this </w:t>
      </w:r>
      <w:r w:rsidRPr="00D8456F">
        <w:rPr>
          <w:sz w:val="24"/>
          <w:szCs w:val="24"/>
        </w:rPr>
        <w:t>application; rather, these are theoretical opportunity costs for the additional time respondents will spend to complete the application.</w:t>
      </w:r>
      <w:r w:rsidRPr="00D8456F">
        <w:rPr>
          <w:b/>
          <w:sz w:val="24"/>
          <w:szCs w:val="24"/>
        </w:rPr>
        <w:t xml:space="preserve">  </w:t>
      </w:r>
      <w:r w:rsidRPr="00D8456F">
        <w:rPr>
          <w:b/>
          <w:sz w:val="24"/>
          <w:szCs w:val="24"/>
          <w:u w:val="single"/>
        </w:rPr>
        <w:t>There is no actual charge to respondents to complete the application</w:t>
      </w:r>
      <w:r w:rsidRPr="00D8456F">
        <w:rPr>
          <w:b/>
          <w:bCs/>
          <w:sz w:val="24"/>
          <w:szCs w:val="24"/>
        </w:rPr>
        <w:t>.</w:t>
      </w:r>
    </w:p>
    <w:p w:rsidR="005D274B" w:rsidP="00D7410B" w14:paraId="5AD2D6BB" w14:textId="4C41327E">
      <w:pPr>
        <w:ind w:left="1440"/>
        <w:rPr>
          <w:b/>
          <w:bCs/>
          <w:sz w:val="24"/>
          <w:szCs w:val="24"/>
        </w:rPr>
      </w:pPr>
    </w:p>
    <w:p w:rsidR="005D274B" w:rsidRPr="005D274B" w:rsidP="005D274B" w14:paraId="2ED19B00" w14:textId="77777777">
      <w:pPr>
        <w:widowControl w:val="0"/>
        <w:ind w:left="1440"/>
        <w:rPr>
          <w:snapToGrid w:val="0"/>
          <w:sz w:val="24"/>
          <w:szCs w:val="24"/>
        </w:rPr>
      </w:pPr>
      <w:r w:rsidRPr="005D274B">
        <w:rPr>
          <w:snapToGrid w:val="0"/>
          <w:sz w:val="24"/>
          <w:szCs w:val="24"/>
        </w:rPr>
        <w:t>We calculated the following Learning Cost</w:t>
      </w:r>
      <w:r w:rsidRPr="005D274B">
        <w:rPr>
          <w:snapToGrid w:val="0"/>
          <w:color w:val="0000FF"/>
          <w:sz w:val="24"/>
          <w:szCs w:val="24"/>
        </w:rPr>
        <w:t xml:space="preserve"> </w:t>
      </w:r>
      <w:r w:rsidRPr="005D274B">
        <w:rPr>
          <w:snapToGrid w:val="0"/>
          <w:sz w:val="24"/>
          <w:szCs w:val="24"/>
        </w:rPr>
        <w:t>time burden based on the estimated time and effort we expect respondents will take to learn about this program, its applicability to their circumstances, and to cover any additional research we believe respondents may need to take to understand how to comp</w:t>
      </w:r>
      <w:r w:rsidRPr="005D274B">
        <w:rPr>
          <w:snapToGrid w:val="0"/>
          <w:sz w:val="24"/>
          <w:szCs w:val="24"/>
        </w:rPr>
        <w:t>ly with the program requirements (beyond reading the instructions on the collection instrument):</w:t>
      </w:r>
    </w:p>
    <w:p w:rsidR="005D274B" w:rsidRPr="005D274B" w:rsidP="005D274B" w14:paraId="3A342B50" w14:textId="77777777">
      <w:pPr>
        <w:widowControl w:val="0"/>
        <w:ind w:left="1440"/>
        <w:rPr>
          <w:rFonts w:ascii="Courier" w:hAnsi="Courier"/>
          <w:snapToGrid w:val="0"/>
          <w:sz w:val="24"/>
          <w:szCs w:val="24"/>
        </w:rPr>
      </w:pPr>
    </w:p>
    <w:tbl>
      <w:tblPr>
        <w:tblW w:w="7573"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3"/>
        <w:gridCol w:w="1339"/>
        <w:gridCol w:w="1386"/>
        <w:gridCol w:w="1458"/>
        <w:gridCol w:w="1867"/>
      </w:tblGrid>
      <w:tr w14:paraId="27DFFD42" w14:textId="77777777" w:rsidTr="008049BA">
        <w:tblPrEx>
          <w:tblW w:w="7573"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1452" w:type="dxa"/>
            <w:shd w:val="clear" w:color="auto" w:fill="auto"/>
          </w:tcPr>
          <w:p w:rsidR="005D274B" w:rsidRPr="005D274B" w:rsidP="00661993" w14:paraId="47D820EE" w14:textId="77777777">
            <w:pPr>
              <w:widowControl w:val="0"/>
              <w:rPr>
                <w:b/>
                <w:snapToGrid w:val="0"/>
                <w:sz w:val="24"/>
                <w:szCs w:val="24"/>
              </w:rPr>
            </w:pPr>
            <w:r w:rsidRPr="005D274B">
              <w:rPr>
                <w:b/>
                <w:snapToGrid w:val="0"/>
                <w:sz w:val="24"/>
                <w:szCs w:val="24"/>
              </w:rPr>
              <w:t xml:space="preserve">Total Number of Respondents </w:t>
            </w:r>
          </w:p>
        </w:tc>
        <w:tc>
          <w:tcPr>
            <w:tcW w:w="1342" w:type="dxa"/>
            <w:shd w:val="clear" w:color="auto" w:fill="auto"/>
          </w:tcPr>
          <w:p w:rsidR="005D274B" w:rsidRPr="005D274B" w:rsidP="00661993" w14:paraId="49742CC4" w14:textId="77777777">
            <w:pPr>
              <w:widowControl w:val="0"/>
              <w:rPr>
                <w:b/>
                <w:snapToGrid w:val="0"/>
                <w:sz w:val="24"/>
                <w:szCs w:val="24"/>
              </w:rPr>
            </w:pPr>
            <w:r w:rsidRPr="005D274B">
              <w:rPr>
                <w:b/>
                <w:snapToGrid w:val="0"/>
                <w:sz w:val="24"/>
                <w:szCs w:val="24"/>
              </w:rPr>
              <w:t>Frequency of Response</w:t>
            </w:r>
          </w:p>
        </w:tc>
        <w:tc>
          <w:tcPr>
            <w:tcW w:w="1405" w:type="dxa"/>
            <w:shd w:val="clear" w:color="auto" w:fill="auto"/>
          </w:tcPr>
          <w:p w:rsidR="005D274B" w:rsidRPr="005D274B" w:rsidP="00661993" w14:paraId="08E64109" w14:textId="77777777">
            <w:pPr>
              <w:widowControl w:val="0"/>
              <w:rPr>
                <w:b/>
                <w:snapToGrid w:val="0"/>
                <w:sz w:val="24"/>
                <w:szCs w:val="24"/>
              </w:rPr>
            </w:pPr>
            <w:r w:rsidRPr="005D274B">
              <w:rPr>
                <w:b/>
                <w:snapToGrid w:val="0"/>
                <w:sz w:val="24"/>
                <w:szCs w:val="24"/>
              </w:rPr>
              <w:t>Estimate Learning Cost (minutes)</w:t>
            </w:r>
          </w:p>
        </w:tc>
        <w:tc>
          <w:tcPr>
            <w:tcW w:w="1478" w:type="dxa"/>
          </w:tcPr>
          <w:p w:rsidR="005D274B" w:rsidRPr="005D274B" w:rsidP="00661993" w14:paraId="0459A3FB" w14:textId="77777777">
            <w:pPr>
              <w:widowControl w:val="0"/>
              <w:rPr>
                <w:b/>
                <w:snapToGrid w:val="0"/>
                <w:sz w:val="24"/>
                <w:szCs w:val="24"/>
              </w:rPr>
            </w:pPr>
            <w:r w:rsidRPr="005D274B">
              <w:rPr>
                <w:b/>
                <w:snapToGrid w:val="0"/>
                <w:sz w:val="24"/>
                <w:szCs w:val="24"/>
              </w:rPr>
              <w:t>Estimated Total Annual Burden (hours)</w:t>
            </w:r>
          </w:p>
        </w:tc>
        <w:tc>
          <w:tcPr>
            <w:tcW w:w="1896" w:type="dxa"/>
            <w:shd w:val="clear" w:color="auto" w:fill="auto"/>
          </w:tcPr>
          <w:p w:rsidR="005D274B" w:rsidRPr="005D274B" w:rsidP="00661993" w14:paraId="7DF48003" w14:textId="77777777">
            <w:pPr>
              <w:widowControl w:val="0"/>
              <w:rPr>
                <w:b/>
                <w:snapToGrid w:val="0"/>
                <w:sz w:val="24"/>
                <w:szCs w:val="24"/>
              </w:rPr>
            </w:pPr>
            <w:r w:rsidRPr="005D274B">
              <w:rPr>
                <w:b/>
                <w:snapToGrid w:val="0"/>
                <w:sz w:val="24"/>
                <w:szCs w:val="24"/>
              </w:rPr>
              <w:t>Total Annual Learning Cost (dollars)</w:t>
            </w:r>
            <w:r w:rsidRPr="005D274B">
              <w:rPr>
                <w:b/>
                <w:snapToGrid w:val="0"/>
                <w:sz w:val="24"/>
                <w:szCs w:val="24"/>
              </w:rPr>
              <w:t>****</w:t>
            </w:r>
          </w:p>
        </w:tc>
      </w:tr>
      <w:tr w14:paraId="221D8F1D" w14:textId="77777777" w:rsidTr="008049BA">
        <w:tblPrEx>
          <w:tblW w:w="7573" w:type="dxa"/>
          <w:tblInd w:w="1435" w:type="dxa"/>
          <w:tblLook w:val="04A0"/>
        </w:tblPrEx>
        <w:trPr>
          <w:trHeight w:val="306"/>
        </w:trPr>
        <w:tc>
          <w:tcPr>
            <w:tcW w:w="1452" w:type="dxa"/>
            <w:shd w:val="clear" w:color="auto" w:fill="auto"/>
          </w:tcPr>
          <w:p w:rsidR="005D274B" w:rsidRPr="005D274B" w:rsidP="00FF1A61" w14:paraId="5703A4B7" w14:textId="7688A0BD">
            <w:pPr>
              <w:widowControl w:val="0"/>
              <w:rPr>
                <w:snapToGrid w:val="0"/>
                <w:sz w:val="24"/>
                <w:szCs w:val="24"/>
              </w:rPr>
            </w:pPr>
            <w:r>
              <w:rPr>
                <w:snapToGrid w:val="0"/>
                <w:sz w:val="24"/>
                <w:szCs w:val="24"/>
              </w:rPr>
              <w:t>34</w:t>
            </w:r>
          </w:p>
        </w:tc>
        <w:tc>
          <w:tcPr>
            <w:tcW w:w="1342" w:type="dxa"/>
            <w:shd w:val="clear" w:color="auto" w:fill="auto"/>
          </w:tcPr>
          <w:p w:rsidR="005D274B" w:rsidRPr="005D274B" w:rsidP="00661993" w14:paraId="41D2F538" w14:textId="77777777">
            <w:pPr>
              <w:widowControl w:val="0"/>
              <w:jc w:val="right"/>
              <w:rPr>
                <w:snapToGrid w:val="0"/>
                <w:sz w:val="24"/>
                <w:szCs w:val="24"/>
              </w:rPr>
            </w:pPr>
            <w:r w:rsidRPr="005D274B">
              <w:rPr>
                <w:snapToGrid w:val="0"/>
                <w:sz w:val="24"/>
                <w:szCs w:val="24"/>
              </w:rPr>
              <w:t>1</w:t>
            </w:r>
          </w:p>
        </w:tc>
        <w:tc>
          <w:tcPr>
            <w:tcW w:w="1405" w:type="dxa"/>
            <w:shd w:val="clear" w:color="auto" w:fill="auto"/>
          </w:tcPr>
          <w:p w:rsidR="005D274B" w:rsidRPr="005D274B" w:rsidP="00661993" w14:paraId="55163F08" w14:textId="7475C30C">
            <w:pPr>
              <w:widowControl w:val="0"/>
              <w:jc w:val="right"/>
              <w:rPr>
                <w:snapToGrid w:val="0"/>
                <w:sz w:val="24"/>
                <w:szCs w:val="24"/>
              </w:rPr>
            </w:pPr>
            <w:r>
              <w:rPr>
                <w:snapToGrid w:val="0"/>
                <w:sz w:val="24"/>
                <w:szCs w:val="24"/>
              </w:rPr>
              <w:t>30</w:t>
            </w:r>
          </w:p>
        </w:tc>
        <w:tc>
          <w:tcPr>
            <w:tcW w:w="1478" w:type="dxa"/>
          </w:tcPr>
          <w:p w:rsidR="005D274B" w:rsidRPr="005D274B" w:rsidP="00661993" w14:paraId="517D0001" w14:textId="223B1E64">
            <w:pPr>
              <w:widowControl w:val="0"/>
              <w:jc w:val="right"/>
              <w:rPr>
                <w:snapToGrid w:val="0"/>
                <w:sz w:val="24"/>
                <w:szCs w:val="24"/>
              </w:rPr>
            </w:pPr>
            <w:r>
              <w:rPr>
                <w:snapToGrid w:val="0"/>
                <w:sz w:val="24"/>
                <w:szCs w:val="24"/>
              </w:rPr>
              <w:t>17</w:t>
            </w:r>
          </w:p>
        </w:tc>
        <w:tc>
          <w:tcPr>
            <w:tcW w:w="1896" w:type="dxa"/>
            <w:shd w:val="clear" w:color="auto" w:fill="auto"/>
          </w:tcPr>
          <w:p w:rsidR="005D274B" w:rsidRPr="005D274B" w:rsidP="00661993" w14:paraId="437607FF" w14:textId="32044AF3">
            <w:pPr>
              <w:widowControl w:val="0"/>
              <w:jc w:val="right"/>
              <w:rPr>
                <w:snapToGrid w:val="0"/>
                <w:sz w:val="24"/>
                <w:szCs w:val="24"/>
              </w:rPr>
            </w:pPr>
            <w:r w:rsidRPr="005D274B">
              <w:rPr>
                <w:snapToGrid w:val="0"/>
                <w:sz w:val="24"/>
                <w:szCs w:val="24"/>
              </w:rPr>
              <w:t>$</w:t>
            </w:r>
            <w:r w:rsidR="00FF1A61">
              <w:rPr>
                <w:snapToGrid w:val="0"/>
                <w:sz w:val="24"/>
                <w:szCs w:val="24"/>
              </w:rPr>
              <w:t>476</w:t>
            </w:r>
            <w:r w:rsidRPr="005D274B">
              <w:rPr>
                <w:snapToGrid w:val="0"/>
                <w:sz w:val="24"/>
                <w:szCs w:val="24"/>
              </w:rPr>
              <w:t>****</w:t>
            </w:r>
          </w:p>
        </w:tc>
      </w:tr>
    </w:tbl>
    <w:p w:rsidR="005D274B" w:rsidRPr="00FF1A61" w:rsidP="005D274B" w14:paraId="63081E54" w14:textId="36003EB4">
      <w:pPr>
        <w:widowControl w:val="0"/>
        <w:ind w:left="1440"/>
        <w:rPr>
          <w:snapToGrid w:val="0"/>
          <w:sz w:val="24"/>
          <w:szCs w:val="24"/>
        </w:rPr>
      </w:pPr>
      <w:r w:rsidRPr="00FF1A61">
        <w:rPr>
          <w:snapToGrid w:val="0"/>
          <w:sz w:val="24"/>
          <w:szCs w:val="24"/>
        </w:rPr>
        <w:t>*** We based this dollar amount on the Average Theoretical Hourly Cost Amount in dollars shown on the burden chart above.</w:t>
      </w:r>
    </w:p>
    <w:p w:rsidR="005D274B" w:rsidRPr="00FF1A61" w:rsidP="005D274B" w14:paraId="498071B4" w14:textId="77777777">
      <w:pPr>
        <w:widowControl w:val="0"/>
        <w:ind w:left="1440"/>
        <w:rPr>
          <w:snapToGrid w:val="0"/>
          <w:sz w:val="24"/>
          <w:szCs w:val="24"/>
        </w:rPr>
      </w:pPr>
    </w:p>
    <w:p w:rsidR="005D274B" w:rsidRPr="00FF1A61" w:rsidP="005D274B" w14:paraId="5F96E386" w14:textId="77777777">
      <w:pPr>
        <w:widowControl w:val="0"/>
        <w:ind w:left="1440"/>
        <w:rPr>
          <w:snapToGrid w:val="0"/>
          <w:sz w:val="24"/>
          <w:szCs w:val="24"/>
        </w:rPr>
      </w:pPr>
      <w:r w:rsidRPr="00FF1A61">
        <w:rPr>
          <w:snapToGrid w:val="0"/>
          <w:sz w:val="24"/>
          <w:szCs w:val="24"/>
        </w:rPr>
        <w:t xml:space="preserve">NOTE:  We included the total opportunity cost estimate from this chart in our calculations when </w:t>
      </w:r>
      <w:r w:rsidRPr="00FF1A61">
        <w:rPr>
          <w:snapToGrid w:val="0"/>
          <w:sz w:val="24"/>
          <w:szCs w:val="24"/>
        </w:rPr>
        <w:t>showing the total time and opportunity cost estimates in the paragraph below.</w:t>
      </w:r>
    </w:p>
    <w:p w:rsidR="005D274B" w:rsidRPr="005D274B" w:rsidP="005D274B" w14:paraId="3AA3836A" w14:textId="77777777">
      <w:pPr>
        <w:tabs>
          <w:tab w:val="left" w:pos="1440"/>
        </w:tabs>
        <w:ind w:left="1440"/>
        <w:rPr>
          <w:rFonts w:eastAsia="Calibri"/>
          <w:sz w:val="24"/>
          <w:szCs w:val="24"/>
        </w:rPr>
      </w:pPr>
    </w:p>
    <w:p w:rsidR="005D274B" w:rsidP="005D274B" w14:paraId="2DF55D63" w14:textId="5A2EFA40">
      <w:pPr>
        <w:ind w:left="1440"/>
        <w:rPr>
          <w:rFonts w:eastAsia="Calibri"/>
          <w:sz w:val="24"/>
          <w:szCs w:val="24"/>
        </w:rPr>
      </w:pPr>
      <w:r w:rsidRPr="005D274B">
        <w:rPr>
          <w:rFonts w:eastAsia="Calibri"/>
          <w:color w:val="000000"/>
          <w:sz w:val="24"/>
          <w:szCs w:val="24"/>
        </w:rPr>
        <w:t xml:space="preserve">We base our burden estimates on current management information data, which includes </w:t>
      </w:r>
      <w:r w:rsidR="00787BC0">
        <w:rPr>
          <w:rFonts w:eastAsia="Calibri"/>
          <w:color w:val="000000"/>
          <w:sz w:val="24"/>
          <w:szCs w:val="24"/>
        </w:rPr>
        <w:t>previously processed documentation from years of conducting this information collection .</w:t>
      </w:r>
      <w:r w:rsidRPr="005D274B">
        <w:rPr>
          <w:rFonts w:eastAsia="Calibri"/>
          <w:color w:val="000000"/>
          <w:sz w:val="24"/>
          <w:szCs w:val="24"/>
        </w:rPr>
        <w:t xml:space="preserve"> </w:t>
      </w:r>
      <w:r w:rsidR="00787BC0">
        <w:rPr>
          <w:rFonts w:eastAsia="Calibri"/>
          <w:color w:val="000000"/>
          <w:sz w:val="24"/>
          <w:szCs w:val="24"/>
        </w:rPr>
        <w:t xml:space="preserve"> </w:t>
      </w:r>
      <w:r w:rsidRPr="005D274B">
        <w:rPr>
          <w:rFonts w:eastAsia="Calibri"/>
          <w:color w:val="000000"/>
          <w:sz w:val="24"/>
          <w:szCs w:val="24"/>
        </w:rPr>
        <w:t>Per our management information data, we believe that</w:t>
      </w:r>
      <w:r w:rsidRPr="00FF1A61">
        <w:rPr>
          <w:rFonts w:eastAsia="Calibri"/>
          <w:b/>
          <w:bCs/>
          <w:sz w:val="24"/>
          <w:szCs w:val="24"/>
        </w:rPr>
        <w:t xml:space="preserve"> </w:t>
      </w:r>
      <w:r w:rsidR="00516E34">
        <w:rPr>
          <w:rFonts w:eastAsia="Calibri"/>
          <w:b/>
          <w:bCs/>
          <w:sz w:val="24"/>
          <w:szCs w:val="24"/>
        </w:rPr>
        <w:t xml:space="preserve">120 </w:t>
      </w:r>
      <w:r w:rsidRPr="005D274B">
        <w:rPr>
          <w:rFonts w:eastAsia="Calibri"/>
          <w:color w:val="000000"/>
          <w:sz w:val="24"/>
          <w:szCs w:val="24"/>
        </w:rPr>
        <w:t>minutes accurately shows the average burden per response</w:t>
      </w:r>
      <w:r w:rsidRPr="00FF1A61">
        <w:rPr>
          <w:rFonts w:eastAsia="Calibri"/>
          <w:sz w:val="24"/>
          <w:szCs w:val="24"/>
        </w:rPr>
        <w:t xml:space="preserve"> for learning about the program; receiving notices as needed; reading and understanding instructions; gathering the data and docu</w:t>
      </w:r>
      <w:r w:rsidRPr="00FF1A61">
        <w:rPr>
          <w:rFonts w:eastAsia="Calibri"/>
          <w:sz w:val="24"/>
          <w:szCs w:val="24"/>
        </w:rPr>
        <w:t>ments needed; answering the questions and</w:t>
      </w:r>
      <w:r>
        <w:rPr>
          <w:rFonts w:eastAsia="Calibri"/>
          <w:sz w:val="24"/>
          <w:szCs w:val="24"/>
        </w:rPr>
        <w:t xml:space="preserve"> </w:t>
      </w:r>
      <w:r w:rsidRPr="00FF1A61">
        <w:rPr>
          <w:rFonts w:eastAsia="Calibri"/>
          <w:sz w:val="24"/>
          <w:szCs w:val="24"/>
        </w:rPr>
        <w:t>completing the information collection instrument; scheduling any necessary appointment or required phone call; consulting with any third parties (as needed);</w:t>
      </w:r>
      <w:r w:rsidRPr="005D274B">
        <w:rPr>
          <w:rFonts w:eastAsia="Calibri"/>
          <w:color w:val="0000FF"/>
          <w:sz w:val="24"/>
          <w:szCs w:val="24"/>
        </w:rPr>
        <w:t xml:space="preserve"> </w:t>
      </w:r>
      <w:r w:rsidRPr="005D274B">
        <w:rPr>
          <w:rFonts w:eastAsia="Calibri"/>
          <w:color w:val="000000"/>
          <w:sz w:val="24"/>
          <w:szCs w:val="24"/>
        </w:rPr>
        <w:t>and waiting to speak with SSA employees (as needed).  Ba</w:t>
      </w:r>
      <w:r w:rsidRPr="005D274B">
        <w:rPr>
          <w:rFonts w:eastAsia="Calibri"/>
          <w:color w:val="000000"/>
          <w:sz w:val="24"/>
          <w:szCs w:val="24"/>
        </w:rPr>
        <w:t xml:space="preserve">sed on our current management information data, the current burden information we provided is accurate.  </w:t>
      </w:r>
      <w:r w:rsidRPr="005D274B">
        <w:rPr>
          <w:rFonts w:eastAsia="Calibri"/>
          <w:sz w:val="24"/>
          <w:szCs w:val="24"/>
        </w:rPr>
        <w:t xml:space="preserve">The total burden for this collection instrument is </w:t>
      </w:r>
      <w:r w:rsidR="00FF1A61">
        <w:rPr>
          <w:rFonts w:eastAsia="SimSun"/>
          <w:b/>
          <w:bCs/>
          <w:sz w:val="24"/>
          <w:szCs w:val="24"/>
          <w:lang w:eastAsia="ar-SA"/>
        </w:rPr>
        <w:t>120</w:t>
      </w:r>
      <w:r w:rsidRPr="005D274B">
        <w:rPr>
          <w:b/>
          <w:sz w:val="24"/>
          <w:szCs w:val="24"/>
        </w:rPr>
        <w:t xml:space="preserve"> </w:t>
      </w:r>
      <w:r w:rsidRPr="005D274B">
        <w:rPr>
          <w:rFonts w:eastAsia="Calibri"/>
          <w:sz w:val="24"/>
          <w:szCs w:val="24"/>
        </w:rPr>
        <w:t>burden hours (reflecting SSA management information data), which results in an associated theore</w:t>
      </w:r>
      <w:r w:rsidRPr="005D274B">
        <w:rPr>
          <w:rFonts w:eastAsia="Calibri"/>
          <w:sz w:val="24"/>
          <w:szCs w:val="24"/>
        </w:rPr>
        <w:t xml:space="preserve">tical (not actual) opportunity cost financial burden of </w:t>
      </w:r>
      <w:r w:rsidRPr="005D274B">
        <w:rPr>
          <w:rFonts w:eastAsia="Calibri"/>
          <w:b/>
          <w:bCs/>
          <w:color w:val="000000"/>
          <w:sz w:val="24"/>
          <w:szCs w:val="24"/>
        </w:rPr>
        <w:t>$</w:t>
      </w:r>
      <w:r w:rsidR="00FF1A61">
        <w:rPr>
          <w:rFonts w:eastAsia="Calibri"/>
          <w:b/>
          <w:bCs/>
          <w:color w:val="000000"/>
          <w:sz w:val="24"/>
          <w:szCs w:val="24"/>
        </w:rPr>
        <w:t>2,381</w:t>
      </w:r>
      <w:r w:rsidRPr="005D274B">
        <w:rPr>
          <w:rFonts w:eastAsia="Calibri"/>
          <w:sz w:val="24"/>
          <w:szCs w:val="24"/>
        </w:rPr>
        <w:t>.  SSA does not charge respondents to complete our applications.</w:t>
      </w:r>
    </w:p>
    <w:p w:rsidR="008049BA" w:rsidRPr="005D274B" w:rsidP="005D274B" w14:paraId="164AF4E0" w14:textId="77777777">
      <w:pPr>
        <w:ind w:left="1440"/>
        <w:rPr>
          <w:rFonts w:eastAsia="Calibri"/>
          <w:sz w:val="24"/>
          <w:szCs w:val="24"/>
        </w:rPr>
      </w:pPr>
    </w:p>
    <w:p w:rsidR="00433CDC" w:rsidRPr="00162D6F" w:rsidP="003A015D" w14:paraId="60B2AA7C" w14:textId="77777777">
      <w:pPr>
        <w:widowControl w:val="0"/>
        <w:numPr>
          <w:ilvl w:val="0"/>
          <w:numId w:val="14"/>
        </w:numPr>
        <w:tabs>
          <w:tab w:val="clear" w:pos="360"/>
          <w:tab w:val="num" w:pos="1440"/>
        </w:tabs>
        <w:suppressAutoHyphens/>
        <w:ind w:left="1440" w:hanging="720"/>
        <w:rPr>
          <w:sz w:val="24"/>
        </w:rPr>
      </w:pPr>
      <w:r>
        <w:rPr>
          <w:b/>
          <w:sz w:val="24"/>
          <w:szCs w:val="24"/>
        </w:rPr>
        <w:t>Annual Cost to the Respondents (Other)</w:t>
      </w:r>
    </w:p>
    <w:p w:rsidR="00162D6F" w:rsidP="003A015D" w14:paraId="41434FE8" w14:textId="34B48773">
      <w:pPr>
        <w:widowControl w:val="0"/>
        <w:suppressAutoHyphens/>
        <w:ind w:left="1440"/>
        <w:rPr>
          <w:sz w:val="24"/>
          <w:szCs w:val="24"/>
        </w:rPr>
      </w:pPr>
      <w:r w:rsidRPr="00A40C6D">
        <w:rPr>
          <w:sz w:val="24"/>
          <w:szCs w:val="24"/>
        </w:rPr>
        <w:t>This collection does not impose a known cost burden to the respondents</w:t>
      </w:r>
      <w:r>
        <w:rPr>
          <w:sz w:val="24"/>
          <w:szCs w:val="24"/>
        </w:rPr>
        <w:t>.</w:t>
      </w:r>
    </w:p>
    <w:p w:rsidR="00162D6F" w:rsidRPr="00433CDC" w:rsidP="003A015D" w14:paraId="4E5D5098" w14:textId="77777777">
      <w:pPr>
        <w:widowControl w:val="0"/>
        <w:suppressAutoHyphens/>
        <w:ind w:left="1440"/>
        <w:rPr>
          <w:sz w:val="24"/>
        </w:rPr>
      </w:pPr>
    </w:p>
    <w:p w:rsidR="00433CDC" w:rsidRPr="00162D6F" w:rsidP="003A015D" w14:paraId="6CE9C4D6" w14:textId="77777777">
      <w:pPr>
        <w:widowControl w:val="0"/>
        <w:numPr>
          <w:ilvl w:val="0"/>
          <w:numId w:val="14"/>
        </w:numPr>
        <w:tabs>
          <w:tab w:val="clear" w:pos="360"/>
          <w:tab w:val="num" w:pos="1440"/>
        </w:tabs>
        <w:suppressAutoHyphens/>
        <w:ind w:left="1440" w:hanging="720"/>
        <w:rPr>
          <w:sz w:val="24"/>
        </w:rPr>
      </w:pPr>
      <w:r w:rsidRPr="00A40C6D">
        <w:rPr>
          <w:b/>
          <w:sz w:val="24"/>
          <w:szCs w:val="24"/>
        </w:rPr>
        <w:t>Annual Cost To Federal Government</w:t>
      </w:r>
    </w:p>
    <w:p w:rsidR="000245DB" w:rsidP="000245DB" w14:paraId="54DE02E3" w14:textId="30EE3404">
      <w:pPr>
        <w:ind w:left="1440"/>
        <w:rPr>
          <w:color w:val="000000"/>
          <w:sz w:val="24"/>
          <w:szCs w:val="24"/>
        </w:rPr>
      </w:pPr>
      <w:r w:rsidRPr="004C2A79">
        <w:rPr>
          <w:bCs/>
          <w:sz w:val="24"/>
        </w:rPr>
        <w:t xml:space="preserve">The annual cost to the Federal Government is approximately </w:t>
      </w:r>
      <w:r w:rsidRPr="0015491C">
        <w:rPr>
          <w:b/>
          <w:sz w:val="24"/>
        </w:rPr>
        <w:t>$</w:t>
      </w:r>
      <w:r w:rsidRPr="0015491C" w:rsidR="00D42978">
        <w:rPr>
          <w:b/>
          <w:sz w:val="24"/>
        </w:rPr>
        <w:t>9</w:t>
      </w:r>
      <w:r w:rsidR="00D7410B">
        <w:rPr>
          <w:b/>
          <w:sz w:val="24"/>
        </w:rPr>
        <w:t>2,659</w:t>
      </w:r>
      <w:r w:rsidRPr="0015491C">
        <w:rPr>
          <w:b/>
          <w:sz w:val="24"/>
        </w:rPr>
        <w:t>.</w:t>
      </w:r>
      <w:r>
        <w:rPr>
          <w:bCs/>
          <w:sz w:val="24"/>
        </w:rPr>
        <w:t xml:space="preserve">  </w:t>
      </w:r>
      <w:r w:rsidRPr="000245DB">
        <w:rPr>
          <w:color w:val="000000"/>
          <w:sz w:val="24"/>
          <w:szCs w:val="24"/>
        </w:rPr>
        <w:t>This estimate accounts for costs from the following areas:</w:t>
      </w:r>
    </w:p>
    <w:p w:rsidR="002B1F13" w:rsidP="000245DB" w14:paraId="0CB9843D" w14:textId="4412BE26">
      <w:pPr>
        <w:ind w:left="1440"/>
        <w:rPr>
          <w:color w:val="000000"/>
          <w:sz w:val="24"/>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0"/>
        <w:gridCol w:w="2880"/>
        <w:gridCol w:w="1885"/>
      </w:tblGrid>
      <w:tr w14:paraId="31CAF70F" w14:textId="77777777" w:rsidTr="002B1F13">
        <w:tblPrEx>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50" w:type="dxa"/>
            <w:shd w:val="clear" w:color="auto" w:fill="auto"/>
          </w:tcPr>
          <w:p w:rsidR="002B1F13" w:rsidRPr="002B1F13" w:rsidP="002B1F13" w14:paraId="34FAB7C4" w14:textId="77777777">
            <w:pPr>
              <w:widowControl w:val="0"/>
              <w:contextualSpacing/>
              <w:rPr>
                <w:b/>
                <w:bCs/>
                <w:snapToGrid w:val="0"/>
                <w:color w:val="000000"/>
                <w:sz w:val="24"/>
                <w:szCs w:val="24"/>
                <w:lang w:eastAsia="en-US"/>
              </w:rPr>
            </w:pPr>
            <w:r w:rsidRPr="002B1F13">
              <w:rPr>
                <w:b/>
                <w:bCs/>
                <w:snapToGrid w:val="0"/>
                <w:color w:val="000000"/>
                <w:sz w:val="24"/>
                <w:szCs w:val="24"/>
                <w:lang w:eastAsia="en-US"/>
              </w:rPr>
              <w:t>Description of Cost Factor</w:t>
            </w:r>
          </w:p>
        </w:tc>
        <w:tc>
          <w:tcPr>
            <w:tcW w:w="2880" w:type="dxa"/>
            <w:shd w:val="clear" w:color="auto" w:fill="auto"/>
          </w:tcPr>
          <w:p w:rsidR="002B1F13" w:rsidRPr="002B1F13" w:rsidP="002B1F13" w14:paraId="1168B3AC" w14:textId="77777777">
            <w:pPr>
              <w:widowControl w:val="0"/>
              <w:contextualSpacing/>
              <w:rPr>
                <w:b/>
                <w:bCs/>
                <w:snapToGrid w:val="0"/>
                <w:color w:val="000000"/>
                <w:sz w:val="24"/>
                <w:szCs w:val="24"/>
                <w:lang w:eastAsia="en-US"/>
              </w:rPr>
            </w:pPr>
            <w:r w:rsidRPr="002B1F13">
              <w:rPr>
                <w:b/>
                <w:bCs/>
                <w:snapToGrid w:val="0"/>
                <w:color w:val="000000"/>
                <w:sz w:val="24"/>
                <w:szCs w:val="24"/>
                <w:lang w:eastAsia="en-US"/>
              </w:rPr>
              <w:t>Methodology for Estimating Cost</w:t>
            </w:r>
          </w:p>
        </w:tc>
        <w:tc>
          <w:tcPr>
            <w:tcW w:w="1885" w:type="dxa"/>
            <w:shd w:val="clear" w:color="auto" w:fill="auto"/>
          </w:tcPr>
          <w:p w:rsidR="002B1F13" w:rsidRPr="002B1F13" w:rsidP="002B1F13" w14:paraId="78C17C50" w14:textId="77777777">
            <w:pPr>
              <w:widowControl w:val="0"/>
              <w:contextualSpacing/>
              <w:rPr>
                <w:b/>
                <w:bCs/>
                <w:snapToGrid w:val="0"/>
                <w:color w:val="000000"/>
                <w:sz w:val="24"/>
                <w:szCs w:val="24"/>
                <w:lang w:eastAsia="en-US"/>
              </w:rPr>
            </w:pPr>
            <w:r w:rsidRPr="002B1F13">
              <w:rPr>
                <w:b/>
                <w:bCs/>
                <w:snapToGrid w:val="0"/>
                <w:color w:val="000000"/>
                <w:sz w:val="24"/>
                <w:szCs w:val="24"/>
                <w:lang w:eastAsia="en-US"/>
              </w:rPr>
              <w:t>Cost in Dollars*</w:t>
            </w:r>
          </w:p>
        </w:tc>
      </w:tr>
      <w:tr w14:paraId="57A4CC8C" w14:textId="77777777" w:rsidTr="002B1F13">
        <w:tblPrEx>
          <w:tblW w:w="0" w:type="auto"/>
          <w:tblInd w:w="1435" w:type="dxa"/>
          <w:tblLook w:val="04A0"/>
        </w:tblPrEx>
        <w:tc>
          <w:tcPr>
            <w:tcW w:w="3150" w:type="dxa"/>
            <w:shd w:val="clear" w:color="auto" w:fill="auto"/>
          </w:tcPr>
          <w:p w:rsidR="002B1F13" w:rsidRPr="002B1F13" w:rsidP="002B1F13" w14:paraId="5274C6CD" w14:textId="77777777">
            <w:pPr>
              <w:widowControl w:val="0"/>
              <w:contextualSpacing/>
              <w:rPr>
                <w:snapToGrid w:val="0"/>
                <w:color w:val="000000"/>
                <w:sz w:val="24"/>
                <w:szCs w:val="24"/>
                <w:lang w:eastAsia="en-US"/>
              </w:rPr>
            </w:pPr>
            <w:r w:rsidRPr="002B1F13">
              <w:rPr>
                <w:snapToGrid w:val="0"/>
                <w:color w:val="000000"/>
                <w:sz w:val="24"/>
                <w:szCs w:val="24"/>
                <w:lang w:eastAsia="en-US"/>
              </w:rPr>
              <w:t>Designing and Printing the Form</w:t>
            </w:r>
          </w:p>
        </w:tc>
        <w:tc>
          <w:tcPr>
            <w:tcW w:w="2880" w:type="dxa"/>
            <w:shd w:val="clear" w:color="auto" w:fill="auto"/>
          </w:tcPr>
          <w:p w:rsidR="002B1F13" w:rsidRPr="002B1F13" w:rsidP="002B1F13" w14:paraId="64FB83D5" w14:textId="77777777">
            <w:pPr>
              <w:widowControl w:val="0"/>
              <w:contextualSpacing/>
              <w:rPr>
                <w:snapToGrid w:val="0"/>
                <w:color w:val="000000"/>
                <w:sz w:val="24"/>
                <w:szCs w:val="24"/>
                <w:lang w:eastAsia="en-US"/>
              </w:rPr>
            </w:pPr>
            <w:r w:rsidRPr="002B1F13">
              <w:rPr>
                <w:snapToGrid w:val="0"/>
                <w:color w:val="000000"/>
                <w:sz w:val="24"/>
                <w:szCs w:val="24"/>
                <w:lang w:eastAsia="en-US"/>
              </w:rPr>
              <w:t>Design Cost + Printing Cost</w:t>
            </w:r>
          </w:p>
        </w:tc>
        <w:tc>
          <w:tcPr>
            <w:tcW w:w="1885" w:type="dxa"/>
            <w:shd w:val="clear" w:color="auto" w:fill="auto"/>
          </w:tcPr>
          <w:p w:rsidR="002B1F13" w:rsidRPr="002B1F13" w:rsidP="00D7410B" w14:paraId="1FFD68A9" w14:textId="61179C5F">
            <w:pPr>
              <w:widowControl w:val="0"/>
              <w:contextualSpacing/>
              <w:jc w:val="right"/>
              <w:rPr>
                <w:snapToGrid w:val="0"/>
                <w:color w:val="000000"/>
                <w:sz w:val="24"/>
                <w:szCs w:val="24"/>
                <w:lang w:eastAsia="en-US"/>
              </w:rPr>
            </w:pPr>
            <w:r>
              <w:rPr>
                <w:snapToGrid w:val="0"/>
                <w:color w:val="000000"/>
                <w:sz w:val="24"/>
                <w:szCs w:val="24"/>
                <w:lang w:eastAsia="en-US"/>
              </w:rPr>
              <w:t>$50</w:t>
            </w:r>
          </w:p>
        </w:tc>
      </w:tr>
      <w:tr w14:paraId="6302D751" w14:textId="77777777" w:rsidTr="002B1F13">
        <w:tblPrEx>
          <w:tblW w:w="0" w:type="auto"/>
          <w:tblInd w:w="1435" w:type="dxa"/>
          <w:tblLook w:val="04A0"/>
        </w:tblPrEx>
        <w:tc>
          <w:tcPr>
            <w:tcW w:w="3150" w:type="dxa"/>
            <w:shd w:val="clear" w:color="auto" w:fill="auto"/>
          </w:tcPr>
          <w:p w:rsidR="002B1F13" w:rsidRPr="002B1F13" w:rsidP="002B1F13" w14:paraId="6847F6B1" w14:textId="77777777">
            <w:pPr>
              <w:widowControl w:val="0"/>
              <w:contextualSpacing/>
              <w:rPr>
                <w:snapToGrid w:val="0"/>
                <w:color w:val="000000"/>
                <w:sz w:val="24"/>
                <w:szCs w:val="24"/>
                <w:lang w:eastAsia="en-US"/>
              </w:rPr>
            </w:pPr>
            <w:r w:rsidRPr="002B1F13">
              <w:rPr>
                <w:snapToGrid w:val="0"/>
                <w:color w:val="000000"/>
                <w:sz w:val="24"/>
                <w:szCs w:val="24"/>
                <w:lang w:eastAsia="en-US"/>
              </w:rPr>
              <w:t>Distributing, Shipping, and Material Costs for the Form</w:t>
            </w:r>
          </w:p>
        </w:tc>
        <w:tc>
          <w:tcPr>
            <w:tcW w:w="2880" w:type="dxa"/>
            <w:shd w:val="clear" w:color="auto" w:fill="auto"/>
          </w:tcPr>
          <w:p w:rsidR="002B1F13" w:rsidRPr="002B1F13" w:rsidP="002B1F13" w14:paraId="2BCFCA5B" w14:textId="77777777">
            <w:pPr>
              <w:widowControl w:val="0"/>
              <w:contextualSpacing/>
              <w:rPr>
                <w:snapToGrid w:val="0"/>
                <w:color w:val="000000"/>
                <w:sz w:val="24"/>
                <w:szCs w:val="24"/>
                <w:lang w:eastAsia="en-US"/>
              </w:rPr>
            </w:pPr>
            <w:r w:rsidRPr="002B1F13">
              <w:rPr>
                <w:snapToGrid w:val="0"/>
                <w:color w:val="000000"/>
                <w:sz w:val="24"/>
                <w:szCs w:val="24"/>
                <w:lang w:eastAsia="en-US"/>
              </w:rPr>
              <w:t>Distribution + Shipping + Material Cost</w:t>
            </w:r>
          </w:p>
        </w:tc>
        <w:tc>
          <w:tcPr>
            <w:tcW w:w="1885" w:type="dxa"/>
            <w:shd w:val="clear" w:color="auto" w:fill="auto"/>
          </w:tcPr>
          <w:p w:rsidR="002B1F13" w:rsidRPr="002B1F13" w:rsidP="00D7410B" w14:paraId="5D92C7AB" w14:textId="07D2E68D">
            <w:pPr>
              <w:widowControl w:val="0"/>
              <w:contextualSpacing/>
              <w:jc w:val="right"/>
              <w:rPr>
                <w:snapToGrid w:val="0"/>
                <w:color w:val="000000"/>
                <w:sz w:val="24"/>
                <w:szCs w:val="24"/>
                <w:lang w:eastAsia="en-US"/>
              </w:rPr>
            </w:pPr>
            <w:r>
              <w:rPr>
                <w:snapToGrid w:val="0"/>
                <w:color w:val="000000"/>
                <w:sz w:val="24"/>
                <w:szCs w:val="24"/>
                <w:lang w:eastAsia="en-US"/>
              </w:rPr>
              <w:t>0</w:t>
            </w:r>
            <w:r w:rsidR="0026721D">
              <w:rPr>
                <w:snapToGrid w:val="0"/>
                <w:color w:val="000000"/>
                <w:sz w:val="24"/>
                <w:szCs w:val="24"/>
                <w:lang w:eastAsia="en-US"/>
              </w:rPr>
              <w:t>*</w:t>
            </w:r>
          </w:p>
        </w:tc>
      </w:tr>
      <w:tr w14:paraId="1489F2AF" w14:textId="77777777" w:rsidTr="002B1F13">
        <w:tblPrEx>
          <w:tblW w:w="0" w:type="auto"/>
          <w:tblInd w:w="1435" w:type="dxa"/>
          <w:tblLook w:val="04A0"/>
        </w:tblPrEx>
        <w:tc>
          <w:tcPr>
            <w:tcW w:w="3150" w:type="dxa"/>
            <w:shd w:val="clear" w:color="auto" w:fill="auto"/>
          </w:tcPr>
          <w:p w:rsidR="002B1F13" w:rsidRPr="002B1F13" w:rsidP="002B1F13" w14:paraId="7F0B235A" w14:textId="77777777">
            <w:pPr>
              <w:widowControl w:val="0"/>
              <w:contextualSpacing/>
              <w:rPr>
                <w:snapToGrid w:val="0"/>
                <w:color w:val="000000"/>
                <w:sz w:val="24"/>
                <w:szCs w:val="24"/>
                <w:lang w:eastAsia="en-US"/>
              </w:rPr>
            </w:pPr>
            <w:r w:rsidRPr="002B1F13">
              <w:rPr>
                <w:snapToGrid w:val="0"/>
                <w:color w:val="000000"/>
                <w:sz w:val="24"/>
                <w:szCs w:val="24"/>
                <w:lang w:eastAsia="en-US"/>
              </w:rPr>
              <w:t>SSA Employee (e.g., field office, 800 number, DDS staff) Information Collection and Process</w:t>
            </w:r>
            <w:r w:rsidRPr="002B1F13">
              <w:rPr>
                <w:snapToGrid w:val="0"/>
                <w:color w:val="000000"/>
                <w:sz w:val="24"/>
                <w:szCs w:val="24"/>
                <w:lang w:eastAsia="en-US"/>
              </w:rPr>
              <w:t>ing Time</w:t>
            </w:r>
          </w:p>
        </w:tc>
        <w:tc>
          <w:tcPr>
            <w:tcW w:w="2880" w:type="dxa"/>
            <w:shd w:val="clear" w:color="auto" w:fill="auto"/>
          </w:tcPr>
          <w:p w:rsidR="002B1F13" w:rsidRPr="002B1F13" w:rsidP="002B1F13" w14:paraId="6958273C" w14:textId="77777777">
            <w:pPr>
              <w:widowControl w:val="0"/>
              <w:contextualSpacing/>
              <w:rPr>
                <w:snapToGrid w:val="0"/>
                <w:color w:val="000000"/>
                <w:sz w:val="24"/>
                <w:szCs w:val="24"/>
                <w:lang w:eastAsia="en-US"/>
              </w:rPr>
            </w:pPr>
            <w:r w:rsidRPr="002B1F13">
              <w:rPr>
                <w:snapToGrid w:val="0"/>
                <w:color w:val="000000"/>
                <w:sz w:val="24"/>
                <w:szCs w:val="24"/>
                <w:lang w:eastAsia="en-US"/>
              </w:rPr>
              <w:t>GS-9 employee x # of responses x processing time</w:t>
            </w:r>
          </w:p>
        </w:tc>
        <w:tc>
          <w:tcPr>
            <w:tcW w:w="1885" w:type="dxa"/>
            <w:shd w:val="clear" w:color="auto" w:fill="auto"/>
          </w:tcPr>
          <w:p w:rsidR="002B1F13" w:rsidRPr="002B1F13" w:rsidP="00D7410B" w14:paraId="75E6063B" w14:textId="7FA5C501">
            <w:pPr>
              <w:widowControl w:val="0"/>
              <w:contextualSpacing/>
              <w:jc w:val="right"/>
              <w:rPr>
                <w:snapToGrid w:val="0"/>
                <w:color w:val="000000"/>
                <w:sz w:val="24"/>
                <w:szCs w:val="24"/>
                <w:lang w:eastAsia="en-US"/>
              </w:rPr>
            </w:pPr>
            <w:r w:rsidRPr="002B1F13">
              <w:rPr>
                <w:color w:val="000000"/>
                <w:sz w:val="24"/>
                <w:szCs w:val="24"/>
              </w:rPr>
              <w:t>$</w:t>
            </w:r>
            <w:r>
              <w:rPr>
                <w:color w:val="000000"/>
                <w:sz w:val="24"/>
                <w:szCs w:val="24"/>
              </w:rPr>
              <w:t>89.189</w:t>
            </w:r>
          </w:p>
        </w:tc>
      </w:tr>
      <w:tr w14:paraId="34CB45D3" w14:textId="77777777" w:rsidTr="002B1F13">
        <w:tblPrEx>
          <w:tblW w:w="0" w:type="auto"/>
          <w:tblInd w:w="1435" w:type="dxa"/>
          <w:tblLook w:val="04A0"/>
        </w:tblPrEx>
        <w:tc>
          <w:tcPr>
            <w:tcW w:w="3150" w:type="dxa"/>
            <w:shd w:val="clear" w:color="auto" w:fill="auto"/>
          </w:tcPr>
          <w:p w:rsidR="002B1F13" w:rsidRPr="002B1F13" w:rsidP="002B1F13" w14:paraId="0B2FD0C2" w14:textId="77777777">
            <w:pPr>
              <w:widowControl w:val="0"/>
              <w:contextualSpacing/>
              <w:rPr>
                <w:snapToGrid w:val="0"/>
                <w:color w:val="000000"/>
                <w:sz w:val="24"/>
                <w:szCs w:val="24"/>
                <w:lang w:eastAsia="en-US"/>
              </w:rPr>
            </w:pPr>
            <w:r w:rsidRPr="002B1F13">
              <w:rPr>
                <w:snapToGrid w:val="0"/>
                <w:color w:val="000000"/>
                <w:sz w:val="24"/>
                <w:szCs w:val="24"/>
                <w:lang w:eastAsia="en-US"/>
              </w:rPr>
              <w:t>Full-Time Equivalent Costs</w:t>
            </w:r>
          </w:p>
        </w:tc>
        <w:tc>
          <w:tcPr>
            <w:tcW w:w="2880" w:type="dxa"/>
            <w:shd w:val="clear" w:color="auto" w:fill="auto"/>
          </w:tcPr>
          <w:p w:rsidR="002B1F13" w:rsidRPr="002B1F13" w:rsidP="002B1F13" w14:paraId="44686A42" w14:textId="77777777">
            <w:pPr>
              <w:widowControl w:val="0"/>
              <w:contextualSpacing/>
              <w:rPr>
                <w:snapToGrid w:val="0"/>
                <w:color w:val="000000"/>
                <w:sz w:val="24"/>
                <w:szCs w:val="24"/>
                <w:lang w:eastAsia="en-US"/>
              </w:rPr>
            </w:pPr>
            <w:r w:rsidRPr="002B1F13">
              <w:rPr>
                <w:snapToGrid w:val="0"/>
                <w:color w:val="000000"/>
                <w:sz w:val="24"/>
                <w:szCs w:val="24"/>
                <w:lang w:eastAsia="en-US"/>
              </w:rPr>
              <w:t>Out of pocket costs + Other expenses for providing this service</w:t>
            </w:r>
          </w:p>
        </w:tc>
        <w:tc>
          <w:tcPr>
            <w:tcW w:w="1885" w:type="dxa"/>
            <w:shd w:val="clear" w:color="auto" w:fill="auto"/>
          </w:tcPr>
          <w:p w:rsidR="002B1F13" w:rsidRPr="002B1F13" w:rsidP="00D7410B" w14:paraId="74C14043" w14:textId="29EC4AEE">
            <w:pPr>
              <w:widowControl w:val="0"/>
              <w:contextualSpacing/>
              <w:jc w:val="right"/>
              <w:rPr>
                <w:snapToGrid w:val="0"/>
                <w:color w:val="000000"/>
                <w:sz w:val="24"/>
                <w:szCs w:val="24"/>
                <w:lang w:eastAsia="en-US"/>
              </w:rPr>
            </w:pPr>
            <w:r w:rsidRPr="002B1F13">
              <w:rPr>
                <w:snapToGrid w:val="0"/>
                <w:color w:val="000000"/>
                <w:sz w:val="24"/>
                <w:szCs w:val="24"/>
                <w:lang w:eastAsia="en-US"/>
              </w:rPr>
              <w:t>$0</w:t>
            </w:r>
            <w:r w:rsidR="0026721D">
              <w:rPr>
                <w:snapToGrid w:val="0"/>
                <w:color w:val="000000"/>
                <w:sz w:val="24"/>
                <w:szCs w:val="24"/>
                <w:lang w:eastAsia="en-US"/>
              </w:rPr>
              <w:t>*</w:t>
            </w:r>
          </w:p>
        </w:tc>
      </w:tr>
      <w:tr w14:paraId="029AD6AD" w14:textId="77777777" w:rsidTr="002B1F13">
        <w:tblPrEx>
          <w:tblW w:w="0" w:type="auto"/>
          <w:tblInd w:w="1435" w:type="dxa"/>
          <w:tblLook w:val="04A0"/>
        </w:tblPrEx>
        <w:tc>
          <w:tcPr>
            <w:tcW w:w="3150" w:type="dxa"/>
            <w:shd w:val="clear" w:color="auto" w:fill="auto"/>
          </w:tcPr>
          <w:p w:rsidR="002B1F13" w:rsidRPr="002B1F13" w:rsidP="002B1F13" w14:paraId="75427050" w14:textId="77777777">
            <w:pPr>
              <w:widowControl w:val="0"/>
              <w:contextualSpacing/>
              <w:rPr>
                <w:snapToGrid w:val="0"/>
                <w:color w:val="000000"/>
                <w:sz w:val="24"/>
                <w:szCs w:val="24"/>
                <w:lang w:eastAsia="en-US"/>
              </w:rPr>
            </w:pPr>
            <w:r w:rsidRPr="002B1F13">
              <w:rPr>
                <w:snapToGrid w:val="0"/>
                <w:color w:val="000000"/>
                <w:sz w:val="24"/>
                <w:szCs w:val="24"/>
                <w:lang w:eastAsia="en-US"/>
              </w:rPr>
              <w:t>Systems Development, Updating, and Maintenance</w:t>
            </w:r>
          </w:p>
        </w:tc>
        <w:tc>
          <w:tcPr>
            <w:tcW w:w="2880" w:type="dxa"/>
            <w:shd w:val="clear" w:color="auto" w:fill="auto"/>
          </w:tcPr>
          <w:p w:rsidR="002B1F13" w:rsidRPr="002B1F13" w:rsidP="002B1F13" w14:paraId="10DBA3E7" w14:textId="77777777">
            <w:pPr>
              <w:widowControl w:val="0"/>
              <w:contextualSpacing/>
              <w:rPr>
                <w:snapToGrid w:val="0"/>
                <w:color w:val="000000"/>
                <w:sz w:val="24"/>
                <w:szCs w:val="24"/>
                <w:lang w:eastAsia="en-US"/>
              </w:rPr>
            </w:pPr>
            <w:r w:rsidRPr="002B1F13">
              <w:rPr>
                <w:snapToGrid w:val="0"/>
                <w:color w:val="000000"/>
                <w:sz w:val="24"/>
                <w:szCs w:val="24"/>
                <w:lang w:eastAsia="en-US"/>
              </w:rPr>
              <w:t xml:space="preserve">GS-9 employee x man hours for </w:t>
            </w:r>
            <w:r w:rsidRPr="002B1F13">
              <w:rPr>
                <w:snapToGrid w:val="0"/>
                <w:color w:val="000000"/>
                <w:sz w:val="24"/>
                <w:szCs w:val="24"/>
                <w:lang w:eastAsia="en-US"/>
              </w:rPr>
              <w:t>development, updating, maintenance</w:t>
            </w:r>
          </w:p>
        </w:tc>
        <w:tc>
          <w:tcPr>
            <w:tcW w:w="1885" w:type="dxa"/>
            <w:shd w:val="clear" w:color="auto" w:fill="auto"/>
          </w:tcPr>
          <w:p w:rsidR="002B1F13" w:rsidRPr="002B1F13" w:rsidP="00D7410B" w14:paraId="552B8BB1" w14:textId="3598452A">
            <w:pPr>
              <w:widowControl w:val="0"/>
              <w:contextualSpacing/>
              <w:jc w:val="right"/>
              <w:rPr>
                <w:snapToGrid w:val="0"/>
                <w:color w:val="000000"/>
                <w:sz w:val="24"/>
                <w:szCs w:val="24"/>
                <w:lang w:eastAsia="en-US"/>
              </w:rPr>
            </w:pPr>
            <w:r w:rsidRPr="002B1F13">
              <w:rPr>
                <w:color w:val="000000"/>
                <w:sz w:val="24"/>
                <w:szCs w:val="24"/>
              </w:rPr>
              <w:t>$</w:t>
            </w:r>
            <w:r w:rsidR="00D7410B">
              <w:rPr>
                <w:color w:val="000000"/>
                <w:sz w:val="24"/>
                <w:szCs w:val="24"/>
              </w:rPr>
              <w:t>3,420</w:t>
            </w:r>
          </w:p>
        </w:tc>
      </w:tr>
      <w:tr w14:paraId="7D7F02AC" w14:textId="77777777" w:rsidTr="002B1F13">
        <w:tblPrEx>
          <w:tblW w:w="0" w:type="auto"/>
          <w:tblInd w:w="1435" w:type="dxa"/>
          <w:tblLook w:val="04A0"/>
        </w:tblPrEx>
        <w:tc>
          <w:tcPr>
            <w:tcW w:w="3150" w:type="dxa"/>
            <w:shd w:val="clear" w:color="auto" w:fill="auto"/>
          </w:tcPr>
          <w:p w:rsidR="002B1F13" w:rsidRPr="002B1F13" w:rsidP="002B1F13" w14:paraId="092A685E" w14:textId="77777777">
            <w:pPr>
              <w:widowControl w:val="0"/>
              <w:contextualSpacing/>
              <w:rPr>
                <w:snapToGrid w:val="0"/>
                <w:color w:val="000000"/>
                <w:sz w:val="24"/>
                <w:szCs w:val="24"/>
                <w:lang w:eastAsia="en-US"/>
              </w:rPr>
            </w:pPr>
            <w:r w:rsidRPr="002B1F13">
              <w:rPr>
                <w:snapToGrid w:val="0"/>
                <w:color w:val="000000"/>
                <w:sz w:val="24"/>
                <w:szCs w:val="24"/>
                <w:lang w:eastAsia="en-US"/>
              </w:rPr>
              <w:t>Quantifiable IT Costs</w:t>
            </w:r>
          </w:p>
        </w:tc>
        <w:tc>
          <w:tcPr>
            <w:tcW w:w="2880" w:type="dxa"/>
            <w:shd w:val="clear" w:color="auto" w:fill="auto"/>
          </w:tcPr>
          <w:p w:rsidR="002B1F13" w:rsidRPr="002B1F13" w:rsidP="002B1F13" w14:paraId="3AF2967F" w14:textId="77777777">
            <w:pPr>
              <w:widowControl w:val="0"/>
              <w:contextualSpacing/>
              <w:rPr>
                <w:snapToGrid w:val="0"/>
                <w:color w:val="000000"/>
                <w:sz w:val="24"/>
                <w:szCs w:val="24"/>
                <w:lang w:eastAsia="en-US"/>
              </w:rPr>
            </w:pPr>
            <w:r w:rsidRPr="002B1F13">
              <w:rPr>
                <w:snapToGrid w:val="0"/>
                <w:color w:val="000000"/>
                <w:sz w:val="24"/>
                <w:szCs w:val="24"/>
                <w:lang w:eastAsia="en-US"/>
              </w:rPr>
              <w:t>Any additional IT costs</w:t>
            </w:r>
          </w:p>
        </w:tc>
        <w:tc>
          <w:tcPr>
            <w:tcW w:w="1885" w:type="dxa"/>
            <w:shd w:val="clear" w:color="auto" w:fill="auto"/>
          </w:tcPr>
          <w:p w:rsidR="002B1F13" w:rsidRPr="002B1F13" w:rsidP="00D7410B" w14:paraId="07846763" w14:textId="424A6BB7">
            <w:pPr>
              <w:widowControl w:val="0"/>
              <w:contextualSpacing/>
              <w:jc w:val="right"/>
              <w:rPr>
                <w:snapToGrid w:val="0"/>
                <w:color w:val="000000"/>
                <w:sz w:val="24"/>
                <w:szCs w:val="24"/>
                <w:lang w:eastAsia="en-US"/>
              </w:rPr>
            </w:pPr>
            <w:r>
              <w:rPr>
                <w:snapToGrid w:val="0"/>
                <w:color w:val="000000"/>
                <w:sz w:val="24"/>
                <w:szCs w:val="24"/>
                <w:lang w:eastAsia="en-US"/>
              </w:rPr>
              <w:t>$0</w:t>
            </w:r>
            <w:r w:rsidR="0026721D">
              <w:rPr>
                <w:snapToGrid w:val="0"/>
                <w:color w:val="000000"/>
                <w:sz w:val="24"/>
                <w:szCs w:val="24"/>
                <w:lang w:eastAsia="en-US"/>
              </w:rPr>
              <w:t>*</w:t>
            </w:r>
          </w:p>
        </w:tc>
      </w:tr>
      <w:tr w14:paraId="385D653B" w14:textId="77777777" w:rsidTr="002B1F13">
        <w:tblPrEx>
          <w:tblW w:w="0" w:type="auto"/>
          <w:tblInd w:w="1435" w:type="dxa"/>
          <w:tblLook w:val="04A0"/>
        </w:tblPrEx>
        <w:tc>
          <w:tcPr>
            <w:tcW w:w="3150" w:type="dxa"/>
            <w:shd w:val="clear" w:color="auto" w:fill="auto"/>
          </w:tcPr>
          <w:p w:rsidR="002B1F13" w:rsidRPr="002B1F13" w:rsidP="002B1F13" w14:paraId="591AE5D7" w14:textId="77777777">
            <w:pPr>
              <w:widowControl w:val="0"/>
              <w:contextualSpacing/>
              <w:rPr>
                <w:b/>
                <w:bCs/>
                <w:snapToGrid w:val="0"/>
                <w:color w:val="000000"/>
                <w:sz w:val="24"/>
                <w:szCs w:val="24"/>
                <w:lang w:eastAsia="en-US"/>
              </w:rPr>
            </w:pPr>
            <w:r w:rsidRPr="002B1F13">
              <w:rPr>
                <w:b/>
                <w:bCs/>
                <w:snapToGrid w:val="0"/>
                <w:color w:val="000000"/>
                <w:sz w:val="24"/>
                <w:szCs w:val="24"/>
                <w:lang w:eastAsia="en-US"/>
              </w:rPr>
              <w:t>Total</w:t>
            </w:r>
          </w:p>
        </w:tc>
        <w:tc>
          <w:tcPr>
            <w:tcW w:w="2880" w:type="dxa"/>
            <w:shd w:val="clear" w:color="auto" w:fill="auto"/>
          </w:tcPr>
          <w:p w:rsidR="002B1F13" w:rsidRPr="002B1F13" w:rsidP="002B1F13" w14:paraId="77F054A0" w14:textId="77777777">
            <w:pPr>
              <w:widowControl w:val="0"/>
              <w:contextualSpacing/>
              <w:rPr>
                <w:b/>
                <w:bCs/>
                <w:snapToGrid w:val="0"/>
                <w:color w:val="000000"/>
                <w:sz w:val="24"/>
                <w:szCs w:val="24"/>
                <w:lang w:eastAsia="en-US"/>
              </w:rPr>
            </w:pPr>
          </w:p>
        </w:tc>
        <w:tc>
          <w:tcPr>
            <w:tcW w:w="1885" w:type="dxa"/>
            <w:shd w:val="clear" w:color="auto" w:fill="auto"/>
          </w:tcPr>
          <w:p w:rsidR="002B1F13" w:rsidRPr="002B1F13" w:rsidP="00D7410B" w14:paraId="59EB7110" w14:textId="113915FA">
            <w:pPr>
              <w:widowControl w:val="0"/>
              <w:contextualSpacing/>
              <w:jc w:val="right"/>
              <w:rPr>
                <w:b/>
                <w:bCs/>
                <w:snapToGrid w:val="0"/>
                <w:color w:val="000000"/>
                <w:sz w:val="24"/>
                <w:szCs w:val="24"/>
                <w:lang w:eastAsia="en-US"/>
              </w:rPr>
            </w:pPr>
            <w:r>
              <w:rPr>
                <w:b/>
                <w:bCs/>
                <w:snapToGrid w:val="0"/>
                <w:color w:val="000000"/>
                <w:sz w:val="24"/>
                <w:szCs w:val="24"/>
                <w:lang w:eastAsia="en-US"/>
              </w:rPr>
              <w:t>$92,659</w:t>
            </w:r>
          </w:p>
        </w:tc>
      </w:tr>
    </w:tbl>
    <w:p w:rsidR="00D7410B" w:rsidRPr="00D7410B" w:rsidP="00D7410B" w14:paraId="7AAD67D5" w14:textId="7A3D4141">
      <w:pPr>
        <w:ind w:left="1440"/>
        <w:rPr>
          <w:color w:val="000000"/>
          <w:sz w:val="24"/>
          <w:szCs w:val="24"/>
        </w:rPr>
      </w:pPr>
      <w:r>
        <w:rPr>
          <w:color w:val="000000"/>
          <w:sz w:val="24"/>
          <w:szCs w:val="24"/>
        </w:rPr>
        <w:t>*</w:t>
      </w:r>
      <w:r w:rsidRPr="00D7410B">
        <w:rPr>
          <w:color w:val="000000"/>
          <w:sz w:val="24"/>
          <w:szCs w:val="24"/>
        </w:rPr>
        <w:t>We have inserted a $0 amount for cost factors that do not apply to this collection.</w:t>
      </w:r>
    </w:p>
    <w:p w:rsidR="00D7410B" w:rsidRPr="00D7410B" w:rsidP="00D7410B" w14:paraId="6975595A" w14:textId="77777777">
      <w:pPr>
        <w:rPr>
          <w:color w:val="000000"/>
          <w:sz w:val="24"/>
          <w:szCs w:val="24"/>
        </w:rPr>
      </w:pPr>
    </w:p>
    <w:p w:rsidR="00D7410B" w:rsidRPr="00F6698B" w:rsidP="00D7410B" w14:paraId="127F46E3" w14:textId="6D24F932">
      <w:pPr>
        <w:ind w:left="1440"/>
        <w:rPr>
          <w:color w:val="000000"/>
          <w:sz w:val="24"/>
          <w:szCs w:val="24"/>
        </w:rPr>
      </w:pPr>
      <w:r w:rsidRPr="00F6698B">
        <w:rPr>
          <w:color w:val="000000"/>
          <w:sz w:val="24"/>
          <w:szCs w:val="24"/>
        </w:rPr>
        <w:t xml:space="preserve">SSA is unable to break down the costs to the Federal </w:t>
      </w:r>
      <w:r w:rsidRPr="00F6698B">
        <w:rPr>
          <w:color w:val="000000"/>
          <w:sz w:val="24"/>
          <w:szCs w:val="24"/>
        </w:rPr>
        <w:t>government further than we already have.  However, we have calculated these costs as accurately as possible based on the information we collect for creating, updating, and maintaining these information collections.</w:t>
      </w:r>
    </w:p>
    <w:p w:rsidR="002B1F13" w:rsidRPr="00D7410B" w:rsidP="000245DB" w14:paraId="143123C1" w14:textId="37CF30E2">
      <w:pPr>
        <w:ind w:left="1440"/>
        <w:rPr>
          <w:color w:val="000000"/>
          <w:sz w:val="24"/>
          <w:szCs w:val="24"/>
        </w:rPr>
      </w:pPr>
    </w:p>
    <w:p w:rsidR="00433CDC" w:rsidRPr="00162D6F" w:rsidP="003A015D" w14:paraId="1326DE2B" w14:textId="77777777">
      <w:pPr>
        <w:widowControl w:val="0"/>
        <w:numPr>
          <w:ilvl w:val="0"/>
          <w:numId w:val="14"/>
        </w:numPr>
        <w:tabs>
          <w:tab w:val="clear" w:pos="360"/>
          <w:tab w:val="num" w:pos="1440"/>
        </w:tabs>
        <w:suppressAutoHyphens/>
        <w:ind w:left="1440" w:hanging="720"/>
        <w:rPr>
          <w:sz w:val="24"/>
        </w:rPr>
      </w:pPr>
      <w:r w:rsidRPr="00370242">
        <w:rPr>
          <w:b/>
          <w:sz w:val="24"/>
          <w:szCs w:val="24"/>
        </w:rPr>
        <w:t>Program Changes or Adjustments to the In</w:t>
      </w:r>
      <w:r w:rsidRPr="00370242">
        <w:rPr>
          <w:b/>
          <w:sz w:val="24"/>
          <w:szCs w:val="24"/>
        </w:rPr>
        <w:t>formation Collection Request</w:t>
      </w:r>
    </w:p>
    <w:p w:rsidR="00162D6F" w:rsidP="003A015D" w14:paraId="5525D24A" w14:textId="4934C4B3">
      <w:pPr>
        <w:widowControl w:val="0"/>
        <w:suppressAutoHyphens/>
        <w:ind w:left="1440"/>
        <w:rPr>
          <w:sz w:val="24"/>
        </w:rPr>
      </w:pPr>
      <w:r w:rsidRPr="00D85CF0">
        <w:rPr>
          <w:sz w:val="24"/>
        </w:rPr>
        <w:t>When we last cleared this IC in 201</w:t>
      </w:r>
      <w:r w:rsidRPr="00D85CF0" w:rsidR="00D85CF0">
        <w:rPr>
          <w:sz w:val="24"/>
        </w:rPr>
        <w:t>9</w:t>
      </w:r>
      <w:r w:rsidRPr="00D85CF0">
        <w:rPr>
          <w:sz w:val="24"/>
        </w:rPr>
        <w:t xml:space="preserve">, the burden was </w:t>
      </w:r>
      <w:r w:rsidRPr="00D85CF0" w:rsidR="00D85CF0">
        <w:rPr>
          <w:sz w:val="24"/>
        </w:rPr>
        <w:t>268</w:t>
      </w:r>
      <w:r w:rsidRPr="00D85CF0">
        <w:rPr>
          <w:sz w:val="24"/>
        </w:rPr>
        <w:t xml:space="preserve"> hours. </w:t>
      </w:r>
      <w:r w:rsidRPr="00D85CF0" w:rsidR="00B64A58">
        <w:rPr>
          <w:sz w:val="24"/>
        </w:rPr>
        <w:t xml:space="preserve"> </w:t>
      </w:r>
      <w:r w:rsidRPr="00B0118D">
        <w:rPr>
          <w:sz w:val="24"/>
        </w:rPr>
        <w:t xml:space="preserve">However, we </w:t>
      </w:r>
      <w:r w:rsidRPr="00B0118D">
        <w:rPr>
          <w:sz w:val="24"/>
        </w:rPr>
        <w:t xml:space="preserve">are currently reporting a burden of </w:t>
      </w:r>
      <w:r w:rsidR="00EE0117">
        <w:rPr>
          <w:sz w:val="24"/>
        </w:rPr>
        <w:t>68</w:t>
      </w:r>
      <w:r w:rsidRPr="00B0118D" w:rsidR="00EC6029">
        <w:rPr>
          <w:sz w:val="24"/>
        </w:rPr>
        <w:t xml:space="preserve"> </w:t>
      </w:r>
      <w:r w:rsidRPr="00B0118D">
        <w:rPr>
          <w:sz w:val="24"/>
        </w:rPr>
        <w:t xml:space="preserve">hours.  This change stems </w:t>
      </w:r>
      <w:r w:rsidRPr="00B0118D" w:rsidR="008B18E0">
        <w:rPr>
          <w:sz w:val="24"/>
        </w:rPr>
        <w:t xml:space="preserve">from </w:t>
      </w:r>
      <w:r w:rsidRPr="00B0118D">
        <w:rPr>
          <w:sz w:val="24"/>
        </w:rPr>
        <w:t xml:space="preserve">a decrease in the number of responses from </w:t>
      </w:r>
      <w:r w:rsidRPr="00B0118D" w:rsidR="00B0118D">
        <w:rPr>
          <w:sz w:val="24"/>
        </w:rPr>
        <w:t>134</w:t>
      </w:r>
      <w:r w:rsidRPr="00B0118D">
        <w:rPr>
          <w:sz w:val="24"/>
        </w:rPr>
        <w:t xml:space="preserve"> to </w:t>
      </w:r>
      <w:r w:rsidR="00EE0117">
        <w:rPr>
          <w:sz w:val="24"/>
        </w:rPr>
        <w:t>34</w:t>
      </w:r>
      <w:r w:rsidRPr="00B0118D">
        <w:rPr>
          <w:sz w:val="24"/>
        </w:rPr>
        <w:t xml:space="preserve">.  </w:t>
      </w:r>
      <w:r w:rsidR="00BA2860">
        <w:rPr>
          <w:sz w:val="24"/>
        </w:rPr>
        <w:t>As mentioned above, we</w:t>
      </w:r>
      <w:r w:rsidRPr="00B0118D" w:rsidR="00BA2860">
        <w:rPr>
          <w:sz w:val="24"/>
        </w:rPr>
        <w:t xml:space="preserve"> </w:t>
      </w:r>
      <w:r w:rsidR="001A0456">
        <w:rPr>
          <w:sz w:val="24"/>
        </w:rPr>
        <w:t>expect to</w:t>
      </w:r>
      <w:r w:rsidRPr="00B0118D" w:rsidR="001A0456">
        <w:rPr>
          <w:sz w:val="24"/>
        </w:rPr>
        <w:t xml:space="preserve"> </w:t>
      </w:r>
      <w:r w:rsidRPr="00B0118D" w:rsidR="00D06A65">
        <w:rPr>
          <w:sz w:val="24"/>
        </w:rPr>
        <w:t xml:space="preserve">continue to see a decrease in the number of responses, due to the decrease in </w:t>
      </w:r>
      <w:r w:rsidRPr="00B0118D" w:rsidR="00263715">
        <w:rPr>
          <w:sz w:val="24"/>
        </w:rPr>
        <w:t>the SVB eligible p</w:t>
      </w:r>
      <w:r w:rsidRPr="00D85CF0" w:rsidR="00263715">
        <w:rPr>
          <w:sz w:val="24"/>
        </w:rPr>
        <w:t xml:space="preserve">opulation.  </w:t>
      </w:r>
      <w:r w:rsidRPr="00D85CF0">
        <w:rPr>
          <w:sz w:val="24"/>
        </w:rPr>
        <w:t>There is no change to the burden time per response.  Althoug</w:t>
      </w:r>
      <w:r w:rsidRPr="00D85CF0">
        <w:rPr>
          <w:sz w:val="24"/>
        </w:rPr>
        <w:t>h the number of responses changed, SSA did not take any actions to cause this change.</w:t>
      </w:r>
      <w:r>
        <w:rPr>
          <w:sz w:val="24"/>
        </w:rPr>
        <w:t xml:space="preserve">  </w:t>
      </w:r>
    </w:p>
    <w:p w:rsidR="00516E34" w:rsidP="00516E34" w14:paraId="0FEF5A74" w14:textId="77777777">
      <w:pPr>
        <w:pStyle w:val="NoSpacing"/>
        <w:ind w:left="1440"/>
        <w:rPr>
          <w:b/>
          <w:bCs/>
          <w:color w:val="000000"/>
        </w:rPr>
      </w:pPr>
    </w:p>
    <w:p w:rsidR="00516E34" w:rsidRPr="00495B43" w:rsidP="00516E34" w14:paraId="60BDE48E" w14:textId="2299E65A">
      <w:pPr>
        <w:pStyle w:val="NoSpacing"/>
        <w:ind w:left="1440"/>
        <w:rPr>
          <w:b/>
          <w:bCs/>
          <w:iCs/>
        </w:rPr>
      </w:pPr>
      <w:r w:rsidRPr="004007E5">
        <w:rPr>
          <w:b/>
          <w:bCs/>
          <w:color w:val="000000"/>
        </w:rPr>
        <w:t>Note</w:t>
      </w:r>
      <w:r>
        <w:rPr>
          <w:color w:val="000000"/>
        </w:rPr>
        <w:t xml:space="preserve">: The total burden reflected in ROCIS is </w:t>
      </w:r>
      <w:r>
        <w:rPr>
          <w:b/>
          <w:bCs/>
          <w:color w:val="000000"/>
        </w:rPr>
        <w:t>833</w:t>
      </w:r>
      <w:r>
        <w:rPr>
          <w:color w:val="000000"/>
        </w:rPr>
        <w:t xml:space="preserve">, while the burden cited in #12 of the Supporting Statement is </w:t>
      </w:r>
      <w:r>
        <w:rPr>
          <w:b/>
          <w:bCs/>
          <w:color w:val="000000"/>
        </w:rPr>
        <w:t>85</w:t>
      </w:r>
      <w:r>
        <w:rPr>
          <w:color w:val="000000"/>
        </w:rPr>
        <w:t>.  This discrepancy is because the ROCIS burden reflec</w:t>
      </w:r>
      <w:r>
        <w:rPr>
          <w:color w:val="000000"/>
        </w:rPr>
        <w:t>ts the learning costs.  In contrast, the chart in #12 of the Supporting Statement reflects actual burden.</w:t>
      </w:r>
    </w:p>
    <w:p w:rsidR="00D7410B" w:rsidRPr="00433CDC" w:rsidP="003A015D" w14:paraId="37FB8629" w14:textId="77777777">
      <w:pPr>
        <w:widowControl w:val="0"/>
        <w:suppressAutoHyphens/>
        <w:ind w:left="1440"/>
        <w:rPr>
          <w:sz w:val="24"/>
        </w:rPr>
      </w:pPr>
    </w:p>
    <w:p w:rsidR="00433CDC" w:rsidRPr="00162D6F" w:rsidP="003A015D" w14:paraId="76812E01" w14:textId="77777777">
      <w:pPr>
        <w:widowControl w:val="0"/>
        <w:numPr>
          <w:ilvl w:val="0"/>
          <w:numId w:val="14"/>
        </w:numPr>
        <w:tabs>
          <w:tab w:val="clear" w:pos="360"/>
          <w:tab w:val="num" w:pos="1440"/>
        </w:tabs>
        <w:suppressAutoHyphens/>
        <w:ind w:left="1440" w:hanging="720"/>
        <w:rPr>
          <w:sz w:val="24"/>
        </w:rPr>
      </w:pPr>
      <w:r w:rsidRPr="00370242">
        <w:rPr>
          <w:b/>
          <w:sz w:val="24"/>
          <w:szCs w:val="24"/>
        </w:rPr>
        <w:t>Plans for Publication Information Collection Results</w:t>
      </w:r>
    </w:p>
    <w:p w:rsidR="00162D6F" w:rsidRPr="00162D6F" w:rsidP="003A015D" w14:paraId="54CECE8E" w14:textId="77777777">
      <w:pPr>
        <w:widowControl w:val="0"/>
        <w:suppressAutoHyphens/>
        <w:ind w:left="1440"/>
        <w:rPr>
          <w:bCs/>
          <w:iCs/>
          <w:sz w:val="24"/>
          <w:szCs w:val="24"/>
        </w:rPr>
      </w:pPr>
      <w:r w:rsidRPr="00162D6F">
        <w:rPr>
          <w:bCs/>
          <w:iCs/>
          <w:sz w:val="24"/>
          <w:szCs w:val="24"/>
        </w:rPr>
        <w:t>SSA will not publish the results of the information collection.</w:t>
      </w:r>
    </w:p>
    <w:p w:rsidR="00162D6F" w:rsidRPr="00162D6F" w:rsidP="003A015D" w14:paraId="1CD6F089" w14:textId="77777777">
      <w:pPr>
        <w:widowControl w:val="0"/>
        <w:suppressAutoHyphens/>
        <w:ind w:left="1440"/>
        <w:rPr>
          <w:sz w:val="24"/>
          <w:szCs w:val="24"/>
        </w:rPr>
      </w:pPr>
    </w:p>
    <w:p w:rsidR="00433CDC" w:rsidRPr="00162D6F" w:rsidP="003A015D" w14:paraId="7CD66E2A" w14:textId="77777777">
      <w:pPr>
        <w:widowControl w:val="0"/>
        <w:numPr>
          <w:ilvl w:val="0"/>
          <w:numId w:val="14"/>
        </w:numPr>
        <w:tabs>
          <w:tab w:val="clear" w:pos="360"/>
          <w:tab w:val="num" w:pos="1440"/>
        </w:tabs>
        <w:suppressAutoHyphens/>
        <w:ind w:left="1440" w:hanging="720"/>
        <w:rPr>
          <w:sz w:val="24"/>
        </w:rPr>
      </w:pPr>
      <w:r w:rsidRPr="003F661E">
        <w:rPr>
          <w:b/>
          <w:sz w:val="24"/>
          <w:szCs w:val="24"/>
        </w:rPr>
        <w:t xml:space="preserve">Displaying the OMB </w:t>
      </w:r>
      <w:r w:rsidRPr="003F661E">
        <w:rPr>
          <w:b/>
          <w:sz w:val="24"/>
          <w:szCs w:val="24"/>
        </w:rPr>
        <w:t>Approval Expiration Date</w:t>
      </w:r>
    </w:p>
    <w:p w:rsidR="00162D6F" w:rsidRPr="00DB66E0" w:rsidP="003A015D" w14:paraId="494D3C84" w14:textId="77777777">
      <w:pPr>
        <w:widowControl w:val="0"/>
        <w:suppressAutoHyphens/>
        <w:ind w:left="1440"/>
        <w:rPr>
          <w:bCs/>
          <w:iCs/>
          <w:sz w:val="24"/>
          <w:szCs w:val="24"/>
        </w:rPr>
      </w:pPr>
      <w:r w:rsidRPr="00DB66E0">
        <w:rPr>
          <w:bCs/>
          <w:iCs/>
          <w:sz w:val="24"/>
          <w:szCs w:val="24"/>
        </w:rPr>
        <w:t>OMB granted SSA an exemption from the requirement to print the OMB expiration date on its program forms.  SSA produces millions of public-use forms with life cycles exceeding those of an OMB approval.  Since SSA does not periodical</w:t>
      </w:r>
      <w:r w:rsidRPr="00DB66E0">
        <w:rPr>
          <w:bCs/>
          <w:iCs/>
          <w:sz w:val="24"/>
          <w:szCs w:val="24"/>
        </w:rPr>
        <w:t>ly revise and reprint its public-use forms (e.g., on an annual basis), OMB granted this exemption so SSA would not have to destroy stocks of otherwise useable forms with expired OMB approval dates, avoiding Government waste.</w:t>
      </w:r>
    </w:p>
    <w:p w:rsidR="00162D6F" w:rsidRPr="00DB66E0" w:rsidP="003A015D" w14:paraId="33176627" w14:textId="77777777">
      <w:pPr>
        <w:widowControl w:val="0"/>
        <w:suppressAutoHyphens/>
        <w:ind w:left="1440"/>
        <w:rPr>
          <w:sz w:val="24"/>
          <w:szCs w:val="24"/>
        </w:rPr>
      </w:pPr>
    </w:p>
    <w:p w:rsidR="007437CE" w:rsidRPr="00162D6F" w:rsidP="003A015D" w14:paraId="23B6A39C" w14:textId="77777777">
      <w:pPr>
        <w:widowControl w:val="0"/>
        <w:numPr>
          <w:ilvl w:val="0"/>
          <w:numId w:val="14"/>
        </w:numPr>
        <w:tabs>
          <w:tab w:val="clear" w:pos="360"/>
          <w:tab w:val="num" w:pos="1440"/>
        </w:tabs>
        <w:suppressAutoHyphens/>
        <w:ind w:left="1440" w:hanging="720"/>
        <w:rPr>
          <w:sz w:val="24"/>
        </w:rPr>
      </w:pPr>
      <w:r w:rsidRPr="00013822">
        <w:rPr>
          <w:b/>
          <w:sz w:val="24"/>
          <w:szCs w:val="24"/>
        </w:rPr>
        <w:t>Exceptions to Certification St</w:t>
      </w:r>
      <w:r w:rsidRPr="00013822">
        <w:rPr>
          <w:b/>
          <w:sz w:val="24"/>
          <w:szCs w:val="24"/>
        </w:rPr>
        <w:t>atement</w:t>
      </w:r>
    </w:p>
    <w:p w:rsidR="00D7410B" w:rsidP="003A015D" w14:paraId="1235BD98" w14:textId="77777777">
      <w:pPr>
        <w:widowControl w:val="0"/>
        <w:suppressAutoHyphens/>
        <w:ind w:left="1440"/>
        <w:rPr>
          <w:sz w:val="24"/>
        </w:rPr>
      </w:pPr>
      <w:r w:rsidRPr="00C949DF">
        <w:rPr>
          <w:sz w:val="24"/>
        </w:rPr>
        <w:t xml:space="preserve">SSA is not requesting an exception to the certification requirements at </w:t>
      </w:r>
    </w:p>
    <w:p w:rsidR="00162D6F" w:rsidRPr="0025608F" w:rsidP="003A015D" w14:paraId="30AF6F6A" w14:textId="3C9DF110">
      <w:pPr>
        <w:widowControl w:val="0"/>
        <w:suppressAutoHyphens/>
        <w:ind w:left="1440"/>
        <w:rPr>
          <w:sz w:val="24"/>
        </w:rPr>
      </w:pPr>
      <w:r w:rsidRPr="00DC3410">
        <w:rPr>
          <w:i/>
          <w:sz w:val="24"/>
        </w:rPr>
        <w:t>5 CFR 1320.9</w:t>
      </w:r>
      <w:r w:rsidRPr="00C949DF">
        <w:rPr>
          <w:sz w:val="24"/>
        </w:rPr>
        <w:t xml:space="preserve"> and related provisions at </w:t>
      </w:r>
      <w:r w:rsidRPr="00DC3410">
        <w:rPr>
          <w:i/>
          <w:sz w:val="24"/>
        </w:rPr>
        <w:t>5 CFR 1320.8(b)(3</w:t>
      </w:r>
      <w:r w:rsidRPr="00C949DF">
        <w:rPr>
          <w:sz w:val="24"/>
        </w:rPr>
        <w:t>).</w:t>
      </w:r>
    </w:p>
    <w:p w:rsidR="005D353D" w:rsidRPr="00162D6F" w:rsidP="00162D6F" w14:paraId="555203E2" w14:textId="77777777">
      <w:pPr>
        <w:widowControl w:val="0"/>
        <w:suppressAutoHyphens/>
        <w:rPr>
          <w:sz w:val="24"/>
          <w:szCs w:val="24"/>
        </w:rPr>
      </w:pPr>
    </w:p>
    <w:p w:rsidR="005D353D" w:rsidP="003A015D" w14:paraId="466BCECA" w14:textId="77777777">
      <w:pPr>
        <w:tabs>
          <w:tab w:val="left" w:pos="720"/>
        </w:tabs>
        <w:suppressAutoHyphens/>
        <w:ind w:left="720" w:hanging="540"/>
        <w:rPr>
          <w:b/>
          <w:sz w:val="24"/>
          <w:u w:val="single"/>
        </w:rPr>
      </w:pPr>
      <w:r w:rsidRPr="00C949DF">
        <w:rPr>
          <w:b/>
          <w:sz w:val="24"/>
        </w:rPr>
        <w:t>B.</w:t>
      </w:r>
      <w:r w:rsidRPr="00C949DF">
        <w:rPr>
          <w:b/>
          <w:sz w:val="24"/>
        </w:rPr>
        <w:tab/>
      </w:r>
      <w:r w:rsidRPr="00C949DF">
        <w:rPr>
          <w:b/>
          <w:sz w:val="24"/>
          <w:u w:val="single"/>
        </w:rPr>
        <w:t>Collections of Information Employing Statistical Methods</w:t>
      </w:r>
    </w:p>
    <w:p w:rsidR="00162D6F" w:rsidP="00043FAF" w14:paraId="30E9057C" w14:textId="77777777">
      <w:pPr>
        <w:tabs>
          <w:tab w:val="left" w:pos="-720"/>
          <w:tab w:val="left" w:pos="0"/>
        </w:tabs>
        <w:suppressAutoHyphens/>
        <w:ind w:left="720" w:hanging="720"/>
        <w:rPr>
          <w:sz w:val="24"/>
        </w:rPr>
      </w:pPr>
      <w:r>
        <w:rPr>
          <w:sz w:val="24"/>
        </w:rPr>
        <w:tab/>
      </w:r>
    </w:p>
    <w:p w:rsidR="005D353D" w:rsidRPr="00C949DF" w:rsidP="00862B9D" w14:paraId="76842150" w14:textId="77777777">
      <w:pPr>
        <w:tabs>
          <w:tab w:val="left" w:pos="-720"/>
          <w:tab w:val="left" w:pos="0"/>
        </w:tabs>
        <w:suppressAutoHyphens/>
        <w:ind w:left="1440"/>
        <w:rPr>
          <w:sz w:val="24"/>
        </w:rPr>
      </w:pPr>
      <w:r w:rsidRPr="00013822">
        <w:rPr>
          <w:sz w:val="24"/>
          <w:szCs w:val="24"/>
        </w:rPr>
        <w:t>SSA does not use statistical methods for this informa</w:t>
      </w:r>
      <w:r w:rsidRPr="00013822">
        <w:rPr>
          <w:sz w:val="24"/>
          <w:szCs w:val="24"/>
        </w:rPr>
        <w:t xml:space="preserve">tion collection. </w:t>
      </w:r>
    </w:p>
    <w:sectPr w:rsidSect="00D85CF0">
      <w:headerReference w:type="default" r:id="rId6"/>
      <w:footerReference w:type="default" r:id="rId7"/>
      <w:pgSz w:w="12240" w:h="15840"/>
      <w:pgMar w:top="1440" w:right="1440" w:bottom="1350" w:left="1440" w:header="1440" w:footer="144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77854774"/>
      <w:docPartObj>
        <w:docPartGallery w:val="Page Numbers (Bottom of Page)"/>
        <w:docPartUnique/>
      </w:docPartObj>
    </w:sdtPr>
    <w:sdtEndPr>
      <w:rPr>
        <w:noProof/>
      </w:rPr>
    </w:sdtEndPr>
    <w:sdtContent>
      <w:p w:rsidR="00D7410B" w14:paraId="73B51D32" w14:textId="2F1CB0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7410B" w14:paraId="577F009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3D" w14:paraId="43064343" w14:textId="77777777">
    <w:pPr>
      <w:suppressAutoHyphens/>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9F73A3"/>
    <w:multiLevelType w:val="singleLevel"/>
    <w:tmpl w:val="DD1ADF28"/>
    <w:lvl w:ilvl="0">
      <w:start w:val="5"/>
      <w:numFmt w:val="decimal"/>
      <w:lvlText w:val="%1."/>
      <w:lvlJc w:val="left"/>
      <w:pPr>
        <w:tabs>
          <w:tab w:val="num" w:pos="5760"/>
        </w:tabs>
        <w:ind w:left="5760" w:hanging="360"/>
      </w:pPr>
      <w:rPr>
        <w:rFonts w:hint="default"/>
        <w:b/>
      </w:rPr>
    </w:lvl>
  </w:abstractNum>
  <w:abstractNum w:abstractNumId="1">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BD11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26256E"/>
    <w:multiLevelType w:val="singleLevel"/>
    <w:tmpl w:val="0409000F"/>
    <w:lvl w:ilvl="0">
      <w:start w:val="1"/>
      <w:numFmt w:val="decimal"/>
      <w:lvlText w:val="%1."/>
      <w:lvlJc w:val="left"/>
      <w:pPr>
        <w:tabs>
          <w:tab w:val="num" w:pos="360"/>
        </w:tabs>
        <w:ind w:left="360" w:hanging="360"/>
      </w:pPr>
    </w:lvl>
  </w:abstractNum>
  <w:abstractNum w:abstractNumId="4">
    <w:nsid w:val="12003368"/>
    <w:multiLevelType w:val="singleLevel"/>
    <w:tmpl w:val="C9EACC96"/>
    <w:lvl w:ilvl="0">
      <w:start w:val="4"/>
      <w:numFmt w:val="decimal"/>
      <w:lvlText w:val="%1."/>
      <w:lvlJc w:val="left"/>
      <w:pPr>
        <w:tabs>
          <w:tab w:val="num" w:pos="1080"/>
        </w:tabs>
        <w:ind w:left="1080" w:hanging="360"/>
      </w:pPr>
      <w:rPr>
        <w:rFonts w:hint="default"/>
      </w:rPr>
    </w:lvl>
  </w:abstractNum>
  <w:abstractNum w:abstractNumId="5">
    <w:nsid w:val="12D76DBF"/>
    <w:multiLevelType w:val="singleLevel"/>
    <w:tmpl w:val="34A4DD5C"/>
    <w:lvl w:ilvl="0">
      <w:start w:val="3"/>
      <w:numFmt w:val="decimal"/>
      <w:lvlJc w:val="left"/>
      <w:pPr>
        <w:tabs>
          <w:tab w:val="num" w:pos="360"/>
        </w:tabs>
        <w:ind w:left="360" w:hanging="360"/>
      </w:pPr>
      <w:rPr>
        <w:rFonts w:hint="default"/>
      </w:rPr>
    </w:lvl>
  </w:abstractNum>
  <w:abstractNum w:abstractNumId="6">
    <w:nsid w:val="14B651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541742B"/>
    <w:multiLevelType w:val="multilevel"/>
    <w:tmpl w:val="DE90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C227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04042DF"/>
    <w:multiLevelType w:val="hybridMultilevel"/>
    <w:tmpl w:val="C77442C8"/>
    <w:lvl w:ilvl="0">
      <w:start w:val="5"/>
      <w:numFmt w:val="decimal"/>
      <w:lvlText w:val="%1."/>
      <w:lvlJc w:val="left"/>
      <w:pPr>
        <w:ind w:left="990" w:hanging="360"/>
      </w:pPr>
      <w:rPr>
        <w:rFonts w:hint="default"/>
        <w:b/>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40C33D13"/>
    <w:multiLevelType w:val="hybridMultilevel"/>
    <w:tmpl w:val="0D90D17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414079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6086C05"/>
    <w:multiLevelType w:val="hybridMultilevel"/>
    <w:tmpl w:val="E830177C"/>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48A80E82"/>
    <w:multiLevelType w:val="hybridMultilevel"/>
    <w:tmpl w:val="C59808F6"/>
    <w:lvl w:ilvl="0">
      <w:start w:val="1"/>
      <w:numFmt w:val="decimal"/>
      <w:lvlText w:val="%1."/>
      <w:lvlJc w:val="left"/>
      <w:pPr>
        <w:ind w:left="2250" w:hanging="360"/>
      </w:pPr>
      <w:rPr>
        <w:rFonts w:ascii="Times New Roman" w:hAnsi="Times New Roman" w:cs="Times New Roman" w:hint="default"/>
        <w:b/>
        <w:bCs w:val="0"/>
        <w:color w:val="auto"/>
      </w:rPr>
    </w:lvl>
    <w:lvl w:ilvl="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14">
    <w:nsid w:val="4AA272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B4C78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1503A37"/>
    <w:multiLevelType w:val="multilevel"/>
    <w:tmpl w:val="37D8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EF0E65"/>
    <w:multiLevelType w:val="hybridMultilevel"/>
    <w:tmpl w:val="B356782A"/>
    <w:lvl w:ilvl="0">
      <w:start w:val="5"/>
      <w:numFmt w:val="decimal"/>
      <w:lvlText w:val="%1."/>
      <w:lvlJc w:val="left"/>
      <w:pPr>
        <w:ind w:left="1440" w:hanging="360"/>
      </w:pPr>
      <w:rPr>
        <w:rFonts w:hint="default"/>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565B33C6"/>
    <w:multiLevelType w:val="singleLevel"/>
    <w:tmpl w:val="0409000F"/>
    <w:lvl w:ilvl="0">
      <w:start w:val="1"/>
      <w:numFmt w:val="decimal"/>
      <w:lvlText w:val="%1."/>
      <w:lvlJc w:val="left"/>
      <w:pPr>
        <w:tabs>
          <w:tab w:val="num" w:pos="360"/>
        </w:tabs>
        <w:ind w:left="360" w:hanging="360"/>
      </w:pPr>
    </w:lvl>
  </w:abstractNum>
  <w:abstractNum w:abstractNumId="19">
    <w:nsid w:val="56704B7C"/>
    <w:multiLevelType w:val="hybridMultilevel"/>
    <w:tmpl w:val="A5E4933A"/>
    <w:lvl w:ilvl="0">
      <w:start w:val="1"/>
      <w:numFmt w:val="upperLetter"/>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1">
    <w:nsid w:val="5BEF203A"/>
    <w:multiLevelType w:val="hybridMultilevel"/>
    <w:tmpl w:val="3DD6B66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2">
    <w:nsid w:val="60655A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4">
    <w:nsid w:val="643515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6855650"/>
    <w:multiLevelType w:val="singleLevel"/>
    <w:tmpl w:val="0409000F"/>
    <w:lvl w:ilvl="0">
      <w:start w:val="1"/>
      <w:numFmt w:val="decimal"/>
      <w:lvlText w:val="%1."/>
      <w:lvlJc w:val="left"/>
      <w:pPr>
        <w:tabs>
          <w:tab w:val="num" w:pos="360"/>
        </w:tabs>
        <w:ind w:left="360" w:hanging="360"/>
      </w:pPr>
    </w:lvl>
  </w:abstractNum>
  <w:abstractNum w:abstractNumId="26">
    <w:nsid w:val="70DF7C58"/>
    <w:multiLevelType w:val="hybridMultilevel"/>
    <w:tmpl w:val="1054AA90"/>
    <w:lvl w:ilvl="0">
      <w:start w:val="1"/>
      <w:numFmt w:val="upperLetter"/>
      <w:lvlText w:val="%1."/>
      <w:lvlJc w:val="left"/>
      <w:pPr>
        <w:tabs>
          <w:tab w:val="num" w:pos="720"/>
        </w:tabs>
        <w:ind w:left="720" w:hanging="360"/>
      </w:pPr>
      <w:rPr>
        <w:rFonts w:hint="default"/>
        <w:b/>
        <w:u w:val="none"/>
      </w:rPr>
    </w:lvl>
    <w:lvl w:ilvl="1">
      <w:start w:val="5"/>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13429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29">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3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31">
    <w:nsid w:val="7CAF17FD"/>
    <w:multiLevelType w:val="singleLevel"/>
    <w:tmpl w:val="13CA8BBA"/>
    <w:lvl w:ilvl="0">
      <w:start w:val="1"/>
      <w:numFmt w:val="decimal"/>
      <w:lvlText w:val="%1."/>
      <w:lvlJc w:val="left"/>
      <w:pPr>
        <w:tabs>
          <w:tab w:val="num" w:pos="1080"/>
        </w:tabs>
        <w:ind w:left="1080" w:hanging="360"/>
      </w:pPr>
      <w:rPr>
        <w:rFonts w:hint="default"/>
      </w:rPr>
    </w:lvl>
  </w:abstractNum>
  <w:abstractNum w:abstractNumId="32">
    <w:nsid w:val="7D410204"/>
    <w:multiLevelType w:val="singleLevel"/>
    <w:tmpl w:val="B602F996"/>
    <w:lvl w:ilvl="0">
      <w:start w:val="1"/>
      <w:numFmt w:val="decimal"/>
      <w:lvlText w:val="%1."/>
      <w:lvlJc w:val="left"/>
      <w:pPr>
        <w:tabs>
          <w:tab w:val="num" w:pos="360"/>
        </w:tabs>
        <w:ind w:left="360" w:hanging="360"/>
      </w:pPr>
      <w:rPr>
        <w:b/>
        <w:color w:val="000000"/>
      </w:rPr>
    </w:lvl>
  </w:abstractNum>
  <w:num w:numId="1">
    <w:abstractNumId w:val="31"/>
  </w:num>
  <w:num w:numId="2">
    <w:abstractNumId w:val="14"/>
  </w:num>
  <w:num w:numId="3">
    <w:abstractNumId w:val="15"/>
  </w:num>
  <w:num w:numId="4">
    <w:abstractNumId w:val="6"/>
  </w:num>
  <w:num w:numId="5">
    <w:abstractNumId w:val="24"/>
  </w:num>
  <w:num w:numId="6">
    <w:abstractNumId w:val="8"/>
  </w:num>
  <w:num w:numId="7">
    <w:abstractNumId w:val="11"/>
  </w:num>
  <w:num w:numId="8">
    <w:abstractNumId w:val="2"/>
  </w:num>
  <w:num w:numId="9">
    <w:abstractNumId w:val="27"/>
  </w:num>
  <w:num w:numId="10">
    <w:abstractNumId w:val="22"/>
  </w:num>
  <w:num w:numId="11">
    <w:abstractNumId w:val="25"/>
  </w:num>
  <w:num w:numId="12">
    <w:abstractNumId w:val="3"/>
  </w:num>
  <w:num w:numId="13">
    <w:abstractNumId w:val="18"/>
  </w:num>
  <w:num w:numId="14">
    <w:abstractNumId w:val="32"/>
  </w:num>
  <w:num w:numId="15">
    <w:abstractNumId w:val="0"/>
  </w:num>
  <w:num w:numId="16">
    <w:abstractNumId w:val="5"/>
  </w:num>
  <w:num w:numId="17">
    <w:abstractNumId w:val="4"/>
  </w:num>
  <w:num w:numId="18">
    <w:abstractNumId w:val="26"/>
  </w:num>
  <w:num w:numId="19">
    <w:abstractNumId w:val="23"/>
  </w:num>
  <w:num w:numId="20">
    <w:abstractNumId w:val="29"/>
  </w:num>
  <w:num w:numId="21">
    <w:abstractNumId w:val="20"/>
  </w:num>
  <w:num w:numId="22">
    <w:abstractNumId w:val="17"/>
  </w:num>
  <w:num w:numId="23">
    <w:abstractNumId w:val="9"/>
  </w:num>
  <w:num w:numId="24">
    <w:abstractNumId w:val="30"/>
  </w:num>
  <w:num w:numId="25">
    <w:abstractNumId w:val="28"/>
  </w:num>
  <w:num w:numId="26">
    <w:abstractNumId w:val="1"/>
  </w:num>
  <w:num w:numId="27">
    <w:abstractNumId w:val="19"/>
  </w:num>
  <w:num w:numId="28">
    <w:abstractNumId w:val="13"/>
  </w:num>
  <w:num w:numId="29">
    <w:abstractNumId w:val="7"/>
  </w:num>
  <w:num w:numId="30">
    <w:abstractNumId w:val="16"/>
  </w:num>
  <w:num w:numId="31">
    <w:abstractNumId w:val="21"/>
  </w:num>
  <w:num w:numId="32">
    <w:abstractNumId w:val="10"/>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FD9"/>
    <w:rsid w:val="00013822"/>
    <w:rsid w:val="00017016"/>
    <w:rsid w:val="00021C5E"/>
    <w:rsid w:val="000245DB"/>
    <w:rsid w:val="00040A34"/>
    <w:rsid w:val="00043FAF"/>
    <w:rsid w:val="000470BA"/>
    <w:rsid w:val="00053DA8"/>
    <w:rsid w:val="000710CE"/>
    <w:rsid w:val="0008125A"/>
    <w:rsid w:val="00097880"/>
    <w:rsid w:val="000A7786"/>
    <w:rsid w:val="000C107A"/>
    <w:rsid w:val="000D19C6"/>
    <w:rsid w:val="000D34C3"/>
    <w:rsid w:val="000E2ED4"/>
    <w:rsid w:val="000E5AB6"/>
    <w:rsid w:val="000F0FF9"/>
    <w:rsid w:val="000F6049"/>
    <w:rsid w:val="00100800"/>
    <w:rsid w:val="0010373B"/>
    <w:rsid w:val="00132FF2"/>
    <w:rsid w:val="0015491C"/>
    <w:rsid w:val="00162D6F"/>
    <w:rsid w:val="0017260D"/>
    <w:rsid w:val="001746B2"/>
    <w:rsid w:val="00182857"/>
    <w:rsid w:val="0019237E"/>
    <w:rsid w:val="00193BE1"/>
    <w:rsid w:val="001941DD"/>
    <w:rsid w:val="001A0357"/>
    <w:rsid w:val="001A0456"/>
    <w:rsid w:val="001A0921"/>
    <w:rsid w:val="001A14FD"/>
    <w:rsid w:val="001A15FF"/>
    <w:rsid w:val="001A2C91"/>
    <w:rsid w:val="001B09A6"/>
    <w:rsid w:val="001C0ECA"/>
    <w:rsid w:val="001D59D1"/>
    <w:rsid w:val="001D7315"/>
    <w:rsid w:val="001E2EDA"/>
    <w:rsid w:val="001E5B53"/>
    <w:rsid w:val="001F693B"/>
    <w:rsid w:val="0021798A"/>
    <w:rsid w:val="002439D1"/>
    <w:rsid w:val="0025365A"/>
    <w:rsid w:val="0025608F"/>
    <w:rsid w:val="00261459"/>
    <w:rsid w:val="002628CB"/>
    <w:rsid w:val="00262FD1"/>
    <w:rsid w:val="00263715"/>
    <w:rsid w:val="002639C4"/>
    <w:rsid w:val="00263B34"/>
    <w:rsid w:val="0026721D"/>
    <w:rsid w:val="00274703"/>
    <w:rsid w:val="0028752C"/>
    <w:rsid w:val="002A41B3"/>
    <w:rsid w:val="002B1F13"/>
    <w:rsid w:val="002C11D5"/>
    <w:rsid w:val="002E192F"/>
    <w:rsid w:val="002E6803"/>
    <w:rsid w:val="002F1F5E"/>
    <w:rsid w:val="002F2562"/>
    <w:rsid w:val="00311988"/>
    <w:rsid w:val="0031493C"/>
    <w:rsid w:val="0031666C"/>
    <w:rsid w:val="003207A2"/>
    <w:rsid w:val="00320E28"/>
    <w:rsid w:val="003242D2"/>
    <w:rsid w:val="00331D81"/>
    <w:rsid w:val="0034139A"/>
    <w:rsid w:val="003429E1"/>
    <w:rsid w:val="003463F4"/>
    <w:rsid w:val="00351581"/>
    <w:rsid w:val="00365EAB"/>
    <w:rsid w:val="00370242"/>
    <w:rsid w:val="00370D1D"/>
    <w:rsid w:val="00371C69"/>
    <w:rsid w:val="00374558"/>
    <w:rsid w:val="00377645"/>
    <w:rsid w:val="00383F74"/>
    <w:rsid w:val="003868AF"/>
    <w:rsid w:val="00393B4A"/>
    <w:rsid w:val="003A015D"/>
    <w:rsid w:val="003A331C"/>
    <w:rsid w:val="003A39E0"/>
    <w:rsid w:val="003A5790"/>
    <w:rsid w:val="003A7FD2"/>
    <w:rsid w:val="003B08D2"/>
    <w:rsid w:val="003C07B7"/>
    <w:rsid w:val="003C6695"/>
    <w:rsid w:val="003D1321"/>
    <w:rsid w:val="003D5776"/>
    <w:rsid w:val="003D6021"/>
    <w:rsid w:val="003D76A6"/>
    <w:rsid w:val="003E24E8"/>
    <w:rsid w:val="003E35CD"/>
    <w:rsid w:val="003E47A3"/>
    <w:rsid w:val="003E536F"/>
    <w:rsid w:val="003F251C"/>
    <w:rsid w:val="003F5996"/>
    <w:rsid w:val="003F661E"/>
    <w:rsid w:val="004007E5"/>
    <w:rsid w:val="004011BC"/>
    <w:rsid w:val="00406820"/>
    <w:rsid w:val="004115DC"/>
    <w:rsid w:val="00415CA6"/>
    <w:rsid w:val="004203A1"/>
    <w:rsid w:val="00420ADA"/>
    <w:rsid w:val="0042633D"/>
    <w:rsid w:val="00430282"/>
    <w:rsid w:val="004305F8"/>
    <w:rsid w:val="00432FD6"/>
    <w:rsid w:val="00433CDC"/>
    <w:rsid w:val="00434193"/>
    <w:rsid w:val="00440D9E"/>
    <w:rsid w:val="004623C1"/>
    <w:rsid w:val="00495B43"/>
    <w:rsid w:val="004A4E1D"/>
    <w:rsid w:val="004C2A79"/>
    <w:rsid w:val="004C2FC7"/>
    <w:rsid w:val="004C39E8"/>
    <w:rsid w:val="004C6D1D"/>
    <w:rsid w:val="004D65B5"/>
    <w:rsid w:val="004E548A"/>
    <w:rsid w:val="004E629E"/>
    <w:rsid w:val="004E7888"/>
    <w:rsid w:val="004F27A9"/>
    <w:rsid w:val="005042D4"/>
    <w:rsid w:val="00505B30"/>
    <w:rsid w:val="00516E34"/>
    <w:rsid w:val="00523448"/>
    <w:rsid w:val="005311CE"/>
    <w:rsid w:val="00533588"/>
    <w:rsid w:val="005337B2"/>
    <w:rsid w:val="005526DF"/>
    <w:rsid w:val="00553081"/>
    <w:rsid w:val="00561E30"/>
    <w:rsid w:val="00565906"/>
    <w:rsid w:val="00597EB6"/>
    <w:rsid w:val="005A1FC8"/>
    <w:rsid w:val="005A5672"/>
    <w:rsid w:val="005D274B"/>
    <w:rsid w:val="005D353D"/>
    <w:rsid w:val="005F2B91"/>
    <w:rsid w:val="005F3FB4"/>
    <w:rsid w:val="00606355"/>
    <w:rsid w:val="00606DBB"/>
    <w:rsid w:val="00614D95"/>
    <w:rsid w:val="006252F0"/>
    <w:rsid w:val="0062591A"/>
    <w:rsid w:val="00631064"/>
    <w:rsid w:val="00636E53"/>
    <w:rsid w:val="00637BE3"/>
    <w:rsid w:val="00655D77"/>
    <w:rsid w:val="00661993"/>
    <w:rsid w:val="0068065A"/>
    <w:rsid w:val="00682438"/>
    <w:rsid w:val="00686A92"/>
    <w:rsid w:val="00690C46"/>
    <w:rsid w:val="0069136F"/>
    <w:rsid w:val="006926ED"/>
    <w:rsid w:val="006A61BB"/>
    <w:rsid w:val="006A798D"/>
    <w:rsid w:val="006A7BF0"/>
    <w:rsid w:val="006B25E8"/>
    <w:rsid w:val="006C4E56"/>
    <w:rsid w:val="006D41D0"/>
    <w:rsid w:val="006F7779"/>
    <w:rsid w:val="00707145"/>
    <w:rsid w:val="00707CB4"/>
    <w:rsid w:val="00711A29"/>
    <w:rsid w:val="00712FD9"/>
    <w:rsid w:val="00714139"/>
    <w:rsid w:val="0071545D"/>
    <w:rsid w:val="00716A96"/>
    <w:rsid w:val="007173EC"/>
    <w:rsid w:val="00721DD2"/>
    <w:rsid w:val="007225DC"/>
    <w:rsid w:val="007437CE"/>
    <w:rsid w:val="00744D0E"/>
    <w:rsid w:val="00746E1B"/>
    <w:rsid w:val="007606BB"/>
    <w:rsid w:val="00765BF9"/>
    <w:rsid w:val="00771A49"/>
    <w:rsid w:val="007811B5"/>
    <w:rsid w:val="00787BC0"/>
    <w:rsid w:val="0079546F"/>
    <w:rsid w:val="007A1396"/>
    <w:rsid w:val="007B3309"/>
    <w:rsid w:val="007C03D1"/>
    <w:rsid w:val="007C1FCF"/>
    <w:rsid w:val="007C6CEE"/>
    <w:rsid w:val="007E05A5"/>
    <w:rsid w:val="007E6633"/>
    <w:rsid w:val="007F5CD8"/>
    <w:rsid w:val="007F7D33"/>
    <w:rsid w:val="008049BA"/>
    <w:rsid w:val="00811312"/>
    <w:rsid w:val="008236EC"/>
    <w:rsid w:val="00833B38"/>
    <w:rsid w:val="00834882"/>
    <w:rsid w:val="0085109D"/>
    <w:rsid w:val="00857FC7"/>
    <w:rsid w:val="008625C5"/>
    <w:rsid w:val="00862B9D"/>
    <w:rsid w:val="00864E8E"/>
    <w:rsid w:val="008947B4"/>
    <w:rsid w:val="008A57C1"/>
    <w:rsid w:val="008B02D3"/>
    <w:rsid w:val="008B18E0"/>
    <w:rsid w:val="008B6935"/>
    <w:rsid w:val="008C2998"/>
    <w:rsid w:val="008E00E0"/>
    <w:rsid w:val="008E5624"/>
    <w:rsid w:val="008E75D7"/>
    <w:rsid w:val="008F3A09"/>
    <w:rsid w:val="008F5251"/>
    <w:rsid w:val="00901E5B"/>
    <w:rsid w:val="00906654"/>
    <w:rsid w:val="0091070E"/>
    <w:rsid w:val="00916DA4"/>
    <w:rsid w:val="0092453E"/>
    <w:rsid w:val="0093389D"/>
    <w:rsid w:val="009368B6"/>
    <w:rsid w:val="009447C7"/>
    <w:rsid w:val="00946211"/>
    <w:rsid w:val="009511DD"/>
    <w:rsid w:val="00970721"/>
    <w:rsid w:val="0098655E"/>
    <w:rsid w:val="009A3474"/>
    <w:rsid w:val="009B0D5F"/>
    <w:rsid w:val="009C4C22"/>
    <w:rsid w:val="009E1F56"/>
    <w:rsid w:val="009F4BC5"/>
    <w:rsid w:val="009F7F59"/>
    <w:rsid w:val="00A06C5A"/>
    <w:rsid w:val="00A17A2F"/>
    <w:rsid w:val="00A40C6D"/>
    <w:rsid w:val="00A43BC9"/>
    <w:rsid w:val="00A43CF9"/>
    <w:rsid w:val="00A44154"/>
    <w:rsid w:val="00A475AD"/>
    <w:rsid w:val="00A51A29"/>
    <w:rsid w:val="00A679D7"/>
    <w:rsid w:val="00A80145"/>
    <w:rsid w:val="00A848A5"/>
    <w:rsid w:val="00A97739"/>
    <w:rsid w:val="00AB0B8B"/>
    <w:rsid w:val="00AB5F04"/>
    <w:rsid w:val="00AB663F"/>
    <w:rsid w:val="00AB7E80"/>
    <w:rsid w:val="00AC1673"/>
    <w:rsid w:val="00AC6AC2"/>
    <w:rsid w:val="00AD496D"/>
    <w:rsid w:val="00AE4629"/>
    <w:rsid w:val="00AE7459"/>
    <w:rsid w:val="00AF0A05"/>
    <w:rsid w:val="00B0118D"/>
    <w:rsid w:val="00B01549"/>
    <w:rsid w:val="00B047C2"/>
    <w:rsid w:val="00B07269"/>
    <w:rsid w:val="00B10F9A"/>
    <w:rsid w:val="00B22E07"/>
    <w:rsid w:val="00B23D67"/>
    <w:rsid w:val="00B3059A"/>
    <w:rsid w:val="00B366EA"/>
    <w:rsid w:val="00B408B7"/>
    <w:rsid w:val="00B422F1"/>
    <w:rsid w:val="00B42675"/>
    <w:rsid w:val="00B64A58"/>
    <w:rsid w:val="00B6788C"/>
    <w:rsid w:val="00B9659C"/>
    <w:rsid w:val="00BA036D"/>
    <w:rsid w:val="00BA2860"/>
    <w:rsid w:val="00BB381E"/>
    <w:rsid w:val="00BD1AF8"/>
    <w:rsid w:val="00BD65B1"/>
    <w:rsid w:val="00BE137B"/>
    <w:rsid w:val="00BE4A32"/>
    <w:rsid w:val="00BE6FCF"/>
    <w:rsid w:val="00C0042C"/>
    <w:rsid w:val="00C2308B"/>
    <w:rsid w:val="00C30A07"/>
    <w:rsid w:val="00C42BB0"/>
    <w:rsid w:val="00C54924"/>
    <w:rsid w:val="00C60945"/>
    <w:rsid w:val="00C60C7C"/>
    <w:rsid w:val="00C61104"/>
    <w:rsid w:val="00C6140F"/>
    <w:rsid w:val="00C76586"/>
    <w:rsid w:val="00C77DC8"/>
    <w:rsid w:val="00C851EC"/>
    <w:rsid w:val="00C949DF"/>
    <w:rsid w:val="00CB0A5E"/>
    <w:rsid w:val="00CB3831"/>
    <w:rsid w:val="00CC0D7D"/>
    <w:rsid w:val="00CD0288"/>
    <w:rsid w:val="00CD5899"/>
    <w:rsid w:val="00CD7E97"/>
    <w:rsid w:val="00CE1501"/>
    <w:rsid w:val="00D00CDF"/>
    <w:rsid w:val="00D06A65"/>
    <w:rsid w:val="00D34025"/>
    <w:rsid w:val="00D35F46"/>
    <w:rsid w:val="00D42978"/>
    <w:rsid w:val="00D54300"/>
    <w:rsid w:val="00D7410B"/>
    <w:rsid w:val="00D8456F"/>
    <w:rsid w:val="00D85CF0"/>
    <w:rsid w:val="00DA2367"/>
    <w:rsid w:val="00DA365A"/>
    <w:rsid w:val="00DA54E2"/>
    <w:rsid w:val="00DB1394"/>
    <w:rsid w:val="00DB13AC"/>
    <w:rsid w:val="00DB66E0"/>
    <w:rsid w:val="00DC3410"/>
    <w:rsid w:val="00DE36D2"/>
    <w:rsid w:val="00DE38EA"/>
    <w:rsid w:val="00DE592D"/>
    <w:rsid w:val="00E01E39"/>
    <w:rsid w:val="00E0398F"/>
    <w:rsid w:val="00E14F27"/>
    <w:rsid w:val="00E24DBF"/>
    <w:rsid w:val="00E26E46"/>
    <w:rsid w:val="00E308A6"/>
    <w:rsid w:val="00E3167F"/>
    <w:rsid w:val="00E328D7"/>
    <w:rsid w:val="00E40F2D"/>
    <w:rsid w:val="00E54CA4"/>
    <w:rsid w:val="00E57F15"/>
    <w:rsid w:val="00E773EC"/>
    <w:rsid w:val="00E8641E"/>
    <w:rsid w:val="00EB14BC"/>
    <w:rsid w:val="00EB14C6"/>
    <w:rsid w:val="00EC4164"/>
    <w:rsid w:val="00EC6029"/>
    <w:rsid w:val="00EE0117"/>
    <w:rsid w:val="00EE1D6D"/>
    <w:rsid w:val="00EE2BCB"/>
    <w:rsid w:val="00EE3210"/>
    <w:rsid w:val="00EF624A"/>
    <w:rsid w:val="00EF7813"/>
    <w:rsid w:val="00F13215"/>
    <w:rsid w:val="00F2002E"/>
    <w:rsid w:val="00F2631A"/>
    <w:rsid w:val="00F324DD"/>
    <w:rsid w:val="00F32A48"/>
    <w:rsid w:val="00F510D7"/>
    <w:rsid w:val="00F54845"/>
    <w:rsid w:val="00F55DA1"/>
    <w:rsid w:val="00F64696"/>
    <w:rsid w:val="00F66890"/>
    <w:rsid w:val="00F6698B"/>
    <w:rsid w:val="00F7100D"/>
    <w:rsid w:val="00F75970"/>
    <w:rsid w:val="00F75E2F"/>
    <w:rsid w:val="00F811F6"/>
    <w:rsid w:val="00FA36DD"/>
    <w:rsid w:val="00FA4D6A"/>
    <w:rsid w:val="00FA5A45"/>
    <w:rsid w:val="00FA785E"/>
    <w:rsid w:val="00FB4D6D"/>
    <w:rsid w:val="00FB56FA"/>
    <w:rsid w:val="00FD62A8"/>
    <w:rsid w:val="00FE3528"/>
    <w:rsid w:val="00FE5AA4"/>
    <w:rsid w:val="00FF1A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8DE2952"/>
  <w15:docId w15:val="{F22E9093-3B72-47EC-BB50-0CF497B2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zh-CN"/>
    </w:rPr>
  </w:style>
  <w:style w:type="paragraph" w:styleId="Heading1">
    <w:name w:val="heading 1"/>
    <w:basedOn w:val="Normal"/>
    <w:next w:val="Normal"/>
    <w:qFormat/>
    <w:pPr>
      <w:keepNext/>
      <w:tabs>
        <w:tab w:val="center" w:pos="4680"/>
      </w:tabs>
      <w:suppressAutoHyphens/>
      <w:jc w:val="center"/>
      <w:outlineLvl w:val="0"/>
    </w:pPr>
    <w:rPr>
      <w:b/>
      <w:bCs/>
      <w:color w:val="FF0000"/>
      <w:sz w:val="24"/>
      <w:szCs w:val="24"/>
    </w:rPr>
  </w:style>
  <w:style w:type="paragraph" w:styleId="Heading2">
    <w:name w:val="heading 2"/>
    <w:basedOn w:val="Normal"/>
    <w:next w:val="Normal"/>
    <w:qFormat/>
    <w:pPr>
      <w:keepNext/>
      <w:jc w:val="center"/>
      <w:outlineLvl w:val="1"/>
    </w:pPr>
    <w:rPr>
      <w:b/>
      <w:bCs/>
      <w:sz w:val="24"/>
      <w:szCs w:val="24"/>
    </w:rPr>
  </w:style>
  <w:style w:type="paragraph" w:styleId="Heading3">
    <w:name w:val="heading 3"/>
    <w:basedOn w:val="Normal"/>
    <w:next w:val="Normal"/>
    <w:qFormat/>
    <w:pPr>
      <w:keepNext/>
      <w:tabs>
        <w:tab w:val="left" w:pos="-720"/>
      </w:tabs>
      <w:suppressAutoHyphens/>
      <w:ind w:left="720"/>
      <w:outlineLvl w:val="2"/>
    </w:pPr>
    <w:rPr>
      <w:b/>
      <w:bCs/>
      <w:sz w:val="24"/>
      <w:szCs w:val="24"/>
    </w:rPr>
  </w:style>
  <w:style w:type="paragraph" w:styleId="Heading4">
    <w:name w:val="heading 4"/>
    <w:basedOn w:val="Normal"/>
    <w:next w:val="Normal"/>
    <w:qFormat/>
    <w:pPr>
      <w:keepNext/>
      <w:tabs>
        <w:tab w:val="left" w:pos="-720"/>
      </w:tabs>
      <w:suppressAutoHyphens/>
      <w:ind w:left="1080"/>
      <w:outlineLvl w:val="3"/>
    </w:pPr>
    <w:rPr>
      <w:i/>
      <w:iCs/>
      <w:sz w:val="24"/>
      <w:szCs w:val="24"/>
    </w:rPr>
  </w:style>
  <w:style w:type="paragraph" w:styleId="Heading5">
    <w:name w:val="heading 5"/>
    <w:basedOn w:val="Normal"/>
    <w:next w:val="Normal"/>
    <w:qFormat/>
    <w:pPr>
      <w:keepNext/>
      <w:tabs>
        <w:tab w:val="left" w:pos="-720"/>
        <w:tab w:val="left" w:pos="0"/>
        <w:tab w:val="left" w:pos="720"/>
      </w:tabs>
      <w:suppressAutoHyphens/>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widowControl w:val="0"/>
      <w:tabs>
        <w:tab w:val="left" w:pos="-720"/>
        <w:tab w:val="left" w:pos="0"/>
        <w:tab w:val="left" w:pos="720"/>
        <w:tab w:val="left" w:pos="1440"/>
      </w:tabs>
      <w:suppressAutoHyphens/>
      <w:ind w:left="1440" w:hanging="1440"/>
    </w:pPr>
    <w:rPr>
      <w:rFonts w:ascii="Courier New" w:hAnsi="Courier New"/>
      <w:sz w:val="24"/>
      <w:szCs w:val="24"/>
      <w:lang w:val="x-non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tabs>
        <w:tab w:val="center" w:pos="4680"/>
      </w:tabs>
      <w:suppressAutoHyphens/>
      <w:jc w:val="center"/>
    </w:pPr>
    <w:rPr>
      <w:b/>
      <w:bCs/>
      <w:sz w:val="24"/>
      <w:szCs w:val="24"/>
    </w:rPr>
  </w:style>
  <w:style w:type="paragraph" w:styleId="BodyTextIndent2">
    <w:name w:val="Body Text Indent 2"/>
    <w:basedOn w:val="Normal"/>
    <w:pPr>
      <w:tabs>
        <w:tab w:val="left" w:pos="-720"/>
      </w:tabs>
      <w:suppressAutoHyphens/>
      <w:ind w:left="720"/>
    </w:pPr>
    <w:rPr>
      <w:rFonts w:ascii="Courier New" w:hAnsi="Courier New" w:cs="Courier New"/>
    </w:rPr>
  </w:style>
  <w:style w:type="paragraph" w:styleId="BodyTextIndent3">
    <w:name w:val="Body Text Indent 3"/>
    <w:basedOn w:val="Normal"/>
    <w:pPr>
      <w:tabs>
        <w:tab w:val="left" w:pos="-720"/>
        <w:tab w:val="left" w:pos="0"/>
        <w:tab w:val="left" w:pos="720"/>
      </w:tabs>
      <w:suppressAutoHyphens/>
      <w:ind w:left="1440"/>
    </w:pPr>
    <w:rPr>
      <w:sz w:val="24"/>
      <w:szCs w:val="24"/>
    </w:rPr>
  </w:style>
  <w:style w:type="paragraph" w:styleId="BalloonText">
    <w:name w:val="Balloon Text"/>
    <w:basedOn w:val="Normal"/>
    <w:semiHidden/>
    <w:rsid w:val="004E629E"/>
    <w:rPr>
      <w:rFonts w:ascii="Tahoma" w:hAnsi="Tahoma" w:cs="Tahoma"/>
      <w:sz w:val="16"/>
      <w:szCs w:val="16"/>
    </w:rPr>
  </w:style>
  <w:style w:type="paragraph" w:styleId="NoSpacing">
    <w:name w:val="No Spacing"/>
    <w:qFormat/>
    <w:rsid w:val="00370242"/>
    <w:rPr>
      <w:sz w:val="24"/>
      <w:szCs w:val="24"/>
      <w:lang w:bidi="en-US"/>
    </w:rPr>
  </w:style>
  <w:style w:type="paragraph" w:styleId="BodyText2">
    <w:name w:val="Body Text 2"/>
    <w:basedOn w:val="Normal"/>
    <w:link w:val="BodyText2Char"/>
    <w:rsid w:val="00013822"/>
    <w:pPr>
      <w:spacing w:after="120" w:line="480" w:lineRule="auto"/>
    </w:pPr>
    <w:rPr>
      <w:lang w:val="x-none"/>
    </w:rPr>
  </w:style>
  <w:style w:type="character" w:customStyle="1" w:styleId="BodyText2Char">
    <w:name w:val="Body Text 2 Char"/>
    <w:link w:val="BodyText2"/>
    <w:rsid w:val="00013822"/>
    <w:rPr>
      <w:lang w:eastAsia="zh-CN"/>
    </w:rPr>
  </w:style>
  <w:style w:type="character" w:customStyle="1" w:styleId="BodyTextIndentChar">
    <w:name w:val="Body Text Indent Char"/>
    <w:link w:val="BodyTextIndent"/>
    <w:rsid w:val="007437CE"/>
    <w:rPr>
      <w:rFonts w:ascii="Courier New" w:hAnsi="Courier New" w:cs="Courier New"/>
      <w:sz w:val="24"/>
      <w:szCs w:val="24"/>
      <w:lang w:eastAsia="zh-CN"/>
    </w:rPr>
  </w:style>
  <w:style w:type="character" w:styleId="CommentReference">
    <w:name w:val="annotation reference"/>
    <w:rsid w:val="000D34C3"/>
    <w:rPr>
      <w:sz w:val="16"/>
      <w:szCs w:val="16"/>
    </w:rPr>
  </w:style>
  <w:style w:type="paragraph" w:styleId="CommentText">
    <w:name w:val="annotation text"/>
    <w:basedOn w:val="Normal"/>
    <w:link w:val="CommentTextChar"/>
    <w:rsid w:val="000D34C3"/>
    <w:rPr>
      <w:lang w:val="x-none"/>
    </w:rPr>
  </w:style>
  <w:style w:type="character" w:customStyle="1" w:styleId="CommentTextChar">
    <w:name w:val="Comment Text Char"/>
    <w:link w:val="CommentText"/>
    <w:rsid w:val="000D34C3"/>
    <w:rPr>
      <w:lang w:eastAsia="zh-CN"/>
    </w:rPr>
  </w:style>
  <w:style w:type="paragraph" w:styleId="CommentSubject">
    <w:name w:val="annotation subject"/>
    <w:basedOn w:val="CommentText"/>
    <w:next w:val="CommentText"/>
    <w:link w:val="CommentSubjectChar"/>
    <w:rsid w:val="000D34C3"/>
    <w:rPr>
      <w:b/>
      <w:bCs/>
    </w:rPr>
  </w:style>
  <w:style w:type="character" w:customStyle="1" w:styleId="CommentSubjectChar">
    <w:name w:val="Comment Subject Char"/>
    <w:link w:val="CommentSubject"/>
    <w:rsid w:val="000D34C3"/>
    <w:rPr>
      <w:b/>
      <w:bCs/>
      <w:lang w:eastAsia="zh-CN"/>
    </w:rPr>
  </w:style>
  <w:style w:type="paragraph" w:styleId="ListParagraph">
    <w:name w:val="List Paragraph"/>
    <w:basedOn w:val="Normal"/>
    <w:uiPriority w:val="34"/>
    <w:qFormat/>
    <w:rsid w:val="000245DB"/>
    <w:pPr>
      <w:widowControl w:val="0"/>
      <w:snapToGrid w:val="0"/>
      <w:ind w:left="720"/>
      <w:contextualSpacing/>
    </w:pPr>
    <w:rPr>
      <w:rFonts w:ascii="Courier" w:hAnsi="Courier"/>
      <w:sz w:val="24"/>
      <w:szCs w:val="24"/>
      <w:lang w:eastAsia="en-US"/>
    </w:rPr>
  </w:style>
  <w:style w:type="character" w:customStyle="1" w:styleId="FooterChar">
    <w:name w:val="Footer Char"/>
    <w:basedOn w:val="DefaultParagraphFont"/>
    <w:link w:val="Footer"/>
    <w:uiPriority w:val="99"/>
    <w:rsid w:val="00D7410B"/>
    <w:rPr>
      <w:lang w:eastAsia="zh-CN"/>
    </w:rPr>
  </w:style>
  <w:style w:type="paragraph" w:styleId="Revision">
    <w:name w:val="Revision"/>
    <w:hidden/>
    <w:uiPriority w:val="99"/>
    <w:semiHidden/>
    <w:rsid w:val="00B366EA"/>
    <w:rPr>
      <w:lang w:eastAsia="zh-CN"/>
    </w:rPr>
  </w:style>
  <w:style w:type="character" w:styleId="Hyperlink">
    <w:name w:val="Hyperlink"/>
    <w:basedOn w:val="DefaultParagraphFont"/>
    <w:uiPriority w:val="99"/>
    <w:semiHidden/>
    <w:unhideWhenUsed/>
    <w:rsid w:val="00716A96"/>
    <w:rPr>
      <w:color w:val="0033DD"/>
      <w:u w:val="single"/>
    </w:rPr>
  </w:style>
  <w:style w:type="paragraph" w:customStyle="1" w:styleId="poms-para">
    <w:name w:val="poms-para"/>
    <w:basedOn w:val="Normal"/>
    <w:rsid w:val="00716A96"/>
    <w:pPr>
      <w:spacing w:before="100" w:beforeAutospacing="1" w:after="100" w:afterAutospacing="1"/>
    </w:pPr>
    <w:rPr>
      <w:color w:val="000000"/>
      <w:sz w:val="24"/>
      <w:szCs w:val="24"/>
      <w:lang w:eastAsia="en-US"/>
    </w:rPr>
  </w:style>
  <w:style w:type="paragraph" w:customStyle="1" w:styleId="poms-li">
    <w:name w:val="poms-li"/>
    <w:basedOn w:val="Normal"/>
    <w:rsid w:val="00716A96"/>
    <w:rPr>
      <w:color w:val="000000"/>
      <w:sz w:val="24"/>
      <w:szCs w:val="24"/>
      <w:lang w:eastAsia="en-US"/>
    </w:rPr>
  </w:style>
  <w:style w:type="paragraph" w:customStyle="1" w:styleId="listing">
    <w:name w:val="listing"/>
    <w:basedOn w:val="Normal"/>
    <w:rsid w:val="00716A96"/>
    <w:pPr>
      <w:spacing w:before="100" w:beforeAutospacing="1" w:after="100" w:afterAutospacing="1"/>
    </w:pPr>
    <w:rPr>
      <w:color w:val="000000"/>
      <w:sz w:val="24"/>
      <w:szCs w:val="24"/>
      <w:lang w:eastAsia="en-US"/>
    </w:rPr>
  </w:style>
  <w:style w:type="character" w:styleId="FollowedHyperlink">
    <w:name w:val="FollowedHyperlink"/>
    <w:basedOn w:val="DefaultParagraphFont"/>
    <w:semiHidden/>
    <w:unhideWhenUsed/>
    <w:rsid w:val="00716A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D1964-D76E-4107-AA60-4BB11592A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2550</Words>
  <Characters>13859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SSA</Company>
  <LinksUpToDate>false</LinksUpToDate>
  <CharactersWithSpaces>16377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521690</dc:creator>
  <cp:lastModifiedBy>Naomi Sipple</cp:lastModifiedBy>
  <cp:revision>2</cp:revision>
  <cp:lastPrinted>2010-07-27T15:37:00Z</cp:lastPrinted>
  <dcterms:created xsi:type="dcterms:W3CDTF">2023-03-06T19:38:00Z</dcterms:created>
  <dcterms:modified xsi:type="dcterms:W3CDTF">2023-03-06T19:38:00Z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-147261450</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0960-0698</vt:lpwstr>
  </property>
  <property fmtid="{D5CDD505-2E9C-101B-9397-08002B2CF9AE}" pid="6" name="_NewReviewCycle">
    <vt:lpwstr/>
  </property>
  <property fmtid="{D5CDD505-2E9C-101B-9397-08002B2CF9AE}" pid="7" name="_PreviousAdHocReviewCycleID">
    <vt:i4>-122704656</vt:i4>
  </property>
</Properties>
</file>