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9139B3" w:rsidP="00E1415F" w14:paraId="745202F0" w14:textId="77777777">
      <w:pPr>
        <w:pStyle w:val="ReportCover-Title"/>
        <w:rPr>
          <w:rFonts w:ascii="Arial" w:eastAsia="Arial Unicode MS" w:hAnsi="Arial" w:cs="Arial"/>
          <w:noProof/>
          <w:color w:val="auto"/>
        </w:rPr>
      </w:pPr>
    </w:p>
    <w:p w:rsidR="001D1C73" w:rsidRPr="009139B3" w:rsidP="001D1C73" w14:paraId="21F55826" w14:textId="77777777">
      <w:pPr>
        <w:pStyle w:val="ReportCover-Title"/>
        <w:jc w:val="center"/>
        <w:rPr>
          <w:rFonts w:ascii="Arial" w:eastAsia="Arial Unicode MS" w:hAnsi="Arial" w:cs="Arial"/>
          <w:noProof/>
          <w:color w:val="auto"/>
        </w:rPr>
      </w:pPr>
    </w:p>
    <w:p w:rsidR="001D1C73" w:rsidRPr="009139B3" w:rsidP="00E1415F" w14:paraId="23B3F2E9" w14:textId="04CBB507">
      <w:pPr>
        <w:pStyle w:val="ReportCover-Title"/>
        <w:jc w:val="center"/>
        <w:rPr>
          <w:rFonts w:ascii="Arial" w:hAnsi="Arial" w:cs="Arial"/>
          <w:color w:val="auto"/>
        </w:rPr>
      </w:pPr>
      <w:r w:rsidRPr="00C840FD">
        <w:rPr>
          <w:rFonts w:ascii="Arial" w:eastAsia="Arial Unicode MS" w:hAnsi="Arial" w:cs="Arial"/>
          <w:bCs/>
          <w:noProof/>
          <w:color w:val="auto"/>
        </w:rPr>
        <w:t>Healthy Marriage and Responsible Fatherhood Local Evaluation Final Report Templates</w:t>
      </w:r>
    </w:p>
    <w:p w:rsidR="001D1C73" w:rsidRPr="009139B3" w:rsidP="00E1415F" w14:paraId="497A9C33" w14:textId="77777777">
      <w:pPr>
        <w:pStyle w:val="ReportCover-Title"/>
        <w:jc w:val="center"/>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1D1C73" w:rsidRPr="009139B3" w:rsidP="001D1C73" w14:paraId="195B12A0" w14:textId="7AF77D0A">
      <w:pPr>
        <w:pStyle w:val="ReportCover-Title"/>
        <w:jc w:val="center"/>
        <w:rPr>
          <w:rFonts w:ascii="Arial" w:hAnsi="Arial" w:cs="Arial"/>
          <w:color w:val="auto"/>
          <w:sz w:val="32"/>
          <w:szCs w:val="32"/>
        </w:rPr>
      </w:pPr>
      <w:r>
        <w:rPr>
          <w:rFonts w:ascii="Arial" w:hAnsi="Arial" w:cs="Arial"/>
          <w:color w:val="auto"/>
          <w:sz w:val="32"/>
          <w:szCs w:val="32"/>
        </w:rPr>
        <w:t>New Collection</w:t>
      </w:r>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1D1C73" w14:paraId="64DC89CC" w14:textId="77777777">
      <w:pPr>
        <w:pStyle w:val="ReportCover-Date"/>
        <w:spacing w:after="0"/>
        <w:jc w:val="center"/>
        <w:rPr>
          <w:rFonts w:ascii="Arial" w:hAnsi="Arial" w:cs="Arial"/>
          <w:color w:val="auto"/>
        </w:rPr>
      </w:pPr>
    </w:p>
    <w:p w:rsidR="00A93035" w:rsidRPr="009139B3" w:rsidP="001D1C73" w14:paraId="77445DBC" w14:textId="77777777">
      <w:pPr>
        <w:pStyle w:val="ReportCover-Date"/>
        <w:spacing w:after="0"/>
        <w:jc w:val="center"/>
        <w:rPr>
          <w:rFonts w:ascii="Arial" w:hAnsi="Arial" w:cs="Arial"/>
          <w:color w:val="auto"/>
        </w:rPr>
      </w:pPr>
    </w:p>
    <w:p w:rsidR="00A93035" w:rsidRPr="009139B3" w:rsidP="001D1C73" w14:paraId="241FC0EC" w14:textId="77777777">
      <w:pPr>
        <w:pStyle w:val="ReportCover-Date"/>
        <w:spacing w:after="0"/>
        <w:jc w:val="center"/>
        <w:rPr>
          <w:rFonts w:ascii="Arial" w:hAnsi="Arial" w:cs="Arial"/>
          <w:color w:val="auto"/>
        </w:rPr>
      </w:pPr>
    </w:p>
    <w:p w:rsidR="001D1C73" w:rsidRPr="009139B3" w:rsidP="001D1C73" w14:paraId="25EC0787" w14:textId="690D3C53">
      <w:pPr>
        <w:pStyle w:val="ReportCover-Date"/>
        <w:spacing w:after="0"/>
        <w:jc w:val="center"/>
        <w:rPr>
          <w:rFonts w:ascii="Arial" w:hAnsi="Arial" w:cs="Arial"/>
          <w:color w:val="auto"/>
        </w:rPr>
      </w:pPr>
      <w:r w:rsidRPr="00A56E39">
        <w:rPr>
          <w:rFonts w:ascii="Arial" w:hAnsi="Arial" w:cs="Arial"/>
          <w:color w:val="auto"/>
        </w:rPr>
        <w:t>December</w:t>
      </w:r>
      <w:r w:rsidRPr="00A56E39">
        <w:rPr>
          <w:rFonts w:ascii="Arial" w:hAnsi="Arial" w:cs="Arial"/>
          <w:color w:val="auto"/>
        </w:rPr>
        <w:t xml:space="preserve"> </w:t>
      </w:r>
      <w:r w:rsidRPr="00A56E39">
        <w:rPr>
          <w:rFonts w:ascii="Arial" w:hAnsi="Arial" w:cs="Arial"/>
          <w:color w:val="auto"/>
        </w:rPr>
        <w:t>2024</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71209E9" w:rsidP="071209E9" w14:paraId="33316FD1" w14:textId="3E4F24BD">
      <w:pPr>
        <w:jc w:val="center"/>
        <w:rPr>
          <w:rFonts w:ascii="Arial" w:eastAsia="Arial" w:hAnsi="Arial" w:cs="Arial"/>
          <w:sz w:val="32"/>
          <w:szCs w:val="32"/>
        </w:rPr>
      </w:pPr>
      <w:r w:rsidRPr="071209E9">
        <w:rPr>
          <w:rFonts w:ascii="Arial" w:eastAsia="Arial" w:hAnsi="Arial" w:cs="Arial"/>
          <w:b/>
          <w:bCs/>
          <w:sz w:val="32"/>
          <w:szCs w:val="32"/>
        </w:rPr>
        <w:t xml:space="preserve">Type of Request: </w:t>
      </w:r>
      <w:r w:rsidRPr="071209E9">
        <w:rPr>
          <w:rFonts w:ascii="Arial" w:eastAsia="Arial" w:hAnsi="Arial" w:cs="Arial"/>
          <w:sz w:val="32"/>
          <w:szCs w:val="32"/>
        </w:rPr>
        <w:t>New</w:t>
      </w:r>
    </w:p>
    <w:p w:rsidR="071209E9" w:rsidP="071209E9" w14:paraId="2C9CA7FE" w14:textId="77EE8E87">
      <w:pPr>
        <w:spacing w:after="0" w:line="240" w:lineRule="auto"/>
        <w:jc w:val="center"/>
        <w:rPr>
          <w:rFonts w:ascii="Arial" w:hAnsi="Arial" w:cs="Arial"/>
        </w:rPr>
      </w:pPr>
    </w:p>
    <w:p w:rsidR="001D1C73" w:rsidRPr="009139B3" w:rsidP="001D1C73" w14:paraId="391929B8" w14:textId="77777777">
      <w:pPr>
        <w:spacing w:after="0" w:line="240" w:lineRule="auto"/>
        <w:jc w:val="center"/>
        <w:rPr>
          <w:rFonts w:ascii="Arial" w:hAnsi="Arial" w:cs="Arial"/>
        </w:rPr>
      </w:pPr>
    </w:p>
    <w:p w:rsidR="001D1C73" w:rsidRPr="009139B3" w:rsidP="001D1C73" w14:paraId="42DEC821" w14:textId="77777777">
      <w:pPr>
        <w:spacing w:after="0" w:line="240" w:lineRule="auto"/>
        <w:jc w:val="center"/>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77777777">
      <w:pPr>
        <w:spacing w:after="0" w:line="240" w:lineRule="auto"/>
        <w:jc w:val="center"/>
        <w:rPr>
          <w:rFonts w:ascii="Arial" w:hAnsi="Arial" w:cs="Arial"/>
        </w:rPr>
      </w:pPr>
      <w:r w:rsidRPr="009139B3">
        <w:rPr>
          <w:rFonts w:ascii="Arial" w:hAnsi="Arial" w:cs="Arial"/>
        </w:rPr>
        <w:t>Submitted By: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77777777">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1D1C73" w:rsidP="001D1C73" w14:paraId="32BC72CD" w14:textId="77777777">
      <w:pPr>
        <w:spacing w:after="0" w:line="240" w:lineRule="auto"/>
        <w:jc w:val="center"/>
        <w:rPr>
          <w:rFonts w:ascii="Arial" w:hAnsi="Arial" w:cs="Arial"/>
        </w:rPr>
      </w:pPr>
      <w:r w:rsidRPr="009139B3">
        <w:rPr>
          <w:rFonts w:ascii="Arial" w:hAnsi="Arial" w:cs="Arial"/>
        </w:rPr>
        <w:t>Project Officers:</w:t>
      </w:r>
    </w:p>
    <w:p w:rsidR="00C840FD" w:rsidP="00C840FD" w14:paraId="20B57537" w14:textId="77777777">
      <w:pPr>
        <w:spacing w:after="0" w:line="240" w:lineRule="auto"/>
        <w:jc w:val="center"/>
        <w:rPr>
          <w:rFonts w:ascii="Arial" w:hAnsi="Arial" w:cs="Arial"/>
        </w:rPr>
      </w:pPr>
      <w:r>
        <w:rPr>
          <w:rFonts w:ascii="Arial" w:hAnsi="Arial" w:cs="Arial"/>
        </w:rPr>
        <w:t>Rebecca Hjelm</w:t>
      </w:r>
    </w:p>
    <w:p w:rsidR="00C840FD" w:rsidP="00C840FD" w14:paraId="6C5E7108" w14:textId="77777777">
      <w:pPr>
        <w:spacing w:after="0" w:line="240" w:lineRule="auto"/>
        <w:jc w:val="center"/>
        <w:rPr>
          <w:rFonts w:ascii="Arial" w:hAnsi="Arial" w:cs="Arial"/>
        </w:rPr>
      </w:pPr>
      <w:r>
        <w:rPr>
          <w:rFonts w:ascii="Arial" w:hAnsi="Arial" w:cs="Arial"/>
        </w:rPr>
        <w:t>Kathleen McCoy</w:t>
      </w:r>
    </w:p>
    <w:p w:rsidR="00C840FD" w:rsidRPr="009139B3" w:rsidP="00C840FD" w14:paraId="30BB68EF" w14:textId="7E2326A1">
      <w:pPr>
        <w:spacing w:after="0" w:line="240" w:lineRule="auto"/>
        <w:jc w:val="center"/>
        <w:rPr>
          <w:rFonts w:ascii="Arial" w:hAnsi="Arial" w:cs="Arial"/>
        </w:rPr>
      </w:pPr>
      <w:r>
        <w:rPr>
          <w:rFonts w:ascii="Arial" w:hAnsi="Arial" w:cs="Arial"/>
        </w:rPr>
        <w:t>Harmanpreet Bhatti</w:t>
      </w:r>
    </w:p>
    <w:p w:rsidR="001D1C73" w:rsidRPr="009139B3" w:rsidP="001D1C73" w14:paraId="028CE6F6" w14:textId="77777777">
      <w:pPr>
        <w:spacing w:after="0" w:line="240" w:lineRule="auto"/>
        <w:jc w:val="center"/>
        <w:rPr>
          <w:b/>
        </w:rPr>
      </w:pPr>
    </w:p>
    <w:p w:rsidR="001D1C73" w:rsidRPr="009139B3" w:rsidP="001D1C73" w14:paraId="72851F97" w14:textId="77777777">
      <w:pPr>
        <w:spacing w:after="0" w:line="240" w:lineRule="auto"/>
        <w:jc w:val="center"/>
        <w:rPr>
          <w:b/>
        </w:rPr>
      </w:pPr>
    </w:p>
    <w:p w:rsidR="001D1C73" w:rsidRPr="009139B3" w:rsidP="001D1C73" w14:paraId="7819D4D9" w14:textId="77777777">
      <w:pPr>
        <w:spacing w:after="0"/>
        <w:jc w:val="center"/>
        <w:rPr>
          <w:b/>
        </w:rPr>
      </w:pPr>
    </w:p>
    <w:p w:rsidR="001D1C73" w:rsidRPr="009139B3" w:rsidP="001D1C73" w14:paraId="12077675" w14:textId="77777777">
      <w:pPr>
        <w:spacing w:after="0"/>
        <w:rPr>
          <w:b/>
        </w:rPr>
      </w:pPr>
    </w:p>
    <w:p w:rsidR="001D1C73" w:rsidRPr="009139B3" w:rsidP="001D1C73" w14:paraId="43581017" w14:textId="77777777">
      <w:pPr>
        <w:spacing w:after="0" w:line="240" w:lineRule="auto"/>
        <w:jc w:val="center"/>
        <w:rPr>
          <w:b/>
          <w:sz w:val="32"/>
          <w:szCs w:val="32"/>
        </w:rPr>
      </w:pPr>
      <w:r w:rsidRPr="009139B3">
        <w:rPr>
          <w:b/>
          <w:sz w:val="32"/>
          <w:szCs w:val="32"/>
        </w:rPr>
        <w:t>Part A</w:t>
      </w:r>
    </w:p>
    <w:p w:rsidR="001D1C73" w:rsidRPr="009139B3" w:rsidP="001D1C73" w14:paraId="246E14EE" w14:textId="77777777">
      <w:pPr>
        <w:spacing w:after="0" w:line="240" w:lineRule="auto"/>
        <w:jc w:val="center"/>
        <w:rPr>
          <w:b/>
        </w:rPr>
      </w:pPr>
    </w:p>
    <w:p w:rsidR="001D1C73" w:rsidRPr="009139B3" w:rsidP="001D1C73" w14:paraId="2E25A862" w14:textId="77777777">
      <w:pPr>
        <w:spacing w:after="0" w:line="240" w:lineRule="auto"/>
        <w:rPr>
          <w:b/>
          <w:u w:val="single"/>
        </w:rPr>
      </w:pPr>
    </w:p>
    <w:p w:rsidR="001D1C73" w:rsidRPr="009139B3" w:rsidP="001D1C73" w14:paraId="75B97ABC" w14:textId="77777777">
      <w:pPr>
        <w:spacing w:after="0" w:line="240" w:lineRule="auto"/>
        <w:rPr>
          <w:b/>
          <w:u w:val="single"/>
        </w:rPr>
      </w:pPr>
    </w:p>
    <w:p w:rsidR="001D1C73" w:rsidRPr="009139B3" w:rsidP="001D1C73" w14:paraId="67A674E8" w14:textId="77777777">
      <w:pPr>
        <w:spacing w:after="0" w:line="240" w:lineRule="auto"/>
        <w:rPr>
          <w:b/>
          <w:sz w:val="28"/>
        </w:rPr>
      </w:pPr>
      <w:r w:rsidRPr="009139B3">
        <w:rPr>
          <w:b/>
          <w:sz w:val="28"/>
          <w:u w:val="single"/>
        </w:rPr>
        <w:t>Executive Summary</w:t>
      </w:r>
    </w:p>
    <w:p w:rsidR="001D1C73" w:rsidRPr="009139B3" w:rsidP="001D1C73" w14:paraId="77DFD6CC" w14:textId="77777777">
      <w:pPr>
        <w:spacing w:after="0" w:line="240" w:lineRule="auto"/>
        <w:rPr>
          <w:b/>
        </w:rPr>
      </w:pPr>
    </w:p>
    <w:p w:rsidR="001D1C73" w:rsidRPr="009139B3" w:rsidP="001D1C73" w14:paraId="61404D3D" w14:textId="4C846795">
      <w:pPr>
        <w:pStyle w:val="ListParagraph"/>
        <w:numPr>
          <w:ilvl w:val="0"/>
          <w:numId w:val="27"/>
        </w:numPr>
        <w:spacing w:after="0" w:line="240" w:lineRule="auto"/>
      </w:pPr>
      <w:r w:rsidRPr="009139B3">
        <w:rPr>
          <w:b/>
        </w:rPr>
        <w:t xml:space="preserve">Type of Request: </w:t>
      </w:r>
      <w:r w:rsidRPr="009139B3">
        <w:t>This Information Collection Request is for a</w:t>
      </w:r>
      <w:r w:rsidR="00031076">
        <w:t xml:space="preserve"> new data collection</w:t>
      </w:r>
      <w:r w:rsidRPr="009139B3">
        <w:t xml:space="preserve">. We are requesting </w:t>
      </w:r>
      <w:r w:rsidR="00031076">
        <w:t>one</w:t>
      </w:r>
      <w:r w:rsidRPr="009139B3">
        <w:t xml:space="preserve"> year of approval. </w:t>
      </w:r>
    </w:p>
    <w:p w:rsidR="001D1C73" w:rsidRPr="009139B3" w:rsidP="001D1C73" w14:paraId="3D729D59" w14:textId="77777777">
      <w:pPr>
        <w:pStyle w:val="ListParagraph"/>
        <w:spacing w:after="0"/>
      </w:pPr>
    </w:p>
    <w:p w:rsidR="00527D9F" w:rsidRPr="003500E0" w:rsidP="00F13050" w14:paraId="449C0069" w14:textId="3DBAAFF5">
      <w:pPr>
        <w:pStyle w:val="ListParagraph"/>
        <w:numPr>
          <w:ilvl w:val="0"/>
          <w:numId w:val="27"/>
        </w:numPr>
        <w:spacing w:after="0" w:line="240" w:lineRule="auto"/>
      </w:pPr>
      <w:r w:rsidRPr="00527D9F">
        <w:rPr>
          <w:b/>
        </w:rPr>
        <w:t xml:space="preserve">Description of Request: </w:t>
      </w:r>
      <w:r w:rsidRPr="00141190">
        <w:t xml:space="preserve">The Administration for Children and Families (ACF) at the U.S. Department of Health and Human Services (HHS) seeks approval </w:t>
      </w:r>
      <w:r w:rsidRPr="00031076" w:rsidR="00031076">
        <w:t>of the Healthy Marriage and Responsible Fatherhood (HMRF) Final Report Templates</w:t>
      </w:r>
      <w:r w:rsidR="00031076">
        <w:t>.</w:t>
      </w:r>
      <w:r w:rsidR="007D0040">
        <w:t xml:space="preserve"> </w:t>
      </w:r>
      <w:r w:rsidRPr="007D0040" w:rsidR="007D0040">
        <w:t xml:space="preserve">HMRF grant recipients carrying out local evaluations </w:t>
      </w:r>
      <w:r w:rsidR="00990348">
        <w:t>of their programs</w:t>
      </w:r>
      <w:r w:rsidR="006F5250">
        <w:t xml:space="preserve"> </w:t>
      </w:r>
      <w:r w:rsidRPr="007D0040" w:rsidR="007D0040">
        <w:t>are required to submit a final evaluation report to ACF at the end of their grant.</w:t>
      </w:r>
      <w:r w:rsidR="00031076">
        <w:t xml:space="preserve"> </w:t>
      </w:r>
      <w:r w:rsidR="007D0040">
        <w:t xml:space="preserve">This request includes </w:t>
      </w:r>
      <w:r w:rsidR="002C16C0">
        <w:t>templates</w:t>
      </w:r>
      <w:r w:rsidR="007D0040">
        <w:t xml:space="preserve"> </w:t>
      </w:r>
      <w:r w:rsidR="006F5250">
        <w:t>for</w:t>
      </w:r>
      <w:r w:rsidR="007D0040">
        <w:t xml:space="preserve"> grant recipients </w:t>
      </w:r>
      <w:r w:rsidR="006F5250">
        <w:t>to use to document their evaluation’s analysis and findings</w:t>
      </w:r>
      <w:r w:rsidR="007D0040">
        <w:t xml:space="preserve">. </w:t>
      </w:r>
      <w:r w:rsidR="007D0040">
        <w:rPr>
          <w:rFonts w:cs="Calibri"/>
        </w:rPr>
        <w:t xml:space="preserve">In addition, </w:t>
      </w:r>
      <w:r w:rsidR="002C16C0">
        <w:rPr>
          <w:rFonts w:cs="Calibri"/>
        </w:rPr>
        <w:t xml:space="preserve">the information collected in the final report templates will </w:t>
      </w:r>
      <w:r w:rsidR="001E1A1B">
        <w:rPr>
          <w:rFonts w:cs="Calibri"/>
        </w:rPr>
        <w:t>inform</w:t>
      </w:r>
      <w:r w:rsidRPr="00141190">
        <w:t xml:space="preserve"> technical assistance </w:t>
      </w:r>
      <w:r w:rsidR="001E1A1B">
        <w:t xml:space="preserve">provided </w:t>
      </w:r>
      <w:r w:rsidRPr="00141190">
        <w:t>to grant</w:t>
      </w:r>
      <w:r>
        <w:t xml:space="preserve"> recipients</w:t>
      </w:r>
      <w:r w:rsidRPr="00527D9F">
        <w:rPr>
          <w:rFonts w:cs="Calibri"/>
        </w:rPr>
        <w:t xml:space="preserve"> </w:t>
      </w:r>
      <w:r w:rsidR="00DE20AD">
        <w:rPr>
          <w:rFonts w:cs="Calibri"/>
        </w:rPr>
        <w:t xml:space="preserve">as they </w:t>
      </w:r>
      <w:r w:rsidR="001E1A1B">
        <w:rPr>
          <w:rFonts w:cs="Calibri"/>
        </w:rPr>
        <w:t>develop the final reports to ACF to fulfill the grant requirement</w:t>
      </w:r>
      <w:r w:rsidRPr="00527D9F">
        <w:rPr>
          <w:rFonts w:cs="Calibri"/>
        </w:rPr>
        <w:t>. We do not intend for this information to be used as the principal basis for public policy decisions.</w:t>
      </w:r>
    </w:p>
    <w:p w:rsidR="001D1C73" w:rsidRPr="009139B3" w:rsidP="001D1C73" w14:paraId="685C9784" w14:textId="77777777">
      <w:pPr>
        <w:pStyle w:val="ListParagraph"/>
        <w:spacing w:after="0"/>
      </w:pPr>
    </w:p>
    <w:p w:rsidR="001D1C73" w:rsidRPr="009139B3" w:rsidP="001D1C73" w14:paraId="432D851C" w14:textId="350F933A">
      <w:pPr>
        <w:pStyle w:val="ListParagraph"/>
        <w:numPr>
          <w:ilvl w:val="0"/>
          <w:numId w:val="27"/>
        </w:numPr>
        <w:spacing w:after="0" w:line="240" w:lineRule="auto"/>
        <w:rPr>
          <w:b/>
        </w:rPr>
      </w:pPr>
      <w:r w:rsidRPr="009139B3">
        <w:rPr>
          <w:b/>
        </w:rPr>
        <w:t xml:space="preserve">Time Sensitivity: </w:t>
      </w:r>
      <w:r w:rsidRPr="00527D9F" w:rsidR="00527D9F">
        <w:rPr>
          <w:bCs/>
        </w:rPr>
        <w:t xml:space="preserve"> </w:t>
      </w:r>
      <w:r w:rsidR="00990348">
        <w:rPr>
          <w:bCs/>
        </w:rPr>
        <w:t>ACF</w:t>
      </w:r>
      <w:r w:rsidRPr="0024052B" w:rsidR="00990348">
        <w:rPr>
          <w:bCs/>
        </w:rPr>
        <w:t xml:space="preserve"> </w:t>
      </w:r>
      <w:r w:rsidRPr="0024052B" w:rsidR="00527D9F">
        <w:rPr>
          <w:bCs/>
        </w:rPr>
        <w:t xml:space="preserve">would like to distribute the </w:t>
      </w:r>
      <w:r w:rsidR="00527D9F">
        <w:rPr>
          <w:bCs/>
        </w:rPr>
        <w:t>final report</w:t>
      </w:r>
      <w:r w:rsidRPr="0024052B" w:rsidR="00527D9F">
        <w:rPr>
          <w:bCs/>
        </w:rPr>
        <w:t xml:space="preserve"> template and instructions </w:t>
      </w:r>
      <w:r w:rsidRPr="00340C68" w:rsidR="00527D9F">
        <w:rPr>
          <w:bCs/>
        </w:rPr>
        <w:t xml:space="preserve">to </w:t>
      </w:r>
      <w:r w:rsidR="00527D9F">
        <w:rPr>
          <w:bCs/>
        </w:rPr>
        <w:t>HMRF grant recipients</w:t>
      </w:r>
      <w:r w:rsidRPr="00340C68" w:rsidR="00527D9F">
        <w:rPr>
          <w:bCs/>
        </w:rPr>
        <w:t xml:space="preserve"> </w:t>
      </w:r>
      <w:r w:rsidR="003349DE">
        <w:rPr>
          <w:bCs/>
        </w:rPr>
        <w:t>as soon as possible</w:t>
      </w:r>
      <w:r w:rsidR="00527D9F">
        <w:rPr>
          <w:bCs/>
        </w:rPr>
        <w:t xml:space="preserve"> </w:t>
      </w:r>
      <w:r w:rsidRPr="0024052B" w:rsidR="00527D9F">
        <w:rPr>
          <w:bCs/>
        </w:rPr>
        <w:t xml:space="preserve">to allow </w:t>
      </w:r>
      <w:r w:rsidR="00527D9F">
        <w:rPr>
          <w:bCs/>
        </w:rPr>
        <w:t>them</w:t>
      </w:r>
      <w:r w:rsidRPr="0024052B" w:rsidR="00527D9F">
        <w:rPr>
          <w:bCs/>
        </w:rPr>
        <w:t xml:space="preserve"> sufficient time to</w:t>
      </w:r>
      <w:r w:rsidR="00990348">
        <w:rPr>
          <w:bCs/>
        </w:rPr>
        <w:t xml:space="preserve"> complete and</w:t>
      </w:r>
      <w:r w:rsidRPr="0024052B" w:rsidR="00527D9F">
        <w:rPr>
          <w:bCs/>
        </w:rPr>
        <w:t xml:space="preserve"> </w:t>
      </w:r>
      <w:r w:rsidR="00527D9F">
        <w:rPr>
          <w:bCs/>
        </w:rPr>
        <w:t>submit their final reports to ACF before the end of the</w:t>
      </w:r>
      <w:r w:rsidR="00990348">
        <w:rPr>
          <w:bCs/>
        </w:rPr>
        <w:t xml:space="preserve"> grant</w:t>
      </w:r>
      <w:r w:rsidR="00527D9F">
        <w:rPr>
          <w:bCs/>
        </w:rPr>
        <w:t xml:space="preserve"> funding period in September 2025.</w:t>
      </w:r>
    </w:p>
    <w:p w:rsidR="001D1C73" w:rsidRPr="009139B3" w:rsidP="001D1C73" w14:paraId="44585B10" w14:textId="77777777">
      <w:pPr>
        <w:spacing w:after="0" w:line="240" w:lineRule="auto"/>
        <w:rPr>
          <w:b/>
        </w:rPr>
      </w:pPr>
    </w:p>
    <w:p w:rsidR="001D1C73" w:rsidRPr="009139B3" w:rsidP="001D1C73" w14:paraId="0CAA5121" w14:textId="77777777">
      <w:pPr>
        <w:spacing w:after="0" w:line="240" w:lineRule="auto"/>
        <w:rPr>
          <w:b/>
        </w:rPr>
      </w:pPr>
    </w:p>
    <w:p w:rsidR="001D1C73" w:rsidRPr="009139B3" w:rsidP="001D1C73" w14:paraId="7CF70A12" w14:textId="77777777">
      <w:pPr>
        <w:spacing w:after="0"/>
      </w:pPr>
      <w:r w:rsidRPr="009139B3">
        <w:br w:type="page"/>
      </w:r>
    </w:p>
    <w:p w:rsidR="001D1C73" w:rsidRPr="009139B3" w:rsidP="001D1C73" w14:paraId="2C4A3F63" w14:textId="77777777">
      <w:pPr>
        <w:spacing w:after="0" w:line="240" w:lineRule="auto"/>
      </w:pPr>
    </w:p>
    <w:p w:rsidR="001D1C73" w:rsidRPr="009139B3" w:rsidP="001D1C73" w14:paraId="376E93B4" w14:textId="77777777">
      <w:pPr>
        <w:spacing w:after="120" w:line="240" w:lineRule="auto"/>
      </w:pPr>
      <w:r w:rsidRPr="009139B3">
        <w:rPr>
          <w:b/>
        </w:rPr>
        <w:t>A1</w:t>
      </w:r>
      <w:r w:rsidRPr="009139B3">
        <w:t>.</w:t>
      </w:r>
      <w:r w:rsidRPr="009139B3">
        <w:tab/>
      </w:r>
      <w:r w:rsidRPr="009139B3">
        <w:rPr>
          <w:b/>
        </w:rPr>
        <w:t>Necessity for Collection</w:t>
      </w:r>
      <w:r w:rsidRPr="009139B3">
        <w:t xml:space="preserve"> </w:t>
      </w:r>
    </w:p>
    <w:p w:rsidR="008C7F8F" w:rsidP="008C7F8F" w14:paraId="0205C5B8" w14:textId="4D1B89D4">
      <w:pPr>
        <w:spacing w:after="0"/>
      </w:pPr>
      <w:r>
        <w:t xml:space="preserve">Per the 2020 </w:t>
      </w:r>
      <w:r w:rsidRPr="00141190">
        <w:t>Healthy Marriage and Responsible Fatherhood (</w:t>
      </w:r>
      <w:r>
        <w:t xml:space="preserve">HMRF) Notice of Funding Opportunities (NOFOs) issued by </w:t>
      </w:r>
      <w:r w:rsidRPr="00141190">
        <w:t>Administration for Children and Families (</w:t>
      </w:r>
      <w:r>
        <w:t>ACF), HMRF grant recipients are required to submit a final report to ACF at the end of their evaluations.</w:t>
      </w:r>
      <w:r w:rsidRPr="6146815C">
        <w:rPr>
          <w:rStyle w:val="FootnoteReference"/>
        </w:rPr>
        <w:t xml:space="preserve"> </w:t>
      </w:r>
      <w:r>
        <w:rPr>
          <w:rStyle w:val="FootnoteReference"/>
        </w:rPr>
        <w:footnoteReference w:id="2"/>
      </w:r>
      <w:r w:rsidRPr="6146815C">
        <w:rPr>
          <w:vertAlign w:val="superscript"/>
        </w:rPr>
        <w:t>,</w:t>
      </w:r>
      <w:r>
        <w:rPr>
          <w:rStyle w:val="FootnoteReference"/>
        </w:rPr>
        <w:footnoteReference w:id="3"/>
      </w:r>
      <w:r w:rsidRPr="6146815C">
        <w:rPr>
          <w:vertAlign w:val="superscript"/>
        </w:rPr>
        <w:t>,</w:t>
      </w:r>
      <w:r>
        <w:rPr>
          <w:rStyle w:val="FootnoteReference"/>
        </w:rPr>
        <w:footnoteReference w:id="4"/>
      </w:r>
      <w:r>
        <w:t xml:space="preserve">  To increase the </w:t>
      </w:r>
      <w:r w:rsidR="00FD72B9">
        <w:t xml:space="preserve">consistency </w:t>
      </w:r>
      <w:r>
        <w:t xml:space="preserve">of the final reports to ACF, HMRF grant recipients will use structured final evaluation report templates to provide critical information on the rigor and appropriateness of their research approaches and present the findings clearly. </w:t>
      </w:r>
      <w:r w:rsidRPr="00CE5A02">
        <w:t xml:space="preserve">The information collected will </w:t>
      </w:r>
      <w:r w:rsidR="00D93A6B">
        <w:t xml:space="preserve">also </w:t>
      </w:r>
      <w:r w:rsidRPr="00CE5A02">
        <w:t xml:space="preserve">be used </w:t>
      </w:r>
      <w:r>
        <w:t>to</w:t>
      </w:r>
      <w:r w:rsidRPr="00487FB0">
        <w:t xml:space="preserve"> inform the provision of technical assistance</w:t>
      </w:r>
      <w:r>
        <w:t xml:space="preserve"> (TA) on the final reports grant recipients will submit to ACF</w:t>
      </w:r>
      <w:r w:rsidR="00D93A6B">
        <w:t xml:space="preserve"> to meet the grant requirement</w:t>
      </w:r>
      <w:r>
        <w:t>.</w:t>
      </w:r>
    </w:p>
    <w:p w:rsidR="008C7F8F" w:rsidP="008C7F8F" w14:paraId="327ED286" w14:textId="77777777">
      <w:pPr>
        <w:spacing w:after="0"/>
      </w:pPr>
    </w:p>
    <w:p w:rsidR="008C7F8F" w:rsidRPr="00CF0F34" w:rsidP="008C7F8F" w14:paraId="465F3EBD" w14:textId="77777777">
      <w:pPr>
        <w:pStyle w:val="Heading4"/>
        <w:numPr>
          <w:ilvl w:val="3"/>
          <w:numId w:val="0"/>
        </w:numPr>
        <w:tabs>
          <w:tab w:val="num" w:pos="180"/>
        </w:tabs>
        <w:spacing w:before="0"/>
        <w:rPr>
          <w:rFonts w:asciiTheme="minorHAnsi" w:hAnsiTheme="minorHAnsi" w:cstheme="minorHAnsi"/>
          <w:b w:val="0"/>
          <w:bCs w:val="0"/>
          <w:i/>
          <w:sz w:val="22"/>
          <w:szCs w:val="22"/>
        </w:rPr>
      </w:pPr>
      <w:r w:rsidRPr="00CF0F34">
        <w:rPr>
          <w:rFonts w:asciiTheme="minorHAnsi" w:hAnsiTheme="minorHAnsi" w:cstheme="minorHAnsi"/>
          <w:b w:val="0"/>
          <w:bCs w:val="0"/>
          <w:i/>
          <w:sz w:val="22"/>
          <w:szCs w:val="22"/>
        </w:rPr>
        <w:t xml:space="preserve">Background </w:t>
      </w:r>
    </w:p>
    <w:p w:rsidR="008C7F8F" w:rsidP="008C7F8F" w14:paraId="4EF6C442" w14:textId="0D1F4102">
      <w:pPr>
        <w:autoSpaceDE w:val="0"/>
        <w:autoSpaceDN w:val="0"/>
        <w:spacing w:after="0"/>
        <w:jc w:val="both"/>
      </w:pPr>
      <w:r w:rsidRPr="000A3E4C">
        <w:t xml:space="preserve">Since 2005, Congress has authorized dedicated funding for discretionary </w:t>
      </w:r>
      <w:r>
        <w:t>award</w:t>
      </w:r>
      <w:r w:rsidRPr="000A3E4C">
        <w:t xml:space="preserve">s from </w:t>
      </w:r>
      <w:r>
        <w:t>ACF’s</w:t>
      </w:r>
      <w:r w:rsidRPr="000A3E4C">
        <w:t xml:space="preserve"> </w:t>
      </w:r>
      <w:r>
        <w:t>Office of Family Assistance (</w:t>
      </w:r>
      <w:r w:rsidRPr="000A3E4C">
        <w:t>OFA</w:t>
      </w:r>
      <w:r>
        <w:t>)</w:t>
      </w:r>
      <w:r w:rsidRPr="000A3E4C">
        <w:t xml:space="preserve"> to </w:t>
      </w:r>
      <w:r>
        <w:t>support</w:t>
      </w:r>
      <w:r w:rsidRPr="000A3E4C">
        <w:t xml:space="preserve"> HMR</w:t>
      </w:r>
      <w:r>
        <w:t>F</w:t>
      </w:r>
      <w:r w:rsidRPr="000A3E4C">
        <w:t xml:space="preserve"> programs</w:t>
      </w:r>
      <w:r w:rsidR="00CC0935">
        <w:t xml:space="preserve"> designed </w:t>
      </w:r>
      <w:r w:rsidRPr="00AC50FB" w:rsidR="00CC0935">
        <w:t>to develop the skills people need to form and sustain stable, high-quality relationships</w:t>
      </w:r>
      <w:r w:rsidRPr="000A3E4C">
        <w:t xml:space="preserve">. </w:t>
      </w:r>
      <w:r w:rsidRPr="004A1F98">
        <w:t xml:space="preserve">For </w:t>
      </w:r>
      <w:r>
        <w:t>more than</w:t>
      </w:r>
      <w:r w:rsidRPr="004A1F98">
        <w:t xml:space="preserve"> 10 years, </w:t>
      </w:r>
      <w:r w:rsidRPr="000A3E4C">
        <w:t xml:space="preserve">ACF’s Office of Planning, Research, and Evaluation (OPRE) </w:t>
      </w:r>
      <w:r w:rsidRPr="004A1F98">
        <w:t xml:space="preserve">has </w:t>
      </w:r>
      <w:r w:rsidR="00DE20AD">
        <w:t xml:space="preserve">partnered with OFA and </w:t>
      </w:r>
      <w:r w:rsidRPr="004A1F98">
        <w:t xml:space="preserve">led a sustained effort within the federal government to develop, document, and </w:t>
      </w:r>
      <w:r w:rsidRPr="00493DF4">
        <w:t>evaluate HMR</w:t>
      </w:r>
      <w:r>
        <w:t xml:space="preserve">F </w:t>
      </w:r>
      <w:r w:rsidRPr="00493DF4">
        <w:t xml:space="preserve">programs, particularly </w:t>
      </w:r>
      <w:r>
        <w:t>those serving</w:t>
      </w:r>
      <w:r w:rsidRPr="00493DF4">
        <w:t xml:space="preserve"> populations</w:t>
      </w:r>
      <w:r w:rsidRPr="00970B6F">
        <w:t xml:space="preserve"> </w:t>
      </w:r>
      <w:r>
        <w:t xml:space="preserve">with </w:t>
      </w:r>
      <w:r w:rsidRPr="00493DF4">
        <w:t>low incomes.</w:t>
      </w:r>
      <w:r w:rsidRPr="00BE02B0">
        <w:t xml:space="preserve"> </w:t>
      </w:r>
      <w:r>
        <w:t>OPRE and OFA</w:t>
      </w:r>
      <w:r w:rsidRPr="00AC50FB">
        <w:t xml:space="preserve"> have a long and proven commitment to supporting research on healthy relationships and family stability through federally funded HMR</w:t>
      </w:r>
      <w:r>
        <w:t>F</w:t>
      </w:r>
      <w:r w:rsidRPr="00AC50FB">
        <w:t xml:space="preserve"> programs. Through several prior and ongoing evaluations, ACF has sought to assess and improve HMR</w:t>
      </w:r>
      <w:r>
        <w:t>F</w:t>
      </w:r>
      <w:r w:rsidRPr="00AC50FB">
        <w:t xml:space="preserve"> programs</w:t>
      </w:r>
      <w:r>
        <w:t xml:space="preserve">. </w:t>
      </w:r>
    </w:p>
    <w:p w:rsidR="008C7F8F" w:rsidP="008C7F8F" w14:paraId="6BD3EB85" w14:textId="77777777">
      <w:pPr>
        <w:autoSpaceDE w:val="0"/>
        <w:autoSpaceDN w:val="0"/>
        <w:spacing w:after="0"/>
        <w:jc w:val="both"/>
      </w:pPr>
    </w:p>
    <w:p w:rsidR="008C7F8F" w:rsidP="008C7F8F" w14:paraId="3BFF3B76" w14:textId="3D738CC0">
      <w:pPr>
        <w:autoSpaceDE w:val="0"/>
        <w:autoSpaceDN w:val="0"/>
        <w:spacing w:after="0"/>
        <w:jc w:val="both"/>
      </w:pPr>
      <w:r>
        <w:rPr>
          <w:rFonts w:cstheme="minorHAnsi"/>
          <w:color w:val="1A1818"/>
        </w:rPr>
        <w:t xml:space="preserve">OPRE is conducting </w:t>
      </w:r>
      <w:r w:rsidR="00C065F0">
        <w:rPr>
          <w:rFonts w:cstheme="minorHAnsi"/>
          <w:color w:val="1A1818"/>
        </w:rPr>
        <w:t>t</w:t>
      </w:r>
      <w:r w:rsidRPr="005C59FA" w:rsidR="00C065F0">
        <w:rPr>
          <w:rFonts w:cstheme="minorHAnsi"/>
          <w:color w:val="1A1818"/>
        </w:rPr>
        <w:t>he</w:t>
      </w:r>
      <w:r w:rsidR="00C065F0">
        <w:t xml:space="preserve"> </w:t>
      </w:r>
      <w:r>
        <w:t>Healthy Marriage and Relationship Education (HMRE)</w:t>
      </w:r>
      <w:r w:rsidRPr="007B7AE7">
        <w:t xml:space="preserve"> </w:t>
      </w:r>
      <w:r>
        <w:t>Local Evaluation Technical Assistance (LETA) and the Responsible Fatherhood (RF) LETA</w:t>
      </w:r>
      <w:r w:rsidRPr="00141190">
        <w:t xml:space="preserve"> </w:t>
      </w:r>
      <w:r>
        <w:rPr>
          <w:rFonts w:cstheme="minorHAnsi"/>
          <w:color w:val="1A1818"/>
        </w:rPr>
        <w:t>project</w:t>
      </w:r>
      <w:r>
        <w:rPr>
          <w:rFonts w:cstheme="minorHAnsi"/>
          <w:color w:val="1A1818"/>
        </w:rPr>
        <w:t xml:space="preserve">s, hereafter </w:t>
      </w:r>
      <w:r>
        <w:t>referred to jointly as the HMRF-LETA project.</w:t>
      </w:r>
      <w:r>
        <w:rPr>
          <w:rStyle w:val="FootnoteReference"/>
        </w:rPr>
        <w:footnoteReference w:id="5"/>
      </w:r>
      <w:r>
        <w:rPr>
          <w:rFonts w:cstheme="minorHAnsi"/>
          <w:color w:val="1A1818"/>
        </w:rPr>
        <w:t xml:space="preserve"> </w:t>
      </w:r>
      <w:r>
        <w:rPr>
          <w:rFonts w:cstheme="minorHAnsi"/>
          <w:color w:val="1A1818"/>
        </w:rPr>
        <w:t xml:space="preserve">The HMRF-LETA project </w:t>
      </w:r>
      <w:r>
        <w:rPr>
          <w:rFonts w:cstheme="minorHAnsi"/>
          <w:color w:val="1A1818"/>
        </w:rPr>
        <w:t>teams</w:t>
      </w:r>
      <w:r w:rsidRPr="005C59FA">
        <w:rPr>
          <w:rFonts w:cstheme="minorHAnsi"/>
          <w:color w:val="1A1818"/>
        </w:rPr>
        <w:t xml:space="preserve"> provide evaluation TA to support federally funded </w:t>
      </w:r>
      <w:r w:rsidR="00DF59E0">
        <w:rPr>
          <w:rFonts w:cstheme="minorHAnsi"/>
          <w:color w:val="1A1818"/>
        </w:rPr>
        <w:t xml:space="preserve">grant recipients </w:t>
      </w:r>
      <w:r w:rsidR="00C625A5">
        <w:rPr>
          <w:rFonts w:cstheme="minorHAnsi"/>
          <w:color w:val="1A1818"/>
        </w:rPr>
        <w:t xml:space="preserve">that are </w:t>
      </w:r>
      <w:r w:rsidR="00DF59E0">
        <w:rPr>
          <w:rFonts w:cstheme="minorHAnsi"/>
          <w:color w:val="1A1818"/>
        </w:rPr>
        <w:t xml:space="preserve">evaluating </w:t>
      </w:r>
      <w:r w:rsidR="00D655CF">
        <w:rPr>
          <w:rFonts w:cstheme="minorHAnsi"/>
          <w:color w:val="1A1818"/>
        </w:rPr>
        <w:t xml:space="preserve">their own HMRF </w:t>
      </w:r>
      <w:r w:rsidRPr="005C59FA">
        <w:rPr>
          <w:rFonts w:cstheme="minorHAnsi"/>
          <w:color w:val="1A1818"/>
        </w:rPr>
        <w:t xml:space="preserve">programs </w:t>
      </w:r>
      <w:r w:rsidRPr="005C59FA" w:rsidR="00FD72B9">
        <w:rPr>
          <w:rFonts w:cstheme="minorHAnsi"/>
          <w:color w:val="1A1818"/>
        </w:rPr>
        <w:t>providing services</w:t>
      </w:r>
      <w:r w:rsidRPr="005C59FA">
        <w:rPr>
          <w:rFonts w:cstheme="minorHAnsi"/>
          <w:color w:val="1A1818"/>
        </w:rPr>
        <w:t xml:space="preserve"> to couples, adult individuals, </w:t>
      </w:r>
      <w:r>
        <w:rPr>
          <w:rFonts w:cstheme="minorHAnsi"/>
          <w:color w:val="1A1818"/>
        </w:rPr>
        <w:t xml:space="preserve">fathers, </w:t>
      </w:r>
      <w:r w:rsidRPr="005C59FA">
        <w:rPr>
          <w:rFonts w:cstheme="minorHAnsi"/>
          <w:color w:val="1A1818"/>
        </w:rPr>
        <w:t xml:space="preserve">and youth. </w:t>
      </w:r>
      <w:r w:rsidR="007C57B5">
        <w:rPr>
          <w:rFonts w:cstheme="minorHAnsi"/>
          <w:color w:val="1A1818"/>
        </w:rPr>
        <w:t>T</w:t>
      </w:r>
      <w:r w:rsidR="00850CCA">
        <w:rPr>
          <w:rFonts w:cstheme="minorHAnsi"/>
          <w:color w:val="1A1818"/>
        </w:rPr>
        <w:t xml:space="preserve">he final report templates </w:t>
      </w:r>
      <w:r w:rsidR="007C57B5">
        <w:rPr>
          <w:rFonts w:cstheme="minorHAnsi"/>
          <w:color w:val="1A1818"/>
        </w:rPr>
        <w:t xml:space="preserve">provide guidance to grant recipients to develop the required final reports and the information provided </w:t>
      </w:r>
      <w:r w:rsidR="00850CCA">
        <w:rPr>
          <w:rFonts w:cs="Calibri"/>
        </w:rPr>
        <w:t>will inform</w:t>
      </w:r>
      <w:r w:rsidRPr="00141190" w:rsidR="00850CCA">
        <w:t xml:space="preserve"> </w:t>
      </w:r>
      <w:r w:rsidR="00850CCA">
        <w:rPr>
          <w:rFonts w:cstheme="minorHAnsi"/>
          <w:color w:val="1A1818"/>
        </w:rPr>
        <w:t>the provision of TA by the HMRF-LETA teams</w:t>
      </w:r>
      <w:r w:rsidRPr="00850CCA" w:rsidR="00850CCA">
        <w:rPr>
          <w:rFonts w:cs="Calibri"/>
        </w:rPr>
        <w:t xml:space="preserve"> </w:t>
      </w:r>
      <w:r w:rsidRPr="00141190" w:rsidR="00850CCA">
        <w:t>to grant</w:t>
      </w:r>
      <w:r w:rsidR="00850CCA">
        <w:t xml:space="preserve"> recipients</w:t>
      </w:r>
      <w:r w:rsidRPr="00527D9F" w:rsidR="00850CCA">
        <w:rPr>
          <w:rFonts w:cs="Calibri"/>
        </w:rPr>
        <w:t xml:space="preserve"> on </w:t>
      </w:r>
      <w:r w:rsidR="00850CCA">
        <w:rPr>
          <w:rFonts w:cs="Calibri"/>
        </w:rPr>
        <w:t>developing and submitting</w:t>
      </w:r>
      <w:r w:rsidRPr="00527D9F" w:rsidR="00850CCA">
        <w:rPr>
          <w:rFonts w:cs="Calibri"/>
        </w:rPr>
        <w:t xml:space="preserve"> </w:t>
      </w:r>
      <w:r w:rsidR="00850CCA">
        <w:rPr>
          <w:rFonts w:cs="Calibri"/>
        </w:rPr>
        <w:t>the final reports to ACF.</w:t>
      </w:r>
    </w:p>
    <w:p w:rsidR="008C7F8F" w:rsidP="008C7F8F" w14:paraId="4998F84E" w14:textId="77777777">
      <w:pPr>
        <w:autoSpaceDE w:val="0"/>
        <w:autoSpaceDN w:val="0"/>
        <w:spacing w:after="0"/>
        <w:jc w:val="both"/>
        <w:rPr>
          <w:rFonts w:cstheme="minorHAnsi"/>
        </w:rPr>
      </w:pPr>
    </w:p>
    <w:p w:rsidR="002D69A3" w:rsidRPr="00B561D8" w:rsidP="008C7F8F" w14:paraId="0B5D319E" w14:textId="0A424B70">
      <w:pPr>
        <w:autoSpaceDE w:val="0"/>
        <w:autoSpaceDN w:val="0"/>
        <w:spacing w:after="0"/>
        <w:jc w:val="both"/>
        <w:rPr>
          <w:rFonts w:cstheme="minorHAnsi"/>
        </w:rPr>
      </w:pPr>
      <w:r>
        <w:rPr>
          <w:rFonts w:cstheme="minorHAnsi"/>
        </w:rPr>
        <w:t>OPRE has contracted with Mathematica and MDRC</w:t>
      </w:r>
      <w:r w:rsidR="00833B41">
        <w:rPr>
          <w:rFonts w:cstheme="minorHAnsi"/>
        </w:rPr>
        <w:t xml:space="preserve"> to complete this work.</w:t>
      </w:r>
    </w:p>
    <w:p w:rsidR="008C7F8F" w:rsidRPr="00EF1F73" w:rsidP="008C7F8F" w14:paraId="590DFA1C" w14:textId="77777777">
      <w:pPr>
        <w:spacing w:after="0"/>
      </w:pPr>
    </w:p>
    <w:p w:rsidR="008C7F8F" w:rsidRPr="00CF0F34" w:rsidP="00A56E39" w14:paraId="0840FBC3" w14:textId="77777777">
      <w:pPr>
        <w:pStyle w:val="Heading4"/>
        <w:numPr>
          <w:ilvl w:val="3"/>
          <w:numId w:val="0"/>
        </w:numPr>
        <w:tabs>
          <w:tab w:val="num" w:pos="180"/>
        </w:tabs>
        <w:spacing w:before="0"/>
        <w:rPr>
          <w:rFonts w:asciiTheme="minorHAnsi" w:hAnsiTheme="minorHAnsi" w:cstheme="minorHAnsi"/>
          <w:b w:val="0"/>
          <w:bCs w:val="0"/>
          <w:i/>
          <w:sz w:val="22"/>
          <w:szCs w:val="22"/>
        </w:rPr>
      </w:pPr>
      <w:r w:rsidRPr="00CF0F34">
        <w:rPr>
          <w:rFonts w:asciiTheme="minorHAnsi" w:hAnsiTheme="minorHAnsi" w:cstheme="minorHAnsi"/>
          <w:b w:val="0"/>
          <w:bCs w:val="0"/>
          <w:i/>
          <w:sz w:val="22"/>
          <w:szCs w:val="22"/>
        </w:rPr>
        <w:t xml:space="preserve">Legal or administrative requirements that necessitate the </w:t>
      </w:r>
      <w:r w:rsidRPr="00CF0F34">
        <w:rPr>
          <w:rFonts w:asciiTheme="minorHAnsi" w:hAnsiTheme="minorHAnsi" w:cstheme="minorHAnsi"/>
          <w:b w:val="0"/>
          <w:bCs w:val="0"/>
          <w:i/>
          <w:sz w:val="22"/>
          <w:szCs w:val="22"/>
        </w:rPr>
        <w:t>collection</w:t>
      </w:r>
      <w:r w:rsidRPr="00CF0F34">
        <w:rPr>
          <w:rFonts w:asciiTheme="minorHAnsi" w:hAnsiTheme="minorHAnsi" w:cstheme="minorHAnsi"/>
          <w:b w:val="0"/>
          <w:bCs w:val="0"/>
          <w:i/>
          <w:sz w:val="22"/>
          <w:szCs w:val="22"/>
        </w:rPr>
        <w:t xml:space="preserve"> </w:t>
      </w:r>
    </w:p>
    <w:p w:rsidR="008C7F8F" w:rsidP="008C7F8F" w14:paraId="4007176B" w14:textId="77777777">
      <w:pPr>
        <w:autoSpaceDE w:val="0"/>
        <w:autoSpaceDN w:val="0"/>
        <w:spacing w:after="0"/>
        <w:jc w:val="both"/>
      </w:pPr>
      <w:r w:rsidRPr="00493DF4">
        <w:t>There are no requirements that necessitate the collection. ACF is undertaking the collection at the discretion of the agency.</w:t>
      </w:r>
    </w:p>
    <w:p w:rsidR="001D1C73" w:rsidRPr="009139B3" w:rsidP="00C625A5" w14:paraId="3706DD4E" w14:textId="77777777">
      <w:pPr>
        <w:spacing w:after="0" w:line="240" w:lineRule="auto"/>
      </w:pPr>
    </w:p>
    <w:p w:rsidR="001D1C73" w:rsidP="001D1C73" w14:paraId="1D64CC0F" w14:textId="77777777">
      <w:pPr>
        <w:spacing w:after="120" w:line="240" w:lineRule="auto"/>
        <w:rPr>
          <w:b/>
        </w:rPr>
      </w:pPr>
      <w:r w:rsidRPr="009139B3">
        <w:rPr>
          <w:b/>
        </w:rPr>
        <w:t>A2</w:t>
      </w:r>
      <w:r w:rsidRPr="009139B3">
        <w:t>.</w:t>
      </w:r>
      <w:r w:rsidRPr="009139B3">
        <w:tab/>
      </w:r>
      <w:r w:rsidRPr="009139B3">
        <w:rPr>
          <w:b/>
        </w:rPr>
        <w:t>Purpose</w:t>
      </w:r>
    </w:p>
    <w:p w:rsidR="006779D4" w:rsidP="006779D4" w14:paraId="3B1E2807" w14:textId="744949AD">
      <w:pPr>
        <w:spacing w:after="60"/>
      </w:pPr>
      <w:r>
        <w:t>The pur</w:t>
      </w:r>
      <w:r w:rsidRPr="6146815C">
        <w:t xml:space="preserve">pose of the current </w:t>
      </w:r>
      <w:r w:rsidR="00EE18E5">
        <w:t>information collection request (</w:t>
      </w:r>
      <w:r w:rsidR="00354A65">
        <w:t>ICR</w:t>
      </w:r>
      <w:r w:rsidR="00EE18E5">
        <w:t>)</w:t>
      </w:r>
      <w:r w:rsidRPr="6146815C">
        <w:t xml:space="preserve"> is to </w:t>
      </w:r>
      <w:r>
        <w:t xml:space="preserve">provide </w:t>
      </w:r>
      <w:r w:rsidRPr="6146815C">
        <w:t xml:space="preserve">standardized templates </w:t>
      </w:r>
      <w:r w:rsidR="00107E1D">
        <w:t xml:space="preserve">(for descriptive or impact evaluations) </w:t>
      </w:r>
      <w:r w:rsidRPr="6146815C">
        <w:t>and accompanying instructions</w:t>
      </w:r>
      <w:r>
        <w:t xml:space="preserve"> to</w:t>
      </w:r>
      <w:r w:rsidRPr="6146815C">
        <w:t xml:space="preserve"> grant recipients</w:t>
      </w:r>
      <w:r>
        <w:t xml:space="preserve"> for them to</w:t>
      </w:r>
      <w:r w:rsidRPr="6146815C">
        <w:t xml:space="preserve"> tailor to their evaluation </w:t>
      </w:r>
      <w:r>
        <w:t>and</w:t>
      </w:r>
      <w:r w:rsidRPr="6146815C">
        <w:t xml:space="preserve"> document </w:t>
      </w:r>
      <w:r w:rsidRPr="00BC576E" w:rsidR="00674BCB">
        <w:t>the</w:t>
      </w:r>
      <w:r w:rsidR="00674BCB">
        <w:t>ir</w:t>
      </w:r>
      <w:r w:rsidRPr="00BC576E" w:rsidR="00674BCB">
        <w:t xml:space="preserve"> research questions, measures, study design, planned and actual implementation of the program, analytic methods for their evaluation, and evaluation findings</w:t>
      </w:r>
      <w:r w:rsidRPr="6146815C">
        <w:t xml:space="preserve">. A structured final report template will facilitate grant recipients’ efficient and effective reporting of evaluation findings in their final reports. </w:t>
      </w:r>
      <w:r>
        <w:t>The completed reports will be reviewed by the HMRF-LETA team for the purpose of identifying strengths and weaknesses</w:t>
      </w:r>
      <w:r w:rsidR="00B5216D">
        <w:t xml:space="preserve"> of the analytic approach</w:t>
      </w:r>
      <w:r>
        <w:t xml:space="preserve">, determining whether the reports meet </w:t>
      </w:r>
      <w:r w:rsidR="00423BCB">
        <w:t xml:space="preserve">ACF’s </w:t>
      </w:r>
      <w:r>
        <w:t xml:space="preserve">standards of rigor, developing recommendations for improvement, and informing TA on the development of the report before final submission to ACF. </w:t>
      </w:r>
      <w:r w:rsidRPr="6146815C">
        <w:t xml:space="preserve">The </w:t>
      </w:r>
      <w:r>
        <w:t xml:space="preserve">templates </w:t>
      </w:r>
      <w:r w:rsidR="00C065F0">
        <w:t xml:space="preserve">will </w:t>
      </w:r>
      <w:r>
        <w:t xml:space="preserve">be used by grant recipients </w:t>
      </w:r>
      <w:r w:rsidRPr="6146815C">
        <w:t xml:space="preserve">upon OMB approval </w:t>
      </w:r>
      <w:r>
        <w:t>until</w:t>
      </w:r>
      <w:r w:rsidRPr="6146815C">
        <w:t xml:space="preserve"> September 2025, which will allow </w:t>
      </w:r>
      <w:r>
        <w:t>them</w:t>
      </w:r>
      <w:r w:rsidRPr="6146815C">
        <w:t xml:space="preserve"> to submit draft versions of their final reports before revising and finalizing their reports by September 2025. </w:t>
      </w:r>
      <w:r>
        <w:t xml:space="preserve">Specifically, this </w:t>
      </w:r>
      <w:r w:rsidR="00354A65">
        <w:t>ICR</w:t>
      </w:r>
      <w:r>
        <w:t xml:space="preserve"> includes the following templates:</w:t>
      </w:r>
    </w:p>
    <w:p w:rsidR="006779D4" w:rsidRPr="003E6F5E" w:rsidP="006779D4" w14:paraId="0EF25D14" w14:textId="29C7564B">
      <w:pPr>
        <w:numPr>
          <w:ilvl w:val="0"/>
          <w:numId w:val="43"/>
        </w:numPr>
        <w:spacing w:after="120" w:line="240" w:lineRule="auto"/>
        <w:rPr>
          <w:rFonts w:cstheme="minorHAnsi"/>
        </w:rPr>
      </w:pPr>
      <w:r w:rsidRPr="00CF0F34">
        <w:rPr>
          <w:rFonts w:cstheme="minorHAnsi"/>
          <w:b/>
          <w:bCs/>
        </w:rPr>
        <w:t xml:space="preserve">Descriptive Evaluation Final Report Template </w:t>
      </w:r>
      <w:r w:rsidRPr="00CF0F34">
        <w:rPr>
          <w:b/>
          <w:bCs/>
        </w:rPr>
        <w:t>(Instrument 1</w:t>
      </w:r>
      <w:r w:rsidRPr="00C625A5">
        <w:rPr>
          <w:b/>
          <w:bCs/>
        </w:rPr>
        <w:t>)</w:t>
      </w:r>
      <w:r>
        <w:rPr>
          <w:rFonts w:cstheme="minorHAnsi"/>
        </w:rPr>
        <w:t xml:space="preserve">: </w:t>
      </w:r>
      <w:r w:rsidRPr="00FB0826">
        <w:rPr>
          <w:rFonts w:cstheme="minorHAnsi"/>
        </w:rPr>
        <w:t xml:space="preserve">HMRF grant recipients conducting local </w:t>
      </w:r>
      <w:r w:rsidRPr="00FB0826">
        <w:rPr>
          <w:rFonts w:cstheme="minorHAnsi"/>
          <w:i/>
        </w:rPr>
        <w:t>descriptive</w:t>
      </w:r>
      <w:r w:rsidRPr="00FB0826">
        <w:rPr>
          <w:rFonts w:cstheme="minorHAnsi"/>
        </w:rPr>
        <w:t xml:space="preserve"> evaluations </w:t>
      </w:r>
      <w:r w:rsidR="00927AD0">
        <w:rPr>
          <w:rFonts w:cstheme="minorHAnsi"/>
        </w:rPr>
        <w:t>will</w:t>
      </w:r>
      <w:r w:rsidRPr="00FB0826">
        <w:rPr>
          <w:rFonts w:cstheme="minorHAnsi"/>
        </w:rPr>
        <w:t xml:space="preserve"> complete a final report template</w:t>
      </w:r>
      <w:r w:rsidR="0047345D">
        <w:rPr>
          <w:rFonts w:cstheme="minorHAnsi"/>
        </w:rPr>
        <w:t xml:space="preserve"> (</w:t>
      </w:r>
      <w:r w:rsidRPr="00FB0826">
        <w:rPr>
          <w:rFonts w:cstheme="minorHAnsi"/>
        </w:rPr>
        <w:t>which include</w:t>
      </w:r>
      <w:r w:rsidR="003A5D14">
        <w:rPr>
          <w:rFonts w:cstheme="minorHAnsi"/>
        </w:rPr>
        <w:t>s</w:t>
      </w:r>
      <w:r w:rsidRPr="00FB0826">
        <w:rPr>
          <w:rFonts w:cstheme="minorHAnsi"/>
        </w:rPr>
        <w:t xml:space="preserve"> table shells</w:t>
      </w:r>
      <w:r w:rsidR="00F56518">
        <w:rPr>
          <w:rFonts w:cstheme="minorHAnsi"/>
        </w:rPr>
        <w:t xml:space="preserve"> to </w:t>
      </w:r>
      <w:r w:rsidR="00CC4CCD">
        <w:rPr>
          <w:rFonts w:cstheme="minorHAnsi"/>
        </w:rPr>
        <w:t>display quantitative</w:t>
      </w:r>
      <w:r w:rsidR="00F56518">
        <w:rPr>
          <w:rFonts w:cstheme="minorHAnsi"/>
        </w:rPr>
        <w:t xml:space="preserve"> </w:t>
      </w:r>
      <w:r w:rsidR="00CC4CCD">
        <w:rPr>
          <w:rFonts w:cstheme="minorHAnsi"/>
        </w:rPr>
        <w:t>results</w:t>
      </w:r>
      <w:r w:rsidR="0047345D">
        <w:rPr>
          <w:rFonts w:cstheme="minorHAnsi"/>
        </w:rPr>
        <w:t>)</w:t>
      </w:r>
      <w:r w:rsidRPr="00FB0826">
        <w:rPr>
          <w:rFonts w:cstheme="minorHAnsi"/>
        </w:rPr>
        <w:t xml:space="preserve"> that discusses their analyses and main findings. </w:t>
      </w:r>
      <w:bookmarkStart w:id="0" w:name="_Hlk176862691"/>
    </w:p>
    <w:bookmarkEnd w:id="0"/>
    <w:p w:rsidR="006779D4" w:rsidP="006779D4" w14:paraId="02E97527" w14:textId="26F62D48">
      <w:pPr>
        <w:numPr>
          <w:ilvl w:val="0"/>
          <w:numId w:val="43"/>
        </w:numPr>
        <w:spacing w:after="0" w:line="240" w:lineRule="auto"/>
        <w:rPr>
          <w:rFonts w:cstheme="minorHAnsi"/>
        </w:rPr>
      </w:pPr>
      <w:r w:rsidRPr="00CF0F34">
        <w:rPr>
          <w:rFonts w:cstheme="minorHAnsi"/>
          <w:b/>
          <w:bCs/>
        </w:rPr>
        <w:t xml:space="preserve">Impact Evaluation Final Report Template </w:t>
      </w:r>
      <w:r w:rsidRPr="00CF0F34">
        <w:rPr>
          <w:b/>
          <w:bCs/>
        </w:rPr>
        <w:t>(Instrument 2) and Table Shells (Instrument 3</w:t>
      </w:r>
      <w:r w:rsidRPr="00CF0F34">
        <w:rPr>
          <w:rFonts w:cstheme="minorHAnsi"/>
          <w:b/>
          <w:bCs/>
        </w:rPr>
        <w:t xml:space="preserve">): </w:t>
      </w:r>
      <w:r w:rsidRPr="00FB0826">
        <w:rPr>
          <w:rFonts w:cstheme="minorHAnsi"/>
        </w:rPr>
        <w:t xml:space="preserve">HMRF </w:t>
      </w:r>
      <w:bookmarkStart w:id="1" w:name="_Hlk170469070"/>
      <w:r w:rsidRPr="00FB0826">
        <w:rPr>
          <w:rFonts w:cstheme="minorHAnsi"/>
        </w:rPr>
        <w:t xml:space="preserve">grant recipients </w:t>
      </w:r>
      <w:bookmarkEnd w:id="1"/>
      <w:r w:rsidRPr="00FB0826">
        <w:rPr>
          <w:rFonts w:cstheme="minorHAnsi"/>
        </w:rPr>
        <w:t xml:space="preserve">conducting local </w:t>
      </w:r>
      <w:r w:rsidRPr="00FB0826">
        <w:rPr>
          <w:rFonts w:cstheme="minorHAnsi"/>
          <w:i/>
        </w:rPr>
        <w:t>impact</w:t>
      </w:r>
      <w:r w:rsidRPr="00FB0826">
        <w:rPr>
          <w:rFonts w:cstheme="minorHAnsi"/>
        </w:rPr>
        <w:t xml:space="preserve"> evaluations </w:t>
      </w:r>
      <w:r w:rsidR="00927AD0">
        <w:rPr>
          <w:rFonts w:cstheme="minorHAnsi"/>
        </w:rPr>
        <w:t>will</w:t>
      </w:r>
      <w:r w:rsidRPr="00FB0826">
        <w:rPr>
          <w:rFonts w:cstheme="minorHAnsi"/>
        </w:rPr>
        <w:t xml:space="preserve"> complete</w:t>
      </w:r>
      <w:r w:rsidR="00601956">
        <w:rPr>
          <w:rFonts w:cstheme="minorHAnsi"/>
        </w:rPr>
        <w:t xml:space="preserve"> a</w:t>
      </w:r>
      <w:r w:rsidRPr="00FB0826">
        <w:rPr>
          <w:rFonts w:cstheme="minorHAnsi"/>
        </w:rPr>
        <w:t xml:space="preserve"> final report template</w:t>
      </w:r>
      <w:r w:rsidR="0047345D">
        <w:rPr>
          <w:rFonts w:cstheme="minorHAnsi"/>
        </w:rPr>
        <w:t xml:space="preserve"> (</w:t>
      </w:r>
      <w:r w:rsidR="00D24ECC">
        <w:rPr>
          <w:rFonts w:cstheme="minorHAnsi"/>
        </w:rPr>
        <w:t>accompanied by</w:t>
      </w:r>
      <w:r w:rsidR="0047345D">
        <w:rPr>
          <w:rFonts w:cstheme="minorHAnsi"/>
        </w:rPr>
        <w:t xml:space="preserve"> separate </w:t>
      </w:r>
      <w:r w:rsidR="00601956">
        <w:rPr>
          <w:rFonts w:cstheme="minorHAnsi"/>
        </w:rPr>
        <w:t>table shells</w:t>
      </w:r>
      <w:r>
        <w:rPr>
          <w:rStyle w:val="FootnoteReference"/>
          <w:rFonts w:cstheme="minorHAnsi"/>
        </w:rPr>
        <w:footnoteReference w:id="6"/>
      </w:r>
      <w:r w:rsidR="00D24ECC">
        <w:rPr>
          <w:rFonts w:cstheme="minorHAnsi"/>
        </w:rPr>
        <w:t xml:space="preserve"> to display quantitative results</w:t>
      </w:r>
      <w:r w:rsidR="0047345D">
        <w:rPr>
          <w:rFonts w:cstheme="minorHAnsi"/>
        </w:rPr>
        <w:t>)</w:t>
      </w:r>
      <w:r w:rsidRPr="00FB0826">
        <w:rPr>
          <w:rFonts w:cstheme="minorHAnsi"/>
        </w:rPr>
        <w:t xml:space="preserve"> that discuss</w:t>
      </w:r>
      <w:r w:rsidR="005221E7">
        <w:rPr>
          <w:rFonts w:cstheme="minorHAnsi"/>
        </w:rPr>
        <w:t>es</w:t>
      </w:r>
      <w:r w:rsidRPr="00FB0826">
        <w:rPr>
          <w:rFonts w:cstheme="minorHAnsi"/>
        </w:rPr>
        <w:t xml:space="preserve"> </w:t>
      </w:r>
      <w:r w:rsidR="00601956">
        <w:rPr>
          <w:rFonts w:cstheme="minorHAnsi"/>
        </w:rPr>
        <w:t>and document</w:t>
      </w:r>
      <w:r w:rsidR="005221E7">
        <w:rPr>
          <w:rFonts w:cstheme="minorHAnsi"/>
        </w:rPr>
        <w:t>s</w:t>
      </w:r>
      <w:r w:rsidR="00601956">
        <w:rPr>
          <w:rFonts w:cstheme="minorHAnsi"/>
        </w:rPr>
        <w:t xml:space="preserve"> </w:t>
      </w:r>
      <w:r w:rsidRPr="00FB0826">
        <w:rPr>
          <w:rFonts w:cstheme="minorHAnsi"/>
        </w:rPr>
        <w:t xml:space="preserve">their analyses and main findings. </w:t>
      </w:r>
    </w:p>
    <w:p w:rsidR="006779D4" w:rsidRPr="00FB0826" w:rsidP="006779D4" w14:paraId="51400513" w14:textId="77777777">
      <w:pPr>
        <w:spacing w:after="0" w:line="240" w:lineRule="auto"/>
        <w:ind w:left="720"/>
        <w:rPr>
          <w:rFonts w:cstheme="minorHAnsi"/>
        </w:rPr>
      </w:pPr>
    </w:p>
    <w:p w:rsidR="006779D4" w:rsidP="006779D4" w14:paraId="200F94AE" w14:textId="0B96B77F">
      <w:pPr>
        <w:spacing w:after="0" w:line="240" w:lineRule="auto"/>
      </w:pPr>
      <w:r w:rsidRPr="003E6F5E">
        <w:t xml:space="preserve">Grant recipients will complete the final report template </w:t>
      </w:r>
      <w:r w:rsidR="00B67004">
        <w:t xml:space="preserve">(and </w:t>
      </w:r>
      <w:r w:rsidR="00AE2260">
        <w:t>t</w:t>
      </w:r>
      <w:r w:rsidR="00B67004">
        <w:t xml:space="preserve">able </w:t>
      </w:r>
      <w:r w:rsidR="00AE2260">
        <w:t>s</w:t>
      </w:r>
      <w:r w:rsidR="00B67004">
        <w:t xml:space="preserve">hells, for impact studies) </w:t>
      </w:r>
      <w:r w:rsidRPr="003E6F5E">
        <w:t xml:space="preserve">using </w:t>
      </w:r>
      <w:r>
        <w:t xml:space="preserve">accompanying </w:t>
      </w:r>
      <w:r w:rsidRPr="003E6F5E">
        <w:t xml:space="preserve">tailored instructions </w:t>
      </w:r>
      <w:r>
        <w:t xml:space="preserve">which we have provided </w:t>
      </w:r>
      <w:r w:rsidRPr="003E6F5E">
        <w:t>(Appendi</w:t>
      </w:r>
      <w:r>
        <w:t>ces</w:t>
      </w:r>
      <w:r w:rsidRPr="003E6F5E">
        <w:t xml:space="preserve"> </w:t>
      </w:r>
      <w:r>
        <w:t>A and B</w:t>
      </w:r>
      <w:r w:rsidRPr="003E6F5E">
        <w:t>)</w:t>
      </w:r>
      <w:r>
        <w:t xml:space="preserve">. </w:t>
      </w:r>
    </w:p>
    <w:p w:rsidR="006779D4" w:rsidRPr="00804CD0" w:rsidP="006779D4" w14:paraId="10C79B79" w14:textId="77777777">
      <w:pPr>
        <w:spacing w:after="0" w:line="240" w:lineRule="auto"/>
        <w:ind w:left="720"/>
      </w:pPr>
    </w:p>
    <w:p w:rsidR="006779D4" w:rsidP="006779D4" w14:paraId="54A436A4" w14:textId="77777777">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B47FA5" w:rsidRPr="00B47FA5" w:rsidP="00EE18E5" w14:paraId="6C675D5A" w14:textId="77777777">
      <w:pPr>
        <w:spacing w:after="0" w:line="240" w:lineRule="auto"/>
        <w:rPr>
          <w:iCs/>
        </w:rPr>
      </w:pPr>
    </w:p>
    <w:p w:rsidR="006779D4" w:rsidP="006779D4" w14:paraId="00429E76" w14:textId="358F5496">
      <w:pPr>
        <w:spacing w:after="60" w:line="240" w:lineRule="auto"/>
        <w:rPr>
          <w:i/>
        </w:rPr>
      </w:pPr>
      <w:r>
        <w:rPr>
          <w:i/>
        </w:rPr>
        <w:t>Information Collection Processes</w:t>
      </w:r>
    </w:p>
    <w:p w:rsidR="006779D4" w:rsidP="006779D4" w14:paraId="16C5CB0B" w14:textId="21F78192">
      <w:pPr>
        <w:spacing w:after="0" w:line="240" w:lineRule="auto"/>
      </w:pPr>
      <w:r>
        <w:t>Upon OMB approval, the HMRF-LETA team will send an email to each HMRF grant recipient</w:t>
      </w:r>
      <w:r w:rsidR="00E2379D">
        <w:t xml:space="preserve"> conducting a local evaluation</w:t>
      </w:r>
      <w:r w:rsidR="00FF47B2">
        <w:t>. There are a total of 69 grant recipient</w:t>
      </w:r>
      <w:r w:rsidR="00B83BB1">
        <w:t xml:space="preserve"> organizations</w:t>
      </w:r>
      <w:r w:rsidR="00FF47B2">
        <w:t xml:space="preserve"> conducting 7</w:t>
      </w:r>
      <w:r w:rsidR="00C625A5">
        <w:t>9</w:t>
      </w:r>
      <w:r w:rsidR="00FF47B2">
        <w:t xml:space="preserve"> local evaluations (</w:t>
      </w:r>
      <w:r w:rsidR="00E2379D">
        <w:t xml:space="preserve">40 HMRE </w:t>
      </w:r>
      <w:r w:rsidR="00FF47B2">
        <w:t>studies</w:t>
      </w:r>
      <w:r w:rsidR="00E2379D">
        <w:t xml:space="preserve"> and 39 RF </w:t>
      </w:r>
      <w:r w:rsidR="00FF47B2">
        <w:t>studies</w:t>
      </w:r>
      <w:r w:rsidR="00E2379D">
        <w:t>)</w:t>
      </w:r>
      <w:r>
        <w:t>.</w:t>
      </w:r>
      <w:r w:rsidR="00FF47B2">
        <w:t xml:space="preserve"> </w:t>
      </w:r>
      <w:r w:rsidR="0054782C">
        <w:t>Ten grant recipient</w:t>
      </w:r>
      <w:r w:rsidR="004047F8">
        <w:t xml:space="preserve"> organizations</w:t>
      </w:r>
      <w:r w:rsidR="0054782C">
        <w:t xml:space="preserve"> were awarded two grants which </w:t>
      </w:r>
      <w:r w:rsidR="000E1C35">
        <w:t xml:space="preserve">ACF </w:t>
      </w:r>
      <w:r w:rsidR="004047F8">
        <w:t>considers to be</w:t>
      </w:r>
      <w:r w:rsidR="000E1C35">
        <w:t xml:space="preserve"> separate </w:t>
      </w:r>
      <w:r w:rsidR="0054782C">
        <w:t>HMRF programs and local evaluations</w:t>
      </w:r>
      <w:r w:rsidR="007F6218">
        <w:t>;</w:t>
      </w:r>
      <w:r w:rsidR="000E1C35">
        <w:t xml:space="preserve"> </w:t>
      </w:r>
      <w:r w:rsidR="004047F8">
        <w:t xml:space="preserve">each </w:t>
      </w:r>
      <w:r w:rsidR="007F6218">
        <w:t xml:space="preserve">evaluation </w:t>
      </w:r>
      <w:r w:rsidR="000E1C35">
        <w:t xml:space="preserve">must meet the final report requirement. </w:t>
      </w:r>
      <w:r>
        <w:t xml:space="preserve">The emails (Appendices C and D) will introduce the templates, the instructions, and the timeline for submission. </w:t>
      </w:r>
      <w:r w:rsidR="00374379">
        <w:t>The emails will be tailored, such that grant recipients will only receive the final report templates for the type of study they are conducting (e.g.</w:t>
      </w:r>
      <w:r w:rsidR="00FF4997">
        <w:t>,</w:t>
      </w:r>
      <w:r w:rsidR="00374379">
        <w:t xml:space="preserve"> descriptive study grant recipients will only receive descriptive final report templates).</w:t>
      </w:r>
      <w:r w:rsidR="000E1C35">
        <w:t xml:space="preserve"> </w:t>
      </w:r>
      <w:r w:rsidR="007F6218">
        <w:t>Ten</w:t>
      </w:r>
      <w:r w:rsidR="000E1C35">
        <w:t xml:space="preserve"> grant recipient</w:t>
      </w:r>
      <w:r w:rsidR="004047F8">
        <w:t xml:space="preserve"> organizations</w:t>
      </w:r>
      <w:r w:rsidR="000E1C35">
        <w:t xml:space="preserve"> will receive two emails tailored to share the applicable materials for the local evaluation they are conducting for each grant</w:t>
      </w:r>
      <w:r w:rsidR="00D42249">
        <w:t xml:space="preserve"> award</w:t>
      </w:r>
      <w:r w:rsidR="000E1C35">
        <w:t xml:space="preserve">. </w:t>
      </w:r>
      <w:r w:rsidR="00374379">
        <w:t xml:space="preserve"> Grant recipients will submit their draft and final reports to </w:t>
      </w:r>
      <w:r w:rsidR="0027629B">
        <w:t xml:space="preserve">their OFA </w:t>
      </w:r>
      <w:r w:rsidRPr="0027629B" w:rsidR="0027629B">
        <w:t>Family Assistance Program Specialist</w:t>
      </w:r>
      <w:r w:rsidR="0027629B">
        <w:t xml:space="preserve"> (FPS) and HMRF-LETA TA team. </w:t>
      </w:r>
      <w:r w:rsidR="00763AF2">
        <w:t>T</w:t>
      </w:r>
      <w:r>
        <w:t xml:space="preserve">he HMRF-LETA team will review </w:t>
      </w:r>
      <w:r w:rsidR="00763AF2">
        <w:t>completed draft</w:t>
      </w:r>
      <w:r>
        <w:t xml:space="preserve"> </w:t>
      </w:r>
      <w:r>
        <w:t>reports from all grant recipients</w:t>
      </w:r>
      <w:r w:rsidR="0027629B">
        <w:t xml:space="preserve"> and provide TA to grant recipients so they can further improve the clarity and quality of the report to meet the ACF grant requirements</w:t>
      </w:r>
      <w:r w:rsidR="000D3BB2">
        <w:t xml:space="preserve"> for the final submission</w:t>
      </w:r>
      <w:r w:rsidR="0027629B">
        <w:t>.</w:t>
      </w:r>
      <w:r w:rsidR="00D60841">
        <w:t xml:space="preserve"> Ultimately, OFA will approve the final reports and notify the grant recipients that the report meets the ACF grant requirements. </w:t>
      </w:r>
      <w:r>
        <w:t xml:space="preserve"> </w:t>
      </w:r>
    </w:p>
    <w:p w:rsidR="006779D4" w:rsidP="006779D4" w14:paraId="05F95BD8" w14:textId="2EC50239">
      <w:pPr>
        <w:spacing w:after="0" w:line="240" w:lineRule="auto"/>
      </w:pPr>
    </w:p>
    <w:p w:rsidR="006779D4" w:rsidP="006779D4" w14:paraId="4A451867" w14:textId="31AF1297">
      <w:pPr>
        <w:spacing w:after="0" w:line="240" w:lineRule="auto"/>
      </w:pPr>
      <w:r>
        <w:t xml:space="preserve">The HMRF-LETA team will primarily provide support </w:t>
      </w:r>
      <w:r w:rsidR="00984A5B">
        <w:t>by offering</w:t>
      </w:r>
      <w:r>
        <w:t xml:space="preserve"> one-on-one TA calls with grant recipients while they </w:t>
      </w:r>
      <w:r w:rsidR="00451836">
        <w:t xml:space="preserve">develop </w:t>
      </w:r>
      <w:r>
        <w:t xml:space="preserve">the reports. The cadence of these calls (such as monthly, bimonthly, or quarterly) will be mutually decided by </w:t>
      </w:r>
      <w:r w:rsidR="00984A5B">
        <w:t>OPRE</w:t>
      </w:r>
      <w:r>
        <w:t xml:space="preserve">, </w:t>
      </w:r>
      <w:r w:rsidR="00984A5B">
        <w:t xml:space="preserve">the TA </w:t>
      </w:r>
      <w:r>
        <w:t>contractor</w:t>
      </w:r>
      <w:r w:rsidR="00984A5B">
        <w:t>s</w:t>
      </w:r>
      <w:r>
        <w:t xml:space="preserve">, and grant recipients. The evaluation TA liaisons for each grant recipient will invite the grant recipient’s project director and key staff, the local evaluator, and the </w:t>
      </w:r>
      <w:r w:rsidR="00984A5B">
        <w:t>FPS</w:t>
      </w:r>
      <w:r>
        <w:t xml:space="preserve"> from OFA to join these calls. </w:t>
      </w:r>
      <w:r w:rsidR="00984A5B">
        <w:t xml:space="preserve">The TA contractors will determine </w:t>
      </w:r>
      <w:r w:rsidR="00611D35">
        <w:t>whether to provide</w:t>
      </w:r>
      <w:r w:rsidR="00984A5B">
        <w:t xml:space="preserve"> a</w:t>
      </w:r>
      <w:r>
        <w:t xml:space="preserve">dditional TA, such as training webinars or other resources to support reporting, in consultation with </w:t>
      </w:r>
      <w:r w:rsidR="00984A5B">
        <w:t>OPRE</w:t>
      </w:r>
      <w:r>
        <w:t>.</w:t>
      </w:r>
    </w:p>
    <w:p w:rsidR="0027629B" w:rsidP="006779D4" w14:paraId="449A988E" w14:textId="77777777">
      <w:pPr>
        <w:spacing w:after="0" w:line="240" w:lineRule="auto"/>
      </w:pPr>
    </w:p>
    <w:p w:rsidR="00272999" w:rsidP="001D1C73" w14:paraId="59C95233" w14:textId="4CA10A28">
      <w:pPr>
        <w:spacing w:after="0" w:line="240" w:lineRule="auto"/>
      </w:pPr>
      <w:r>
        <w:t>Table A2.1 shows the data collection activities, instruments, respondents, content, purpose of collection, as well as the mode and expected duration to complete the instruments.</w:t>
      </w:r>
      <w:r w:rsidRPr="0027629B">
        <w:t xml:space="preserve"> </w:t>
      </w:r>
    </w:p>
    <w:p w:rsidR="00272999" w:rsidP="001D1C73" w14:paraId="4F5CBBF6" w14:textId="77777777">
      <w:pPr>
        <w:spacing w:after="0" w:line="240" w:lineRule="auto"/>
      </w:pPr>
    </w:p>
    <w:p w:rsidR="001D1C73" w:rsidRPr="009139B3" w:rsidP="001D1C73" w14:paraId="366BAD8E" w14:textId="5D4A22FC">
      <w:pPr>
        <w:spacing w:after="0" w:line="240" w:lineRule="auto"/>
        <w:rPr>
          <w:i/>
        </w:rPr>
      </w:pPr>
      <w:r>
        <w:t>As outlined in the NOFO, t</w:t>
      </w:r>
      <w:r w:rsidR="0027629B">
        <w:t xml:space="preserve">he final reports must be developed and refined as a condition of grant recipients’ funding, </w:t>
      </w:r>
      <w:r>
        <w:t xml:space="preserve">thus </w:t>
      </w:r>
      <w:r w:rsidR="0027629B">
        <w:t>we expect a response rate of 100 percent among those responding to the data collection activities outlined in this package.</w:t>
      </w:r>
    </w:p>
    <w:p w:rsidR="001D1C73" w:rsidRPr="009139B3" w:rsidP="001D1C73" w14:paraId="5BEDE90A" w14:textId="77777777">
      <w:pPr>
        <w:spacing w:after="0" w:line="240" w:lineRule="auto"/>
        <w:rPr>
          <w:i/>
        </w:rPr>
      </w:pPr>
    </w:p>
    <w:p w:rsidR="006779D4" w:rsidRPr="00037899" w:rsidP="006779D4" w14:paraId="5F4A2DC3" w14:textId="77777777">
      <w:pPr>
        <w:pStyle w:val="NoSpacing"/>
        <w:rPr>
          <w:b/>
          <w:bCs/>
        </w:rPr>
      </w:pPr>
      <w:r w:rsidRPr="00037899">
        <w:rPr>
          <w:b/>
          <w:bCs/>
        </w:rPr>
        <w:t>Table A2.</w:t>
      </w:r>
      <w:r>
        <w:rPr>
          <w:b/>
          <w:bCs/>
        </w:rPr>
        <w:t>1.</w:t>
      </w:r>
      <w:r w:rsidRPr="00037899">
        <w:rPr>
          <w:b/>
          <w:bCs/>
        </w:rPr>
        <w:t xml:space="preserve"> Data Collection Activities</w:t>
      </w:r>
    </w:p>
    <w:tbl>
      <w:tblPr>
        <w:tblStyle w:val="TableGrid"/>
        <w:tblW w:w="5000" w:type="pct"/>
        <w:tblInd w:w="0" w:type="dxa"/>
        <w:tblLook w:val="04A0"/>
      </w:tblPr>
      <w:tblGrid>
        <w:gridCol w:w="2154"/>
        <w:gridCol w:w="5401"/>
        <w:gridCol w:w="1795"/>
      </w:tblGrid>
      <w:tr w14:paraId="2AB9DFEB" w14:textId="77777777" w:rsidTr="00CD6BC7">
        <w:tblPrEx>
          <w:tblW w:w="5000" w:type="pct"/>
          <w:tblInd w:w="0" w:type="dxa"/>
          <w:tblLook w:val="04A0"/>
        </w:tblPrEx>
        <w:tc>
          <w:tcPr>
            <w:tcW w:w="1152" w:type="pct"/>
            <w:shd w:val="clear" w:color="auto" w:fill="D9D9D9" w:themeFill="background1" w:themeFillShade="D9"/>
          </w:tcPr>
          <w:p w:rsidR="006779D4" w:rsidRPr="00BC3401" w:rsidP="00CF0F34" w14:paraId="3BCA696E" w14:textId="77777777">
            <w:pPr>
              <w:rPr>
                <w:rFonts w:asciiTheme="minorHAnsi" w:hAnsiTheme="minorHAnsi" w:cstheme="minorHAnsi"/>
                <w:i/>
              </w:rPr>
            </w:pPr>
            <w:r w:rsidRPr="00BC3401">
              <w:rPr>
                <w:rFonts w:asciiTheme="minorHAnsi" w:hAnsiTheme="minorHAnsi" w:cstheme="minorHAnsi"/>
                <w:i/>
              </w:rPr>
              <w:t>Instrument</w:t>
            </w:r>
            <w:r>
              <w:rPr>
                <w:rFonts w:asciiTheme="minorHAnsi" w:hAnsiTheme="minorHAnsi" w:cstheme="minorHAnsi"/>
                <w:i/>
              </w:rPr>
              <w:t xml:space="preserve"> and instructions</w:t>
            </w:r>
          </w:p>
        </w:tc>
        <w:tc>
          <w:tcPr>
            <w:tcW w:w="2888" w:type="pct"/>
            <w:shd w:val="clear" w:color="auto" w:fill="D9D9D9" w:themeFill="background1" w:themeFillShade="D9"/>
          </w:tcPr>
          <w:p w:rsidR="006779D4" w:rsidRPr="00BC3401" w:rsidP="00CF0F34" w14:paraId="5F3B87C3"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960" w:type="pct"/>
            <w:shd w:val="clear" w:color="auto" w:fill="D9D9D9" w:themeFill="background1" w:themeFillShade="D9"/>
          </w:tcPr>
          <w:p w:rsidR="006779D4" w:rsidRPr="00BC3401" w:rsidP="00CF0F34" w14:paraId="09D425C6" w14:textId="77777777">
            <w:pPr>
              <w:rPr>
                <w:rFonts w:asciiTheme="minorHAnsi" w:hAnsiTheme="minorHAnsi" w:cstheme="minorHAnsi"/>
                <w:i/>
              </w:rPr>
            </w:pPr>
            <w:r w:rsidRPr="00BC3401">
              <w:rPr>
                <w:rFonts w:asciiTheme="minorHAnsi" w:hAnsiTheme="minorHAnsi" w:cstheme="minorHAnsi"/>
                <w:i/>
              </w:rPr>
              <w:t>Mode and Duration</w:t>
            </w:r>
          </w:p>
        </w:tc>
      </w:tr>
      <w:tr w14:paraId="3132FAE7" w14:textId="77777777" w:rsidTr="00CD6BC7">
        <w:tblPrEx>
          <w:tblW w:w="5000" w:type="pct"/>
          <w:tblInd w:w="0" w:type="dxa"/>
          <w:tblLook w:val="04A0"/>
        </w:tblPrEx>
        <w:tc>
          <w:tcPr>
            <w:tcW w:w="1152" w:type="pct"/>
          </w:tcPr>
          <w:p w:rsidR="006779D4" w:rsidP="00CF0F34" w14:paraId="37CFFCAF" w14:textId="77777777">
            <w:pPr>
              <w:rPr>
                <w:rFonts w:asciiTheme="minorHAnsi" w:hAnsiTheme="minorHAnsi" w:cstheme="minorHAnsi"/>
              </w:rPr>
            </w:pPr>
            <w:r w:rsidRPr="000415A4">
              <w:rPr>
                <w:rFonts w:asciiTheme="minorHAnsi" w:hAnsiTheme="minorHAnsi" w:cstheme="minorHAnsi"/>
              </w:rPr>
              <w:t xml:space="preserve">Descriptive </w:t>
            </w:r>
            <w:r>
              <w:rPr>
                <w:rFonts w:asciiTheme="minorHAnsi" w:hAnsiTheme="minorHAnsi" w:cstheme="minorHAnsi"/>
              </w:rPr>
              <w:t>Evaluation Final Report</w:t>
            </w:r>
            <w:r w:rsidRPr="000415A4">
              <w:rPr>
                <w:rFonts w:asciiTheme="minorHAnsi" w:hAnsiTheme="minorHAnsi" w:cstheme="minorHAnsi"/>
              </w:rPr>
              <w:t xml:space="preserve"> Template</w:t>
            </w:r>
            <w:r>
              <w:rPr>
                <w:rFonts w:asciiTheme="minorHAnsi" w:hAnsiTheme="minorHAnsi" w:cstheme="minorHAnsi"/>
              </w:rPr>
              <w:t xml:space="preserve"> (</w:t>
            </w:r>
            <w:r w:rsidRPr="00E413D5">
              <w:rPr>
                <w:rFonts w:asciiTheme="minorHAnsi" w:hAnsiTheme="minorHAnsi" w:cstheme="minorHAnsi"/>
              </w:rPr>
              <w:t xml:space="preserve">Instrument </w:t>
            </w:r>
            <w:r>
              <w:rPr>
                <w:rFonts w:asciiTheme="minorHAnsi" w:hAnsiTheme="minorHAnsi" w:cstheme="minorHAnsi"/>
              </w:rPr>
              <w:t>1)</w:t>
            </w:r>
          </w:p>
          <w:p w:rsidR="006779D4" w:rsidP="00CF0F34" w14:paraId="411D95E6" w14:textId="77777777">
            <w:pPr>
              <w:rPr>
                <w:rFonts w:asciiTheme="minorHAnsi" w:hAnsiTheme="minorHAnsi" w:cstheme="minorHAnsi"/>
              </w:rPr>
            </w:pPr>
          </w:p>
          <w:p w:rsidR="006779D4" w:rsidRPr="000415A4" w:rsidP="00CF0F34" w14:paraId="270C679B" w14:textId="77777777">
            <w:pPr>
              <w:rPr>
                <w:rFonts w:asciiTheme="minorHAnsi" w:hAnsiTheme="minorHAnsi" w:cstheme="minorHAnsi"/>
              </w:rPr>
            </w:pPr>
          </w:p>
        </w:tc>
        <w:tc>
          <w:tcPr>
            <w:tcW w:w="2888" w:type="pct"/>
          </w:tcPr>
          <w:p w:rsidR="006779D4" w:rsidRPr="000415A4" w:rsidP="00CF0F34" w14:paraId="21EF70FD" w14:textId="77777777">
            <w:pPr>
              <w:rPr>
                <w:rFonts w:asciiTheme="minorHAnsi" w:hAnsiTheme="minorHAnsi" w:cstheme="minorHAnsi"/>
              </w:rPr>
            </w:pPr>
            <w:r w:rsidRPr="000415A4">
              <w:rPr>
                <w:rFonts w:asciiTheme="minorHAnsi" w:hAnsiTheme="minorHAnsi" w:cstheme="minorHAnsi"/>
                <w:b/>
              </w:rPr>
              <w:t>Respondents</w:t>
            </w:r>
            <w:r w:rsidRPr="000415A4">
              <w:rPr>
                <w:rFonts w:asciiTheme="minorHAnsi" w:hAnsiTheme="minorHAnsi" w:cstheme="minorHAnsi"/>
              </w:rPr>
              <w:t xml:space="preserve">: </w:t>
            </w:r>
            <w:r>
              <w:rPr>
                <w:rFonts w:asciiTheme="minorHAnsi" w:hAnsiTheme="minorHAnsi" w:cstheme="minorHAnsi"/>
              </w:rPr>
              <w:t xml:space="preserve">Grant recipients </w:t>
            </w:r>
            <w:r w:rsidRPr="001C610E">
              <w:rPr>
                <w:rFonts w:asciiTheme="minorHAnsi" w:hAnsiTheme="minorHAnsi" w:cstheme="minorHAnsi"/>
              </w:rPr>
              <w:t>conducting local evaluations with a descriptive design</w:t>
            </w:r>
            <w:r>
              <w:rPr>
                <w:rFonts w:asciiTheme="minorHAnsi" w:hAnsiTheme="minorHAnsi" w:cstheme="minorHAnsi"/>
              </w:rPr>
              <w:t>.</w:t>
            </w:r>
          </w:p>
          <w:p w:rsidR="006779D4" w:rsidRPr="000415A4" w:rsidP="00CF0F34" w14:paraId="79CE5EEA" w14:textId="77777777">
            <w:pPr>
              <w:rPr>
                <w:rFonts w:asciiTheme="minorHAnsi" w:hAnsiTheme="minorHAnsi" w:cstheme="minorHAnsi"/>
              </w:rPr>
            </w:pPr>
          </w:p>
          <w:p w:rsidR="006779D4" w:rsidP="00CF0F34" w14:paraId="7D1C425F" w14:textId="3FD21A69">
            <w:pPr>
              <w:rPr>
                <w:rFonts w:asciiTheme="minorHAnsi" w:hAnsiTheme="minorHAnsi" w:cstheme="minorHAnsi"/>
              </w:rPr>
            </w:pPr>
            <w:r w:rsidRPr="000415A4">
              <w:rPr>
                <w:rFonts w:asciiTheme="minorHAnsi" w:hAnsiTheme="minorHAnsi" w:cstheme="minorHAnsi"/>
                <w:b/>
              </w:rPr>
              <w:t>Content</w:t>
            </w:r>
            <w:r w:rsidRPr="000415A4">
              <w:rPr>
                <w:rFonts w:asciiTheme="minorHAnsi" w:hAnsiTheme="minorHAnsi" w:cstheme="minorHAnsi"/>
              </w:rPr>
              <w:t xml:space="preserve">: </w:t>
            </w:r>
            <w:r>
              <w:rPr>
                <w:rFonts w:asciiTheme="minorHAnsi" w:hAnsiTheme="minorHAnsi" w:cstheme="minorHAnsi"/>
              </w:rPr>
              <w:t>A</w:t>
            </w:r>
            <w:r w:rsidRPr="00F22AA3">
              <w:rPr>
                <w:rFonts w:asciiTheme="minorHAnsi" w:hAnsiTheme="minorHAnsi" w:cstheme="minorHAnsi"/>
              </w:rPr>
              <w:t xml:space="preserve"> descriptive </w:t>
            </w:r>
            <w:r>
              <w:rPr>
                <w:rFonts w:asciiTheme="minorHAnsi" w:hAnsiTheme="minorHAnsi" w:cstheme="minorHAnsi"/>
              </w:rPr>
              <w:t>final report</w:t>
            </w:r>
            <w:r w:rsidRPr="00F22AA3">
              <w:rPr>
                <w:rFonts w:asciiTheme="minorHAnsi" w:hAnsiTheme="minorHAnsi" w:cstheme="minorHAnsi"/>
              </w:rPr>
              <w:t xml:space="preserve"> describe</w:t>
            </w:r>
            <w:r>
              <w:rPr>
                <w:rFonts w:asciiTheme="minorHAnsi" w:hAnsiTheme="minorHAnsi" w:cstheme="minorHAnsi"/>
              </w:rPr>
              <w:t>s</w:t>
            </w:r>
            <w:r w:rsidRPr="00F22AA3">
              <w:rPr>
                <w:rFonts w:asciiTheme="minorHAnsi" w:hAnsiTheme="minorHAnsi" w:cstheme="minorHAnsi"/>
              </w:rPr>
              <w:t xml:space="preserve"> the program design; the research questions; and the analytic approach for the outcome study, the implementation study, or both (depending on the studies the </w:t>
            </w:r>
            <w:r>
              <w:rPr>
                <w:rFonts w:asciiTheme="minorHAnsi" w:hAnsiTheme="minorHAnsi" w:cstheme="minorHAnsi"/>
              </w:rPr>
              <w:t>grant</w:t>
            </w:r>
            <w:r w:rsidRPr="00F22AA3">
              <w:rPr>
                <w:rFonts w:asciiTheme="minorHAnsi" w:hAnsiTheme="minorHAnsi" w:cstheme="minorHAnsi"/>
              </w:rPr>
              <w:t xml:space="preserve"> recipient is conducting). In addition, for the outcome study, the </w:t>
            </w:r>
            <w:r>
              <w:rPr>
                <w:rFonts w:asciiTheme="minorHAnsi" w:hAnsiTheme="minorHAnsi" w:cstheme="minorHAnsi"/>
              </w:rPr>
              <w:t>report</w:t>
            </w:r>
            <w:r w:rsidRPr="00F22AA3">
              <w:rPr>
                <w:rFonts w:asciiTheme="minorHAnsi" w:hAnsiTheme="minorHAnsi" w:cstheme="minorHAnsi"/>
              </w:rPr>
              <w:t xml:space="preserve"> includes a description of the evaluation enrollment process, data collection procedures, and outcome measures; for the implementation study, the </w:t>
            </w:r>
            <w:r>
              <w:rPr>
                <w:rFonts w:asciiTheme="minorHAnsi" w:hAnsiTheme="minorHAnsi" w:cstheme="minorHAnsi"/>
              </w:rPr>
              <w:t>report</w:t>
            </w:r>
            <w:r w:rsidRPr="00F22AA3">
              <w:rPr>
                <w:rFonts w:asciiTheme="minorHAnsi" w:hAnsiTheme="minorHAnsi" w:cstheme="minorHAnsi"/>
              </w:rPr>
              <w:t xml:space="preserve"> also discusses the research questions and the data used to answer the research questions.</w:t>
            </w:r>
            <w:r>
              <w:rPr>
                <w:rFonts w:asciiTheme="minorHAnsi" w:hAnsiTheme="minorHAnsi" w:cstheme="minorHAnsi"/>
              </w:rPr>
              <w:t xml:space="preserve"> The final report concludes with the evaluation’s findings and implications.</w:t>
            </w:r>
          </w:p>
          <w:p w:rsidR="006779D4" w:rsidRPr="000415A4" w:rsidP="00CF0F34" w14:paraId="402B3105" w14:textId="77777777">
            <w:pPr>
              <w:rPr>
                <w:rFonts w:asciiTheme="minorHAnsi" w:hAnsiTheme="minorHAnsi" w:cstheme="minorHAnsi"/>
              </w:rPr>
            </w:pPr>
          </w:p>
          <w:p w:rsidR="006779D4" w:rsidRPr="000415A4" w:rsidP="00CF0F34" w14:paraId="5404660E" w14:textId="77777777">
            <w:pPr>
              <w:rPr>
                <w:rFonts w:asciiTheme="minorHAnsi" w:hAnsiTheme="minorHAnsi" w:cstheme="minorBidi"/>
              </w:rPr>
            </w:pPr>
            <w:r w:rsidRPr="6146815C">
              <w:rPr>
                <w:rFonts w:asciiTheme="minorHAnsi" w:hAnsiTheme="minorHAnsi" w:cstheme="minorBidi"/>
                <w:b/>
                <w:bCs/>
              </w:rPr>
              <w:t>Purpose</w:t>
            </w:r>
            <w:r w:rsidRPr="6146815C">
              <w:rPr>
                <w:rFonts w:asciiTheme="minorHAnsi" w:hAnsiTheme="minorHAnsi" w:cstheme="minorBidi"/>
              </w:rPr>
              <w:t xml:space="preserve">: To document </w:t>
            </w:r>
            <w:r w:rsidRPr="00D426AE">
              <w:rPr>
                <w:rFonts w:asciiTheme="minorHAnsi" w:hAnsiTheme="minorHAnsi" w:cstheme="minorBidi"/>
              </w:rPr>
              <w:t>grant recipients</w:t>
            </w:r>
            <w:r>
              <w:rPr>
                <w:rFonts w:asciiTheme="minorHAnsi" w:hAnsiTheme="minorHAnsi" w:cstheme="minorBidi"/>
              </w:rPr>
              <w:t>’</w:t>
            </w:r>
            <w:r w:rsidRPr="00D426AE">
              <w:rPr>
                <w:rFonts w:asciiTheme="minorHAnsi" w:hAnsiTheme="minorHAnsi" w:cstheme="minorBidi"/>
              </w:rPr>
              <w:t xml:space="preserve"> </w:t>
            </w:r>
            <w:r w:rsidRPr="6146815C">
              <w:rPr>
                <w:rFonts w:asciiTheme="minorHAnsi" w:hAnsiTheme="minorHAnsi" w:cstheme="minorBidi"/>
              </w:rPr>
              <w:t xml:space="preserve">final descriptive evaluation findings and inform subsequent TA before submission of the report to ACF.  </w:t>
            </w:r>
          </w:p>
        </w:tc>
        <w:tc>
          <w:tcPr>
            <w:tcW w:w="960" w:type="pct"/>
          </w:tcPr>
          <w:p w:rsidR="006779D4" w:rsidRPr="000415A4" w:rsidP="00CF0F34" w14:paraId="47CC0DBD" w14:textId="13769771">
            <w:pPr>
              <w:rPr>
                <w:rFonts w:asciiTheme="minorHAnsi" w:hAnsiTheme="minorHAnsi" w:cstheme="minorHAnsi"/>
              </w:rPr>
            </w:pPr>
            <w:r w:rsidRPr="000415A4">
              <w:rPr>
                <w:rFonts w:asciiTheme="minorHAnsi" w:hAnsiTheme="minorHAnsi" w:cstheme="minorHAnsi"/>
                <w:b/>
              </w:rPr>
              <w:t>Mode</w:t>
            </w:r>
            <w:r w:rsidRPr="000415A4">
              <w:rPr>
                <w:rFonts w:asciiTheme="minorHAnsi" w:hAnsiTheme="minorHAnsi" w:cstheme="minorHAnsi"/>
              </w:rPr>
              <w:t xml:space="preserve">: </w:t>
            </w:r>
            <w:r w:rsidR="00350DCE">
              <w:rPr>
                <w:rFonts w:asciiTheme="minorHAnsi" w:hAnsiTheme="minorHAnsi" w:cstheme="minorHAnsi"/>
              </w:rPr>
              <w:t xml:space="preserve">Shared and collected via email </w:t>
            </w:r>
          </w:p>
          <w:p w:rsidR="006779D4" w:rsidRPr="000415A4" w:rsidP="00CF0F34" w14:paraId="7A37DFA7" w14:textId="77777777">
            <w:pPr>
              <w:rPr>
                <w:rFonts w:asciiTheme="minorHAnsi" w:hAnsiTheme="minorHAnsi" w:cstheme="minorHAnsi"/>
              </w:rPr>
            </w:pPr>
          </w:p>
          <w:p w:rsidR="006779D4" w:rsidRPr="000415A4" w:rsidP="00CF0F34" w14:paraId="4C8BFB42" w14:textId="77777777">
            <w:pPr>
              <w:rPr>
                <w:rFonts w:asciiTheme="minorHAnsi" w:hAnsiTheme="minorHAnsi" w:cstheme="minorHAnsi"/>
              </w:rPr>
            </w:pPr>
            <w:r w:rsidRPr="000415A4">
              <w:rPr>
                <w:rFonts w:asciiTheme="minorHAnsi" w:hAnsiTheme="minorHAnsi" w:cstheme="minorHAnsi"/>
                <w:b/>
              </w:rPr>
              <w:t>Duration</w:t>
            </w:r>
            <w:r w:rsidRPr="000415A4">
              <w:rPr>
                <w:rFonts w:asciiTheme="minorHAnsi" w:hAnsiTheme="minorHAnsi" w:cstheme="minorHAnsi"/>
              </w:rPr>
              <w:t>:</w:t>
            </w:r>
            <w:r>
              <w:rPr>
                <w:rFonts w:asciiTheme="minorHAnsi" w:hAnsiTheme="minorHAnsi" w:cstheme="minorHAnsi"/>
              </w:rPr>
              <w:t xml:space="preserve"> 40 hours</w:t>
            </w:r>
          </w:p>
        </w:tc>
      </w:tr>
      <w:tr w14:paraId="02F76B4E" w14:textId="77777777" w:rsidTr="00CD6BC7">
        <w:tblPrEx>
          <w:tblW w:w="5000" w:type="pct"/>
          <w:tblInd w:w="0" w:type="dxa"/>
          <w:tblLook w:val="04A0"/>
        </w:tblPrEx>
        <w:tc>
          <w:tcPr>
            <w:tcW w:w="1152" w:type="pct"/>
          </w:tcPr>
          <w:p w:rsidR="006779D4" w:rsidP="00CF0F34" w14:paraId="0BD0474A" w14:textId="77777777">
            <w:pPr>
              <w:rPr>
                <w:rFonts w:asciiTheme="minorHAnsi" w:hAnsiTheme="minorHAnsi" w:cstheme="minorHAnsi"/>
              </w:rPr>
            </w:pPr>
            <w:bookmarkStart w:id="2" w:name="_Hlk170800588"/>
            <w:r w:rsidRPr="000415A4">
              <w:rPr>
                <w:rFonts w:asciiTheme="minorHAnsi" w:hAnsiTheme="minorHAnsi" w:cstheme="minorHAnsi"/>
              </w:rPr>
              <w:t xml:space="preserve">Impact </w:t>
            </w:r>
            <w:r>
              <w:rPr>
                <w:rFonts w:asciiTheme="minorHAnsi" w:hAnsiTheme="minorHAnsi" w:cstheme="minorHAnsi"/>
              </w:rPr>
              <w:t>Evaluation Final Report</w:t>
            </w:r>
            <w:r w:rsidRPr="000415A4">
              <w:rPr>
                <w:rFonts w:asciiTheme="minorHAnsi" w:hAnsiTheme="minorHAnsi" w:cstheme="minorHAnsi"/>
              </w:rPr>
              <w:t xml:space="preserve"> Template</w:t>
            </w:r>
            <w:r>
              <w:rPr>
                <w:rFonts w:asciiTheme="minorHAnsi" w:hAnsiTheme="minorHAnsi" w:cstheme="minorHAnsi"/>
              </w:rPr>
              <w:t xml:space="preserve"> </w:t>
            </w:r>
            <w:bookmarkEnd w:id="2"/>
            <w:r>
              <w:rPr>
                <w:rFonts w:asciiTheme="minorHAnsi" w:hAnsiTheme="minorHAnsi" w:cstheme="minorHAnsi"/>
              </w:rPr>
              <w:t>(</w:t>
            </w:r>
            <w:r w:rsidRPr="00E413D5">
              <w:rPr>
                <w:rFonts w:asciiTheme="minorHAnsi" w:hAnsiTheme="minorHAnsi" w:cstheme="minorHAnsi"/>
              </w:rPr>
              <w:t xml:space="preserve">Instrument </w:t>
            </w:r>
            <w:r>
              <w:rPr>
                <w:rFonts w:asciiTheme="minorHAnsi" w:hAnsiTheme="minorHAnsi" w:cstheme="minorHAnsi"/>
              </w:rPr>
              <w:t>2)</w:t>
            </w:r>
          </w:p>
          <w:p w:rsidR="006779D4" w:rsidP="00CF0F34" w14:paraId="504B8D6A" w14:textId="77777777">
            <w:pPr>
              <w:rPr>
                <w:rFonts w:asciiTheme="minorHAnsi" w:hAnsiTheme="minorHAnsi" w:cstheme="minorHAnsi"/>
              </w:rPr>
            </w:pPr>
          </w:p>
          <w:p w:rsidR="006779D4" w:rsidRPr="000415A4" w:rsidP="00CF0F34" w14:paraId="7D7D09CD" w14:textId="77777777">
            <w:pPr>
              <w:rPr>
                <w:rFonts w:asciiTheme="minorHAnsi" w:hAnsiTheme="minorHAnsi" w:cstheme="minorHAnsi"/>
              </w:rPr>
            </w:pPr>
            <w:r w:rsidRPr="00CE2702">
              <w:rPr>
                <w:rFonts w:asciiTheme="minorHAnsi" w:hAnsiTheme="minorHAnsi" w:cstheme="minorHAnsi"/>
              </w:rPr>
              <w:t>Impact Evaluation Final Report Table Shells (</w:t>
            </w:r>
            <w:r w:rsidRPr="00E413D5">
              <w:rPr>
                <w:rFonts w:asciiTheme="minorHAnsi" w:hAnsiTheme="minorHAnsi" w:cstheme="minorHAnsi"/>
              </w:rPr>
              <w:t xml:space="preserve">Instrument </w:t>
            </w:r>
            <w:r>
              <w:rPr>
                <w:rFonts w:asciiTheme="minorHAnsi" w:hAnsiTheme="minorHAnsi" w:cstheme="minorHAnsi"/>
              </w:rPr>
              <w:t>3</w:t>
            </w:r>
            <w:r w:rsidRPr="00CE2702">
              <w:rPr>
                <w:rFonts w:asciiTheme="minorHAnsi" w:hAnsiTheme="minorHAnsi" w:cstheme="minorHAnsi"/>
              </w:rPr>
              <w:t>)</w:t>
            </w:r>
          </w:p>
        </w:tc>
        <w:tc>
          <w:tcPr>
            <w:tcW w:w="2888" w:type="pct"/>
          </w:tcPr>
          <w:p w:rsidR="006779D4" w:rsidRPr="000415A4" w:rsidP="00CF0F34" w14:paraId="40EDE5B3" w14:textId="77777777">
            <w:pPr>
              <w:rPr>
                <w:rFonts w:asciiTheme="minorHAnsi" w:hAnsiTheme="minorHAnsi" w:cstheme="minorHAnsi"/>
              </w:rPr>
            </w:pPr>
            <w:r w:rsidRPr="000415A4">
              <w:rPr>
                <w:rFonts w:asciiTheme="minorHAnsi" w:hAnsiTheme="minorHAnsi" w:cstheme="minorHAnsi"/>
                <w:b/>
              </w:rPr>
              <w:t>Respondents</w:t>
            </w:r>
            <w:r w:rsidRPr="000415A4">
              <w:rPr>
                <w:rFonts w:asciiTheme="minorHAnsi" w:hAnsiTheme="minorHAnsi" w:cstheme="minorHAnsi"/>
              </w:rPr>
              <w:t xml:space="preserve">: </w:t>
            </w:r>
            <w:r>
              <w:rPr>
                <w:rFonts w:asciiTheme="minorHAnsi" w:hAnsiTheme="minorHAnsi" w:cstheme="minorHAnsi"/>
              </w:rPr>
              <w:t xml:space="preserve">Grant recipients </w:t>
            </w:r>
            <w:r w:rsidRPr="001C610E">
              <w:rPr>
                <w:rFonts w:asciiTheme="minorHAnsi" w:hAnsiTheme="minorHAnsi" w:cstheme="minorHAnsi"/>
              </w:rPr>
              <w:t>conducting local evaluations with a</w:t>
            </w:r>
            <w:r>
              <w:rPr>
                <w:rFonts w:asciiTheme="minorHAnsi" w:hAnsiTheme="minorHAnsi" w:cstheme="minorHAnsi"/>
              </w:rPr>
              <w:t>n</w:t>
            </w:r>
            <w:r w:rsidRPr="001C610E">
              <w:rPr>
                <w:rFonts w:asciiTheme="minorHAnsi" w:hAnsiTheme="minorHAnsi" w:cstheme="minorHAnsi"/>
              </w:rPr>
              <w:t xml:space="preserve"> </w:t>
            </w:r>
            <w:r>
              <w:rPr>
                <w:rFonts w:asciiTheme="minorHAnsi" w:hAnsiTheme="minorHAnsi" w:cstheme="minorHAnsi"/>
              </w:rPr>
              <w:t>impact</w:t>
            </w:r>
            <w:r w:rsidRPr="001C610E">
              <w:rPr>
                <w:rFonts w:asciiTheme="minorHAnsi" w:hAnsiTheme="minorHAnsi" w:cstheme="minorHAnsi"/>
              </w:rPr>
              <w:t xml:space="preserve"> design</w:t>
            </w:r>
            <w:r>
              <w:rPr>
                <w:rFonts w:asciiTheme="minorHAnsi" w:hAnsiTheme="minorHAnsi" w:cstheme="minorHAnsi"/>
              </w:rPr>
              <w:t>.</w:t>
            </w:r>
          </w:p>
          <w:p w:rsidR="006779D4" w:rsidRPr="000415A4" w:rsidP="00CF0F34" w14:paraId="0191D0FC" w14:textId="77777777">
            <w:pPr>
              <w:rPr>
                <w:rFonts w:asciiTheme="minorHAnsi" w:hAnsiTheme="minorHAnsi" w:cstheme="minorHAnsi"/>
              </w:rPr>
            </w:pPr>
          </w:p>
          <w:p w:rsidR="006779D4" w:rsidRPr="000415A4" w:rsidP="00CF0F34" w14:paraId="520AF590" w14:textId="77777777">
            <w:pPr>
              <w:rPr>
                <w:rFonts w:asciiTheme="minorHAnsi" w:hAnsiTheme="minorHAnsi" w:cstheme="minorHAnsi"/>
              </w:rPr>
            </w:pPr>
            <w:r w:rsidRPr="000415A4">
              <w:rPr>
                <w:rFonts w:asciiTheme="minorHAnsi" w:hAnsiTheme="minorHAnsi" w:cstheme="minorHAnsi"/>
                <w:b/>
              </w:rPr>
              <w:t>Content</w:t>
            </w:r>
            <w:r w:rsidRPr="000415A4">
              <w:rPr>
                <w:rFonts w:asciiTheme="minorHAnsi" w:hAnsiTheme="minorHAnsi" w:cstheme="minorHAnsi"/>
              </w:rPr>
              <w:t xml:space="preserve">: </w:t>
            </w:r>
            <w:r w:rsidRPr="002057E5">
              <w:rPr>
                <w:rFonts w:asciiTheme="minorHAnsi" w:hAnsiTheme="minorHAnsi" w:cstheme="minorHAnsi"/>
              </w:rPr>
              <w:t xml:space="preserve">The impact </w:t>
            </w:r>
            <w:r>
              <w:rPr>
                <w:rFonts w:asciiTheme="minorHAnsi" w:hAnsiTheme="minorHAnsi" w:cstheme="minorHAnsi"/>
              </w:rPr>
              <w:t>final report</w:t>
            </w:r>
            <w:r w:rsidRPr="002057E5">
              <w:rPr>
                <w:rFonts w:asciiTheme="minorHAnsi" w:hAnsiTheme="minorHAnsi" w:cstheme="minorHAnsi"/>
              </w:rPr>
              <w:t xml:space="preserve"> describes</w:t>
            </w:r>
            <w:r>
              <w:rPr>
                <w:rFonts w:asciiTheme="minorHAnsi" w:hAnsiTheme="minorHAnsi" w:cstheme="minorHAnsi"/>
              </w:rPr>
              <w:t xml:space="preserve"> </w:t>
            </w:r>
            <w:r w:rsidRPr="002057E5">
              <w:rPr>
                <w:rFonts w:asciiTheme="minorHAnsi" w:hAnsiTheme="minorHAnsi" w:cstheme="minorHAnsi"/>
              </w:rPr>
              <w:t>the</w:t>
            </w:r>
            <w:r>
              <w:rPr>
                <w:rFonts w:asciiTheme="minorHAnsi" w:hAnsiTheme="minorHAnsi" w:cstheme="minorHAnsi"/>
              </w:rPr>
              <w:t xml:space="preserve"> </w:t>
            </w:r>
            <w:r w:rsidRPr="002057E5">
              <w:rPr>
                <w:rFonts w:asciiTheme="minorHAnsi" w:hAnsiTheme="minorHAnsi" w:cstheme="minorHAnsi"/>
              </w:rPr>
              <w:t xml:space="preserve">research questions, the selected outcome measures, the program design and counterfactual conditions, the evaluation study design, </w:t>
            </w:r>
            <w:r>
              <w:rPr>
                <w:rFonts w:asciiTheme="minorHAnsi" w:hAnsiTheme="minorHAnsi" w:cstheme="minorHAnsi"/>
              </w:rPr>
              <w:t>the</w:t>
            </w:r>
            <w:r w:rsidRPr="002057E5">
              <w:rPr>
                <w:rFonts w:asciiTheme="minorHAnsi" w:hAnsiTheme="minorHAnsi" w:cstheme="minorHAnsi"/>
              </w:rPr>
              <w:t xml:space="preserve"> analytic approaches to gauge the effect or impact of the intervention</w:t>
            </w:r>
            <w:r>
              <w:rPr>
                <w:rFonts w:asciiTheme="minorHAnsi" w:hAnsiTheme="minorHAnsi" w:cstheme="minorHAnsi"/>
              </w:rPr>
              <w:t>, and the findings and implications for both the impact and implementation studies.</w:t>
            </w:r>
          </w:p>
          <w:p w:rsidR="006779D4" w:rsidRPr="000415A4" w:rsidP="00CF0F34" w14:paraId="097B80FD" w14:textId="77777777">
            <w:pPr>
              <w:rPr>
                <w:rFonts w:asciiTheme="minorHAnsi" w:hAnsiTheme="minorHAnsi" w:cstheme="minorHAnsi"/>
              </w:rPr>
            </w:pPr>
          </w:p>
          <w:p w:rsidR="006779D4" w:rsidRPr="000415A4" w:rsidP="00CF0F34" w14:paraId="62102986" w14:textId="77777777">
            <w:pPr>
              <w:rPr>
                <w:rFonts w:asciiTheme="minorHAnsi" w:hAnsiTheme="minorHAnsi" w:cstheme="minorBidi"/>
              </w:rPr>
            </w:pPr>
            <w:r w:rsidRPr="6146815C">
              <w:rPr>
                <w:rFonts w:asciiTheme="minorHAnsi" w:hAnsiTheme="minorHAnsi" w:cstheme="minorBidi"/>
                <w:b/>
                <w:bCs/>
              </w:rPr>
              <w:t>Purpose</w:t>
            </w:r>
            <w:r w:rsidRPr="6146815C">
              <w:rPr>
                <w:rFonts w:asciiTheme="minorHAnsi" w:hAnsiTheme="minorHAnsi" w:cstheme="minorBidi"/>
              </w:rPr>
              <w:t xml:space="preserve">: To document </w:t>
            </w:r>
            <w:r w:rsidRPr="00D426AE">
              <w:rPr>
                <w:rFonts w:asciiTheme="minorHAnsi" w:hAnsiTheme="minorHAnsi" w:cstheme="minorBidi"/>
              </w:rPr>
              <w:t>grant recipients</w:t>
            </w:r>
            <w:r>
              <w:rPr>
                <w:rFonts w:asciiTheme="minorHAnsi" w:hAnsiTheme="minorHAnsi" w:cstheme="minorBidi"/>
              </w:rPr>
              <w:t xml:space="preserve">’ </w:t>
            </w:r>
            <w:r w:rsidRPr="6146815C">
              <w:rPr>
                <w:rFonts w:asciiTheme="minorHAnsi" w:hAnsiTheme="minorHAnsi" w:cstheme="minorBidi"/>
              </w:rPr>
              <w:t xml:space="preserve">final impact evaluation findings and inform subsequent TA before submission of the report to ACF.    </w:t>
            </w:r>
          </w:p>
        </w:tc>
        <w:tc>
          <w:tcPr>
            <w:tcW w:w="960" w:type="pct"/>
          </w:tcPr>
          <w:p w:rsidR="006779D4" w:rsidRPr="000415A4" w:rsidP="00CF0F34" w14:paraId="2115DBB0" w14:textId="5D5BF21F">
            <w:pPr>
              <w:rPr>
                <w:rFonts w:asciiTheme="minorHAnsi" w:hAnsiTheme="minorHAnsi" w:cstheme="minorHAnsi"/>
              </w:rPr>
            </w:pPr>
            <w:r w:rsidRPr="000415A4">
              <w:rPr>
                <w:rFonts w:asciiTheme="minorHAnsi" w:hAnsiTheme="minorHAnsi" w:cstheme="minorHAnsi"/>
                <w:b/>
              </w:rPr>
              <w:t>Mode</w:t>
            </w:r>
            <w:r w:rsidRPr="000415A4">
              <w:rPr>
                <w:rFonts w:asciiTheme="minorHAnsi" w:hAnsiTheme="minorHAnsi" w:cstheme="minorHAnsi"/>
              </w:rPr>
              <w:t xml:space="preserve">: </w:t>
            </w:r>
            <w:r w:rsidR="00350DCE">
              <w:rPr>
                <w:rFonts w:asciiTheme="minorHAnsi" w:hAnsiTheme="minorHAnsi" w:cstheme="minorHAnsi"/>
              </w:rPr>
              <w:t>Shared and collected via email</w:t>
            </w:r>
          </w:p>
          <w:p w:rsidR="006779D4" w:rsidRPr="000415A4" w:rsidP="00CF0F34" w14:paraId="5E99B8E4" w14:textId="77777777">
            <w:pPr>
              <w:rPr>
                <w:rFonts w:asciiTheme="minorHAnsi" w:hAnsiTheme="minorHAnsi" w:cstheme="minorHAnsi"/>
              </w:rPr>
            </w:pPr>
          </w:p>
          <w:p w:rsidR="006779D4" w:rsidRPr="000415A4" w:rsidP="00CF0F34" w14:paraId="4A56E762" w14:textId="77777777">
            <w:pPr>
              <w:rPr>
                <w:rFonts w:asciiTheme="minorHAnsi" w:hAnsiTheme="minorHAnsi" w:cstheme="minorHAnsi"/>
              </w:rPr>
            </w:pPr>
            <w:r w:rsidRPr="000415A4">
              <w:rPr>
                <w:rFonts w:asciiTheme="minorHAnsi" w:hAnsiTheme="minorHAnsi" w:cstheme="minorHAnsi"/>
                <w:b/>
              </w:rPr>
              <w:t>Duration</w:t>
            </w:r>
            <w:r w:rsidRPr="000415A4">
              <w:rPr>
                <w:rFonts w:asciiTheme="minorHAnsi" w:hAnsiTheme="minorHAnsi" w:cstheme="minorHAnsi"/>
              </w:rPr>
              <w:t>:</w:t>
            </w:r>
            <w:r>
              <w:rPr>
                <w:rFonts w:asciiTheme="minorHAnsi" w:hAnsiTheme="minorHAnsi" w:cstheme="minorHAnsi"/>
              </w:rPr>
              <w:t xml:space="preserve"> 40 hours</w:t>
            </w:r>
          </w:p>
        </w:tc>
      </w:tr>
    </w:tbl>
    <w:p w:rsidR="006779D4" w:rsidRPr="00E66AF1" w:rsidP="006779D4" w14:paraId="68DC3480" w14:textId="77777777">
      <w:pPr>
        <w:spacing w:after="0" w:line="240" w:lineRule="auto"/>
        <w:jc w:val="both"/>
      </w:pPr>
    </w:p>
    <w:p w:rsidR="001D1C73" w:rsidRPr="00FC65DF" w:rsidP="00FC65DF" w14:paraId="56F85A6E" w14:textId="5C01F8D8">
      <w:pPr>
        <w:spacing w:after="60" w:line="240" w:lineRule="auto"/>
        <w:rPr>
          <w:i/>
        </w:rPr>
      </w:pPr>
      <w:r w:rsidRPr="009139B3">
        <w:rPr>
          <w:i/>
        </w:rPr>
        <w:t>Other Data Sources and Uses of Information</w:t>
      </w:r>
    </w:p>
    <w:p w:rsidR="008525CD" w:rsidRPr="008525CD" w:rsidP="008525CD" w14:paraId="094CD75A" w14:textId="25031381">
      <w:pPr>
        <w:spacing w:after="0" w:line="240" w:lineRule="auto"/>
        <w:rPr>
          <w:iCs/>
        </w:rPr>
      </w:pPr>
      <w:r w:rsidRPr="008525CD">
        <w:rPr>
          <w:iCs/>
        </w:rPr>
        <w:t xml:space="preserve">The information collection described above is the only source of </w:t>
      </w:r>
      <w:r>
        <w:rPr>
          <w:iCs/>
        </w:rPr>
        <w:t>information about the findings resulting from the local evaluations conducted by each grant recipient.</w:t>
      </w:r>
      <w:r w:rsidRPr="008525CD">
        <w:rPr>
          <w:iCs/>
        </w:rPr>
        <w:t xml:space="preserve">   </w:t>
      </w:r>
    </w:p>
    <w:p w:rsidR="001D1C73" w:rsidRPr="009139B3" w:rsidP="001D1C73" w14:paraId="1B4C1958" w14:textId="77777777">
      <w:pPr>
        <w:spacing w:after="0" w:line="240" w:lineRule="auto"/>
      </w:pPr>
    </w:p>
    <w:p w:rsidR="001D1C73" w:rsidRPr="009139B3" w:rsidP="001D1C73" w14:paraId="5174F453" w14:textId="77777777">
      <w:pPr>
        <w:spacing w:after="120" w:line="240" w:lineRule="auto"/>
        <w:rPr>
          <w:b/>
        </w:rPr>
      </w:pPr>
      <w:r w:rsidRPr="00C30CFD">
        <w:rPr>
          <w:b/>
        </w:rPr>
        <w:t>A3</w:t>
      </w:r>
      <w:r w:rsidRPr="00C30CFD">
        <w:t>.</w:t>
      </w:r>
      <w:r w:rsidRPr="009139B3">
        <w:tab/>
      </w:r>
      <w:r w:rsidRPr="009139B3">
        <w:rPr>
          <w:b/>
        </w:rPr>
        <w:t>Use of Information Technology to Reduce Burden</w:t>
      </w:r>
    </w:p>
    <w:p w:rsidR="00177AFE" w:rsidP="00177AFE" w14:paraId="0898DFD4" w14:textId="7FF8363C">
      <w:pPr>
        <w:pStyle w:val="ListParagraph"/>
        <w:spacing w:after="120" w:line="240" w:lineRule="auto"/>
        <w:ind w:left="0"/>
      </w:pPr>
      <w:r w:rsidRPr="009C29CF">
        <w:t xml:space="preserve">The burden on </w:t>
      </w:r>
      <w:r>
        <w:t>HMRF grant recipient</w:t>
      </w:r>
      <w:r w:rsidRPr="009C29CF">
        <w:t xml:space="preserve">s is </w:t>
      </w:r>
      <w:r>
        <w:t>reduced where possible</w:t>
      </w:r>
      <w:r w:rsidRPr="009C29CF">
        <w:t xml:space="preserve">. </w:t>
      </w:r>
      <w:r>
        <w:t>Grant recipients can complete</w:t>
      </w:r>
      <w:r w:rsidR="00966275">
        <w:t xml:space="preserve"> the reports on their own computers</w:t>
      </w:r>
      <w:r w:rsidR="002D69A3">
        <w:t>,</w:t>
      </w:r>
      <w:r w:rsidR="00966275">
        <w:t xml:space="preserve"> at a time of their choosing</w:t>
      </w:r>
      <w:r w:rsidR="002D69A3">
        <w:t>, and</w:t>
      </w:r>
      <w:r>
        <w:t xml:space="preserve"> submit the final reports electronically</w:t>
      </w:r>
      <w:r w:rsidR="00966275">
        <w:t>, via email to ACF. ACF does not require grant recipients to submit or follow-up on the report</w:t>
      </w:r>
      <w:r w:rsidRPr="00BB34A1">
        <w:t xml:space="preserve"> in-person </w:t>
      </w:r>
      <w:r w:rsidR="00966275">
        <w:t xml:space="preserve">and </w:t>
      </w:r>
      <w:r w:rsidR="002D69A3">
        <w:t>they</w:t>
      </w:r>
      <w:r w:rsidR="00966275">
        <w:t xml:space="preserve"> do not require hardcopies of the report.</w:t>
      </w:r>
    </w:p>
    <w:p w:rsidR="001D1C73" w:rsidRPr="009139B3" w:rsidP="001D1C73" w14:paraId="381FEAAD" w14:textId="77777777">
      <w:pPr>
        <w:pStyle w:val="ListParagraph"/>
        <w:spacing w:after="0" w:line="240" w:lineRule="auto"/>
        <w:ind w:left="360"/>
      </w:pPr>
    </w:p>
    <w:p w:rsidR="001D1C73" w:rsidRPr="009139B3" w:rsidP="001D1C73" w14:paraId="3B7ABC79" w14:textId="77777777">
      <w:pPr>
        <w:spacing w:after="120" w:line="240" w:lineRule="auto"/>
        <w:ind w:left="720" w:hanging="720"/>
        <w:rPr>
          <w:b/>
        </w:rPr>
      </w:pPr>
      <w:r w:rsidRPr="009139B3">
        <w:rPr>
          <w:b/>
        </w:rPr>
        <w:t>A4</w:t>
      </w:r>
      <w:r w:rsidRPr="009139B3">
        <w:t>.</w:t>
      </w:r>
      <w:r w:rsidRPr="009139B3">
        <w:tab/>
      </w:r>
      <w:r w:rsidRPr="009139B3">
        <w:rPr>
          <w:b/>
        </w:rPr>
        <w:t xml:space="preserve">Use of Existing Data: Efforts to reduce duplication, minimize burden, and increase utility and government </w:t>
      </w:r>
      <w:r w:rsidRPr="009139B3">
        <w:rPr>
          <w:b/>
        </w:rPr>
        <w:t>efficiency</w:t>
      </w:r>
    </w:p>
    <w:p w:rsidR="001D1C73" w:rsidRPr="009139B3" w:rsidP="001D1C73" w14:paraId="23E0A2E3" w14:textId="645AB305">
      <w:pPr>
        <w:spacing w:after="0" w:line="240" w:lineRule="auto"/>
      </w:pPr>
      <w:r w:rsidRPr="00177AFE">
        <w:t xml:space="preserve">The purpose of the final report templates is to provide grant recipients guidance on structuring a comprehensive and accessible final report. </w:t>
      </w:r>
      <w:r w:rsidR="007B307F">
        <w:t xml:space="preserve">Grant recipients will be encouraged to </w:t>
      </w:r>
      <w:r w:rsidRPr="00177AFE">
        <w:t>build on their local evaluation plans</w:t>
      </w:r>
      <w:r>
        <w:rPr>
          <w:rStyle w:val="FootnoteReference"/>
        </w:rPr>
        <w:footnoteReference w:id="7"/>
      </w:r>
      <w:r w:rsidR="007B307F">
        <w:rPr>
          <w:vertAlign w:val="superscript"/>
        </w:rPr>
        <w:t xml:space="preserve">, </w:t>
      </w:r>
      <w:r>
        <w:rPr>
          <w:rStyle w:val="FootnoteReference"/>
        </w:rPr>
        <w:footnoteReference w:id="8"/>
      </w:r>
      <w:r w:rsidR="007B307F">
        <w:rPr>
          <w:vertAlign w:val="superscript"/>
        </w:rPr>
        <w:t xml:space="preserve"> </w:t>
      </w:r>
      <w:r w:rsidRPr="00177AFE">
        <w:t>and their analysis plans</w:t>
      </w:r>
      <w:r>
        <w:rPr>
          <w:rStyle w:val="FootnoteReference"/>
        </w:rPr>
        <w:footnoteReference w:id="9"/>
      </w:r>
      <w:r w:rsidRPr="00177AFE">
        <w:t xml:space="preserve"> to complete the final report template. Grant recipients can draw many of the report sections, such as the research questions, description of the intervention, and study design, directly from their previously accepted evaluation and analysis plans. This will reduce the burden in writing the report and </w:t>
      </w:r>
      <w:r w:rsidR="00D64469">
        <w:t xml:space="preserve">support </w:t>
      </w:r>
      <w:r w:rsidRPr="00177AFE">
        <w:t xml:space="preserve">consistency between the analysis plans and final reports. </w:t>
      </w:r>
      <w:r w:rsidR="00E96855">
        <w:t>C</w:t>
      </w:r>
      <w:r w:rsidRPr="00177AFE">
        <w:t>onsisten</w:t>
      </w:r>
      <w:r w:rsidR="00E96855">
        <w:t>cy between</w:t>
      </w:r>
      <w:r w:rsidRPr="00177AFE">
        <w:t xml:space="preserve"> the final report </w:t>
      </w:r>
      <w:r w:rsidR="00E96855">
        <w:t>and</w:t>
      </w:r>
      <w:r w:rsidRPr="00177AFE">
        <w:t xml:space="preserve"> prior approved plans promotes credibility and transparency by demonstrating </w:t>
      </w:r>
      <w:r w:rsidR="009C1FB9">
        <w:t>grant recipients’</w:t>
      </w:r>
      <w:r w:rsidRPr="00177AFE">
        <w:t xml:space="preserve"> commitment to a prespecified and systematic approach to the focus and execution of the study and data analysis methods.  No unnecessary information is being requested of grant recipients. None of the report templates will ask for information that can be reliably obtained through other sources</w:t>
      </w:r>
      <w:r w:rsidR="00B11819">
        <w:t xml:space="preserve"> by the study team</w:t>
      </w:r>
      <w:r w:rsidRPr="00177AFE">
        <w:t>.</w:t>
      </w:r>
    </w:p>
    <w:p w:rsidR="001D1C73" w:rsidRPr="009139B3" w:rsidP="001D1C73" w14:paraId="7BD59622" w14:textId="77777777">
      <w:pPr>
        <w:spacing w:after="0" w:line="240" w:lineRule="auto"/>
      </w:pPr>
    </w:p>
    <w:p w:rsidR="001D1C73" w:rsidRPr="009139B3" w:rsidP="001D1C73" w14:paraId="4BED94FB" w14:textId="77777777">
      <w:pPr>
        <w:spacing w:after="120" w:line="240" w:lineRule="auto"/>
      </w:pPr>
      <w:r w:rsidRPr="009139B3">
        <w:rPr>
          <w:b/>
        </w:rPr>
        <w:t>A5</w:t>
      </w:r>
      <w:r w:rsidRPr="009139B3">
        <w:t>.</w:t>
      </w:r>
      <w:r w:rsidRPr="009139B3">
        <w:tab/>
      </w:r>
      <w:r w:rsidRPr="009139B3">
        <w:rPr>
          <w:b/>
        </w:rPr>
        <w:t>Impact on Small Businesses</w:t>
      </w:r>
      <w:r w:rsidRPr="009139B3">
        <w:t xml:space="preserve"> </w:t>
      </w:r>
    </w:p>
    <w:p w:rsidR="001D1C73" w:rsidRPr="009139B3" w:rsidP="00A56E39" w14:paraId="69B7A867" w14:textId="1E15711D">
      <w:pPr>
        <w:spacing w:after="0" w:line="240" w:lineRule="auto"/>
      </w:pPr>
      <w:r>
        <w:t>D</w:t>
      </w:r>
      <w:r w:rsidR="00177AFE">
        <w:t xml:space="preserve">ata collection activities </w:t>
      </w:r>
      <w:r>
        <w:t>could</w:t>
      </w:r>
      <w:r w:rsidR="00177AFE">
        <w:t xml:space="preserve"> affect small organizations that </w:t>
      </w:r>
      <w:r>
        <w:t>are</w:t>
      </w:r>
      <w:r w:rsidR="00177AFE">
        <w:t xml:space="preserve"> under subcontract to the grant recipient</w:t>
      </w:r>
      <w:r w:rsidR="00B6567B">
        <w:t xml:space="preserve"> since </w:t>
      </w:r>
      <w:r w:rsidR="00177AFE">
        <w:t xml:space="preserve">HMRF grant recipients contract out the </w:t>
      </w:r>
      <w:r w:rsidR="00C87D5A">
        <w:t>execution</w:t>
      </w:r>
      <w:r w:rsidR="00177AFE">
        <w:t xml:space="preserve"> of evaluations to local evaluators </w:t>
      </w:r>
      <w:r w:rsidR="00EF6624">
        <w:t xml:space="preserve">who may be </w:t>
      </w:r>
      <w:r w:rsidR="00177AFE">
        <w:t xml:space="preserve">affiliated with small businesses. Grant recipients may task the local evaluator with writing portions of the final report. The proposed templates are designed to minimize the burden on all organizations involved, including small businesses and entities, by collecting only critical information using the standardized templates. Grant recipients can complete the template on their own time </w:t>
      </w:r>
      <w:r w:rsidR="00177AFE">
        <w:t>depending on what is most convenient to them. Additionally, the TA provided to grant recipients to help with completing the template will also minimize the burden on all organizations involved.</w:t>
      </w:r>
    </w:p>
    <w:p w:rsidR="001D1C73" w:rsidRPr="009139B3" w:rsidP="001D1C73" w14:paraId="45C45C0C" w14:textId="77777777">
      <w:pPr>
        <w:spacing w:after="0" w:line="240" w:lineRule="auto"/>
      </w:pPr>
    </w:p>
    <w:p w:rsidR="001D1C73" w:rsidRPr="009139B3" w:rsidP="005012A1" w14:paraId="7ECFA3F2" w14:textId="7221A3EA">
      <w:pPr>
        <w:spacing w:after="120"/>
      </w:pPr>
      <w:r w:rsidRPr="009139B3">
        <w:rPr>
          <w:b/>
        </w:rPr>
        <w:t>A6</w:t>
      </w:r>
      <w:r w:rsidRPr="009139B3">
        <w:t>.</w:t>
      </w:r>
      <w:r w:rsidRPr="009139B3">
        <w:tab/>
      </w:r>
      <w:r w:rsidRPr="009139B3">
        <w:rPr>
          <w:b/>
        </w:rPr>
        <w:t>Consequences of Less Frequent Collection</w:t>
      </w:r>
      <w:r w:rsidRPr="009139B3">
        <w:t xml:space="preserve">  </w:t>
      </w:r>
    </w:p>
    <w:p w:rsidR="00C87D5A" w:rsidRPr="00C87D5A" w:rsidP="00C87D5A" w14:paraId="191E8D29" w14:textId="77777777">
      <w:pPr>
        <w:spacing w:after="0"/>
      </w:pPr>
      <w:r w:rsidRPr="00C87D5A">
        <w:t xml:space="preserve">This is a one-time data collection. </w:t>
      </w:r>
    </w:p>
    <w:p w:rsidR="001D1C73" w:rsidRPr="009139B3" w:rsidP="001D1C73" w14:paraId="460558B7" w14:textId="77777777">
      <w:pPr>
        <w:spacing w:after="0"/>
      </w:pPr>
    </w:p>
    <w:p w:rsidR="001D1C73" w:rsidRPr="009139B3" w:rsidP="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001D1C73" w:rsidRPr="009139B3" w:rsidP="001D1C73" w14:paraId="0235E4A4" w14:textId="77777777">
      <w:pPr>
        <w:spacing w:after="0" w:line="240" w:lineRule="auto"/>
        <w:rPr>
          <w:b/>
        </w:rPr>
      </w:pPr>
    </w:p>
    <w:p w:rsidR="001D1C73" w:rsidRPr="009139B3" w:rsidP="001D1C73" w14:paraId="68912205" w14:textId="77777777">
      <w:pPr>
        <w:spacing w:after="120"/>
        <w:rPr>
          <w:b/>
        </w:rPr>
      </w:pPr>
      <w:r w:rsidRPr="009139B3">
        <w:rPr>
          <w:b/>
        </w:rPr>
        <w:t>A8</w:t>
      </w:r>
      <w:r w:rsidRPr="009139B3">
        <w:t>.</w:t>
      </w:r>
      <w:r w:rsidRPr="009139B3">
        <w:tab/>
      </w:r>
      <w:r w:rsidRPr="009139B3">
        <w:rPr>
          <w:b/>
        </w:rPr>
        <w:t>Consultation</w:t>
      </w:r>
    </w:p>
    <w:p w:rsidR="001D1C73" w:rsidRPr="009139B3" w:rsidP="001D1C73" w14:paraId="22D30DBC" w14:textId="77777777">
      <w:pPr>
        <w:spacing w:after="60"/>
        <w:rPr>
          <w:i/>
        </w:rPr>
      </w:pPr>
      <w:r w:rsidRPr="009139B3">
        <w:rPr>
          <w:i/>
        </w:rPr>
        <w:t>Federal Register Notice and Comments</w:t>
      </w:r>
    </w:p>
    <w:p w:rsidR="001D1C73" w:rsidRPr="009139B3" w:rsidP="001D1C73" w14:paraId="15C2AFB4" w14:textId="7235233F">
      <w:pPr>
        <w:spacing w:after="0"/>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C87D5A">
        <w:t>October 4, 2024</w:t>
      </w:r>
      <w:r w:rsidR="005F3558">
        <w:t xml:space="preserve"> (</w:t>
      </w:r>
      <w:r w:rsidR="00C87D5A">
        <w:t>89</w:t>
      </w:r>
      <w:r w:rsidR="005F3558">
        <w:t xml:space="preserve"> FR</w:t>
      </w:r>
      <w:r w:rsidRPr="009139B3">
        <w:t xml:space="preserve"> </w:t>
      </w:r>
      <w:r w:rsidR="00B61566">
        <w:t>80904</w:t>
      </w:r>
      <w:r w:rsidR="005F3558">
        <w:t>)</w:t>
      </w:r>
      <w:r w:rsidRPr="009139B3">
        <w:t xml:space="preserve"> and provided a sixty-day period for public comment.  </w:t>
      </w:r>
      <w:r w:rsidR="006C38F0">
        <w:t xml:space="preserve">No substantive comments were </w:t>
      </w:r>
      <w:r w:rsidR="00CD6BC7">
        <w:t>submitted</w:t>
      </w:r>
      <w:r w:rsidR="006C38F0">
        <w:t xml:space="preserve"> during the comment period.</w:t>
      </w:r>
    </w:p>
    <w:p w:rsidR="001D1C73" w:rsidRPr="009139B3" w:rsidP="001D1C73" w14:paraId="68DB4E07" w14:textId="77777777">
      <w:pPr>
        <w:spacing w:after="0"/>
      </w:pPr>
    </w:p>
    <w:p w:rsidR="001D1C73" w:rsidRPr="005012A1" w:rsidP="00FC65DF" w14:paraId="6EBEC583" w14:textId="6B684DA2">
      <w:pPr>
        <w:pStyle w:val="Heading4"/>
        <w:spacing w:before="0"/>
        <w:rPr>
          <w:rFonts w:asciiTheme="minorHAnsi" w:hAnsiTheme="minorHAnsi" w:cstheme="minorHAnsi"/>
          <w:b w:val="0"/>
          <w:i/>
          <w:sz w:val="22"/>
          <w:szCs w:val="22"/>
        </w:rPr>
      </w:pPr>
      <w:r w:rsidRPr="005012A1">
        <w:rPr>
          <w:rFonts w:asciiTheme="minorHAnsi" w:hAnsiTheme="minorHAnsi" w:cstheme="minorHAnsi"/>
          <w:b w:val="0"/>
          <w:i/>
          <w:sz w:val="22"/>
          <w:szCs w:val="22"/>
        </w:rPr>
        <w:t>Consultation with Experts Outside of the Study</w:t>
      </w:r>
    </w:p>
    <w:p w:rsidR="00177AFE" w:rsidRPr="00D51EEF" w:rsidP="00177AFE" w14:paraId="2C62A31F" w14:textId="77777777">
      <w:pPr>
        <w:spacing w:after="0"/>
      </w:pPr>
      <w:r>
        <w:t xml:space="preserve">ACF consulted the evaluation TA contractors, Mathematica and MDRC, to prepare the final report templates. </w:t>
      </w:r>
    </w:p>
    <w:p w:rsidR="001D1C73" w:rsidRPr="009139B3" w:rsidP="001D1C73" w14:paraId="1184C5C2" w14:textId="77777777">
      <w:pPr>
        <w:spacing w:after="0"/>
      </w:pPr>
    </w:p>
    <w:p w:rsidR="001D1C73" w:rsidRPr="009139B3" w:rsidP="001D1C73" w14:paraId="2DA362B8" w14:textId="77777777">
      <w:pPr>
        <w:spacing w:after="120" w:line="240" w:lineRule="auto"/>
      </w:pPr>
      <w:r w:rsidRPr="009139B3">
        <w:rPr>
          <w:b/>
        </w:rPr>
        <w:t>A9</w:t>
      </w:r>
      <w:r w:rsidRPr="009139B3">
        <w:t>.</w:t>
      </w:r>
      <w:r w:rsidRPr="009139B3">
        <w:tab/>
      </w:r>
      <w:r w:rsidRPr="009139B3">
        <w:rPr>
          <w:b/>
        </w:rPr>
        <w:t>Tokens of Appreciation</w:t>
      </w:r>
    </w:p>
    <w:p w:rsidR="00177AFE" w:rsidP="00177AFE" w14:paraId="4C56114E" w14:textId="77777777">
      <w:pPr>
        <w:spacing w:after="0" w:line="240" w:lineRule="auto"/>
      </w:pPr>
      <w:r w:rsidRPr="003068AB">
        <w:t>No tokens of appreciation for respondents are proposed for this information collection.</w:t>
      </w:r>
    </w:p>
    <w:p w:rsidR="001D1C73" w:rsidRPr="009139B3" w:rsidP="001D1C73" w14:paraId="7735BE59" w14:textId="77777777">
      <w:pPr>
        <w:spacing w:after="0"/>
      </w:pPr>
    </w:p>
    <w:p w:rsidR="001D1C73" w:rsidRPr="009139B3" w:rsidP="001D1C73" w14:paraId="63D44C93" w14:textId="77777777">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001D1C73" w:rsidRPr="009139B3" w:rsidP="001D1C73" w14:paraId="628A8123" w14:textId="77777777">
      <w:pPr>
        <w:spacing w:after="60" w:line="240" w:lineRule="auto"/>
        <w:rPr>
          <w:i/>
        </w:rPr>
      </w:pPr>
      <w:r w:rsidRPr="009139B3">
        <w:rPr>
          <w:i/>
        </w:rPr>
        <w:t>Personally Identifiable Information</w:t>
      </w:r>
    </w:p>
    <w:p w:rsidR="005012A1" w:rsidP="001D1C73" w14:paraId="3DFC1E32" w14:textId="5DF6ADB2">
      <w:pPr>
        <w:spacing w:after="0" w:line="240" w:lineRule="auto"/>
        <w:rPr>
          <w:rFonts w:cstheme="minorHAnsi"/>
        </w:rPr>
      </w:pPr>
      <w:r>
        <w:rPr>
          <w:rFonts w:cstheme="minorHAnsi"/>
        </w:rPr>
        <w:t xml:space="preserve">No Personally Identifiable Information (PII) will be collected. </w:t>
      </w:r>
    </w:p>
    <w:p w:rsidR="005012A1" w:rsidP="001D1C73" w14:paraId="2284019A" w14:textId="77777777">
      <w:pPr>
        <w:spacing w:after="0" w:line="240" w:lineRule="auto"/>
        <w:rPr>
          <w:rFonts w:cstheme="minorHAnsi"/>
        </w:rPr>
      </w:pPr>
    </w:p>
    <w:p w:rsidR="001D1C73" w:rsidRPr="009139B3" w:rsidP="001D1C73" w14:paraId="7688FE78" w14:textId="0C1F2967">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1D1C73" w:rsidRPr="009139B3" w:rsidP="001D1C73" w14:paraId="66D7D622" w14:textId="77777777">
      <w:pPr>
        <w:spacing w:after="0" w:line="240" w:lineRule="auto"/>
        <w:rPr>
          <w:rFonts w:cstheme="minorHAnsi"/>
        </w:rPr>
      </w:pPr>
    </w:p>
    <w:p w:rsidR="00DA02AF" w:rsidP="00DA02AF" w14:paraId="42EC3A35" w14:textId="77777777">
      <w:pPr>
        <w:spacing w:after="60" w:line="240" w:lineRule="auto"/>
        <w:rPr>
          <w:rFonts w:cstheme="minorHAnsi"/>
          <w:i/>
        </w:rPr>
      </w:pPr>
      <w:r w:rsidRPr="009139B3">
        <w:rPr>
          <w:rFonts w:cstheme="minorHAnsi"/>
          <w:i/>
        </w:rPr>
        <w:t>Data Security and Monitoring</w:t>
      </w:r>
    </w:p>
    <w:p w:rsidR="006058AE" w:rsidRPr="00DA02AF" w:rsidP="00A56E39" w14:paraId="013C6E9F" w14:textId="2BADBB03">
      <w:pPr>
        <w:spacing w:after="0" w:line="240" w:lineRule="auto"/>
        <w:rPr>
          <w:rFonts w:cstheme="minorHAnsi"/>
          <w:i/>
        </w:rPr>
      </w:pPr>
      <w:r>
        <w:rPr>
          <w:iCs/>
        </w:rPr>
        <w:t>Grant recipients</w:t>
      </w:r>
      <w:r w:rsidRPr="00586C5F">
        <w:rPr>
          <w:iCs/>
        </w:rPr>
        <w:t xml:space="preserve"> will send completed </w:t>
      </w:r>
      <w:r>
        <w:rPr>
          <w:iCs/>
        </w:rPr>
        <w:t>final reports</w:t>
      </w:r>
      <w:r w:rsidRPr="00586C5F">
        <w:rPr>
          <w:iCs/>
        </w:rPr>
        <w:t xml:space="preserve"> to ACF and </w:t>
      </w:r>
      <w:r>
        <w:rPr>
          <w:iCs/>
        </w:rPr>
        <w:t>the HMRF-LETA team</w:t>
      </w:r>
      <w:r w:rsidRPr="00586C5F">
        <w:rPr>
          <w:iCs/>
        </w:rPr>
        <w:t xml:space="preserve"> by email. The complete</w:t>
      </w:r>
      <w:r>
        <w:rPr>
          <w:iCs/>
        </w:rPr>
        <w:t>d</w:t>
      </w:r>
      <w:r w:rsidRPr="00586C5F">
        <w:rPr>
          <w:iCs/>
        </w:rPr>
        <w:t xml:space="preserve"> final report</w:t>
      </w:r>
      <w:r>
        <w:rPr>
          <w:iCs/>
        </w:rPr>
        <w:t>s</w:t>
      </w:r>
      <w:r w:rsidRPr="00586C5F">
        <w:rPr>
          <w:iCs/>
        </w:rPr>
        <w:t xml:space="preserve"> templates will be stored on </w:t>
      </w:r>
      <w:r>
        <w:rPr>
          <w:iCs/>
        </w:rPr>
        <w:t>the Contractors’</w:t>
      </w:r>
      <w:r w:rsidRPr="00586C5F">
        <w:rPr>
          <w:iCs/>
        </w:rPr>
        <w:t xml:space="preserve"> computer system in a file</w:t>
      </w:r>
      <w:r>
        <w:rPr>
          <w:iCs/>
        </w:rPr>
        <w:t xml:space="preserve"> folder</w:t>
      </w:r>
      <w:r w:rsidRPr="00586C5F">
        <w:rPr>
          <w:iCs/>
        </w:rPr>
        <w:t xml:space="preserve"> that can only be accessed by project staff. Project staff will record in a tracking file the dates they receive the completed (and revised) </w:t>
      </w:r>
      <w:r>
        <w:rPr>
          <w:iCs/>
        </w:rPr>
        <w:t>reports</w:t>
      </w:r>
      <w:r w:rsidRPr="00586C5F">
        <w:rPr>
          <w:iCs/>
        </w:rPr>
        <w:t xml:space="preserve"> and dates when the </w:t>
      </w:r>
      <w:r>
        <w:rPr>
          <w:iCs/>
        </w:rPr>
        <w:t>reports</w:t>
      </w:r>
      <w:r w:rsidRPr="00586C5F">
        <w:rPr>
          <w:iCs/>
        </w:rPr>
        <w:t xml:space="preserve"> are returned to </w:t>
      </w:r>
      <w:r>
        <w:rPr>
          <w:iCs/>
        </w:rPr>
        <w:t>grant recipients</w:t>
      </w:r>
      <w:r w:rsidRPr="00586C5F">
        <w:rPr>
          <w:iCs/>
        </w:rPr>
        <w:t xml:space="preserve"> for revision. </w:t>
      </w:r>
    </w:p>
    <w:p w:rsidR="006058AE" w:rsidRPr="00586C5F" w:rsidP="006058AE" w14:paraId="066C729A" w14:textId="77777777">
      <w:pPr>
        <w:spacing w:after="0" w:line="240" w:lineRule="auto"/>
        <w:rPr>
          <w:iCs/>
        </w:rPr>
      </w:pPr>
    </w:p>
    <w:p w:rsidR="006058AE" w:rsidP="006058AE" w14:paraId="09753133" w14:textId="77777777">
      <w:pPr>
        <w:spacing w:after="0" w:line="240" w:lineRule="auto"/>
        <w:rPr>
          <w:iCs/>
        </w:rPr>
      </w:pPr>
      <w:r>
        <w:rPr>
          <w:iCs/>
        </w:rPr>
        <w:t>The Contractors</w:t>
      </w:r>
      <w:r w:rsidRPr="00586C5F">
        <w:rPr>
          <w:iCs/>
        </w:rPr>
        <w:t xml:space="preserve"> shall protect respondent privacy to the extent permitted by law and will comply with all Federal and Departmental regulations for private information.</w:t>
      </w:r>
    </w:p>
    <w:p w:rsidR="006058AE" w:rsidP="006058AE" w14:paraId="6FED39CA" w14:textId="77777777">
      <w:pPr>
        <w:spacing w:after="0" w:line="240" w:lineRule="auto"/>
        <w:rPr>
          <w:iCs/>
        </w:rPr>
      </w:pPr>
    </w:p>
    <w:p w:rsidR="006058AE" w:rsidP="006058AE" w14:paraId="7ACEE728" w14:textId="74EB22BB">
      <w:pPr>
        <w:spacing w:after="120" w:line="240" w:lineRule="auto"/>
        <w:rPr>
          <w:iCs/>
        </w:rPr>
      </w:pPr>
      <w:r>
        <w:rPr>
          <w:iCs/>
        </w:rPr>
        <w:t>T</w:t>
      </w:r>
      <w:r>
        <w:rPr>
          <w:iCs/>
        </w:rPr>
        <w:t xml:space="preserve">he security procedures for each contractor </w:t>
      </w:r>
      <w:r>
        <w:rPr>
          <w:iCs/>
        </w:rPr>
        <w:t>are described next.</w:t>
      </w:r>
    </w:p>
    <w:p w:rsidR="006058AE" w:rsidP="00A56E39" w14:paraId="6E86E7C8" w14:textId="77777777">
      <w:pPr>
        <w:spacing w:after="60" w:line="240" w:lineRule="auto"/>
        <w:rPr>
          <w:iCs/>
        </w:rPr>
      </w:pPr>
      <w:r w:rsidRPr="00663BEB">
        <w:rPr>
          <w:iCs/>
        </w:rPr>
        <w:t>Mathematica</w:t>
      </w:r>
    </w:p>
    <w:p w:rsidR="006058AE" w:rsidP="006058AE" w14:paraId="4876E668" w14:textId="77777777">
      <w:pPr>
        <w:pStyle w:val="ListParagraph"/>
        <w:numPr>
          <w:ilvl w:val="0"/>
          <w:numId w:val="46"/>
        </w:numPr>
        <w:spacing w:after="120" w:line="240" w:lineRule="auto"/>
        <w:rPr>
          <w:iCs/>
        </w:rPr>
      </w:pPr>
      <w:r w:rsidRPr="00E84944">
        <w:rPr>
          <w:iCs/>
        </w:rPr>
        <w:t>Data stored on the secure network drive reside within a project-specific folder that is only accessible to Mathematica staff who have a business-related need to know, as restricted by identity-based policies and access control lists. The Mathematica project director, or designee, approves access to the data stored on the network drive.</w:t>
      </w:r>
    </w:p>
    <w:p w:rsidR="006058AE" w:rsidRPr="00CC5A52" w:rsidP="006058AE" w14:paraId="1471FC46" w14:textId="77777777">
      <w:pPr>
        <w:pStyle w:val="ListParagraph"/>
        <w:numPr>
          <w:ilvl w:val="0"/>
          <w:numId w:val="46"/>
        </w:numPr>
        <w:spacing w:after="120" w:line="240" w:lineRule="auto"/>
        <w:rPr>
          <w:iCs/>
        </w:rPr>
      </w:pPr>
      <w:r>
        <w:t>D</w:t>
      </w:r>
      <w:r w:rsidRPr="004C045B">
        <w:t>ata is encrypted as it is stored on the server with an AES 256-bit key, which is Federal Information Processing Standards (FIPS) 140-2 compliant.</w:t>
      </w:r>
    </w:p>
    <w:p w:rsidR="006058AE" w:rsidRPr="00CC5A52" w:rsidP="006058AE" w14:paraId="73E7D0C2" w14:textId="77777777">
      <w:pPr>
        <w:pStyle w:val="ListParagraph"/>
        <w:numPr>
          <w:ilvl w:val="0"/>
          <w:numId w:val="46"/>
        </w:numPr>
        <w:spacing w:after="240" w:line="240" w:lineRule="auto"/>
        <w:rPr>
          <w:iCs/>
        </w:rPr>
      </w:pPr>
      <w:r w:rsidRPr="004C045B">
        <w:t>All ingress and egress points on the Mathematica network are limited to authorized channels via a monitored firewall. There is no route for public access into the Mathematica network.</w:t>
      </w:r>
    </w:p>
    <w:p w:rsidR="006058AE" w:rsidP="006058AE" w14:paraId="1F409FAF" w14:textId="77777777">
      <w:pPr>
        <w:spacing w:after="0" w:line="240" w:lineRule="auto"/>
        <w:rPr>
          <w:iCs/>
        </w:rPr>
      </w:pPr>
      <w:r>
        <w:rPr>
          <w:iCs/>
        </w:rPr>
        <w:t xml:space="preserve">These are supplemented by: 1) an </w:t>
      </w:r>
      <w:r w:rsidRPr="00CC5A52">
        <w:rPr>
          <w:iCs/>
        </w:rPr>
        <w:t>annual security awareness training</w:t>
      </w:r>
      <w:r>
        <w:rPr>
          <w:iCs/>
        </w:rPr>
        <w:t xml:space="preserve">, employee review and signature of the company’s </w:t>
      </w:r>
      <w:r w:rsidRPr="00CC5A52">
        <w:rPr>
          <w:iCs/>
        </w:rPr>
        <w:t>Rules of Behavior and confidentiality pledge</w:t>
      </w:r>
      <w:r>
        <w:rPr>
          <w:iCs/>
        </w:rPr>
        <w:t xml:space="preserve">; and 2) resources on </w:t>
      </w:r>
      <w:r w:rsidRPr="00E5511F">
        <w:rPr>
          <w:iCs/>
        </w:rPr>
        <w:t>Mathematica</w:t>
      </w:r>
      <w:r>
        <w:rPr>
          <w:iCs/>
        </w:rPr>
        <w:t>’s</w:t>
      </w:r>
      <w:r w:rsidRPr="00E5511F">
        <w:rPr>
          <w:iCs/>
        </w:rPr>
        <w:t xml:space="preserve"> intranet web page</w:t>
      </w:r>
      <w:r>
        <w:rPr>
          <w:iCs/>
        </w:rPr>
        <w:t xml:space="preserve">, such as </w:t>
      </w:r>
      <w:r w:rsidRPr="00E5511F">
        <w:rPr>
          <w:iCs/>
        </w:rPr>
        <w:t xml:space="preserve">links to the Mathematica Security Manual </w:t>
      </w:r>
      <w:r>
        <w:rPr>
          <w:iCs/>
        </w:rPr>
        <w:t xml:space="preserve">which outlines </w:t>
      </w:r>
      <w:r w:rsidRPr="001173DC">
        <w:rPr>
          <w:iCs/>
        </w:rPr>
        <w:t>HHS-specified procedures for identifying, reporting, and resolving security incidents.</w:t>
      </w:r>
    </w:p>
    <w:p w:rsidR="006058AE" w:rsidRPr="00663BEB" w:rsidP="006058AE" w14:paraId="0D3AC422" w14:textId="77777777">
      <w:pPr>
        <w:spacing w:after="0" w:line="240" w:lineRule="auto"/>
        <w:rPr>
          <w:iCs/>
        </w:rPr>
      </w:pPr>
    </w:p>
    <w:p w:rsidR="006058AE" w:rsidP="006058AE" w14:paraId="228311BD" w14:textId="7BA06441">
      <w:pPr>
        <w:spacing w:after="120" w:line="240" w:lineRule="auto"/>
      </w:pPr>
      <w:r w:rsidRPr="00FD7E48">
        <w:t>MDRC</w:t>
      </w:r>
    </w:p>
    <w:p w:rsidR="006058AE" w:rsidP="006058AE" w14:paraId="194C3AC8" w14:textId="77777777">
      <w:pPr>
        <w:pStyle w:val="ListParagraph"/>
        <w:numPr>
          <w:ilvl w:val="0"/>
          <w:numId w:val="45"/>
        </w:numPr>
        <w:spacing w:after="120" w:line="240" w:lineRule="auto"/>
        <w:contextualSpacing w:val="0"/>
      </w:pPr>
      <w:r>
        <w:t xml:space="preserve">Access to information on a need-to-know basis, supported by multi-factor authentication </w:t>
      </w:r>
      <w:r>
        <w:t>factors</w:t>
      </w:r>
      <w:r>
        <w:t xml:space="preserve">  </w:t>
      </w:r>
    </w:p>
    <w:p w:rsidR="006058AE" w:rsidP="006058AE" w14:paraId="1C77CA33" w14:textId="77777777">
      <w:pPr>
        <w:pStyle w:val="ListParagraph"/>
        <w:numPr>
          <w:ilvl w:val="0"/>
          <w:numId w:val="45"/>
        </w:numPr>
        <w:spacing w:after="120" w:line="240" w:lineRule="auto"/>
        <w:contextualSpacing w:val="0"/>
      </w:pPr>
      <w:r>
        <w:t xml:space="preserve">End-to-end encryption, in-transit and at-rest, using TLS 1.2+ and AES256 via FIPS 140-2 modules for systems integrity, systems and communications protection, and media </w:t>
      </w:r>
      <w:r>
        <w:t>protection</w:t>
      </w:r>
      <w:r>
        <w:t xml:space="preserve">  </w:t>
      </w:r>
    </w:p>
    <w:p w:rsidR="006058AE" w:rsidP="006058AE" w14:paraId="3A94BB34" w14:textId="77777777">
      <w:pPr>
        <w:pStyle w:val="ListParagraph"/>
        <w:numPr>
          <w:ilvl w:val="0"/>
          <w:numId w:val="45"/>
        </w:numPr>
        <w:spacing w:after="120" w:line="240" w:lineRule="auto"/>
        <w:contextualSpacing w:val="0"/>
      </w:pPr>
      <w:r>
        <w:t xml:space="preserve">Continuous monitoring of application and transport-level traffic for inbound and outbound flows  </w:t>
      </w:r>
    </w:p>
    <w:p w:rsidR="006058AE" w:rsidP="006058AE" w14:paraId="76DE87F6" w14:textId="77777777">
      <w:pPr>
        <w:spacing w:after="0" w:line="240" w:lineRule="auto"/>
        <w:rPr>
          <w:b/>
        </w:rPr>
      </w:pPr>
      <w:r>
        <w:t>These are supplemented by 1) employee nondisclosure agreements and annual data security training, 2) IT support teams well-versed in cyber security, and 3) policies for responding to data security incidents.</w:t>
      </w:r>
    </w:p>
    <w:p w:rsidR="001D1C73" w:rsidRPr="009139B3" w:rsidP="001D1C73" w14:paraId="00EDDFF9" w14:textId="77777777">
      <w:pPr>
        <w:spacing w:after="0" w:line="240" w:lineRule="auto"/>
        <w:rPr>
          <w:rFonts w:cstheme="minorHAnsi"/>
        </w:rPr>
      </w:pPr>
    </w:p>
    <w:p w:rsidR="001D1C73" w:rsidRPr="009139B3" w:rsidP="001D1C73" w14:paraId="40B5F5B3" w14:textId="44DE8B81">
      <w:pPr>
        <w:spacing w:after="120" w:line="240" w:lineRule="auto"/>
      </w:pPr>
      <w:r w:rsidRPr="009139B3">
        <w:rPr>
          <w:b/>
        </w:rPr>
        <w:t>A11</w:t>
      </w:r>
      <w:r w:rsidRPr="009139B3">
        <w:t>.</w:t>
      </w:r>
      <w:r w:rsidRPr="009139B3">
        <w:tab/>
      </w:r>
      <w:r w:rsidRPr="009139B3">
        <w:rPr>
          <w:b/>
        </w:rPr>
        <w:t>Sensitive Information</w:t>
      </w:r>
      <w:r w:rsidRPr="009139B3">
        <w:rPr>
          <w:rStyle w:val="FootnoteReference"/>
        </w:rPr>
        <w:t xml:space="preserve"> </w:t>
      </w:r>
      <w:r>
        <w:rPr>
          <w:rStyle w:val="FootnoteReference"/>
        </w:rPr>
        <w:footnoteReference w:id="10"/>
      </w:r>
    </w:p>
    <w:p w:rsidR="00177AFE" w:rsidRPr="00493DF4" w:rsidP="00177AFE" w14:paraId="427092E4" w14:textId="77777777">
      <w:pPr>
        <w:spacing w:after="0" w:line="240" w:lineRule="auto"/>
      </w:pPr>
      <w:r w:rsidRPr="00493DF4">
        <w:t>There are no sensitive questions in this data collection.</w:t>
      </w:r>
    </w:p>
    <w:p w:rsidR="001D1C73" w:rsidRPr="009139B3" w:rsidP="001D1C73" w14:paraId="454AD3D8" w14:textId="77777777">
      <w:pPr>
        <w:spacing w:after="0" w:line="240" w:lineRule="auto"/>
        <w:rPr>
          <w:rFonts w:cstheme="minorHAnsi"/>
        </w:rPr>
      </w:pPr>
    </w:p>
    <w:p w:rsidR="001D1C73" w:rsidRPr="009139B3" w:rsidP="001D1C73" w14:paraId="62ADEB38" w14:textId="77777777">
      <w:pPr>
        <w:spacing w:after="120" w:line="240" w:lineRule="auto"/>
        <w:rPr>
          <w:b/>
        </w:rPr>
      </w:pPr>
      <w:r w:rsidRPr="009139B3">
        <w:rPr>
          <w:b/>
        </w:rPr>
        <w:t>A12</w:t>
      </w:r>
      <w:r w:rsidRPr="009139B3">
        <w:t>.</w:t>
      </w:r>
      <w:r w:rsidRPr="009139B3">
        <w:tab/>
      </w:r>
      <w:r w:rsidRPr="009139B3">
        <w:rPr>
          <w:b/>
        </w:rPr>
        <w:t>Burden</w:t>
      </w:r>
    </w:p>
    <w:p w:rsidR="001D1C73" w:rsidRPr="009139B3" w:rsidP="001D1C73" w14:paraId="4525B6CF" w14:textId="77777777">
      <w:pPr>
        <w:spacing w:after="60" w:line="240" w:lineRule="auto"/>
        <w:rPr>
          <w:i/>
        </w:rPr>
      </w:pPr>
      <w:r w:rsidRPr="009139B3">
        <w:rPr>
          <w:i/>
        </w:rPr>
        <w:t>Explanation of Burden Estimates</w:t>
      </w:r>
    </w:p>
    <w:p w:rsidR="00177AFE" w:rsidP="00177AFE" w14:paraId="2F9A350E" w14:textId="5333096C">
      <w:pPr>
        <w:spacing w:after="0" w:line="240" w:lineRule="auto"/>
      </w:pPr>
      <w:r w:rsidRPr="00E64309">
        <w:t xml:space="preserve">Table A12.1 provides the estimated annual reporting burden and cost calculations for the three instruments included in this request. </w:t>
      </w:r>
      <w:r w:rsidR="00D42249">
        <w:t xml:space="preserve">As described in section A2, 10 grant recipient organizations were funded to conduct two HMRF evaluations, thus they are counted as separate respondents in the estimates below </w:t>
      </w:r>
      <w:r w:rsidR="004047F8">
        <w:t>because</w:t>
      </w:r>
      <w:r w:rsidR="00D42249">
        <w:t xml:space="preserve"> </w:t>
      </w:r>
      <w:r w:rsidR="002D5548">
        <w:t>the organizations</w:t>
      </w:r>
      <w:r w:rsidR="00D42249">
        <w:t xml:space="preserve"> must meet the final report requirement</w:t>
      </w:r>
      <w:r w:rsidR="002D5548">
        <w:t xml:space="preserve"> for each grant</w:t>
      </w:r>
      <w:r w:rsidR="00D42249">
        <w:t>.</w:t>
      </w:r>
    </w:p>
    <w:p w:rsidR="00177AFE" w:rsidP="00177AFE" w14:paraId="49F213B5" w14:textId="77777777">
      <w:pPr>
        <w:spacing w:after="0" w:line="240" w:lineRule="auto"/>
      </w:pPr>
    </w:p>
    <w:p w:rsidR="00177AFE" w:rsidP="00177AFE" w14:paraId="66EAD461" w14:textId="77777777">
      <w:pPr>
        <w:spacing w:after="60" w:line="240" w:lineRule="auto"/>
        <w:rPr>
          <w:i/>
        </w:rPr>
      </w:pPr>
      <w:r>
        <w:rPr>
          <w:i/>
        </w:rPr>
        <w:t>Explanation of Burden Estimates</w:t>
      </w:r>
    </w:p>
    <w:p w:rsidR="00177AFE" w:rsidRPr="00141190" w:rsidP="00A56E39" w14:paraId="59E26DF8" w14:textId="149CBD8B">
      <w:pPr>
        <w:spacing w:after="120" w:line="240" w:lineRule="auto"/>
      </w:pPr>
      <w:r w:rsidRPr="00E64309">
        <w:t xml:space="preserve">The total annual burden is estimated </w:t>
      </w:r>
      <w:r>
        <w:t>based on the following a</w:t>
      </w:r>
      <w:r w:rsidRPr="00E64309">
        <w:t>ssumptions</w:t>
      </w:r>
      <w:r>
        <w:t>:</w:t>
      </w:r>
      <w:r w:rsidRPr="00141190">
        <w:t xml:space="preserve"> </w:t>
      </w:r>
    </w:p>
    <w:p w:rsidR="00177AFE" w:rsidRPr="00E64309" w:rsidP="00177AFE" w14:paraId="7BEB4D84" w14:textId="4018C1CC">
      <w:pPr>
        <w:pStyle w:val="ListParagraph"/>
        <w:numPr>
          <w:ilvl w:val="0"/>
          <w:numId w:val="44"/>
        </w:numPr>
        <w:spacing w:after="0" w:line="240" w:lineRule="auto"/>
      </w:pPr>
      <w:r w:rsidRPr="002114AD">
        <w:rPr>
          <w:b/>
        </w:rPr>
        <w:t xml:space="preserve">Instrument 1: </w:t>
      </w:r>
      <w:r w:rsidRPr="00E64309">
        <w:rPr>
          <w:b/>
        </w:rPr>
        <w:t>Descriptive Evaluation Final Report Template for HMRF Grant Recipients.</w:t>
      </w:r>
      <w:r w:rsidRPr="00E64309">
        <w:t xml:space="preserve">  At most, 50 grant</w:t>
      </w:r>
      <w:r w:rsidR="00D42249">
        <w:t xml:space="preserve">s funded to conduct a </w:t>
      </w:r>
      <w:r w:rsidRPr="00E64309">
        <w:t>descriptive evaluation (24 HMRE and 26 RF) will complete the descriptive report template and the embedded table shells. On average, it will take 40 hours to complete this template</w:t>
      </w:r>
      <w:r w:rsidR="00E62856">
        <w:t>, which includes edits to the report identified during the review process and final submission of the report</w:t>
      </w:r>
      <w:r w:rsidRPr="00E64309">
        <w:t xml:space="preserve">. </w:t>
      </w:r>
    </w:p>
    <w:p w:rsidR="00177AFE" w:rsidRPr="00141190" w:rsidP="00177AFE" w14:paraId="0D09B1A6" w14:textId="319EC1EB">
      <w:pPr>
        <w:pStyle w:val="ListParagraph"/>
        <w:numPr>
          <w:ilvl w:val="0"/>
          <w:numId w:val="44"/>
        </w:numPr>
        <w:spacing w:after="0" w:line="240" w:lineRule="auto"/>
      </w:pPr>
      <w:r w:rsidRPr="002114AD">
        <w:rPr>
          <w:b/>
        </w:rPr>
        <w:t xml:space="preserve">Instrument 2: Impact Evaluation </w:t>
      </w:r>
      <w:r w:rsidRPr="00E64309">
        <w:rPr>
          <w:b/>
        </w:rPr>
        <w:t>Final Report Template for HMRF Grant Recipients</w:t>
      </w:r>
      <w:r w:rsidRPr="00E64309">
        <w:t>. At most, 29 grant</w:t>
      </w:r>
      <w:r w:rsidR="00D42249">
        <w:t xml:space="preserve">s funded to conduct </w:t>
      </w:r>
      <w:r w:rsidRPr="00E64309">
        <w:t>an impact evaluation (16 HMRE and 13 RF) will complete the impact report template. On average, it will take 30 hours to complete this template</w:t>
      </w:r>
      <w:r w:rsidR="00E62856">
        <w:t>, which includes edits to the report identified during the review process and final submission of the report</w:t>
      </w:r>
      <w:r w:rsidRPr="00E64309">
        <w:t xml:space="preserve">. </w:t>
      </w:r>
    </w:p>
    <w:p w:rsidR="00177AFE" w:rsidRPr="00E64309" w:rsidP="00177AFE" w14:paraId="47F0E7F9" w14:textId="396D8F15">
      <w:pPr>
        <w:pStyle w:val="ListParagraph"/>
        <w:numPr>
          <w:ilvl w:val="0"/>
          <w:numId w:val="44"/>
        </w:numPr>
        <w:spacing w:after="0" w:line="240" w:lineRule="auto"/>
      </w:pPr>
      <w:r w:rsidRPr="00D415E2">
        <w:rPr>
          <w:b/>
        </w:rPr>
        <w:t>Instrument 3: Impact Evaluation Final Report Table Shells for HMRF Grant Recipients.</w:t>
      </w:r>
      <w:r w:rsidRPr="00141190">
        <w:t xml:space="preserve">  </w:t>
      </w:r>
      <w:r>
        <w:t>G</w:t>
      </w:r>
      <w:r w:rsidRPr="00141190">
        <w:t>rant</w:t>
      </w:r>
      <w:r>
        <w:t xml:space="preserve"> recipients </w:t>
      </w:r>
      <w:r w:rsidRPr="00141190">
        <w:t xml:space="preserve">completing the impact report template will complete the accompanying table shells. </w:t>
      </w:r>
      <w:r w:rsidRPr="00E64309">
        <w:t>On average, it will take 10 hours to complete these table shells</w:t>
      </w:r>
      <w:r w:rsidR="00E62856">
        <w:t>, which includes edits to the tables identified during the review process and submission of the tables with the final report</w:t>
      </w:r>
      <w:r w:rsidRPr="00E64309">
        <w:t xml:space="preserve">. </w:t>
      </w:r>
    </w:p>
    <w:p w:rsidR="00B868DB" w:rsidP="001D1C73" w14:paraId="4CA59669" w14:textId="77777777">
      <w:pPr>
        <w:spacing w:after="0" w:line="240" w:lineRule="auto"/>
      </w:pPr>
    </w:p>
    <w:p w:rsidR="00177AFE" w:rsidP="00177AFE" w14:paraId="7439CFF8" w14:textId="77777777">
      <w:pPr>
        <w:spacing w:after="60" w:line="240" w:lineRule="auto"/>
      </w:pPr>
      <w:r w:rsidRPr="00684BE9">
        <w:rPr>
          <w:rFonts w:cstheme="minorHAnsi"/>
          <w:i/>
        </w:rPr>
        <w:t>Estimated An</w:t>
      </w:r>
      <w:r>
        <w:rPr>
          <w:i/>
        </w:rPr>
        <w:t>nualized Cost to Respondents</w:t>
      </w:r>
      <w:r w:rsidRPr="00D415E2">
        <w:t xml:space="preserve"> </w:t>
      </w:r>
    </w:p>
    <w:p w:rsidR="00177AFE" w:rsidRPr="00684BE9" w:rsidP="00177AFE" w14:paraId="68EC5A99" w14:textId="77777777">
      <w:pPr>
        <w:spacing w:after="0" w:line="240" w:lineRule="auto"/>
        <w:rPr>
          <w:rFonts w:cstheme="minorHAnsi"/>
        </w:rPr>
      </w:pPr>
      <w:r w:rsidRPr="00141190">
        <w:t>For cost calculations for the labor associated with completing the final reports, we estimate the average hourly wage for program directors and managers to be the average hourly wage for “Social and Community Services Manager” ($3</w:t>
      </w:r>
      <w:r>
        <w:t>7</w:t>
      </w:r>
      <w:r w:rsidRPr="00141190">
        <w:t>.</w:t>
      </w:r>
      <w:r>
        <w:t>03</w:t>
      </w:r>
      <w:r w:rsidRPr="00141190">
        <w:t>), taken from the U.S. Bureau of Labor Statistics</w:t>
      </w:r>
      <w:r>
        <w:t>, Occupational Employment Statistics, 2023.</w:t>
      </w:r>
      <w:r>
        <w:rPr>
          <w:rStyle w:val="FootnoteReference"/>
          <w:rFonts w:cstheme="minorHAnsi"/>
        </w:rPr>
        <w:footnoteReference w:id="11"/>
      </w:r>
      <w:r>
        <w:t xml:space="preserve"> To account for fringe benefits and overhead, we multiplied this amount by two ($74.06).</w:t>
      </w:r>
    </w:p>
    <w:p w:rsidR="00177AFE" w:rsidP="00177AFE" w14:paraId="4E5C8303" w14:textId="77777777">
      <w:pPr>
        <w:spacing w:after="0" w:line="240" w:lineRule="auto"/>
        <w:rPr>
          <w:i/>
        </w:rPr>
      </w:pPr>
    </w:p>
    <w:p w:rsidR="00177AFE" w:rsidRPr="00037899" w:rsidP="00177AFE" w14:paraId="4E1AE55A" w14:textId="77777777">
      <w:pPr>
        <w:pStyle w:val="NoSpacing"/>
        <w:rPr>
          <w:b/>
          <w:bCs/>
        </w:rPr>
      </w:pPr>
      <w:r w:rsidRPr="00037899">
        <w:rPr>
          <w:b/>
          <w:bCs/>
        </w:rPr>
        <w:t>Table A12.1</w:t>
      </w:r>
      <w:r>
        <w:rPr>
          <w:b/>
          <w:bCs/>
        </w:rPr>
        <w:t>.</w:t>
      </w:r>
      <w:r w:rsidRPr="00037899">
        <w:rPr>
          <w:b/>
          <w:bCs/>
        </w:rPr>
        <w:t xml:space="preserve"> Total Burden Requested Under this Information Collection</w:t>
      </w:r>
    </w:p>
    <w:tbl>
      <w:tblPr>
        <w:tblStyle w:val="TableGrid"/>
        <w:tblW w:w="4918" w:type="pct"/>
        <w:tblInd w:w="0" w:type="dxa"/>
        <w:tblLook w:val="01E0"/>
      </w:tblPr>
      <w:tblGrid>
        <w:gridCol w:w="2201"/>
        <w:gridCol w:w="1296"/>
        <w:gridCol w:w="1448"/>
        <w:gridCol w:w="1080"/>
        <w:gridCol w:w="990"/>
        <w:gridCol w:w="953"/>
        <w:gridCol w:w="1229"/>
      </w:tblGrid>
      <w:tr w14:paraId="0A2E6528" w14:textId="77777777" w:rsidTr="00A56E39">
        <w:tblPrEx>
          <w:tblW w:w="4918" w:type="pct"/>
          <w:tblInd w:w="0" w:type="dxa"/>
          <w:tblLook w:val="01E0"/>
        </w:tblPrEx>
        <w:tc>
          <w:tcPr>
            <w:tcW w:w="1197" w:type="pct"/>
            <w:tcBorders>
              <w:top w:val="single" w:sz="4" w:space="0" w:color="auto"/>
              <w:left w:val="single" w:sz="4" w:space="0" w:color="auto"/>
              <w:bottom w:val="single" w:sz="4" w:space="0" w:color="auto"/>
              <w:right w:val="single" w:sz="4" w:space="0" w:color="auto"/>
            </w:tcBorders>
            <w:vAlign w:val="center"/>
            <w:hideMark/>
          </w:tcPr>
          <w:p w:rsidR="00177AFE" w:rsidRPr="00E71E55" w:rsidP="00CF0F34" w14:paraId="78DD90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71E55">
              <w:rPr>
                <w:rFonts w:asciiTheme="minorHAnsi" w:hAnsiTheme="minorHAnsi" w:cstheme="minorHAnsi"/>
                <w:b/>
              </w:rPr>
              <w:t>Instrument</w:t>
            </w:r>
          </w:p>
        </w:tc>
        <w:tc>
          <w:tcPr>
            <w:tcW w:w="705" w:type="pct"/>
            <w:tcBorders>
              <w:top w:val="single" w:sz="4" w:space="0" w:color="auto"/>
              <w:left w:val="single" w:sz="4" w:space="0" w:color="auto"/>
              <w:bottom w:val="single" w:sz="4" w:space="0" w:color="auto"/>
              <w:right w:val="single" w:sz="4" w:space="0" w:color="auto"/>
            </w:tcBorders>
            <w:vAlign w:val="center"/>
            <w:hideMark/>
          </w:tcPr>
          <w:p w:rsidR="00177AFE" w:rsidRPr="00E71E55" w:rsidP="00CF0F34" w14:paraId="670414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71E55">
              <w:rPr>
                <w:rFonts w:asciiTheme="minorHAnsi" w:hAnsiTheme="minorHAnsi" w:cstheme="minorHAnsi"/>
                <w:b/>
              </w:rPr>
              <w:t>No. of Respondents (total over request period)</w:t>
            </w:r>
          </w:p>
        </w:tc>
        <w:tc>
          <w:tcPr>
            <w:tcW w:w="787" w:type="pct"/>
            <w:tcBorders>
              <w:top w:val="single" w:sz="4" w:space="0" w:color="auto"/>
              <w:left w:val="single" w:sz="4" w:space="0" w:color="auto"/>
              <w:bottom w:val="single" w:sz="4" w:space="0" w:color="auto"/>
              <w:right w:val="single" w:sz="4" w:space="0" w:color="auto"/>
            </w:tcBorders>
            <w:vAlign w:val="center"/>
            <w:hideMark/>
          </w:tcPr>
          <w:p w:rsidR="00177AFE" w:rsidRPr="00E71E55" w:rsidP="00CF0F34" w14:paraId="229993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71E55">
              <w:rPr>
                <w:rFonts w:asciiTheme="minorHAnsi" w:hAnsiTheme="minorHAnsi" w:cstheme="minorHAnsi"/>
                <w:b/>
              </w:rPr>
              <w:t>No. of Responses per Respondent (total over request period)</w:t>
            </w:r>
          </w:p>
        </w:tc>
        <w:tc>
          <w:tcPr>
            <w:tcW w:w="587" w:type="pct"/>
            <w:tcBorders>
              <w:top w:val="single" w:sz="4" w:space="0" w:color="auto"/>
              <w:left w:val="single" w:sz="4" w:space="0" w:color="auto"/>
              <w:bottom w:val="single" w:sz="4" w:space="0" w:color="auto"/>
              <w:right w:val="single" w:sz="4" w:space="0" w:color="auto"/>
            </w:tcBorders>
            <w:vAlign w:val="center"/>
            <w:hideMark/>
          </w:tcPr>
          <w:p w:rsidR="00177AFE" w:rsidRPr="00E71E55" w:rsidP="00CF0F34" w14:paraId="78AD22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71E55">
              <w:rPr>
                <w:rFonts w:asciiTheme="minorHAnsi" w:hAnsiTheme="minorHAnsi" w:cstheme="minorHAnsi"/>
                <w:b/>
              </w:rPr>
              <w:t>Avg. Burden per Response (in hours)</w:t>
            </w:r>
          </w:p>
        </w:tc>
        <w:tc>
          <w:tcPr>
            <w:tcW w:w="538" w:type="pct"/>
            <w:tcBorders>
              <w:top w:val="single" w:sz="4" w:space="0" w:color="auto"/>
              <w:left w:val="single" w:sz="4" w:space="0" w:color="auto"/>
              <w:bottom w:val="single" w:sz="4" w:space="0" w:color="auto"/>
              <w:right w:val="single" w:sz="4" w:space="0" w:color="auto"/>
            </w:tcBorders>
            <w:vAlign w:val="center"/>
          </w:tcPr>
          <w:p w:rsidR="00177AFE" w:rsidRPr="00E71E55" w:rsidP="00CF0F34" w14:paraId="24FEB7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71E55">
              <w:rPr>
                <w:rFonts w:asciiTheme="minorHAnsi" w:hAnsiTheme="minorHAnsi" w:cstheme="minorHAnsi"/>
                <w:b/>
              </w:rPr>
              <w:t>Total/ Annual Burden (in hours)</w:t>
            </w:r>
          </w:p>
        </w:tc>
        <w:tc>
          <w:tcPr>
            <w:tcW w:w="518" w:type="pct"/>
            <w:tcBorders>
              <w:top w:val="single" w:sz="4" w:space="0" w:color="auto"/>
              <w:left w:val="single" w:sz="4" w:space="0" w:color="auto"/>
              <w:bottom w:val="single" w:sz="4" w:space="0" w:color="auto"/>
              <w:right w:val="single" w:sz="4" w:space="0" w:color="auto"/>
            </w:tcBorders>
            <w:vAlign w:val="center"/>
            <w:hideMark/>
          </w:tcPr>
          <w:p w:rsidR="00177AFE" w:rsidRPr="00E71E55" w:rsidP="00CF0F34" w14:paraId="5AD4ED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71E55">
              <w:rPr>
                <w:rFonts w:asciiTheme="minorHAnsi" w:hAnsiTheme="minorHAnsi" w:cstheme="minorHAnsi"/>
                <w:b/>
              </w:rPr>
              <w:t>Average Hourly Wage Rate</w:t>
            </w:r>
          </w:p>
        </w:tc>
        <w:tc>
          <w:tcPr>
            <w:tcW w:w="668" w:type="pct"/>
            <w:tcBorders>
              <w:top w:val="single" w:sz="4" w:space="0" w:color="auto"/>
              <w:left w:val="single" w:sz="4" w:space="0" w:color="auto"/>
              <w:bottom w:val="single" w:sz="4" w:space="0" w:color="auto"/>
              <w:right w:val="single" w:sz="4" w:space="0" w:color="auto"/>
            </w:tcBorders>
            <w:vAlign w:val="center"/>
            <w:hideMark/>
          </w:tcPr>
          <w:p w:rsidR="00177AFE" w:rsidRPr="00E71E55" w:rsidP="00CF0F34" w14:paraId="35A807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71E55">
              <w:rPr>
                <w:rFonts w:asciiTheme="minorHAnsi" w:hAnsiTheme="minorHAnsi" w:cstheme="minorHAnsi"/>
                <w:b/>
              </w:rPr>
              <w:t>Total Annual Respondent Cost</w:t>
            </w:r>
          </w:p>
        </w:tc>
      </w:tr>
      <w:tr w14:paraId="69111B30" w14:textId="77777777" w:rsidTr="00A56E39">
        <w:tblPrEx>
          <w:tblW w:w="4918" w:type="pct"/>
          <w:tblInd w:w="0" w:type="dxa"/>
          <w:tblLook w:val="01E0"/>
        </w:tblPrEx>
        <w:tc>
          <w:tcPr>
            <w:tcW w:w="1197" w:type="pct"/>
            <w:tcBorders>
              <w:top w:val="single" w:sz="4" w:space="0" w:color="auto"/>
              <w:left w:val="single" w:sz="4" w:space="0" w:color="auto"/>
              <w:bottom w:val="single" w:sz="4" w:space="0" w:color="auto"/>
              <w:right w:val="single" w:sz="4" w:space="0" w:color="auto"/>
            </w:tcBorders>
            <w:vAlign w:val="center"/>
          </w:tcPr>
          <w:p w:rsidR="00177AFE" w:rsidRPr="00E71E55" w:rsidP="00CF0F34" w14:paraId="30EB6D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71E55">
              <w:rPr>
                <w:rFonts w:asciiTheme="minorHAnsi" w:hAnsiTheme="minorHAnsi" w:cstheme="minorHAnsi"/>
                <w:bCs/>
              </w:rPr>
              <w:t>Instrument 1: Descriptive Evaluation Final Report Template</w:t>
            </w:r>
          </w:p>
        </w:tc>
        <w:tc>
          <w:tcPr>
            <w:tcW w:w="705" w:type="pct"/>
            <w:tcBorders>
              <w:top w:val="nil"/>
              <w:left w:val="nil"/>
              <w:bottom w:val="single" w:sz="4" w:space="0" w:color="auto"/>
              <w:right w:val="single" w:sz="4" w:space="0" w:color="auto"/>
            </w:tcBorders>
            <w:shd w:val="clear" w:color="auto" w:fill="auto"/>
            <w:vAlign w:val="center"/>
          </w:tcPr>
          <w:p w:rsidR="00177AFE" w:rsidRPr="00E71E55" w:rsidP="00CF0F34" w14:paraId="52C623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71E55">
              <w:rPr>
                <w:rFonts w:ascii="Calibri" w:hAnsi="Calibri" w:cs="Calibri"/>
                <w:color w:val="000000"/>
              </w:rPr>
              <w:t>50</w:t>
            </w:r>
          </w:p>
        </w:tc>
        <w:tc>
          <w:tcPr>
            <w:tcW w:w="787" w:type="pct"/>
            <w:tcBorders>
              <w:top w:val="nil"/>
              <w:left w:val="single" w:sz="4" w:space="0" w:color="auto"/>
              <w:bottom w:val="single" w:sz="4" w:space="0" w:color="auto"/>
              <w:right w:val="single" w:sz="4" w:space="0" w:color="auto"/>
            </w:tcBorders>
            <w:shd w:val="clear" w:color="auto" w:fill="auto"/>
            <w:vAlign w:val="center"/>
          </w:tcPr>
          <w:p w:rsidR="00177AFE" w:rsidRPr="00E71E55" w:rsidP="00CF0F34" w14:paraId="165D9A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71E55">
              <w:rPr>
                <w:rFonts w:ascii="Calibri" w:hAnsi="Calibri" w:cs="Calibri"/>
                <w:color w:val="000000"/>
              </w:rPr>
              <w:t>1</w:t>
            </w:r>
          </w:p>
        </w:tc>
        <w:tc>
          <w:tcPr>
            <w:tcW w:w="587" w:type="pct"/>
            <w:tcBorders>
              <w:top w:val="nil"/>
              <w:left w:val="single" w:sz="4" w:space="0" w:color="auto"/>
              <w:bottom w:val="single" w:sz="4" w:space="0" w:color="auto"/>
              <w:right w:val="single" w:sz="4" w:space="0" w:color="auto"/>
            </w:tcBorders>
            <w:shd w:val="clear" w:color="auto" w:fill="auto"/>
            <w:vAlign w:val="center"/>
          </w:tcPr>
          <w:p w:rsidR="00177AFE" w:rsidRPr="00E71E55" w:rsidP="00CF0F34" w14:paraId="200406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71E55">
              <w:rPr>
                <w:rFonts w:ascii="Calibri" w:hAnsi="Calibri" w:cs="Calibri"/>
                <w:color w:val="000000"/>
              </w:rPr>
              <w:t>40</w:t>
            </w:r>
          </w:p>
        </w:tc>
        <w:tc>
          <w:tcPr>
            <w:tcW w:w="538" w:type="pct"/>
            <w:tcBorders>
              <w:top w:val="nil"/>
              <w:left w:val="single" w:sz="4" w:space="0" w:color="auto"/>
              <w:bottom w:val="single" w:sz="4" w:space="0" w:color="auto"/>
              <w:right w:val="single" w:sz="4" w:space="0" w:color="auto"/>
            </w:tcBorders>
            <w:shd w:val="clear" w:color="auto" w:fill="auto"/>
            <w:vAlign w:val="center"/>
          </w:tcPr>
          <w:p w:rsidR="00177AFE" w:rsidRPr="00E71E55" w:rsidP="00CF0F34" w14:paraId="556784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71E55">
              <w:rPr>
                <w:rFonts w:asciiTheme="minorHAnsi" w:hAnsiTheme="minorHAnsi" w:cstheme="minorHAnsi"/>
                <w:bCs/>
              </w:rPr>
              <w:t>2,000</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177AFE" w:rsidRPr="00E71E55" w:rsidP="00CF0F34" w14:paraId="7F455E39" w14:textId="1690A2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71E55">
              <w:rPr>
                <w:rFonts w:asciiTheme="minorHAnsi" w:hAnsiTheme="minorHAnsi" w:cstheme="minorHAnsi"/>
              </w:rPr>
              <w:t>$</w:t>
            </w:r>
            <w:r w:rsidR="00C4382F">
              <w:rPr>
                <w:rFonts w:asciiTheme="minorHAnsi" w:hAnsiTheme="minorHAnsi" w:cstheme="minorHAnsi"/>
              </w:rPr>
              <w:t>74.06</w:t>
            </w: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177AFE" w:rsidRPr="00E71E55" w:rsidP="00CF0F34" w14:paraId="233CA84B" w14:textId="0EECC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D7450D">
              <w:rPr>
                <w:rFonts w:asciiTheme="minorHAnsi" w:hAnsiTheme="minorHAnsi" w:cstheme="minorHAnsi"/>
              </w:rPr>
              <w:t>$148,120.00</w:t>
            </w:r>
          </w:p>
        </w:tc>
      </w:tr>
      <w:tr w14:paraId="565E078E" w14:textId="77777777" w:rsidTr="00A56E39">
        <w:tblPrEx>
          <w:tblW w:w="4918" w:type="pct"/>
          <w:tblInd w:w="0" w:type="dxa"/>
          <w:tblLook w:val="01E0"/>
        </w:tblPrEx>
        <w:tc>
          <w:tcPr>
            <w:tcW w:w="1197" w:type="pct"/>
            <w:tcBorders>
              <w:top w:val="single" w:sz="4" w:space="0" w:color="auto"/>
              <w:left w:val="single" w:sz="4" w:space="0" w:color="auto"/>
              <w:bottom w:val="single" w:sz="4" w:space="0" w:color="auto"/>
              <w:right w:val="single" w:sz="4" w:space="0" w:color="auto"/>
            </w:tcBorders>
            <w:vAlign w:val="center"/>
          </w:tcPr>
          <w:p w:rsidR="00177AFE" w:rsidRPr="00E71E55" w:rsidP="00CF0F34" w14:paraId="504CE7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E71E55">
              <w:rPr>
                <w:rFonts w:asciiTheme="minorHAnsi" w:hAnsiTheme="minorHAnsi" w:cstheme="minorHAnsi"/>
                <w:bCs/>
              </w:rPr>
              <w:t>Instrument 2: Impact Evaluation Final Report Template</w:t>
            </w:r>
          </w:p>
        </w:tc>
        <w:tc>
          <w:tcPr>
            <w:tcW w:w="705" w:type="pct"/>
            <w:tcBorders>
              <w:top w:val="single" w:sz="4" w:space="0" w:color="auto"/>
              <w:left w:val="nil"/>
              <w:bottom w:val="single" w:sz="4" w:space="0" w:color="auto"/>
              <w:right w:val="single" w:sz="4" w:space="0" w:color="auto"/>
            </w:tcBorders>
            <w:shd w:val="clear" w:color="auto" w:fill="auto"/>
            <w:vAlign w:val="center"/>
          </w:tcPr>
          <w:p w:rsidR="00177AFE" w:rsidRPr="00E71E55" w:rsidP="00CF0F34" w14:paraId="3155B0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E71E55">
              <w:rPr>
                <w:rFonts w:ascii="Calibri" w:hAnsi="Calibri" w:cs="Calibri"/>
                <w:color w:val="000000"/>
              </w:rPr>
              <w:t>29</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77AFE" w:rsidRPr="00E71E55" w:rsidP="00CF0F34" w14:paraId="3F6DBC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E71E55">
              <w:rPr>
                <w:rFonts w:ascii="Calibri" w:hAnsi="Calibri" w:cs="Calibri"/>
                <w:color w:val="000000"/>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177AFE" w:rsidRPr="00E71E55" w:rsidP="00CF0F34" w14:paraId="6FE4CA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E71E55">
              <w:rPr>
                <w:rFonts w:ascii="Calibri" w:hAnsi="Calibri" w:cs="Calibri"/>
                <w:color w:val="000000"/>
              </w:rPr>
              <w:t>30</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177AFE" w:rsidRPr="00E71E55" w:rsidP="00CF0F34" w14:paraId="37384D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E71E55">
              <w:rPr>
                <w:rFonts w:ascii="Calibri" w:hAnsi="Calibri" w:cs="Calibri"/>
                <w:color w:val="000000"/>
              </w:rPr>
              <w:t>870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177AFE" w:rsidRPr="00E71E55" w:rsidP="00CF0F34" w14:paraId="05F7E984" w14:textId="09458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71E55">
              <w:rPr>
                <w:rFonts w:asciiTheme="minorHAnsi" w:hAnsiTheme="minorHAnsi" w:cstheme="minorHAnsi"/>
              </w:rPr>
              <w:t>$</w:t>
            </w:r>
            <w:r>
              <w:rPr>
                <w:rFonts w:asciiTheme="minorHAnsi" w:hAnsiTheme="minorHAnsi" w:cstheme="minorHAnsi"/>
              </w:rPr>
              <w:t>74.06</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177AFE" w:rsidRPr="00E71E55" w:rsidP="00CF0F34" w14:paraId="12C623F4" w14:textId="472F20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D7450D">
              <w:rPr>
                <w:rFonts w:asciiTheme="minorHAnsi" w:hAnsiTheme="minorHAnsi" w:cstheme="minorHAnsi"/>
              </w:rPr>
              <w:t>$64,432.20</w:t>
            </w:r>
          </w:p>
        </w:tc>
      </w:tr>
      <w:tr w14:paraId="1C778B89" w14:textId="77777777" w:rsidTr="00A56E39">
        <w:tblPrEx>
          <w:tblW w:w="4918" w:type="pct"/>
          <w:tblInd w:w="0" w:type="dxa"/>
          <w:tblLook w:val="01E0"/>
        </w:tblPrEx>
        <w:tc>
          <w:tcPr>
            <w:tcW w:w="1197" w:type="pct"/>
            <w:tcBorders>
              <w:top w:val="single" w:sz="4" w:space="0" w:color="auto"/>
              <w:left w:val="single" w:sz="4" w:space="0" w:color="auto"/>
              <w:bottom w:val="single" w:sz="8" w:space="0" w:color="auto"/>
              <w:right w:val="single" w:sz="4" w:space="0" w:color="auto"/>
            </w:tcBorders>
            <w:vAlign w:val="center"/>
          </w:tcPr>
          <w:p w:rsidR="00177AFE" w:rsidRPr="00E71E55" w:rsidP="00CF0F34" w14:paraId="7054AA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E71E55">
              <w:rPr>
                <w:rFonts w:asciiTheme="minorHAnsi" w:hAnsiTheme="minorHAnsi" w:cstheme="minorHAnsi"/>
                <w:bCs/>
              </w:rPr>
              <w:t>Instrument 3: Impact Evaluation Final Report Table Shells</w:t>
            </w:r>
          </w:p>
        </w:tc>
        <w:tc>
          <w:tcPr>
            <w:tcW w:w="705" w:type="pct"/>
            <w:tcBorders>
              <w:top w:val="single" w:sz="4" w:space="0" w:color="auto"/>
              <w:left w:val="nil"/>
              <w:bottom w:val="single" w:sz="8" w:space="0" w:color="auto"/>
              <w:right w:val="single" w:sz="4" w:space="0" w:color="auto"/>
            </w:tcBorders>
            <w:shd w:val="clear" w:color="auto" w:fill="auto"/>
            <w:vAlign w:val="center"/>
          </w:tcPr>
          <w:p w:rsidR="00177AFE" w:rsidRPr="00E71E55" w:rsidP="00CF0F34" w14:paraId="7B0E87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E71E55">
              <w:rPr>
                <w:rFonts w:ascii="Calibri" w:hAnsi="Calibri" w:cs="Calibri"/>
                <w:color w:val="000000"/>
              </w:rPr>
              <w:t>29</w:t>
            </w:r>
          </w:p>
        </w:tc>
        <w:tc>
          <w:tcPr>
            <w:tcW w:w="787" w:type="pct"/>
            <w:tcBorders>
              <w:top w:val="single" w:sz="4" w:space="0" w:color="auto"/>
              <w:left w:val="single" w:sz="4" w:space="0" w:color="auto"/>
              <w:bottom w:val="single" w:sz="8" w:space="0" w:color="auto"/>
              <w:right w:val="single" w:sz="4" w:space="0" w:color="auto"/>
            </w:tcBorders>
            <w:shd w:val="clear" w:color="auto" w:fill="auto"/>
            <w:vAlign w:val="center"/>
          </w:tcPr>
          <w:p w:rsidR="00177AFE" w:rsidRPr="00E71E55" w:rsidP="00CF0F34" w14:paraId="776894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E71E55">
              <w:rPr>
                <w:rFonts w:ascii="Calibri" w:hAnsi="Calibri" w:cs="Calibri"/>
                <w:color w:val="000000"/>
              </w:rPr>
              <w:t>1</w:t>
            </w:r>
          </w:p>
        </w:tc>
        <w:tc>
          <w:tcPr>
            <w:tcW w:w="587" w:type="pct"/>
            <w:tcBorders>
              <w:top w:val="single" w:sz="4" w:space="0" w:color="auto"/>
              <w:left w:val="single" w:sz="4" w:space="0" w:color="auto"/>
              <w:bottom w:val="single" w:sz="8" w:space="0" w:color="auto"/>
              <w:right w:val="single" w:sz="4" w:space="0" w:color="auto"/>
            </w:tcBorders>
            <w:shd w:val="clear" w:color="auto" w:fill="auto"/>
            <w:vAlign w:val="center"/>
          </w:tcPr>
          <w:p w:rsidR="00177AFE" w:rsidRPr="00E71E55" w:rsidP="00CF0F34" w14:paraId="0225EB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E71E55">
              <w:rPr>
                <w:rFonts w:ascii="Calibri" w:hAnsi="Calibri" w:cs="Calibri"/>
                <w:color w:val="000000"/>
              </w:rPr>
              <w:t>10</w:t>
            </w:r>
          </w:p>
        </w:tc>
        <w:tc>
          <w:tcPr>
            <w:tcW w:w="538" w:type="pct"/>
            <w:tcBorders>
              <w:top w:val="single" w:sz="4" w:space="0" w:color="auto"/>
              <w:left w:val="single" w:sz="4" w:space="0" w:color="auto"/>
              <w:bottom w:val="single" w:sz="8" w:space="0" w:color="auto"/>
              <w:right w:val="single" w:sz="4" w:space="0" w:color="auto"/>
            </w:tcBorders>
            <w:shd w:val="clear" w:color="auto" w:fill="auto"/>
            <w:vAlign w:val="center"/>
          </w:tcPr>
          <w:p w:rsidR="00177AFE" w:rsidRPr="00E71E55" w:rsidP="00CF0F34" w14:paraId="03C424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E71E55">
              <w:rPr>
                <w:rFonts w:ascii="Calibri" w:hAnsi="Calibri" w:cs="Calibri"/>
                <w:color w:val="000000"/>
              </w:rPr>
              <w:t>290</w:t>
            </w:r>
          </w:p>
        </w:tc>
        <w:tc>
          <w:tcPr>
            <w:tcW w:w="518" w:type="pct"/>
            <w:tcBorders>
              <w:top w:val="single" w:sz="4" w:space="0" w:color="auto"/>
              <w:left w:val="single" w:sz="4" w:space="0" w:color="auto"/>
              <w:bottom w:val="single" w:sz="8" w:space="0" w:color="auto"/>
              <w:right w:val="single" w:sz="4" w:space="0" w:color="auto"/>
            </w:tcBorders>
            <w:shd w:val="clear" w:color="auto" w:fill="auto"/>
            <w:vAlign w:val="center"/>
          </w:tcPr>
          <w:p w:rsidR="00177AFE" w:rsidRPr="00E71E55" w:rsidP="00CF0F34" w14:paraId="16A921C9" w14:textId="39DF3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71E55">
              <w:rPr>
                <w:rFonts w:asciiTheme="minorHAnsi" w:hAnsiTheme="minorHAnsi" w:cstheme="minorHAnsi"/>
              </w:rPr>
              <w:t>$</w:t>
            </w:r>
            <w:r>
              <w:rPr>
                <w:rFonts w:asciiTheme="minorHAnsi" w:hAnsiTheme="minorHAnsi" w:cstheme="minorHAnsi"/>
              </w:rPr>
              <w:t>74.06</w:t>
            </w:r>
          </w:p>
        </w:tc>
        <w:tc>
          <w:tcPr>
            <w:tcW w:w="668" w:type="pct"/>
            <w:tcBorders>
              <w:top w:val="single" w:sz="4" w:space="0" w:color="auto"/>
              <w:left w:val="single" w:sz="4" w:space="0" w:color="auto"/>
              <w:bottom w:val="single" w:sz="8" w:space="0" w:color="auto"/>
              <w:right w:val="single" w:sz="4" w:space="0" w:color="auto"/>
            </w:tcBorders>
            <w:shd w:val="clear" w:color="auto" w:fill="auto"/>
            <w:vAlign w:val="center"/>
          </w:tcPr>
          <w:p w:rsidR="00177AFE" w:rsidRPr="00E71E55" w:rsidP="00CF0F34" w14:paraId="7181D28E" w14:textId="379ECE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D7450D">
              <w:rPr>
                <w:rFonts w:asciiTheme="minorHAnsi" w:hAnsiTheme="minorHAnsi" w:cstheme="minorHAnsi"/>
              </w:rPr>
              <w:t>$21,477.40</w:t>
            </w:r>
          </w:p>
        </w:tc>
      </w:tr>
      <w:tr w14:paraId="50B4C6CE" w14:textId="77777777" w:rsidTr="00A56E39">
        <w:tblPrEx>
          <w:tblW w:w="4918" w:type="pct"/>
          <w:tblInd w:w="0" w:type="dxa"/>
          <w:tblLook w:val="01E0"/>
        </w:tblPrEx>
        <w:tc>
          <w:tcPr>
            <w:tcW w:w="1197" w:type="pct"/>
            <w:tcBorders>
              <w:top w:val="single" w:sz="8" w:space="0" w:color="auto"/>
              <w:left w:val="single" w:sz="4" w:space="0" w:color="auto"/>
              <w:bottom w:val="single" w:sz="8" w:space="0" w:color="auto"/>
              <w:right w:val="single" w:sz="4" w:space="0" w:color="auto"/>
            </w:tcBorders>
            <w:vAlign w:val="center"/>
            <w:hideMark/>
          </w:tcPr>
          <w:p w:rsidR="00177AFE" w:rsidRPr="00E71E55" w:rsidP="00CF0F34" w14:paraId="3130BE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71E55">
              <w:rPr>
                <w:rFonts w:asciiTheme="minorHAnsi" w:hAnsiTheme="minorHAnsi" w:cstheme="minorHAnsi"/>
                <w:b/>
              </w:rPr>
              <w:t>Total</w:t>
            </w:r>
          </w:p>
        </w:tc>
        <w:tc>
          <w:tcPr>
            <w:tcW w:w="705" w:type="pct"/>
            <w:tcBorders>
              <w:top w:val="single" w:sz="8" w:space="0" w:color="auto"/>
              <w:left w:val="nil"/>
              <w:bottom w:val="single" w:sz="8" w:space="0" w:color="auto"/>
              <w:right w:val="single" w:sz="4" w:space="0" w:color="auto"/>
            </w:tcBorders>
            <w:shd w:val="clear" w:color="auto" w:fill="auto"/>
            <w:vAlign w:val="center"/>
          </w:tcPr>
          <w:p w:rsidR="00177AFE" w:rsidRPr="00E71E55" w:rsidP="00CF0F34" w14:paraId="36180C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787" w:type="pct"/>
            <w:tcBorders>
              <w:top w:val="single" w:sz="8" w:space="0" w:color="auto"/>
              <w:left w:val="single" w:sz="4" w:space="0" w:color="auto"/>
              <w:bottom w:val="single" w:sz="8" w:space="0" w:color="auto"/>
              <w:right w:val="single" w:sz="4" w:space="0" w:color="auto"/>
            </w:tcBorders>
            <w:shd w:val="clear" w:color="auto" w:fill="auto"/>
            <w:vAlign w:val="center"/>
          </w:tcPr>
          <w:p w:rsidR="00177AFE" w:rsidRPr="00E71E55" w:rsidP="00CF0F34" w14:paraId="53A5F0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587" w:type="pct"/>
            <w:tcBorders>
              <w:top w:val="single" w:sz="8" w:space="0" w:color="auto"/>
              <w:left w:val="single" w:sz="4" w:space="0" w:color="auto"/>
              <w:bottom w:val="single" w:sz="8" w:space="0" w:color="auto"/>
              <w:right w:val="single" w:sz="4" w:space="0" w:color="auto"/>
            </w:tcBorders>
            <w:shd w:val="clear" w:color="auto" w:fill="auto"/>
            <w:vAlign w:val="center"/>
          </w:tcPr>
          <w:p w:rsidR="00177AFE" w:rsidRPr="00E71E55" w:rsidP="00CF0F34" w14:paraId="200A83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538" w:type="pct"/>
            <w:tcBorders>
              <w:top w:val="single" w:sz="8" w:space="0" w:color="auto"/>
              <w:left w:val="single" w:sz="4" w:space="0" w:color="auto"/>
              <w:bottom w:val="single" w:sz="8" w:space="0" w:color="auto"/>
              <w:right w:val="single" w:sz="4" w:space="0" w:color="auto"/>
            </w:tcBorders>
            <w:shd w:val="clear" w:color="auto" w:fill="auto"/>
            <w:vAlign w:val="center"/>
          </w:tcPr>
          <w:p w:rsidR="00177AFE" w:rsidRPr="00E71E55" w:rsidP="00CF0F34" w14:paraId="4E5FDE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71E55">
              <w:rPr>
                <w:rFonts w:ascii="Calibri" w:hAnsi="Calibri" w:cs="Calibri"/>
                <w:color w:val="000000"/>
              </w:rPr>
              <w:t>3160</w:t>
            </w:r>
          </w:p>
        </w:tc>
        <w:tc>
          <w:tcPr>
            <w:tcW w:w="518" w:type="pct"/>
            <w:tcBorders>
              <w:top w:val="single" w:sz="8" w:space="0" w:color="auto"/>
              <w:left w:val="single" w:sz="4" w:space="0" w:color="auto"/>
              <w:bottom w:val="single" w:sz="8" w:space="0" w:color="auto"/>
              <w:right w:val="single" w:sz="8" w:space="0" w:color="auto"/>
            </w:tcBorders>
            <w:shd w:val="clear" w:color="auto" w:fill="auto"/>
            <w:hideMark/>
          </w:tcPr>
          <w:p w:rsidR="00177AFE" w:rsidRPr="00E71E55" w:rsidP="00CF0F34" w14:paraId="4ED4D9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p>
        </w:tc>
        <w:tc>
          <w:tcPr>
            <w:tcW w:w="668" w:type="pct"/>
            <w:tcBorders>
              <w:top w:val="single" w:sz="8" w:space="0" w:color="auto"/>
              <w:left w:val="nil"/>
              <w:bottom w:val="single" w:sz="8" w:space="0" w:color="auto"/>
              <w:right w:val="single" w:sz="4" w:space="0" w:color="auto"/>
            </w:tcBorders>
            <w:shd w:val="clear" w:color="auto" w:fill="auto"/>
            <w:hideMark/>
          </w:tcPr>
          <w:p w:rsidR="00177AFE" w:rsidRPr="00E71E55" w:rsidP="00CF0F34" w14:paraId="56A9F1F9" w14:textId="029D3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7450D">
              <w:rPr>
                <w:rFonts w:asciiTheme="minorHAnsi" w:hAnsiTheme="minorHAnsi" w:cstheme="minorHAnsi"/>
              </w:rPr>
              <w:t>$234,029.60</w:t>
            </w:r>
          </w:p>
        </w:tc>
      </w:tr>
    </w:tbl>
    <w:p w:rsidR="001D1C73" w:rsidRPr="009139B3" w:rsidP="001D1C73" w14:paraId="5B8AB35B" w14:textId="77777777">
      <w:pPr>
        <w:spacing w:after="0" w:line="240" w:lineRule="auto"/>
      </w:pPr>
    </w:p>
    <w:p w:rsidR="001D1C73" w:rsidRPr="009139B3" w:rsidP="001D1C73" w14:paraId="730F9427" w14:textId="77777777">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00177AFE" w:rsidP="00177AFE" w14:paraId="71032EE3" w14:textId="77777777">
      <w:pPr>
        <w:autoSpaceDE w:val="0"/>
        <w:autoSpaceDN w:val="0"/>
        <w:adjustRightInd w:val="0"/>
        <w:spacing w:after="0" w:line="240" w:lineRule="auto"/>
        <w:rPr>
          <w:rFonts w:cstheme="minorHAnsi"/>
        </w:rPr>
      </w:pPr>
      <w:r w:rsidRPr="007814D2">
        <w:rPr>
          <w:rFonts w:cstheme="minorHAnsi"/>
        </w:rPr>
        <w:t>There are no additional costs to respondents.</w:t>
      </w:r>
    </w:p>
    <w:p w:rsidR="00EE18E5" w:rsidP="00177AFE" w14:paraId="5C6E27A0" w14:textId="77777777">
      <w:pPr>
        <w:autoSpaceDE w:val="0"/>
        <w:autoSpaceDN w:val="0"/>
        <w:adjustRightInd w:val="0"/>
        <w:spacing w:after="0" w:line="240" w:lineRule="auto"/>
        <w:rPr>
          <w:rFonts w:cstheme="minorHAnsi"/>
        </w:rPr>
      </w:pPr>
    </w:p>
    <w:p w:rsidR="00EE18E5" w:rsidP="00177AFE" w14:paraId="6F45A337" w14:textId="77777777">
      <w:pPr>
        <w:autoSpaceDE w:val="0"/>
        <w:autoSpaceDN w:val="0"/>
        <w:adjustRightInd w:val="0"/>
        <w:spacing w:after="0" w:line="240" w:lineRule="auto"/>
        <w:rPr>
          <w:rFonts w:cstheme="minorHAnsi"/>
        </w:rPr>
      </w:pPr>
    </w:p>
    <w:p w:rsidR="001D1C73" w:rsidRPr="009139B3" w:rsidP="001D1C73" w14:paraId="5A6D806F" w14:textId="77777777">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00802BFC" w:rsidP="00802BFC" w14:paraId="263E81DE" w14:textId="06A63286">
      <w:pPr>
        <w:spacing w:after="0" w:line="240" w:lineRule="auto"/>
        <w:rPr>
          <w:rFonts w:cstheme="minorHAnsi"/>
        </w:rPr>
      </w:pPr>
      <w:r>
        <w:t>Table A14.1 presents the a</w:t>
      </w:r>
      <w:r w:rsidR="00341CF7">
        <w:t xml:space="preserve">nnualized costs to the federal government estimated based on the contractors’ staff costs for review of the final reports and TA support to grant recipients to develop and submit their final reports. </w:t>
      </w:r>
      <w:r w:rsidRPr="002F1E3F">
        <w:rPr>
          <w:rFonts w:cstheme="minorHAnsi"/>
        </w:rPr>
        <w:t xml:space="preserve">The total estimated cost to the federal government for the data collection activities under this </w:t>
      </w:r>
      <w:r w:rsidR="00341CF7">
        <w:rPr>
          <w:rFonts w:cstheme="minorHAnsi"/>
        </w:rPr>
        <w:t>ICR</w:t>
      </w:r>
      <w:r w:rsidRPr="002F1E3F">
        <w:rPr>
          <w:rFonts w:cstheme="minorHAnsi"/>
        </w:rPr>
        <w:t xml:space="preserve"> will be </w:t>
      </w:r>
      <w:r w:rsidRPr="00E71E55">
        <w:rPr>
          <w:rFonts w:cstheme="minorHAnsi"/>
        </w:rPr>
        <w:t>$</w:t>
      </w:r>
      <w:r w:rsidRPr="00D7450D" w:rsidR="00D7450D">
        <w:rPr>
          <w:rFonts w:cstheme="minorHAnsi"/>
        </w:rPr>
        <w:t>353,148.72</w:t>
      </w:r>
      <w:r w:rsidR="00D7450D">
        <w:rPr>
          <w:rFonts w:cstheme="minorHAnsi"/>
        </w:rPr>
        <w:t>.</w:t>
      </w:r>
      <w:r>
        <w:rPr>
          <w:rFonts w:cstheme="minorHAnsi"/>
        </w:rPr>
        <w:t xml:space="preserve"> </w:t>
      </w:r>
    </w:p>
    <w:p w:rsidR="00802BFC" w:rsidP="00802BFC" w14:paraId="4708E9A8" w14:textId="77777777">
      <w:pPr>
        <w:spacing w:after="0" w:line="240" w:lineRule="auto"/>
        <w:rPr>
          <w:rFonts w:cstheme="minorHAnsi"/>
        </w:rPr>
      </w:pPr>
    </w:p>
    <w:p w:rsidR="00A11CDA" w:rsidRPr="00A11CDA" w:rsidP="00A11CDA" w14:paraId="7BF16985" w14:textId="244EC361">
      <w:pPr>
        <w:pStyle w:val="NoSpacing"/>
        <w:rPr>
          <w:b/>
          <w:bCs/>
        </w:rPr>
      </w:pPr>
      <w:r w:rsidRPr="00037899">
        <w:rPr>
          <w:b/>
          <w:bCs/>
        </w:rPr>
        <w:t>Table A1</w:t>
      </w:r>
      <w:r>
        <w:rPr>
          <w:b/>
          <w:bCs/>
        </w:rPr>
        <w:t>4</w:t>
      </w:r>
      <w:r w:rsidRPr="00037899">
        <w:rPr>
          <w:b/>
          <w:bCs/>
        </w:rPr>
        <w:t>.1</w:t>
      </w:r>
      <w:r>
        <w:rPr>
          <w:b/>
          <w:bCs/>
        </w:rPr>
        <w:t>.</w:t>
      </w:r>
      <w:r w:rsidRPr="00037899">
        <w:rPr>
          <w:b/>
          <w:bCs/>
        </w:rPr>
        <w:t xml:space="preserve"> </w:t>
      </w:r>
      <w:r>
        <w:rPr>
          <w:b/>
          <w:bCs/>
        </w:rPr>
        <w:t>Annualized Costs to Federal Government</w:t>
      </w:r>
    </w:p>
    <w:tbl>
      <w:tblPr>
        <w:tblW w:w="0" w:type="auto"/>
        <w:tblCellMar>
          <w:left w:w="0" w:type="dxa"/>
          <w:right w:w="0" w:type="dxa"/>
        </w:tblCellMar>
        <w:tblLook w:val="04A0"/>
      </w:tblPr>
      <w:tblGrid>
        <w:gridCol w:w="4878"/>
        <w:gridCol w:w="2250"/>
      </w:tblGrid>
      <w:tr w14:paraId="50E83CC8" w14:textId="77777777" w:rsidTr="00CF0F34">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802BFC" w:rsidRPr="00E71E55" w:rsidP="00CF0F34" w14:paraId="3BF89ADD" w14:textId="77777777">
            <w:pPr>
              <w:rPr>
                <w:b/>
                <w:bCs/>
                <w:sz w:val="20"/>
                <w:szCs w:val="20"/>
              </w:rPr>
            </w:pPr>
            <w:r w:rsidRPr="00E71E55">
              <w:rPr>
                <w:b/>
                <w:bCs/>
                <w:sz w:val="20"/>
                <w:szCs w:val="20"/>
              </w:rPr>
              <w:t>Cost Category</w:t>
            </w:r>
          </w:p>
        </w:tc>
        <w:tc>
          <w:tcPr>
            <w:tcW w:w="22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802BFC" w:rsidRPr="00E71E55" w:rsidP="00CF0F34" w14:paraId="4B59D90A" w14:textId="77777777">
            <w:pPr>
              <w:jc w:val="center"/>
              <w:rPr>
                <w:b/>
                <w:sz w:val="20"/>
                <w:szCs w:val="20"/>
              </w:rPr>
            </w:pPr>
            <w:r w:rsidRPr="00E71E55">
              <w:rPr>
                <w:b/>
                <w:sz w:val="20"/>
                <w:szCs w:val="20"/>
              </w:rPr>
              <w:t>Estimated Costs</w:t>
            </w:r>
          </w:p>
        </w:tc>
      </w:tr>
      <w:tr w14:paraId="41883884" w14:textId="77777777" w:rsidTr="00CF0F34">
        <w:tblPrEx>
          <w:tblW w:w="0" w:type="auto"/>
          <w:tblCellMar>
            <w:left w:w="0" w:type="dxa"/>
            <w:right w:w="0" w:type="dxa"/>
          </w:tblCellMar>
          <w:tblLook w:val="04A0"/>
        </w:tblPrEx>
        <w:tc>
          <w:tcPr>
            <w:tcW w:w="4878" w:type="dxa"/>
            <w:tcBorders>
              <w:top w:val="single" w:sz="4"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802BFC" w:rsidRPr="00E71E55" w:rsidP="00CF0F34" w14:paraId="6E359DF5" w14:textId="77777777">
            <w:pPr>
              <w:spacing w:after="0"/>
              <w:rPr>
                <w:rFonts w:ascii="Calibri" w:eastAsia="Calibri" w:hAnsi="Calibri" w:cs="Calibri"/>
                <w:sz w:val="20"/>
                <w:szCs w:val="20"/>
              </w:rPr>
            </w:pPr>
            <w:r w:rsidRPr="00E71E55">
              <w:rPr>
                <w:sz w:val="20"/>
                <w:szCs w:val="20"/>
              </w:rPr>
              <w:t>Review of and TA support for final reports</w:t>
            </w:r>
          </w:p>
        </w:tc>
        <w:tc>
          <w:tcPr>
            <w:tcW w:w="2250" w:type="dxa"/>
            <w:tcBorders>
              <w:top w:val="single" w:sz="4" w:space="0" w:color="auto"/>
              <w:left w:val="nil"/>
              <w:bottom w:val="single" w:sz="12" w:space="0" w:color="auto"/>
              <w:right w:val="single" w:sz="8" w:space="0" w:color="auto"/>
            </w:tcBorders>
            <w:tcMar>
              <w:top w:w="0" w:type="dxa"/>
              <w:left w:w="108" w:type="dxa"/>
              <w:bottom w:w="0" w:type="dxa"/>
              <w:right w:w="108" w:type="dxa"/>
            </w:tcMar>
            <w:vAlign w:val="center"/>
            <w:hideMark/>
          </w:tcPr>
          <w:p w:rsidR="00802BFC" w:rsidRPr="00E71E55" w:rsidP="00CF0F34" w14:paraId="19F9C228" w14:textId="77777777">
            <w:pPr>
              <w:spacing w:after="0"/>
              <w:jc w:val="center"/>
              <w:rPr>
                <w:sz w:val="20"/>
                <w:szCs w:val="20"/>
              </w:rPr>
            </w:pPr>
            <w:bookmarkStart w:id="3" w:name="_Hlk179887342"/>
            <w:r w:rsidRPr="00E71E55">
              <w:rPr>
                <w:sz w:val="20"/>
                <w:szCs w:val="20"/>
              </w:rPr>
              <w:t>$353,148.72</w:t>
            </w:r>
          </w:p>
          <w:bookmarkEnd w:id="3"/>
          <w:p w:rsidR="00802BFC" w:rsidRPr="00E71E55" w:rsidP="00CF0F34" w14:paraId="1D9A3FA4" w14:textId="77777777">
            <w:pPr>
              <w:spacing w:after="0"/>
              <w:jc w:val="center"/>
              <w:rPr>
                <w:sz w:val="20"/>
                <w:szCs w:val="20"/>
              </w:rPr>
            </w:pPr>
          </w:p>
        </w:tc>
      </w:tr>
      <w:tr w14:paraId="4CC37502" w14:textId="77777777" w:rsidTr="00CF0F34">
        <w:tblPrEx>
          <w:tblW w:w="0" w:type="auto"/>
          <w:tblCellMar>
            <w:left w:w="0" w:type="dxa"/>
            <w:right w:w="0" w:type="dxa"/>
          </w:tblCellMar>
          <w:tblLook w:val="04A0"/>
        </w:tblPrEx>
        <w:tc>
          <w:tcPr>
            <w:tcW w:w="487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02BFC" w:rsidRPr="00E71E55" w:rsidP="00CF0F34" w14:paraId="21ECF3CD" w14:textId="77777777">
            <w:pPr>
              <w:spacing w:after="0"/>
              <w:jc w:val="right"/>
              <w:rPr>
                <w:rFonts w:ascii="Calibri" w:eastAsia="Calibri" w:hAnsi="Calibri" w:cs="Calibri"/>
                <w:b/>
                <w:bCs/>
                <w:sz w:val="20"/>
                <w:szCs w:val="20"/>
              </w:rPr>
            </w:pPr>
            <w:r w:rsidRPr="00E71E55">
              <w:rPr>
                <w:b/>
                <w:color w:val="000000"/>
                <w:sz w:val="20"/>
                <w:szCs w:val="20"/>
              </w:rPr>
              <w:t>Total costs over the request period</w:t>
            </w:r>
          </w:p>
        </w:tc>
        <w:tc>
          <w:tcPr>
            <w:tcW w:w="225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02BFC" w:rsidRPr="00D7450D" w:rsidP="00D7450D" w14:paraId="1A51BCC4" w14:textId="6B1B691D">
            <w:pPr>
              <w:spacing w:after="0"/>
              <w:jc w:val="center"/>
              <w:rPr>
                <w:sz w:val="20"/>
                <w:szCs w:val="20"/>
              </w:rPr>
            </w:pPr>
            <w:r w:rsidRPr="00E71E55">
              <w:rPr>
                <w:sz w:val="20"/>
                <w:szCs w:val="20"/>
              </w:rPr>
              <w:t>$353,148.72</w:t>
            </w:r>
          </w:p>
        </w:tc>
      </w:tr>
    </w:tbl>
    <w:p w:rsidR="001D1C73" w:rsidRPr="009139B3" w:rsidP="001D1C73" w14:paraId="29B359B6" w14:textId="77777777">
      <w:pPr>
        <w:spacing w:after="0"/>
        <w:rPr>
          <w:rFonts w:ascii="Calibri" w:eastAsia="Calibri" w:hAnsi="Calibri" w:cs="Calibri"/>
          <w:color w:val="1F497D"/>
        </w:rPr>
      </w:pPr>
    </w:p>
    <w:p w:rsidR="001D1C73" w:rsidRPr="00DA02AF" w:rsidP="001D1C73" w14:paraId="60855735" w14:textId="77777777">
      <w:pPr>
        <w:spacing w:after="120" w:line="240" w:lineRule="auto"/>
        <w:rPr>
          <w:rFonts w:cstheme="minorHAnsi"/>
        </w:rPr>
      </w:pPr>
      <w:r w:rsidRPr="00DA02AF">
        <w:rPr>
          <w:rFonts w:cstheme="minorHAnsi"/>
          <w:b/>
        </w:rPr>
        <w:t>A15</w:t>
      </w:r>
      <w:r w:rsidRPr="00DA02AF">
        <w:rPr>
          <w:rFonts w:cstheme="minorHAnsi"/>
        </w:rPr>
        <w:t>.</w:t>
      </w:r>
      <w:r w:rsidRPr="00DA02AF">
        <w:rPr>
          <w:rFonts w:cstheme="minorHAnsi"/>
        </w:rPr>
        <w:tab/>
      </w:r>
      <w:r w:rsidRPr="00DA02AF">
        <w:rPr>
          <w:rFonts w:cstheme="minorHAnsi"/>
          <w:b/>
        </w:rPr>
        <w:t>Reasons for changes in burden</w:t>
      </w:r>
      <w:r w:rsidRPr="00DA02AF">
        <w:rPr>
          <w:rFonts w:cstheme="minorHAnsi"/>
        </w:rPr>
        <w:t xml:space="preserve"> </w:t>
      </w:r>
    </w:p>
    <w:p w:rsidR="001D1C73" w:rsidRPr="009139B3" w:rsidP="001D1C73" w14:paraId="766F8004" w14:textId="1770A63C">
      <w:pPr>
        <w:spacing w:after="0" w:line="240" w:lineRule="auto"/>
        <w:rPr>
          <w:rFonts w:cstheme="minorHAnsi"/>
        </w:rPr>
      </w:pPr>
      <w:r w:rsidRPr="00DA02AF">
        <w:rPr>
          <w:rFonts w:cstheme="minorHAnsi"/>
        </w:rPr>
        <w:t>This is a new information collection request.</w:t>
      </w:r>
    </w:p>
    <w:p w:rsidR="001D1C73" w:rsidRPr="009139B3" w:rsidP="001D1C73" w14:paraId="2E8F0BA5" w14:textId="77777777">
      <w:pPr>
        <w:spacing w:after="0" w:line="240" w:lineRule="auto"/>
        <w:rPr>
          <w:rFonts w:cstheme="minorHAnsi"/>
        </w:rPr>
      </w:pPr>
    </w:p>
    <w:p w:rsidR="001D1C73" w:rsidRPr="009139B3" w:rsidP="001D1C73" w14:paraId="69096039" w14:textId="77777777">
      <w:pPr>
        <w:spacing w:after="120" w:line="240" w:lineRule="auto"/>
        <w:rPr>
          <w:rFonts w:cstheme="minorHAnsi"/>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802BFC" w:rsidP="00802BFC" w14:paraId="4880B5DA" w14:textId="16AAEE47">
      <w:pPr>
        <w:spacing w:after="120" w:line="240" w:lineRule="auto"/>
      </w:pPr>
      <w:r>
        <w:rPr>
          <w:rFonts w:cstheme="minorHAnsi"/>
        </w:rPr>
        <w:t>Table A16.1 presents the timeline for the data collection activities. Up</w:t>
      </w:r>
      <w:r w:rsidRPr="002F1E3F">
        <w:rPr>
          <w:rFonts w:cstheme="minorHAnsi"/>
        </w:rPr>
        <w:t xml:space="preserve">on OMB </w:t>
      </w:r>
      <w:r w:rsidRPr="009775BC">
        <w:rPr>
          <w:rFonts w:cstheme="minorHAnsi"/>
        </w:rPr>
        <w:t xml:space="preserve">approval, the dissemination of materials and the collection of </w:t>
      </w:r>
      <w:r>
        <w:rPr>
          <w:rFonts w:cstheme="minorHAnsi"/>
        </w:rPr>
        <w:t>final reports</w:t>
      </w:r>
      <w:r w:rsidRPr="009775BC">
        <w:rPr>
          <w:rFonts w:cstheme="minorHAnsi"/>
        </w:rPr>
        <w:t xml:space="preserve"> will </w:t>
      </w:r>
      <w:r>
        <w:rPr>
          <w:rFonts w:cstheme="minorHAnsi"/>
        </w:rPr>
        <w:t>begin</w:t>
      </w:r>
      <w:r w:rsidR="004A3267">
        <w:rPr>
          <w:rFonts w:cstheme="minorHAnsi"/>
        </w:rPr>
        <w:t xml:space="preserve">. The goal is to </w:t>
      </w:r>
      <w:r w:rsidR="000F512D">
        <w:rPr>
          <w:rFonts w:cstheme="minorHAnsi"/>
        </w:rPr>
        <w:t>begin use of the templates</w:t>
      </w:r>
      <w:r>
        <w:rPr>
          <w:rFonts w:cstheme="minorHAnsi"/>
        </w:rPr>
        <w:t xml:space="preserve"> in </w:t>
      </w:r>
      <w:r>
        <w:rPr>
          <w:rFonts w:cstheme="minorHAnsi"/>
        </w:rPr>
        <w:t>February</w:t>
      </w:r>
      <w:r>
        <w:rPr>
          <w:rFonts w:cstheme="minorHAnsi"/>
        </w:rPr>
        <w:t xml:space="preserve"> 202</w:t>
      </w:r>
      <w:r>
        <w:rPr>
          <w:rFonts w:cstheme="minorHAnsi"/>
        </w:rPr>
        <w:t>5</w:t>
      </w:r>
      <w:r w:rsidR="000F512D">
        <w:rPr>
          <w:rFonts w:cstheme="minorHAnsi"/>
        </w:rPr>
        <w:t>. Templates will</w:t>
      </w:r>
      <w:r>
        <w:rPr>
          <w:rFonts w:cstheme="minorHAnsi"/>
        </w:rPr>
        <w:t xml:space="preserve"> continue</w:t>
      </w:r>
      <w:r w:rsidRPr="009775BC">
        <w:rPr>
          <w:rFonts w:cstheme="minorHAnsi"/>
        </w:rPr>
        <w:t xml:space="preserve"> </w:t>
      </w:r>
      <w:r w:rsidR="000F512D">
        <w:rPr>
          <w:rFonts w:cstheme="minorHAnsi"/>
        </w:rPr>
        <w:t xml:space="preserve">to be used </w:t>
      </w:r>
      <w:r w:rsidRPr="009775BC">
        <w:rPr>
          <w:rFonts w:cstheme="minorHAnsi"/>
        </w:rPr>
        <w:t>through</w:t>
      </w:r>
      <w:r>
        <w:rPr>
          <w:rFonts w:cstheme="minorHAnsi"/>
        </w:rPr>
        <w:t xml:space="preserve"> September 2025, as we</w:t>
      </w:r>
      <w:r w:rsidRPr="00141190">
        <w:t xml:space="preserve"> anticipate that final reports will be completed by the end of the </w:t>
      </w:r>
      <w:r>
        <w:t>grant recipients’ funding</w:t>
      </w:r>
      <w:r w:rsidRPr="00141190">
        <w:t xml:space="preserve"> period. </w:t>
      </w:r>
    </w:p>
    <w:p w:rsidR="00A11CDA" w:rsidRPr="00A11CDA" w:rsidP="00A11CDA" w14:paraId="36F06D22" w14:textId="3D655F83">
      <w:pPr>
        <w:pStyle w:val="NoSpacing"/>
        <w:rPr>
          <w:b/>
          <w:bCs/>
        </w:rPr>
      </w:pPr>
      <w:r w:rsidRPr="00037899">
        <w:rPr>
          <w:b/>
          <w:bCs/>
        </w:rPr>
        <w:t>Table A1</w:t>
      </w:r>
      <w:r>
        <w:rPr>
          <w:b/>
          <w:bCs/>
        </w:rPr>
        <w:t>6</w:t>
      </w:r>
      <w:r w:rsidRPr="00037899">
        <w:rPr>
          <w:b/>
          <w:bCs/>
        </w:rPr>
        <w:t>.1</w:t>
      </w:r>
      <w:r>
        <w:rPr>
          <w:b/>
          <w:bCs/>
        </w:rPr>
        <w:t>.</w:t>
      </w:r>
      <w:r w:rsidRPr="00037899">
        <w:rPr>
          <w:b/>
          <w:bCs/>
        </w:rPr>
        <w:t xml:space="preserve"> </w:t>
      </w:r>
      <w:r>
        <w:rPr>
          <w:b/>
          <w:bCs/>
        </w:rPr>
        <w:t>Timeline for Activities Under the</w:t>
      </w:r>
      <w:r w:rsidRPr="00037899">
        <w:rPr>
          <w:b/>
          <w:bCs/>
        </w:rPr>
        <w:t xml:space="preserve"> Information Collection</w:t>
      </w:r>
    </w:p>
    <w:tbl>
      <w:tblPr>
        <w:tblW w:w="9440" w:type="dxa"/>
        <w:tblCellMar>
          <w:left w:w="0" w:type="dxa"/>
          <w:right w:w="0" w:type="dxa"/>
        </w:tblCellMar>
        <w:tblLook w:val="04A0"/>
      </w:tblPr>
      <w:tblGrid>
        <w:gridCol w:w="6200"/>
        <w:gridCol w:w="3240"/>
      </w:tblGrid>
      <w:tr w14:paraId="011D9560" w14:textId="77777777" w:rsidTr="00632BF5">
        <w:tblPrEx>
          <w:tblW w:w="9440" w:type="dxa"/>
          <w:tblCellMar>
            <w:left w:w="0" w:type="dxa"/>
            <w:right w:w="0" w:type="dxa"/>
          </w:tblCellMar>
          <w:tblLook w:val="04A0"/>
        </w:tblPrEx>
        <w:tc>
          <w:tcPr>
            <w:tcW w:w="62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802BFC" w:rsidRPr="00B13297" w:rsidP="00CF0F34" w14:paraId="0CCD3C26" w14:textId="77777777">
            <w:pPr>
              <w:rPr>
                <w:b/>
                <w:bCs/>
                <w:sz w:val="20"/>
              </w:rPr>
            </w:pPr>
            <w:r>
              <w:rPr>
                <w:b/>
                <w:bCs/>
                <w:sz w:val="20"/>
              </w:rPr>
              <w:t>Activity</w:t>
            </w:r>
          </w:p>
        </w:tc>
        <w:tc>
          <w:tcPr>
            <w:tcW w:w="324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802BFC" w:rsidRPr="00B13297" w:rsidP="00CF0F34" w14:paraId="38892A03" w14:textId="77777777">
            <w:pPr>
              <w:jc w:val="center"/>
              <w:rPr>
                <w:b/>
                <w:bCs/>
                <w:sz w:val="20"/>
              </w:rPr>
            </w:pPr>
            <w:r>
              <w:rPr>
                <w:b/>
                <w:bCs/>
                <w:sz w:val="20"/>
              </w:rPr>
              <w:t>Time Period*</w:t>
            </w:r>
          </w:p>
        </w:tc>
      </w:tr>
      <w:tr w14:paraId="0537F328" w14:textId="77777777" w:rsidTr="00632BF5">
        <w:tblPrEx>
          <w:tblW w:w="9440" w:type="dxa"/>
          <w:tblCellMar>
            <w:left w:w="0" w:type="dxa"/>
            <w:right w:w="0" w:type="dxa"/>
          </w:tblCellMar>
          <w:tblLook w:val="04A0"/>
        </w:tblPrEx>
        <w:tc>
          <w:tcPr>
            <w:tcW w:w="62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02BFC" w:rsidRPr="00B13297" w:rsidP="00CF0F34" w14:paraId="66F84702" w14:textId="77777777">
            <w:pPr>
              <w:spacing w:after="0"/>
              <w:rPr>
                <w:rFonts w:ascii="Calibri" w:eastAsia="Calibri" w:hAnsi="Calibri" w:cs="Calibri"/>
                <w:sz w:val="20"/>
              </w:rPr>
            </w:pPr>
            <w:r>
              <w:rPr>
                <w:rFonts w:ascii="Calibri" w:eastAsia="Calibri" w:hAnsi="Calibri" w:cs="Calibri"/>
                <w:sz w:val="20"/>
              </w:rPr>
              <w:t>Evaluation TA contractors distribute final report templates and instructions</w:t>
            </w:r>
          </w:p>
        </w:tc>
        <w:tc>
          <w:tcPr>
            <w:tcW w:w="32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02BFC" w:rsidRPr="00B13297" w:rsidP="00CF0F34" w14:paraId="5DC90E56" w14:textId="26AE65C4">
            <w:pPr>
              <w:spacing w:after="0"/>
              <w:jc w:val="center"/>
              <w:rPr>
                <w:sz w:val="20"/>
              </w:rPr>
            </w:pPr>
            <w:r>
              <w:rPr>
                <w:sz w:val="20"/>
              </w:rPr>
              <w:t xml:space="preserve">As soon as OMB approval is received (approximately </w:t>
            </w:r>
            <w:r w:rsidR="005D1573">
              <w:rPr>
                <w:sz w:val="20"/>
              </w:rPr>
              <w:t>February</w:t>
            </w:r>
            <w:r>
              <w:rPr>
                <w:sz w:val="20"/>
              </w:rPr>
              <w:t xml:space="preserve"> 202</w:t>
            </w:r>
            <w:r w:rsidR="005D1573">
              <w:rPr>
                <w:sz w:val="20"/>
              </w:rPr>
              <w:t>5</w:t>
            </w:r>
            <w:r>
              <w:rPr>
                <w:sz w:val="20"/>
              </w:rPr>
              <w:t>)</w:t>
            </w:r>
          </w:p>
        </w:tc>
      </w:tr>
      <w:tr w14:paraId="0711D9CC" w14:textId="77777777" w:rsidTr="00632BF5">
        <w:tblPrEx>
          <w:tblW w:w="9440" w:type="dxa"/>
          <w:tblCellMar>
            <w:left w:w="0" w:type="dxa"/>
            <w:right w:w="0" w:type="dxa"/>
          </w:tblCellMar>
          <w:tblLook w:val="04A0"/>
        </w:tblPrEx>
        <w:tc>
          <w:tcPr>
            <w:tcW w:w="62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02BFC" w:rsidP="00CF0F34" w14:paraId="4E77E6F3" w14:textId="77777777">
            <w:pPr>
              <w:spacing w:after="0"/>
              <w:rPr>
                <w:sz w:val="20"/>
              </w:rPr>
            </w:pPr>
            <w:r>
              <w:rPr>
                <w:sz w:val="20"/>
              </w:rPr>
              <w:t>Grant recipients complete and submit final report drafts</w:t>
            </w:r>
          </w:p>
        </w:tc>
        <w:tc>
          <w:tcPr>
            <w:tcW w:w="3240" w:type="dxa"/>
            <w:tcBorders>
              <w:top w:val="nil"/>
              <w:left w:val="nil"/>
              <w:bottom w:val="single" w:sz="4" w:space="0" w:color="auto"/>
              <w:right w:val="single" w:sz="8" w:space="0" w:color="auto"/>
            </w:tcBorders>
            <w:tcMar>
              <w:top w:w="0" w:type="dxa"/>
              <w:left w:w="108" w:type="dxa"/>
              <w:bottom w:w="0" w:type="dxa"/>
              <w:right w:w="108" w:type="dxa"/>
            </w:tcMar>
            <w:vAlign w:val="center"/>
          </w:tcPr>
          <w:p w:rsidR="00802BFC" w:rsidP="00CF0F34" w14:paraId="68E3D290" w14:textId="77777777">
            <w:pPr>
              <w:spacing w:after="0"/>
              <w:jc w:val="center"/>
              <w:rPr>
                <w:sz w:val="20"/>
                <w:szCs w:val="20"/>
              </w:rPr>
            </w:pPr>
            <w:r w:rsidRPr="581ECD2A">
              <w:rPr>
                <w:sz w:val="20"/>
                <w:szCs w:val="20"/>
              </w:rPr>
              <w:t>February – September 2025</w:t>
            </w:r>
          </w:p>
        </w:tc>
      </w:tr>
      <w:tr w14:paraId="3661F768" w14:textId="77777777" w:rsidTr="00632BF5">
        <w:tblPrEx>
          <w:tblW w:w="9440" w:type="dxa"/>
          <w:tblCellMar>
            <w:left w:w="0" w:type="dxa"/>
            <w:right w:w="0" w:type="dxa"/>
          </w:tblCellMar>
          <w:tblLook w:val="04A0"/>
        </w:tblPrEx>
        <w:tc>
          <w:tcPr>
            <w:tcW w:w="62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02BFC" w:rsidP="00CF0F34" w14:paraId="52DD27C6" w14:textId="77777777">
            <w:pPr>
              <w:spacing w:after="0"/>
              <w:rPr>
                <w:sz w:val="20"/>
              </w:rPr>
            </w:pPr>
            <w:r>
              <w:rPr>
                <w:sz w:val="20"/>
              </w:rPr>
              <w:t>Evaluation TA contractors review final report drafts</w:t>
            </w:r>
          </w:p>
        </w:tc>
        <w:tc>
          <w:tcPr>
            <w:tcW w:w="32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02BFC" w:rsidRPr="007F66EB" w:rsidP="00CF0F34" w14:paraId="094BA768" w14:textId="77777777">
            <w:pPr>
              <w:spacing w:after="0"/>
              <w:jc w:val="center"/>
              <w:rPr>
                <w:sz w:val="20"/>
              </w:rPr>
            </w:pPr>
            <w:r>
              <w:rPr>
                <w:sz w:val="20"/>
              </w:rPr>
              <w:t>March</w:t>
            </w:r>
            <w:r w:rsidRPr="007F66EB">
              <w:rPr>
                <w:sz w:val="20"/>
              </w:rPr>
              <w:t xml:space="preserve"> – </w:t>
            </w:r>
            <w:r>
              <w:rPr>
                <w:sz w:val="20"/>
              </w:rPr>
              <w:t>September</w:t>
            </w:r>
            <w:r w:rsidRPr="007F66EB">
              <w:rPr>
                <w:sz w:val="20"/>
              </w:rPr>
              <w:t xml:space="preserve"> 2025</w:t>
            </w:r>
          </w:p>
        </w:tc>
      </w:tr>
      <w:tr w14:paraId="61D5B967" w14:textId="77777777" w:rsidTr="00632BF5">
        <w:tblPrEx>
          <w:tblW w:w="9440" w:type="dxa"/>
          <w:tblCellMar>
            <w:left w:w="0" w:type="dxa"/>
            <w:right w:w="0" w:type="dxa"/>
          </w:tblCellMar>
          <w:tblLook w:val="04A0"/>
        </w:tblPrEx>
        <w:tc>
          <w:tcPr>
            <w:tcW w:w="62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02BFC" w:rsidP="00CF0F34" w14:paraId="675D1437" w14:textId="77777777">
            <w:pPr>
              <w:spacing w:after="0"/>
              <w:rPr>
                <w:sz w:val="20"/>
              </w:rPr>
            </w:pPr>
            <w:r>
              <w:rPr>
                <w:sz w:val="20"/>
              </w:rPr>
              <w:t>G</w:t>
            </w:r>
            <w:r w:rsidRPr="00D426AE">
              <w:rPr>
                <w:sz w:val="20"/>
              </w:rPr>
              <w:t xml:space="preserve">rant recipient </w:t>
            </w:r>
            <w:r>
              <w:rPr>
                <w:sz w:val="20"/>
              </w:rPr>
              <w:t>revises and/or clarifies information in the final report</w:t>
            </w:r>
          </w:p>
        </w:tc>
        <w:tc>
          <w:tcPr>
            <w:tcW w:w="32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02BFC" w:rsidRPr="007F66EB" w:rsidP="00CF0F34" w14:paraId="78DD6E19" w14:textId="77777777">
            <w:pPr>
              <w:spacing w:after="0"/>
              <w:jc w:val="center"/>
              <w:rPr>
                <w:sz w:val="20"/>
              </w:rPr>
            </w:pPr>
            <w:r>
              <w:rPr>
                <w:sz w:val="20"/>
              </w:rPr>
              <w:t>March</w:t>
            </w:r>
            <w:r w:rsidRPr="007F66EB">
              <w:rPr>
                <w:sz w:val="20"/>
              </w:rPr>
              <w:t xml:space="preserve"> – </w:t>
            </w:r>
            <w:r>
              <w:rPr>
                <w:sz w:val="20"/>
              </w:rPr>
              <w:t>September</w:t>
            </w:r>
            <w:r w:rsidRPr="007F66EB">
              <w:rPr>
                <w:sz w:val="20"/>
              </w:rPr>
              <w:t xml:space="preserve"> 2025</w:t>
            </w:r>
          </w:p>
        </w:tc>
      </w:tr>
      <w:tr w14:paraId="1E17DCF6" w14:textId="77777777" w:rsidTr="00632BF5">
        <w:tblPrEx>
          <w:tblW w:w="9440" w:type="dxa"/>
          <w:tblCellMar>
            <w:left w:w="0" w:type="dxa"/>
            <w:right w:w="0" w:type="dxa"/>
          </w:tblCellMar>
          <w:tblLook w:val="04A0"/>
        </w:tblPrEx>
        <w:tc>
          <w:tcPr>
            <w:tcW w:w="62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02BFC" w:rsidP="00CF0F34" w14:paraId="5F369C3A" w14:textId="77777777">
            <w:pPr>
              <w:spacing w:after="0"/>
              <w:rPr>
                <w:sz w:val="20"/>
              </w:rPr>
            </w:pPr>
            <w:r>
              <w:rPr>
                <w:sz w:val="20"/>
              </w:rPr>
              <w:t>ACF approves grant recipient final reports</w:t>
            </w:r>
          </w:p>
        </w:tc>
        <w:tc>
          <w:tcPr>
            <w:tcW w:w="32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02BFC" w:rsidRPr="007F66EB" w:rsidP="00CF0F34" w14:paraId="4D1447EB" w14:textId="77777777">
            <w:pPr>
              <w:spacing w:after="0"/>
              <w:jc w:val="center"/>
              <w:rPr>
                <w:sz w:val="20"/>
              </w:rPr>
            </w:pPr>
            <w:r w:rsidRPr="007F66EB">
              <w:rPr>
                <w:sz w:val="20"/>
              </w:rPr>
              <w:t xml:space="preserve">April– </w:t>
            </w:r>
            <w:r>
              <w:rPr>
                <w:sz w:val="20"/>
              </w:rPr>
              <w:t>September</w:t>
            </w:r>
            <w:r w:rsidRPr="007F66EB">
              <w:rPr>
                <w:sz w:val="20"/>
              </w:rPr>
              <w:t xml:space="preserve"> 2025</w:t>
            </w:r>
          </w:p>
        </w:tc>
      </w:tr>
    </w:tbl>
    <w:p w:rsidR="00802BFC" w:rsidP="00802BFC" w14:paraId="14849400" w14:textId="223850A8">
      <w:pPr>
        <w:spacing w:after="0" w:line="240" w:lineRule="auto"/>
        <w:rPr>
          <w:rFonts w:cstheme="minorHAnsi"/>
          <w:sz w:val="20"/>
        </w:rPr>
      </w:pPr>
      <w:r w:rsidRPr="000952A1">
        <w:rPr>
          <w:rFonts w:cstheme="minorHAnsi"/>
          <w:sz w:val="20"/>
        </w:rPr>
        <w:t xml:space="preserve">*Start dates for use of templates is dependent on OMB approval </w:t>
      </w:r>
      <w:r>
        <w:rPr>
          <w:rFonts w:cstheme="minorHAnsi"/>
          <w:sz w:val="20"/>
        </w:rPr>
        <w:t>o</w:t>
      </w:r>
      <w:r w:rsidRPr="000952A1">
        <w:rPr>
          <w:rFonts w:cstheme="minorHAnsi"/>
          <w:sz w:val="20"/>
        </w:rPr>
        <w:t xml:space="preserve">f this information collection request. </w:t>
      </w:r>
    </w:p>
    <w:p w:rsidR="001D1C73" w:rsidRPr="009139B3" w:rsidP="001D1C73" w14:paraId="442B3608" w14:textId="77777777">
      <w:pPr>
        <w:spacing w:after="0" w:line="240" w:lineRule="auto"/>
        <w:rPr>
          <w:rFonts w:cstheme="minorHAnsi"/>
        </w:rPr>
      </w:pPr>
    </w:p>
    <w:p w:rsidR="001D1C73" w:rsidRPr="009139B3" w:rsidP="001D1C73" w14:paraId="48C4ACC5" w14:textId="77777777">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001D1C73" w:rsidRPr="009139B3" w:rsidP="001D1C73" w14:paraId="3C24CF91" w14:textId="77777777">
      <w:pPr>
        <w:spacing w:after="0"/>
      </w:pPr>
      <w:r w:rsidRPr="009139B3">
        <w:t>No exceptions are necessary for this information collection.</w:t>
      </w:r>
    </w:p>
    <w:p w:rsidR="001D1C73" w:rsidRPr="009139B3" w:rsidP="001D1C73" w14:paraId="6B3BCAE2" w14:textId="77777777">
      <w:pPr>
        <w:spacing w:after="0"/>
      </w:pPr>
    </w:p>
    <w:p w:rsidR="001D1C73" w:rsidP="00A56E39" w14:paraId="7BED44AA" w14:textId="77777777">
      <w:pPr>
        <w:spacing w:after="0"/>
        <w:rPr>
          <w:b/>
        </w:rPr>
      </w:pPr>
      <w:r w:rsidRPr="009139B3">
        <w:rPr>
          <w:b/>
        </w:rPr>
        <w:t>Attachments</w:t>
      </w:r>
    </w:p>
    <w:p w:rsidR="00802BFC" w:rsidRPr="009F04C9" w:rsidP="00EE18E5" w14:paraId="2E6530D0" w14:textId="77777777">
      <w:pPr>
        <w:spacing w:after="60" w:line="240" w:lineRule="auto"/>
      </w:pPr>
      <w:bookmarkStart w:id="4" w:name="_Hlk145941255"/>
      <w:r>
        <w:t>Instrument 1</w:t>
      </w:r>
      <w:r w:rsidRPr="009F04C9">
        <w:t>: Descriptive Evaluation Final Report Template for HMR</w:t>
      </w:r>
      <w:r>
        <w:t>F</w:t>
      </w:r>
      <w:r w:rsidRPr="009F04C9">
        <w:t xml:space="preserve"> </w:t>
      </w:r>
      <w:r>
        <w:t>Grant</w:t>
      </w:r>
      <w:r w:rsidRPr="009F04C9">
        <w:t xml:space="preserve"> Recipients</w:t>
      </w:r>
    </w:p>
    <w:p w:rsidR="00802BFC" w:rsidP="00EE18E5" w14:paraId="7B0E5E2C" w14:textId="77777777">
      <w:pPr>
        <w:spacing w:after="60" w:line="240" w:lineRule="auto"/>
      </w:pPr>
      <w:r>
        <w:t>Instrument 2</w:t>
      </w:r>
      <w:r w:rsidRPr="009F04C9">
        <w:t>: Impact Evaluation Final Report Template for HMR</w:t>
      </w:r>
      <w:r>
        <w:t>F</w:t>
      </w:r>
      <w:r w:rsidRPr="009F04C9">
        <w:t xml:space="preserve"> </w:t>
      </w:r>
      <w:r>
        <w:t>Grant</w:t>
      </w:r>
      <w:r w:rsidRPr="009F04C9">
        <w:t xml:space="preserve"> Recipients</w:t>
      </w:r>
    </w:p>
    <w:p w:rsidR="00802BFC" w:rsidP="00EE18E5" w14:paraId="713FAA2E" w14:textId="77777777">
      <w:pPr>
        <w:spacing w:after="60" w:line="240" w:lineRule="auto"/>
      </w:pPr>
      <w:r w:rsidRPr="004D25FD">
        <w:rPr>
          <w:rFonts w:cstheme="minorHAnsi"/>
          <w:bCs/>
        </w:rPr>
        <w:t>Instrument 3: Impact Evaluation Final Report Table Shells</w:t>
      </w:r>
      <w:r>
        <w:rPr>
          <w:rFonts w:cstheme="minorHAnsi"/>
          <w:bCs/>
        </w:rPr>
        <w:t xml:space="preserve"> </w:t>
      </w:r>
      <w:r w:rsidRPr="009F04C9">
        <w:t>for HMR</w:t>
      </w:r>
      <w:r>
        <w:t>F</w:t>
      </w:r>
      <w:r w:rsidRPr="009F04C9">
        <w:t xml:space="preserve"> </w:t>
      </w:r>
      <w:r>
        <w:t>Grant</w:t>
      </w:r>
      <w:r w:rsidRPr="009F04C9">
        <w:t xml:space="preserve"> Recipients</w:t>
      </w:r>
    </w:p>
    <w:p w:rsidR="00802BFC" w:rsidRPr="009F04C9" w:rsidP="00EE18E5" w14:paraId="32708BA4" w14:textId="77777777">
      <w:pPr>
        <w:spacing w:after="60" w:line="240" w:lineRule="auto"/>
      </w:pPr>
      <w:r>
        <w:t xml:space="preserve">Appendix A: </w:t>
      </w:r>
      <w:r w:rsidRPr="009F04C9">
        <w:t xml:space="preserve">Instructions for </w:t>
      </w:r>
      <w:r>
        <w:t xml:space="preserve">the </w:t>
      </w:r>
      <w:r w:rsidRPr="009F04C9">
        <w:t>Descriptive Evaluation Final Report</w:t>
      </w:r>
      <w:r>
        <w:t xml:space="preserve"> Template</w:t>
      </w:r>
      <w:r w:rsidRPr="009F04C9">
        <w:t xml:space="preserve"> for HMR</w:t>
      </w:r>
      <w:r>
        <w:t>F</w:t>
      </w:r>
      <w:r w:rsidRPr="009F04C9">
        <w:t xml:space="preserve"> </w:t>
      </w:r>
      <w:r>
        <w:t>Grant</w:t>
      </w:r>
      <w:r w:rsidRPr="009F04C9">
        <w:t xml:space="preserve"> Recipients</w:t>
      </w:r>
    </w:p>
    <w:p w:rsidR="00802BFC" w:rsidRPr="009F04C9" w:rsidP="00EE18E5" w14:paraId="22A9DFD5" w14:textId="77777777">
      <w:pPr>
        <w:spacing w:after="60" w:line="240" w:lineRule="auto"/>
      </w:pPr>
      <w:r w:rsidRPr="009F04C9">
        <w:t xml:space="preserve">Appendix </w:t>
      </w:r>
      <w:r>
        <w:t>B</w:t>
      </w:r>
      <w:r w:rsidRPr="009F04C9">
        <w:t>:</w:t>
      </w:r>
      <w:r>
        <w:t xml:space="preserve"> </w:t>
      </w:r>
      <w:r w:rsidRPr="009F04C9">
        <w:t xml:space="preserve">Instructions for </w:t>
      </w:r>
      <w:r>
        <w:t>the Impact</w:t>
      </w:r>
      <w:r w:rsidRPr="009F04C9">
        <w:t xml:space="preserve"> Evaluation Final Report</w:t>
      </w:r>
      <w:r>
        <w:t xml:space="preserve"> Template</w:t>
      </w:r>
      <w:r w:rsidRPr="009F04C9">
        <w:t xml:space="preserve"> for HMR</w:t>
      </w:r>
      <w:r>
        <w:t>F</w:t>
      </w:r>
      <w:r w:rsidRPr="009F04C9">
        <w:t xml:space="preserve"> </w:t>
      </w:r>
      <w:r>
        <w:t>Grant</w:t>
      </w:r>
      <w:r w:rsidRPr="009F04C9">
        <w:t xml:space="preserve"> Recipients </w:t>
      </w:r>
    </w:p>
    <w:bookmarkEnd w:id="4"/>
    <w:p w:rsidR="00802BFC" w:rsidRPr="009F04C9" w:rsidP="00EE18E5" w14:paraId="69FCAC44" w14:textId="77777777">
      <w:pPr>
        <w:spacing w:after="60" w:line="240" w:lineRule="auto"/>
      </w:pPr>
      <w:r w:rsidRPr="009F04C9">
        <w:t xml:space="preserve">Appendix </w:t>
      </w:r>
      <w:r>
        <w:t>C</w:t>
      </w:r>
      <w:r w:rsidRPr="009F04C9">
        <w:t xml:space="preserve">: Descriptive Evaluation Final Report </w:t>
      </w:r>
      <w:r>
        <w:t xml:space="preserve">Dissemination </w:t>
      </w:r>
      <w:r w:rsidRPr="009F04C9">
        <w:t>Email for HMR</w:t>
      </w:r>
      <w:r>
        <w:t>F</w:t>
      </w:r>
      <w:r w:rsidRPr="009F04C9">
        <w:t xml:space="preserve"> </w:t>
      </w:r>
      <w:r>
        <w:t>Grant</w:t>
      </w:r>
      <w:r w:rsidRPr="009F04C9">
        <w:t xml:space="preserve"> Recipients </w:t>
      </w:r>
    </w:p>
    <w:p w:rsidR="00083227" w:rsidRPr="006B53F1" w:rsidP="00A56E39" w14:paraId="1E574BF6" w14:textId="529450C2">
      <w:pPr>
        <w:spacing w:after="120" w:line="240" w:lineRule="auto"/>
      </w:pPr>
      <w:r w:rsidRPr="009F04C9">
        <w:t xml:space="preserve">Appendix </w:t>
      </w:r>
      <w:r>
        <w:t>D</w:t>
      </w:r>
      <w:r w:rsidRPr="009F04C9">
        <w:t xml:space="preserve">: </w:t>
      </w:r>
      <w:bookmarkStart w:id="5" w:name="_Hlk148964556"/>
      <w:r w:rsidRPr="009F04C9">
        <w:t xml:space="preserve">Impact Evaluation Final Report </w:t>
      </w:r>
      <w:r>
        <w:t xml:space="preserve">Dissemination </w:t>
      </w:r>
      <w:r w:rsidRPr="009F04C9">
        <w:t>Email for HMR</w:t>
      </w:r>
      <w:r>
        <w:t>F</w:t>
      </w:r>
      <w:r w:rsidRPr="009F04C9">
        <w:t xml:space="preserve"> </w:t>
      </w:r>
      <w:r>
        <w:t>Grant</w:t>
      </w:r>
      <w:r w:rsidRPr="009F04C9">
        <w:t xml:space="preserve"> Recipients</w:t>
      </w:r>
      <w:bookmarkEnd w:id="5"/>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D5E058E">
        <w:pPr>
          <w:pStyle w:val="Footer"/>
          <w:jc w:val="right"/>
        </w:pPr>
        <w:r>
          <w:fldChar w:fldCharType="begin"/>
        </w:r>
        <w:r>
          <w:instrText xml:space="preserve"> PAGE   \* MERGEFORMAT </w:instrText>
        </w:r>
        <w:r>
          <w:fldChar w:fldCharType="separate"/>
        </w:r>
        <w:r w:rsidR="00DE2508">
          <w:rPr>
            <w:noProof/>
          </w:rPr>
          <w:t>5</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4870" w:rsidP="0004063C" w14:paraId="36E66E8E" w14:textId="77777777">
      <w:pPr>
        <w:spacing w:after="0" w:line="240" w:lineRule="auto"/>
      </w:pPr>
      <w:r>
        <w:separator/>
      </w:r>
    </w:p>
  </w:footnote>
  <w:footnote w:type="continuationSeparator" w:id="1">
    <w:p w:rsidR="00804870" w:rsidP="0004063C" w14:paraId="53B0E096" w14:textId="77777777">
      <w:pPr>
        <w:spacing w:after="0" w:line="240" w:lineRule="auto"/>
      </w:pPr>
      <w:r>
        <w:continuationSeparator/>
      </w:r>
    </w:p>
  </w:footnote>
  <w:footnote w:id="2">
    <w:p w:rsidR="008C7F8F" w:rsidP="008C7F8F" w14:paraId="6AB54A28" w14:textId="77777777">
      <w:pPr>
        <w:pStyle w:val="FootnoteText"/>
      </w:pPr>
      <w:r>
        <w:rPr>
          <w:rStyle w:val="FootnoteReference"/>
        </w:rPr>
        <w:footnoteRef/>
      </w:r>
      <w:r>
        <w:t xml:space="preserve">The NOFO for </w:t>
      </w:r>
      <w:r w:rsidRPr="00682FF9">
        <w:t>Family, Relationship, and Marriage Education Works - Adults (</w:t>
      </w:r>
      <w:r w:rsidRPr="00682FF9">
        <w:t>FRAMEWorks</w:t>
      </w:r>
      <w:r w:rsidRPr="00682FF9">
        <w:t>)</w:t>
      </w:r>
      <w:r>
        <w:t xml:space="preserve"> can be accessed at: </w:t>
      </w:r>
      <w:hyperlink r:id="rId1" w:history="1">
        <w:r w:rsidRPr="00487827">
          <w:rPr>
            <w:rStyle w:val="Hyperlink"/>
          </w:rPr>
          <w:t>https://www.acf.hhs.gov/sites/default/files/documents/ofa/HMRF_FRAMEWorks_NOFO.pdf</w:t>
        </w:r>
      </w:hyperlink>
    </w:p>
  </w:footnote>
  <w:footnote w:id="3">
    <w:p w:rsidR="008C7F8F" w:rsidRPr="005C59FA" w:rsidP="008C7F8F" w14:paraId="47EAC1B7" w14:textId="77777777">
      <w:pPr>
        <w:pStyle w:val="FootnoteText"/>
        <w:rPr>
          <w:color w:val="0000FF" w:themeColor="hyperlink"/>
          <w:u w:val="single"/>
        </w:rPr>
      </w:pPr>
      <w:r>
        <w:rPr>
          <w:rStyle w:val="FootnoteReference"/>
        </w:rPr>
        <w:footnoteRef/>
      </w:r>
      <w:r>
        <w:t xml:space="preserve"> The NOFO for </w:t>
      </w:r>
      <w:r w:rsidRPr="00236F89">
        <w:t>Relationships, Education, Advancement, and Development for Youth for Life (READY4Life)</w:t>
      </w:r>
      <w:r>
        <w:t xml:space="preserve"> can be accessed at:</w:t>
      </w:r>
      <w:r w:rsidRPr="00236F89">
        <w:t xml:space="preserve"> </w:t>
      </w:r>
      <w:hyperlink r:id="rId2" w:history="1">
        <w:r w:rsidRPr="00487827">
          <w:rPr>
            <w:rStyle w:val="Hyperlink"/>
          </w:rPr>
          <w:t>https://www.acf.hhs.gov/sites/default/files/documents/ofa/HMRF_READY4Life_NOFO.pdf</w:t>
        </w:r>
      </w:hyperlink>
    </w:p>
  </w:footnote>
  <w:footnote w:id="4">
    <w:p w:rsidR="008C7F8F" w:rsidP="008C7F8F" w14:paraId="14165383" w14:textId="77777777">
      <w:pPr>
        <w:pStyle w:val="FootnoteText"/>
      </w:pPr>
      <w:r>
        <w:rPr>
          <w:rStyle w:val="FootnoteReference"/>
        </w:rPr>
        <w:footnoteRef/>
      </w:r>
      <w:r>
        <w:t xml:space="preserve"> The NOFO for Fatherhood—Family—focused, Interconnected, Resilient, and Essential</w:t>
      </w:r>
    </w:p>
    <w:p w:rsidR="008C7F8F" w:rsidP="008C7F8F" w14:paraId="378E8DC0" w14:textId="77777777">
      <w:pPr>
        <w:pStyle w:val="FootnoteText"/>
      </w:pPr>
      <w:r>
        <w:t xml:space="preserve">(Fatherhood FIRE) can be accessed at: </w:t>
      </w:r>
      <w:hyperlink r:id="rId3" w:history="1">
        <w:r w:rsidRPr="00487827">
          <w:rPr>
            <w:rStyle w:val="Hyperlink"/>
          </w:rPr>
          <w:t>https://www.acf.hhs.gov/sites/default/files/documents/ofa/HMRF_FIRE_NOFO.pdf</w:t>
        </w:r>
      </w:hyperlink>
    </w:p>
  </w:footnote>
  <w:footnote w:id="5">
    <w:p w:rsidR="00D93A6B" w14:paraId="11BC3D2A" w14:textId="194B3A4A">
      <w:pPr>
        <w:pStyle w:val="FootnoteText"/>
      </w:pPr>
      <w:r>
        <w:rPr>
          <w:rStyle w:val="FootnoteReference"/>
        </w:rPr>
        <w:footnoteRef/>
      </w:r>
      <w:r>
        <w:t xml:space="preserve"> </w:t>
      </w:r>
      <w:r w:rsidRPr="00D93A6B">
        <w:t>OPRE awarded two contracts to conduct this work – one to Mathematica to work with HMRE grant recipients and the other to MDRC to work with RF grant recipients.</w:t>
      </w:r>
    </w:p>
  </w:footnote>
  <w:footnote w:id="6">
    <w:p w:rsidR="00601956" w14:paraId="2CC74AD2" w14:textId="20E6CDCD">
      <w:pPr>
        <w:pStyle w:val="FootnoteText"/>
      </w:pPr>
      <w:r>
        <w:rPr>
          <w:rStyle w:val="FootnoteReference"/>
        </w:rPr>
        <w:footnoteRef/>
      </w:r>
      <w:r>
        <w:t xml:space="preserve"> For the impact studies, the table shells are in a separate document for ease of use by grant recipients because the table shell document is long and if integrated into the final template</w:t>
      </w:r>
      <w:r w:rsidR="00AE2260">
        <w:t xml:space="preserve"> (as is the case with the descriptive studies) would make it difficult to navigate. </w:t>
      </w:r>
    </w:p>
  </w:footnote>
  <w:footnote w:id="7">
    <w:p w:rsidR="007B307F" w14:paraId="2770FCD8" w14:textId="0DBCB27D">
      <w:pPr>
        <w:pStyle w:val="FootnoteText"/>
      </w:pPr>
      <w:r>
        <w:rPr>
          <w:rStyle w:val="FootnoteReference"/>
        </w:rPr>
        <w:footnoteRef/>
      </w:r>
      <w:r>
        <w:t xml:space="preserve"> </w:t>
      </w:r>
      <w:r w:rsidRPr="007B307F">
        <w:t>HMRE evaluation plans were collected under a generic clearance request for formative data collections for research and evaluation in December 2020 (Strengthening the Implementation of Marriage and Relationship Programs [SIMR]; OMB #0970-0356).</w:t>
      </w:r>
    </w:p>
  </w:footnote>
  <w:footnote w:id="8">
    <w:p w:rsidR="007B307F" w14:paraId="2A2F8874" w14:textId="0507F2B1">
      <w:pPr>
        <w:pStyle w:val="FootnoteText"/>
      </w:pPr>
      <w:r>
        <w:rPr>
          <w:rStyle w:val="FootnoteReference"/>
        </w:rPr>
        <w:footnoteRef/>
      </w:r>
      <w:r>
        <w:t xml:space="preserve"> </w:t>
      </w:r>
      <w:r w:rsidRPr="007B307F">
        <w:t>HMRF evaluation plans were collected under a generic clearance request for formative data collections for research and evaluation in the spring of 2021 (Fatherhood Family-Focused, Interconnected, Resilient, and Essential [Fatherhood FIRE] Grantee Local Evaluation Plan Template; OMB #0970-0356).</w:t>
      </w:r>
    </w:p>
  </w:footnote>
  <w:footnote w:id="9">
    <w:p w:rsidR="007B307F" w14:paraId="71CB56EF" w14:textId="68826862">
      <w:pPr>
        <w:pStyle w:val="FootnoteText"/>
      </w:pPr>
      <w:r>
        <w:rPr>
          <w:rStyle w:val="FootnoteReference"/>
        </w:rPr>
        <w:footnoteRef/>
      </w:r>
      <w:r>
        <w:t xml:space="preserve"> </w:t>
      </w:r>
      <w:r w:rsidRPr="007B307F">
        <w:t>HMRE analysis plans were collected under a generic clearance request for formative data collections for program improvement in November 2023 (Strengthening the Implementation of Marriage and Relationship Programs [SIMR]; OMB #0970</w:t>
      </w:r>
      <w:r>
        <w:t>-</w:t>
      </w:r>
      <w:r w:rsidRPr="007B307F">
        <w:t>0531).</w:t>
      </w:r>
    </w:p>
  </w:footnote>
  <w:footnote w:id="10">
    <w:p w:rsidR="001D1C73"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11">
    <w:p w:rsidR="00177AFE" w:rsidP="00177AFE" w14:paraId="07AF32EB" w14:textId="77777777">
      <w:pPr>
        <w:pStyle w:val="FootnoteText"/>
      </w:pPr>
      <w:r>
        <w:rPr>
          <w:rStyle w:val="FootnoteReference"/>
        </w:rPr>
        <w:footnoteRef/>
      </w:r>
      <w:r>
        <w:t xml:space="preserve"> </w:t>
      </w:r>
      <w:r w:rsidRPr="008F311D">
        <w:rPr>
          <w:rFonts w:cstheme="minorHAnsi"/>
        </w:rPr>
        <w:t xml:space="preserve">Bureau of Labor Statistics, U.S. Department of Labor, </w:t>
      </w:r>
      <w:r w:rsidRPr="008F311D">
        <w:rPr>
          <w:rFonts w:cstheme="minorHAnsi"/>
          <w:i/>
        </w:rPr>
        <w:t>Occupational Outlook Handbook</w:t>
      </w:r>
      <w:r w:rsidRPr="008F311D">
        <w:rPr>
          <w:rFonts w:cstheme="minorHAnsi"/>
        </w:rPr>
        <w:t xml:space="preserve">, Social and Community Service Managers, on the Internet at </w:t>
      </w:r>
      <w:hyperlink r:id="rId4" w:history="1">
        <w:r w:rsidRPr="008F311D">
          <w:rPr>
            <w:rStyle w:val="Hyperlink"/>
            <w:rFonts w:cstheme="minorHAnsi"/>
          </w:rPr>
          <w:t>https://www.bls.gov/ooh/management/social-and-community-service-managers.htm</w:t>
        </w:r>
      </w:hyperlink>
      <w:r w:rsidRPr="008F311D">
        <w:rPr>
          <w:rFonts w:cstheme="minorHAnsi"/>
        </w:rPr>
        <w:t xml:space="preserve"> (visited </w:t>
      </w:r>
      <w:r>
        <w:rPr>
          <w:rFonts w:cstheme="minorHAnsi"/>
        </w:rPr>
        <w:t>July</w:t>
      </w:r>
      <w:r w:rsidRPr="008F311D">
        <w:rPr>
          <w:rFonts w:cstheme="minorHAnsi"/>
        </w:rPr>
        <w:t xml:space="preserve"> 20</w:t>
      </w:r>
      <w:r>
        <w:rPr>
          <w:rFonts w:cstheme="minorHAnsi"/>
        </w:rPr>
        <w:t>24</w:t>
      </w:r>
      <w:r w:rsidRPr="008F311D">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A102A5"/>
    <w:multiLevelType w:val="hybridMultilevel"/>
    <w:tmpl w:val="6C0689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1">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0708EE"/>
    <w:multiLevelType w:val="hybridMultilevel"/>
    <w:tmpl w:val="38AA4B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A073A4"/>
    <w:multiLevelType w:val="hybridMultilevel"/>
    <w:tmpl w:val="656EC2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580714"/>
    <w:multiLevelType w:val="hybridMultilevel"/>
    <w:tmpl w:val="933AB0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99034123">
    <w:abstractNumId w:val="6"/>
  </w:num>
  <w:num w:numId="2" w16cid:durableId="36273914">
    <w:abstractNumId w:val="27"/>
  </w:num>
  <w:num w:numId="3" w16cid:durableId="711031217">
    <w:abstractNumId w:val="5"/>
  </w:num>
  <w:num w:numId="4" w16cid:durableId="1150561806">
    <w:abstractNumId w:val="31"/>
  </w:num>
  <w:num w:numId="5" w16cid:durableId="1320572709">
    <w:abstractNumId w:val="20"/>
  </w:num>
  <w:num w:numId="6" w16cid:durableId="411392921">
    <w:abstractNumId w:val="43"/>
  </w:num>
  <w:num w:numId="7" w16cid:durableId="1204365033">
    <w:abstractNumId w:val="4"/>
  </w:num>
  <w:num w:numId="8" w16cid:durableId="196163854">
    <w:abstractNumId w:val="12"/>
  </w:num>
  <w:num w:numId="9" w16cid:durableId="199244275">
    <w:abstractNumId w:val="19"/>
  </w:num>
  <w:num w:numId="10" w16cid:durableId="1433626305">
    <w:abstractNumId w:val="41"/>
  </w:num>
  <w:num w:numId="11" w16cid:durableId="1543517988">
    <w:abstractNumId w:val="45"/>
  </w:num>
  <w:num w:numId="12" w16cid:durableId="90132530">
    <w:abstractNumId w:val="37"/>
  </w:num>
  <w:num w:numId="13" w16cid:durableId="2091806499">
    <w:abstractNumId w:val="30"/>
  </w:num>
  <w:num w:numId="14" w16cid:durableId="296880383">
    <w:abstractNumId w:val="40"/>
  </w:num>
  <w:num w:numId="15" w16cid:durableId="1305967409">
    <w:abstractNumId w:val="22"/>
  </w:num>
  <w:num w:numId="16" w16cid:durableId="305159639">
    <w:abstractNumId w:val="29"/>
  </w:num>
  <w:num w:numId="17" w16cid:durableId="1204172495">
    <w:abstractNumId w:val="18"/>
  </w:num>
  <w:num w:numId="18" w16cid:durableId="1159073192">
    <w:abstractNumId w:val="10"/>
  </w:num>
  <w:num w:numId="19" w16cid:durableId="1542744568">
    <w:abstractNumId w:val="9"/>
  </w:num>
  <w:num w:numId="20" w16cid:durableId="524713926">
    <w:abstractNumId w:val="28"/>
  </w:num>
  <w:num w:numId="21" w16cid:durableId="283123227">
    <w:abstractNumId w:val="0"/>
  </w:num>
  <w:num w:numId="22" w16cid:durableId="1090393348">
    <w:abstractNumId w:val="1"/>
  </w:num>
  <w:num w:numId="23" w16cid:durableId="183179565">
    <w:abstractNumId w:val="23"/>
  </w:num>
  <w:num w:numId="24" w16cid:durableId="1904675123">
    <w:abstractNumId w:val="2"/>
  </w:num>
  <w:num w:numId="25" w16cid:durableId="1651128846">
    <w:abstractNumId w:val="14"/>
  </w:num>
  <w:num w:numId="26" w16cid:durableId="1337727526">
    <w:abstractNumId w:val="38"/>
  </w:num>
  <w:num w:numId="27" w16cid:durableId="345138720">
    <w:abstractNumId w:val="16"/>
  </w:num>
  <w:num w:numId="28" w16cid:durableId="242491180">
    <w:abstractNumId w:val="15"/>
  </w:num>
  <w:num w:numId="29" w16cid:durableId="1207839981">
    <w:abstractNumId w:val="3"/>
  </w:num>
  <w:num w:numId="30" w16cid:durableId="319893970">
    <w:abstractNumId w:val="24"/>
  </w:num>
  <w:num w:numId="31" w16cid:durableId="637149419">
    <w:abstractNumId w:val="32"/>
  </w:num>
  <w:num w:numId="32" w16cid:durableId="1997103494">
    <w:abstractNumId w:val="13"/>
  </w:num>
  <w:num w:numId="33" w16cid:durableId="473445446">
    <w:abstractNumId w:val="21"/>
  </w:num>
  <w:num w:numId="34" w16cid:durableId="1746418228">
    <w:abstractNumId w:val="17"/>
  </w:num>
  <w:num w:numId="35" w16cid:durableId="1212159279">
    <w:abstractNumId w:val="34"/>
  </w:num>
  <w:num w:numId="36" w16cid:durableId="1035736310">
    <w:abstractNumId w:val="25"/>
  </w:num>
  <w:num w:numId="37" w16cid:durableId="1487357235">
    <w:abstractNumId w:val="8"/>
  </w:num>
  <w:num w:numId="38" w16cid:durableId="173351554">
    <w:abstractNumId w:val="42"/>
  </w:num>
  <w:num w:numId="39" w16cid:durableId="1043749208">
    <w:abstractNumId w:val="36"/>
  </w:num>
  <w:num w:numId="40" w16cid:durableId="1928348327">
    <w:abstractNumId w:val="11"/>
  </w:num>
  <w:num w:numId="41" w16cid:durableId="749473786">
    <w:abstractNumId w:val="26"/>
  </w:num>
  <w:num w:numId="42" w16cid:durableId="857623793">
    <w:abstractNumId w:val="44"/>
  </w:num>
  <w:num w:numId="43" w16cid:durableId="1797018917">
    <w:abstractNumId w:val="35"/>
  </w:num>
  <w:num w:numId="44" w16cid:durableId="576406549">
    <w:abstractNumId w:val="39"/>
  </w:num>
  <w:num w:numId="45" w16cid:durableId="1235355731">
    <w:abstractNumId w:val="7"/>
  </w:num>
  <w:num w:numId="46" w16cid:durableId="55323751">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6C9D"/>
    <w:rsid w:val="0001255D"/>
    <w:rsid w:val="00014EDC"/>
    <w:rsid w:val="00027E79"/>
    <w:rsid w:val="00031076"/>
    <w:rsid w:val="000360E8"/>
    <w:rsid w:val="00037899"/>
    <w:rsid w:val="0004063C"/>
    <w:rsid w:val="000415A4"/>
    <w:rsid w:val="000421C4"/>
    <w:rsid w:val="0004247F"/>
    <w:rsid w:val="00062AFB"/>
    <w:rsid w:val="000655DD"/>
    <w:rsid w:val="00071F79"/>
    <w:rsid w:val="0007251B"/>
    <w:rsid w:val="000733A5"/>
    <w:rsid w:val="0008106D"/>
    <w:rsid w:val="00082C5B"/>
    <w:rsid w:val="00083227"/>
    <w:rsid w:val="00086CBE"/>
    <w:rsid w:val="00090812"/>
    <w:rsid w:val="000921F0"/>
    <w:rsid w:val="000945FD"/>
    <w:rsid w:val="000952A1"/>
    <w:rsid w:val="000A012A"/>
    <w:rsid w:val="000A3E4C"/>
    <w:rsid w:val="000D3BB2"/>
    <w:rsid w:val="000D4E9A"/>
    <w:rsid w:val="000D7D44"/>
    <w:rsid w:val="000E1C35"/>
    <w:rsid w:val="000F1E4A"/>
    <w:rsid w:val="000F512D"/>
    <w:rsid w:val="00100D34"/>
    <w:rsid w:val="00103EFD"/>
    <w:rsid w:val="00107D87"/>
    <w:rsid w:val="00107E1D"/>
    <w:rsid w:val="001173DC"/>
    <w:rsid w:val="001253F4"/>
    <w:rsid w:val="00133C76"/>
    <w:rsid w:val="001341B6"/>
    <w:rsid w:val="00135A34"/>
    <w:rsid w:val="00141190"/>
    <w:rsid w:val="00141540"/>
    <w:rsid w:val="001546E5"/>
    <w:rsid w:val="00157482"/>
    <w:rsid w:val="001707D8"/>
    <w:rsid w:val="00177AFE"/>
    <w:rsid w:val="001818FE"/>
    <w:rsid w:val="00196460"/>
    <w:rsid w:val="001B0A76"/>
    <w:rsid w:val="001C610E"/>
    <w:rsid w:val="001D1C73"/>
    <w:rsid w:val="001D7139"/>
    <w:rsid w:val="001E1A1B"/>
    <w:rsid w:val="001F57F5"/>
    <w:rsid w:val="0020401C"/>
    <w:rsid w:val="002057E5"/>
    <w:rsid w:val="0020629A"/>
    <w:rsid w:val="00206E11"/>
    <w:rsid w:val="00206FE3"/>
    <w:rsid w:val="00207554"/>
    <w:rsid w:val="00211261"/>
    <w:rsid w:val="002114AD"/>
    <w:rsid w:val="00213378"/>
    <w:rsid w:val="00224247"/>
    <w:rsid w:val="002264CB"/>
    <w:rsid w:val="00236F89"/>
    <w:rsid w:val="0024052B"/>
    <w:rsid w:val="002517BB"/>
    <w:rsid w:val="00256E24"/>
    <w:rsid w:val="00265491"/>
    <w:rsid w:val="00272999"/>
    <w:rsid w:val="0027629B"/>
    <w:rsid w:val="00276CE2"/>
    <w:rsid w:val="00287AF1"/>
    <w:rsid w:val="00287DC7"/>
    <w:rsid w:val="002A41C6"/>
    <w:rsid w:val="002B5059"/>
    <w:rsid w:val="002B785B"/>
    <w:rsid w:val="002C16C0"/>
    <w:rsid w:val="002D14C5"/>
    <w:rsid w:val="002D5548"/>
    <w:rsid w:val="002D69A3"/>
    <w:rsid w:val="002E6CCF"/>
    <w:rsid w:val="002F1E3F"/>
    <w:rsid w:val="002F33D0"/>
    <w:rsid w:val="00300722"/>
    <w:rsid w:val="0030316D"/>
    <w:rsid w:val="003068AB"/>
    <w:rsid w:val="00326B21"/>
    <w:rsid w:val="003349DE"/>
    <w:rsid w:val="00340C68"/>
    <w:rsid w:val="00341CF7"/>
    <w:rsid w:val="003500E0"/>
    <w:rsid w:val="00350286"/>
    <w:rsid w:val="00350DCE"/>
    <w:rsid w:val="00354A65"/>
    <w:rsid w:val="00356538"/>
    <w:rsid w:val="00373D2F"/>
    <w:rsid w:val="00374379"/>
    <w:rsid w:val="003941AE"/>
    <w:rsid w:val="003A5D14"/>
    <w:rsid w:val="003A7774"/>
    <w:rsid w:val="003C7358"/>
    <w:rsid w:val="003E61F6"/>
    <w:rsid w:val="003E6B07"/>
    <w:rsid w:val="003E6F5E"/>
    <w:rsid w:val="004047F8"/>
    <w:rsid w:val="00407537"/>
    <w:rsid w:val="004165BD"/>
    <w:rsid w:val="0042220D"/>
    <w:rsid w:val="00423BCB"/>
    <w:rsid w:val="00430DA6"/>
    <w:rsid w:val="0043377A"/>
    <w:rsid w:val="004379B6"/>
    <w:rsid w:val="0044428E"/>
    <w:rsid w:val="00446465"/>
    <w:rsid w:val="00451836"/>
    <w:rsid w:val="00452207"/>
    <w:rsid w:val="00460D54"/>
    <w:rsid w:val="00461D3E"/>
    <w:rsid w:val="004706CC"/>
    <w:rsid w:val="0047345D"/>
    <w:rsid w:val="00480C45"/>
    <w:rsid w:val="00484598"/>
    <w:rsid w:val="00487827"/>
    <w:rsid w:val="00487FB0"/>
    <w:rsid w:val="00493DF4"/>
    <w:rsid w:val="004A1F98"/>
    <w:rsid w:val="004A3267"/>
    <w:rsid w:val="004B75AC"/>
    <w:rsid w:val="004C045B"/>
    <w:rsid w:val="004C3644"/>
    <w:rsid w:val="004D12DD"/>
    <w:rsid w:val="004D25FD"/>
    <w:rsid w:val="004E5778"/>
    <w:rsid w:val="004E7ED8"/>
    <w:rsid w:val="005012A1"/>
    <w:rsid w:val="0050376D"/>
    <w:rsid w:val="0050787C"/>
    <w:rsid w:val="00512C25"/>
    <w:rsid w:val="005221E7"/>
    <w:rsid w:val="00527D9F"/>
    <w:rsid w:val="005302CB"/>
    <w:rsid w:val="0054782C"/>
    <w:rsid w:val="0055434C"/>
    <w:rsid w:val="00586C5F"/>
    <w:rsid w:val="00586FA4"/>
    <w:rsid w:val="00591283"/>
    <w:rsid w:val="005A31B6"/>
    <w:rsid w:val="005A61CE"/>
    <w:rsid w:val="005A7E5A"/>
    <w:rsid w:val="005B1285"/>
    <w:rsid w:val="005B1410"/>
    <w:rsid w:val="005B1870"/>
    <w:rsid w:val="005C2C94"/>
    <w:rsid w:val="005C59FA"/>
    <w:rsid w:val="005D1573"/>
    <w:rsid w:val="005D4A40"/>
    <w:rsid w:val="005E493B"/>
    <w:rsid w:val="005F2951"/>
    <w:rsid w:val="005F3558"/>
    <w:rsid w:val="00601956"/>
    <w:rsid w:val="006058AE"/>
    <w:rsid w:val="00611D35"/>
    <w:rsid w:val="00624DDC"/>
    <w:rsid w:val="00624F5A"/>
    <w:rsid w:val="006253B6"/>
    <w:rsid w:val="006257ED"/>
    <w:rsid w:val="0062686E"/>
    <w:rsid w:val="00630B30"/>
    <w:rsid w:val="00631D82"/>
    <w:rsid w:val="00632BF5"/>
    <w:rsid w:val="00636DC6"/>
    <w:rsid w:val="006508EC"/>
    <w:rsid w:val="00651FF6"/>
    <w:rsid w:val="00663003"/>
    <w:rsid w:val="00663BEB"/>
    <w:rsid w:val="00664575"/>
    <w:rsid w:val="00674BCB"/>
    <w:rsid w:val="0067610E"/>
    <w:rsid w:val="006779D4"/>
    <w:rsid w:val="00682FF9"/>
    <w:rsid w:val="0068303E"/>
    <w:rsid w:val="0068383E"/>
    <w:rsid w:val="00684BE9"/>
    <w:rsid w:val="00697501"/>
    <w:rsid w:val="006A18B9"/>
    <w:rsid w:val="006A34DC"/>
    <w:rsid w:val="006A4D02"/>
    <w:rsid w:val="006B1BF9"/>
    <w:rsid w:val="006B31DA"/>
    <w:rsid w:val="006B53F1"/>
    <w:rsid w:val="006B6037"/>
    <w:rsid w:val="006C0E56"/>
    <w:rsid w:val="006C38F0"/>
    <w:rsid w:val="006C5AA0"/>
    <w:rsid w:val="006E4F82"/>
    <w:rsid w:val="006F5250"/>
    <w:rsid w:val="00717BDC"/>
    <w:rsid w:val="00723A28"/>
    <w:rsid w:val="00736B62"/>
    <w:rsid w:val="0074709E"/>
    <w:rsid w:val="00763AF2"/>
    <w:rsid w:val="00764C85"/>
    <w:rsid w:val="007805FC"/>
    <w:rsid w:val="007814D2"/>
    <w:rsid w:val="00793E3E"/>
    <w:rsid w:val="007A29C5"/>
    <w:rsid w:val="007B307F"/>
    <w:rsid w:val="007B7AE7"/>
    <w:rsid w:val="007C57B5"/>
    <w:rsid w:val="007C7B4B"/>
    <w:rsid w:val="007D0040"/>
    <w:rsid w:val="007F6218"/>
    <w:rsid w:val="007F66EB"/>
    <w:rsid w:val="00802BFC"/>
    <w:rsid w:val="00804870"/>
    <w:rsid w:val="00804CD0"/>
    <w:rsid w:val="00807FAF"/>
    <w:rsid w:val="008229DE"/>
    <w:rsid w:val="00823428"/>
    <w:rsid w:val="00833B41"/>
    <w:rsid w:val="008369BA"/>
    <w:rsid w:val="00840D32"/>
    <w:rsid w:val="00843933"/>
    <w:rsid w:val="00850CCA"/>
    <w:rsid w:val="008525CD"/>
    <w:rsid w:val="00864C1F"/>
    <w:rsid w:val="00870D67"/>
    <w:rsid w:val="00870FA1"/>
    <w:rsid w:val="00875220"/>
    <w:rsid w:val="00891CD9"/>
    <w:rsid w:val="0089649E"/>
    <w:rsid w:val="008A25E9"/>
    <w:rsid w:val="008C7F8F"/>
    <w:rsid w:val="008D0E29"/>
    <w:rsid w:val="008E0239"/>
    <w:rsid w:val="008E4718"/>
    <w:rsid w:val="008F2446"/>
    <w:rsid w:val="008F311D"/>
    <w:rsid w:val="00901040"/>
    <w:rsid w:val="009054CC"/>
    <w:rsid w:val="009139B3"/>
    <w:rsid w:val="00921BEE"/>
    <w:rsid w:val="00923F25"/>
    <w:rsid w:val="00927AD0"/>
    <w:rsid w:val="00963503"/>
    <w:rsid w:val="0096579E"/>
    <w:rsid w:val="00965DBD"/>
    <w:rsid w:val="00966275"/>
    <w:rsid w:val="00970B6F"/>
    <w:rsid w:val="00971944"/>
    <w:rsid w:val="009724C7"/>
    <w:rsid w:val="009727CC"/>
    <w:rsid w:val="009775BC"/>
    <w:rsid w:val="009815C6"/>
    <w:rsid w:val="00984A5B"/>
    <w:rsid w:val="00990348"/>
    <w:rsid w:val="00996201"/>
    <w:rsid w:val="009A39E1"/>
    <w:rsid w:val="009A3AD8"/>
    <w:rsid w:val="009A6EE8"/>
    <w:rsid w:val="009B0F58"/>
    <w:rsid w:val="009C1FB9"/>
    <w:rsid w:val="009C29CF"/>
    <w:rsid w:val="009C3380"/>
    <w:rsid w:val="009E7E38"/>
    <w:rsid w:val="009F04C9"/>
    <w:rsid w:val="009F265B"/>
    <w:rsid w:val="009F482C"/>
    <w:rsid w:val="009F68DB"/>
    <w:rsid w:val="00A03E3F"/>
    <w:rsid w:val="00A1108E"/>
    <w:rsid w:val="00A11CDA"/>
    <w:rsid w:val="00A27CD0"/>
    <w:rsid w:val="00A34A65"/>
    <w:rsid w:val="00A362B6"/>
    <w:rsid w:val="00A5024F"/>
    <w:rsid w:val="00A56E39"/>
    <w:rsid w:val="00A67DFF"/>
    <w:rsid w:val="00A71475"/>
    <w:rsid w:val="00A714DC"/>
    <w:rsid w:val="00A7179C"/>
    <w:rsid w:val="00A761CB"/>
    <w:rsid w:val="00A85701"/>
    <w:rsid w:val="00A85F73"/>
    <w:rsid w:val="00A928D5"/>
    <w:rsid w:val="00A93035"/>
    <w:rsid w:val="00AC50FB"/>
    <w:rsid w:val="00AD3261"/>
    <w:rsid w:val="00AD4355"/>
    <w:rsid w:val="00AE2260"/>
    <w:rsid w:val="00AE3F5F"/>
    <w:rsid w:val="00B11819"/>
    <w:rsid w:val="00B13297"/>
    <w:rsid w:val="00B13DC4"/>
    <w:rsid w:val="00B17B7C"/>
    <w:rsid w:val="00B23277"/>
    <w:rsid w:val="00B245AD"/>
    <w:rsid w:val="00B255C6"/>
    <w:rsid w:val="00B4182B"/>
    <w:rsid w:val="00B46728"/>
    <w:rsid w:val="00B47FA5"/>
    <w:rsid w:val="00B5216D"/>
    <w:rsid w:val="00B55E54"/>
    <w:rsid w:val="00B561D8"/>
    <w:rsid w:val="00B56589"/>
    <w:rsid w:val="00B61566"/>
    <w:rsid w:val="00B61AD5"/>
    <w:rsid w:val="00B64D05"/>
    <w:rsid w:val="00B6567B"/>
    <w:rsid w:val="00B67004"/>
    <w:rsid w:val="00B70460"/>
    <w:rsid w:val="00B83BB1"/>
    <w:rsid w:val="00B868DB"/>
    <w:rsid w:val="00B87B7B"/>
    <w:rsid w:val="00B9441B"/>
    <w:rsid w:val="00BA5034"/>
    <w:rsid w:val="00BB34A1"/>
    <w:rsid w:val="00BB4BF8"/>
    <w:rsid w:val="00BC3401"/>
    <w:rsid w:val="00BC576E"/>
    <w:rsid w:val="00BD30C6"/>
    <w:rsid w:val="00BD702B"/>
    <w:rsid w:val="00BD7B78"/>
    <w:rsid w:val="00BE02B0"/>
    <w:rsid w:val="00BE773B"/>
    <w:rsid w:val="00C05352"/>
    <w:rsid w:val="00C065F0"/>
    <w:rsid w:val="00C06AA3"/>
    <w:rsid w:val="00C30CFD"/>
    <w:rsid w:val="00C32404"/>
    <w:rsid w:val="00C4382F"/>
    <w:rsid w:val="00C625A5"/>
    <w:rsid w:val="00C62A96"/>
    <w:rsid w:val="00C6549B"/>
    <w:rsid w:val="00C6589E"/>
    <w:rsid w:val="00C73360"/>
    <w:rsid w:val="00C81F0F"/>
    <w:rsid w:val="00C840FD"/>
    <w:rsid w:val="00C86CB2"/>
    <w:rsid w:val="00C87D5A"/>
    <w:rsid w:val="00C91C71"/>
    <w:rsid w:val="00C95126"/>
    <w:rsid w:val="00CA72A5"/>
    <w:rsid w:val="00CC07BF"/>
    <w:rsid w:val="00CC0935"/>
    <w:rsid w:val="00CC4651"/>
    <w:rsid w:val="00CC4CCD"/>
    <w:rsid w:val="00CC5A52"/>
    <w:rsid w:val="00CD6BC7"/>
    <w:rsid w:val="00CE018E"/>
    <w:rsid w:val="00CE2702"/>
    <w:rsid w:val="00CE5A02"/>
    <w:rsid w:val="00CE7A4A"/>
    <w:rsid w:val="00CF0F34"/>
    <w:rsid w:val="00D1343F"/>
    <w:rsid w:val="00D13AA8"/>
    <w:rsid w:val="00D22A46"/>
    <w:rsid w:val="00D239B5"/>
    <w:rsid w:val="00D24ECC"/>
    <w:rsid w:val="00D30B6F"/>
    <w:rsid w:val="00D32B72"/>
    <w:rsid w:val="00D4033C"/>
    <w:rsid w:val="00D415E2"/>
    <w:rsid w:val="00D42249"/>
    <w:rsid w:val="00D426AE"/>
    <w:rsid w:val="00D45504"/>
    <w:rsid w:val="00D51EEF"/>
    <w:rsid w:val="00D5346A"/>
    <w:rsid w:val="00D5388B"/>
    <w:rsid w:val="00D55767"/>
    <w:rsid w:val="00D60841"/>
    <w:rsid w:val="00D64469"/>
    <w:rsid w:val="00D655CF"/>
    <w:rsid w:val="00D71BA0"/>
    <w:rsid w:val="00D7450D"/>
    <w:rsid w:val="00D749DF"/>
    <w:rsid w:val="00D82755"/>
    <w:rsid w:val="00D82E67"/>
    <w:rsid w:val="00D831AC"/>
    <w:rsid w:val="00D93A6B"/>
    <w:rsid w:val="00D97926"/>
    <w:rsid w:val="00DA02AF"/>
    <w:rsid w:val="00DA3557"/>
    <w:rsid w:val="00DA4701"/>
    <w:rsid w:val="00DA6824"/>
    <w:rsid w:val="00DC65F2"/>
    <w:rsid w:val="00DC7876"/>
    <w:rsid w:val="00DC7DD5"/>
    <w:rsid w:val="00DE20AD"/>
    <w:rsid w:val="00DE2508"/>
    <w:rsid w:val="00DE3ED7"/>
    <w:rsid w:val="00DF1291"/>
    <w:rsid w:val="00DF59E0"/>
    <w:rsid w:val="00E1392C"/>
    <w:rsid w:val="00E1415F"/>
    <w:rsid w:val="00E21622"/>
    <w:rsid w:val="00E22AC6"/>
    <w:rsid w:val="00E2379D"/>
    <w:rsid w:val="00E24830"/>
    <w:rsid w:val="00E318A6"/>
    <w:rsid w:val="00E413D5"/>
    <w:rsid w:val="00E41C62"/>
    <w:rsid w:val="00E41EE9"/>
    <w:rsid w:val="00E461D4"/>
    <w:rsid w:val="00E5511F"/>
    <w:rsid w:val="00E62285"/>
    <w:rsid w:val="00E62819"/>
    <w:rsid w:val="00E62856"/>
    <w:rsid w:val="00E64309"/>
    <w:rsid w:val="00E66AF1"/>
    <w:rsid w:val="00E71E25"/>
    <w:rsid w:val="00E71E55"/>
    <w:rsid w:val="00E75B61"/>
    <w:rsid w:val="00E83911"/>
    <w:rsid w:val="00E84944"/>
    <w:rsid w:val="00E9045F"/>
    <w:rsid w:val="00E96855"/>
    <w:rsid w:val="00EA0D4F"/>
    <w:rsid w:val="00EA405B"/>
    <w:rsid w:val="00EA74A4"/>
    <w:rsid w:val="00EB4C26"/>
    <w:rsid w:val="00EB6134"/>
    <w:rsid w:val="00EC1A6C"/>
    <w:rsid w:val="00EC291B"/>
    <w:rsid w:val="00ED7509"/>
    <w:rsid w:val="00EE18E5"/>
    <w:rsid w:val="00EE38AF"/>
    <w:rsid w:val="00EE5D5A"/>
    <w:rsid w:val="00EF1F73"/>
    <w:rsid w:val="00EF254B"/>
    <w:rsid w:val="00EF4FF2"/>
    <w:rsid w:val="00EF6624"/>
    <w:rsid w:val="00F071DE"/>
    <w:rsid w:val="00F13050"/>
    <w:rsid w:val="00F22AA3"/>
    <w:rsid w:val="00F42246"/>
    <w:rsid w:val="00F5315D"/>
    <w:rsid w:val="00F56518"/>
    <w:rsid w:val="00F66BF0"/>
    <w:rsid w:val="00F74630"/>
    <w:rsid w:val="00F807BB"/>
    <w:rsid w:val="00F9122A"/>
    <w:rsid w:val="00FA6D2C"/>
    <w:rsid w:val="00FB0826"/>
    <w:rsid w:val="00FB5BF6"/>
    <w:rsid w:val="00FC65DF"/>
    <w:rsid w:val="00FC779A"/>
    <w:rsid w:val="00FD290C"/>
    <w:rsid w:val="00FD72B9"/>
    <w:rsid w:val="00FD7E48"/>
    <w:rsid w:val="00FF47B2"/>
    <w:rsid w:val="00FF4997"/>
    <w:rsid w:val="00FF5C51"/>
    <w:rsid w:val="071209E9"/>
    <w:rsid w:val="3ABFD6E0"/>
    <w:rsid w:val="5342EC51"/>
    <w:rsid w:val="581ECD2A"/>
    <w:rsid w:val="614681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styleId="FollowedHyperlink">
    <w:name w:val="FollowedHyperlink"/>
    <w:basedOn w:val="DefaultParagraphFont"/>
    <w:uiPriority w:val="99"/>
    <w:semiHidden/>
    <w:unhideWhenUsed/>
    <w:rsid w:val="000945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sites/default/files/documents/ofa/HMRF_FRAMEWorks_NOFO.pdf" TargetMode="External" /><Relationship Id="rId2" Type="http://schemas.openxmlformats.org/officeDocument/2006/relationships/hyperlink" Target="https://www.acf.hhs.gov/sites/default/files/documents/ofa/HMRF_READY4Life_NOFO.pdf" TargetMode="External" /><Relationship Id="rId3" Type="http://schemas.openxmlformats.org/officeDocument/2006/relationships/hyperlink" Target="https://www.acf.hhs.gov/sites/default/files/documents/ofa/HMRF_FIRE_NOFO.pdf" TargetMode="External" /><Relationship Id="rId4" Type="http://schemas.openxmlformats.org/officeDocument/2006/relationships/hyperlink" Target="https://www.bls.gov/ooh/management/social-and-community-service-manag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ba242ec-36bc-4e55-a374-79c164371a5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99898B7F1966479B24FB39FA61B502" ma:contentTypeVersion="15" ma:contentTypeDescription="Create a new document." ma:contentTypeScope="" ma:versionID="b969d8ff609bebd9c6c1b1274fb846b7">
  <xsd:schema xmlns:xsd="http://www.w3.org/2001/XMLSchema" xmlns:xs="http://www.w3.org/2001/XMLSchema" xmlns:p="http://schemas.microsoft.com/office/2006/metadata/properties" xmlns:ns1="http://schemas.microsoft.com/sharepoint/v3" xmlns:ns3="7ba242ec-36bc-4e55-a374-79c164371a59" targetNamespace="http://schemas.microsoft.com/office/2006/metadata/properties" ma:root="true" ma:fieldsID="2c8a545da283d7ee802080bd73ee858e" ns1:_="" ns3:_="">
    <xsd:import namespace="http://schemas.microsoft.com/sharepoint/v3"/>
    <xsd:import namespace="7ba242ec-36bc-4e55-a374-79c164371a5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242ec-36bc-4e55-a374-79c164371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2.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http://schemas.microsoft.com/sharepoint/v3"/>
    <ds:schemaRef ds:uri="7ba242ec-36bc-4e55-a374-79c164371a59"/>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6428DA03-4A7C-44AD-9742-4E75B3DD9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a242ec-36bc-4e55-a374-79c16437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 Kathleen (ACF)</dc:creator>
  <cp:lastModifiedBy>ACF PRA</cp:lastModifiedBy>
  <cp:revision>2</cp:revision>
  <dcterms:created xsi:type="dcterms:W3CDTF">2024-12-03T10:58:00Z</dcterms:created>
  <dcterms:modified xsi:type="dcterms:W3CDTF">2024-12-03T10:58:00Z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0x0101003D99898B7F1966479B24FB39FA61B502</vt:lpwstr>
  </property>
</Properties>
</file>