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B13297" w:rsidP="00D51337" w14:paraId="0AD36610" w14:textId="31B2EF86">
      <w:pPr>
        <w:pStyle w:val="ReportCover-Title"/>
        <w:jc w:val="center"/>
        <w:rPr>
          <w:rFonts w:ascii="Arial" w:hAnsi="Arial" w:cs="Arial"/>
          <w:color w:val="auto"/>
        </w:rPr>
      </w:pPr>
      <w:r>
        <w:rPr>
          <w:rFonts w:ascii="Arial" w:eastAsia="Arial Unicode MS" w:hAnsi="Arial" w:cs="Arial"/>
          <w:noProof/>
          <w:color w:val="auto"/>
        </w:rPr>
        <w:t xml:space="preserve">Administration for Children and Families Youth Programs </w:t>
      </w:r>
      <w:r w:rsidR="007E3E4A">
        <w:rPr>
          <w:rFonts w:ascii="Arial" w:eastAsia="Arial Unicode MS" w:hAnsi="Arial" w:cs="Arial"/>
          <w:noProof/>
          <w:color w:val="auto"/>
        </w:rPr>
        <w:t>– Sexual Orientation and Gender Identity (SOGI) Items</w:t>
      </w:r>
      <w:r w:rsidRPr="00B13297" w:rsidR="007E3E4A">
        <w:rPr>
          <w:rFonts w:ascii="Arial" w:eastAsia="Arial Unicode MS" w:hAnsi="Arial" w:cs="Arial"/>
          <w:noProof/>
          <w:color w:val="auto"/>
        </w:rPr>
        <w:t xml:space="preserve"> </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677CEC" w:rsidP="009B3DFB" w14:paraId="26B07665" w14:textId="77777777">
      <w:pPr>
        <w:pStyle w:val="ReportCover-Title"/>
        <w:jc w:val="center"/>
        <w:rPr>
          <w:rFonts w:ascii="Arial" w:hAnsi="Arial" w:cs="Arial"/>
          <w:color w:val="auto"/>
          <w:sz w:val="32"/>
        </w:rPr>
      </w:pPr>
      <w:r w:rsidRPr="00677CEC">
        <w:rPr>
          <w:rFonts w:ascii="Arial" w:eastAsia="Arial Unicode MS" w:hAnsi="Arial" w:cs="Arial"/>
          <w:noProof/>
          <w:color w:val="auto"/>
          <w:sz w:val="32"/>
        </w:rPr>
        <w:t>Pre-testing of Evaluation Data Collection Activities</w:t>
      </w:r>
    </w:p>
    <w:p w:rsidR="009B3DFB" w:rsidRPr="00677CEC" w:rsidP="009B3DFB" w14:paraId="5ABABFA1" w14:textId="77777777">
      <w:pPr>
        <w:pStyle w:val="ReportCover-Title"/>
        <w:jc w:val="center"/>
        <w:rPr>
          <w:rFonts w:ascii="Arial" w:hAnsi="Arial" w:cs="Arial"/>
          <w:color w:val="auto"/>
          <w:sz w:val="32"/>
          <w:szCs w:val="32"/>
        </w:rPr>
      </w:pPr>
    </w:p>
    <w:p w:rsidR="009B3DFB" w:rsidRPr="002C4F75" w:rsidP="009B3DFB" w14:paraId="49567381" w14:textId="189E1270">
      <w:pPr>
        <w:pStyle w:val="ReportCover-Title"/>
        <w:jc w:val="center"/>
        <w:rPr>
          <w:rFonts w:ascii="Arial" w:hAnsi="Arial" w:cs="Arial"/>
          <w:color w:val="auto"/>
          <w:sz w:val="32"/>
          <w:szCs w:val="32"/>
        </w:rPr>
      </w:pPr>
      <w:r w:rsidRPr="00677CEC">
        <w:rPr>
          <w:rFonts w:ascii="Arial" w:hAnsi="Arial" w:cs="Arial"/>
          <w:color w:val="auto"/>
          <w:sz w:val="32"/>
          <w:szCs w:val="32"/>
        </w:rPr>
        <w:t>0970 - 035</w:t>
      </w:r>
      <w:r w:rsidRPr="00677CEC" w:rsidR="00677CEC">
        <w:rPr>
          <w:rFonts w:ascii="Arial" w:hAnsi="Arial" w:cs="Arial"/>
          <w:color w:val="auto"/>
          <w:sz w:val="32"/>
          <w:szCs w:val="32"/>
        </w:rPr>
        <w:t>5</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61A39BC2">
      <w:pPr>
        <w:pStyle w:val="ReportCover-Date"/>
        <w:jc w:val="center"/>
        <w:rPr>
          <w:rFonts w:ascii="Arial" w:hAnsi="Arial" w:cs="Arial"/>
          <w:color w:val="auto"/>
        </w:rPr>
      </w:pPr>
      <w:r>
        <w:rPr>
          <w:rFonts w:ascii="Arial" w:hAnsi="Arial" w:cs="Arial"/>
          <w:color w:val="auto"/>
        </w:rPr>
        <w:t>Octo</w:t>
      </w:r>
      <w:r w:rsidR="00643249">
        <w:rPr>
          <w:rFonts w:ascii="Arial" w:hAnsi="Arial" w:cs="Arial"/>
          <w:color w:val="auto"/>
        </w:rPr>
        <w:t xml:space="preserve">ber </w:t>
      </w:r>
      <w:r w:rsidR="007E3E4A">
        <w:rPr>
          <w:rFonts w:ascii="Arial" w:hAnsi="Arial" w:cs="Arial"/>
          <w:color w:val="auto"/>
        </w:rPr>
        <w:t>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433FB078">
      <w:pPr>
        <w:spacing w:after="0" w:line="240" w:lineRule="auto"/>
        <w:jc w:val="center"/>
        <w:rPr>
          <w:rFonts w:ascii="Arial" w:hAnsi="Arial" w:cs="Arial"/>
        </w:rPr>
      </w:pPr>
      <w:r w:rsidRPr="00B13297">
        <w:rPr>
          <w:rFonts w:ascii="Arial" w:hAnsi="Arial" w:cs="Arial"/>
        </w:rPr>
        <w:t>Project Officers:</w:t>
      </w:r>
      <w:r w:rsidRPr="007E3E4A" w:rsidR="007E3E4A">
        <w:rPr>
          <w:rFonts w:ascii="Arial" w:hAnsi="Arial" w:cs="Arial"/>
        </w:rPr>
        <w:t xml:space="preserve"> </w:t>
      </w:r>
      <w:r w:rsidR="007E3E4A">
        <w:rPr>
          <w:rFonts w:ascii="Arial" w:hAnsi="Arial" w:cs="Arial"/>
        </w:rPr>
        <w:t xml:space="preserve">Caryn Blitz, </w:t>
      </w:r>
      <w:r w:rsidR="003C5FCA">
        <w:rPr>
          <w:rFonts w:ascii="Arial" w:hAnsi="Arial" w:cs="Arial"/>
        </w:rPr>
        <w:t>Tia Brown</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2C4F63" w:rsidRPr="002C4F63" w:rsidP="009A4F91" w14:paraId="776AED2B" w14:textId="4A9C67B6">
      <w:pPr>
        <w:spacing w:after="60" w:line="240" w:lineRule="auto"/>
        <w:rPr>
          <w:i/>
        </w:rPr>
      </w:pPr>
      <w:r w:rsidRPr="0072072F">
        <w:rPr>
          <w:i/>
        </w:rPr>
        <w:t>Study Objectives</w:t>
      </w:r>
    </w:p>
    <w:p w:rsidR="00641930" w:rsidP="00781F1A" w14:paraId="7FAEB7A3" w14:textId="205C17BC">
      <w:pPr>
        <w:spacing w:after="0" w:line="240" w:lineRule="auto"/>
        <w:rPr>
          <w:rFonts w:cs="Times New Roman"/>
        </w:rPr>
      </w:pPr>
      <w:r>
        <w:rPr>
          <w:rFonts w:eastAsia="Times New Roman" w:cstheme="minorHAnsi"/>
          <w:color w:val="000000"/>
          <w:szCs w:val="24"/>
        </w:rPr>
        <w:t>The Administration for Children and Families (</w:t>
      </w:r>
      <w:r w:rsidRPr="000745BC">
        <w:rPr>
          <w:rFonts w:eastAsia="Times New Roman" w:cstheme="minorHAnsi"/>
          <w:color w:val="000000"/>
          <w:szCs w:val="24"/>
        </w:rPr>
        <w:t>ACF</w:t>
      </w:r>
      <w:r>
        <w:rPr>
          <w:rFonts w:eastAsia="Times New Roman" w:cstheme="minorHAnsi"/>
          <w:color w:val="000000"/>
          <w:szCs w:val="24"/>
        </w:rPr>
        <w:t>)</w:t>
      </w:r>
      <w:r w:rsidRPr="000745BC">
        <w:rPr>
          <w:rFonts w:eastAsia="Times New Roman" w:cstheme="minorHAnsi"/>
          <w:color w:val="000000"/>
          <w:szCs w:val="24"/>
        </w:rPr>
        <w:t xml:space="preserve"> is </w:t>
      </w:r>
      <w:r w:rsidRPr="000745BC">
        <w:rPr>
          <w:rFonts w:eastAsia="Times New Roman" w:cs="Times New Roman"/>
          <w:szCs w:val="24"/>
        </w:rPr>
        <w:t>currently engaged in efforts to improve participant survey questions on sexual orientation and gender identity (</w:t>
      </w:r>
      <w:r w:rsidRPr="000745BC">
        <w:rPr>
          <w:rFonts w:cs="Times New Roman"/>
        </w:rPr>
        <w:t xml:space="preserve">SOGI) to better represent the range of program participants, as well as to align with </w:t>
      </w:r>
      <w:r w:rsidRPr="0089288B" w:rsidR="00120651">
        <w:rPr>
          <w:rFonts w:eastAsia="Times New Roman" w:cs="Times New Roman"/>
          <w:szCs w:val="24"/>
        </w:rPr>
        <w:t>Executive Order (EO) 14075 (</w:t>
      </w:r>
      <w:r w:rsidRPr="0089288B" w:rsidR="00120651">
        <w:rPr>
          <w:rFonts w:eastAsia="Times New Roman" w:cs="Times New Roman"/>
          <w:i/>
          <w:iCs/>
          <w:szCs w:val="24"/>
        </w:rPr>
        <w:t>Advancing Equality for Lesbian, Gay, Bisexual, Transgender, Queer, and Intersex Individuals</w:t>
      </w:r>
      <w:r w:rsidR="00120651">
        <w:rPr>
          <w:rFonts w:eastAsia="Times New Roman" w:cs="Times New Roman"/>
          <w:i/>
          <w:iCs/>
          <w:szCs w:val="24"/>
        </w:rPr>
        <w:t>.</w:t>
      </w:r>
      <w:r w:rsidR="00120651">
        <w:rPr>
          <w:rFonts w:cs="Times New Roman"/>
        </w:rPr>
        <w:t xml:space="preserve"> </w:t>
      </w:r>
      <w:r w:rsidRPr="000745BC" w:rsidR="007B29BB">
        <w:rPr>
          <w:rFonts w:cs="Times New Roman"/>
        </w:rPr>
        <w:t xml:space="preserve">This agency-wide initiative </w:t>
      </w:r>
      <w:r w:rsidR="00374808">
        <w:rPr>
          <w:rFonts w:cs="Times New Roman"/>
        </w:rPr>
        <w:t xml:space="preserve">aims </w:t>
      </w:r>
      <w:r w:rsidRPr="000745BC" w:rsidR="007B29BB">
        <w:rPr>
          <w:rFonts w:cs="Times New Roman"/>
        </w:rPr>
        <w:t>to select SOGI items to be used with youth</w:t>
      </w:r>
      <w:r w:rsidRPr="00374808" w:rsidR="00374808">
        <w:rPr>
          <w:rFonts w:eastAsia="Times New Roman" w:cs="Times New Roman"/>
          <w:szCs w:val="24"/>
        </w:rPr>
        <w:t xml:space="preserve"> </w:t>
      </w:r>
      <w:r w:rsidR="00374808">
        <w:rPr>
          <w:rFonts w:eastAsia="Times New Roman" w:cs="Times New Roman"/>
          <w:szCs w:val="24"/>
        </w:rPr>
        <w:t>served by ACF</w:t>
      </w:r>
      <w:r w:rsidRPr="000745BC" w:rsidR="007B29BB">
        <w:rPr>
          <w:rFonts w:cs="Times New Roman"/>
        </w:rPr>
        <w:t xml:space="preserve">, including youth participating in </w:t>
      </w:r>
      <w:r w:rsidR="00717F12">
        <w:t xml:space="preserve">the </w:t>
      </w:r>
      <w:r w:rsidR="00717F12">
        <w:rPr>
          <w:rFonts w:eastAsia="Times New Roman" w:cs="Times New Roman"/>
          <w:szCs w:val="24"/>
        </w:rPr>
        <w:t>Personal Responsibility Education Program (</w:t>
      </w:r>
      <w:r w:rsidRPr="000745BC" w:rsidR="007B29BB">
        <w:rPr>
          <w:rFonts w:cs="Times New Roman"/>
        </w:rPr>
        <w:t>PREP</w:t>
      </w:r>
      <w:r w:rsidR="00717F12">
        <w:rPr>
          <w:rFonts w:cs="Times New Roman"/>
        </w:rPr>
        <w:t>)</w:t>
      </w:r>
      <w:r w:rsidRPr="000745BC" w:rsidR="007B29BB">
        <w:rPr>
          <w:rFonts w:cs="Times New Roman"/>
        </w:rPr>
        <w:t xml:space="preserve"> </w:t>
      </w:r>
      <w:r w:rsidR="004337A3">
        <w:rPr>
          <w:rFonts w:eastAsia="Times New Roman" w:cs="Times New Roman"/>
          <w:szCs w:val="24"/>
        </w:rPr>
        <w:t xml:space="preserve">and the </w:t>
      </w:r>
      <w:r w:rsidR="004337A3">
        <w:t>Sexual Risk Avoidance Education P</w:t>
      </w:r>
      <w:r w:rsidRPr="000745BC" w:rsidR="007B29BB">
        <w:rPr>
          <w:rFonts w:cs="Times New Roman"/>
        </w:rPr>
        <w:t>rogram</w:t>
      </w:r>
      <w:r w:rsidR="004337A3">
        <w:rPr>
          <w:rFonts w:cs="Times New Roman"/>
        </w:rPr>
        <w:t xml:space="preserve"> </w:t>
      </w:r>
      <w:r w:rsidR="004337A3">
        <w:t>(SRAE)</w:t>
      </w:r>
      <w:r w:rsidRPr="000745BC" w:rsidR="007B29BB">
        <w:rPr>
          <w:rFonts w:cs="Times New Roman"/>
        </w:rPr>
        <w:t xml:space="preserve">. </w:t>
      </w:r>
    </w:p>
    <w:p w:rsidR="00781F1A" w:rsidRPr="000745BC" w:rsidP="009A4F91" w14:paraId="4BBFFD67" w14:textId="77777777">
      <w:pPr>
        <w:spacing w:after="0" w:line="240" w:lineRule="auto"/>
        <w:rPr>
          <w:rFonts w:cs="Times New Roman"/>
        </w:rPr>
      </w:pPr>
    </w:p>
    <w:p w:rsidR="00BB2925" w:rsidP="00781F1A" w14:paraId="36F663AB" w14:textId="08073CA6">
      <w:pPr>
        <w:spacing w:after="0" w:line="240" w:lineRule="auto"/>
        <w:rPr>
          <w:rFonts w:ascii="Calibri" w:eastAsia="Times New Roman" w:hAnsi="Calibri" w:cs="Calibri"/>
          <w:color w:val="000000"/>
        </w:rPr>
      </w:pPr>
      <w:r w:rsidRPr="005D3CD2">
        <w:rPr>
          <w:rFonts w:ascii="Calibri" w:eastAsia="Times New Roman" w:hAnsi="Calibri" w:cs="Calibri"/>
          <w:color w:val="000000"/>
        </w:rPr>
        <w:t>This information collection request includes</w:t>
      </w:r>
      <w:r w:rsidR="003E6EBB">
        <w:rPr>
          <w:rFonts w:ascii="Calibri" w:eastAsia="Times New Roman" w:hAnsi="Calibri" w:cs="Calibri"/>
          <w:color w:val="000000"/>
        </w:rPr>
        <w:t xml:space="preserve"> </w:t>
      </w:r>
      <w:r w:rsidRPr="005D3CD2">
        <w:rPr>
          <w:rFonts w:ascii="Calibri" w:eastAsia="Times New Roman" w:hAnsi="Calibri" w:cs="Calibri"/>
          <w:color w:val="000000"/>
        </w:rPr>
        <w:t>pretesting SOGI items with youth through virtual cognitive interviews and in-person focus group discussions</w:t>
      </w:r>
      <w:r w:rsidR="003E6EBB">
        <w:rPr>
          <w:rFonts w:ascii="Calibri" w:eastAsia="Times New Roman" w:hAnsi="Calibri" w:cs="Calibri"/>
          <w:color w:val="000000"/>
        </w:rPr>
        <w:t xml:space="preserve">. </w:t>
      </w:r>
      <w:r w:rsidRPr="005D3CD2">
        <w:rPr>
          <w:rFonts w:ascii="Calibri" w:eastAsia="Times New Roman" w:hAnsi="Calibri" w:cs="Calibri"/>
          <w:color w:val="000000"/>
        </w:rPr>
        <w:t>The pretest with youth will explore how youth understand the SOGI items, the relevance of the language used, and evaluating the sensitivity of the revised items and usefulness in real world application.</w:t>
      </w:r>
      <w:r w:rsidR="00565109">
        <w:rPr>
          <w:rFonts w:ascii="Calibri" w:eastAsia="Times New Roman" w:hAnsi="Calibri" w:cs="Calibri"/>
          <w:color w:val="000000"/>
        </w:rPr>
        <w:t xml:space="preserve"> Pretests will be conducted with both English</w:t>
      </w:r>
      <w:r w:rsidR="00CB4F15">
        <w:rPr>
          <w:rFonts w:ascii="Calibri" w:eastAsia="Times New Roman" w:hAnsi="Calibri" w:cs="Calibri"/>
          <w:color w:val="000000"/>
        </w:rPr>
        <w:t>-</w:t>
      </w:r>
      <w:r w:rsidR="00565109">
        <w:rPr>
          <w:rFonts w:ascii="Calibri" w:eastAsia="Times New Roman" w:hAnsi="Calibri" w:cs="Calibri"/>
          <w:color w:val="000000"/>
        </w:rPr>
        <w:t xml:space="preserve"> and Spanish</w:t>
      </w:r>
      <w:r w:rsidR="00CB4F15">
        <w:rPr>
          <w:rFonts w:ascii="Calibri" w:eastAsia="Times New Roman" w:hAnsi="Calibri" w:cs="Calibri"/>
          <w:color w:val="000000"/>
        </w:rPr>
        <w:t>-</w:t>
      </w:r>
      <w:r w:rsidR="00565109">
        <w:rPr>
          <w:rFonts w:ascii="Calibri" w:eastAsia="Times New Roman" w:hAnsi="Calibri" w:cs="Calibri"/>
          <w:color w:val="000000"/>
        </w:rPr>
        <w:t xml:space="preserve">speaking youth. </w:t>
      </w:r>
      <w:r w:rsidR="003E6EBB">
        <w:rPr>
          <w:rFonts w:ascii="Calibri" w:eastAsia="Times New Roman" w:hAnsi="Calibri" w:cs="Calibri"/>
          <w:color w:val="000000"/>
        </w:rPr>
        <w:t xml:space="preserve"> </w:t>
      </w:r>
    </w:p>
    <w:p w:rsidR="00781F1A" w:rsidRPr="005D6733" w:rsidP="009A4F91" w14:paraId="0840E452" w14:textId="77777777">
      <w:pPr>
        <w:spacing w:after="0" w:line="240" w:lineRule="auto"/>
      </w:pPr>
    </w:p>
    <w:p w:rsidR="00E94658" w:rsidP="009A4F91" w14:paraId="18D6372F" w14:textId="02E487AD">
      <w:pPr>
        <w:pStyle w:val="ParagraphContinued"/>
        <w:spacing w:before="0" w:after="60" w:line="240" w:lineRule="auto"/>
      </w:pPr>
      <w:r>
        <w:t>ACF proposes the following guiding questions for th</w:t>
      </w:r>
      <w:r w:rsidR="005D3CD2">
        <w:t>e</w:t>
      </w:r>
      <w:r>
        <w:t xml:space="preserve"> </w:t>
      </w:r>
      <w:r w:rsidR="005D3CD2">
        <w:t xml:space="preserve">SOGI items </w:t>
      </w:r>
      <w:r>
        <w:t>pretest</w:t>
      </w:r>
      <w:r w:rsidR="005D3CD2">
        <w:t xml:space="preserve"> with youth</w:t>
      </w:r>
      <w:r>
        <w:t>:</w:t>
      </w:r>
    </w:p>
    <w:p w:rsidR="00E94658" w:rsidRPr="00701209" w:rsidP="009A4F91" w14:paraId="6D0FBF52" w14:textId="77777777">
      <w:pPr>
        <w:pStyle w:val="ListNumber"/>
        <w:numPr>
          <w:ilvl w:val="0"/>
          <w:numId w:val="31"/>
        </w:numPr>
        <w:spacing w:after="60" w:line="240" w:lineRule="auto"/>
        <w:rPr>
          <w:i/>
        </w:rPr>
      </w:pPr>
      <w:r>
        <w:t xml:space="preserve">Do the youth respondents easily understand the questions and response options? </w:t>
      </w:r>
    </w:p>
    <w:p w:rsidR="00E94658" w:rsidP="009A4F91" w14:paraId="102B94F1" w14:textId="77777777">
      <w:pPr>
        <w:pStyle w:val="ListNumber"/>
        <w:numPr>
          <w:ilvl w:val="0"/>
          <w:numId w:val="31"/>
        </w:numPr>
        <w:spacing w:after="60" w:line="240" w:lineRule="auto"/>
      </w:pPr>
      <w:r>
        <w:t>Are the items inclusive and sensitive to youth from various backgrounds?</w:t>
      </w:r>
    </w:p>
    <w:p w:rsidR="00804E85" w:rsidRPr="00804E85" w:rsidP="009A4F91" w14:paraId="4985BBF5" w14:textId="3B409744">
      <w:pPr>
        <w:pStyle w:val="ListNumber"/>
        <w:numPr>
          <w:ilvl w:val="0"/>
          <w:numId w:val="31"/>
        </w:numPr>
        <w:spacing w:after="0" w:line="240" w:lineRule="auto"/>
      </w:pPr>
      <w:r w:rsidRPr="005237B2">
        <w:t xml:space="preserve">Do the items accurately and adequately capture how youth self-identify? </w:t>
      </w:r>
    </w:p>
    <w:p w:rsidR="00A3651D" w:rsidRPr="00A3651D" w:rsidP="009A4F91" w14:paraId="02062722" w14:textId="77777777">
      <w:pPr>
        <w:pStyle w:val="pf0"/>
        <w:spacing w:before="0" w:beforeAutospacing="0" w:after="0" w:afterAutospacing="0"/>
        <w:ind w:left="720"/>
        <w:rPr>
          <w:rFonts w:asciiTheme="minorHAnsi" w:hAnsiTheme="minorHAnsi" w:cstheme="minorHAnsi"/>
          <w:sz w:val="22"/>
          <w:szCs w:val="22"/>
        </w:rPr>
      </w:pPr>
    </w:p>
    <w:p w:rsidR="00A3651D" w:rsidP="009A4F91" w14:paraId="690F4057" w14:textId="0AE98187">
      <w:pPr>
        <w:spacing w:after="60" w:line="240" w:lineRule="auto"/>
      </w:pPr>
      <w:r>
        <w:rPr>
          <w:i/>
        </w:rPr>
        <w:t xml:space="preserve">Generalizability of Results </w:t>
      </w:r>
    </w:p>
    <w:p w:rsidR="00BB2925" w:rsidP="009A4F91" w14:paraId="39A69560" w14:textId="075EA773">
      <w:pPr>
        <w:tabs>
          <w:tab w:val="left" w:pos="-720"/>
        </w:tabs>
        <w:suppressAutoHyphens/>
        <w:spacing w:after="0" w:line="240" w:lineRule="auto"/>
      </w:pPr>
      <w:r>
        <w:t xml:space="preserve">The proposed </w:t>
      </w:r>
      <w:r w:rsidR="007E3B47">
        <w:t xml:space="preserve">youth </w:t>
      </w:r>
      <w:r>
        <w:t>pretest</w:t>
      </w:r>
      <w:r w:rsidR="007E3B47">
        <w:t>s</w:t>
      </w:r>
      <w:r>
        <w:t xml:space="preserve"> </w:t>
      </w:r>
      <w:r w:rsidR="002654FC">
        <w:t>are</w:t>
      </w:r>
      <w:r>
        <w:t xml:space="preserve"> intended to inform instrument development </w:t>
      </w:r>
      <w:r w:rsidR="003D0C48">
        <w:t xml:space="preserve">for </w:t>
      </w:r>
      <w:r w:rsidR="002654FC">
        <w:t>AC</w:t>
      </w:r>
      <w:r w:rsidR="008525F3">
        <w:t>F</w:t>
      </w:r>
      <w:r w:rsidR="002654FC">
        <w:t xml:space="preserve"> data collections (including </w:t>
      </w:r>
      <w:r w:rsidR="003D0C48">
        <w:t xml:space="preserve">the </w:t>
      </w:r>
      <w:r w:rsidR="00781F1A">
        <w:rPr>
          <w:rFonts w:eastAsia="Times New Roman" w:cs="Times New Roman"/>
          <w:szCs w:val="24"/>
        </w:rPr>
        <w:t>Personal Responsibility Education Program (</w:t>
      </w:r>
      <w:r w:rsidR="003D0C48">
        <w:t>PREP</w:t>
      </w:r>
      <w:r w:rsidR="00781F1A">
        <w:t>)</w:t>
      </w:r>
      <w:r w:rsidR="003D0C48">
        <w:t xml:space="preserve"> </w:t>
      </w:r>
      <w:r w:rsidR="004337A3">
        <w:t xml:space="preserve">and SRAE </w:t>
      </w:r>
      <w:r w:rsidR="003D0C48">
        <w:t>participant surveys</w:t>
      </w:r>
      <w:r w:rsidR="00781F1A">
        <w:t xml:space="preserve"> approved under OMB #: 0970-0497</w:t>
      </w:r>
      <w:r w:rsidR="00A74FED">
        <w:t xml:space="preserve"> </w:t>
      </w:r>
      <w:r w:rsidR="00A74FED">
        <w:rPr>
          <w:rStyle w:val="cf01"/>
          <w:rFonts w:asciiTheme="minorHAnsi" w:hAnsiTheme="minorHAnsi" w:cstheme="minorHAnsi"/>
          <w:sz w:val="22"/>
          <w:szCs w:val="22"/>
        </w:rPr>
        <w:t>a</w:t>
      </w:r>
      <w:r w:rsidRPr="009A4F91" w:rsidR="00A74FED">
        <w:rPr>
          <w:rStyle w:val="cf01"/>
          <w:rFonts w:asciiTheme="minorHAnsi" w:hAnsiTheme="minorHAnsi" w:cstheme="minorHAnsi"/>
          <w:sz w:val="22"/>
          <w:szCs w:val="22"/>
        </w:rPr>
        <w:t>nd 0970-0536</w:t>
      </w:r>
      <w:r w:rsidR="00A74FED">
        <w:rPr>
          <w:rStyle w:val="cf01"/>
          <w:rFonts w:asciiTheme="minorHAnsi" w:hAnsiTheme="minorHAnsi" w:cstheme="minorHAnsi"/>
          <w:sz w:val="22"/>
          <w:szCs w:val="22"/>
        </w:rPr>
        <w:t>,</w:t>
      </w:r>
      <w:r w:rsidRPr="00A74FED" w:rsidR="00A74FED">
        <w:rPr>
          <w:rFonts w:cstheme="minorHAnsi"/>
        </w:rPr>
        <w:t xml:space="preserve"> </w:t>
      </w:r>
      <w:r w:rsidR="00A74FED">
        <w:t>respectively</w:t>
      </w:r>
      <w:r w:rsidR="002654FC">
        <w:t>)</w:t>
      </w:r>
      <w:r w:rsidR="003D0C48">
        <w:t xml:space="preserve"> </w:t>
      </w:r>
      <w:r>
        <w:t xml:space="preserve">by obtaining feedback from youth on the SOGI items. It is </w:t>
      </w:r>
      <w:r w:rsidRPr="007733D5">
        <w:t xml:space="preserve">not </w:t>
      </w:r>
      <w:r>
        <w:t xml:space="preserve">designed </w:t>
      </w:r>
      <w:r w:rsidRPr="007733D5">
        <w:t>to promote statistical generalization to other sites or service populations.</w:t>
      </w:r>
    </w:p>
    <w:p w:rsidR="00A3651D" w:rsidP="009A4F91" w14:paraId="73A872B2" w14:textId="77777777">
      <w:pPr>
        <w:tabs>
          <w:tab w:val="left" w:pos="-720"/>
        </w:tabs>
        <w:suppressAutoHyphens/>
        <w:spacing w:after="0" w:line="240" w:lineRule="auto"/>
        <w:rPr>
          <w:rFonts w:eastAsia="Times New Roman" w:cstheme="minorHAnsi"/>
          <w:color w:val="000000"/>
        </w:rPr>
      </w:pPr>
    </w:p>
    <w:p w:rsidR="00A3651D" w:rsidRPr="00A3651D" w:rsidP="009A4F91" w14:paraId="0F2691AC" w14:textId="23BAE6B1">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 xml:space="preserve">Appropriateness of Study Design and Methods for Planned Uses </w:t>
      </w:r>
    </w:p>
    <w:p w:rsidR="00570BCB" w14:paraId="1266BF9F" w14:textId="33F6CA13">
      <w:pPr>
        <w:suppressAutoHyphens/>
        <w:spacing w:after="0" w:line="240" w:lineRule="auto"/>
      </w:pPr>
      <w:r w:rsidRPr="008813EA">
        <w:t xml:space="preserve">Data collected under </w:t>
      </w:r>
      <w:r>
        <w:t xml:space="preserve">this generic clearance will </w:t>
      </w:r>
      <w:r w:rsidRPr="008813EA">
        <w:rPr>
          <w:rFonts w:cs="Calibri"/>
        </w:rPr>
        <w:t>be used</w:t>
      </w:r>
      <w:r>
        <w:rPr>
          <w:rFonts w:cs="Calibri"/>
        </w:rPr>
        <w:t xml:space="preserve"> to</w:t>
      </w:r>
      <w:r w:rsidRPr="008813EA">
        <w:rPr>
          <w:rFonts w:cs="Calibri"/>
        </w:rPr>
        <w:t xml:space="preserve"> </w:t>
      </w:r>
      <w:r w:rsidRPr="6453477B">
        <w:rPr>
          <w:rFonts w:eastAsia="Times New Roman"/>
        </w:rPr>
        <w:t xml:space="preserve">inform the </w:t>
      </w:r>
      <w:r w:rsidR="008600BE">
        <w:rPr>
          <w:rFonts w:eastAsia="Times New Roman"/>
        </w:rPr>
        <w:t>select</w:t>
      </w:r>
      <w:r>
        <w:rPr>
          <w:rFonts w:eastAsia="Times New Roman"/>
        </w:rPr>
        <w:t xml:space="preserve">ion </w:t>
      </w:r>
      <w:r w:rsidRPr="6453477B">
        <w:rPr>
          <w:rFonts w:eastAsia="Times New Roman"/>
        </w:rPr>
        <w:t xml:space="preserve">of </w:t>
      </w:r>
      <w:r>
        <w:rPr>
          <w:rFonts w:eastAsia="Times New Roman"/>
        </w:rPr>
        <w:t>SOGI measures</w:t>
      </w:r>
      <w:r w:rsidR="008600BE">
        <w:rPr>
          <w:rFonts w:eastAsia="Times New Roman"/>
        </w:rPr>
        <w:t xml:space="preserve"> for youth in ACF programs and the revision </w:t>
      </w:r>
      <w:r w:rsidR="002C4F63">
        <w:rPr>
          <w:rFonts w:eastAsia="Times New Roman"/>
        </w:rPr>
        <w:t xml:space="preserve">of </w:t>
      </w:r>
      <w:r w:rsidR="008600BE">
        <w:t xml:space="preserve">PREP </w:t>
      </w:r>
      <w:r w:rsidR="004337A3">
        <w:t xml:space="preserve">and SRAE </w:t>
      </w:r>
      <w:r w:rsidR="008600BE">
        <w:t>participant surveys</w:t>
      </w:r>
      <w:r w:rsidRPr="6453477B">
        <w:rPr>
          <w:rFonts w:eastAsia="Times New Roman"/>
        </w:rPr>
        <w:t>,</w:t>
      </w:r>
      <w:r>
        <w:rPr>
          <w:rFonts w:eastAsia="Times New Roman"/>
        </w:rPr>
        <w:t xml:space="preserve"> which will further ACF’s learning agenda</w:t>
      </w:r>
      <w:r w:rsidRPr="6453477B">
        <w:rPr>
          <w:rFonts w:eastAsia="Times New Roman"/>
        </w:rPr>
        <w:t>.</w:t>
      </w:r>
      <w:r>
        <w:rPr>
          <w:rFonts w:eastAsia="Times New Roman"/>
        </w:rPr>
        <w:t xml:space="preserve"> Cognitive interviews will </w:t>
      </w:r>
      <w:r>
        <w:t xml:space="preserve">explore how youth interpret the </w:t>
      </w:r>
      <w:r w:rsidR="008600BE">
        <w:rPr>
          <w:rFonts w:eastAsia="Times New Roman"/>
        </w:rPr>
        <w:t xml:space="preserve">SOGI </w:t>
      </w:r>
      <w:r>
        <w:t>items, including how they understand and operationalize</w:t>
      </w:r>
      <w:r w:rsidR="003D0C48">
        <w:t xml:space="preserve"> the SOGI measures</w:t>
      </w:r>
      <w:r>
        <w:t>.</w:t>
      </w:r>
      <w:r w:rsidRPr="00AB467B">
        <w:t xml:space="preserve"> </w:t>
      </w:r>
      <w:r w:rsidR="00457F38">
        <w:t>Cognitive interviews with Spanish</w:t>
      </w:r>
      <w:r w:rsidR="00CB4F15">
        <w:rPr>
          <w:rFonts w:ascii="Calibri" w:eastAsia="Times New Roman" w:hAnsi="Calibri" w:cs="Calibri"/>
          <w:color w:val="000000"/>
        </w:rPr>
        <w:t>-</w:t>
      </w:r>
      <w:r w:rsidR="00457F38">
        <w:t xml:space="preserve">speaking youth will also confirm translation of items are interpreted as intended. </w:t>
      </w:r>
      <w:r>
        <w:t>Th</w:t>
      </w:r>
      <w:r w:rsidR="003D0C48">
        <w:t>e cognitive interviews will be conducted with youth ages 1</w:t>
      </w:r>
      <w:r w:rsidR="002C1915">
        <w:t>2</w:t>
      </w:r>
      <w:r w:rsidR="003D0C48">
        <w:t xml:space="preserve">-19 </w:t>
      </w:r>
      <w:r>
        <w:t xml:space="preserve">who test new content and engagement strategies </w:t>
      </w:r>
      <w:r w:rsidR="00E96EBD">
        <w:t xml:space="preserve">for </w:t>
      </w:r>
      <w:r>
        <w:t>a market research vendor</w:t>
      </w:r>
      <w:r w:rsidR="00D327D3">
        <w:t>, Canadian Viewpoint</w:t>
      </w:r>
      <w:r w:rsidR="00AC1576">
        <w:t xml:space="preserve"> (</w:t>
      </w:r>
      <w:r w:rsidR="00AC1576">
        <w:t>CanView</w:t>
      </w:r>
      <w:r w:rsidR="00AC1576">
        <w:t>)</w:t>
      </w:r>
      <w:r>
        <w:t xml:space="preserve">. </w:t>
      </w:r>
      <w:r w:rsidR="002E3912">
        <w:t xml:space="preserve">Working with </w:t>
      </w:r>
      <w:r w:rsidR="00AC1576">
        <w:t>Canview</w:t>
      </w:r>
      <w:r w:rsidR="002E3912">
        <w:t xml:space="preserve">, who has access to a wide range of participants, allows for efficient recruitment of a diverse testing pool. </w:t>
      </w:r>
      <w:r w:rsidR="003D0C48">
        <w:t>The i</w:t>
      </w:r>
      <w:r>
        <w:t xml:space="preserve">n-person focus groups </w:t>
      </w:r>
      <w:r w:rsidR="003D0C48">
        <w:t xml:space="preserve">will help assess </w:t>
      </w:r>
      <w:r w:rsidRPr="00730B58" w:rsidR="003D0C48">
        <w:t xml:space="preserve">the sensitivity of the </w:t>
      </w:r>
      <w:r w:rsidR="003D0C48">
        <w:t xml:space="preserve">revised </w:t>
      </w:r>
      <w:r w:rsidRPr="00730B58" w:rsidR="003D0C48">
        <w:t>items and real</w:t>
      </w:r>
      <w:r w:rsidR="00E96EBD">
        <w:t>-</w:t>
      </w:r>
      <w:r w:rsidRPr="00730B58" w:rsidR="003D0C48">
        <w:t>world application.</w:t>
      </w:r>
      <w:r w:rsidR="003D0C48">
        <w:t xml:space="preserve"> The focus groups will be conducted with youth who are currently receiving ACF programming. </w:t>
      </w:r>
    </w:p>
    <w:p w:rsidR="002E3912" w14:paraId="5F0C717B" w14:textId="2E894D4A">
      <w:pPr>
        <w:suppressAutoHyphens/>
        <w:spacing w:after="0" w:line="240" w:lineRule="auto"/>
      </w:pPr>
      <w:r>
        <w:t>Group cognitive interviews have been recommended over traditional one-on-one cognitive interviews with a teen population (Norris et al 2014)</w:t>
      </w:r>
      <w:r>
        <w:rPr>
          <w:rStyle w:val="FootnoteReference"/>
        </w:rPr>
        <w:footnoteReference w:id="2"/>
      </w:r>
      <w:r w:rsidR="00436FD0">
        <w:t xml:space="preserve">, with the researchers noting that the brainstorming process typical of focus groups allowed them to “find and fine tune alternative wording for items that were unclear or confusing,” and that the measures they revised </w:t>
      </w:r>
      <w:r w:rsidR="00C309D7">
        <w:t xml:space="preserve">through </w:t>
      </w:r>
      <w:r w:rsidR="00436FD0">
        <w:t xml:space="preserve">this process were completed without difficulty in a later study. This research team also employed red and green cards </w:t>
      </w:r>
      <w:r w:rsidR="00C309D7">
        <w:t xml:space="preserve">to signify likes and dislikes in </w:t>
      </w:r>
      <w:r w:rsidR="00436FD0">
        <w:t xml:space="preserve">part of their group interviews and found that their population of teen girls </w:t>
      </w:r>
      <w:r w:rsidR="00C309D7">
        <w:t>was very engaged in making use of the cards; our team plans to employ this same tactic with the in-person focus groups and to mimic this process using “thumbs up” and “thumbs down” reactions in the virtual cognitive interviews.</w:t>
      </w:r>
      <w:r>
        <w:t xml:space="preserve"> </w:t>
      </w:r>
      <w:r>
        <w:t xml:space="preserve">The iterative nature of the data collection effort, beginning with cognitive interviews after which the measures will be revised prior to the focus groups, will enable the research team to test modifications made to the measures based on initial feedback from youth. </w:t>
      </w:r>
    </w:p>
    <w:p w:rsidR="002E3912" w:rsidRPr="00770E40" w:rsidP="009A4F91" w14:paraId="3A099730" w14:textId="77777777">
      <w:pPr>
        <w:suppressAutoHyphens/>
        <w:spacing w:after="0" w:line="240" w:lineRule="auto"/>
      </w:pPr>
    </w:p>
    <w:p w:rsidR="00BB2925" w:rsidRPr="009F63C1" w:rsidP="009A4F91" w14:paraId="6F2D573B" w14:textId="094E95C8">
      <w:pPr>
        <w:spacing w:after="0" w:line="240" w:lineRule="auto"/>
        <w:rPr>
          <w:rFonts w:eastAsia="Times New Roman" w:cstheme="minorHAnsi"/>
        </w:rPr>
      </w:pPr>
      <w:r w:rsidRPr="005C7E12">
        <w:rPr>
          <w:rFonts w:eastAsia="Times New Roman" w:cstheme="minorHAnsi"/>
        </w:rPr>
        <w:t xml:space="preserve">As noted in Supporting Statement A, </w:t>
      </w:r>
      <w:r w:rsidR="00F34774">
        <w:rPr>
          <w:rFonts w:eastAsia="Times New Roman" w:cstheme="minorHAnsi"/>
        </w:rPr>
        <w:t xml:space="preserve">because this is an initial pilot study, </w:t>
      </w:r>
      <w:r w:rsidRPr="005C7E12">
        <w:rPr>
          <w:rFonts w:eastAsia="Times New Roman" w:cstheme="minorHAnsi"/>
        </w:rPr>
        <w:t>this information is not intended to be used as the principal basis for public policy decisions and is not expected to meet the threshold of influential or highly influential scientific information. </w:t>
      </w:r>
      <w:r w:rsidR="00F34774">
        <w:rPr>
          <w:bCs/>
        </w:rPr>
        <w:t>Limitations will be described in any written products associated with this pilot study.</w:t>
      </w:r>
      <w:r w:rsidRPr="005C7E12">
        <w:rPr>
          <w:rFonts w:eastAsia="Times New Roman" w:cstheme="minorHAnsi"/>
        </w:rPr>
        <w:t xml:space="preserve">  </w:t>
      </w:r>
    </w:p>
    <w:p w:rsidR="00BB2925" w:rsidRPr="006C0E56" w:rsidP="008369BA" w14:paraId="0C4F0DEF"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1E32B7" w:rsidP="001E32B7" w14:paraId="542973ED" w14:textId="4BD18752">
      <w:pPr>
        <w:spacing w:after="60"/>
        <w:rPr>
          <w:i/>
          <w:iCs/>
        </w:rPr>
      </w:pPr>
      <w:r>
        <w:rPr>
          <w:rFonts w:eastAsia="Times New Roman" w:cstheme="minorHAnsi"/>
          <w:i/>
          <w:color w:val="000000"/>
        </w:rPr>
        <w:t xml:space="preserve">Target Population </w:t>
      </w:r>
      <w:r w:rsidRPr="00DF1291">
        <w:rPr>
          <w:rFonts w:eastAsia="Times New Roman" w:cstheme="minorHAnsi"/>
          <w:color w:val="000000"/>
        </w:rPr>
        <w:t xml:space="preserve"> </w:t>
      </w:r>
    </w:p>
    <w:p w:rsidR="00BB2925" w:rsidP="0072072F" w14:paraId="102E17B3" w14:textId="0A530842">
      <w:pPr>
        <w:autoSpaceDE w:val="0"/>
        <w:autoSpaceDN w:val="0"/>
        <w:adjustRightInd w:val="0"/>
        <w:spacing w:after="0" w:line="240" w:lineRule="atLeast"/>
        <w:contextualSpacing/>
        <w:rPr>
          <w:rFonts w:eastAsia="Times New Roman" w:cstheme="minorHAnsi"/>
          <w:color w:val="000000"/>
        </w:rPr>
      </w:pPr>
      <w:r>
        <w:rPr>
          <w:rFonts w:eastAsia="Times New Roman" w:cstheme="minorHAnsi"/>
          <w:iCs/>
          <w:color w:val="000000"/>
        </w:rPr>
        <w:t>The target population</w:t>
      </w:r>
      <w:r w:rsidR="00113845">
        <w:rPr>
          <w:rFonts w:eastAsia="Times New Roman" w:cstheme="minorHAnsi"/>
          <w:iCs/>
          <w:color w:val="000000"/>
        </w:rPr>
        <w:t>s</w:t>
      </w:r>
      <w:r>
        <w:rPr>
          <w:rFonts w:eastAsia="Times New Roman" w:cstheme="minorHAnsi"/>
          <w:iCs/>
          <w:color w:val="000000"/>
        </w:rPr>
        <w:t xml:space="preserve"> for this generic information collection request </w:t>
      </w:r>
      <w:r w:rsidR="00113845">
        <w:rPr>
          <w:rFonts w:eastAsia="Times New Roman" w:cstheme="minorHAnsi"/>
          <w:iCs/>
          <w:color w:val="000000"/>
        </w:rPr>
        <w:t>are</w:t>
      </w:r>
      <w:r>
        <w:rPr>
          <w:rFonts w:eastAsia="Times New Roman" w:cstheme="minorHAnsi"/>
          <w:iCs/>
          <w:color w:val="000000"/>
        </w:rPr>
        <w:t xml:space="preserve"> youth ages 1</w:t>
      </w:r>
      <w:r w:rsidR="002C1915">
        <w:rPr>
          <w:rFonts w:eastAsia="Times New Roman" w:cstheme="minorHAnsi"/>
          <w:iCs/>
          <w:color w:val="000000"/>
        </w:rPr>
        <w:t>2</w:t>
      </w:r>
      <w:r>
        <w:rPr>
          <w:rFonts w:eastAsia="Times New Roman" w:cstheme="minorHAnsi"/>
          <w:iCs/>
          <w:color w:val="000000"/>
        </w:rPr>
        <w:t xml:space="preserve"> through 19</w:t>
      </w:r>
      <w:r w:rsidR="00113845">
        <w:rPr>
          <w:rFonts w:eastAsia="Times New Roman" w:cstheme="minorHAnsi"/>
          <w:iCs/>
          <w:color w:val="000000"/>
        </w:rPr>
        <w:t xml:space="preserve"> for the </w:t>
      </w:r>
      <w:r w:rsidR="00C309D7">
        <w:rPr>
          <w:rFonts w:eastAsia="Times New Roman" w:cstheme="minorHAnsi"/>
          <w:iCs/>
          <w:color w:val="000000"/>
        </w:rPr>
        <w:t>cognitive interviews and focus groups</w:t>
      </w:r>
      <w:r>
        <w:rPr>
          <w:rFonts w:eastAsia="Times New Roman" w:cstheme="minorHAnsi"/>
          <w:iCs/>
          <w:color w:val="000000"/>
        </w:rPr>
        <w:t>.</w:t>
      </w:r>
    </w:p>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0D7942" w:rsidRPr="001E32B7" w:rsidP="001E32B7" w14:paraId="43384CE3" w14:textId="40834678">
      <w:pPr>
        <w:spacing w:after="60"/>
      </w:pPr>
      <w:r>
        <w:rPr>
          <w:rFonts w:eastAsia="Times New Roman" w:cstheme="minorHAnsi"/>
          <w:i/>
          <w:color w:val="000000"/>
        </w:rPr>
        <w:t>Sampling and Site Selection</w:t>
      </w:r>
    </w:p>
    <w:p w:rsidR="003241DB" w:rsidP="00570BCB" w14:paraId="3AFD3BAD" w14:textId="1638380A">
      <w:pPr>
        <w:tabs>
          <w:tab w:val="left" w:pos="-720"/>
        </w:tabs>
        <w:suppressAutoHyphens/>
        <w:spacing w:after="0" w:line="240" w:lineRule="auto"/>
      </w:pPr>
      <w:r>
        <w:t>T</w:t>
      </w:r>
      <w:r w:rsidRPr="00850352" w:rsidR="00F74AED">
        <w:t xml:space="preserve">he study team will conduct up </w:t>
      </w:r>
      <w:r w:rsidRPr="000A12BB" w:rsidR="00F74AED">
        <w:t xml:space="preserve">to </w:t>
      </w:r>
      <w:r w:rsidRPr="000A12BB" w:rsidR="000A12BB">
        <w:t xml:space="preserve">30 </w:t>
      </w:r>
      <w:r w:rsidR="00580ECB">
        <w:t xml:space="preserve">virtual </w:t>
      </w:r>
      <w:r w:rsidRPr="000A12BB" w:rsidR="00F74AED">
        <w:t xml:space="preserve">small-group cognitive interviews, with each group comprised of </w:t>
      </w:r>
      <w:r w:rsidRPr="00804E85">
        <w:t xml:space="preserve">up to </w:t>
      </w:r>
      <w:r w:rsidR="00F312FD">
        <w:t>5</w:t>
      </w:r>
      <w:r w:rsidRPr="000A12BB" w:rsidR="00C633A9">
        <w:t xml:space="preserve"> </w:t>
      </w:r>
      <w:r w:rsidRPr="000A12BB" w:rsidR="00F74AED">
        <w:t>youth</w:t>
      </w:r>
      <w:r w:rsidR="007D4010">
        <w:t>, for a total of up to 150 youth</w:t>
      </w:r>
      <w:r w:rsidRPr="000A12BB" w:rsidR="00F74AED">
        <w:t xml:space="preserve">. </w:t>
      </w:r>
      <w:bookmarkStart w:id="0" w:name="_Hlk176863532"/>
      <w:r w:rsidR="00912A37">
        <w:t xml:space="preserve">We plan to conduct </w:t>
      </w:r>
      <w:r w:rsidR="007A3A7C">
        <w:t xml:space="preserve">cognitive </w:t>
      </w:r>
      <w:r w:rsidR="00912A37">
        <w:t>interviews</w:t>
      </w:r>
      <w:r w:rsidR="007A3A7C">
        <w:t xml:space="preserve"> with youth</w:t>
      </w:r>
      <w:r w:rsidR="00C633A9">
        <w:t xml:space="preserve"> across three rounds of data collection</w:t>
      </w:r>
      <w:r w:rsidR="00912A37">
        <w:t>; the first two rounds will be conducted with English speaking participants, and the third round will be conducted with Spanish</w:t>
      </w:r>
      <w:r w:rsidR="00CB4F15">
        <w:rPr>
          <w:rFonts w:ascii="Calibri" w:eastAsia="Times New Roman" w:hAnsi="Calibri" w:cs="Calibri"/>
          <w:color w:val="000000"/>
        </w:rPr>
        <w:t>-</w:t>
      </w:r>
      <w:r w:rsidR="00912A37">
        <w:t xml:space="preserve">speaking participants to assess translation </w:t>
      </w:r>
      <w:r w:rsidR="00871F04">
        <w:t xml:space="preserve">and cultural appropriateness </w:t>
      </w:r>
      <w:r w:rsidR="00912A37">
        <w:t xml:space="preserve">of the SOGI items. </w:t>
      </w:r>
      <w:bookmarkEnd w:id="0"/>
      <w:r w:rsidR="008E363F">
        <w:t xml:space="preserve">Each youth participant will be asked to participate in one 60-minute cognitive interview. </w:t>
      </w:r>
      <w:r w:rsidRPr="000A12BB" w:rsidR="00F74AED">
        <w:t>To maximize participa</w:t>
      </w:r>
      <w:r w:rsidRPr="00762699" w:rsidR="00F74AED">
        <w:t>tion and the ability to engage a diverse sample, cognitive interview</w:t>
      </w:r>
      <w:r w:rsidR="00F74AED">
        <w:t>ees</w:t>
      </w:r>
      <w:r w:rsidRPr="00762699" w:rsidR="00F74AED">
        <w:t xml:space="preserve"> will be recruited by </w:t>
      </w:r>
      <w:r w:rsidR="00F74AED">
        <w:t xml:space="preserve">a </w:t>
      </w:r>
      <w:r w:rsidRPr="00762699" w:rsidR="00F74AED">
        <w:t>market research vendor</w:t>
      </w:r>
      <w:r w:rsidR="004D7575">
        <w:t xml:space="preserve">, </w:t>
      </w:r>
      <w:r w:rsidR="00AC1576">
        <w:t>Canview</w:t>
      </w:r>
      <w:r w:rsidRPr="00762699" w:rsidR="00F74AED">
        <w:t xml:space="preserve">. </w:t>
      </w:r>
      <w:r w:rsidR="004D7575">
        <w:t xml:space="preserve"> </w:t>
      </w:r>
      <w:r w:rsidR="00AC1576">
        <w:t>Canview</w:t>
      </w:r>
      <w:r w:rsidR="00AC1576">
        <w:t xml:space="preserve"> </w:t>
      </w:r>
      <w:r w:rsidRPr="00244892" w:rsidR="00F74AED">
        <w:t>manage</w:t>
      </w:r>
      <w:r w:rsidR="00F74AED">
        <w:t>s</w:t>
      </w:r>
      <w:r w:rsidRPr="00244892" w:rsidR="00F74AED">
        <w:t xml:space="preserve"> </w:t>
      </w:r>
      <w:r w:rsidR="00F74AED">
        <w:t xml:space="preserve">a </w:t>
      </w:r>
      <w:r w:rsidRPr="00244892" w:rsidR="00F74AED">
        <w:t xml:space="preserve">non-probability-based panel </w:t>
      </w:r>
      <w:r w:rsidR="00F74AED">
        <w:t xml:space="preserve">of </w:t>
      </w:r>
      <w:r w:rsidRPr="00762699" w:rsidR="00F74AED">
        <w:t>members across the U.S. from various geographical areas and with a wide range of demographic characteristics</w:t>
      </w:r>
      <w:r w:rsidR="00F74AED">
        <w:t xml:space="preserve">. Selecting study participants through </w:t>
      </w:r>
      <w:r w:rsidR="00AC1576">
        <w:t>Canview</w:t>
      </w:r>
      <w:r w:rsidR="00AC1576">
        <w:t xml:space="preserve"> </w:t>
      </w:r>
      <w:r w:rsidR="00F74AED">
        <w:t>allows for</w:t>
      </w:r>
      <w:r w:rsidRPr="00244892" w:rsidR="00F74AED">
        <w:t xml:space="preserve"> highly targeted </w:t>
      </w:r>
      <w:r w:rsidR="00465741">
        <w:t>recruitment</w:t>
      </w:r>
      <w:r w:rsidR="00F74AED">
        <w:t xml:space="preserve"> that </w:t>
      </w:r>
      <w:r w:rsidRPr="003241DB" w:rsidR="00F74AED">
        <w:t xml:space="preserve">is efficient and cost-effective. </w:t>
      </w:r>
    </w:p>
    <w:p w:rsidR="00570BCB" w:rsidRPr="003241DB" w:rsidP="009A4F91" w14:paraId="1EE2A1D9" w14:textId="77777777">
      <w:pPr>
        <w:tabs>
          <w:tab w:val="left" w:pos="-720"/>
        </w:tabs>
        <w:suppressAutoHyphens/>
        <w:spacing w:after="0" w:line="240" w:lineRule="auto"/>
      </w:pPr>
    </w:p>
    <w:p w:rsidR="00932F75" w:rsidP="009A4F91" w14:paraId="189AF04E" w14:textId="26782AAB">
      <w:pPr>
        <w:tabs>
          <w:tab w:val="left" w:pos="-720"/>
        </w:tabs>
        <w:suppressAutoHyphens/>
        <w:spacing w:after="0" w:line="240" w:lineRule="auto"/>
      </w:pPr>
      <w:r w:rsidRPr="003241DB">
        <w:t xml:space="preserve">To recruit </w:t>
      </w:r>
      <w:r w:rsidR="00C633A9">
        <w:t xml:space="preserve">minor </w:t>
      </w:r>
      <w:r w:rsidRPr="003241DB" w:rsidR="00F74AED">
        <w:t>youth</w:t>
      </w:r>
      <w:r w:rsidRPr="003241DB">
        <w:t xml:space="preserve">, </w:t>
      </w:r>
      <w:r w:rsidR="00AC1576">
        <w:t>Canview</w:t>
      </w:r>
      <w:r w:rsidR="00AC1576">
        <w:t xml:space="preserve"> </w:t>
      </w:r>
      <w:r w:rsidR="000413E3">
        <w:t xml:space="preserve">will contact parents/guardians of </w:t>
      </w:r>
      <w:r w:rsidRPr="00E9556B" w:rsidR="000413E3">
        <w:t xml:space="preserve">eligible youth </w:t>
      </w:r>
      <w:r w:rsidR="000413E3">
        <w:t xml:space="preserve">with </w:t>
      </w:r>
      <w:r w:rsidRPr="00E9556B" w:rsidR="000413E3">
        <w:t>a description of the study, planned use of data, and confirm their consent</w:t>
      </w:r>
      <w:r w:rsidR="00042352">
        <w:t>.</w:t>
      </w:r>
      <w:r w:rsidRPr="00E9556B" w:rsidR="000413E3">
        <w:t xml:space="preserve"> (Appendix </w:t>
      </w:r>
      <w:r w:rsidR="000413E3">
        <w:t>B</w:t>
      </w:r>
      <w:r w:rsidRPr="00E9556B" w:rsidR="000413E3">
        <w:t>).</w:t>
      </w:r>
      <w:r w:rsidR="000413E3">
        <w:t xml:space="preserve"> </w:t>
      </w:r>
      <w:r w:rsidR="00C633A9">
        <w:t xml:space="preserve">To recruit youth aged 18 or older, </w:t>
      </w:r>
      <w:r w:rsidR="00AC1576">
        <w:t>Canview</w:t>
      </w:r>
      <w:r w:rsidR="00AC1576">
        <w:t xml:space="preserve"> </w:t>
      </w:r>
      <w:r w:rsidR="00C633A9">
        <w:t xml:space="preserve">will contact participants directly with a description of the study, planned use of data, and study consent form. </w:t>
      </w:r>
      <w:r w:rsidR="00AC1576">
        <w:t>Canview</w:t>
      </w:r>
      <w:r w:rsidR="00AC1576">
        <w:t xml:space="preserve"> </w:t>
      </w:r>
      <w:r w:rsidR="00E9556B">
        <w:t xml:space="preserve">will </w:t>
      </w:r>
      <w:r w:rsidRPr="003241DB" w:rsidR="00F74AED">
        <w:t>send an email to potential groups of participants (</w:t>
      </w:r>
      <w:r w:rsidRPr="003241DB" w:rsidR="00F74AED">
        <w:rPr>
          <w:rFonts w:cstheme="minorHAnsi"/>
        </w:rPr>
        <w:t xml:space="preserve">Appendix </w:t>
      </w:r>
      <w:r w:rsidR="004C02B6">
        <w:rPr>
          <w:rFonts w:cstheme="minorHAnsi"/>
        </w:rPr>
        <w:t>A</w:t>
      </w:r>
      <w:r w:rsidRPr="003241DB" w:rsidR="00F74AED">
        <w:rPr>
          <w:rFonts w:cstheme="minorHAnsi"/>
        </w:rPr>
        <w:t xml:space="preserve">) </w:t>
      </w:r>
      <w:r w:rsidRPr="003241DB" w:rsidR="00F74AED">
        <w:t xml:space="preserve">to inform them of </w:t>
      </w:r>
      <w:r w:rsidRPr="003241DB">
        <w:t xml:space="preserve">the </w:t>
      </w:r>
      <w:r w:rsidRPr="003241DB" w:rsidR="008E2185">
        <w:t xml:space="preserve">pretest </w:t>
      </w:r>
      <w:r w:rsidRPr="003241DB" w:rsidR="00F74AED">
        <w:t xml:space="preserve">and link them to the eligibility screener (Instrument 1). </w:t>
      </w:r>
      <w:r w:rsidR="00912A37">
        <w:t>The screener will collect information on key selection criteria, including age</w:t>
      </w:r>
      <w:r w:rsidR="003E6F21">
        <w:t xml:space="preserve">, </w:t>
      </w:r>
      <w:r w:rsidR="00912A37">
        <w:t>grade, gender identity, sexual orientation, and primary language. The screener will also collect information on other demographics</w:t>
      </w:r>
      <w:r w:rsidR="00396DFE">
        <w:t>,</w:t>
      </w:r>
      <w:r w:rsidR="00912A37">
        <w:t xml:space="preserve"> including race </w:t>
      </w:r>
      <w:r w:rsidR="00912A37">
        <w:t>and ethnicity</w:t>
      </w:r>
      <w:r w:rsidR="00094CF0">
        <w:t>.</w:t>
      </w:r>
      <w:r w:rsidRPr="00E9556B" w:rsidR="00E9556B">
        <w:t xml:space="preserve"> </w:t>
      </w:r>
      <w:r w:rsidR="00AC1576">
        <w:t>Canview</w:t>
      </w:r>
      <w:r w:rsidR="00AC1576">
        <w:t xml:space="preserve"> </w:t>
      </w:r>
      <w:r w:rsidRPr="003241DB" w:rsidR="00F74AED">
        <w:t>will share the de-identified screener responses with the study team, who</w:t>
      </w:r>
      <w:r w:rsidRPr="003241DB" w:rsidR="00F74AED">
        <w:t xml:space="preserve"> </w:t>
      </w:r>
      <w:r w:rsidRPr="003241DB" w:rsidR="00F74AED">
        <w:t xml:space="preserve">will carefully review the screener data and conduct purposive, non-probability-based </w:t>
      </w:r>
      <w:r w:rsidR="00465741">
        <w:t xml:space="preserve">recruitment </w:t>
      </w:r>
      <w:r w:rsidRPr="003241DB" w:rsidR="00F74AED">
        <w:t>to ensure that participants are selected based on key criteria</w:t>
      </w:r>
      <w:r w:rsidR="00396DFE">
        <w:t>.</w:t>
      </w:r>
      <w:r w:rsidRPr="003241DB" w:rsidR="00F74AED">
        <w:t xml:space="preserve"> We will also use the screener </w:t>
      </w:r>
      <w:r w:rsidR="00396DFE">
        <w:t xml:space="preserve">data </w:t>
      </w:r>
      <w:r w:rsidRPr="003241DB" w:rsidR="00F74AED">
        <w:t xml:space="preserve">to ensure that a diverse range of </w:t>
      </w:r>
      <w:r w:rsidR="00396DFE">
        <w:t xml:space="preserve">other </w:t>
      </w:r>
      <w:r w:rsidRPr="003241DB" w:rsidR="00F74AED">
        <w:t xml:space="preserve">demographics are represented </w:t>
      </w:r>
      <w:r w:rsidR="003E6F21">
        <w:t xml:space="preserve">across </w:t>
      </w:r>
      <w:r w:rsidRPr="003241DB" w:rsidR="00F74AED">
        <w:t>the discussion groups</w:t>
      </w:r>
      <w:r w:rsidR="0028792F">
        <w:t>, though we cannot guarantee that cognitive interview participants will exactly reflect the demographics of youth served by ACF programming.</w:t>
      </w:r>
      <w:r w:rsidR="00677D3B">
        <w:t xml:space="preserve"> Table B.1</w:t>
      </w:r>
      <w:r>
        <w:t xml:space="preserve"> provides a breakdown of the targeted number of youth per group for the virtual cognitive interviews, along with the key </w:t>
      </w:r>
      <w:r w:rsidR="00396DFE">
        <w:t xml:space="preserve">selection </w:t>
      </w:r>
      <w:r>
        <w:t>criteria.</w:t>
      </w:r>
    </w:p>
    <w:p w:rsidR="00932F75" w:rsidP="009A4F91" w14:paraId="01489202" w14:textId="77777777">
      <w:pPr>
        <w:tabs>
          <w:tab w:val="left" w:pos="-720"/>
        </w:tabs>
        <w:suppressAutoHyphens/>
        <w:spacing w:after="0" w:line="240" w:lineRule="auto"/>
      </w:pPr>
    </w:p>
    <w:p w:rsidR="004A7D98" w:rsidRPr="009A4F91" w:rsidP="009F63C1" w14:paraId="3B8D66D4" w14:textId="1B54570E">
      <w:pPr>
        <w:tabs>
          <w:tab w:val="left" w:pos="-720"/>
        </w:tabs>
        <w:suppressAutoHyphens/>
        <w:spacing w:after="120" w:line="240" w:lineRule="auto"/>
        <w:rPr>
          <w:b/>
          <w:bCs/>
        </w:rPr>
      </w:pPr>
      <w:r w:rsidRPr="009A4F91">
        <w:rPr>
          <w:b/>
          <w:bCs/>
        </w:rPr>
        <w:t>Table B.1. Target recruitment numbers and criteria</w:t>
      </w:r>
      <w:r w:rsidRPr="009A4F91" w:rsidR="00A37783">
        <w:rPr>
          <w:b/>
          <w:bCs/>
        </w:rPr>
        <w:t xml:space="preserve"> for</w:t>
      </w:r>
      <w:r w:rsidRPr="009A4F91">
        <w:rPr>
          <w:b/>
          <w:bCs/>
        </w:rPr>
        <w:t xml:space="preserve"> </w:t>
      </w:r>
      <w:r w:rsidRPr="009A4F91" w:rsidR="00A37783">
        <w:rPr>
          <w:b/>
          <w:bCs/>
        </w:rPr>
        <w:t>virtual interview participants</w:t>
      </w:r>
      <w:r w:rsidRPr="009A4F91">
        <w:rPr>
          <w:b/>
          <w:bCs/>
        </w:rPr>
        <w:t xml:space="preserve"> </w:t>
      </w:r>
    </w:p>
    <w:tbl>
      <w:tblPr>
        <w:tblW w:w="10620" w:type="dxa"/>
        <w:tblLayout w:type="fixed"/>
        <w:tblLook w:val="0400"/>
      </w:tblPr>
      <w:tblGrid>
        <w:gridCol w:w="1350"/>
        <w:gridCol w:w="1530"/>
        <w:gridCol w:w="270"/>
        <w:gridCol w:w="1080"/>
        <w:gridCol w:w="1080"/>
        <w:gridCol w:w="1170"/>
        <w:gridCol w:w="1440"/>
        <w:gridCol w:w="1350"/>
        <w:gridCol w:w="1350"/>
      </w:tblGrid>
      <w:tr w14:paraId="54403F45" w14:textId="77777777" w:rsidTr="00E0449C">
        <w:tblPrEx>
          <w:tblW w:w="10620" w:type="dxa"/>
          <w:tblLayout w:type="fixed"/>
          <w:tblLook w:val="0400"/>
        </w:tblPrEx>
        <w:tc>
          <w:tcPr>
            <w:tcW w:w="1350" w:type="dxa"/>
            <w:shd w:val="clear" w:color="auto" w:fill="046B5C"/>
            <w:vAlign w:val="bottom"/>
          </w:tcPr>
          <w:p w:rsidR="00972EF6" w:rsidRPr="00932F75" w:rsidP="00932F75" w14:paraId="4E6F23FF" w14:textId="77777777">
            <w:pPr>
              <w:keepNext/>
              <w:spacing w:before="40" w:after="20" w:line="264" w:lineRule="auto"/>
              <w:rPr>
                <w:rFonts w:ascii="Arial" w:eastAsia="Times New Roman" w:hAnsi="Arial" w:cs="Times New Roman"/>
                <w:b/>
                <w:bCs/>
                <w:color w:val="FFFFFF"/>
                <w:sz w:val="20"/>
              </w:rPr>
            </w:pPr>
          </w:p>
        </w:tc>
        <w:tc>
          <w:tcPr>
            <w:tcW w:w="1530" w:type="dxa"/>
            <w:shd w:val="clear" w:color="auto" w:fill="046B5C"/>
            <w:vAlign w:val="bottom"/>
          </w:tcPr>
          <w:p w:rsidR="00972EF6" w:rsidRPr="00932F75" w:rsidP="00932F75" w14:paraId="18C4D51E" w14:textId="77777777">
            <w:pPr>
              <w:keepNext/>
              <w:spacing w:before="40" w:after="20" w:line="264" w:lineRule="auto"/>
              <w:jc w:val="center"/>
              <w:rPr>
                <w:rFonts w:ascii="Arial" w:eastAsia="Times New Roman" w:hAnsi="Arial" w:cs="Arial"/>
                <w:b/>
                <w:bCs/>
                <w:color w:val="FFFFFF"/>
                <w:sz w:val="20"/>
                <w:szCs w:val="20"/>
              </w:rPr>
            </w:pPr>
          </w:p>
        </w:tc>
        <w:tc>
          <w:tcPr>
            <w:tcW w:w="1350" w:type="dxa"/>
            <w:gridSpan w:val="2"/>
            <w:shd w:val="clear" w:color="auto" w:fill="046B5C"/>
          </w:tcPr>
          <w:p w:rsidR="00972EF6" w:rsidP="00396DFE" w14:paraId="1895F270" w14:textId="77777777">
            <w:pPr>
              <w:keepNext/>
              <w:spacing w:before="40" w:after="20" w:line="264" w:lineRule="auto"/>
              <w:jc w:val="center"/>
              <w:rPr>
                <w:rFonts w:ascii="Arial" w:eastAsia="Times New Roman" w:hAnsi="Arial" w:cs="Times New Roman"/>
                <w:b/>
                <w:bCs/>
                <w:color w:val="FFFFFF"/>
                <w:sz w:val="20"/>
              </w:rPr>
            </w:pPr>
          </w:p>
        </w:tc>
        <w:tc>
          <w:tcPr>
            <w:tcW w:w="5040" w:type="dxa"/>
            <w:gridSpan w:val="4"/>
            <w:shd w:val="clear" w:color="auto" w:fill="046B5C"/>
            <w:vAlign w:val="bottom"/>
          </w:tcPr>
          <w:p w:rsidR="00972EF6" w:rsidRPr="00932F75" w:rsidP="00396DFE" w14:paraId="57D65C75" w14:textId="327DA0FE">
            <w:pPr>
              <w:keepNext/>
              <w:spacing w:before="40" w:after="20" w:line="264" w:lineRule="auto"/>
              <w:jc w:val="center"/>
              <w:rPr>
                <w:rFonts w:ascii="Arial" w:eastAsia="Times New Roman" w:hAnsi="Arial" w:cs="Times New Roman"/>
                <w:b/>
                <w:bCs/>
                <w:color w:val="FFFFFF"/>
                <w:sz w:val="20"/>
              </w:rPr>
            </w:pPr>
            <w:r>
              <w:rPr>
                <w:rFonts w:ascii="Arial" w:eastAsia="Times New Roman" w:hAnsi="Arial" w:cs="Times New Roman"/>
                <w:b/>
                <w:bCs/>
                <w:color w:val="FFFFFF"/>
                <w:sz w:val="20"/>
              </w:rPr>
              <w:t xml:space="preserve">Number of </w:t>
            </w:r>
            <w:r w:rsidRPr="00932F75">
              <w:rPr>
                <w:rFonts w:ascii="Arial" w:eastAsia="Times New Roman" w:hAnsi="Arial" w:cs="Times New Roman"/>
                <w:b/>
                <w:bCs/>
                <w:color w:val="FFFFFF"/>
                <w:sz w:val="20"/>
              </w:rPr>
              <w:t>youth</w:t>
            </w:r>
          </w:p>
        </w:tc>
        <w:tc>
          <w:tcPr>
            <w:tcW w:w="1350" w:type="dxa"/>
            <w:vMerge w:val="restart"/>
            <w:shd w:val="clear" w:color="auto" w:fill="046B5C"/>
          </w:tcPr>
          <w:p w:rsidR="00972EF6" w:rsidRPr="00932F75" w:rsidP="00932F75" w14:paraId="55A5C9EC" w14:textId="122508BC">
            <w:pPr>
              <w:keepNext/>
              <w:spacing w:before="40" w:after="20" w:line="264" w:lineRule="auto"/>
              <w:jc w:val="center"/>
              <w:rPr>
                <w:rFonts w:ascii="Arial" w:eastAsia="Times New Roman" w:hAnsi="Arial" w:cs="Times New Roman"/>
                <w:b/>
                <w:bCs/>
                <w:color w:val="FFFFFF"/>
                <w:sz w:val="20"/>
              </w:rPr>
            </w:pPr>
            <w:r w:rsidRPr="00932F75">
              <w:rPr>
                <w:rFonts w:ascii="Arial" w:eastAsia="Times New Roman" w:hAnsi="Arial" w:cs="Times New Roman"/>
                <w:b/>
                <w:bCs/>
                <w:color w:val="FFFFFF"/>
                <w:sz w:val="20"/>
              </w:rPr>
              <w:t xml:space="preserve">Total number of groups </w:t>
            </w:r>
          </w:p>
        </w:tc>
      </w:tr>
      <w:tr w14:paraId="4D1B9ECA" w14:textId="77777777" w:rsidTr="00E0449C">
        <w:tblPrEx>
          <w:tblW w:w="10620" w:type="dxa"/>
          <w:tblLayout w:type="fixed"/>
          <w:tblLook w:val="0400"/>
        </w:tblPrEx>
        <w:tc>
          <w:tcPr>
            <w:tcW w:w="1350" w:type="dxa"/>
            <w:shd w:val="clear" w:color="auto" w:fill="046B5C"/>
            <w:vAlign w:val="bottom"/>
          </w:tcPr>
          <w:p w:rsidR="00972EF6" w:rsidRPr="00932F75" w:rsidP="00932F75" w14:paraId="32D52EF7" w14:textId="77777777">
            <w:pPr>
              <w:keepNext/>
              <w:spacing w:before="40" w:after="20" w:line="264" w:lineRule="auto"/>
              <w:rPr>
                <w:rFonts w:ascii="Arial" w:eastAsia="Times New Roman" w:hAnsi="Arial" w:cs="Times New Roman"/>
                <w:b/>
                <w:bCs/>
                <w:color w:val="FFFFFF"/>
                <w:sz w:val="20"/>
              </w:rPr>
            </w:pPr>
            <w:r w:rsidRPr="00932F75">
              <w:rPr>
                <w:rFonts w:ascii="Arial" w:eastAsia="Times New Roman" w:hAnsi="Arial" w:cs="Times New Roman"/>
                <w:b/>
                <w:bCs/>
                <w:color w:val="FFFFFF"/>
                <w:sz w:val="20"/>
              </w:rPr>
              <w:t xml:space="preserve">Grade </w:t>
            </w:r>
          </w:p>
        </w:tc>
        <w:tc>
          <w:tcPr>
            <w:tcW w:w="1530" w:type="dxa"/>
            <w:shd w:val="clear" w:color="auto" w:fill="046B5C"/>
            <w:vAlign w:val="bottom"/>
          </w:tcPr>
          <w:p w:rsidR="00972EF6" w:rsidRPr="00932F75" w:rsidP="00932F75" w14:paraId="377775F9" w14:textId="6604E772">
            <w:pPr>
              <w:keepNext/>
              <w:spacing w:before="40" w:after="20" w:line="264" w:lineRule="auto"/>
              <w:jc w:val="center"/>
              <w:rPr>
                <w:rFonts w:ascii="Arial" w:eastAsia="Times New Roman" w:hAnsi="Arial" w:cs="Arial"/>
                <w:b/>
                <w:bCs/>
                <w:color w:val="FFFFFF"/>
                <w:sz w:val="20"/>
                <w:szCs w:val="20"/>
              </w:rPr>
            </w:pPr>
            <w:r w:rsidRPr="00932F75">
              <w:rPr>
                <w:rFonts w:ascii="Arial" w:eastAsia="Times New Roman" w:hAnsi="Arial" w:cs="Arial"/>
                <w:b/>
                <w:bCs/>
                <w:color w:val="FFFFFF"/>
                <w:sz w:val="20"/>
                <w:szCs w:val="20"/>
              </w:rPr>
              <w:t xml:space="preserve">Gender </w:t>
            </w:r>
            <w:r w:rsidR="00835A8B">
              <w:rPr>
                <w:rFonts w:ascii="Arial" w:eastAsia="Times New Roman" w:hAnsi="Arial" w:cs="Arial"/>
                <w:b/>
                <w:bCs/>
                <w:color w:val="FFFFFF"/>
                <w:sz w:val="20"/>
                <w:szCs w:val="20"/>
              </w:rPr>
              <w:t xml:space="preserve">identity </w:t>
            </w:r>
          </w:p>
        </w:tc>
        <w:tc>
          <w:tcPr>
            <w:tcW w:w="1350" w:type="dxa"/>
            <w:gridSpan w:val="2"/>
            <w:shd w:val="clear" w:color="auto" w:fill="046B5C"/>
          </w:tcPr>
          <w:p w:rsidR="00256CC8" w:rsidP="00932F75" w14:paraId="7B323F60" w14:textId="77777777">
            <w:pPr>
              <w:keepNext/>
              <w:spacing w:before="40" w:after="20" w:line="264" w:lineRule="auto"/>
              <w:jc w:val="center"/>
              <w:rPr>
                <w:rFonts w:ascii="Arial" w:eastAsia="Times New Roman" w:hAnsi="Arial" w:cs="Arial"/>
                <w:b/>
                <w:bCs/>
                <w:color w:val="FFFFFF"/>
                <w:sz w:val="20"/>
                <w:szCs w:val="20"/>
              </w:rPr>
            </w:pPr>
          </w:p>
          <w:p w:rsidR="00256CC8" w:rsidP="00932F75" w14:paraId="25DAF318" w14:textId="77777777">
            <w:pPr>
              <w:keepNext/>
              <w:spacing w:before="40" w:after="20" w:line="264" w:lineRule="auto"/>
              <w:jc w:val="center"/>
              <w:rPr>
                <w:rFonts w:ascii="Arial" w:eastAsia="Times New Roman" w:hAnsi="Arial" w:cs="Arial"/>
                <w:b/>
                <w:bCs/>
                <w:color w:val="FFFFFF"/>
                <w:sz w:val="20"/>
                <w:szCs w:val="20"/>
              </w:rPr>
            </w:pPr>
          </w:p>
          <w:p w:rsidR="00972EF6" w:rsidRPr="00932F75" w:rsidP="00932F75" w14:paraId="66D23131" w14:textId="4FDB29AF">
            <w:pPr>
              <w:keepNext/>
              <w:spacing w:before="40" w:after="20" w:line="264" w:lineRule="auto"/>
              <w:jc w:val="center"/>
              <w:rPr>
                <w:rFonts w:ascii="Arial" w:eastAsia="Times New Roman" w:hAnsi="Arial" w:cs="Times New Roman"/>
                <w:b/>
                <w:bCs/>
                <w:color w:val="FFFFFF"/>
                <w:sz w:val="20"/>
              </w:rPr>
            </w:pPr>
            <w:r w:rsidRPr="00932F75">
              <w:rPr>
                <w:rFonts w:ascii="Arial" w:eastAsia="Times New Roman" w:hAnsi="Arial" w:cs="Arial"/>
                <w:b/>
                <w:bCs/>
                <w:color w:val="FFFFFF"/>
                <w:sz w:val="20"/>
                <w:szCs w:val="20"/>
              </w:rPr>
              <w:t>Sexual Orientation</w:t>
            </w:r>
          </w:p>
        </w:tc>
        <w:tc>
          <w:tcPr>
            <w:tcW w:w="1080" w:type="dxa"/>
            <w:shd w:val="clear" w:color="auto" w:fill="046B5C"/>
            <w:vAlign w:val="bottom"/>
          </w:tcPr>
          <w:p w:rsidR="00972EF6" w:rsidRPr="00932F75" w:rsidP="00932F75" w14:paraId="7CF5ACCB" w14:textId="4B827513">
            <w:pPr>
              <w:keepNext/>
              <w:spacing w:before="40" w:after="20" w:line="264" w:lineRule="auto"/>
              <w:jc w:val="center"/>
              <w:rPr>
                <w:rFonts w:ascii="Arial" w:eastAsia="Times New Roman" w:hAnsi="Arial" w:cs="Times New Roman"/>
                <w:b/>
                <w:bCs/>
                <w:color w:val="FFFFFF"/>
                <w:sz w:val="20"/>
              </w:rPr>
            </w:pPr>
            <w:r w:rsidRPr="00932F75">
              <w:rPr>
                <w:rFonts w:ascii="Arial" w:eastAsia="Times New Roman" w:hAnsi="Arial" w:cs="Times New Roman"/>
                <w:b/>
                <w:bCs/>
                <w:color w:val="FFFFFF"/>
                <w:sz w:val="20"/>
              </w:rPr>
              <w:t>Round 1 target</w:t>
            </w:r>
            <w:r>
              <w:rPr>
                <w:rFonts w:ascii="Arial" w:eastAsia="Times New Roman" w:hAnsi="Arial" w:cs="Times New Roman"/>
                <w:b/>
                <w:bCs/>
                <w:color w:val="FFFFFF"/>
                <w:sz w:val="20"/>
              </w:rPr>
              <w:t xml:space="preserve"> (English) </w:t>
            </w:r>
            <w:r w:rsidRPr="00932F75">
              <w:rPr>
                <w:rFonts w:ascii="Arial" w:eastAsia="Times New Roman" w:hAnsi="Arial" w:cs="Times New Roman"/>
                <w:b/>
                <w:bCs/>
                <w:color w:val="FFFFFF"/>
                <w:sz w:val="20"/>
              </w:rPr>
              <w:br/>
            </w:r>
          </w:p>
        </w:tc>
        <w:tc>
          <w:tcPr>
            <w:tcW w:w="1170" w:type="dxa"/>
            <w:shd w:val="clear" w:color="auto" w:fill="046B5C"/>
          </w:tcPr>
          <w:p w:rsidR="00972EF6" w:rsidRPr="00932F75" w:rsidP="00932F75" w14:paraId="77F2D1B1" w14:textId="79F06F3F">
            <w:pPr>
              <w:keepNext/>
              <w:spacing w:before="40" w:after="20" w:line="264" w:lineRule="auto"/>
              <w:jc w:val="center"/>
              <w:rPr>
                <w:rFonts w:ascii="Arial" w:eastAsia="Times New Roman" w:hAnsi="Arial" w:cs="Times New Roman"/>
                <w:b/>
                <w:bCs/>
                <w:color w:val="FFFFFF"/>
                <w:sz w:val="20"/>
              </w:rPr>
            </w:pPr>
            <w:r w:rsidRPr="00932F75">
              <w:rPr>
                <w:rFonts w:ascii="Arial" w:eastAsia="Times New Roman" w:hAnsi="Arial" w:cs="Times New Roman"/>
                <w:b/>
                <w:bCs/>
                <w:color w:val="FFFFFF"/>
                <w:sz w:val="20"/>
              </w:rPr>
              <w:t>Round 2 target</w:t>
            </w:r>
            <w:r>
              <w:rPr>
                <w:rFonts w:ascii="Arial" w:eastAsia="Times New Roman" w:hAnsi="Arial" w:cs="Times New Roman"/>
                <w:b/>
                <w:bCs/>
                <w:color w:val="FFFFFF"/>
                <w:sz w:val="20"/>
              </w:rPr>
              <w:t xml:space="preserve"> (English)</w:t>
            </w:r>
          </w:p>
        </w:tc>
        <w:tc>
          <w:tcPr>
            <w:tcW w:w="1440" w:type="dxa"/>
            <w:shd w:val="clear" w:color="auto" w:fill="046B5C"/>
          </w:tcPr>
          <w:p w:rsidR="00972EF6" w:rsidRPr="00932F75" w:rsidP="00932F75" w14:paraId="39636D82" w14:textId="11DCB342">
            <w:pPr>
              <w:keepNext/>
              <w:spacing w:before="40" w:after="20" w:line="264" w:lineRule="auto"/>
              <w:jc w:val="center"/>
              <w:rPr>
                <w:rFonts w:ascii="Arial" w:eastAsia="Times New Roman" w:hAnsi="Arial" w:cs="Times New Roman"/>
                <w:b/>
                <w:bCs/>
                <w:color w:val="FFFFFF"/>
                <w:sz w:val="20"/>
              </w:rPr>
            </w:pPr>
            <w:r w:rsidRPr="00932F75">
              <w:rPr>
                <w:rFonts w:ascii="Arial" w:eastAsia="Times New Roman" w:hAnsi="Arial" w:cs="Times New Roman"/>
                <w:b/>
                <w:bCs/>
                <w:color w:val="FFFFFF"/>
                <w:sz w:val="20"/>
              </w:rPr>
              <w:t>Round 3 target</w:t>
            </w:r>
            <w:r>
              <w:rPr>
                <w:rFonts w:ascii="Arial" w:eastAsia="Times New Roman" w:hAnsi="Arial" w:cs="Times New Roman"/>
                <w:b/>
                <w:bCs/>
                <w:color w:val="FFFFFF"/>
                <w:sz w:val="20"/>
              </w:rPr>
              <w:t xml:space="preserve"> (Spanish)</w:t>
            </w:r>
          </w:p>
        </w:tc>
        <w:tc>
          <w:tcPr>
            <w:tcW w:w="1350" w:type="dxa"/>
            <w:shd w:val="clear" w:color="auto" w:fill="046B5C"/>
          </w:tcPr>
          <w:p w:rsidR="00972EF6" w:rsidRPr="00932F75" w:rsidP="00932F75" w14:paraId="366CF7F5" w14:textId="1EC72BD9">
            <w:pPr>
              <w:keepNext/>
              <w:spacing w:before="40" w:after="20" w:line="264" w:lineRule="auto"/>
              <w:rPr>
                <w:rFonts w:ascii="Arial" w:eastAsia="Times New Roman" w:hAnsi="Arial" w:cs="Times New Roman"/>
                <w:b/>
                <w:bCs/>
                <w:color w:val="FFFFFF"/>
                <w:sz w:val="20"/>
              </w:rPr>
            </w:pPr>
            <w:r w:rsidRPr="00932F75">
              <w:rPr>
                <w:rFonts w:ascii="Arial" w:eastAsia="Times New Roman" w:hAnsi="Arial" w:cs="Times New Roman"/>
                <w:b/>
                <w:bCs/>
                <w:color w:val="FFFFFF"/>
                <w:sz w:val="20"/>
              </w:rPr>
              <w:t xml:space="preserve">Total </w:t>
            </w:r>
          </w:p>
        </w:tc>
        <w:tc>
          <w:tcPr>
            <w:tcW w:w="1350" w:type="dxa"/>
            <w:vMerge/>
            <w:shd w:val="clear" w:color="auto" w:fill="046B5C"/>
          </w:tcPr>
          <w:p w:rsidR="00972EF6" w:rsidRPr="00932F75" w:rsidP="00932F75" w14:paraId="0D7142C8" w14:textId="363B0B16">
            <w:pPr>
              <w:keepNext/>
              <w:spacing w:before="40" w:after="20" w:line="264" w:lineRule="auto"/>
              <w:jc w:val="center"/>
              <w:rPr>
                <w:rFonts w:ascii="Arial" w:eastAsia="Times New Roman" w:hAnsi="Arial" w:cs="Times New Roman"/>
                <w:b/>
                <w:bCs/>
                <w:color w:val="FFFFFF"/>
                <w:sz w:val="20"/>
              </w:rPr>
            </w:pPr>
          </w:p>
        </w:tc>
      </w:tr>
      <w:tr w14:paraId="4CDCF7C5" w14:textId="77777777" w:rsidTr="00E0449C">
        <w:tblPrEx>
          <w:tblW w:w="10620" w:type="dxa"/>
          <w:tblLayout w:type="fixed"/>
          <w:tblLook w:val="0400"/>
        </w:tblPrEx>
        <w:trPr>
          <w:trHeight w:val="288"/>
        </w:trPr>
        <w:tc>
          <w:tcPr>
            <w:tcW w:w="1350" w:type="dxa"/>
            <w:tcBorders>
              <w:bottom w:val="single" w:sz="4" w:space="0" w:color="046B5C"/>
            </w:tcBorders>
            <w:shd w:val="clear" w:color="auto" w:fill="auto"/>
          </w:tcPr>
          <w:p w:rsidR="00972EF6" w:rsidRPr="00932F75" w:rsidP="00932F75" w14:paraId="37A784B3" w14:textId="77777777">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 xml:space="preserve">7th and 8th </w:t>
            </w:r>
          </w:p>
        </w:tc>
        <w:tc>
          <w:tcPr>
            <w:tcW w:w="1530" w:type="dxa"/>
            <w:tcBorders>
              <w:bottom w:val="single" w:sz="4" w:space="0" w:color="046B5C"/>
            </w:tcBorders>
            <w:shd w:val="clear" w:color="auto" w:fill="auto"/>
          </w:tcPr>
          <w:p w:rsidR="00972EF6" w:rsidRPr="00932F75" w:rsidP="00932F75" w14:paraId="309A8E49" w14:textId="13316443">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C</w:t>
            </w:r>
            <w:r>
              <w:rPr>
                <w:rFonts w:ascii="Arial" w:eastAsia="Times New Roman" w:hAnsi="Arial" w:cs="Times New Roman"/>
                <w:color w:val="000000"/>
                <w:sz w:val="18"/>
              </w:rPr>
              <w:t>isgender</w:t>
            </w:r>
            <w:r w:rsidRPr="00932F75">
              <w:rPr>
                <w:rFonts w:ascii="Arial" w:eastAsia="Times New Roman" w:hAnsi="Arial" w:cs="Times New Roman"/>
                <w:color w:val="000000"/>
                <w:sz w:val="18"/>
              </w:rPr>
              <w:t xml:space="preserve"> </w:t>
            </w:r>
            <w:r>
              <w:rPr>
                <w:rFonts w:ascii="Arial" w:eastAsia="Times New Roman" w:hAnsi="Arial" w:cs="Times New Roman"/>
                <w:color w:val="000000"/>
                <w:sz w:val="18"/>
              </w:rPr>
              <w:t xml:space="preserve">male </w:t>
            </w:r>
          </w:p>
        </w:tc>
        <w:tc>
          <w:tcPr>
            <w:tcW w:w="1350" w:type="dxa"/>
            <w:gridSpan w:val="2"/>
            <w:tcBorders>
              <w:bottom w:val="single" w:sz="4" w:space="0" w:color="046B5C"/>
            </w:tcBorders>
          </w:tcPr>
          <w:p w:rsidR="00972EF6" w:rsidRPr="00932F75" w:rsidP="009A4F91" w14:paraId="6C7A62C5" w14:textId="431B6126">
            <w:pPr>
              <w:tabs>
                <w:tab w:val="decimal" w:pos="982"/>
              </w:tabs>
              <w:spacing w:before="40" w:after="20" w:line="264" w:lineRule="auto"/>
              <w:jc w:val="right"/>
              <w:rPr>
                <w:rFonts w:ascii="Arial" w:eastAsia="Times New Roman" w:hAnsi="Arial" w:cs="Times New Roman"/>
                <w:color w:val="000000"/>
                <w:sz w:val="18"/>
              </w:rPr>
            </w:pPr>
            <w:r>
              <w:rPr>
                <w:rFonts w:ascii="Arial" w:eastAsia="Times New Roman" w:hAnsi="Arial" w:cs="Times New Roman"/>
                <w:color w:val="000000"/>
                <w:sz w:val="18"/>
              </w:rPr>
              <w:t xml:space="preserve">Straight </w:t>
            </w:r>
          </w:p>
        </w:tc>
        <w:tc>
          <w:tcPr>
            <w:tcW w:w="1080" w:type="dxa"/>
            <w:tcBorders>
              <w:bottom w:val="single" w:sz="4" w:space="0" w:color="046B5C"/>
            </w:tcBorders>
          </w:tcPr>
          <w:p w:rsidR="00972EF6" w:rsidRPr="00932F75" w:rsidP="00932F75" w14:paraId="34515665" w14:textId="490CA71C">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170" w:type="dxa"/>
            <w:tcBorders>
              <w:bottom w:val="single" w:sz="4" w:space="0" w:color="046B5C"/>
            </w:tcBorders>
          </w:tcPr>
          <w:p w:rsidR="00972EF6" w:rsidRPr="00396DFE" w:rsidP="009A4F91" w14:paraId="2F6C2C4C" w14:textId="39F9877F">
            <w:pPr>
              <w:tabs>
                <w:tab w:val="decimal" w:pos="982"/>
              </w:tabs>
              <w:spacing w:before="40" w:after="20" w:line="264" w:lineRule="auto"/>
              <w:ind w:left="1290"/>
              <w:contextualSpacing/>
              <w:rPr>
                <w:rFonts w:ascii="Arial" w:eastAsia="Times New Roman" w:hAnsi="Arial" w:cs="Times New Roman"/>
                <w:sz w:val="18"/>
              </w:rPr>
            </w:pPr>
            <w:r w:rsidRPr="00396DFE">
              <w:rPr>
                <w:rFonts w:ascii="Arial" w:eastAsia="Times New Roman" w:hAnsi="Arial" w:cs="Times New Roman"/>
                <w:sz w:val="18"/>
              </w:rPr>
              <w:t xml:space="preserve">  </w:t>
            </w:r>
          </w:p>
        </w:tc>
        <w:tc>
          <w:tcPr>
            <w:tcW w:w="1440" w:type="dxa"/>
            <w:tcBorders>
              <w:bottom w:val="single" w:sz="4" w:space="0" w:color="046B5C"/>
            </w:tcBorders>
          </w:tcPr>
          <w:p w:rsidR="00972EF6" w:rsidRPr="00932F75" w:rsidP="00932F75" w14:paraId="63EC1DA6" w14:textId="0573AEA9">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350" w:type="dxa"/>
            <w:tcBorders>
              <w:bottom w:val="single" w:sz="4" w:space="0" w:color="046B5C"/>
            </w:tcBorders>
          </w:tcPr>
          <w:p w:rsidR="00972EF6" w:rsidRPr="00932F75" w:rsidP="00932F75" w14:paraId="743A526D" w14:textId="42003E25">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bottom w:val="single" w:sz="4" w:space="0" w:color="046B5C"/>
            </w:tcBorders>
          </w:tcPr>
          <w:p w:rsidR="00972EF6" w:rsidRPr="00932F75" w:rsidP="00932F75" w14:paraId="7C7919BA"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2</w:t>
            </w:r>
          </w:p>
        </w:tc>
      </w:tr>
      <w:tr w14:paraId="5FF159C8"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972EF6" w:rsidRPr="00932F75" w:rsidP="00932F75" w14:paraId="541A1C81" w14:textId="3DFEF3FC">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7th and 8th</w:t>
            </w:r>
          </w:p>
        </w:tc>
        <w:tc>
          <w:tcPr>
            <w:tcW w:w="1800" w:type="dxa"/>
            <w:gridSpan w:val="2"/>
            <w:tcBorders>
              <w:top w:val="single" w:sz="4" w:space="0" w:color="046B5C"/>
              <w:bottom w:val="single" w:sz="4" w:space="0" w:color="046B5C"/>
            </w:tcBorders>
            <w:shd w:val="clear" w:color="auto" w:fill="auto"/>
          </w:tcPr>
          <w:p w:rsidR="00972EF6" w:rsidRPr="00932F75" w:rsidP="00932F75" w14:paraId="08C455D6" w14:textId="6582C291">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C</w:t>
            </w:r>
            <w:r>
              <w:rPr>
                <w:rFonts w:ascii="Arial" w:eastAsia="Times New Roman" w:hAnsi="Arial" w:cs="Times New Roman"/>
                <w:color w:val="000000"/>
                <w:sz w:val="18"/>
              </w:rPr>
              <w:t>isgender</w:t>
            </w:r>
            <w:r w:rsidRPr="00932F75">
              <w:rPr>
                <w:rFonts w:ascii="Arial" w:eastAsia="Times New Roman" w:hAnsi="Arial" w:cs="Times New Roman"/>
                <w:color w:val="000000"/>
                <w:sz w:val="18"/>
              </w:rPr>
              <w:t xml:space="preserve"> </w:t>
            </w:r>
            <w:r>
              <w:rPr>
                <w:rFonts w:ascii="Arial" w:eastAsia="Times New Roman" w:hAnsi="Arial" w:cs="Times New Roman"/>
                <w:color w:val="000000"/>
                <w:sz w:val="18"/>
              </w:rPr>
              <w:t xml:space="preserve">female </w:t>
            </w:r>
          </w:p>
        </w:tc>
        <w:tc>
          <w:tcPr>
            <w:tcW w:w="1080" w:type="dxa"/>
            <w:tcBorders>
              <w:top w:val="single" w:sz="4" w:space="0" w:color="046B5C"/>
              <w:bottom w:val="single" w:sz="4" w:space="0" w:color="046B5C"/>
            </w:tcBorders>
          </w:tcPr>
          <w:p w:rsidR="00972EF6" w:rsidRPr="00932F75" w:rsidP="00256CC8" w14:paraId="6A25646B" w14:textId="1A040D5E">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 xml:space="preserve">Straight </w:t>
            </w:r>
          </w:p>
        </w:tc>
        <w:tc>
          <w:tcPr>
            <w:tcW w:w="1080" w:type="dxa"/>
            <w:tcBorders>
              <w:top w:val="single" w:sz="4" w:space="0" w:color="046B5C"/>
              <w:bottom w:val="single" w:sz="4" w:space="0" w:color="046B5C"/>
            </w:tcBorders>
          </w:tcPr>
          <w:p w:rsidR="00972EF6" w:rsidRPr="00932F75" w:rsidP="00932F75" w14:paraId="6F1DA577" w14:textId="1E5CE67D">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170" w:type="dxa"/>
            <w:tcBorders>
              <w:top w:val="single" w:sz="4" w:space="0" w:color="046B5C"/>
              <w:bottom w:val="single" w:sz="4" w:space="0" w:color="046B5C"/>
            </w:tcBorders>
          </w:tcPr>
          <w:p w:rsidR="00972EF6" w:rsidRPr="00396DFE" w:rsidP="00932F75" w14:paraId="5F61C54F" w14:textId="0DEE5908">
            <w:pPr>
              <w:tabs>
                <w:tab w:val="decimal" w:pos="982"/>
              </w:tabs>
              <w:spacing w:before="40" w:after="20" w:line="264" w:lineRule="auto"/>
              <w:ind w:left="360"/>
              <w:jc w:val="center"/>
              <w:rPr>
                <w:rFonts w:ascii="Arial" w:eastAsia="Times New Roman" w:hAnsi="Arial" w:cs="Times New Roman"/>
                <w:sz w:val="18"/>
              </w:rPr>
            </w:pPr>
            <w:r w:rsidRPr="00396DFE">
              <w:rPr>
                <w:rFonts w:ascii="Arial" w:eastAsia="Times New Roman" w:hAnsi="Arial" w:cs="Times New Roman"/>
                <w:sz w:val="18"/>
              </w:rPr>
              <w:t>0</w:t>
            </w:r>
          </w:p>
        </w:tc>
        <w:tc>
          <w:tcPr>
            <w:tcW w:w="1440" w:type="dxa"/>
            <w:tcBorders>
              <w:top w:val="single" w:sz="4" w:space="0" w:color="046B5C"/>
              <w:bottom w:val="single" w:sz="4" w:space="0" w:color="046B5C"/>
            </w:tcBorders>
          </w:tcPr>
          <w:p w:rsidR="00972EF6" w:rsidRPr="00932F75" w:rsidP="00932F75" w14:paraId="44DB43F0" w14:textId="6D03031A">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350" w:type="dxa"/>
            <w:tcBorders>
              <w:top w:val="single" w:sz="4" w:space="0" w:color="046B5C"/>
              <w:bottom w:val="single" w:sz="4" w:space="0" w:color="046B5C"/>
            </w:tcBorders>
          </w:tcPr>
          <w:p w:rsidR="00972EF6" w:rsidRPr="00932F75" w:rsidP="00932F75" w14:paraId="2ACA18AB" w14:textId="279AF768">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972EF6" w:rsidRPr="00932F75" w:rsidP="00932F75" w14:paraId="262120BA"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2</w:t>
            </w:r>
          </w:p>
        </w:tc>
      </w:tr>
      <w:tr w14:paraId="2E961473"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972EF6" w:rsidRPr="00932F75" w:rsidP="00932F75" w14:paraId="490E422B" w14:textId="54F52A2C">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7th and 8th</w:t>
            </w:r>
          </w:p>
        </w:tc>
        <w:tc>
          <w:tcPr>
            <w:tcW w:w="1800" w:type="dxa"/>
            <w:gridSpan w:val="2"/>
            <w:tcBorders>
              <w:top w:val="single" w:sz="4" w:space="0" w:color="046B5C"/>
              <w:bottom w:val="single" w:sz="4" w:space="0" w:color="046B5C"/>
            </w:tcBorders>
            <w:shd w:val="clear" w:color="auto" w:fill="auto"/>
          </w:tcPr>
          <w:p w:rsidR="00972EF6" w:rsidRPr="00932F75" w:rsidP="006C11D9" w14:paraId="430D56C5" w14:textId="02F55E17">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Any</w:t>
            </w:r>
            <w:r w:rsidRPr="00220C00">
              <w:rPr>
                <w:rFonts w:ascii="Arial" w:eastAsia="Times New Roman" w:hAnsi="Arial" w:cs="Arial"/>
                <w:b/>
                <w:bCs/>
                <w:color w:val="FFFFFF"/>
                <w:sz w:val="20"/>
                <w:szCs w:val="20"/>
                <w:vertAlign w:val="superscript"/>
              </w:rPr>
              <w:t>+</w:t>
            </w:r>
            <w:r>
              <w:rPr>
                <w:rFonts w:ascii="Arial" w:eastAsia="Times New Roman" w:hAnsi="Arial" w:cs="Times New Roman"/>
                <w:color w:val="000000"/>
                <w:sz w:val="18"/>
              </w:rPr>
              <w:t xml:space="preserve"> </w:t>
            </w:r>
          </w:p>
        </w:tc>
        <w:tc>
          <w:tcPr>
            <w:tcW w:w="1080" w:type="dxa"/>
            <w:tcBorders>
              <w:top w:val="single" w:sz="4" w:space="0" w:color="046B5C"/>
              <w:bottom w:val="single" w:sz="4" w:space="0" w:color="046B5C"/>
            </w:tcBorders>
          </w:tcPr>
          <w:p w:rsidR="00972EF6" w:rsidRPr="00932F75" w:rsidP="00932F75" w14:paraId="4DE5C454" w14:textId="5BAC26B6">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LGBTQ+</w:t>
            </w:r>
          </w:p>
        </w:tc>
        <w:tc>
          <w:tcPr>
            <w:tcW w:w="1080" w:type="dxa"/>
            <w:tcBorders>
              <w:top w:val="single" w:sz="4" w:space="0" w:color="046B5C"/>
              <w:bottom w:val="single" w:sz="4" w:space="0" w:color="046B5C"/>
            </w:tcBorders>
          </w:tcPr>
          <w:p w:rsidR="00972EF6" w:rsidRPr="00932F75" w:rsidP="00932F75" w14:paraId="71C693A9" w14:textId="7F12071A">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170" w:type="dxa"/>
            <w:tcBorders>
              <w:top w:val="single" w:sz="4" w:space="0" w:color="046B5C"/>
              <w:bottom w:val="single" w:sz="4" w:space="0" w:color="046B5C"/>
            </w:tcBorders>
          </w:tcPr>
          <w:p w:rsidR="00972EF6" w:rsidRPr="00932F75" w:rsidP="00932F75" w14:paraId="6A1BC143" w14:textId="71A764BB">
            <w:pPr>
              <w:tabs>
                <w:tab w:val="decimal" w:pos="982"/>
              </w:tabs>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10</w:t>
            </w:r>
          </w:p>
        </w:tc>
        <w:tc>
          <w:tcPr>
            <w:tcW w:w="1440" w:type="dxa"/>
            <w:tcBorders>
              <w:top w:val="single" w:sz="4" w:space="0" w:color="046B5C"/>
              <w:bottom w:val="single" w:sz="4" w:space="0" w:color="046B5C"/>
            </w:tcBorders>
          </w:tcPr>
          <w:p w:rsidR="00972EF6" w:rsidRPr="00932F75" w:rsidP="00932F75" w14:paraId="45D225BE" w14:textId="3DD0568A">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972EF6" w:rsidRPr="00932F75" w:rsidP="00932F75" w14:paraId="29FED446" w14:textId="7C94C8AA">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30</w:t>
            </w:r>
          </w:p>
        </w:tc>
        <w:tc>
          <w:tcPr>
            <w:tcW w:w="1350" w:type="dxa"/>
            <w:tcBorders>
              <w:top w:val="single" w:sz="4" w:space="0" w:color="046B5C"/>
              <w:bottom w:val="single" w:sz="4" w:space="0" w:color="046B5C"/>
            </w:tcBorders>
          </w:tcPr>
          <w:p w:rsidR="00972EF6" w:rsidRPr="00932F75" w:rsidP="00932F75" w14:paraId="30224AA3"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6</w:t>
            </w:r>
          </w:p>
        </w:tc>
      </w:tr>
      <w:tr w14:paraId="77A56834"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7C5969" w:rsidRPr="00932F75" w:rsidP="007C5969" w14:paraId="4E9B5352" w14:textId="77777777">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 xml:space="preserve">9th and 10th </w:t>
            </w:r>
          </w:p>
        </w:tc>
        <w:tc>
          <w:tcPr>
            <w:tcW w:w="1800" w:type="dxa"/>
            <w:gridSpan w:val="2"/>
            <w:tcBorders>
              <w:top w:val="single" w:sz="4" w:space="0" w:color="046B5C"/>
              <w:bottom w:val="single" w:sz="4" w:space="0" w:color="046B5C"/>
            </w:tcBorders>
            <w:shd w:val="clear" w:color="auto" w:fill="auto"/>
          </w:tcPr>
          <w:p w:rsidR="007C5969" w:rsidRPr="00932F75" w:rsidP="007C5969" w14:paraId="37D85EEF" w14:textId="7035B978">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Cisgender</w:t>
            </w:r>
            <w:r w:rsidRPr="00932F75">
              <w:rPr>
                <w:rFonts w:ascii="Arial" w:eastAsia="Times New Roman" w:hAnsi="Arial" w:cs="Times New Roman"/>
                <w:color w:val="000000"/>
                <w:sz w:val="18"/>
              </w:rPr>
              <w:t xml:space="preserve"> </w:t>
            </w:r>
            <w:r>
              <w:rPr>
                <w:rFonts w:ascii="Arial" w:eastAsia="Times New Roman" w:hAnsi="Arial" w:cs="Times New Roman"/>
                <w:color w:val="000000"/>
                <w:sz w:val="18"/>
              </w:rPr>
              <w:t xml:space="preserve">male </w:t>
            </w:r>
          </w:p>
        </w:tc>
        <w:tc>
          <w:tcPr>
            <w:tcW w:w="1080" w:type="dxa"/>
            <w:tcBorders>
              <w:top w:val="single" w:sz="4" w:space="0" w:color="046B5C"/>
              <w:bottom w:val="single" w:sz="4" w:space="0" w:color="046B5C"/>
            </w:tcBorders>
          </w:tcPr>
          <w:p w:rsidR="007C5969" w:rsidRPr="00932F75" w:rsidP="007C5969" w14:paraId="43DEC887" w14:textId="5819349E">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 xml:space="preserve">Straight </w:t>
            </w:r>
          </w:p>
        </w:tc>
        <w:tc>
          <w:tcPr>
            <w:tcW w:w="1080" w:type="dxa"/>
            <w:tcBorders>
              <w:top w:val="single" w:sz="4" w:space="0" w:color="046B5C"/>
              <w:bottom w:val="single" w:sz="4" w:space="0" w:color="046B5C"/>
            </w:tcBorders>
          </w:tcPr>
          <w:p w:rsidR="007C5969" w:rsidRPr="00932F75" w:rsidP="007C5969" w14:paraId="02BED11E" w14:textId="72E32E78">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170" w:type="dxa"/>
            <w:tcBorders>
              <w:top w:val="single" w:sz="4" w:space="0" w:color="046B5C"/>
              <w:bottom w:val="single" w:sz="4" w:space="0" w:color="046B5C"/>
            </w:tcBorders>
          </w:tcPr>
          <w:p w:rsidR="007C5969" w:rsidRPr="00932F75" w:rsidP="007C5969" w14:paraId="6D691AA7" w14:textId="6C782921">
            <w:pPr>
              <w:tabs>
                <w:tab w:val="decimal" w:pos="982"/>
              </w:tabs>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0</w:t>
            </w:r>
          </w:p>
        </w:tc>
        <w:tc>
          <w:tcPr>
            <w:tcW w:w="1440" w:type="dxa"/>
            <w:tcBorders>
              <w:top w:val="single" w:sz="4" w:space="0" w:color="046B5C"/>
              <w:bottom w:val="single" w:sz="4" w:space="0" w:color="046B5C"/>
            </w:tcBorders>
          </w:tcPr>
          <w:p w:rsidR="007C5969" w:rsidRPr="00932F75" w:rsidP="007C5969" w14:paraId="74305FB2" w14:textId="107AB698">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350" w:type="dxa"/>
            <w:tcBorders>
              <w:top w:val="single" w:sz="4" w:space="0" w:color="046B5C"/>
              <w:bottom w:val="single" w:sz="4" w:space="0" w:color="046B5C"/>
            </w:tcBorders>
          </w:tcPr>
          <w:p w:rsidR="007C5969" w:rsidRPr="00932F75" w:rsidP="007C5969" w14:paraId="7ED41723" w14:textId="4EBBA894">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7C5969" w:rsidRPr="00932F75" w:rsidP="007C5969" w14:paraId="29889413"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2</w:t>
            </w:r>
          </w:p>
        </w:tc>
      </w:tr>
      <w:tr w14:paraId="1CF29D24"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7C5969" w:rsidRPr="00932F75" w:rsidP="007C5969" w14:paraId="1F9B81C9" w14:textId="3642BFA5">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9th and 10th</w:t>
            </w:r>
          </w:p>
        </w:tc>
        <w:tc>
          <w:tcPr>
            <w:tcW w:w="1800" w:type="dxa"/>
            <w:gridSpan w:val="2"/>
            <w:tcBorders>
              <w:top w:val="single" w:sz="4" w:space="0" w:color="046B5C"/>
              <w:bottom w:val="single" w:sz="4" w:space="0" w:color="046B5C"/>
            </w:tcBorders>
            <w:shd w:val="clear" w:color="auto" w:fill="auto"/>
          </w:tcPr>
          <w:p w:rsidR="007C5969" w:rsidRPr="00932F75" w:rsidP="007C5969" w14:paraId="2BCECF44" w14:textId="5A046D56">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Cisgender</w:t>
            </w:r>
            <w:r w:rsidRPr="00932F75">
              <w:rPr>
                <w:rFonts w:ascii="Arial" w:eastAsia="Times New Roman" w:hAnsi="Arial" w:cs="Times New Roman"/>
                <w:color w:val="000000"/>
                <w:sz w:val="18"/>
              </w:rPr>
              <w:t xml:space="preserve"> </w:t>
            </w:r>
            <w:r>
              <w:rPr>
                <w:rFonts w:ascii="Arial" w:eastAsia="Times New Roman" w:hAnsi="Arial" w:cs="Times New Roman"/>
                <w:color w:val="000000"/>
                <w:sz w:val="18"/>
              </w:rPr>
              <w:t xml:space="preserve">female </w:t>
            </w:r>
          </w:p>
        </w:tc>
        <w:tc>
          <w:tcPr>
            <w:tcW w:w="1080" w:type="dxa"/>
            <w:tcBorders>
              <w:top w:val="single" w:sz="4" w:space="0" w:color="046B5C"/>
              <w:bottom w:val="single" w:sz="4" w:space="0" w:color="046B5C"/>
            </w:tcBorders>
          </w:tcPr>
          <w:p w:rsidR="007C5969" w:rsidRPr="00932F75" w:rsidP="007C5969" w14:paraId="5C1FA2DE" w14:textId="76E35135">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 xml:space="preserve">Straight </w:t>
            </w:r>
          </w:p>
        </w:tc>
        <w:tc>
          <w:tcPr>
            <w:tcW w:w="1080" w:type="dxa"/>
            <w:tcBorders>
              <w:top w:val="single" w:sz="4" w:space="0" w:color="046B5C"/>
              <w:bottom w:val="single" w:sz="4" w:space="0" w:color="046B5C"/>
            </w:tcBorders>
          </w:tcPr>
          <w:p w:rsidR="007C5969" w:rsidRPr="00932F75" w:rsidP="007C5969" w14:paraId="37F235FA" w14:textId="103F1AEC">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170" w:type="dxa"/>
            <w:tcBorders>
              <w:top w:val="single" w:sz="4" w:space="0" w:color="046B5C"/>
              <w:bottom w:val="single" w:sz="4" w:space="0" w:color="046B5C"/>
            </w:tcBorders>
          </w:tcPr>
          <w:p w:rsidR="007C5969" w:rsidRPr="00932F75" w:rsidP="007C5969" w14:paraId="620D7C3A" w14:textId="5FF88B73">
            <w:pPr>
              <w:tabs>
                <w:tab w:val="decimal" w:pos="982"/>
              </w:tabs>
              <w:spacing w:before="40" w:after="20" w:line="264" w:lineRule="auto"/>
              <w:jc w:val="center"/>
              <w:rPr>
                <w:rFonts w:ascii="Arial" w:eastAsia="Times New Roman" w:hAnsi="Arial" w:cs="Times New Roman"/>
                <w:color w:val="000000"/>
                <w:sz w:val="18"/>
              </w:rPr>
            </w:pPr>
            <w:r w:rsidRPr="00396DFE">
              <w:rPr>
                <w:rFonts w:ascii="Arial" w:eastAsia="Times New Roman" w:hAnsi="Arial" w:cs="Times New Roman"/>
                <w:sz w:val="18"/>
              </w:rPr>
              <w:t>0</w:t>
            </w:r>
          </w:p>
        </w:tc>
        <w:tc>
          <w:tcPr>
            <w:tcW w:w="1440" w:type="dxa"/>
            <w:tcBorders>
              <w:top w:val="single" w:sz="4" w:space="0" w:color="046B5C"/>
              <w:bottom w:val="single" w:sz="4" w:space="0" w:color="046B5C"/>
            </w:tcBorders>
          </w:tcPr>
          <w:p w:rsidR="007C5969" w:rsidRPr="00932F75" w:rsidP="007C5969" w14:paraId="3A63B70E" w14:textId="5D0AB210">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350" w:type="dxa"/>
            <w:tcBorders>
              <w:top w:val="single" w:sz="4" w:space="0" w:color="046B5C"/>
              <w:bottom w:val="single" w:sz="4" w:space="0" w:color="046B5C"/>
            </w:tcBorders>
          </w:tcPr>
          <w:p w:rsidR="007C5969" w:rsidRPr="00932F75" w:rsidP="007C5969" w14:paraId="1E7262D7" w14:textId="7E5DF03E">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7C5969" w:rsidRPr="00932F75" w:rsidP="007C5969" w14:paraId="254681E9"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2</w:t>
            </w:r>
          </w:p>
        </w:tc>
      </w:tr>
      <w:tr w14:paraId="7DF2E348"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7C5969" w:rsidRPr="00932F75" w:rsidP="007C5969" w14:paraId="22832B39" w14:textId="03D52E02">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9th and 10th</w:t>
            </w:r>
          </w:p>
        </w:tc>
        <w:tc>
          <w:tcPr>
            <w:tcW w:w="1800" w:type="dxa"/>
            <w:gridSpan w:val="2"/>
            <w:tcBorders>
              <w:top w:val="single" w:sz="4" w:space="0" w:color="046B5C"/>
              <w:bottom w:val="single" w:sz="4" w:space="0" w:color="046B5C"/>
            </w:tcBorders>
            <w:shd w:val="clear" w:color="auto" w:fill="auto"/>
          </w:tcPr>
          <w:p w:rsidR="007C5969" w:rsidRPr="00932F75" w:rsidP="007C5969" w14:paraId="1D1DE594" w14:textId="1C62DF38">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Any</w:t>
            </w:r>
            <w:r w:rsidRPr="00220C00">
              <w:rPr>
                <w:rFonts w:ascii="Arial" w:eastAsia="Times New Roman" w:hAnsi="Arial" w:cs="Arial"/>
                <w:b/>
                <w:bCs/>
                <w:color w:val="FFFFFF"/>
                <w:sz w:val="20"/>
                <w:szCs w:val="20"/>
                <w:vertAlign w:val="superscript"/>
              </w:rPr>
              <w:t>+</w:t>
            </w:r>
            <w:r>
              <w:rPr>
                <w:rFonts w:ascii="Arial" w:eastAsia="Times New Roman" w:hAnsi="Arial" w:cs="Times New Roman"/>
                <w:color w:val="000000"/>
                <w:sz w:val="18"/>
              </w:rPr>
              <w:t xml:space="preserve">  </w:t>
            </w:r>
          </w:p>
        </w:tc>
        <w:tc>
          <w:tcPr>
            <w:tcW w:w="1080" w:type="dxa"/>
            <w:tcBorders>
              <w:top w:val="single" w:sz="4" w:space="0" w:color="046B5C"/>
              <w:bottom w:val="single" w:sz="4" w:space="0" w:color="046B5C"/>
            </w:tcBorders>
          </w:tcPr>
          <w:p w:rsidR="007C5969" w:rsidRPr="00932F75" w:rsidP="007C5969" w14:paraId="63DE0163" w14:textId="59A565BB">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LGBTQ+</w:t>
            </w:r>
          </w:p>
        </w:tc>
        <w:tc>
          <w:tcPr>
            <w:tcW w:w="1080" w:type="dxa"/>
            <w:tcBorders>
              <w:top w:val="single" w:sz="4" w:space="0" w:color="046B5C"/>
              <w:bottom w:val="single" w:sz="4" w:space="0" w:color="046B5C"/>
            </w:tcBorders>
          </w:tcPr>
          <w:p w:rsidR="007C5969" w:rsidRPr="00932F75" w:rsidP="007C5969" w14:paraId="1EFD1744" w14:textId="74D671F5">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170" w:type="dxa"/>
            <w:tcBorders>
              <w:top w:val="single" w:sz="4" w:space="0" w:color="046B5C"/>
              <w:bottom w:val="single" w:sz="4" w:space="0" w:color="046B5C"/>
            </w:tcBorders>
          </w:tcPr>
          <w:p w:rsidR="007C5969" w:rsidRPr="00932F75" w:rsidP="007C5969" w14:paraId="6E723D87" w14:textId="61DEB285">
            <w:pPr>
              <w:tabs>
                <w:tab w:val="decimal" w:pos="982"/>
              </w:tabs>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10</w:t>
            </w:r>
          </w:p>
        </w:tc>
        <w:tc>
          <w:tcPr>
            <w:tcW w:w="1440" w:type="dxa"/>
            <w:tcBorders>
              <w:top w:val="single" w:sz="4" w:space="0" w:color="046B5C"/>
              <w:bottom w:val="single" w:sz="4" w:space="0" w:color="046B5C"/>
            </w:tcBorders>
          </w:tcPr>
          <w:p w:rsidR="007C5969" w:rsidRPr="00932F75" w:rsidP="007C5969" w14:paraId="2FAF5C3B" w14:textId="37739586">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7C5969" w:rsidRPr="00932F75" w:rsidP="007C5969" w14:paraId="75720465" w14:textId="683BFD29">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30</w:t>
            </w:r>
          </w:p>
        </w:tc>
        <w:tc>
          <w:tcPr>
            <w:tcW w:w="1350" w:type="dxa"/>
            <w:tcBorders>
              <w:top w:val="single" w:sz="4" w:space="0" w:color="046B5C"/>
              <w:bottom w:val="single" w:sz="4" w:space="0" w:color="046B5C"/>
            </w:tcBorders>
          </w:tcPr>
          <w:p w:rsidR="007C5969" w:rsidRPr="00932F75" w:rsidP="007C5969" w14:paraId="321F830A"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6</w:t>
            </w:r>
          </w:p>
        </w:tc>
      </w:tr>
      <w:tr w14:paraId="16169C6A"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7C5969" w:rsidRPr="00932F75" w:rsidP="007C5969" w14:paraId="6A063A63" w14:textId="77777777">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 xml:space="preserve">11th and 12th </w:t>
            </w:r>
          </w:p>
        </w:tc>
        <w:tc>
          <w:tcPr>
            <w:tcW w:w="1800" w:type="dxa"/>
            <w:gridSpan w:val="2"/>
            <w:tcBorders>
              <w:top w:val="single" w:sz="4" w:space="0" w:color="046B5C"/>
              <w:bottom w:val="single" w:sz="4" w:space="0" w:color="046B5C"/>
            </w:tcBorders>
            <w:shd w:val="clear" w:color="auto" w:fill="auto"/>
          </w:tcPr>
          <w:p w:rsidR="007C5969" w:rsidRPr="00932F75" w:rsidP="007C5969" w14:paraId="0BFAE446" w14:textId="39FF1A72">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Cisgender</w:t>
            </w:r>
            <w:r w:rsidRPr="00932F75">
              <w:rPr>
                <w:rFonts w:ascii="Arial" w:eastAsia="Times New Roman" w:hAnsi="Arial" w:cs="Times New Roman"/>
                <w:color w:val="000000"/>
                <w:sz w:val="18"/>
              </w:rPr>
              <w:t xml:space="preserve"> </w:t>
            </w:r>
            <w:r>
              <w:rPr>
                <w:rFonts w:ascii="Arial" w:eastAsia="Times New Roman" w:hAnsi="Arial" w:cs="Times New Roman"/>
                <w:color w:val="000000"/>
                <w:sz w:val="18"/>
              </w:rPr>
              <w:t xml:space="preserve">male </w:t>
            </w:r>
          </w:p>
        </w:tc>
        <w:tc>
          <w:tcPr>
            <w:tcW w:w="1080" w:type="dxa"/>
            <w:tcBorders>
              <w:top w:val="single" w:sz="4" w:space="0" w:color="046B5C"/>
              <w:bottom w:val="single" w:sz="4" w:space="0" w:color="046B5C"/>
            </w:tcBorders>
          </w:tcPr>
          <w:p w:rsidR="007C5969" w:rsidRPr="00932F75" w:rsidP="007C5969" w14:paraId="21343602" w14:textId="0AA66707">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 xml:space="preserve">Straight </w:t>
            </w:r>
          </w:p>
        </w:tc>
        <w:tc>
          <w:tcPr>
            <w:tcW w:w="1080" w:type="dxa"/>
            <w:tcBorders>
              <w:top w:val="single" w:sz="4" w:space="0" w:color="046B5C"/>
              <w:bottom w:val="single" w:sz="4" w:space="0" w:color="046B5C"/>
            </w:tcBorders>
          </w:tcPr>
          <w:p w:rsidR="007C5969" w:rsidRPr="00932F75" w:rsidP="007C5969" w14:paraId="33141205" w14:textId="606BF2AC">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170" w:type="dxa"/>
            <w:tcBorders>
              <w:top w:val="single" w:sz="4" w:space="0" w:color="046B5C"/>
              <w:bottom w:val="single" w:sz="4" w:space="0" w:color="046B5C"/>
            </w:tcBorders>
          </w:tcPr>
          <w:p w:rsidR="007C5969" w:rsidRPr="00932F75" w:rsidP="007C5969" w14:paraId="24041353" w14:textId="374832E0">
            <w:pPr>
              <w:tabs>
                <w:tab w:val="decimal" w:pos="982"/>
              </w:tabs>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0</w:t>
            </w:r>
          </w:p>
        </w:tc>
        <w:tc>
          <w:tcPr>
            <w:tcW w:w="1440" w:type="dxa"/>
            <w:tcBorders>
              <w:top w:val="single" w:sz="4" w:space="0" w:color="046B5C"/>
              <w:bottom w:val="single" w:sz="4" w:space="0" w:color="046B5C"/>
            </w:tcBorders>
          </w:tcPr>
          <w:p w:rsidR="007C5969" w:rsidRPr="00932F75" w:rsidP="007C5969" w14:paraId="4B6611E5" w14:textId="28499617">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350" w:type="dxa"/>
            <w:tcBorders>
              <w:top w:val="single" w:sz="4" w:space="0" w:color="046B5C"/>
              <w:bottom w:val="single" w:sz="4" w:space="0" w:color="046B5C"/>
            </w:tcBorders>
          </w:tcPr>
          <w:p w:rsidR="007C5969" w:rsidRPr="00932F75" w:rsidP="007C5969" w14:paraId="25C9679E" w14:textId="2A0FAF86">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7C5969" w:rsidRPr="00932F75" w:rsidP="007C5969" w14:paraId="3A98E1AE"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2</w:t>
            </w:r>
          </w:p>
        </w:tc>
      </w:tr>
      <w:tr w14:paraId="19A69261"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7C5969" w:rsidRPr="00932F75" w:rsidP="007C5969" w14:paraId="7C7B5DEE" w14:textId="07FD633F">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11th and 12th</w:t>
            </w:r>
          </w:p>
        </w:tc>
        <w:tc>
          <w:tcPr>
            <w:tcW w:w="1800" w:type="dxa"/>
            <w:gridSpan w:val="2"/>
            <w:tcBorders>
              <w:top w:val="single" w:sz="4" w:space="0" w:color="046B5C"/>
              <w:bottom w:val="single" w:sz="4" w:space="0" w:color="046B5C"/>
            </w:tcBorders>
            <w:shd w:val="clear" w:color="auto" w:fill="auto"/>
          </w:tcPr>
          <w:p w:rsidR="007C5969" w:rsidRPr="00932F75" w:rsidP="007C5969" w14:paraId="23CF61FB" w14:textId="2CCB2254">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Cisgender</w:t>
            </w:r>
            <w:r w:rsidRPr="00932F75">
              <w:rPr>
                <w:rFonts w:ascii="Arial" w:eastAsia="Times New Roman" w:hAnsi="Arial" w:cs="Times New Roman"/>
                <w:color w:val="000000"/>
                <w:sz w:val="18"/>
              </w:rPr>
              <w:t xml:space="preserve"> </w:t>
            </w:r>
            <w:r>
              <w:rPr>
                <w:rFonts w:ascii="Arial" w:eastAsia="Times New Roman" w:hAnsi="Arial" w:cs="Times New Roman"/>
                <w:color w:val="000000"/>
                <w:sz w:val="18"/>
              </w:rPr>
              <w:t xml:space="preserve">female </w:t>
            </w:r>
          </w:p>
        </w:tc>
        <w:tc>
          <w:tcPr>
            <w:tcW w:w="1080" w:type="dxa"/>
            <w:tcBorders>
              <w:top w:val="single" w:sz="4" w:space="0" w:color="046B5C"/>
              <w:bottom w:val="single" w:sz="4" w:space="0" w:color="046B5C"/>
            </w:tcBorders>
          </w:tcPr>
          <w:p w:rsidR="007C5969" w:rsidRPr="00932F75" w:rsidP="007C5969" w14:paraId="465EEEE8" w14:textId="07F0BF7E">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 xml:space="preserve">Straight </w:t>
            </w:r>
          </w:p>
        </w:tc>
        <w:tc>
          <w:tcPr>
            <w:tcW w:w="1080" w:type="dxa"/>
            <w:tcBorders>
              <w:top w:val="single" w:sz="4" w:space="0" w:color="046B5C"/>
              <w:bottom w:val="single" w:sz="4" w:space="0" w:color="046B5C"/>
            </w:tcBorders>
          </w:tcPr>
          <w:p w:rsidR="007C5969" w:rsidRPr="00932F75" w:rsidP="007C5969" w14:paraId="65EEB106" w14:textId="36CD5FE0">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170" w:type="dxa"/>
            <w:tcBorders>
              <w:top w:val="single" w:sz="4" w:space="0" w:color="046B5C"/>
              <w:bottom w:val="single" w:sz="4" w:space="0" w:color="046B5C"/>
            </w:tcBorders>
          </w:tcPr>
          <w:p w:rsidR="007C5969" w:rsidRPr="00932F75" w:rsidP="007C5969" w14:paraId="110A2107" w14:textId="7FE3F70D">
            <w:pPr>
              <w:tabs>
                <w:tab w:val="decimal" w:pos="982"/>
              </w:tabs>
              <w:spacing w:before="40" w:after="20" w:line="264" w:lineRule="auto"/>
              <w:jc w:val="center"/>
              <w:rPr>
                <w:rFonts w:ascii="Arial" w:eastAsia="Times New Roman" w:hAnsi="Arial" w:cs="Times New Roman"/>
                <w:color w:val="000000"/>
                <w:sz w:val="18"/>
              </w:rPr>
            </w:pPr>
            <w:r w:rsidRPr="00396DFE">
              <w:rPr>
                <w:rFonts w:ascii="Arial" w:eastAsia="Times New Roman" w:hAnsi="Arial" w:cs="Times New Roman"/>
                <w:sz w:val="18"/>
              </w:rPr>
              <w:t>0</w:t>
            </w:r>
          </w:p>
        </w:tc>
        <w:tc>
          <w:tcPr>
            <w:tcW w:w="1440" w:type="dxa"/>
            <w:tcBorders>
              <w:top w:val="single" w:sz="4" w:space="0" w:color="046B5C"/>
              <w:bottom w:val="single" w:sz="4" w:space="0" w:color="046B5C"/>
            </w:tcBorders>
          </w:tcPr>
          <w:p w:rsidR="007C5969" w:rsidRPr="00932F75" w:rsidP="007C5969" w14:paraId="4CA1C7F5" w14:textId="6789B664">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5</w:t>
            </w:r>
          </w:p>
        </w:tc>
        <w:tc>
          <w:tcPr>
            <w:tcW w:w="1350" w:type="dxa"/>
            <w:tcBorders>
              <w:top w:val="single" w:sz="4" w:space="0" w:color="046B5C"/>
              <w:bottom w:val="single" w:sz="4" w:space="0" w:color="046B5C"/>
            </w:tcBorders>
          </w:tcPr>
          <w:p w:rsidR="007C5969" w:rsidRPr="00932F75" w:rsidP="007C5969" w14:paraId="7580E79B" w14:textId="29270028">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7C5969" w:rsidRPr="00932F75" w:rsidP="007C5969" w14:paraId="6D420AD6"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2</w:t>
            </w:r>
          </w:p>
        </w:tc>
      </w:tr>
      <w:tr w14:paraId="3D55A71E"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7C5969" w:rsidRPr="00932F75" w:rsidP="007C5969" w14:paraId="264A569A" w14:textId="14BB1C50">
            <w:pPr>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11th and 12th</w:t>
            </w:r>
          </w:p>
        </w:tc>
        <w:tc>
          <w:tcPr>
            <w:tcW w:w="1800" w:type="dxa"/>
            <w:gridSpan w:val="2"/>
            <w:tcBorders>
              <w:top w:val="single" w:sz="4" w:space="0" w:color="046B5C"/>
              <w:bottom w:val="single" w:sz="4" w:space="0" w:color="046B5C"/>
            </w:tcBorders>
            <w:shd w:val="clear" w:color="auto" w:fill="auto"/>
          </w:tcPr>
          <w:p w:rsidR="007C5969" w:rsidRPr="00932F75" w:rsidP="007C5969" w14:paraId="0CE910BD" w14:textId="57739B07">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Any</w:t>
            </w:r>
            <w:r w:rsidRPr="00220C00">
              <w:rPr>
                <w:rFonts w:ascii="Arial" w:eastAsia="Times New Roman" w:hAnsi="Arial" w:cs="Arial"/>
                <w:b/>
                <w:bCs/>
                <w:color w:val="FFFFFF"/>
                <w:sz w:val="20"/>
                <w:szCs w:val="20"/>
                <w:vertAlign w:val="superscript"/>
              </w:rPr>
              <w:t>+</w:t>
            </w:r>
            <w:r>
              <w:rPr>
                <w:rFonts w:ascii="Arial" w:eastAsia="Times New Roman" w:hAnsi="Arial" w:cs="Times New Roman"/>
                <w:color w:val="000000"/>
                <w:sz w:val="18"/>
              </w:rPr>
              <w:t xml:space="preserve">  </w:t>
            </w:r>
          </w:p>
        </w:tc>
        <w:tc>
          <w:tcPr>
            <w:tcW w:w="1080" w:type="dxa"/>
            <w:tcBorders>
              <w:top w:val="single" w:sz="4" w:space="0" w:color="046B5C"/>
              <w:bottom w:val="single" w:sz="4" w:space="0" w:color="046B5C"/>
            </w:tcBorders>
          </w:tcPr>
          <w:p w:rsidR="007C5969" w:rsidRPr="00932F75" w:rsidP="007C5969" w14:paraId="7322512D" w14:textId="2ED039D1">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LGBTQ+</w:t>
            </w:r>
          </w:p>
        </w:tc>
        <w:tc>
          <w:tcPr>
            <w:tcW w:w="1080" w:type="dxa"/>
            <w:tcBorders>
              <w:top w:val="single" w:sz="4" w:space="0" w:color="046B5C"/>
              <w:bottom w:val="single" w:sz="4" w:space="0" w:color="046B5C"/>
            </w:tcBorders>
          </w:tcPr>
          <w:p w:rsidR="007C5969" w:rsidRPr="00932F75" w:rsidP="007C5969" w14:paraId="6433DE60" w14:textId="583DD29A">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170" w:type="dxa"/>
            <w:tcBorders>
              <w:top w:val="single" w:sz="4" w:space="0" w:color="046B5C"/>
              <w:bottom w:val="single" w:sz="4" w:space="0" w:color="046B5C"/>
            </w:tcBorders>
          </w:tcPr>
          <w:p w:rsidR="007C5969" w:rsidRPr="00932F75" w:rsidP="007C5969" w14:paraId="34E70029" w14:textId="56C53024">
            <w:pPr>
              <w:tabs>
                <w:tab w:val="decimal" w:pos="982"/>
              </w:tabs>
              <w:spacing w:before="40" w:after="20" w:line="264" w:lineRule="auto"/>
              <w:jc w:val="center"/>
              <w:rPr>
                <w:rFonts w:ascii="Arial" w:eastAsia="Times New Roman" w:hAnsi="Arial" w:cs="Times New Roman"/>
                <w:color w:val="000000"/>
                <w:sz w:val="18"/>
              </w:rPr>
            </w:pPr>
            <w:r>
              <w:rPr>
                <w:rFonts w:ascii="Arial" w:eastAsia="Times New Roman" w:hAnsi="Arial" w:cs="Times New Roman"/>
                <w:color w:val="000000"/>
                <w:sz w:val="18"/>
              </w:rPr>
              <w:t>10</w:t>
            </w:r>
          </w:p>
        </w:tc>
        <w:tc>
          <w:tcPr>
            <w:tcW w:w="1440" w:type="dxa"/>
            <w:tcBorders>
              <w:top w:val="single" w:sz="4" w:space="0" w:color="046B5C"/>
              <w:bottom w:val="single" w:sz="4" w:space="0" w:color="046B5C"/>
            </w:tcBorders>
          </w:tcPr>
          <w:p w:rsidR="007C5969" w:rsidRPr="00932F75" w:rsidP="007C5969" w14:paraId="1CFE0554" w14:textId="65D4B8E1">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10</w:t>
            </w:r>
          </w:p>
        </w:tc>
        <w:tc>
          <w:tcPr>
            <w:tcW w:w="1350" w:type="dxa"/>
            <w:tcBorders>
              <w:top w:val="single" w:sz="4" w:space="0" w:color="046B5C"/>
              <w:bottom w:val="single" w:sz="4" w:space="0" w:color="046B5C"/>
            </w:tcBorders>
          </w:tcPr>
          <w:p w:rsidR="007C5969" w:rsidRPr="00932F75" w:rsidP="007C5969" w14:paraId="581F3896" w14:textId="2CC58DD8">
            <w:pPr>
              <w:tabs>
                <w:tab w:val="decimal" w:pos="982"/>
              </w:tabs>
              <w:spacing w:before="40" w:after="20" w:line="264" w:lineRule="auto"/>
              <w:rPr>
                <w:rFonts w:ascii="Arial" w:eastAsia="Times New Roman" w:hAnsi="Arial" w:cs="Times New Roman"/>
                <w:color w:val="000000"/>
                <w:sz w:val="18"/>
              </w:rPr>
            </w:pPr>
            <w:r>
              <w:rPr>
                <w:rFonts w:ascii="Arial" w:eastAsia="Times New Roman" w:hAnsi="Arial" w:cs="Times New Roman"/>
                <w:color w:val="000000"/>
                <w:sz w:val="18"/>
              </w:rPr>
              <w:t>30</w:t>
            </w:r>
          </w:p>
        </w:tc>
        <w:tc>
          <w:tcPr>
            <w:tcW w:w="1350" w:type="dxa"/>
            <w:tcBorders>
              <w:top w:val="single" w:sz="4" w:space="0" w:color="046B5C"/>
              <w:bottom w:val="single" w:sz="4" w:space="0" w:color="046B5C"/>
            </w:tcBorders>
          </w:tcPr>
          <w:p w:rsidR="007C5969" w:rsidRPr="00932F75" w:rsidP="007C5969" w14:paraId="40CAC0DD" w14:textId="77777777">
            <w:pPr>
              <w:tabs>
                <w:tab w:val="decimal" w:pos="982"/>
              </w:tabs>
              <w:spacing w:before="40" w:after="20" w:line="264" w:lineRule="auto"/>
              <w:rPr>
                <w:rFonts w:ascii="Arial" w:eastAsia="Times New Roman" w:hAnsi="Arial" w:cs="Times New Roman"/>
                <w:color w:val="000000"/>
                <w:sz w:val="18"/>
              </w:rPr>
            </w:pPr>
            <w:r w:rsidRPr="00932F75">
              <w:rPr>
                <w:rFonts w:ascii="Arial" w:eastAsia="Times New Roman" w:hAnsi="Arial" w:cs="Times New Roman"/>
                <w:color w:val="000000"/>
                <w:sz w:val="18"/>
              </w:rPr>
              <w:t>6</w:t>
            </w:r>
          </w:p>
        </w:tc>
      </w:tr>
      <w:tr w14:paraId="23AFA3D0" w14:textId="77777777" w:rsidTr="00E0449C">
        <w:tblPrEx>
          <w:tblW w:w="10620" w:type="dxa"/>
          <w:tblLayout w:type="fixed"/>
          <w:tblLook w:val="0400"/>
        </w:tblPrEx>
        <w:trPr>
          <w:trHeight w:val="288"/>
        </w:trPr>
        <w:tc>
          <w:tcPr>
            <w:tcW w:w="1350" w:type="dxa"/>
            <w:tcBorders>
              <w:top w:val="single" w:sz="4" w:space="0" w:color="046B5C"/>
              <w:bottom w:val="single" w:sz="4" w:space="0" w:color="046B5C"/>
            </w:tcBorders>
            <w:shd w:val="clear" w:color="auto" w:fill="auto"/>
          </w:tcPr>
          <w:p w:rsidR="006C11D9" w:rsidRPr="00932F75" w:rsidP="006C11D9" w14:paraId="19F8F2A8" w14:textId="77777777">
            <w:pPr>
              <w:spacing w:before="40" w:after="20" w:line="264" w:lineRule="auto"/>
              <w:rPr>
                <w:rFonts w:ascii="Arial" w:eastAsia="Times New Roman" w:hAnsi="Arial" w:cs="Times New Roman"/>
                <w:b/>
                <w:bCs/>
                <w:color w:val="000000"/>
                <w:sz w:val="18"/>
              </w:rPr>
            </w:pPr>
            <w:r w:rsidRPr="00932F75">
              <w:rPr>
                <w:rFonts w:ascii="Arial" w:eastAsia="Times New Roman" w:hAnsi="Arial" w:cs="Times New Roman"/>
                <w:b/>
                <w:bCs/>
                <w:color w:val="000000"/>
                <w:sz w:val="18"/>
              </w:rPr>
              <w:t xml:space="preserve">Total </w:t>
            </w:r>
          </w:p>
        </w:tc>
        <w:tc>
          <w:tcPr>
            <w:tcW w:w="1800" w:type="dxa"/>
            <w:gridSpan w:val="2"/>
            <w:tcBorders>
              <w:top w:val="single" w:sz="4" w:space="0" w:color="046B5C"/>
              <w:bottom w:val="single" w:sz="4" w:space="0" w:color="046B5C"/>
            </w:tcBorders>
            <w:shd w:val="clear" w:color="auto" w:fill="auto"/>
          </w:tcPr>
          <w:p w:rsidR="006C11D9" w:rsidRPr="00932F75" w:rsidP="006C11D9" w14:paraId="7E81D8D1" w14:textId="77777777">
            <w:pPr>
              <w:tabs>
                <w:tab w:val="decimal" w:pos="982"/>
              </w:tabs>
              <w:spacing w:before="40" w:after="20" w:line="264" w:lineRule="auto"/>
              <w:rPr>
                <w:rFonts w:ascii="Arial" w:eastAsia="Times New Roman" w:hAnsi="Arial" w:cs="Times New Roman"/>
                <w:b/>
                <w:bCs/>
                <w:color w:val="000000"/>
                <w:sz w:val="18"/>
              </w:rPr>
            </w:pPr>
          </w:p>
        </w:tc>
        <w:tc>
          <w:tcPr>
            <w:tcW w:w="1080" w:type="dxa"/>
            <w:tcBorders>
              <w:top w:val="single" w:sz="4" w:space="0" w:color="046B5C"/>
              <w:bottom w:val="single" w:sz="4" w:space="0" w:color="046B5C"/>
            </w:tcBorders>
          </w:tcPr>
          <w:p w:rsidR="006C11D9" w:rsidRPr="00932F75" w:rsidP="006C11D9" w14:paraId="072CF569" w14:textId="77777777">
            <w:pPr>
              <w:tabs>
                <w:tab w:val="decimal" w:pos="982"/>
              </w:tabs>
              <w:spacing w:before="40" w:after="20" w:line="264" w:lineRule="auto"/>
              <w:rPr>
                <w:rFonts w:ascii="Arial" w:eastAsia="Times New Roman" w:hAnsi="Arial" w:cs="Times New Roman"/>
                <w:b/>
                <w:bCs/>
                <w:color w:val="000000"/>
                <w:sz w:val="18"/>
              </w:rPr>
            </w:pPr>
          </w:p>
        </w:tc>
        <w:tc>
          <w:tcPr>
            <w:tcW w:w="1080" w:type="dxa"/>
            <w:tcBorders>
              <w:top w:val="single" w:sz="4" w:space="0" w:color="046B5C"/>
              <w:bottom w:val="single" w:sz="4" w:space="0" w:color="046B5C"/>
            </w:tcBorders>
          </w:tcPr>
          <w:p w:rsidR="006C11D9" w:rsidRPr="00932F75" w:rsidP="006C11D9" w14:paraId="5667B632" w14:textId="31DF65D8">
            <w:pPr>
              <w:tabs>
                <w:tab w:val="decimal" w:pos="982"/>
              </w:tabs>
              <w:spacing w:before="40" w:after="20" w:line="264" w:lineRule="auto"/>
              <w:rPr>
                <w:rFonts w:ascii="Arial" w:eastAsia="Times New Roman" w:hAnsi="Arial" w:cs="Times New Roman"/>
                <w:b/>
                <w:bCs/>
                <w:color w:val="000000"/>
                <w:sz w:val="18"/>
              </w:rPr>
            </w:pPr>
            <w:r>
              <w:rPr>
                <w:rFonts w:ascii="Arial" w:eastAsia="Times New Roman" w:hAnsi="Arial" w:cs="Times New Roman"/>
                <w:b/>
                <w:bCs/>
                <w:color w:val="000000"/>
                <w:sz w:val="18"/>
              </w:rPr>
              <w:t>60</w:t>
            </w:r>
          </w:p>
        </w:tc>
        <w:tc>
          <w:tcPr>
            <w:tcW w:w="1170" w:type="dxa"/>
            <w:tcBorders>
              <w:top w:val="single" w:sz="4" w:space="0" w:color="046B5C"/>
              <w:bottom w:val="single" w:sz="4" w:space="0" w:color="046B5C"/>
            </w:tcBorders>
          </w:tcPr>
          <w:p w:rsidR="006C11D9" w:rsidRPr="00932F75" w:rsidP="006C11D9" w14:paraId="63C58822" w14:textId="6252E928">
            <w:pPr>
              <w:tabs>
                <w:tab w:val="decimal" w:pos="982"/>
              </w:tabs>
              <w:spacing w:before="40" w:after="20" w:line="264" w:lineRule="auto"/>
              <w:jc w:val="center"/>
              <w:rPr>
                <w:rFonts w:ascii="Arial" w:eastAsia="Times New Roman" w:hAnsi="Arial" w:cs="Times New Roman"/>
                <w:b/>
                <w:bCs/>
                <w:color w:val="000000"/>
                <w:sz w:val="18"/>
              </w:rPr>
            </w:pPr>
            <w:r>
              <w:rPr>
                <w:rFonts w:ascii="Arial" w:eastAsia="Times New Roman" w:hAnsi="Arial" w:cs="Times New Roman"/>
                <w:b/>
                <w:bCs/>
                <w:color w:val="000000"/>
                <w:sz w:val="18"/>
              </w:rPr>
              <w:t>30</w:t>
            </w:r>
          </w:p>
        </w:tc>
        <w:tc>
          <w:tcPr>
            <w:tcW w:w="1440" w:type="dxa"/>
            <w:tcBorders>
              <w:top w:val="single" w:sz="4" w:space="0" w:color="046B5C"/>
              <w:bottom w:val="single" w:sz="4" w:space="0" w:color="046B5C"/>
            </w:tcBorders>
          </w:tcPr>
          <w:p w:rsidR="006C11D9" w:rsidRPr="00932F75" w:rsidP="006C11D9" w14:paraId="2C0476BD" w14:textId="21C78DA2">
            <w:pPr>
              <w:tabs>
                <w:tab w:val="decimal" w:pos="982"/>
              </w:tabs>
              <w:spacing w:before="40" w:after="20" w:line="264" w:lineRule="auto"/>
              <w:rPr>
                <w:rFonts w:ascii="Arial" w:eastAsia="Times New Roman" w:hAnsi="Arial" w:cs="Times New Roman"/>
                <w:b/>
                <w:bCs/>
                <w:color w:val="000000"/>
                <w:sz w:val="18"/>
              </w:rPr>
            </w:pPr>
            <w:r>
              <w:rPr>
                <w:rFonts w:ascii="Arial" w:eastAsia="Times New Roman" w:hAnsi="Arial" w:cs="Times New Roman"/>
                <w:b/>
                <w:bCs/>
                <w:color w:val="000000"/>
                <w:sz w:val="18"/>
              </w:rPr>
              <w:t>60</w:t>
            </w:r>
          </w:p>
        </w:tc>
        <w:tc>
          <w:tcPr>
            <w:tcW w:w="1350" w:type="dxa"/>
            <w:tcBorders>
              <w:top w:val="single" w:sz="4" w:space="0" w:color="046B5C"/>
              <w:bottom w:val="single" w:sz="4" w:space="0" w:color="046B5C"/>
            </w:tcBorders>
          </w:tcPr>
          <w:p w:rsidR="006C11D9" w:rsidRPr="00932F75" w:rsidP="006C11D9" w14:paraId="424C0A33" w14:textId="7F913B1E">
            <w:pPr>
              <w:tabs>
                <w:tab w:val="decimal" w:pos="982"/>
              </w:tabs>
              <w:spacing w:before="40" w:after="20" w:line="264" w:lineRule="auto"/>
              <w:rPr>
                <w:rFonts w:ascii="Arial" w:eastAsia="Times New Roman" w:hAnsi="Arial" w:cs="Times New Roman"/>
                <w:b/>
                <w:bCs/>
                <w:color w:val="000000"/>
                <w:sz w:val="18"/>
              </w:rPr>
            </w:pPr>
            <w:r>
              <w:rPr>
                <w:rFonts w:ascii="Arial" w:eastAsia="Times New Roman" w:hAnsi="Arial" w:cs="Times New Roman"/>
                <w:b/>
                <w:bCs/>
                <w:color w:val="000000"/>
                <w:sz w:val="18"/>
              </w:rPr>
              <w:t>150</w:t>
            </w:r>
          </w:p>
        </w:tc>
        <w:tc>
          <w:tcPr>
            <w:tcW w:w="1350" w:type="dxa"/>
            <w:tcBorders>
              <w:top w:val="single" w:sz="4" w:space="0" w:color="046B5C"/>
              <w:bottom w:val="single" w:sz="4" w:space="0" w:color="046B5C"/>
            </w:tcBorders>
          </w:tcPr>
          <w:p w:rsidR="006C11D9" w:rsidRPr="00932F75" w:rsidP="006C11D9" w14:paraId="7A3022B0" w14:textId="77777777">
            <w:pPr>
              <w:tabs>
                <w:tab w:val="decimal" w:pos="982"/>
              </w:tabs>
              <w:spacing w:before="40" w:after="20" w:line="264" w:lineRule="auto"/>
              <w:rPr>
                <w:rFonts w:ascii="Arial" w:eastAsia="Times New Roman" w:hAnsi="Arial" w:cs="Times New Roman"/>
                <w:b/>
                <w:bCs/>
                <w:color w:val="000000"/>
                <w:sz w:val="18"/>
              </w:rPr>
            </w:pPr>
            <w:r w:rsidRPr="00932F75">
              <w:rPr>
                <w:rFonts w:ascii="Arial" w:eastAsia="Times New Roman" w:hAnsi="Arial" w:cs="Times New Roman"/>
                <w:b/>
                <w:bCs/>
                <w:color w:val="000000"/>
                <w:sz w:val="18"/>
              </w:rPr>
              <w:t>30</w:t>
            </w:r>
          </w:p>
        </w:tc>
      </w:tr>
    </w:tbl>
    <w:p w:rsidR="00F74AED" w:rsidP="00CF6534" w14:paraId="49BCD2A5" w14:textId="786EF143">
      <w:pPr>
        <w:tabs>
          <w:tab w:val="left" w:pos="-720"/>
        </w:tabs>
        <w:suppressAutoHyphens/>
        <w:spacing w:after="0" w:line="240" w:lineRule="auto"/>
        <w:rPr>
          <w:sz w:val="18"/>
          <w:szCs w:val="18"/>
        </w:rPr>
      </w:pPr>
      <w:r w:rsidRPr="00B66F94">
        <w:rPr>
          <w:vertAlign w:val="superscript"/>
        </w:rPr>
        <w:t xml:space="preserve"> </w:t>
      </w:r>
      <w:r w:rsidRPr="00B66F94" w:rsidR="00B66F94">
        <w:rPr>
          <w:sz w:val="18"/>
          <w:szCs w:val="18"/>
          <w:vertAlign w:val="superscript"/>
        </w:rPr>
        <w:t>+</w:t>
      </w:r>
      <w:r w:rsidRPr="00B66F94" w:rsidR="00B66F94">
        <w:rPr>
          <w:sz w:val="18"/>
          <w:szCs w:val="18"/>
        </w:rPr>
        <w:t xml:space="preserve"> </w:t>
      </w:r>
      <w:r w:rsidR="006C11D9">
        <w:rPr>
          <w:sz w:val="18"/>
          <w:szCs w:val="18"/>
        </w:rPr>
        <w:t>“A</w:t>
      </w:r>
      <w:r w:rsidR="003E6F21">
        <w:rPr>
          <w:sz w:val="18"/>
          <w:szCs w:val="18"/>
        </w:rPr>
        <w:t>ny</w:t>
      </w:r>
      <w:r w:rsidR="006C11D9">
        <w:rPr>
          <w:sz w:val="18"/>
          <w:szCs w:val="18"/>
        </w:rPr>
        <w:t>” includes individuals who identify as any gender (</w:t>
      </w:r>
      <w:r w:rsidRPr="00B66F94" w:rsidR="00B66F94">
        <w:rPr>
          <w:sz w:val="18"/>
          <w:szCs w:val="18"/>
        </w:rPr>
        <w:t>cisgender males and females</w:t>
      </w:r>
      <w:r w:rsidR="00B66F94">
        <w:rPr>
          <w:sz w:val="18"/>
          <w:szCs w:val="18"/>
        </w:rPr>
        <w:t xml:space="preserve">, </w:t>
      </w:r>
      <w:r w:rsidRPr="00B66F94" w:rsidR="00B66F94">
        <w:rPr>
          <w:sz w:val="18"/>
          <w:szCs w:val="18"/>
        </w:rPr>
        <w:t xml:space="preserve">transgender males </w:t>
      </w:r>
      <w:r w:rsidR="006C11D9">
        <w:rPr>
          <w:sz w:val="18"/>
          <w:szCs w:val="18"/>
        </w:rPr>
        <w:t xml:space="preserve">and </w:t>
      </w:r>
      <w:r w:rsidRPr="00B66F94" w:rsidR="00B66F94">
        <w:rPr>
          <w:sz w:val="18"/>
          <w:szCs w:val="18"/>
        </w:rPr>
        <w:t>females</w:t>
      </w:r>
      <w:r w:rsidR="00B66F94">
        <w:rPr>
          <w:sz w:val="18"/>
          <w:szCs w:val="18"/>
        </w:rPr>
        <w:t>, non-binary</w:t>
      </w:r>
      <w:r w:rsidR="006C11D9">
        <w:rPr>
          <w:sz w:val="18"/>
          <w:szCs w:val="18"/>
        </w:rPr>
        <w:t xml:space="preserve">, non-confirming, </w:t>
      </w:r>
      <w:r w:rsidR="001F1BBE">
        <w:rPr>
          <w:sz w:val="18"/>
          <w:szCs w:val="18"/>
        </w:rPr>
        <w:t xml:space="preserve">questioning, </w:t>
      </w:r>
      <w:r w:rsidR="006C11D9">
        <w:rPr>
          <w:sz w:val="18"/>
          <w:szCs w:val="18"/>
        </w:rPr>
        <w:t>etc.)</w:t>
      </w:r>
      <w:r w:rsidRPr="00B66F94" w:rsidR="00B66F94">
        <w:rPr>
          <w:sz w:val="18"/>
          <w:szCs w:val="18"/>
        </w:rPr>
        <w:t xml:space="preserve"> </w:t>
      </w:r>
    </w:p>
    <w:p w:rsidR="00CF6534" w:rsidRPr="009A4F91" w:rsidP="009A4F91" w14:paraId="2C565241" w14:textId="77777777">
      <w:pPr>
        <w:tabs>
          <w:tab w:val="left" w:pos="-720"/>
        </w:tabs>
        <w:suppressAutoHyphens/>
        <w:spacing w:after="0" w:line="240" w:lineRule="auto"/>
      </w:pPr>
    </w:p>
    <w:p w:rsidR="00A517F3" w:rsidRPr="004C52D2" w:rsidP="009A4F91" w14:paraId="2398EFD8" w14:textId="1BA05573">
      <w:pPr>
        <w:tabs>
          <w:tab w:val="left" w:pos="-720"/>
        </w:tabs>
        <w:suppressAutoHyphens/>
        <w:spacing w:after="0" w:line="240" w:lineRule="auto"/>
        <w:rPr>
          <w:rFonts w:eastAsia="Times New Roman" w:cstheme="minorHAnsi"/>
          <w:color w:val="000000"/>
        </w:rPr>
      </w:pPr>
      <w:r w:rsidRPr="000A12BB">
        <w:rPr>
          <w:rFonts w:eastAsia="Times New Roman" w:cstheme="minorHAnsi"/>
          <w:color w:val="000000"/>
        </w:rPr>
        <w:t xml:space="preserve">For the </w:t>
      </w:r>
      <w:r w:rsidR="002C4F63">
        <w:rPr>
          <w:rFonts w:eastAsia="Times New Roman" w:cstheme="minorHAnsi"/>
          <w:color w:val="000000"/>
        </w:rPr>
        <w:t xml:space="preserve">in-person </w:t>
      </w:r>
      <w:r>
        <w:rPr>
          <w:rFonts w:eastAsia="Times New Roman" w:cstheme="minorHAnsi"/>
          <w:color w:val="000000"/>
        </w:rPr>
        <w:t xml:space="preserve">youth </w:t>
      </w:r>
      <w:r w:rsidRPr="000A12BB">
        <w:rPr>
          <w:rFonts w:eastAsia="Times New Roman" w:cstheme="minorHAnsi"/>
          <w:color w:val="000000"/>
        </w:rPr>
        <w:t xml:space="preserve">focus group </w:t>
      </w:r>
      <w:r w:rsidRPr="000A12BB" w:rsidR="00C26820">
        <w:rPr>
          <w:rFonts w:eastAsia="Times New Roman" w:cstheme="minorHAnsi"/>
          <w:color w:val="000000"/>
        </w:rPr>
        <w:t xml:space="preserve">discussions, the study team will work with </w:t>
      </w:r>
      <w:r w:rsidR="0035321F">
        <w:rPr>
          <w:rFonts w:eastAsia="Times New Roman" w:cstheme="minorHAnsi"/>
          <w:color w:val="000000"/>
        </w:rPr>
        <w:t xml:space="preserve">three </w:t>
      </w:r>
      <w:r w:rsidRPr="000A12BB" w:rsidR="000A12BB">
        <w:rPr>
          <w:rFonts w:eastAsia="Times New Roman" w:cstheme="minorHAnsi"/>
          <w:color w:val="000000"/>
        </w:rPr>
        <w:t xml:space="preserve"> </w:t>
      </w:r>
      <w:r w:rsidR="0035321F">
        <w:rPr>
          <w:rFonts w:eastAsia="Times New Roman" w:cstheme="minorHAnsi"/>
          <w:color w:val="000000"/>
        </w:rPr>
        <w:t xml:space="preserve">operating divisions </w:t>
      </w:r>
      <w:r w:rsidRPr="000A12BB" w:rsidR="00C26820">
        <w:rPr>
          <w:rFonts w:eastAsia="Times New Roman" w:cstheme="minorHAnsi"/>
          <w:color w:val="000000"/>
        </w:rPr>
        <w:t>within ACF</w:t>
      </w:r>
      <w:r w:rsidR="00B44DC3">
        <w:rPr>
          <w:rFonts w:eastAsia="Times New Roman" w:cstheme="minorHAnsi"/>
          <w:color w:val="000000"/>
        </w:rPr>
        <w:t xml:space="preserve"> (the Family and Youth Services Bureau, the Office of Trafficking in Persons, and the Office of Refugee Resettlement) </w:t>
      </w:r>
      <w:r w:rsidRPr="000A12BB" w:rsidR="00C26820">
        <w:rPr>
          <w:rFonts w:eastAsia="Times New Roman" w:cstheme="minorHAnsi"/>
          <w:color w:val="000000"/>
        </w:rPr>
        <w:t xml:space="preserve">to </w:t>
      </w:r>
      <w:r w:rsidRPr="000A12BB" w:rsidR="000A12BB">
        <w:rPr>
          <w:rFonts w:eastAsia="Times New Roman" w:cstheme="minorHAnsi"/>
          <w:color w:val="000000"/>
        </w:rPr>
        <w:t xml:space="preserve">identify grantee sites from which to </w:t>
      </w:r>
      <w:r w:rsidRPr="000A12BB" w:rsidR="00C26820">
        <w:rPr>
          <w:rFonts w:eastAsia="Times New Roman" w:cstheme="minorHAnsi"/>
          <w:color w:val="000000"/>
        </w:rPr>
        <w:t xml:space="preserve">recruit youth for </w:t>
      </w:r>
      <w:r w:rsidRPr="00B44DC3" w:rsidR="00C26820">
        <w:rPr>
          <w:rFonts w:eastAsia="Times New Roman" w:cstheme="minorHAnsi"/>
          <w:color w:val="000000"/>
        </w:rPr>
        <w:t>the</w:t>
      </w:r>
      <w:r w:rsidRPr="00B44DC3" w:rsidR="000A12BB">
        <w:rPr>
          <w:rFonts w:eastAsia="Times New Roman" w:cstheme="minorHAnsi"/>
          <w:color w:val="000000"/>
        </w:rPr>
        <w:t xml:space="preserve"> pretest</w:t>
      </w:r>
      <w:r w:rsidRPr="00B44DC3" w:rsidR="00C26820">
        <w:rPr>
          <w:rFonts w:eastAsia="Times New Roman" w:cstheme="minorHAnsi"/>
          <w:color w:val="000000"/>
        </w:rPr>
        <w:t>.</w:t>
      </w:r>
      <w:r w:rsidRPr="000A12BB" w:rsidR="00C26820">
        <w:rPr>
          <w:rFonts w:eastAsia="Times New Roman" w:cstheme="minorHAnsi"/>
          <w:color w:val="000000"/>
        </w:rPr>
        <w:t xml:space="preserve"> </w:t>
      </w:r>
      <w:bookmarkStart w:id="1" w:name="_Hlk178183358"/>
      <w:r w:rsidR="00F72837">
        <w:rPr>
          <w:rFonts w:eastAsia="Times New Roman" w:cstheme="minorHAnsi"/>
          <w:color w:val="000000"/>
        </w:rPr>
        <w:t xml:space="preserve">For the focus groups, we will </w:t>
      </w:r>
      <w:r w:rsidR="002C4F63">
        <w:rPr>
          <w:rFonts w:eastAsia="Times New Roman" w:cstheme="minorHAnsi"/>
          <w:color w:val="000000"/>
        </w:rPr>
        <w:t xml:space="preserve">review </w:t>
      </w:r>
      <w:r w:rsidR="00F72837">
        <w:rPr>
          <w:rFonts w:eastAsia="Times New Roman" w:cstheme="minorHAnsi"/>
          <w:color w:val="000000"/>
        </w:rPr>
        <w:t>the revised versions of the English questions, as well as translated versions of the questions in Spanish, Haitian</w:t>
      </w:r>
      <w:r w:rsidR="00B44DC3">
        <w:rPr>
          <w:rFonts w:eastAsia="Times New Roman" w:cstheme="minorHAnsi"/>
          <w:color w:val="000000"/>
        </w:rPr>
        <w:t xml:space="preserve"> Creole</w:t>
      </w:r>
      <w:r w:rsidRPr="00B44DC3" w:rsidR="00F72837">
        <w:rPr>
          <w:rFonts w:eastAsia="Times New Roman" w:cstheme="minorHAnsi"/>
          <w:color w:val="000000"/>
        </w:rPr>
        <w:t>, and</w:t>
      </w:r>
      <w:r w:rsidRPr="00B44DC3" w:rsidR="00B44DC3">
        <w:rPr>
          <w:rFonts w:eastAsia="Times New Roman" w:cstheme="minorHAnsi"/>
          <w:color w:val="000000"/>
        </w:rPr>
        <w:t xml:space="preserve"> Q’e</w:t>
      </w:r>
      <w:r w:rsidR="00E47DE5">
        <w:rPr>
          <w:rFonts w:eastAsia="Times New Roman" w:cstheme="minorHAnsi"/>
          <w:color w:val="000000"/>
        </w:rPr>
        <w:t>q</w:t>
      </w:r>
      <w:r w:rsidRPr="00B44DC3" w:rsidR="00B44DC3">
        <w:rPr>
          <w:rFonts w:eastAsia="Times New Roman" w:cstheme="minorHAnsi"/>
          <w:color w:val="000000"/>
        </w:rPr>
        <w:t>chi</w:t>
      </w:r>
      <w:r w:rsidR="00521707">
        <w:rPr>
          <w:rFonts w:eastAsia="Times New Roman" w:cstheme="minorHAnsi"/>
          <w:color w:val="000000"/>
        </w:rPr>
        <w:t>.</w:t>
      </w:r>
      <w:r w:rsidR="00691AE2">
        <w:rPr>
          <w:rFonts w:eastAsia="Times New Roman" w:cstheme="minorHAnsi"/>
          <w:color w:val="000000"/>
        </w:rPr>
        <w:t xml:space="preserve"> Haitian Creole and Q’eqchi are </w:t>
      </w:r>
      <w:r w:rsidR="00521707">
        <w:rPr>
          <w:rFonts w:eastAsia="Times New Roman" w:cstheme="minorHAnsi"/>
          <w:color w:val="000000"/>
        </w:rPr>
        <w:t xml:space="preserve">the languages most highly requested for translation for youth by ACF programs, including </w:t>
      </w:r>
      <w:r w:rsidR="00691AE2">
        <w:rPr>
          <w:rFonts w:eastAsia="Times New Roman" w:cstheme="minorHAnsi"/>
          <w:color w:val="000000"/>
        </w:rPr>
        <w:t xml:space="preserve">PREP </w:t>
      </w:r>
      <w:r w:rsidR="004337A3">
        <w:t>and SRAE</w:t>
      </w:r>
      <w:r w:rsidR="00691AE2">
        <w:rPr>
          <w:rFonts w:eastAsia="Times New Roman" w:cstheme="minorHAnsi"/>
          <w:color w:val="000000"/>
        </w:rPr>
        <w:t xml:space="preserve">, and </w:t>
      </w:r>
      <w:r w:rsidR="00521707">
        <w:rPr>
          <w:rFonts w:eastAsia="Times New Roman" w:cstheme="minorHAnsi"/>
          <w:color w:val="000000"/>
        </w:rPr>
        <w:t>the Office of Refugee Resettlement and the Office of Trafficking in Persons</w:t>
      </w:r>
      <w:r w:rsidRPr="00B44DC3" w:rsidR="00F72837">
        <w:rPr>
          <w:rFonts w:eastAsia="Times New Roman" w:cstheme="minorHAnsi"/>
          <w:color w:val="000000"/>
        </w:rPr>
        <w:t>.</w:t>
      </w:r>
      <w:r w:rsidR="00F72837">
        <w:rPr>
          <w:rFonts w:eastAsia="Times New Roman" w:cstheme="minorHAnsi"/>
          <w:color w:val="000000"/>
        </w:rPr>
        <w:t xml:space="preserve"> </w:t>
      </w:r>
      <w:bookmarkEnd w:id="1"/>
      <w:r w:rsidR="00F72837">
        <w:rPr>
          <w:rFonts w:eastAsia="Times New Roman" w:cstheme="minorHAnsi"/>
          <w:color w:val="000000"/>
        </w:rPr>
        <w:t xml:space="preserve">In recruiting youth for the focus groups, we will work with </w:t>
      </w:r>
      <w:r w:rsidR="0035321F">
        <w:rPr>
          <w:rFonts w:eastAsia="Times New Roman" w:cstheme="minorHAnsi"/>
          <w:color w:val="000000"/>
        </w:rPr>
        <w:t xml:space="preserve">each operating division </w:t>
      </w:r>
      <w:r w:rsidR="00F72837">
        <w:rPr>
          <w:rFonts w:eastAsia="Times New Roman" w:cstheme="minorHAnsi"/>
          <w:color w:val="000000"/>
        </w:rPr>
        <w:t xml:space="preserve">to identify </w:t>
      </w:r>
      <w:r w:rsidR="0035321F">
        <w:rPr>
          <w:rFonts w:eastAsia="Times New Roman" w:cstheme="minorHAnsi"/>
          <w:color w:val="000000"/>
        </w:rPr>
        <w:t xml:space="preserve">program </w:t>
      </w:r>
      <w:r w:rsidR="00F72837">
        <w:rPr>
          <w:rFonts w:eastAsia="Times New Roman" w:cstheme="minorHAnsi"/>
          <w:color w:val="000000"/>
        </w:rPr>
        <w:t xml:space="preserve">sites that serve youth who speak these languages. </w:t>
      </w:r>
      <w:r w:rsidRPr="000A12BB" w:rsidR="00C26820">
        <w:rPr>
          <w:rFonts w:eastAsia="Times New Roman" w:cstheme="minorHAnsi"/>
          <w:color w:val="000000"/>
        </w:rPr>
        <w:t>A</w:t>
      </w:r>
      <w:r w:rsidRPr="000A12BB" w:rsidR="00F74AED">
        <w:rPr>
          <w:rFonts w:eastAsia="Times New Roman" w:cstheme="minorHAnsi"/>
          <w:color w:val="000000"/>
        </w:rPr>
        <w:t xml:space="preserve">ll youth participating in the programs offered by the selected </w:t>
      </w:r>
      <w:r w:rsidRPr="000A12BB" w:rsidR="00C26820">
        <w:t xml:space="preserve">sites </w:t>
      </w:r>
      <w:r w:rsidRPr="000A12BB" w:rsidR="00F74AED">
        <w:rPr>
          <w:rFonts w:eastAsia="Times New Roman" w:cstheme="minorHAnsi"/>
          <w:color w:val="000000"/>
        </w:rPr>
        <w:t>will be eligible to</w:t>
      </w:r>
      <w:r w:rsidRPr="000A12BB" w:rsidR="00C26820">
        <w:rPr>
          <w:rFonts w:eastAsia="Times New Roman" w:cstheme="minorHAnsi"/>
          <w:color w:val="000000"/>
        </w:rPr>
        <w:t xml:space="preserve"> participate in the focus group discussions</w:t>
      </w:r>
      <w:r w:rsidRPr="000A12BB" w:rsidR="00F74AED">
        <w:rPr>
          <w:rFonts w:eastAsia="Times New Roman" w:cstheme="minorHAnsi"/>
          <w:color w:val="000000"/>
        </w:rPr>
        <w:t xml:space="preserve">, provided they assent and that the consent requirements of </w:t>
      </w:r>
      <w:r w:rsidRPr="00B44DC3" w:rsidR="00F74AED">
        <w:rPr>
          <w:rFonts w:eastAsia="Times New Roman" w:cstheme="minorHAnsi"/>
          <w:color w:val="000000"/>
        </w:rPr>
        <w:t xml:space="preserve">the site and its </w:t>
      </w:r>
      <w:r w:rsidR="00CF6534">
        <w:t>Institutional Review Board</w:t>
      </w:r>
      <w:r w:rsidRPr="00B44DC3" w:rsidR="00CF6534">
        <w:rPr>
          <w:rFonts w:eastAsia="Times New Roman" w:cstheme="minorHAnsi"/>
          <w:color w:val="000000"/>
        </w:rPr>
        <w:t xml:space="preserve"> </w:t>
      </w:r>
      <w:r w:rsidR="00CF6534">
        <w:rPr>
          <w:rFonts w:eastAsia="Times New Roman" w:cstheme="minorHAnsi"/>
          <w:color w:val="000000"/>
        </w:rPr>
        <w:t>(</w:t>
      </w:r>
      <w:r w:rsidRPr="00B44DC3" w:rsidR="00F74AED">
        <w:rPr>
          <w:rFonts w:eastAsia="Times New Roman" w:cstheme="minorHAnsi"/>
          <w:color w:val="000000"/>
        </w:rPr>
        <w:t>IRB</w:t>
      </w:r>
      <w:r w:rsidR="00CF6534">
        <w:rPr>
          <w:rFonts w:eastAsia="Times New Roman" w:cstheme="minorHAnsi"/>
          <w:color w:val="000000"/>
        </w:rPr>
        <w:t>)</w:t>
      </w:r>
      <w:r w:rsidR="00F74AED">
        <w:rPr>
          <w:rFonts w:eastAsia="Times New Roman" w:cstheme="minorHAnsi"/>
          <w:color w:val="000000"/>
        </w:rPr>
        <w:t xml:space="preserve"> are met.</w:t>
      </w:r>
      <w:r w:rsidRPr="00F6124E" w:rsidR="00F74AED">
        <w:rPr>
          <w:rFonts w:eastAsia="Times New Roman" w:cstheme="minorHAnsi"/>
          <w:iCs/>
          <w:color w:val="000000"/>
        </w:rPr>
        <w:t xml:space="preserve"> </w:t>
      </w:r>
      <w:r w:rsidR="00D0409A">
        <w:rPr>
          <w:rFonts w:eastAsia="Times New Roman" w:cstheme="minorHAnsi"/>
          <w:color w:val="000000"/>
        </w:rPr>
        <w:t xml:space="preserve">We will coordinate with the program sites to collect parental consent and youth assent for those under 18, or participant consent for those 18 or older (Appendix B). </w:t>
      </w:r>
      <w:r w:rsidR="00C26820">
        <w:rPr>
          <w:rFonts w:eastAsia="Times New Roman" w:cstheme="minorHAnsi"/>
          <w:color w:val="000000"/>
          <w:shd w:val="clear" w:color="auto" w:fill="FFFFFF" w:themeFill="background1"/>
        </w:rPr>
        <w:t xml:space="preserve">We expect that across the </w:t>
      </w:r>
      <w:r w:rsidR="0035321F">
        <w:rPr>
          <w:rFonts w:eastAsia="Times New Roman" w:cstheme="minorHAnsi"/>
          <w:color w:val="000000"/>
          <w:shd w:val="clear" w:color="auto" w:fill="FFFFFF" w:themeFill="background1"/>
        </w:rPr>
        <w:t xml:space="preserve">three divisions </w:t>
      </w:r>
      <w:r w:rsidR="000A12BB">
        <w:rPr>
          <w:rFonts w:eastAsia="Times New Roman" w:cstheme="minorHAnsi"/>
          <w:color w:val="000000"/>
          <w:shd w:val="clear" w:color="auto" w:fill="FFFFFF" w:themeFill="background1"/>
        </w:rPr>
        <w:t>and their selected sites</w:t>
      </w:r>
      <w:r w:rsidR="00C26820">
        <w:rPr>
          <w:rFonts w:eastAsia="Times New Roman" w:cstheme="minorHAnsi"/>
          <w:color w:val="000000"/>
          <w:shd w:val="clear" w:color="auto" w:fill="FFFFFF" w:themeFill="background1"/>
        </w:rPr>
        <w:t xml:space="preserve">, approximately </w:t>
      </w:r>
      <w:r w:rsidR="0033247F">
        <w:rPr>
          <w:rFonts w:eastAsia="Times New Roman" w:cstheme="minorHAnsi"/>
          <w:color w:val="000000"/>
          <w:shd w:val="clear" w:color="auto" w:fill="FFFFFF" w:themeFill="background1"/>
        </w:rPr>
        <w:t>90</w:t>
      </w:r>
      <w:r w:rsidR="00C26820">
        <w:rPr>
          <w:rFonts w:eastAsia="Times New Roman" w:cstheme="minorHAnsi"/>
          <w:color w:val="000000"/>
          <w:shd w:val="clear" w:color="auto" w:fill="FFFFFF" w:themeFill="background1"/>
        </w:rPr>
        <w:t xml:space="preserve"> youth will agree to participate</w:t>
      </w:r>
      <w:r w:rsidR="00C26820">
        <w:rPr>
          <w:rFonts w:eastAsia="Times New Roman" w:cstheme="minorHAnsi"/>
          <w:color w:val="000000"/>
          <w:shd w:val="clear" w:color="auto" w:fill="FFFFFF" w:themeFill="background1"/>
        </w:rPr>
        <w:t xml:space="preserve"> </w:t>
      </w:r>
      <w:r w:rsidR="00C26820">
        <w:rPr>
          <w:rFonts w:eastAsia="Times New Roman" w:cstheme="minorHAnsi"/>
          <w:color w:val="000000"/>
          <w:shd w:val="clear" w:color="auto" w:fill="FFFFFF" w:themeFill="background1"/>
        </w:rPr>
        <w:t xml:space="preserve">in the in-person focus groups. </w:t>
      </w:r>
      <w:r w:rsidRPr="00F6124E" w:rsidR="00F74AED">
        <w:rPr>
          <w:rFonts w:eastAsia="Times New Roman" w:cstheme="minorHAnsi"/>
          <w:color w:val="000000"/>
        </w:rPr>
        <w:t>We anticipate that</w:t>
      </w:r>
      <w:r w:rsidR="00F74AED">
        <w:rPr>
          <w:rFonts w:eastAsia="Times New Roman" w:cstheme="minorHAnsi"/>
          <w:color w:val="000000"/>
        </w:rPr>
        <w:t xml:space="preserve"> the</w:t>
      </w:r>
      <w:r w:rsidRPr="00F6124E" w:rsidR="00F74AED">
        <w:rPr>
          <w:rFonts w:eastAsia="Times New Roman" w:cstheme="minorHAnsi"/>
          <w:color w:val="000000"/>
        </w:rPr>
        <w:t xml:space="preserve"> youth program participants will be </w:t>
      </w:r>
      <w:r w:rsidR="00677D3B">
        <w:rPr>
          <w:rFonts w:eastAsia="Times New Roman" w:cstheme="minorHAnsi"/>
          <w:color w:val="000000"/>
        </w:rPr>
        <w:t xml:space="preserve">middle and </w:t>
      </w:r>
      <w:r w:rsidRPr="00F6124E" w:rsidR="00F74AED">
        <w:rPr>
          <w:rFonts w:eastAsia="Times New Roman" w:cstheme="minorHAnsi"/>
          <w:color w:val="000000"/>
        </w:rPr>
        <w:t>high school students between the ages of 1</w:t>
      </w:r>
      <w:r w:rsidR="002C1915">
        <w:rPr>
          <w:rFonts w:eastAsia="Times New Roman" w:cstheme="minorHAnsi"/>
          <w:color w:val="000000"/>
        </w:rPr>
        <w:t>2</w:t>
      </w:r>
      <w:r w:rsidRPr="00F6124E" w:rsidR="00F74AED">
        <w:rPr>
          <w:rFonts w:eastAsia="Times New Roman" w:cstheme="minorHAnsi"/>
          <w:color w:val="000000"/>
        </w:rPr>
        <w:t xml:space="preserve"> </w:t>
      </w:r>
      <w:r w:rsidR="00F74AED">
        <w:rPr>
          <w:rFonts w:eastAsia="Times New Roman" w:cstheme="minorHAnsi"/>
          <w:color w:val="000000"/>
        </w:rPr>
        <w:t>and</w:t>
      </w:r>
      <w:r w:rsidRPr="00F6124E" w:rsidR="00F74AED">
        <w:rPr>
          <w:rFonts w:eastAsia="Times New Roman" w:cstheme="minorHAnsi"/>
          <w:color w:val="000000"/>
        </w:rPr>
        <w:t xml:space="preserve"> </w:t>
      </w:r>
      <w:r w:rsidR="00F74AED">
        <w:rPr>
          <w:rFonts w:eastAsia="Times New Roman" w:cstheme="minorHAnsi"/>
          <w:color w:val="000000"/>
        </w:rPr>
        <w:t>19</w:t>
      </w:r>
      <w:r w:rsidRPr="00F6124E" w:rsidR="00F74AED">
        <w:rPr>
          <w:rFonts w:eastAsia="Times New Roman" w:cstheme="minorHAnsi"/>
          <w:color w:val="000000"/>
        </w:rPr>
        <w:t>. Program participants involved in data collection will be from a convenience sample</w:t>
      </w:r>
      <w:r w:rsidR="00F74AED">
        <w:rPr>
          <w:rFonts w:eastAsia="Times New Roman" w:cstheme="minorHAnsi"/>
          <w:color w:val="000000"/>
        </w:rPr>
        <w:t xml:space="preserve">. </w:t>
      </w:r>
      <w:r w:rsidRPr="008737FA" w:rsidR="00F74AED">
        <w:rPr>
          <w:rFonts w:eastAsia="Times New Roman" w:cstheme="minorHAnsi"/>
          <w:color w:val="000000"/>
        </w:rPr>
        <w:t>Co</w:t>
      </w:r>
      <w:r w:rsidRPr="008737FA" w:rsidR="00F74AED">
        <w:rPr>
          <w:rStyle w:val="CommentReference"/>
          <w:sz w:val="22"/>
          <w:szCs w:val="22"/>
        </w:rPr>
        <w:t>n</w:t>
      </w:r>
      <w:r w:rsidRPr="008737FA" w:rsidR="00F74AED">
        <w:rPr>
          <w:rFonts w:eastAsia="Times New Roman" w:cstheme="minorHAnsi"/>
          <w:color w:val="000000"/>
        </w:rPr>
        <w:t>seque</w:t>
      </w:r>
      <w:r w:rsidR="00F74AED">
        <w:rPr>
          <w:rFonts w:eastAsia="Times New Roman" w:cstheme="minorHAnsi"/>
          <w:color w:val="000000"/>
        </w:rPr>
        <w:t>ntly,</w:t>
      </w:r>
      <w:r w:rsidRPr="00F6124E" w:rsidR="00F74AED">
        <w:rPr>
          <w:rFonts w:eastAsia="Times New Roman" w:cstheme="minorHAnsi"/>
          <w:color w:val="000000"/>
        </w:rPr>
        <w:t xml:space="preserve"> </w:t>
      </w:r>
      <w:r w:rsidR="0028792F">
        <w:rPr>
          <w:rFonts w:eastAsia="Times New Roman" w:cstheme="minorHAnsi"/>
          <w:color w:val="000000"/>
        </w:rPr>
        <w:t xml:space="preserve">like the cognitive interview participants, </w:t>
      </w:r>
      <w:r w:rsidRPr="00F6124E" w:rsidR="00F74AED">
        <w:rPr>
          <w:rFonts w:eastAsia="Times New Roman" w:cstheme="minorHAnsi"/>
          <w:color w:val="000000"/>
        </w:rPr>
        <w:t>they may not be representative of the population</w:t>
      </w:r>
      <w:r w:rsidR="00F74AED">
        <w:rPr>
          <w:rFonts w:eastAsia="Times New Roman" w:cstheme="minorHAnsi"/>
          <w:color w:val="000000"/>
        </w:rPr>
        <w:t xml:space="preserve"> that</w:t>
      </w:r>
      <w:r w:rsidRPr="00F6124E" w:rsidR="00F74AED">
        <w:rPr>
          <w:rFonts w:eastAsia="Times New Roman" w:cstheme="minorHAnsi"/>
          <w:color w:val="000000"/>
        </w:rPr>
        <w:t xml:space="preserve"> all </w:t>
      </w:r>
      <w:r w:rsidR="008E2185">
        <w:rPr>
          <w:rFonts w:eastAsia="Times New Roman" w:cstheme="minorHAnsi"/>
          <w:color w:val="000000"/>
        </w:rPr>
        <w:t xml:space="preserve">ACF youth programs </w:t>
      </w:r>
      <w:r w:rsidRPr="00F6124E" w:rsidR="00F74AED">
        <w:rPr>
          <w:rFonts w:eastAsia="Times New Roman" w:cstheme="minorHAnsi"/>
          <w:color w:val="000000"/>
        </w:rPr>
        <w:t>serve.</w:t>
      </w:r>
    </w:p>
    <w:p w:rsidR="00BB2925" w:rsidP="008369BA" w14:paraId="0FA0D997" w14:textId="77777777">
      <w:pPr>
        <w:pStyle w:val="ListParagraph"/>
        <w:spacing w:after="0" w:line="240" w:lineRule="auto"/>
        <w:ind w:left="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A3651D" w:rsidRPr="00A3651D" w:rsidP="009A4F91" w14:paraId="4D0F0F97" w14:textId="74A1E298">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Development of Data Collection Instruments</w:t>
      </w:r>
    </w:p>
    <w:p w:rsidR="00814B90" w14:paraId="395A9DAF" w14:textId="2894700C">
      <w:pPr>
        <w:spacing w:after="0" w:line="240" w:lineRule="auto"/>
        <w:rPr>
          <w:bCs/>
        </w:rPr>
      </w:pPr>
      <w:r>
        <w:rPr>
          <w:bCs/>
        </w:rPr>
        <w:t xml:space="preserve">To develop Instrument 1, the Youth Screener for Cognitive Interviews, the study team considered what demographic variations would support the collection of data from a diverse pool of youth, identifying characteristics of interest as grade level, age, race and ethnicity, home language, gender, sexual orientation, </w:t>
      </w:r>
      <w:r w:rsidR="005624A3">
        <w:rPr>
          <w:bCs/>
        </w:rPr>
        <w:t>location (US State)</w:t>
      </w:r>
      <w:r>
        <w:rPr>
          <w:bCs/>
        </w:rPr>
        <w:t xml:space="preserve">, and urbanicity. Collecting youth’s grade level will allow us to organize groups by grade level to ensure that youth feel they are among peers in each interview grouping. Collecting youth’s age will allow us to implement appropriate consent and assent procedures, as minor youth will have a different consent process than youth who may be 18 years of age or older. </w:t>
      </w:r>
      <w:r w:rsidR="005624A3">
        <w:rPr>
          <w:bCs/>
        </w:rPr>
        <w:t xml:space="preserve">Collecting race and ethnicity will allow us to ensure diversity in the sample, as youth from different racial/ethnic backgrounds may respond differently to the items presented; for example, </w:t>
      </w:r>
      <w:r w:rsidR="009A4F91">
        <w:rPr>
          <w:bCs/>
        </w:rPr>
        <w:t xml:space="preserve">potentially including </w:t>
      </w:r>
      <w:r w:rsidR="005624A3">
        <w:rPr>
          <w:bCs/>
        </w:rPr>
        <w:t xml:space="preserve">Native American youth in the sample will allow us to hear culturally informed opinions on the potential inclusion of a “Two Spirit” response option. Collecting youth’s home language will allow us to identify youth to participate in Spanish-language testing of the measures. Collecting youth’s gender and sexual orientation will allow us to ensure diversity in the sample and organize interview groupings of LGBTQ youth. Lastly, collecting location and urbanicity will allow us to ensure diversity in the sample, as </w:t>
      </w:r>
      <w:r w:rsidR="0065548B">
        <w:rPr>
          <w:bCs/>
        </w:rPr>
        <w:t>there may differences in youth’s familiarity with and understanding of SOGI terms by geographic region or urbanicity. We do not propose collecting information on household income as youth are not a reliable source of such information.</w:t>
      </w:r>
    </w:p>
    <w:p w:rsidR="0065548B" w14:paraId="388BBCFB" w14:textId="77777777">
      <w:pPr>
        <w:spacing w:after="0" w:line="240" w:lineRule="auto"/>
        <w:rPr>
          <w:bCs/>
        </w:rPr>
      </w:pPr>
    </w:p>
    <w:p w:rsidR="00BB2925" w:rsidRPr="00A3651D" w:rsidP="009A4F91" w14:paraId="21107581" w14:textId="3F9D4E19">
      <w:pPr>
        <w:spacing w:after="0" w:line="240" w:lineRule="auto"/>
        <w:rPr>
          <w:rFonts w:ascii="Calibri" w:eastAsia="Times New Roman" w:hAnsi="Calibri" w:cs="Calibri"/>
          <w:color w:val="000000"/>
        </w:rPr>
      </w:pPr>
      <w:r>
        <w:rPr>
          <w:bCs/>
        </w:rPr>
        <w:t xml:space="preserve">To prepare the list of SOGI measures that will be presented to youth for cognitive testing, </w:t>
      </w:r>
      <w:r>
        <w:t>t</w:t>
      </w:r>
      <w:r w:rsidRPr="00D43E13" w:rsidR="00F564BB">
        <w:t>he study team scanned available SOGI measures and identified a set of items aligned with ACF’s research priorities</w:t>
      </w:r>
      <w:r>
        <w:t>,</w:t>
      </w:r>
      <w:r w:rsidRPr="00D43E13" w:rsidR="00F564BB">
        <w:t xml:space="preserve"> the latest recommendations from OMB and NASEM</w:t>
      </w:r>
      <w:r w:rsidR="004F13EE">
        <w:t xml:space="preserve"> (Appendix C)</w:t>
      </w:r>
      <w:r>
        <w:t>, and current practices for collecting SOGI measures from youth in the United States</w:t>
      </w:r>
      <w:r w:rsidRPr="00D43E13" w:rsidR="00F564BB">
        <w:t>.</w:t>
      </w:r>
      <w:r>
        <w:t xml:space="preserve">  </w:t>
      </w:r>
      <w:r w:rsidR="0065548B">
        <w:t xml:space="preserve">To develop Instrument 2, the Cognitive Interview and Focus Group Protocol, </w:t>
      </w:r>
      <w:r w:rsidR="007C5969">
        <w:t xml:space="preserve">we considered the overall goals of the cognitive interviews and focus groups; namely, to </w:t>
      </w:r>
      <w:r w:rsidR="000773B7">
        <w:t xml:space="preserve">develop an understanding of how well these measures represent the identities of youth aged 12-19, how clear and understandable the measures are to diverse populations of youth, and collect youth feedback on ways to improve the measures. Aligned with current best practices in cognitive interviewing, we developed high-level questions to ask each group of youth to consider thinking across all of the measures that were presented, as well as a set of questions specific to each measure presented. To support efforts to identify the most ideal measure for youth, we also </w:t>
      </w:r>
      <w:r w:rsidR="00457F38">
        <w:t xml:space="preserve">selected </w:t>
      </w:r>
      <w:r w:rsidR="000773B7">
        <w:t xml:space="preserve">a set of comparison questions intended to allow youth to review measures side by side and vote on their preferred options, with set discussion questions aimed to gather insight into the rationale for these preferences. </w:t>
      </w:r>
    </w:p>
    <w:p w:rsidR="00F85D35" w:rsidRPr="00901040" w:rsidP="00901040" w14:paraId="0AB97A4E"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RPr="00DF1291" w:rsidP="004410A1" w14:paraId="530C2671" w14:textId="78A9FF5F">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41EE9" w:rsidP="00CF6534" w14:paraId="7322ECBD" w14:textId="25C24BA0">
      <w:pPr>
        <w:tabs>
          <w:tab w:val="left" w:pos="-720"/>
        </w:tabs>
        <w:suppressAutoHyphens/>
        <w:spacing w:after="0" w:line="240" w:lineRule="auto"/>
        <w:rPr>
          <w:rFonts w:eastAsia="Times New Roman" w:cstheme="minorHAnsi"/>
          <w:iCs/>
          <w:color w:val="000000"/>
          <w:shd w:val="clear" w:color="auto" w:fill="FFFFFF" w:themeFill="background1"/>
        </w:rPr>
      </w:pPr>
      <w:r>
        <w:rPr>
          <w:rFonts w:eastAsia="Times New Roman" w:cstheme="minorHAnsi"/>
          <w:bCs/>
          <w:color w:val="000000"/>
        </w:rPr>
        <w:t xml:space="preserve">ACF is contracting with Mathematica </w:t>
      </w:r>
      <w:r w:rsidRPr="00DA2239">
        <w:rPr>
          <w:rFonts w:eastAsia="Times New Roman" w:cstheme="minorHAnsi"/>
          <w:iCs/>
          <w:color w:val="000000"/>
          <w:shd w:val="clear" w:color="auto" w:fill="FFFFFF" w:themeFill="background1"/>
        </w:rPr>
        <w:t>for</w:t>
      </w:r>
      <w:r>
        <w:rPr>
          <w:rFonts w:eastAsia="Times New Roman" w:cstheme="minorHAnsi"/>
          <w:bCs/>
          <w:color w:val="000000"/>
        </w:rPr>
        <w:t xml:space="preserve"> this data collection and Mathematica will oversee all data </w:t>
      </w:r>
      <w:r w:rsidRPr="00102CF6">
        <w:rPr>
          <w:rFonts w:eastAsia="Times New Roman" w:cstheme="minorHAnsi"/>
          <w:bCs/>
          <w:color w:val="000000"/>
        </w:rPr>
        <w:t>collection and ensure quality control measures are in place and followed for each</w:t>
      </w:r>
      <w:r w:rsidR="006E00D7">
        <w:rPr>
          <w:rFonts w:eastAsia="Times New Roman" w:cstheme="minorHAnsi"/>
          <w:bCs/>
          <w:color w:val="000000"/>
        </w:rPr>
        <w:t xml:space="preserve"> data collection activity</w:t>
      </w:r>
      <w:r w:rsidRPr="00102CF6">
        <w:rPr>
          <w:rFonts w:eastAsia="Times New Roman" w:cstheme="minorHAnsi"/>
          <w:bCs/>
          <w:color w:val="000000"/>
        </w:rPr>
        <w:t xml:space="preserve">. </w:t>
      </w:r>
      <w:r w:rsidRPr="00391DBF">
        <w:rPr>
          <w:rFonts w:eastAsia="Times New Roman" w:cstheme="minorHAnsi"/>
          <w:color w:val="000000"/>
          <w:shd w:val="clear" w:color="auto" w:fill="FFFFFF" w:themeFill="background1"/>
        </w:rPr>
        <w:t xml:space="preserve">To ensure an efficient </w:t>
      </w:r>
      <w:r>
        <w:rPr>
          <w:rFonts w:eastAsia="Times New Roman" w:cstheme="minorHAnsi"/>
          <w:iCs/>
          <w:color w:val="000000"/>
          <w:shd w:val="clear" w:color="auto" w:fill="FFFFFF" w:themeFill="background1"/>
        </w:rPr>
        <w:t xml:space="preserve">and standardized </w:t>
      </w:r>
      <w:r w:rsidRPr="00391DBF">
        <w:rPr>
          <w:rFonts w:eastAsia="Times New Roman" w:cstheme="minorHAnsi"/>
          <w:color w:val="000000"/>
          <w:shd w:val="clear" w:color="auto" w:fill="FFFFFF" w:themeFill="background1"/>
        </w:rPr>
        <w:t>data collection process, Mathematica</w:t>
      </w:r>
      <w:r>
        <w:rPr>
          <w:rFonts w:eastAsia="Times New Roman" w:cstheme="minorHAnsi"/>
          <w:iCs/>
          <w:color w:val="000000"/>
          <w:shd w:val="clear" w:color="auto" w:fill="FFFFFF" w:themeFill="background1"/>
        </w:rPr>
        <w:t xml:space="preserve"> study</w:t>
      </w:r>
      <w:r w:rsidRPr="00391DBF">
        <w:rPr>
          <w:rFonts w:eastAsia="Times New Roman" w:cstheme="minorHAnsi"/>
          <w:color w:val="000000"/>
          <w:shd w:val="clear" w:color="auto" w:fill="FFFFFF" w:themeFill="background1"/>
        </w:rPr>
        <w:t xml:space="preserve"> staff will participate in a</w:t>
      </w:r>
      <w:r>
        <w:rPr>
          <w:rFonts w:eastAsia="Times New Roman" w:cstheme="minorHAnsi"/>
          <w:iCs/>
          <w:color w:val="000000"/>
          <w:shd w:val="clear" w:color="auto" w:fill="FFFFFF" w:themeFill="background1"/>
        </w:rPr>
        <w:t xml:space="preserve"> project-specific</w:t>
      </w:r>
      <w:r w:rsidRPr="00391DBF">
        <w:rPr>
          <w:rFonts w:eastAsia="Times New Roman" w:cstheme="minorHAnsi"/>
          <w:color w:val="000000"/>
          <w:shd w:val="clear" w:color="auto" w:fill="FFFFFF" w:themeFill="background1"/>
        </w:rPr>
        <w:t xml:space="preserve"> data collection training. The training will cover the expectations and process for working with the </w:t>
      </w:r>
      <w:r>
        <w:rPr>
          <w:rFonts w:eastAsia="Times New Roman" w:cstheme="minorHAnsi"/>
          <w:iCs/>
          <w:color w:val="000000"/>
          <w:shd w:val="clear" w:color="auto" w:fill="FFFFFF" w:themeFill="background1"/>
        </w:rPr>
        <w:t>market research vendor and cover all aspects of the data collection. All staff will be trained on best practices for collecting high-quality data and procedures around data privacy and security.</w:t>
      </w:r>
    </w:p>
    <w:p w:rsidR="00CF6534" w:rsidRPr="004410A1" w:rsidP="009A4F91" w14:paraId="0B8A5DD7" w14:textId="77777777">
      <w:pPr>
        <w:tabs>
          <w:tab w:val="left" w:pos="-720"/>
        </w:tabs>
        <w:suppressAutoHyphens/>
        <w:spacing w:after="0" w:line="240" w:lineRule="auto"/>
        <w:rPr>
          <w:rFonts w:eastAsia="Times New Roman" w:cstheme="minorHAnsi"/>
          <w:iCs/>
          <w:color w:val="000000"/>
          <w:shd w:val="clear" w:color="auto" w:fill="FFFFFF" w:themeFill="background1"/>
        </w:rPr>
      </w:pPr>
    </w:p>
    <w:p w:rsidR="00FB3017" w:rsidP="00DB3099" w14:paraId="79987CF5" w14:textId="619B5599">
      <w:pPr>
        <w:tabs>
          <w:tab w:val="left" w:pos="-720"/>
        </w:tabs>
        <w:suppressAutoHyphens/>
        <w:spacing w:after="0" w:line="240" w:lineRule="auto"/>
        <w:rPr>
          <w:rFonts w:eastAsia="Times New Roman" w:cstheme="minorHAnsi"/>
          <w:iCs/>
          <w:color w:val="000000"/>
          <w:shd w:val="clear" w:color="auto" w:fill="FFFFFF" w:themeFill="background1"/>
        </w:rPr>
      </w:pPr>
      <w:r w:rsidRPr="00D908B4">
        <w:rPr>
          <w:rFonts w:eastAsia="Times New Roman" w:cstheme="minorHAnsi"/>
          <w:b/>
          <w:bCs/>
          <w:iCs/>
          <w:color w:val="000000"/>
          <w:shd w:val="clear" w:color="auto" w:fill="FFFFFF" w:themeFill="background1"/>
        </w:rPr>
        <w:t>Participant screening for</w:t>
      </w:r>
      <w:r>
        <w:rPr>
          <w:rFonts w:eastAsia="Times New Roman" w:cstheme="minorHAnsi"/>
          <w:b/>
          <w:bCs/>
          <w:iCs/>
          <w:color w:val="000000"/>
          <w:shd w:val="clear" w:color="auto" w:fill="FFFFFF" w:themeFill="background1"/>
        </w:rPr>
        <w:t xml:space="preserve"> virtual cognitive interviews</w:t>
      </w:r>
      <w:r w:rsidRPr="00D908B4">
        <w:rPr>
          <w:rFonts w:eastAsia="Times New Roman" w:cstheme="minorHAnsi"/>
          <w:b/>
          <w:bCs/>
          <w:iCs/>
          <w:color w:val="000000"/>
          <w:shd w:val="clear" w:color="auto" w:fill="FFFFFF" w:themeFill="background1"/>
        </w:rPr>
        <w:t>.</w:t>
      </w:r>
      <w:r>
        <w:rPr>
          <w:rFonts w:eastAsia="Times New Roman" w:cstheme="minorHAnsi"/>
          <w:iCs/>
          <w:color w:val="000000"/>
          <w:shd w:val="clear" w:color="auto" w:fill="FFFFFF" w:themeFill="background1"/>
        </w:rPr>
        <w:t xml:space="preserve"> </w:t>
      </w:r>
      <w:r>
        <w:rPr>
          <w:rFonts w:eastAsia="Times New Roman" w:cstheme="minorHAnsi"/>
          <w:iCs/>
          <w:color w:val="000000"/>
          <w:shd w:val="clear" w:color="auto" w:fill="FFFFFF" w:themeFill="background1"/>
        </w:rPr>
        <w:t xml:space="preserve">To recruit </w:t>
      </w:r>
      <w:r w:rsidR="00BA6D05">
        <w:rPr>
          <w:rFonts w:eastAsia="Times New Roman" w:cstheme="minorHAnsi"/>
          <w:iCs/>
          <w:color w:val="000000"/>
          <w:shd w:val="clear" w:color="auto" w:fill="FFFFFF" w:themeFill="background1"/>
        </w:rPr>
        <w:t xml:space="preserve">youth </w:t>
      </w:r>
      <w:r>
        <w:rPr>
          <w:rFonts w:eastAsia="Times New Roman" w:cstheme="minorHAnsi"/>
          <w:iCs/>
          <w:color w:val="000000"/>
          <w:shd w:val="clear" w:color="auto" w:fill="FFFFFF" w:themeFill="background1"/>
        </w:rPr>
        <w:t>participants for the virtual cognitive interviews, Mathematica will work closely with the market research vendor</w:t>
      </w:r>
      <w:r w:rsidR="00AC1576">
        <w:rPr>
          <w:rFonts w:eastAsia="Times New Roman" w:cstheme="minorHAnsi"/>
          <w:iCs/>
          <w:color w:val="000000"/>
          <w:shd w:val="clear" w:color="auto" w:fill="FFFFFF" w:themeFill="background1"/>
        </w:rPr>
        <w:t xml:space="preserve">, </w:t>
      </w:r>
      <w:r w:rsidR="00AC1576">
        <w:rPr>
          <w:rFonts w:eastAsia="Times New Roman" w:cstheme="minorHAnsi"/>
          <w:iCs/>
          <w:color w:val="000000"/>
          <w:shd w:val="clear" w:color="auto" w:fill="FFFFFF" w:themeFill="background1"/>
        </w:rPr>
        <w:t>Canview</w:t>
      </w:r>
      <w:r>
        <w:rPr>
          <w:rFonts w:eastAsia="Times New Roman" w:cstheme="minorHAnsi"/>
          <w:iCs/>
          <w:color w:val="000000"/>
          <w:shd w:val="clear" w:color="auto" w:fill="FFFFFF" w:themeFill="background1"/>
        </w:rPr>
        <w:t xml:space="preserve">. </w:t>
      </w:r>
      <w:r w:rsidR="00AC1576">
        <w:rPr>
          <w:rFonts w:eastAsia="Times New Roman" w:cstheme="minorHAnsi"/>
          <w:iCs/>
          <w:color w:val="000000"/>
          <w:shd w:val="clear" w:color="auto" w:fill="FFFFFF" w:themeFill="background1"/>
        </w:rPr>
        <w:t>Canview</w:t>
      </w:r>
      <w:r>
        <w:rPr>
          <w:rFonts w:eastAsia="Times New Roman" w:cstheme="minorHAnsi"/>
          <w:iCs/>
          <w:color w:val="000000"/>
          <w:shd w:val="clear" w:color="auto" w:fill="FFFFFF" w:themeFill="background1"/>
        </w:rPr>
        <w:t xml:space="preserve"> will conduct outreach to their panel members, and administer via a web survey a short, 5-minute </w:t>
      </w:r>
      <w:r>
        <w:rPr>
          <w:rFonts w:eastAsia="Times New Roman" w:cstheme="minorHAnsi"/>
          <w:iCs/>
          <w:color w:val="000000"/>
          <w:shd w:val="clear" w:color="auto" w:fill="FFFFFF" w:themeFill="background1"/>
        </w:rPr>
        <w:t>eligibility screener</w:t>
      </w:r>
      <w:r w:rsidR="000A4086">
        <w:rPr>
          <w:rFonts w:eastAsia="Times New Roman" w:cstheme="minorHAnsi"/>
          <w:iCs/>
          <w:color w:val="000000"/>
          <w:shd w:val="clear" w:color="auto" w:fill="FFFFFF" w:themeFill="background1"/>
        </w:rPr>
        <w:t xml:space="preserve"> (Instrument 1)</w:t>
      </w:r>
      <w:r>
        <w:rPr>
          <w:rFonts w:eastAsia="Times New Roman" w:cstheme="minorHAnsi"/>
          <w:iCs/>
          <w:color w:val="000000"/>
          <w:shd w:val="clear" w:color="auto" w:fill="FFFFFF" w:themeFill="background1"/>
        </w:rPr>
        <w:t>. This screener is designed to allow the Mathematica study team to purposively select study participants based on key criteria</w:t>
      </w:r>
      <w:r w:rsidR="00396DFE">
        <w:rPr>
          <w:rFonts w:eastAsia="Times New Roman" w:cstheme="minorHAnsi"/>
          <w:iCs/>
          <w:color w:val="000000"/>
          <w:shd w:val="clear" w:color="auto" w:fill="FFFFFF" w:themeFill="background1"/>
        </w:rPr>
        <w:t xml:space="preserve"> (age</w:t>
      </w:r>
      <w:r w:rsidR="003E6F21">
        <w:rPr>
          <w:rFonts w:eastAsia="Times New Roman" w:cstheme="minorHAnsi"/>
          <w:iCs/>
          <w:color w:val="000000"/>
          <w:shd w:val="clear" w:color="auto" w:fill="FFFFFF" w:themeFill="background1"/>
        </w:rPr>
        <w:t xml:space="preserve">, </w:t>
      </w:r>
      <w:r w:rsidR="00396DFE">
        <w:rPr>
          <w:rFonts w:eastAsia="Times New Roman" w:cstheme="minorHAnsi"/>
          <w:iCs/>
          <w:color w:val="000000"/>
          <w:shd w:val="clear" w:color="auto" w:fill="FFFFFF" w:themeFill="background1"/>
        </w:rPr>
        <w:t>grade, gender identity, sexual orientation, and primary language)</w:t>
      </w:r>
      <w:r>
        <w:rPr>
          <w:rFonts w:eastAsia="Times New Roman" w:cstheme="minorHAnsi"/>
          <w:iCs/>
          <w:color w:val="000000"/>
          <w:shd w:val="clear" w:color="auto" w:fill="FFFFFF" w:themeFill="background1"/>
        </w:rPr>
        <w:t xml:space="preserve">, ensuring all participants are eligible for the study, </w:t>
      </w:r>
      <w:r w:rsidRPr="006E00D7">
        <w:rPr>
          <w:rFonts w:eastAsia="Times New Roman" w:cstheme="minorHAnsi"/>
          <w:iCs/>
          <w:color w:val="000000"/>
          <w:shd w:val="clear" w:color="auto" w:fill="FFFFFF" w:themeFill="background1"/>
        </w:rPr>
        <w:t xml:space="preserve">and that variation exists </w:t>
      </w:r>
      <w:r w:rsidR="00396DFE">
        <w:rPr>
          <w:rFonts w:eastAsia="Times New Roman" w:cstheme="minorHAnsi"/>
          <w:iCs/>
          <w:color w:val="000000"/>
          <w:shd w:val="clear" w:color="auto" w:fill="FFFFFF" w:themeFill="background1"/>
        </w:rPr>
        <w:t xml:space="preserve">on other demographics. </w:t>
      </w:r>
      <w:r>
        <w:rPr>
          <w:rFonts w:eastAsia="Times New Roman" w:cstheme="minorHAnsi"/>
          <w:iCs/>
          <w:color w:val="000000"/>
          <w:shd w:val="clear" w:color="auto" w:fill="FFFFFF" w:themeFill="background1"/>
        </w:rPr>
        <w:t>The data collection process will be monitored to maintain high standards of participant selection and to ensure that the study participants accurately reflect the desired variation in the pretest population.</w:t>
      </w:r>
      <w:r>
        <w:rPr>
          <w:rFonts w:eastAsia="Times New Roman" w:cstheme="minorHAnsi"/>
          <w:iCs/>
          <w:color w:val="000000"/>
          <w:shd w:val="clear" w:color="auto" w:fill="FFFFFF" w:themeFill="background1"/>
        </w:rPr>
        <w:t xml:space="preserve"> </w:t>
      </w:r>
    </w:p>
    <w:p w:rsidR="00DB3099" w:rsidRPr="00102CF6" w:rsidP="009A4F91" w14:paraId="20046DB2" w14:textId="77777777">
      <w:pPr>
        <w:tabs>
          <w:tab w:val="left" w:pos="-720"/>
        </w:tabs>
        <w:suppressAutoHyphens/>
        <w:spacing w:after="0" w:line="240" w:lineRule="auto"/>
        <w:rPr>
          <w:rFonts w:eastAsia="Times New Roman" w:cstheme="minorHAnsi"/>
          <w:bCs/>
          <w:color w:val="000000"/>
        </w:rPr>
      </w:pPr>
    </w:p>
    <w:p w:rsidR="00D9218F" w:rsidRPr="004410A1" w:rsidP="009A4F91" w14:paraId="162DC8A3" w14:textId="13F01F0C">
      <w:pPr>
        <w:suppressAutoHyphens/>
        <w:spacing w:after="0" w:line="240" w:lineRule="auto"/>
        <w:rPr>
          <w:rFonts w:eastAsia="Times New Roman"/>
          <w:b/>
          <w:bCs/>
          <w:color w:val="000000"/>
          <w:shd w:val="clear" w:color="auto" w:fill="FFFFFF" w:themeFill="background1"/>
        </w:rPr>
      </w:pPr>
      <w:r w:rsidRPr="5E3EE6FC">
        <w:rPr>
          <w:rFonts w:eastAsia="Times New Roman"/>
          <w:b/>
          <w:bCs/>
          <w:color w:val="000000"/>
          <w:shd w:val="clear" w:color="auto" w:fill="FFFFFF" w:themeFill="background1"/>
        </w:rPr>
        <w:t>Cognitive Interviews</w:t>
      </w:r>
      <w:r w:rsidR="00894DC6">
        <w:rPr>
          <w:rFonts w:eastAsia="Times New Roman"/>
          <w:b/>
          <w:bCs/>
          <w:color w:val="000000"/>
          <w:shd w:val="clear" w:color="auto" w:fill="FFFFFF" w:themeFill="background1"/>
        </w:rPr>
        <w:t xml:space="preserve"> and </w:t>
      </w:r>
      <w:r>
        <w:rPr>
          <w:rFonts w:eastAsia="Times New Roman"/>
          <w:b/>
          <w:bCs/>
          <w:color w:val="000000"/>
          <w:shd w:val="clear" w:color="auto" w:fill="FFFFFF" w:themeFill="background1"/>
        </w:rPr>
        <w:t xml:space="preserve">youth </w:t>
      </w:r>
      <w:r w:rsidR="00894DC6">
        <w:rPr>
          <w:rFonts w:eastAsia="Times New Roman"/>
          <w:b/>
          <w:bCs/>
          <w:color w:val="000000"/>
          <w:shd w:val="clear" w:color="auto" w:fill="FFFFFF" w:themeFill="background1"/>
        </w:rPr>
        <w:t>focus group discussions</w:t>
      </w:r>
      <w:r w:rsidRPr="5E3EE6FC">
        <w:rPr>
          <w:rFonts w:eastAsia="Times New Roman"/>
          <w:b/>
          <w:bCs/>
          <w:color w:val="000000"/>
          <w:shd w:val="clear" w:color="auto" w:fill="FFFFFF" w:themeFill="background1"/>
        </w:rPr>
        <w:t>.</w:t>
      </w:r>
      <w:r w:rsidRPr="5E3EE6FC">
        <w:rPr>
          <w:rFonts w:eastAsia="Times New Roman"/>
          <w:color w:val="000000"/>
          <w:shd w:val="clear" w:color="auto" w:fill="FFFFFF" w:themeFill="background1"/>
        </w:rPr>
        <w:t xml:space="preserve"> </w:t>
      </w:r>
      <w:r w:rsidR="00D327D3">
        <w:rPr>
          <w:rFonts w:eastAsia="Times New Roman"/>
          <w:color w:val="000000"/>
          <w:shd w:val="clear" w:color="auto" w:fill="FFFFFF" w:themeFill="background1"/>
        </w:rPr>
        <w:t>The study team</w:t>
      </w:r>
      <w:r w:rsidRPr="5E3EE6FC" w:rsidR="00D327D3">
        <w:rPr>
          <w:rFonts w:eastAsia="Times New Roman"/>
          <w:color w:val="000000"/>
          <w:shd w:val="clear" w:color="auto" w:fill="FFFFFF" w:themeFill="background1"/>
        </w:rPr>
        <w:t xml:space="preserve"> </w:t>
      </w:r>
      <w:r w:rsidRPr="5E3EE6FC">
        <w:rPr>
          <w:rFonts w:eastAsia="Times New Roman"/>
          <w:color w:val="000000"/>
          <w:shd w:val="clear" w:color="auto" w:fill="FFFFFF" w:themeFill="background1"/>
        </w:rPr>
        <w:t>will collect data by moderating all small group cognitive interviews</w:t>
      </w:r>
      <w:r w:rsidR="00894DC6">
        <w:rPr>
          <w:rFonts w:eastAsia="Times New Roman"/>
          <w:color w:val="000000"/>
          <w:shd w:val="clear" w:color="auto" w:fill="FFFFFF" w:themeFill="background1"/>
        </w:rPr>
        <w:t xml:space="preserve"> and focus group discussions</w:t>
      </w:r>
      <w:r w:rsidRPr="5E3EE6FC">
        <w:rPr>
          <w:rFonts w:eastAsia="Times New Roman"/>
          <w:color w:val="000000"/>
          <w:shd w:val="clear" w:color="auto" w:fill="FFFFFF" w:themeFill="background1"/>
        </w:rPr>
        <w:t xml:space="preserve">, following </w:t>
      </w:r>
      <w:r w:rsidRPr="5E3EE6FC">
        <w:rPr>
          <w:rFonts w:eastAsia="Times New Roman"/>
          <w:color w:val="000000" w:themeColor="text1"/>
        </w:rPr>
        <w:t xml:space="preserve">a </w:t>
      </w:r>
      <w:r w:rsidR="00894DC6">
        <w:rPr>
          <w:rFonts w:eastAsia="Times New Roman"/>
          <w:color w:val="000000"/>
          <w:shd w:val="clear" w:color="auto" w:fill="FFFFFF" w:themeFill="background1"/>
        </w:rPr>
        <w:t xml:space="preserve">data collection </w:t>
      </w:r>
      <w:r w:rsidRPr="5E3EE6FC">
        <w:rPr>
          <w:rFonts w:eastAsia="Times New Roman"/>
          <w:color w:val="000000"/>
          <w:shd w:val="clear" w:color="auto" w:fill="FFFFFF" w:themeFill="background1"/>
        </w:rPr>
        <w:t>protocol (Instrument</w:t>
      </w:r>
      <w:r w:rsidR="00894DC6">
        <w:rPr>
          <w:rFonts w:eastAsia="Times New Roman"/>
          <w:color w:val="000000"/>
          <w:shd w:val="clear" w:color="auto" w:fill="FFFFFF" w:themeFill="background1"/>
        </w:rPr>
        <w:t xml:space="preserve"> </w:t>
      </w:r>
      <w:r w:rsidR="00F133AE">
        <w:rPr>
          <w:rFonts w:eastAsia="Times New Roman"/>
          <w:color w:val="000000"/>
          <w:shd w:val="clear" w:color="auto" w:fill="FFFFFF" w:themeFill="background1"/>
        </w:rPr>
        <w:t>2</w:t>
      </w:r>
      <w:r w:rsidR="00894DC6">
        <w:rPr>
          <w:rFonts w:eastAsia="Times New Roman"/>
          <w:color w:val="000000"/>
          <w:shd w:val="clear" w:color="auto" w:fill="FFFFFF" w:themeFill="background1"/>
        </w:rPr>
        <w:t xml:space="preserve">). </w:t>
      </w:r>
      <w:r w:rsidRPr="5E3EE6FC">
        <w:rPr>
          <w:rFonts w:eastAsia="Times New Roman"/>
          <w:color w:val="000000"/>
          <w:shd w:val="clear" w:color="auto" w:fill="FFFFFF" w:themeFill="background1"/>
        </w:rPr>
        <w:t xml:space="preserve">The </w:t>
      </w:r>
      <w:r w:rsidR="00894DC6">
        <w:rPr>
          <w:rFonts w:eastAsia="Times New Roman"/>
          <w:color w:val="000000"/>
          <w:shd w:val="clear" w:color="auto" w:fill="FFFFFF" w:themeFill="background1"/>
        </w:rPr>
        <w:t xml:space="preserve">cognitive interviews will be </w:t>
      </w:r>
      <w:r w:rsidRPr="5E3EE6FC">
        <w:rPr>
          <w:rFonts w:eastAsia="Times New Roman"/>
          <w:color w:val="000000"/>
          <w:shd w:val="clear" w:color="auto" w:fill="FFFFFF" w:themeFill="background1"/>
        </w:rPr>
        <w:t xml:space="preserve">held </w:t>
      </w:r>
      <w:r w:rsidRPr="5E3EE6FC">
        <w:rPr>
          <w:rFonts w:eastAsia="Times New Roman"/>
          <w:color w:val="000000" w:themeColor="text1"/>
        </w:rPr>
        <w:t xml:space="preserve">on a virtual platform such as WebEx or Zoom, and all participants, including the experienced cognitive interviewers, will log into the platform. </w:t>
      </w:r>
      <w:r w:rsidR="00894DC6">
        <w:rPr>
          <w:rFonts w:eastAsia="Times New Roman"/>
          <w:color w:val="000000"/>
          <w:shd w:val="clear" w:color="auto" w:fill="FFFFFF" w:themeFill="background1"/>
        </w:rPr>
        <w:t>C</w:t>
      </w:r>
      <w:r w:rsidRPr="5E3EE6FC">
        <w:rPr>
          <w:rFonts w:eastAsia="Times New Roman"/>
          <w:color w:val="000000"/>
          <w:shd w:val="clear" w:color="auto" w:fill="FFFFFF" w:themeFill="background1"/>
        </w:rPr>
        <w:t>ognitive interview</w:t>
      </w:r>
      <w:r w:rsidR="00B7230F">
        <w:rPr>
          <w:rFonts w:eastAsia="Times New Roman"/>
          <w:color w:val="000000"/>
          <w:shd w:val="clear" w:color="auto" w:fill="FFFFFF" w:themeFill="background1"/>
        </w:rPr>
        <w:t>s</w:t>
      </w:r>
      <w:r w:rsidRPr="5E3EE6FC">
        <w:rPr>
          <w:rFonts w:eastAsia="Times New Roman"/>
          <w:color w:val="000000"/>
          <w:shd w:val="clear" w:color="auto" w:fill="FFFFFF" w:themeFill="background1"/>
        </w:rPr>
        <w:t xml:space="preserve"> </w:t>
      </w:r>
      <w:r w:rsidR="00894DC6">
        <w:rPr>
          <w:rFonts w:eastAsia="Times New Roman"/>
          <w:color w:val="000000"/>
          <w:shd w:val="clear" w:color="auto" w:fill="FFFFFF" w:themeFill="background1"/>
        </w:rPr>
        <w:t xml:space="preserve">will be conducted </w:t>
      </w:r>
      <w:r w:rsidR="00B7230F">
        <w:rPr>
          <w:rFonts w:eastAsia="Times New Roman"/>
          <w:color w:val="000000"/>
          <w:shd w:val="clear" w:color="auto" w:fill="FFFFFF" w:themeFill="background1"/>
        </w:rPr>
        <w:t xml:space="preserve">with up to </w:t>
      </w:r>
      <w:r w:rsidR="00F312FD">
        <w:rPr>
          <w:rFonts w:eastAsia="Times New Roman"/>
          <w:color w:val="000000"/>
          <w:shd w:val="clear" w:color="auto" w:fill="FFFFFF" w:themeFill="background1"/>
        </w:rPr>
        <w:t xml:space="preserve">5 </w:t>
      </w:r>
      <w:r w:rsidR="00B7230F">
        <w:rPr>
          <w:rFonts w:eastAsia="Times New Roman"/>
          <w:color w:val="000000"/>
          <w:shd w:val="clear" w:color="auto" w:fill="FFFFFF" w:themeFill="background1"/>
        </w:rPr>
        <w:t>participants per group</w:t>
      </w:r>
      <w:r w:rsidRPr="5E3EE6FC">
        <w:rPr>
          <w:rFonts w:eastAsia="Times New Roman"/>
          <w:color w:val="000000"/>
          <w:shd w:val="clear" w:color="auto" w:fill="FFFFFF" w:themeFill="background1"/>
        </w:rPr>
        <w:t xml:space="preserve">. </w:t>
      </w:r>
      <w:r w:rsidR="00984048">
        <w:rPr>
          <w:rFonts w:eastAsia="Times New Roman"/>
          <w:color w:val="000000"/>
          <w:shd w:val="clear" w:color="auto" w:fill="FFFFFF" w:themeFill="background1"/>
        </w:rPr>
        <w:t xml:space="preserve">The </w:t>
      </w:r>
      <w:r w:rsidR="00B7230F">
        <w:rPr>
          <w:rFonts w:eastAsia="Times New Roman"/>
          <w:color w:val="000000"/>
          <w:shd w:val="clear" w:color="auto" w:fill="FFFFFF" w:themeFill="background1"/>
        </w:rPr>
        <w:t xml:space="preserve">youth </w:t>
      </w:r>
      <w:r w:rsidR="00984048">
        <w:rPr>
          <w:rFonts w:eastAsia="Times New Roman"/>
          <w:color w:val="000000"/>
          <w:shd w:val="clear" w:color="auto" w:fill="FFFFFF" w:themeFill="background1"/>
        </w:rPr>
        <w:t xml:space="preserve">focus group discussions will be conducted in-person, on-site for select programs. </w:t>
      </w:r>
      <w:r w:rsidRPr="5E3EE6FC">
        <w:rPr>
          <w:rFonts w:eastAsia="Times New Roman"/>
          <w:color w:val="000000"/>
          <w:shd w:val="clear" w:color="auto" w:fill="FFFFFF" w:themeFill="background1"/>
        </w:rPr>
        <w:t xml:space="preserve">During </w:t>
      </w:r>
      <w:r w:rsidR="00984048">
        <w:rPr>
          <w:rFonts w:eastAsia="Times New Roman"/>
          <w:color w:val="000000"/>
          <w:shd w:val="clear" w:color="auto" w:fill="FFFFFF" w:themeFill="background1"/>
        </w:rPr>
        <w:t xml:space="preserve">the </w:t>
      </w:r>
      <w:r w:rsidRPr="5E3EE6FC">
        <w:rPr>
          <w:rFonts w:eastAsia="Times New Roman"/>
          <w:color w:val="000000" w:themeColor="text1"/>
        </w:rPr>
        <w:t>cognitive interview</w:t>
      </w:r>
      <w:r w:rsidR="00984048">
        <w:rPr>
          <w:rFonts w:eastAsia="Times New Roman"/>
          <w:color w:val="000000" w:themeColor="text1"/>
        </w:rPr>
        <w:t>s and focus group</w:t>
      </w:r>
      <w:r w:rsidRPr="5E3EE6FC">
        <w:rPr>
          <w:rFonts w:eastAsia="Times New Roman"/>
          <w:color w:val="000000" w:themeColor="text1"/>
        </w:rPr>
        <w:t xml:space="preserve"> discussion</w:t>
      </w:r>
      <w:r w:rsidR="00984048">
        <w:rPr>
          <w:rFonts w:eastAsia="Times New Roman"/>
          <w:color w:val="000000" w:themeColor="text1"/>
        </w:rPr>
        <w:t>s</w:t>
      </w:r>
      <w:r w:rsidRPr="5E3EE6FC">
        <w:rPr>
          <w:rFonts w:eastAsia="Times New Roman"/>
          <w:color w:val="000000"/>
          <w:shd w:val="clear" w:color="auto" w:fill="FFFFFF" w:themeFill="background1"/>
        </w:rPr>
        <w:t xml:space="preserve">, the participants will begin by </w:t>
      </w:r>
      <w:r w:rsidR="00894DC6">
        <w:rPr>
          <w:rFonts w:eastAsia="Times New Roman"/>
          <w:color w:val="000000"/>
          <w:shd w:val="clear" w:color="auto" w:fill="FFFFFF" w:themeFill="background1"/>
        </w:rPr>
        <w:t xml:space="preserve">reviewing several SOGI items, </w:t>
      </w:r>
      <w:r w:rsidRPr="5E3EE6FC">
        <w:rPr>
          <w:rFonts w:eastAsia="Times New Roman"/>
          <w:color w:val="000000"/>
          <w:shd w:val="clear" w:color="auto" w:fill="FFFFFF" w:themeFill="background1"/>
        </w:rPr>
        <w:t xml:space="preserve">followed by a guided discussion using the </w:t>
      </w:r>
      <w:r w:rsidR="00984048">
        <w:rPr>
          <w:rFonts w:eastAsia="Times New Roman"/>
          <w:color w:val="000000"/>
          <w:shd w:val="clear" w:color="auto" w:fill="FFFFFF" w:themeFill="background1"/>
        </w:rPr>
        <w:t xml:space="preserve">relevant </w:t>
      </w:r>
      <w:r w:rsidRPr="5E3EE6FC">
        <w:rPr>
          <w:rFonts w:eastAsia="Times New Roman"/>
          <w:color w:val="000000"/>
          <w:shd w:val="clear" w:color="auto" w:fill="FFFFFF" w:themeFill="background1"/>
        </w:rPr>
        <w:t xml:space="preserve">protocol. </w:t>
      </w:r>
      <w:r w:rsidR="00457F38">
        <w:rPr>
          <w:rFonts w:eastAsia="Times New Roman"/>
          <w:color w:val="000000"/>
          <w:shd w:val="clear" w:color="auto" w:fill="FFFFFF" w:themeFill="background1"/>
        </w:rPr>
        <w:t xml:space="preserve">Interviews and discussions with youth </w:t>
      </w:r>
      <w:r w:rsidR="00D327D3">
        <w:rPr>
          <w:rFonts w:eastAsia="Times New Roman"/>
          <w:color w:val="000000"/>
          <w:shd w:val="clear" w:color="auto" w:fill="FFFFFF" w:themeFill="background1"/>
        </w:rPr>
        <w:t xml:space="preserve">who speak a language other than English </w:t>
      </w:r>
      <w:r w:rsidR="00457F38">
        <w:rPr>
          <w:rFonts w:eastAsia="Times New Roman"/>
          <w:color w:val="000000"/>
          <w:shd w:val="clear" w:color="auto" w:fill="FFFFFF" w:themeFill="background1"/>
        </w:rPr>
        <w:t xml:space="preserve">will be led by moderators who are fluent in </w:t>
      </w:r>
      <w:r w:rsidR="00D327D3">
        <w:rPr>
          <w:rFonts w:eastAsia="Times New Roman"/>
          <w:color w:val="000000"/>
          <w:shd w:val="clear" w:color="auto" w:fill="FFFFFF" w:themeFill="background1"/>
        </w:rPr>
        <w:t>the youth’s primary language</w:t>
      </w:r>
      <w:r w:rsidR="00457F38">
        <w:rPr>
          <w:rFonts w:eastAsia="Times New Roman"/>
          <w:color w:val="000000"/>
          <w:shd w:val="clear" w:color="auto" w:fill="FFFFFF" w:themeFill="background1"/>
        </w:rPr>
        <w:t xml:space="preserve">. </w:t>
      </w:r>
      <w:r w:rsidRPr="5E3EE6FC">
        <w:rPr>
          <w:rFonts w:eastAsia="Times New Roman"/>
          <w:color w:val="000000"/>
          <w:shd w:val="clear" w:color="auto" w:fill="FFFFFF" w:themeFill="background1"/>
        </w:rPr>
        <w:t>A notetaker will take live notes and the session</w:t>
      </w:r>
      <w:r w:rsidRPr="5E3EE6FC">
        <w:rPr>
          <w:rFonts w:eastAsia="Times New Roman"/>
          <w:color w:val="000000" w:themeColor="text1"/>
        </w:rPr>
        <w:t>s</w:t>
      </w:r>
      <w:r w:rsidRPr="5E3EE6FC">
        <w:rPr>
          <w:rFonts w:eastAsia="Times New Roman"/>
          <w:color w:val="000000"/>
          <w:shd w:val="clear" w:color="auto" w:fill="FFFFFF" w:themeFill="background1"/>
        </w:rPr>
        <w:t xml:space="preserve"> will be audio recorded to ensure accurate collection of data. Following each</w:t>
      </w:r>
      <w:r w:rsidRPr="5E3EE6FC">
        <w:rPr>
          <w:rFonts w:eastAsia="Times New Roman"/>
          <w:color w:val="000000"/>
          <w:shd w:val="clear" w:color="auto" w:fill="FFFFFF" w:themeFill="background1"/>
        </w:rPr>
        <w:t xml:space="preserve"> </w:t>
      </w:r>
      <w:r w:rsidRPr="5E3EE6FC">
        <w:rPr>
          <w:rFonts w:eastAsia="Times New Roman"/>
          <w:color w:val="000000" w:themeColor="text1"/>
        </w:rPr>
        <w:t xml:space="preserve">discussion </w:t>
      </w:r>
      <w:r w:rsidRPr="5E3EE6FC">
        <w:rPr>
          <w:rFonts w:eastAsia="Times New Roman"/>
          <w:color w:val="000000"/>
          <w:shd w:val="clear" w:color="auto" w:fill="FFFFFF" w:themeFill="background1"/>
        </w:rPr>
        <w:t>group, the moderator and notetaker will debrief on the session together. The notetaker will finalize the notes, which will be reviewed by the moderator to ensure accuracy and completeness.</w:t>
      </w:r>
      <w:r w:rsidRPr="5E3EE6FC">
        <w:rPr>
          <w:rFonts w:eastAsia="Times New Roman"/>
          <w:b/>
          <w:bCs/>
          <w:color w:val="000000"/>
          <w:shd w:val="clear" w:color="auto" w:fill="FFFFFF" w:themeFill="background1"/>
        </w:rPr>
        <w:t xml:space="preserve"> </w:t>
      </w:r>
    </w:p>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b/>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85D35" w:rsidP="009A4F91" w14:paraId="61C761AE" w14:textId="3737092C">
      <w:pPr>
        <w:tabs>
          <w:tab w:val="left" w:pos="-720"/>
        </w:tabs>
        <w:suppressAutoHyphens/>
        <w:spacing w:after="0" w:line="240" w:lineRule="auto"/>
        <w:rPr>
          <w:rFonts w:eastAsia="Times New Roman" w:cstheme="minorHAnsi"/>
          <w:i/>
          <w:color w:val="000000"/>
        </w:rPr>
      </w:pPr>
      <w:r>
        <w:t xml:space="preserve">For </w:t>
      </w:r>
      <w:r w:rsidR="00984048">
        <w:t xml:space="preserve">the virtual cognitive interviews, </w:t>
      </w:r>
      <w:r>
        <w:t>respondents will be purposively selected from a pool of eligible respondents (eligibility determined by Instrument 1). During</w:t>
      </w:r>
      <w:r w:rsidR="00984048">
        <w:t xml:space="preserve"> the in-person focus groups</w:t>
      </w:r>
      <w:r>
        <w:t xml:space="preserve">, </w:t>
      </w:r>
      <w:r w:rsidR="00984048">
        <w:t>w</w:t>
      </w:r>
      <w:r>
        <w:t>e will track the total number of youth</w:t>
      </w:r>
      <w:r w:rsidR="00984048">
        <w:t xml:space="preserve"> at each site who provided consent to participate in the pretest. </w:t>
      </w:r>
      <w:r>
        <w:t xml:space="preserve"> </w:t>
      </w:r>
    </w:p>
    <w:p w:rsidR="00F917E5" w:rsidP="00F917E5" w14:paraId="32AF85FE" w14:textId="77777777">
      <w:pPr>
        <w:autoSpaceDE w:val="0"/>
        <w:autoSpaceDN w:val="0"/>
        <w:adjustRightInd w:val="0"/>
        <w:spacing w:after="0" w:line="240" w:lineRule="atLeast"/>
        <w:rPr>
          <w:rFonts w:eastAsia="Times New Roman" w:cstheme="minorHAnsi"/>
          <w:i/>
          <w:color w:val="000000"/>
        </w:rPr>
      </w:pPr>
    </w:p>
    <w:p w:rsidR="00901040" w:rsidRPr="004410A1" w:rsidP="004410A1" w14:paraId="4FB7FA56" w14:textId="42C81B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BB2925" w:rsidP="00901040" w14:paraId="52428E38" w14:textId="51C2304F">
      <w:pPr>
        <w:autoSpaceDE w:val="0"/>
        <w:autoSpaceDN w:val="0"/>
        <w:adjustRightInd w:val="0"/>
        <w:spacing w:after="0" w:line="240" w:lineRule="atLeast"/>
        <w:rPr>
          <w:rFonts w:ascii="Times New Roman" w:eastAsia="Times New Roman" w:hAnsi="Times New Roman" w:cs="Times New Roman"/>
          <w:b/>
          <w:bCs/>
          <w:color w:val="000000"/>
        </w:rPr>
      </w:pPr>
      <w:r w:rsidRPr="00391DBF">
        <w:t xml:space="preserve">As participants will not be randomly sampled and findings are not intended to be representative, non-response bias will not be calculated. Respondent demographics will be documented and reported in written materials associated with the </w:t>
      </w:r>
      <w:r w:rsidR="004233E2">
        <w:t xml:space="preserve">participant pretest </w:t>
      </w:r>
      <w:r w:rsidRPr="00391DBF">
        <w:t>data collection.</w:t>
      </w: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A3651D" w:rsidP="00A3651D" w14:paraId="203B0BA2" w14:textId="6394E265">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272F87" w:rsidP="004410A1" w14:paraId="75A9B70D" w14:textId="5A35FEE0">
      <w:pPr>
        <w:suppressAutoHyphens/>
        <w:spacing w:after="0" w:line="240" w:lineRule="auto"/>
      </w:pPr>
      <w:r w:rsidRPr="00F1011D">
        <w:t xml:space="preserve">The goal of </w:t>
      </w:r>
      <w:r w:rsidRPr="00F1011D" w:rsidR="003D4CE6">
        <w:t xml:space="preserve">the proposed pretest is </w:t>
      </w:r>
      <w:r w:rsidRPr="00F1011D">
        <w:t xml:space="preserve">to </w:t>
      </w:r>
      <w:r w:rsidRPr="00F1011D" w:rsidR="003D4CE6">
        <w:t xml:space="preserve">collect information from youth </w:t>
      </w:r>
      <w:r w:rsidRPr="00F1011D">
        <w:rPr>
          <w:rFonts w:eastAsia="Times New Roman"/>
        </w:rPr>
        <w:t xml:space="preserve">to support </w:t>
      </w:r>
      <w:r w:rsidRPr="00F1011D">
        <w:t xml:space="preserve">ACF’s </w:t>
      </w:r>
      <w:r w:rsidRPr="00F1011D" w:rsidR="00D330F6">
        <w:t>effort in developing</w:t>
      </w:r>
      <w:r w:rsidRPr="00F1011D">
        <w:t xml:space="preserve"> SOGI measures </w:t>
      </w:r>
      <w:r w:rsidRPr="00F1011D" w:rsidR="00D330F6">
        <w:t>to better represent program participants</w:t>
      </w:r>
      <w:r w:rsidRPr="00F1011D">
        <w:t xml:space="preserve">. </w:t>
      </w:r>
      <w:r w:rsidRPr="00F1011D">
        <w:rPr>
          <w:rFonts w:eastAsia="Times New Roman"/>
        </w:rPr>
        <w:t>T</w:t>
      </w:r>
      <w:r w:rsidRPr="00F1011D">
        <w:rPr>
          <w:rFonts w:eastAsia="Times New Roman"/>
        </w:rPr>
        <w:t xml:space="preserve">he data collected will </w:t>
      </w:r>
      <w:r w:rsidRPr="00F1011D">
        <w:t xml:space="preserve">document (1) whether the questions are </w:t>
      </w:r>
      <w:r w:rsidR="004233E2">
        <w:t xml:space="preserve">age </w:t>
      </w:r>
      <w:r w:rsidRPr="00F1011D">
        <w:t xml:space="preserve">appropriate, </w:t>
      </w:r>
      <w:r w:rsidRPr="00F1011D" w:rsidR="003D4CE6">
        <w:t xml:space="preserve">and </w:t>
      </w:r>
      <w:r w:rsidRPr="00F1011D">
        <w:t>(2) whether</w:t>
      </w:r>
      <w:r w:rsidRPr="00F1011D" w:rsidR="003D4CE6">
        <w:t xml:space="preserve"> and how </w:t>
      </w:r>
      <w:r w:rsidRPr="00F1011D">
        <w:t>the questions can be interpreted by respondent</w:t>
      </w:r>
      <w:r w:rsidRPr="00272F87">
        <w:t xml:space="preserve">s, and </w:t>
      </w:r>
      <w:r w:rsidRPr="00272F87">
        <w:rPr>
          <w:bCs/>
        </w:rPr>
        <w:t xml:space="preserve">3) </w:t>
      </w:r>
      <w:r w:rsidRPr="00272F87">
        <w:t>the relevance and inclusivity of the language used.</w:t>
      </w:r>
      <w:r>
        <w:t xml:space="preserve"> </w:t>
      </w:r>
    </w:p>
    <w:p w:rsidR="004410A1" w:rsidRPr="004410A1" w:rsidP="004410A1" w14:paraId="7128D411" w14:textId="77777777">
      <w:pPr>
        <w:suppressAutoHyphens/>
        <w:spacing w:after="0" w:line="240" w:lineRule="auto"/>
      </w:pPr>
    </w:p>
    <w:p w:rsidR="007C2C4D" w:rsidP="004410A1" w14:paraId="4F23F5E2" w14:textId="2D6BB25D">
      <w:pPr>
        <w:suppressAutoHyphens/>
        <w:spacing w:after="0" w:line="240" w:lineRule="auto"/>
        <w:rPr>
          <w:rFonts w:eastAsia="Times New Roman" w:cstheme="minorHAnsi"/>
        </w:rPr>
      </w:pPr>
      <w:r>
        <w:rPr>
          <w:rFonts w:eastAsia="Times New Roman" w:cstheme="minorHAnsi"/>
        </w:rPr>
        <w:t xml:space="preserve">The data will not be used to generate population estimates, either for internal use or for dissemination. Policy decisions will not be made based on the data collected for this pre-test study, as the data are not </w:t>
      </w:r>
      <w:r w:rsidRPr="00DA3377">
        <w:rPr>
          <w:iCs/>
        </w:rPr>
        <w:t>representative</w:t>
      </w:r>
      <w:r>
        <w:rPr>
          <w:rFonts w:eastAsia="Times New Roman" w:cstheme="minorHAnsi"/>
        </w:rPr>
        <w:t>.</w:t>
      </w:r>
    </w:p>
    <w:p w:rsidR="00BB2925" w:rsidP="00901040" w14:paraId="1BA3B31C" w14:textId="567C501F">
      <w:pPr>
        <w:spacing w:after="0" w:line="240" w:lineRule="auto"/>
        <w:rPr>
          <w:rFonts w:ascii="Times New Roman" w:eastAsia="Times New Roman" w:hAnsi="Times New Roman" w:cs="Times New Roman"/>
          <w:sz w:val="24"/>
          <w:szCs w:val="24"/>
        </w:rPr>
      </w:pPr>
    </w:p>
    <w:p w:rsidR="001E32B7" w:rsidP="00901040" w14:paraId="424657A0" w14:textId="77777777">
      <w:pPr>
        <w:spacing w:after="0" w:line="240" w:lineRule="auto"/>
        <w:rPr>
          <w:rFonts w:ascii="Times New Roman" w:eastAsia="Times New Roman" w:hAnsi="Times New Roman" w:cs="Times New Roman"/>
          <w:sz w:val="24"/>
          <w:szCs w:val="24"/>
        </w:rPr>
      </w:pPr>
    </w:p>
    <w:p w:rsidR="001E32B7" w:rsidRPr="00901040" w:rsidP="00901040" w14:paraId="4DDB7C9A" w14:textId="77777777">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P="00A3651D" w14:paraId="5E232A37" w14:textId="61BE2FA1">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544DCC" w:rsidP="001E32B7" w14:paraId="10F62C0E" w14:textId="2590FF19">
      <w:pPr>
        <w:tabs>
          <w:tab w:val="left" w:pos="-720"/>
        </w:tabs>
        <w:suppressAutoHyphens/>
        <w:spacing w:after="0" w:line="240" w:lineRule="auto"/>
        <w:rPr>
          <w:rFonts w:cstheme="minorHAnsi"/>
        </w:rPr>
      </w:pPr>
      <w:r w:rsidRPr="001C6946">
        <w:rPr>
          <w:rFonts w:cstheme="minorHAnsi"/>
        </w:rPr>
        <w:t>For the virtual cognitive interviews, participants will be recruited from</w:t>
      </w:r>
      <w:r w:rsidRPr="001C6946">
        <w:rPr>
          <w:rFonts w:cstheme="minorHAnsi"/>
        </w:rPr>
        <w:t xml:space="preserve"> </w:t>
      </w:r>
      <w:r w:rsidRPr="001C6946">
        <w:rPr>
          <w:rFonts w:cstheme="minorHAnsi"/>
        </w:rPr>
        <w:t>a market research vendor</w:t>
      </w:r>
      <w:r w:rsidR="00AC1576">
        <w:rPr>
          <w:rFonts w:cstheme="minorHAnsi"/>
        </w:rPr>
        <w:t xml:space="preserve"> (</w:t>
      </w:r>
      <w:r w:rsidR="00AC1576">
        <w:rPr>
          <w:rFonts w:cstheme="minorHAnsi"/>
        </w:rPr>
        <w:t>Canview</w:t>
      </w:r>
      <w:r w:rsidR="00AC1576">
        <w:rPr>
          <w:rFonts w:cstheme="minorHAnsi"/>
        </w:rPr>
        <w:t>)</w:t>
      </w:r>
      <w:r w:rsidRPr="001C6946">
        <w:rPr>
          <w:rFonts w:cstheme="minorHAnsi"/>
        </w:rPr>
        <w:t xml:space="preserve">. The vendor maintains all personally identifiable information (PII) for their panel members. For the interviews, </w:t>
      </w:r>
      <w:r w:rsidR="00AC1576">
        <w:rPr>
          <w:rFonts w:cstheme="minorHAnsi"/>
        </w:rPr>
        <w:t>Canview</w:t>
      </w:r>
      <w:r w:rsidRPr="001C6946">
        <w:rPr>
          <w:rFonts w:cstheme="minorHAnsi"/>
        </w:rPr>
        <w:t xml:space="preserve"> will share the demographics collected from the Youth Screener for Cognitive Interviews (Instrument </w:t>
      </w:r>
      <w:r w:rsidR="00415A50">
        <w:rPr>
          <w:rFonts w:cstheme="minorHAnsi"/>
        </w:rPr>
        <w:t>1</w:t>
      </w:r>
      <w:r w:rsidRPr="001C6946">
        <w:rPr>
          <w:rFonts w:cstheme="minorHAnsi"/>
        </w:rPr>
        <w:t xml:space="preserve">) needed for recruitment with the study team, but this will not include any other identifying information about participants. At the time of the cognitive interviews, </w:t>
      </w:r>
      <w:r w:rsidR="00AC1576">
        <w:rPr>
          <w:rFonts w:cstheme="minorHAnsi"/>
        </w:rPr>
        <w:t>Canview</w:t>
      </w:r>
      <w:r w:rsidRPr="001C6946">
        <w:rPr>
          <w:rFonts w:cstheme="minorHAnsi"/>
        </w:rPr>
        <w:t xml:space="preserve"> will provide a list of first names of participants, without any other identifying information. </w:t>
      </w:r>
    </w:p>
    <w:p w:rsidR="001E32B7" w:rsidP="001E32B7" w14:paraId="7DDBB374" w14:textId="77777777">
      <w:pPr>
        <w:tabs>
          <w:tab w:val="left" w:pos="-720"/>
        </w:tabs>
        <w:suppressAutoHyphens/>
        <w:spacing w:after="0" w:line="240" w:lineRule="auto"/>
        <w:rPr>
          <w:rFonts w:cstheme="minorHAnsi"/>
        </w:rPr>
      </w:pPr>
    </w:p>
    <w:p w:rsidR="00272F87" w:rsidP="00DB3099" w14:paraId="7EC78050" w14:textId="6F1BF9D1">
      <w:pPr>
        <w:tabs>
          <w:tab w:val="left" w:pos="-720"/>
        </w:tabs>
        <w:suppressAutoHyphens/>
        <w:spacing w:after="0" w:line="240" w:lineRule="auto"/>
        <w:rPr>
          <w:rFonts w:cstheme="minorHAnsi"/>
        </w:rPr>
      </w:pPr>
      <w:r w:rsidRPr="001C6946">
        <w:rPr>
          <w:rFonts w:cstheme="minorHAnsi"/>
        </w:rPr>
        <w:t>For the in-person focus groups</w:t>
      </w:r>
      <w:r w:rsidRPr="00544DCC" w:rsidR="00544DCC">
        <w:rPr>
          <w:rFonts w:cstheme="minorHAnsi"/>
        </w:rPr>
        <w:t xml:space="preserve"> </w:t>
      </w:r>
      <w:r w:rsidR="00544DCC">
        <w:rPr>
          <w:rFonts w:cstheme="minorHAnsi"/>
        </w:rPr>
        <w:t>with youth</w:t>
      </w:r>
      <w:r w:rsidRPr="001C6946">
        <w:rPr>
          <w:rFonts w:cstheme="minorHAnsi"/>
        </w:rPr>
        <w:t xml:space="preserve">, we will work in collaboration with </w:t>
      </w:r>
      <w:r w:rsidR="00F728C3">
        <w:rPr>
          <w:rFonts w:cstheme="minorHAnsi"/>
        </w:rPr>
        <w:t xml:space="preserve">select program offices </w:t>
      </w:r>
      <w:r w:rsidRPr="001C6946">
        <w:rPr>
          <w:rFonts w:cstheme="minorHAnsi"/>
        </w:rPr>
        <w:t>within ACF to recruit youth who have participated in a PREP</w:t>
      </w:r>
      <w:r w:rsidR="004337A3">
        <w:rPr>
          <w:rFonts w:cstheme="minorHAnsi"/>
        </w:rPr>
        <w:t>,</w:t>
      </w:r>
      <w:r w:rsidRPr="001C6946">
        <w:rPr>
          <w:rFonts w:cstheme="minorHAnsi"/>
        </w:rPr>
        <w:t xml:space="preserve"> </w:t>
      </w:r>
      <w:r w:rsidR="004337A3">
        <w:t>SRAE,</w:t>
      </w:r>
      <w:r w:rsidR="004337A3">
        <w:rPr>
          <w:rFonts w:cstheme="minorHAnsi"/>
        </w:rPr>
        <w:t xml:space="preserve"> </w:t>
      </w:r>
      <w:r w:rsidR="00055CC2">
        <w:rPr>
          <w:rFonts w:cstheme="minorHAnsi"/>
        </w:rPr>
        <w:t xml:space="preserve">or other </w:t>
      </w:r>
      <w:r w:rsidR="004337A3">
        <w:rPr>
          <w:rFonts w:cstheme="minorHAnsi"/>
        </w:rPr>
        <w:t xml:space="preserve">relevant </w:t>
      </w:r>
      <w:r w:rsidR="00055CC2">
        <w:rPr>
          <w:rFonts w:cstheme="minorHAnsi"/>
        </w:rPr>
        <w:t xml:space="preserve">ACF </w:t>
      </w:r>
      <w:r w:rsidRPr="001C6946">
        <w:rPr>
          <w:rFonts w:cstheme="minorHAnsi"/>
        </w:rPr>
        <w:t>program. For that recruitment effort, ACF may need to provide first names and email addresses to the contractor to coordinate data collection. We expect the sites will manage the consent form process, and youth and parent names will not be linkable to the focus group data. Following the focus groups, all names and contact information will be destroyed. Data collected from the focus group discussions will not be linkable by the PII.</w:t>
      </w:r>
    </w:p>
    <w:p w:rsidR="00DB3099" w:rsidP="009A4F91" w14:paraId="4011532B" w14:textId="77777777">
      <w:pPr>
        <w:tabs>
          <w:tab w:val="left" w:pos="-720"/>
        </w:tabs>
        <w:suppressAutoHyphens/>
        <w:spacing w:after="0" w:line="240" w:lineRule="auto"/>
        <w:rPr>
          <w:rFonts w:cstheme="minorHAnsi"/>
        </w:rPr>
      </w:pPr>
    </w:p>
    <w:p w:rsidR="001A15EB" w:rsidP="00DB3099" w14:paraId="54BB7413" w14:textId="21324956">
      <w:pPr>
        <w:tabs>
          <w:tab w:val="left" w:pos="-720"/>
        </w:tabs>
        <w:suppressAutoHyphens/>
        <w:spacing w:after="0" w:line="240" w:lineRule="auto"/>
      </w:pPr>
      <w:r>
        <w:t xml:space="preserve">The cognitive interviews and youth focus group discussions will be audio-recorded for notetaking, with the consent of all group participants. </w:t>
      </w:r>
      <w:r w:rsidRPr="00B020B1">
        <w:t xml:space="preserve">We will wait to begin recording the discussion until after everyone has introduced themselves. The transcribed notes will not include any names. </w:t>
      </w:r>
    </w:p>
    <w:p w:rsidR="00DB3099" w:rsidRPr="001A15EB" w:rsidP="009A4F91" w14:paraId="2E09142A" w14:textId="77777777">
      <w:pPr>
        <w:tabs>
          <w:tab w:val="left" w:pos="-720"/>
        </w:tabs>
        <w:suppressAutoHyphens/>
        <w:spacing w:after="0" w:line="240" w:lineRule="auto"/>
      </w:pPr>
    </w:p>
    <w:p w:rsidR="00BB2925" w:rsidRPr="009F63C1" w:rsidP="009A4F91" w14:paraId="1960E58C" w14:textId="5411715C">
      <w:pPr>
        <w:tabs>
          <w:tab w:val="left" w:pos="-720"/>
        </w:tabs>
        <w:suppressAutoHyphens/>
        <w:spacing w:after="0" w:line="240" w:lineRule="auto"/>
      </w:pPr>
      <w:r w:rsidRPr="00B020B1">
        <w:t>All notes and recordings will be stored on Mathematica’s secure network. No one outside the study team will have access to the data. Only Mathematica staff working directly on this</w:t>
      </w:r>
      <w:r>
        <w:t xml:space="preserve"> project</w:t>
      </w:r>
      <w:r w:rsidRPr="00B020B1">
        <w:t xml:space="preserve"> have access to the project folder on the network where recordings will be saved. All recordings will be destroyed as soon as they have been transcribed and notes will be destroyed per contract requirements.</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4410A1" w:rsidRPr="004410A1" w:rsidP="004410A1" w14:paraId="16DC7B21" w14:textId="12682A1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7C2C4D" w:rsidP="00DB3099" w14:paraId="2FF62554" w14:textId="5633A8B8">
      <w:pPr>
        <w:tabs>
          <w:tab w:val="left" w:pos="-720"/>
        </w:tabs>
        <w:suppressAutoHyphens/>
        <w:spacing w:after="0" w:line="240" w:lineRule="auto"/>
      </w:pPr>
      <w:r w:rsidRPr="00C308D0">
        <w:t>This project will not employ complex data analytic techniques</w:t>
      </w:r>
      <w:r w:rsidRPr="00795F60">
        <w:t xml:space="preserve">. </w:t>
      </w:r>
    </w:p>
    <w:p w:rsidR="00DB3099" w:rsidP="009A4F91" w14:paraId="7364E9BE" w14:textId="77777777">
      <w:pPr>
        <w:tabs>
          <w:tab w:val="left" w:pos="-720"/>
        </w:tabs>
        <w:suppressAutoHyphens/>
        <w:spacing w:after="0" w:line="240" w:lineRule="auto"/>
      </w:pPr>
    </w:p>
    <w:p w:rsidR="007C2C4D" w:rsidP="009A4F91" w14:paraId="1102CC9A" w14:textId="3C36BAD4">
      <w:pPr>
        <w:tabs>
          <w:tab w:val="left" w:pos="-720"/>
        </w:tabs>
        <w:suppressAutoHyphens/>
        <w:spacing w:after="0" w:line="240" w:lineRule="auto"/>
      </w:pPr>
      <w:r>
        <w:t>T</w:t>
      </w:r>
      <w:r>
        <w:t xml:space="preserve">he study team will analyze the cognitive interview </w:t>
      </w:r>
      <w:r>
        <w:t xml:space="preserve">and focus group discussion </w:t>
      </w:r>
      <w:r>
        <w:t xml:space="preserve">data qualitatively, using feedback from the participants to assess and improve the clarity and </w:t>
      </w:r>
      <w:r>
        <w:t xml:space="preserve">comprehension </w:t>
      </w:r>
      <w:r>
        <w:t xml:space="preserve">of the </w:t>
      </w:r>
      <w:r>
        <w:t xml:space="preserve">SOGI </w:t>
      </w:r>
      <w:r>
        <w:t xml:space="preserve">questions and response options. This will include coding the interview </w:t>
      </w:r>
      <w:r>
        <w:t xml:space="preserve">and discussion </w:t>
      </w:r>
      <w:r>
        <w:t>notes to identify recurring themes or patterns across the</w:t>
      </w:r>
      <w:r>
        <w:t xml:space="preserve"> items</w:t>
      </w:r>
      <w:r>
        <w:t>, as well as comments that may indicate potential issues with a particular</w:t>
      </w:r>
      <w:r>
        <w:t xml:space="preserve"> item</w:t>
      </w:r>
      <w:r>
        <w:t xml:space="preserve">. The analysis will focus on understanding the context and reasons behind any challenges in </w:t>
      </w:r>
      <w:r>
        <w:t>comprehension or responding to the SOGI items</w:t>
      </w:r>
      <w:r>
        <w:t xml:space="preserve"> and will determine what </w:t>
      </w:r>
      <w:r>
        <w:t xml:space="preserve">revisions can be made to </w:t>
      </w:r>
      <w:r>
        <w:t>improve the clarity</w:t>
      </w:r>
      <w:r>
        <w:t xml:space="preserve"> and </w:t>
      </w:r>
      <w:r>
        <w:t>relevance of</w:t>
      </w:r>
      <w:r>
        <w:t xml:space="preserve"> the items</w:t>
      </w:r>
      <w:r>
        <w:t>.</w:t>
      </w: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901040" w:rsidRPr="004410A1" w:rsidP="004410A1" w14:paraId="0FD3F50B" w14:textId="71613CAF">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36657E" w:rsidP="00DB3099" w14:paraId="2A4DB45A" w14:textId="7A20C45B">
      <w:pPr>
        <w:spacing w:after="0" w:line="240" w:lineRule="auto"/>
        <w:rPr>
          <w:iCs/>
        </w:rPr>
      </w:pPr>
      <w:bookmarkStart w:id="2" w:name="_Hlk118304899"/>
      <w:r>
        <w:rPr>
          <w:rFonts w:eastAsia="Times New Roman" w:cstheme="minorHAnsi"/>
          <w:color w:val="000000"/>
          <w:szCs w:val="24"/>
        </w:rPr>
        <w:t xml:space="preserve">ACF is </w:t>
      </w:r>
      <w:r>
        <w:rPr>
          <w:rFonts w:eastAsia="Times New Roman" w:cs="Times New Roman"/>
          <w:szCs w:val="24"/>
        </w:rPr>
        <w:t xml:space="preserve">currently engaged in efforts to improve the </w:t>
      </w:r>
      <w:r w:rsidR="008D27AB">
        <w:rPr>
          <w:rFonts w:eastAsia="Times New Roman" w:cs="Times New Roman"/>
          <w:szCs w:val="24"/>
        </w:rPr>
        <w:t xml:space="preserve">PREP </w:t>
      </w:r>
      <w:r w:rsidR="00041AF3">
        <w:t>and SRAE</w:t>
      </w:r>
      <w:r w:rsidR="00041AF3">
        <w:rPr>
          <w:rFonts w:eastAsia="Times New Roman" w:cs="Times New Roman"/>
          <w:szCs w:val="24"/>
        </w:rPr>
        <w:t xml:space="preserve"> </w:t>
      </w:r>
      <w:r>
        <w:rPr>
          <w:rFonts w:eastAsia="Times New Roman" w:cs="Times New Roman"/>
          <w:szCs w:val="24"/>
        </w:rPr>
        <w:t xml:space="preserve">participant </w:t>
      </w:r>
      <w:r w:rsidR="008D27AB">
        <w:rPr>
          <w:rFonts w:eastAsia="Times New Roman" w:cs="Times New Roman"/>
          <w:szCs w:val="24"/>
        </w:rPr>
        <w:t xml:space="preserve">entry and exit </w:t>
      </w:r>
      <w:r>
        <w:rPr>
          <w:rFonts w:eastAsia="Times New Roman" w:cs="Times New Roman"/>
          <w:szCs w:val="24"/>
        </w:rPr>
        <w:t>survey questions</w:t>
      </w:r>
      <w:r w:rsidR="008D27AB">
        <w:rPr>
          <w:rFonts w:eastAsia="Times New Roman" w:cs="Times New Roman"/>
          <w:szCs w:val="24"/>
        </w:rPr>
        <w:t>, and to select questions</w:t>
      </w:r>
      <w:r>
        <w:rPr>
          <w:rFonts w:eastAsia="Times New Roman" w:cs="Times New Roman"/>
          <w:szCs w:val="24"/>
        </w:rPr>
        <w:t xml:space="preserve"> on </w:t>
      </w:r>
      <w:r>
        <w:rPr>
          <w:rFonts w:cs="Times New Roman"/>
        </w:rPr>
        <w:t xml:space="preserve">SOGI </w:t>
      </w:r>
      <w:r w:rsidR="00E47DE5">
        <w:rPr>
          <w:rFonts w:cs="Times New Roman"/>
        </w:rPr>
        <w:t>for</w:t>
      </w:r>
      <w:r w:rsidRPr="00EE3651" w:rsidR="00E47DE5">
        <w:rPr>
          <w:rFonts w:cs="Times New Roman"/>
        </w:rPr>
        <w:t xml:space="preserve"> </w:t>
      </w:r>
      <w:r w:rsidR="008D27AB">
        <w:rPr>
          <w:rFonts w:cs="Times New Roman"/>
        </w:rPr>
        <w:t xml:space="preserve">use across ACF </w:t>
      </w:r>
      <w:r w:rsidR="00E47DE5">
        <w:rPr>
          <w:rFonts w:cs="Times New Roman"/>
        </w:rPr>
        <w:t xml:space="preserve">youth </w:t>
      </w:r>
      <w:r w:rsidR="008D27AB">
        <w:rPr>
          <w:rFonts w:cs="Times New Roman"/>
        </w:rPr>
        <w:t xml:space="preserve">programs to </w:t>
      </w:r>
      <w:r w:rsidRPr="00EE3651">
        <w:rPr>
          <w:rFonts w:cs="Times New Roman"/>
        </w:rPr>
        <w:t xml:space="preserve">better represent </w:t>
      </w:r>
      <w:r w:rsidR="00E47DE5">
        <w:rPr>
          <w:rFonts w:cs="Times New Roman"/>
        </w:rPr>
        <w:t xml:space="preserve">how youth </w:t>
      </w:r>
      <w:r w:rsidRPr="00EE3651">
        <w:rPr>
          <w:rFonts w:cs="Times New Roman"/>
        </w:rPr>
        <w:t>participants</w:t>
      </w:r>
      <w:r w:rsidR="00E47DE5">
        <w:rPr>
          <w:rFonts w:cs="Times New Roman"/>
        </w:rPr>
        <w:t xml:space="preserve"> self-identify</w:t>
      </w:r>
      <w:r>
        <w:rPr>
          <w:rFonts w:cs="Times New Roman"/>
        </w:rPr>
        <w:t xml:space="preserve">, as well as to align with </w:t>
      </w:r>
      <w:r w:rsidR="00E47DE5">
        <w:rPr>
          <w:rFonts w:cs="Times New Roman"/>
        </w:rPr>
        <w:t>EO</w:t>
      </w:r>
      <w:r w:rsidR="00783A14">
        <w:rPr>
          <w:rFonts w:cs="Times New Roman"/>
        </w:rPr>
        <w:t xml:space="preserve"> 14075</w:t>
      </w:r>
      <w:r>
        <w:rPr>
          <w:rFonts w:cs="Times New Roman"/>
        </w:rPr>
        <w:t>.</w:t>
      </w:r>
      <w:r w:rsidR="00D330F6">
        <w:rPr>
          <w:rFonts w:cs="Times New Roman"/>
        </w:rPr>
        <w:t xml:space="preserve"> </w:t>
      </w:r>
      <w:r w:rsidR="00D330F6">
        <w:rPr>
          <w:iCs/>
        </w:rPr>
        <w:t>F</w:t>
      </w:r>
      <w:r w:rsidRPr="00A83837" w:rsidR="00D330F6">
        <w:rPr>
          <w:rFonts w:eastAsia="Times New Roman" w:cstheme="minorHAnsi"/>
        </w:rPr>
        <w:t xml:space="preserve">indings from </w:t>
      </w:r>
      <w:r w:rsidR="00D330F6">
        <w:rPr>
          <w:rFonts w:eastAsia="Times New Roman" w:cstheme="minorHAnsi"/>
        </w:rPr>
        <w:t xml:space="preserve">the </w:t>
      </w:r>
      <w:r w:rsidRPr="00A83837" w:rsidR="00D330F6">
        <w:rPr>
          <w:rFonts w:eastAsia="Times New Roman" w:cstheme="minorHAnsi"/>
        </w:rPr>
        <w:t>p</w:t>
      </w:r>
      <w:r w:rsidR="00D330F6">
        <w:rPr>
          <w:rFonts w:eastAsia="Times New Roman" w:cstheme="minorHAnsi"/>
        </w:rPr>
        <w:t>retest</w:t>
      </w:r>
      <w:r w:rsidR="00E47DE5">
        <w:rPr>
          <w:rFonts w:eastAsia="Times New Roman" w:cstheme="minorHAnsi"/>
        </w:rPr>
        <w:t>s</w:t>
      </w:r>
      <w:r w:rsidR="00D330F6">
        <w:rPr>
          <w:rFonts w:eastAsia="Times New Roman" w:cstheme="minorHAnsi"/>
        </w:rPr>
        <w:t xml:space="preserve"> </w:t>
      </w:r>
      <w:r w:rsidRPr="00A83837" w:rsidR="00D330F6">
        <w:rPr>
          <w:rFonts w:eastAsia="Times New Roman" w:cstheme="minorHAnsi"/>
        </w:rPr>
        <w:t xml:space="preserve">will inform the development of </w:t>
      </w:r>
      <w:r w:rsidR="00D330F6">
        <w:rPr>
          <w:rFonts w:eastAsia="Times New Roman" w:cstheme="minorHAnsi"/>
        </w:rPr>
        <w:t xml:space="preserve">the final SOGI measures for the PREP </w:t>
      </w:r>
      <w:r w:rsidR="00041AF3">
        <w:t>and SRAE</w:t>
      </w:r>
      <w:r w:rsidR="00041AF3">
        <w:rPr>
          <w:rFonts w:eastAsia="Times New Roman" w:cstheme="minorHAnsi"/>
        </w:rPr>
        <w:t xml:space="preserve"> </w:t>
      </w:r>
      <w:r w:rsidR="00D330F6">
        <w:rPr>
          <w:rFonts w:eastAsia="Times New Roman" w:cstheme="minorHAnsi"/>
        </w:rPr>
        <w:t xml:space="preserve">youth participant </w:t>
      </w:r>
      <w:r w:rsidR="00E47DE5">
        <w:rPr>
          <w:rFonts w:eastAsia="Times New Roman" w:cstheme="minorHAnsi"/>
        </w:rPr>
        <w:t xml:space="preserve">entry and exit </w:t>
      </w:r>
      <w:r w:rsidR="00D330F6">
        <w:rPr>
          <w:rFonts w:eastAsia="Times New Roman" w:cstheme="minorHAnsi"/>
        </w:rPr>
        <w:t xml:space="preserve">surveys and to support the </w:t>
      </w:r>
      <w:r w:rsidR="00D330F6">
        <w:rPr>
          <w:rFonts w:cs="Times New Roman"/>
        </w:rPr>
        <w:t>agency-wide initiative at ACF to select SOGI items</w:t>
      </w:r>
      <w:r w:rsidR="00E47DE5">
        <w:rPr>
          <w:rFonts w:cs="Times New Roman"/>
        </w:rPr>
        <w:t xml:space="preserve"> for youth</w:t>
      </w:r>
      <w:r w:rsidR="00D330F6">
        <w:rPr>
          <w:rFonts w:eastAsia="Times New Roman" w:cstheme="minorHAnsi"/>
        </w:rPr>
        <w:t>.</w:t>
      </w:r>
      <w:r w:rsidRPr="004F541B" w:rsidR="004F541B">
        <w:rPr>
          <w:iCs/>
        </w:rPr>
        <w:t xml:space="preserve"> </w:t>
      </w:r>
    </w:p>
    <w:p w:rsidR="00DB3099" w:rsidP="009A4F91" w14:paraId="19D72061" w14:textId="77777777">
      <w:pPr>
        <w:spacing w:after="0" w:line="240" w:lineRule="auto"/>
      </w:pPr>
    </w:p>
    <w:bookmarkEnd w:id="2"/>
    <w:p w:rsidR="0065548B" w:rsidP="0065548B" w14:paraId="7C33EA25" w14:textId="77777777">
      <w:pPr>
        <w:tabs>
          <w:tab w:val="left" w:pos="-720"/>
        </w:tabs>
        <w:suppressAutoHyphens/>
        <w:spacing w:after="0" w:line="240" w:lineRule="auto"/>
        <w:rPr>
          <w:rFonts w:eastAsia="Times New Roman" w:cstheme="minorHAnsi"/>
        </w:rPr>
      </w:pPr>
      <w:r>
        <w:rPr>
          <w:rFonts w:eastAsia="Times New Roman"/>
        </w:rPr>
        <w:t>After conducting both the cognitive interviews and the fo</w:t>
      </w:r>
      <w:r w:rsidR="004F541B">
        <w:rPr>
          <w:rFonts w:eastAsia="Times New Roman"/>
        </w:rPr>
        <w:t>c</w:t>
      </w:r>
      <w:r>
        <w:rPr>
          <w:rFonts w:eastAsia="Times New Roman"/>
        </w:rPr>
        <w:t>u</w:t>
      </w:r>
      <w:r w:rsidR="004F541B">
        <w:rPr>
          <w:rFonts w:eastAsia="Times New Roman"/>
        </w:rPr>
        <w:t>s</w:t>
      </w:r>
      <w:r>
        <w:rPr>
          <w:rFonts w:eastAsia="Times New Roman"/>
        </w:rPr>
        <w:t xml:space="preserve"> group discussions, </w:t>
      </w:r>
      <w:r>
        <w:rPr>
          <w:rFonts w:eastAsia="Times New Roman" w:cstheme="minorHAnsi"/>
        </w:rPr>
        <w:t>t</w:t>
      </w:r>
      <w:r w:rsidRPr="00A83837" w:rsidR="007C2C4D">
        <w:rPr>
          <w:rFonts w:eastAsia="Times New Roman" w:cstheme="minorHAnsi"/>
        </w:rPr>
        <w:t xml:space="preserve">he study team will </w:t>
      </w:r>
      <w:r w:rsidR="007C2C4D">
        <w:rPr>
          <w:rFonts w:eastAsia="Times New Roman" w:cstheme="minorHAnsi"/>
        </w:rPr>
        <w:t>develop an internal ACF memorandum</w:t>
      </w:r>
      <w:r w:rsidRPr="00A83837" w:rsidR="007C2C4D">
        <w:rPr>
          <w:rFonts w:eastAsia="Times New Roman" w:cstheme="minorHAnsi"/>
        </w:rPr>
        <w:t xml:space="preserve"> describing the</w:t>
      </w:r>
      <w:r w:rsidR="007C2C4D">
        <w:rPr>
          <w:rFonts w:eastAsia="Times New Roman" w:cstheme="minorHAnsi"/>
        </w:rPr>
        <w:t xml:space="preserve"> pre-test methodology and</w:t>
      </w:r>
      <w:r w:rsidRPr="00A83837" w:rsidR="007C2C4D">
        <w:rPr>
          <w:rFonts w:eastAsia="Times New Roman" w:cstheme="minorHAnsi"/>
        </w:rPr>
        <w:t xml:space="preserve"> results, including </w:t>
      </w:r>
      <w:r>
        <w:rPr>
          <w:rFonts w:eastAsia="Times New Roman" w:cstheme="minorHAnsi"/>
        </w:rPr>
        <w:t xml:space="preserve">proposed </w:t>
      </w:r>
      <w:r w:rsidRPr="00A83837" w:rsidR="007C2C4D">
        <w:rPr>
          <w:rFonts w:eastAsia="Times New Roman" w:cstheme="minorHAnsi"/>
        </w:rPr>
        <w:t>change</w:t>
      </w:r>
      <w:r w:rsidR="007C2C4D">
        <w:rPr>
          <w:rFonts w:eastAsia="Times New Roman" w:cstheme="minorHAnsi"/>
        </w:rPr>
        <w:t xml:space="preserve">s </w:t>
      </w:r>
      <w:r w:rsidRPr="00A83837" w:rsidR="007C2C4D">
        <w:rPr>
          <w:rFonts w:eastAsia="Times New Roman" w:cstheme="minorHAnsi"/>
        </w:rPr>
        <w:t>to the measure</w:t>
      </w:r>
      <w:r w:rsidR="007C2C4D">
        <w:rPr>
          <w:rFonts w:eastAsia="Times New Roman" w:cstheme="minorHAnsi"/>
        </w:rPr>
        <w:t>s</w:t>
      </w:r>
      <w:r>
        <w:rPr>
          <w:rFonts w:eastAsia="Times New Roman" w:cstheme="minorHAnsi"/>
        </w:rPr>
        <w:t xml:space="preserve">, and </w:t>
      </w:r>
      <w:r w:rsidR="007C2C4D">
        <w:rPr>
          <w:rFonts w:eastAsia="Times New Roman" w:cstheme="minorHAnsi"/>
        </w:rPr>
        <w:t xml:space="preserve">justification for the </w:t>
      </w:r>
      <w:r>
        <w:rPr>
          <w:rFonts w:eastAsia="Times New Roman" w:cstheme="minorHAnsi"/>
        </w:rPr>
        <w:t xml:space="preserve">proposed </w:t>
      </w:r>
      <w:r w:rsidR="007C2C4D">
        <w:rPr>
          <w:rFonts w:eastAsia="Times New Roman" w:cstheme="minorHAnsi"/>
        </w:rPr>
        <w:t>changes.</w:t>
      </w:r>
      <w:r>
        <w:rPr>
          <w:rFonts w:eastAsia="Times New Roman" w:cstheme="minorHAnsi"/>
        </w:rPr>
        <w:t xml:space="preserve"> </w:t>
      </w:r>
    </w:p>
    <w:p w:rsidR="0065548B" w:rsidP="0065548B" w14:paraId="63D676D5" w14:textId="77777777">
      <w:pPr>
        <w:tabs>
          <w:tab w:val="left" w:pos="-720"/>
        </w:tabs>
        <w:suppressAutoHyphens/>
        <w:spacing w:after="0" w:line="240" w:lineRule="auto"/>
        <w:rPr>
          <w:rFonts w:eastAsia="Times New Roman" w:cstheme="minorHAnsi"/>
        </w:rPr>
      </w:pPr>
    </w:p>
    <w:p w:rsidR="00BB2925" w:rsidP="0065548B" w14:paraId="2C80635E" w14:textId="7B12AB6F">
      <w:pPr>
        <w:tabs>
          <w:tab w:val="left" w:pos="-720"/>
        </w:tabs>
        <w:suppressAutoHyphens/>
        <w:spacing w:after="0" w:line="240" w:lineRule="auto"/>
        <w:rPr>
          <w:rFonts w:eastAsia="Times New Roman" w:cstheme="minorHAnsi"/>
        </w:rPr>
      </w:pPr>
      <w:r w:rsidRPr="0065548B">
        <w:rPr>
          <w:rFonts w:eastAsia="Times New Roman" w:cstheme="minorHAnsi"/>
        </w:rPr>
        <w:t>ACF will use the results internally to inform subsequent information collection requests. Results of these methodological studies may be made public through methodological appendices or footnotes, reports on data collection development, data collection user guides, descriptions of respondent behavior, and other publications or presentations describing findings of methodological interest. The results of these pre-testing activities may be prepared for presentation at professional meetings or publication in professional journals. When necessary, results will be labeled as exploratory in nature and any limitations will be described.</w:t>
      </w:r>
    </w:p>
    <w:p w:rsidR="00BB2925" w:rsidRPr="00DF1291" w:rsidP="00901040" w14:paraId="32C05314" w14:textId="77777777">
      <w:pPr>
        <w:spacing w:after="0" w:line="240" w:lineRule="auto"/>
        <w:rPr>
          <w:rFonts w:eastAsia="Times New Roman" w:cstheme="minorHAnsi"/>
        </w:rPr>
      </w:pPr>
    </w:p>
    <w:p w:rsidR="00901040" w:rsidRPr="00D87E19" w:rsidP="00D87E19" w14:paraId="67F16556" w14:textId="47C19D85">
      <w:pPr>
        <w:spacing w:after="120" w:line="240" w:lineRule="auto"/>
        <w:rPr>
          <w:rFonts w:eastAsia="Times New Roman" w:cstheme="minorHAnsi"/>
        </w:rPr>
      </w:pPr>
      <w:r>
        <w:rPr>
          <w:rFonts w:eastAsia="Times New Roman" w:cstheme="minorHAnsi"/>
          <w:b/>
          <w:bCs/>
        </w:rPr>
        <w:t>B8.  Contact Persons</w:t>
      </w:r>
    </w:p>
    <w:p w:rsidR="00E454F5" w:rsidP="009A4F91" w14:paraId="46793DA7" w14:textId="77777777">
      <w:pPr>
        <w:tabs>
          <w:tab w:val="left" w:pos="-720"/>
        </w:tabs>
        <w:suppressAutoHyphens/>
        <w:spacing w:after="0" w:line="240" w:lineRule="auto"/>
      </w:pPr>
      <w:r>
        <w:t>Table B.2 lists the federal and contract staff responsible for the study, including their affiliation and email address.</w:t>
      </w:r>
    </w:p>
    <w:p w:rsidR="004410A1" w:rsidP="001E32B7" w14:paraId="158C88D1" w14:textId="77777777">
      <w:pPr>
        <w:tabs>
          <w:tab w:val="left" w:pos="-720"/>
        </w:tabs>
        <w:suppressAutoHyphens/>
        <w:spacing w:after="0" w:line="240" w:lineRule="auto"/>
      </w:pPr>
    </w:p>
    <w:p w:rsidR="00D87E19" w:rsidP="004410A1" w14:paraId="12C6F839" w14:textId="1EF87F14">
      <w:pPr>
        <w:pStyle w:val="TableTitle"/>
      </w:pPr>
      <w:r w:rsidRPr="008813EA">
        <w:t xml:space="preserve">Table </w:t>
      </w:r>
      <w:r>
        <w:t>B.2</w:t>
      </w:r>
      <w:r w:rsidRPr="008813EA">
        <w:t xml:space="preserve">. </w:t>
      </w:r>
      <w:r>
        <w:t>Staff responsible for study</w:t>
      </w:r>
      <w:r w:rsidRPr="008813EA">
        <w:t xml:space="preserve"> </w:t>
      </w:r>
    </w:p>
    <w:tbl>
      <w:tblPr>
        <w:tblW w:w="9355" w:type="dxa"/>
        <w:tblLayout w:type="fixed"/>
        <w:tblLook w:val="0400"/>
      </w:tblPr>
      <w:tblGrid>
        <w:gridCol w:w="2066"/>
        <w:gridCol w:w="4232"/>
        <w:gridCol w:w="3057"/>
      </w:tblGrid>
      <w:tr w14:paraId="00807788" w14:textId="77777777" w:rsidTr="00A84379">
        <w:tblPrEx>
          <w:tblW w:w="9355" w:type="dxa"/>
          <w:tblLayout w:type="fixed"/>
          <w:tblLook w:val="0400"/>
        </w:tblPrEx>
        <w:tc>
          <w:tcPr>
            <w:tcW w:w="2066" w:type="dxa"/>
            <w:shd w:val="clear" w:color="auto" w:fill="244061" w:themeFill="accent1" w:themeFillShade="80"/>
          </w:tcPr>
          <w:p w:rsidR="00E454F5" w:rsidP="00A84379" w14:paraId="2B9A471C" w14:textId="77777777">
            <w:pPr>
              <w:pStyle w:val="TableHeaderCenter"/>
              <w:jc w:val="left"/>
              <w:rPr>
                <w:rFonts w:eastAsia="Times New Roman"/>
                <w:b/>
                <w:bCs/>
              </w:rPr>
            </w:pPr>
            <w:r>
              <w:rPr>
                <w:rFonts w:eastAsia="Times New Roman"/>
                <w:b/>
                <w:bCs/>
              </w:rPr>
              <w:t>Name</w:t>
            </w:r>
          </w:p>
        </w:tc>
        <w:tc>
          <w:tcPr>
            <w:tcW w:w="4232" w:type="dxa"/>
            <w:shd w:val="clear" w:color="auto" w:fill="244061" w:themeFill="accent1" w:themeFillShade="80"/>
          </w:tcPr>
          <w:p w:rsidR="00E454F5" w:rsidP="00A84379" w14:paraId="58A6B61E" w14:textId="77777777">
            <w:pPr>
              <w:pStyle w:val="TableHeaderCenter"/>
              <w:rPr>
                <w:rFonts w:eastAsia="Times New Roman"/>
                <w:b/>
                <w:bCs/>
              </w:rPr>
            </w:pPr>
            <w:r>
              <w:rPr>
                <w:rFonts w:eastAsia="Times New Roman"/>
                <w:b/>
                <w:bCs/>
              </w:rPr>
              <w:t>Affiliation</w:t>
            </w:r>
          </w:p>
        </w:tc>
        <w:tc>
          <w:tcPr>
            <w:tcW w:w="3057" w:type="dxa"/>
            <w:shd w:val="clear" w:color="auto" w:fill="244061" w:themeFill="accent1" w:themeFillShade="80"/>
          </w:tcPr>
          <w:p w:rsidR="00E454F5" w:rsidP="00A84379" w14:paraId="0EA58F8B" w14:textId="77777777">
            <w:pPr>
              <w:pStyle w:val="TableHeaderCenter"/>
              <w:rPr>
                <w:rFonts w:eastAsia="Times New Roman"/>
                <w:b/>
                <w:bCs/>
              </w:rPr>
            </w:pPr>
            <w:r>
              <w:rPr>
                <w:rFonts w:eastAsia="Times New Roman"/>
                <w:b/>
                <w:bCs/>
              </w:rPr>
              <w:t>Email address</w:t>
            </w:r>
          </w:p>
        </w:tc>
      </w:tr>
      <w:tr w14:paraId="4687C27B" w14:textId="77777777" w:rsidTr="00A84379">
        <w:tblPrEx>
          <w:tblW w:w="9355" w:type="dxa"/>
          <w:tblLayout w:type="fixed"/>
          <w:tblLook w:val="0400"/>
        </w:tblPrEx>
        <w:trPr>
          <w:trHeight w:val="20"/>
        </w:trPr>
        <w:tc>
          <w:tcPr>
            <w:tcW w:w="2066" w:type="dxa"/>
            <w:tcBorders>
              <w:bottom w:val="single" w:sz="4" w:space="0" w:color="1F497D" w:themeColor="text2"/>
            </w:tcBorders>
            <w:shd w:val="clear" w:color="auto" w:fill="auto"/>
          </w:tcPr>
          <w:p w:rsidR="00E454F5" w:rsidP="00A84379" w14:paraId="5B763A14" w14:textId="72B61C8B">
            <w:pPr>
              <w:pStyle w:val="TableTextLeft"/>
              <w:rPr>
                <w:rFonts w:eastAsia="Times New Roman"/>
              </w:rPr>
            </w:pPr>
            <w:r>
              <w:rPr>
                <w:rFonts w:eastAsia="Times New Roman"/>
              </w:rPr>
              <w:t>Caryn Blitz</w:t>
            </w:r>
          </w:p>
        </w:tc>
        <w:tc>
          <w:tcPr>
            <w:tcW w:w="4232" w:type="dxa"/>
            <w:tcBorders>
              <w:bottom w:val="single" w:sz="4" w:space="0" w:color="1F497D" w:themeColor="text2"/>
            </w:tcBorders>
            <w:shd w:val="clear" w:color="auto" w:fill="auto"/>
          </w:tcPr>
          <w:p w:rsidR="00E454F5" w:rsidP="00A84379" w14:paraId="619EE868" w14:textId="77777777">
            <w:pPr>
              <w:pStyle w:val="TableTextLeft"/>
              <w:rPr>
                <w:rFonts w:eastAsia="Times New Roman"/>
              </w:rPr>
            </w:pPr>
            <w:r>
              <w:rPr>
                <w:rFonts w:eastAsia="Times New Roman"/>
              </w:rPr>
              <w:t>Office of Planning, Research, and Evaluation</w:t>
            </w:r>
          </w:p>
          <w:p w:rsidR="00E454F5" w:rsidP="00A84379" w14:paraId="2846CC9A" w14:textId="77777777">
            <w:pPr>
              <w:pStyle w:val="TableTextLeft"/>
              <w:rPr>
                <w:rFonts w:eastAsia="Times New Roman"/>
              </w:rPr>
            </w:pPr>
            <w:r>
              <w:rPr>
                <w:rFonts w:eastAsia="Times New Roman"/>
              </w:rPr>
              <w:t>Administration for Children and Families</w:t>
            </w:r>
          </w:p>
          <w:p w:rsidR="00E454F5" w:rsidP="00A84379" w14:paraId="3F23FC39" w14:textId="77777777">
            <w:pPr>
              <w:pStyle w:val="TableTextLeft"/>
              <w:rPr>
                <w:rFonts w:eastAsia="Times New Roman"/>
              </w:rPr>
            </w:pPr>
            <w:r>
              <w:rPr>
                <w:rFonts w:eastAsia="Times New Roman"/>
              </w:rPr>
              <w:t>U.S. Department of Health and Human Services</w:t>
            </w:r>
          </w:p>
        </w:tc>
        <w:tc>
          <w:tcPr>
            <w:tcW w:w="3057" w:type="dxa"/>
            <w:tcBorders>
              <w:bottom w:val="single" w:sz="4" w:space="0" w:color="1F497D" w:themeColor="text2"/>
            </w:tcBorders>
          </w:tcPr>
          <w:p w:rsidR="00E454F5" w:rsidP="00A84379" w14:paraId="628FED19" w14:textId="22F0934A">
            <w:pPr>
              <w:pStyle w:val="TableTextLeft"/>
              <w:rPr>
                <w:rFonts w:eastAsia="Times New Roman"/>
              </w:rPr>
            </w:pPr>
            <w:hyperlink r:id="rId9" w:history="1">
              <w:r w:rsidRPr="001B4275" w:rsidR="008F729C">
                <w:rPr>
                  <w:rStyle w:val="Hyperlink"/>
                  <w:rFonts w:eastAsia="Times New Roman"/>
                </w:rPr>
                <w:t>Caryn.Blitz@acf.hhs.gov</w:t>
              </w:r>
            </w:hyperlink>
          </w:p>
        </w:tc>
      </w:tr>
      <w:tr w14:paraId="7E6F7451" w14:textId="77777777" w:rsidTr="00A84379">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E454F5" w:rsidP="00A84379" w14:paraId="613CBFD3" w14:textId="68927191">
            <w:pPr>
              <w:pStyle w:val="TableTextLeft"/>
              <w:rPr>
                <w:rFonts w:eastAsia="Times New Roman"/>
              </w:rPr>
            </w:pPr>
            <w:r>
              <w:rPr>
                <w:rFonts w:eastAsia="Times New Roman"/>
              </w:rPr>
              <w:t xml:space="preserve">Tia Brown </w:t>
            </w:r>
          </w:p>
        </w:tc>
        <w:tc>
          <w:tcPr>
            <w:tcW w:w="4232" w:type="dxa"/>
            <w:tcBorders>
              <w:top w:val="single" w:sz="4" w:space="0" w:color="1F497D" w:themeColor="text2"/>
              <w:bottom w:val="single" w:sz="4" w:space="0" w:color="1F497D" w:themeColor="text2"/>
            </w:tcBorders>
            <w:shd w:val="clear" w:color="auto" w:fill="auto"/>
          </w:tcPr>
          <w:p w:rsidR="00895ABA" w:rsidP="00895ABA" w14:paraId="0A0AA4A8" w14:textId="77777777">
            <w:pPr>
              <w:pStyle w:val="TableTextLeft"/>
              <w:rPr>
                <w:rFonts w:eastAsia="Times New Roman"/>
              </w:rPr>
            </w:pPr>
            <w:r>
              <w:rPr>
                <w:rFonts w:eastAsia="Times New Roman"/>
              </w:rPr>
              <w:t>Office of Planning, Research, and Evaluation</w:t>
            </w:r>
          </w:p>
          <w:p w:rsidR="00895ABA" w:rsidP="00895ABA" w14:paraId="555B702A" w14:textId="77777777">
            <w:pPr>
              <w:pStyle w:val="TableTextLeft"/>
              <w:rPr>
                <w:rFonts w:eastAsia="Times New Roman"/>
              </w:rPr>
            </w:pPr>
            <w:r>
              <w:rPr>
                <w:rFonts w:eastAsia="Times New Roman"/>
              </w:rPr>
              <w:t>Administration for Children and Families</w:t>
            </w:r>
          </w:p>
          <w:p w:rsidR="00E454F5" w:rsidP="00895ABA" w14:paraId="5A0C70FE" w14:textId="2FEACF65">
            <w:pPr>
              <w:pStyle w:val="TableTextLeft"/>
              <w:rPr>
                <w:rFonts w:eastAsia="Times New Roman"/>
              </w:rPr>
            </w:pPr>
            <w:r>
              <w:rPr>
                <w:rFonts w:eastAsia="Times New Roman"/>
              </w:rPr>
              <w:t>U.S. Department of Health and Human Services</w:t>
            </w:r>
          </w:p>
        </w:tc>
        <w:tc>
          <w:tcPr>
            <w:tcW w:w="3057" w:type="dxa"/>
            <w:tcBorders>
              <w:top w:val="single" w:sz="4" w:space="0" w:color="1F497D" w:themeColor="text2"/>
              <w:bottom w:val="single" w:sz="4" w:space="0" w:color="1F497D" w:themeColor="text2"/>
            </w:tcBorders>
          </w:tcPr>
          <w:p w:rsidR="00E454F5" w:rsidRPr="00F5086B" w:rsidP="00A84379" w14:paraId="2A579EAF" w14:textId="285B0453">
            <w:pPr>
              <w:pStyle w:val="TableTextLeft"/>
              <w:rPr>
                <w:rFonts w:eastAsia="Times New Roman"/>
              </w:rPr>
            </w:pPr>
            <w:hyperlink r:id="rId10" w:history="1">
              <w:r w:rsidRPr="00F5086B" w:rsidR="00895ABA">
                <w:rPr>
                  <w:rStyle w:val="Hyperlink"/>
                  <w:rFonts w:eastAsia="Times New Roman"/>
                  <w:color w:val="auto"/>
                  <w:u w:val="none"/>
                </w:rPr>
                <w:t>Tia.Brown@acf.hhs.gov</w:t>
              </w:r>
            </w:hyperlink>
          </w:p>
        </w:tc>
      </w:tr>
      <w:tr w14:paraId="0E49BA34" w14:textId="77777777" w:rsidTr="00A84379">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E454F5" w:rsidP="00A84379" w14:paraId="264F141D" w14:textId="161E2D6C">
            <w:pPr>
              <w:pStyle w:val="TableTextLeft"/>
              <w:rPr>
                <w:rFonts w:eastAsia="Times New Roman"/>
              </w:rPr>
            </w:pPr>
            <w:r>
              <w:rPr>
                <w:rFonts w:eastAsia="Times New Roman"/>
              </w:rPr>
              <w:t>Brian Goesling</w:t>
            </w:r>
          </w:p>
        </w:tc>
        <w:tc>
          <w:tcPr>
            <w:tcW w:w="4232" w:type="dxa"/>
            <w:tcBorders>
              <w:top w:val="single" w:sz="4" w:space="0" w:color="1F497D" w:themeColor="text2"/>
              <w:bottom w:val="single" w:sz="4" w:space="0" w:color="1F497D" w:themeColor="text2"/>
            </w:tcBorders>
            <w:shd w:val="clear" w:color="auto" w:fill="auto"/>
          </w:tcPr>
          <w:p w:rsidR="00E454F5" w:rsidP="00A84379" w14:paraId="42C36F8E"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E454F5" w:rsidP="00A84379" w14:paraId="5E9B7E50" w14:textId="05E06CC9">
            <w:pPr>
              <w:pStyle w:val="TableTextLeft"/>
              <w:rPr>
                <w:rFonts w:eastAsia="Times New Roman"/>
              </w:rPr>
            </w:pPr>
            <w:r>
              <w:rPr>
                <w:rFonts w:eastAsia="Times New Roman"/>
              </w:rPr>
              <w:t>bgoesling@mathematica-mpr.com</w:t>
            </w:r>
          </w:p>
        </w:tc>
      </w:tr>
      <w:tr w14:paraId="40974991" w14:textId="77777777" w:rsidTr="00A84379">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E454F5" w:rsidP="00A84379" w14:paraId="3D790906" w14:textId="1D38E15F">
            <w:pPr>
              <w:pStyle w:val="TableTextLeft"/>
              <w:rPr>
                <w:rFonts w:eastAsia="Times New Roman"/>
              </w:rPr>
            </w:pPr>
            <w:r>
              <w:rPr>
                <w:rFonts w:eastAsia="Times New Roman"/>
              </w:rPr>
              <w:t>Lara Hulsey</w:t>
            </w:r>
          </w:p>
        </w:tc>
        <w:tc>
          <w:tcPr>
            <w:tcW w:w="4232" w:type="dxa"/>
            <w:tcBorders>
              <w:top w:val="single" w:sz="4" w:space="0" w:color="1F497D" w:themeColor="text2"/>
              <w:bottom w:val="single" w:sz="4" w:space="0" w:color="1F497D" w:themeColor="text2"/>
            </w:tcBorders>
            <w:shd w:val="clear" w:color="auto" w:fill="auto"/>
          </w:tcPr>
          <w:p w:rsidR="00E454F5" w:rsidP="00A84379" w14:paraId="675C047E"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E454F5" w:rsidP="00A84379" w14:paraId="50254365" w14:textId="20483C9C">
            <w:pPr>
              <w:pStyle w:val="TableTextLeft"/>
              <w:rPr>
                <w:rFonts w:eastAsia="Times New Roman"/>
              </w:rPr>
            </w:pPr>
            <w:hyperlink r:id="rId11" w:history="1">
              <w:r w:rsidRPr="001B4275" w:rsidR="008F729C">
                <w:rPr>
                  <w:rStyle w:val="Hyperlink"/>
                  <w:rFonts w:eastAsia="Times New Roman"/>
                </w:rPr>
                <w:t>lhulsey@mathematica-mpr.com</w:t>
              </w:r>
            </w:hyperlink>
          </w:p>
        </w:tc>
      </w:tr>
      <w:tr w14:paraId="1C596116" w14:textId="77777777" w:rsidTr="00A84379">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E454F5" w:rsidP="00A84379" w14:paraId="7C1E4739" w14:textId="77777777">
            <w:pPr>
              <w:pStyle w:val="TableTextLeft"/>
              <w:rPr>
                <w:rFonts w:eastAsia="Times New Roman"/>
              </w:rPr>
            </w:pPr>
            <w:r>
              <w:rPr>
                <w:rFonts w:eastAsia="Times New Roman"/>
              </w:rPr>
              <w:t>Melissa Thomas</w:t>
            </w:r>
          </w:p>
        </w:tc>
        <w:tc>
          <w:tcPr>
            <w:tcW w:w="4232" w:type="dxa"/>
            <w:tcBorders>
              <w:top w:val="single" w:sz="4" w:space="0" w:color="1F497D" w:themeColor="text2"/>
              <w:bottom w:val="single" w:sz="4" w:space="0" w:color="1F497D" w:themeColor="text2"/>
            </w:tcBorders>
            <w:shd w:val="clear" w:color="auto" w:fill="auto"/>
          </w:tcPr>
          <w:p w:rsidR="00E454F5" w:rsidP="00A84379" w14:paraId="309F45E0"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E454F5" w:rsidP="00A84379" w14:paraId="69487911" w14:textId="3B1B5807">
            <w:pPr>
              <w:pStyle w:val="TableTextLeft"/>
              <w:rPr>
                <w:rFonts w:eastAsia="Times New Roman"/>
              </w:rPr>
            </w:pPr>
            <w:r>
              <w:rPr>
                <w:rFonts w:eastAsia="Times New Roman"/>
              </w:rPr>
              <w:t>mthomas@mathematica-mpr.com</w:t>
            </w:r>
          </w:p>
        </w:tc>
      </w:tr>
      <w:tr w14:paraId="144A5DEE" w14:textId="77777777" w:rsidTr="00A84379">
        <w:tblPrEx>
          <w:tblW w:w="9355"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E454F5" w:rsidP="00A84379" w14:paraId="2BEE4FA7" w14:textId="1977840A">
            <w:pPr>
              <w:pStyle w:val="TableTextLeft"/>
              <w:rPr>
                <w:rFonts w:eastAsia="Times New Roman"/>
              </w:rPr>
            </w:pPr>
            <w:r>
              <w:rPr>
                <w:rFonts w:eastAsia="Times New Roman"/>
              </w:rPr>
              <w:t>Maya Reid</w:t>
            </w:r>
          </w:p>
        </w:tc>
        <w:tc>
          <w:tcPr>
            <w:tcW w:w="4232" w:type="dxa"/>
            <w:tcBorders>
              <w:top w:val="single" w:sz="4" w:space="0" w:color="1F497D" w:themeColor="text2"/>
              <w:bottom w:val="single" w:sz="4" w:space="0" w:color="1F497D" w:themeColor="text2"/>
            </w:tcBorders>
            <w:shd w:val="clear" w:color="auto" w:fill="auto"/>
          </w:tcPr>
          <w:p w:rsidR="00E454F5" w:rsidP="00A84379" w14:paraId="70727828" w14:textId="77777777">
            <w:pPr>
              <w:pStyle w:val="TableTextLeft"/>
              <w:rPr>
                <w:rFonts w:eastAsia="Times New Roman"/>
              </w:rPr>
            </w:pPr>
            <w:r>
              <w:rPr>
                <w:rFonts w:eastAsia="Times New Roman"/>
              </w:rPr>
              <w:t>Mathematica</w:t>
            </w:r>
          </w:p>
        </w:tc>
        <w:tc>
          <w:tcPr>
            <w:tcW w:w="3057" w:type="dxa"/>
            <w:tcBorders>
              <w:top w:val="single" w:sz="4" w:space="0" w:color="1F497D" w:themeColor="text2"/>
              <w:bottom w:val="single" w:sz="4" w:space="0" w:color="1F497D" w:themeColor="text2"/>
            </w:tcBorders>
          </w:tcPr>
          <w:p w:rsidR="00E454F5" w:rsidP="00A84379" w14:paraId="72788319" w14:textId="50E4DB27">
            <w:pPr>
              <w:pStyle w:val="TableTextLeft"/>
              <w:rPr>
                <w:rFonts w:eastAsia="Times New Roman"/>
              </w:rPr>
            </w:pPr>
            <w:hyperlink r:id="rId12" w:history="1">
              <w:r w:rsidRPr="001B4275" w:rsidR="008F729C">
                <w:rPr>
                  <w:rStyle w:val="Hyperlink"/>
                  <w:rFonts w:eastAsia="Times New Roman"/>
                </w:rPr>
                <w:t>mreid@mathematica-mpr.com</w:t>
              </w:r>
            </w:hyperlink>
          </w:p>
        </w:tc>
      </w:tr>
    </w:tbl>
    <w:p w:rsidR="00BB2925" w:rsidP="008369BA" w14:paraId="3C311DDD" w14:textId="5E9E9FDA">
      <w:pPr>
        <w:pStyle w:val="ListParagraph"/>
        <w:spacing w:after="0" w:line="240" w:lineRule="auto"/>
        <w:ind w:left="0"/>
        <w:rPr>
          <w:rFonts w:cstheme="minorHAnsi"/>
          <w:b/>
        </w:rPr>
      </w:pPr>
    </w:p>
    <w:p w:rsidR="00BB2925" w:rsidP="008369BA" w14:paraId="06674544" w14:textId="20C5F490">
      <w:pPr>
        <w:pStyle w:val="ListParagraph"/>
        <w:spacing w:after="0" w:line="240" w:lineRule="auto"/>
        <w:ind w:left="0"/>
        <w:rPr>
          <w:rFonts w:cstheme="minorHAnsi"/>
          <w:b/>
        </w:rPr>
      </w:pPr>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E76298" w:rsidP="00F85D35" w14:paraId="1089ACCB" w14:textId="27E4F619">
      <w:pPr>
        <w:spacing w:after="120" w:line="240" w:lineRule="auto"/>
        <w:rPr>
          <w:b/>
        </w:rPr>
      </w:pPr>
      <w:r>
        <w:rPr>
          <w:b/>
        </w:rPr>
        <w:t>Attachments</w:t>
      </w:r>
    </w:p>
    <w:p w:rsidR="00E76298" w:rsidP="00E76298" w14:paraId="25A3A6D3" w14:textId="0A0EC168">
      <w:pPr>
        <w:spacing w:after="120" w:line="240" w:lineRule="auto"/>
      </w:pPr>
      <w:r>
        <w:t>Appendix A: Outreach</w:t>
      </w:r>
      <w:r w:rsidR="004C02B6">
        <w:t xml:space="preserve"> to participants</w:t>
      </w:r>
      <w:r w:rsidR="00E36FB6">
        <w:t xml:space="preserve"> (English and Spanish) </w:t>
      </w:r>
      <w:r w:rsidR="004C02B6">
        <w:t xml:space="preserve"> </w:t>
      </w:r>
      <w:r>
        <w:t xml:space="preserve">  </w:t>
      </w:r>
    </w:p>
    <w:p w:rsidR="00D0409A" w:rsidP="00E76298" w14:paraId="0F4AF2FA" w14:textId="12BE10A5">
      <w:pPr>
        <w:spacing w:after="120" w:line="240" w:lineRule="auto"/>
      </w:pPr>
      <w:r>
        <w:t xml:space="preserve">Appendix B: Consent </w:t>
      </w:r>
      <w:r w:rsidR="00521A1E">
        <w:t xml:space="preserve">and Assent </w:t>
      </w:r>
      <w:r>
        <w:t>form</w:t>
      </w:r>
      <w:r>
        <w:t>s</w:t>
      </w:r>
      <w:r w:rsidR="00E36FB6">
        <w:t xml:space="preserve"> (English and Spanish)</w:t>
      </w:r>
    </w:p>
    <w:p w:rsidR="00E76298" w:rsidP="00E76298" w14:paraId="1243AE98" w14:textId="01107D50">
      <w:pPr>
        <w:spacing w:after="120" w:line="240" w:lineRule="auto"/>
      </w:pPr>
      <w:r>
        <w:t>Appendix C: SOGI Questions for Pretest</w:t>
      </w:r>
      <w:r w:rsidR="00E36FB6">
        <w:t xml:space="preserve"> (English and Spanish)</w:t>
      </w:r>
      <w:r>
        <w:t xml:space="preserve"> </w:t>
      </w:r>
      <w:r>
        <w:t xml:space="preserve"> </w:t>
      </w:r>
    </w:p>
    <w:p w:rsidR="00E76298" w:rsidP="00E76298" w14:paraId="498DAAB3" w14:textId="22443DC3">
      <w:pPr>
        <w:spacing w:after="120" w:line="240" w:lineRule="auto"/>
      </w:pPr>
      <w:r>
        <w:t>Instrument 1: Youth Screener for Cognitive Interviews</w:t>
      </w:r>
      <w:r w:rsidR="00E36FB6">
        <w:t xml:space="preserve"> (English and Spanish)</w:t>
      </w:r>
      <w:r>
        <w:t xml:space="preserve"> </w:t>
      </w:r>
    </w:p>
    <w:p w:rsidR="00E76298" w:rsidP="00E76298" w14:paraId="5ADA78AE" w14:textId="03BB4A31">
      <w:pPr>
        <w:spacing w:after="120" w:line="240" w:lineRule="auto"/>
      </w:pPr>
      <w:r>
        <w:t xml:space="preserve">Instrument 2: Cognitive Interview </w:t>
      </w:r>
      <w:r w:rsidR="00521A1E">
        <w:t xml:space="preserve">and Focus Group Discussion </w:t>
      </w:r>
      <w:r>
        <w:t>Protocol</w:t>
      </w:r>
      <w:r w:rsidR="00E36FB6">
        <w:t xml:space="preserve"> (English and Spanish)</w:t>
      </w:r>
      <w:r>
        <w:t xml:space="preserve"> </w:t>
      </w:r>
    </w:p>
    <w:p w:rsidR="00E76298" w:rsidRPr="00BB2925" w:rsidP="00F85D35" w14:paraId="565C1522" w14:textId="77777777">
      <w:pPr>
        <w:spacing w:after="120" w:line="240" w:lineRule="auto"/>
        <w:rPr>
          <w:b/>
        </w:rPr>
      </w:pP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09F8" w:rsidP="0004063C" w14:paraId="1AE69027" w14:textId="77777777">
      <w:pPr>
        <w:spacing w:after="0" w:line="240" w:lineRule="auto"/>
      </w:pPr>
      <w:r>
        <w:separator/>
      </w:r>
    </w:p>
  </w:footnote>
  <w:footnote w:type="continuationSeparator" w:id="1">
    <w:p w:rsidR="003209F8" w:rsidP="0004063C" w14:paraId="7870BF65" w14:textId="77777777">
      <w:pPr>
        <w:spacing w:after="0" w:line="240" w:lineRule="auto"/>
      </w:pPr>
      <w:r>
        <w:continuationSeparator/>
      </w:r>
    </w:p>
  </w:footnote>
  <w:footnote w:id="2">
    <w:p w:rsidR="00F50B2C" w:rsidRPr="00F50B2C" w:rsidP="00F50B2C" w14:paraId="169A753E" w14:textId="77777777">
      <w:pPr>
        <w:pStyle w:val="pf0"/>
        <w:rPr>
          <w:rFonts w:ascii="Arial" w:hAnsi="Arial" w:cs="Arial"/>
          <w:sz w:val="20"/>
          <w:szCs w:val="20"/>
        </w:rPr>
      </w:pPr>
      <w:r>
        <w:rPr>
          <w:rStyle w:val="FootnoteReference"/>
        </w:rPr>
        <w:footnoteRef/>
      </w:r>
      <w:r>
        <w:t xml:space="preserve"> </w:t>
      </w:r>
      <w:r w:rsidRPr="00F50B2C">
        <w:rPr>
          <w:rFonts w:ascii="Segoe UI" w:hAnsi="Segoe UI" w:cs="Segoe UI"/>
          <w:color w:val="212121"/>
          <w:sz w:val="18"/>
          <w:szCs w:val="18"/>
          <w:shd w:val="clear" w:color="auto" w:fill="FFFFFF"/>
        </w:rPr>
        <w:t xml:space="preserve">Norris AE, Torres-Thomas S, Williams ET. Adapting cognitive interviewing for early adolescent Hispanic girls and sensitive topics. </w:t>
      </w:r>
      <w:r w:rsidRPr="00F50B2C">
        <w:rPr>
          <w:rFonts w:ascii="Segoe UI" w:hAnsi="Segoe UI" w:cs="Segoe UI"/>
          <w:color w:val="212121"/>
          <w:sz w:val="18"/>
          <w:szCs w:val="18"/>
          <w:shd w:val="clear" w:color="auto" w:fill="FFFFFF"/>
        </w:rPr>
        <w:t>Hisp</w:t>
      </w:r>
      <w:r w:rsidRPr="00F50B2C">
        <w:rPr>
          <w:rFonts w:ascii="Segoe UI" w:hAnsi="Segoe UI" w:cs="Segoe UI"/>
          <w:color w:val="212121"/>
          <w:sz w:val="18"/>
          <w:szCs w:val="18"/>
          <w:shd w:val="clear" w:color="auto" w:fill="FFFFFF"/>
        </w:rPr>
        <w:t xml:space="preserve"> Health Care Int. 2014;12(3):111-9. doi: 10.1891/1540-4153.12.3.111. PMID: 25239207; PMCID: PMC4459492.</w:t>
      </w:r>
      <w:r w:rsidRPr="00F50B2C">
        <w:rPr>
          <w:rFonts w:ascii="Segoe UI" w:hAnsi="Segoe UI" w:cs="Segoe UI"/>
          <w:sz w:val="18"/>
          <w:szCs w:val="18"/>
        </w:rPr>
        <w:t xml:space="preserve"> </w:t>
      </w:r>
      <w:hyperlink r:id="rId1" w:history="1">
        <w:r w:rsidRPr="00F50B2C">
          <w:rPr>
            <w:rFonts w:ascii="Segoe UI" w:hAnsi="Segoe UI" w:cs="Segoe UI"/>
            <w:color w:val="0000FF"/>
            <w:sz w:val="18"/>
            <w:szCs w:val="18"/>
            <w:u w:val="single"/>
          </w:rPr>
          <w:t>https://www.ncbi.nlm.nih.gov/pmc/articles/PMC4459492/</w:t>
        </w:r>
      </w:hyperlink>
    </w:p>
    <w:p w:rsidR="00F50B2C" w14:paraId="6466D663" w14:textId="3E907FE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CB214E"/>
    <w:multiLevelType w:val="hybridMultilevel"/>
    <w:tmpl w:val="B1B86D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9D0643"/>
    <w:multiLevelType w:val="hybridMultilevel"/>
    <w:tmpl w:val="C20CF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816018"/>
    <w:multiLevelType w:val="hybridMultilevel"/>
    <w:tmpl w:val="95DA3C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4C10793"/>
    <w:multiLevelType w:val="hybridMultilevel"/>
    <w:tmpl w:val="AACE3E7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042073"/>
    <w:multiLevelType w:val="multilevel"/>
    <w:tmpl w:val="149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4368533">
    <w:abstractNumId w:val="6"/>
  </w:num>
  <w:num w:numId="2" w16cid:durableId="511067722">
    <w:abstractNumId w:val="20"/>
  </w:num>
  <w:num w:numId="3" w16cid:durableId="161894133">
    <w:abstractNumId w:val="5"/>
  </w:num>
  <w:num w:numId="4" w16cid:durableId="1862818975">
    <w:abstractNumId w:val="25"/>
  </w:num>
  <w:num w:numId="5" w16cid:durableId="1079986564">
    <w:abstractNumId w:val="17"/>
  </w:num>
  <w:num w:numId="6" w16cid:durableId="807893490">
    <w:abstractNumId w:val="32"/>
  </w:num>
  <w:num w:numId="7" w16cid:durableId="722488423">
    <w:abstractNumId w:val="4"/>
  </w:num>
  <w:num w:numId="8" w16cid:durableId="399258234">
    <w:abstractNumId w:val="9"/>
  </w:num>
  <w:num w:numId="9" w16cid:durableId="316737400">
    <w:abstractNumId w:val="16"/>
  </w:num>
  <w:num w:numId="10" w16cid:durableId="2043164953">
    <w:abstractNumId w:val="31"/>
  </w:num>
  <w:num w:numId="11" w16cid:durableId="1579753207">
    <w:abstractNumId w:val="34"/>
  </w:num>
  <w:num w:numId="12" w16cid:durableId="1716004647">
    <w:abstractNumId w:val="29"/>
  </w:num>
  <w:num w:numId="13" w16cid:durableId="1364748625">
    <w:abstractNumId w:val="24"/>
  </w:num>
  <w:num w:numId="14" w16cid:durableId="1536966524">
    <w:abstractNumId w:val="30"/>
  </w:num>
  <w:num w:numId="15" w16cid:durableId="1275402746">
    <w:abstractNumId w:val="18"/>
  </w:num>
  <w:num w:numId="16" w16cid:durableId="1407145635">
    <w:abstractNumId w:val="23"/>
  </w:num>
  <w:num w:numId="17" w16cid:durableId="501504316">
    <w:abstractNumId w:val="14"/>
  </w:num>
  <w:num w:numId="18" w16cid:durableId="579142726">
    <w:abstractNumId w:val="8"/>
  </w:num>
  <w:num w:numId="19" w16cid:durableId="833182279">
    <w:abstractNumId w:val="7"/>
  </w:num>
  <w:num w:numId="20" w16cid:durableId="787892650">
    <w:abstractNumId w:val="22"/>
  </w:num>
  <w:num w:numId="21" w16cid:durableId="1067999227">
    <w:abstractNumId w:val="0"/>
  </w:num>
  <w:num w:numId="22" w16cid:durableId="808740660">
    <w:abstractNumId w:val="2"/>
  </w:num>
  <w:num w:numId="23" w16cid:durableId="603539678">
    <w:abstractNumId w:val="19"/>
  </w:num>
  <w:num w:numId="24" w16cid:durableId="1393845520">
    <w:abstractNumId w:val="3"/>
  </w:num>
  <w:num w:numId="25" w16cid:durableId="1649168827">
    <w:abstractNumId w:val="10"/>
  </w:num>
  <w:num w:numId="26" w16cid:durableId="1969554694">
    <w:abstractNumId w:val="21"/>
  </w:num>
  <w:num w:numId="27" w16cid:durableId="336003392">
    <w:abstractNumId w:val="15"/>
  </w:num>
  <w:num w:numId="28" w16cid:durableId="1032875110">
    <w:abstractNumId w:val="33"/>
  </w:num>
  <w:num w:numId="29" w16cid:durableId="553662646">
    <w:abstractNumId w:val="27"/>
  </w:num>
  <w:num w:numId="30" w16cid:durableId="1637104306">
    <w:abstractNumId w:val="11"/>
  </w:num>
  <w:num w:numId="31" w16cid:durableId="626162146">
    <w:abstractNumId w:val="12"/>
  </w:num>
  <w:num w:numId="32" w16cid:durableId="863179566">
    <w:abstractNumId w:val="26"/>
  </w:num>
  <w:num w:numId="33" w16cid:durableId="782387818">
    <w:abstractNumId w:val="28"/>
  </w:num>
  <w:num w:numId="34" w16cid:durableId="1634604053">
    <w:abstractNumId w:val="13"/>
  </w:num>
  <w:num w:numId="35" w16cid:durableId="194375990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00DB"/>
    <w:rsid w:val="0001255D"/>
    <w:rsid w:val="00023FE4"/>
    <w:rsid w:val="0002646F"/>
    <w:rsid w:val="00027E79"/>
    <w:rsid w:val="00035CDD"/>
    <w:rsid w:val="0004063C"/>
    <w:rsid w:val="000413E3"/>
    <w:rsid w:val="00041AF3"/>
    <w:rsid w:val="00042352"/>
    <w:rsid w:val="0004247F"/>
    <w:rsid w:val="00055CC2"/>
    <w:rsid w:val="00060C59"/>
    <w:rsid w:val="00062AFB"/>
    <w:rsid w:val="000655DD"/>
    <w:rsid w:val="00071F79"/>
    <w:rsid w:val="0007251B"/>
    <w:rsid w:val="000733A5"/>
    <w:rsid w:val="000745BC"/>
    <w:rsid w:val="00076DB5"/>
    <w:rsid w:val="000773B7"/>
    <w:rsid w:val="00082C5B"/>
    <w:rsid w:val="00083227"/>
    <w:rsid w:val="00086CBE"/>
    <w:rsid w:val="00090812"/>
    <w:rsid w:val="000921F0"/>
    <w:rsid w:val="00092FA2"/>
    <w:rsid w:val="00094CF0"/>
    <w:rsid w:val="000A012A"/>
    <w:rsid w:val="000A12BB"/>
    <w:rsid w:val="000A4086"/>
    <w:rsid w:val="000A795D"/>
    <w:rsid w:val="000B402F"/>
    <w:rsid w:val="000D4E9A"/>
    <w:rsid w:val="000D61D4"/>
    <w:rsid w:val="000D7942"/>
    <w:rsid w:val="000D7D44"/>
    <w:rsid w:val="000E1C4E"/>
    <w:rsid w:val="000F1E4A"/>
    <w:rsid w:val="00100D34"/>
    <w:rsid w:val="00102CF6"/>
    <w:rsid w:val="00103EFD"/>
    <w:rsid w:val="001078FD"/>
    <w:rsid w:val="00107D87"/>
    <w:rsid w:val="00113845"/>
    <w:rsid w:val="00115D26"/>
    <w:rsid w:val="00120651"/>
    <w:rsid w:val="001253F4"/>
    <w:rsid w:val="00157482"/>
    <w:rsid w:val="00165818"/>
    <w:rsid w:val="001707D8"/>
    <w:rsid w:val="00171DF3"/>
    <w:rsid w:val="001863F0"/>
    <w:rsid w:val="00191E3A"/>
    <w:rsid w:val="001A15EB"/>
    <w:rsid w:val="001B0A76"/>
    <w:rsid w:val="001B4275"/>
    <w:rsid w:val="001B6E1A"/>
    <w:rsid w:val="001C6946"/>
    <w:rsid w:val="001E20FE"/>
    <w:rsid w:val="001E32B7"/>
    <w:rsid w:val="001F1BBE"/>
    <w:rsid w:val="001F57F5"/>
    <w:rsid w:val="0020401C"/>
    <w:rsid w:val="0020629A"/>
    <w:rsid w:val="00206E11"/>
    <w:rsid w:val="00206FE3"/>
    <w:rsid w:val="00207554"/>
    <w:rsid w:val="00211261"/>
    <w:rsid w:val="00220C00"/>
    <w:rsid w:val="002324CF"/>
    <w:rsid w:val="00232F15"/>
    <w:rsid w:val="00244892"/>
    <w:rsid w:val="002468BD"/>
    <w:rsid w:val="002517BB"/>
    <w:rsid w:val="00256CC8"/>
    <w:rsid w:val="00256E24"/>
    <w:rsid w:val="00265491"/>
    <w:rsid w:val="002654FC"/>
    <w:rsid w:val="00272F87"/>
    <w:rsid w:val="00276CE2"/>
    <w:rsid w:val="0028792F"/>
    <w:rsid w:val="00287AF1"/>
    <w:rsid w:val="002A41C6"/>
    <w:rsid w:val="002B4E32"/>
    <w:rsid w:val="002B7724"/>
    <w:rsid w:val="002B785B"/>
    <w:rsid w:val="002C1915"/>
    <w:rsid w:val="002C4F63"/>
    <w:rsid w:val="002C4F75"/>
    <w:rsid w:val="002E3912"/>
    <w:rsid w:val="002E6CCF"/>
    <w:rsid w:val="002F33D0"/>
    <w:rsid w:val="002F375C"/>
    <w:rsid w:val="00300722"/>
    <w:rsid w:val="0030316D"/>
    <w:rsid w:val="003209F8"/>
    <w:rsid w:val="003241DB"/>
    <w:rsid w:val="0033247F"/>
    <w:rsid w:val="0035321F"/>
    <w:rsid w:val="0036657E"/>
    <w:rsid w:val="00373D2F"/>
    <w:rsid w:val="00374808"/>
    <w:rsid w:val="00382109"/>
    <w:rsid w:val="00391DBF"/>
    <w:rsid w:val="00394787"/>
    <w:rsid w:val="00396DFE"/>
    <w:rsid w:val="003A62C7"/>
    <w:rsid w:val="003A7774"/>
    <w:rsid w:val="003B0287"/>
    <w:rsid w:val="003C5FCA"/>
    <w:rsid w:val="003C6109"/>
    <w:rsid w:val="003C7358"/>
    <w:rsid w:val="003D0C48"/>
    <w:rsid w:val="003D4CE6"/>
    <w:rsid w:val="003E5714"/>
    <w:rsid w:val="003E61F6"/>
    <w:rsid w:val="003E6EBB"/>
    <w:rsid w:val="003E6F21"/>
    <w:rsid w:val="003F0D93"/>
    <w:rsid w:val="00407537"/>
    <w:rsid w:val="00415A50"/>
    <w:rsid w:val="004165BD"/>
    <w:rsid w:val="0042220D"/>
    <w:rsid w:val="00422E8B"/>
    <w:rsid w:val="004233E2"/>
    <w:rsid w:val="00426908"/>
    <w:rsid w:val="0043377A"/>
    <w:rsid w:val="004337A3"/>
    <w:rsid w:val="00436FD0"/>
    <w:rsid w:val="004379B6"/>
    <w:rsid w:val="004410A1"/>
    <w:rsid w:val="0044428E"/>
    <w:rsid w:val="00446465"/>
    <w:rsid w:val="00457F38"/>
    <w:rsid w:val="00460D54"/>
    <w:rsid w:val="00461D3E"/>
    <w:rsid w:val="00465741"/>
    <w:rsid w:val="004706CC"/>
    <w:rsid w:val="00487654"/>
    <w:rsid w:val="004A7D98"/>
    <w:rsid w:val="004B3D0A"/>
    <w:rsid w:val="004B75AC"/>
    <w:rsid w:val="004C02B6"/>
    <w:rsid w:val="004C3644"/>
    <w:rsid w:val="004C52D2"/>
    <w:rsid w:val="004C62CE"/>
    <w:rsid w:val="004C77AF"/>
    <w:rsid w:val="004D12DD"/>
    <w:rsid w:val="004D7575"/>
    <w:rsid w:val="004E269E"/>
    <w:rsid w:val="004E5778"/>
    <w:rsid w:val="004E7ED8"/>
    <w:rsid w:val="004F13EE"/>
    <w:rsid w:val="004F541B"/>
    <w:rsid w:val="0050376D"/>
    <w:rsid w:val="00512C25"/>
    <w:rsid w:val="00521707"/>
    <w:rsid w:val="00521A1E"/>
    <w:rsid w:val="005237B2"/>
    <w:rsid w:val="005302CB"/>
    <w:rsid w:val="00544DCC"/>
    <w:rsid w:val="0055434C"/>
    <w:rsid w:val="005624A3"/>
    <w:rsid w:val="00565109"/>
    <w:rsid w:val="00570BCB"/>
    <w:rsid w:val="00580ECB"/>
    <w:rsid w:val="0059009E"/>
    <w:rsid w:val="00591283"/>
    <w:rsid w:val="005A61CE"/>
    <w:rsid w:val="005A7E5A"/>
    <w:rsid w:val="005B1285"/>
    <w:rsid w:val="005B1410"/>
    <w:rsid w:val="005B271B"/>
    <w:rsid w:val="005B431B"/>
    <w:rsid w:val="005C7E12"/>
    <w:rsid w:val="005D3CD2"/>
    <w:rsid w:val="005D4A40"/>
    <w:rsid w:val="005D6733"/>
    <w:rsid w:val="005E0132"/>
    <w:rsid w:val="005E0ABE"/>
    <w:rsid w:val="005E0EA8"/>
    <w:rsid w:val="005E493B"/>
    <w:rsid w:val="005F2951"/>
    <w:rsid w:val="00606D4F"/>
    <w:rsid w:val="00610AD7"/>
    <w:rsid w:val="00624DDC"/>
    <w:rsid w:val="006253B6"/>
    <w:rsid w:val="006257ED"/>
    <w:rsid w:val="0062686E"/>
    <w:rsid w:val="00630B30"/>
    <w:rsid w:val="006345D7"/>
    <w:rsid w:val="00641930"/>
    <w:rsid w:val="00643249"/>
    <w:rsid w:val="00645732"/>
    <w:rsid w:val="00651FF6"/>
    <w:rsid w:val="0065548B"/>
    <w:rsid w:val="00674B82"/>
    <w:rsid w:val="00677CEC"/>
    <w:rsid w:val="00677D3B"/>
    <w:rsid w:val="0068303E"/>
    <w:rsid w:val="0068383E"/>
    <w:rsid w:val="00687809"/>
    <w:rsid w:val="00691AE2"/>
    <w:rsid w:val="006A4D02"/>
    <w:rsid w:val="006B1BF9"/>
    <w:rsid w:val="006B31DA"/>
    <w:rsid w:val="006B53F1"/>
    <w:rsid w:val="006B6037"/>
    <w:rsid w:val="006C0E56"/>
    <w:rsid w:val="006C11D9"/>
    <w:rsid w:val="006C7C04"/>
    <w:rsid w:val="006D3C83"/>
    <w:rsid w:val="006E00D7"/>
    <w:rsid w:val="006E4F82"/>
    <w:rsid w:val="00701209"/>
    <w:rsid w:val="00701FB9"/>
    <w:rsid w:val="00704188"/>
    <w:rsid w:val="00717BDC"/>
    <w:rsid w:val="00717F12"/>
    <w:rsid w:val="0072072F"/>
    <w:rsid w:val="00720D2E"/>
    <w:rsid w:val="00723A28"/>
    <w:rsid w:val="00730B58"/>
    <w:rsid w:val="00732BF1"/>
    <w:rsid w:val="00736B62"/>
    <w:rsid w:val="00762699"/>
    <w:rsid w:val="00764C85"/>
    <w:rsid w:val="00767063"/>
    <w:rsid w:val="00770E40"/>
    <w:rsid w:val="007733D5"/>
    <w:rsid w:val="00781F1A"/>
    <w:rsid w:val="00783A14"/>
    <w:rsid w:val="00791CF6"/>
    <w:rsid w:val="00793E3E"/>
    <w:rsid w:val="00795F60"/>
    <w:rsid w:val="007A29C5"/>
    <w:rsid w:val="007A3A7C"/>
    <w:rsid w:val="007A640C"/>
    <w:rsid w:val="007B29BB"/>
    <w:rsid w:val="007B6CA2"/>
    <w:rsid w:val="007B6FFF"/>
    <w:rsid w:val="007C2C4D"/>
    <w:rsid w:val="007C2EE0"/>
    <w:rsid w:val="007C5969"/>
    <w:rsid w:val="007C7B4B"/>
    <w:rsid w:val="007D4010"/>
    <w:rsid w:val="007E03EE"/>
    <w:rsid w:val="007E3B47"/>
    <w:rsid w:val="007E3E4A"/>
    <w:rsid w:val="00804E85"/>
    <w:rsid w:val="00814B90"/>
    <w:rsid w:val="0082128E"/>
    <w:rsid w:val="00823428"/>
    <w:rsid w:val="00835A8B"/>
    <w:rsid w:val="008369BA"/>
    <w:rsid w:val="0083794B"/>
    <w:rsid w:val="00840D32"/>
    <w:rsid w:val="00843933"/>
    <w:rsid w:val="00850352"/>
    <w:rsid w:val="00850F4C"/>
    <w:rsid w:val="008525F3"/>
    <w:rsid w:val="008545DA"/>
    <w:rsid w:val="008600BE"/>
    <w:rsid w:val="00862719"/>
    <w:rsid w:val="00864C1F"/>
    <w:rsid w:val="00867ADC"/>
    <w:rsid w:val="00870FA1"/>
    <w:rsid w:val="00871F04"/>
    <w:rsid w:val="008737FA"/>
    <w:rsid w:val="00875220"/>
    <w:rsid w:val="008813EA"/>
    <w:rsid w:val="00891CD9"/>
    <w:rsid w:val="0089288B"/>
    <w:rsid w:val="00894DC6"/>
    <w:rsid w:val="00895ABA"/>
    <w:rsid w:val="008B390E"/>
    <w:rsid w:val="008B5126"/>
    <w:rsid w:val="008D27AB"/>
    <w:rsid w:val="008D3E97"/>
    <w:rsid w:val="008E0239"/>
    <w:rsid w:val="008E2185"/>
    <w:rsid w:val="008E363F"/>
    <w:rsid w:val="008E4718"/>
    <w:rsid w:val="008F2446"/>
    <w:rsid w:val="008F729C"/>
    <w:rsid w:val="00901040"/>
    <w:rsid w:val="00912A37"/>
    <w:rsid w:val="00923F25"/>
    <w:rsid w:val="00932F75"/>
    <w:rsid w:val="009421B0"/>
    <w:rsid w:val="00955A8E"/>
    <w:rsid w:val="00963503"/>
    <w:rsid w:val="00963BE5"/>
    <w:rsid w:val="00965DBD"/>
    <w:rsid w:val="00971944"/>
    <w:rsid w:val="00972EF6"/>
    <w:rsid w:val="009738F3"/>
    <w:rsid w:val="009815C6"/>
    <w:rsid w:val="00984048"/>
    <w:rsid w:val="009954E2"/>
    <w:rsid w:val="00996201"/>
    <w:rsid w:val="009A39E1"/>
    <w:rsid w:val="009A3AD8"/>
    <w:rsid w:val="009A4F91"/>
    <w:rsid w:val="009A6EE8"/>
    <w:rsid w:val="009B0F58"/>
    <w:rsid w:val="009B3DFB"/>
    <w:rsid w:val="009C3380"/>
    <w:rsid w:val="009E4E5B"/>
    <w:rsid w:val="009E7E38"/>
    <w:rsid w:val="009F1A07"/>
    <w:rsid w:val="009F265B"/>
    <w:rsid w:val="009F482C"/>
    <w:rsid w:val="009F63C1"/>
    <w:rsid w:val="009F68DB"/>
    <w:rsid w:val="00A003D0"/>
    <w:rsid w:val="00A03E3F"/>
    <w:rsid w:val="00A0760A"/>
    <w:rsid w:val="00A1108E"/>
    <w:rsid w:val="00A27CD0"/>
    <w:rsid w:val="00A362B6"/>
    <w:rsid w:val="00A362EA"/>
    <w:rsid w:val="00A3651D"/>
    <w:rsid w:val="00A37783"/>
    <w:rsid w:val="00A42977"/>
    <w:rsid w:val="00A464DD"/>
    <w:rsid w:val="00A517F3"/>
    <w:rsid w:val="00A53176"/>
    <w:rsid w:val="00A53E16"/>
    <w:rsid w:val="00A62971"/>
    <w:rsid w:val="00A636DD"/>
    <w:rsid w:val="00A67DFF"/>
    <w:rsid w:val="00A71475"/>
    <w:rsid w:val="00A714DC"/>
    <w:rsid w:val="00A7179C"/>
    <w:rsid w:val="00A74FED"/>
    <w:rsid w:val="00A761CB"/>
    <w:rsid w:val="00A83837"/>
    <w:rsid w:val="00A84379"/>
    <w:rsid w:val="00A85701"/>
    <w:rsid w:val="00A874EA"/>
    <w:rsid w:val="00AB467B"/>
    <w:rsid w:val="00AB5CFE"/>
    <w:rsid w:val="00AC1576"/>
    <w:rsid w:val="00AD0344"/>
    <w:rsid w:val="00AD240D"/>
    <w:rsid w:val="00AD3261"/>
    <w:rsid w:val="00AD4355"/>
    <w:rsid w:val="00AE1814"/>
    <w:rsid w:val="00AE3F5F"/>
    <w:rsid w:val="00AF04E2"/>
    <w:rsid w:val="00B020B1"/>
    <w:rsid w:val="00B028BD"/>
    <w:rsid w:val="00B13297"/>
    <w:rsid w:val="00B13DC4"/>
    <w:rsid w:val="00B17B7C"/>
    <w:rsid w:val="00B20DD1"/>
    <w:rsid w:val="00B23277"/>
    <w:rsid w:val="00B245AD"/>
    <w:rsid w:val="00B302C7"/>
    <w:rsid w:val="00B4182B"/>
    <w:rsid w:val="00B44DC3"/>
    <w:rsid w:val="00B55E54"/>
    <w:rsid w:val="00B56589"/>
    <w:rsid w:val="00B64D05"/>
    <w:rsid w:val="00B66F94"/>
    <w:rsid w:val="00B70460"/>
    <w:rsid w:val="00B7230F"/>
    <w:rsid w:val="00B73EA6"/>
    <w:rsid w:val="00B86093"/>
    <w:rsid w:val="00B9441B"/>
    <w:rsid w:val="00B96EE7"/>
    <w:rsid w:val="00BA6D05"/>
    <w:rsid w:val="00BB2925"/>
    <w:rsid w:val="00BB4BF8"/>
    <w:rsid w:val="00BC6151"/>
    <w:rsid w:val="00BD702B"/>
    <w:rsid w:val="00BD7B78"/>
    <w:rsid w:val="00BE0BE9"/>
    <w:rsid w:val="00BE0E73"/>
    <w:rsid w:val="00BE371B"/>
    <w:rsid w:val="00BE773B"/>
    <w:rsid w:val="00C05352"/>
    <w:rsid w:val="00C26820"/>
    <w:rsid w:val="00C308D0"/>
    <w:rsid w:val="00C309D7"/>
    <w:rsid w:val="00C32404"/>
    <w:rsid w:val="00C633A9"/>
    <w:rsid w:val="00C64C1B"/>
    <w:rsid w:val="00C72017"/>
    <w:rsid w:val="00C73360"/>
    <w:rsid w:val="00C86CB2"/>
    <w:rsid w:val="00C91C71"/>
    <w:rsid w:val="00C95126"/>
    <w:rsid w:val="00CA72A5"/>
    <w:rsid w:val="00CB4F15"/>
    <w:rsid w:val="00CC07BF"/>
    <w:rsid w:val="00CC4651"/>
    <w:rsid w:val="00CE018E"/>
    <w:rsid w:val="00CE7A4A"/>
    <w:rsid w:val="00CF315D"/>
    <w:rsid w:val="00CF6534"/>
    <w:rsid w:val="00D0409A"/>
    <w:rsid w:val="00D04D4E"/>
    <w:rsid w:val="00D1343F"/>
    <w:rsid w:val="00D13AA8"/>
    <w:rsid w:val="00D13EB6"/>
    <w:rsid w:val="00D239B5"/>
    <w:rsid w:val="00D27E7B"/>
    <w:rsid w:val="00D327D3"/>
    <w:rsid w:val="00D32B72"/>
    <w:rsid w:val="00D330F6"/>
    <w:rsid w:val="00D4033C"/>
    <w:rsid w:val="00D43E13"/>
    <w:rsid w:val="00D45504"/>
    <w:rsid w:val="00D51337"/>
    <w:rsid w:val="00D5346A"/>
    <w:rsid w:val="00D55767"/>
    <w:rsid w:val="00D646F7"/>
    <w:rsid w:val="00D70FD8"/>
    <w:rsid w:val="00D71BA0"/>
    <w:rsid w:val="00D749DF"/>
    <w:rsid w:val="00D82755"/>
    <w:rsid w:val="00D82E67"/>
    <w:rsid w:val="00D831AC"/>
    <w:rsid w:val="00D87E19"/>
    <w:rsid w:val="00D908B4"/>
    <w:rsid w:val="00D9218F"/>
    <w:rsid w:val="00D97926"/>
    <w:rsid w:val="00D97B3A"/>
    <w:rsid w:val="00DA2239"/>
    <w:rsid w:val="00DA3377"/>
    <w:rsid w:val="00DA3557"/>
    <w:rsid w:val="00DA4701"/>
    <w:rsid w:val="00DB3099"/>
    <w:rsid w:val="00DC3C44"/>
    <w:rsid w:val="00DC65F2"/>
    <w:rsid w:val="00DC7876"/>
    <w:rsid w:val="00DC7DD5"/>
    <w:rsid w:val="00DE3900"/>
    <w:rsid w:val="00DE3ED7"/>
    <w:rsid w:val="00DF0651"/>
    <w:rsid w:val="00DF1291"/>
    <w:rsid w:val="00DF15DA"/>
    <w:rsid w:val="00E000EC"/>
    <w:rsid w:val="00E0449C"/>
    <w:rsid w:val="00E1392C"/>
    <w:rsid w:val="00E22AC6"/>
    <w:rsid w:val="00E24830"/>
    <w:rsid w:val="00E26FF0"/>
    <w:rsid w:val="00E318A6"/>
    <w:rsid w:val="00E36FB6"/>
    <w:rsid w:val="00E41C62"/>
    <w:rsid w:val="00E41EE9"/>
    <w:rsid w:val="00E454F5"/>
    <w:rsid w:val="00E461D4"/>
    <w:rsid w:val="00E47101"/>
    <w:rsid w:val="00E47DE5"/>
    <w:rsid w:val="00E62285"/>
    <w:rsid w:val="00E62819"/>
    <w:rsid w:val="00E71E25"/>
    <w:rsid w:val="00E75D57"/>
    <w:rsid w:val="00E76298"/>
    <w:rsid w:val="00E80588"/>
    <w:rsid w:val="00E9045F"/>
    <w:rsid w:val="00E94658"/>
    <w:rsid w:val="00E9556B"/>
    <w:rsid w:val="00E96EBD"/>
    <w:rsid w:val="00EA0D4F"/>
    <w:rsid w:val="00EA405B"/>
    <w:rsid w:val="00EB4C26"/>
    <w:rsid w:val="00EB6134"/>
    <w:rsid w:val="00EB773D"/>
    <w:rsid w:val="00EC1A6C"/>
    <w:rsid w:val="00ED7509"/>
    <w:rsid w:val="00EE3651"/>
    <w:rsid w:val="00EE38AF"/>
    <w:rsid w:val="00EF254B"/>
    <w:rsid w:val="00EF4FF2"/>
    <w:rsid w:val="00F071DE"/>
    <w:rsid w:val="00F1011D"/>
    <w:rsid w:val="00F133AE"/>
    <w:rsid w:val="00F312FD"/>
    <w:rsid w:val="00F324F5"/>
    <w:rsid w:val="00F34774"/>
    <w:rsid w:val="00F42246"/>
    <w:rsid w:val="00F5086B"/>
    <w:rsid w:val="00F50B2C"/>
    <w:rsid w:val="00F54E9B"/>
    <w:rsid w:val="00F564BB"/>
    <w:rsid w:val="00F6124E"/>
    <w:rsid w:val="00F67BDE"/>
    <w:rsid w:val="00F72837"/>
    <w:rsid w:val="00F728C3"/>
    <w:rsid w:val="00F73C9D"/>
    <w:rsid w:val="00F74630"/>
    <w:rsid w:val="00F74AED"/>
    <w:rsid w:val="00F85D35"/>
    <w:rsid w:val="00F862E6"/>
    <w:rsid w:val="00F9122A"/>
    <w:rsid w:val="00F917E5"/>
    <w:rsid w:val="00F920DD"/>
    <w:rsid w:val="00FA6D2C"/>
    <w:rsid w:val="00FB3017"/>
    <w:rsid w:val="00FB5BF6"/>
    <w:rsid w:val="00FB6097"/>
    <w:rsid w:val="00FC779A"/>
    <w:rsid w:val="00FD2108"/>
    <w:rsid w:val="00FF5C51"/>
    <w:rsid w:val="00FF654E"/>
    <w:rsid w:val="5E3EE6FC"/>
    <w:rsid w:val="645347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f0">
    <w:name w:val="pf0"/>
    <w:basedOn w:val="Normal"/>
    <w:rsid w:val="007E3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E3E4A"/>
    <w:rPr>
      <w:rFonts w:ascii="Segoe UI" w:hAnsi="Segoe UI" w:cs="Segoe UI" w:hint="default"/>
      <w:sz w:val="18"/>
      <w:szCs w:val="18"/>
    </w:rPr>
  </w:style>
  <w:style w:type="paragraph" w:customStyle="1" w:styleId="ParagraphContinued">
    <w:name w:val="Paragraph Continued"/>
    <w:basedOn w:val="Normal"/>
    <w:next w:val="Normal"/>
    <w:qFormat/>
    <w:rsid w:val="00E94658"/>
    <w:pPr>
      <w:spacing w:before="120" w:after="120" w:line="264" w:lineRule="auto"/>
    </w:pPr>
  </w:style>
  <w:style w:type="paragraph" w:styleId="ListNumber">
    <w:name w:val="List Number"/>
    <w:basedOn w:val="Normal"/>
    <w:unhideWhenUsed/>
    <w:qFormat/>
    <w:rsid w:val="00E94658"/>
    <w:pPr>
      <w:adjustRightInd w:val="0"/>
      <w:spacing w:after="80" w:line="264" w:lineRule="auto"/>
    </w:pPr>
  </w:style>
  <w:style w:type="paragraph" w:customStyle="1" w:styleId="TableTextLeft">
    <w:name w:val="Table Text Left"/>
    <w:qFormat/>
    <w:rsid w:val="00E454F5"/>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E454F5"/>
    <w:pPr>
      <w:keepNext/>
      <w:jc w:val="center"/>
    </w:pPr>
    <w:rPr>
      <w:color w:val="FFFFFF" w:themeColor="background1"/>
      <w:sz w:val="20"/>
    </w:rPr>
  </w:style>
  <w:style w:type="paragraph" w:customStyle="1" w:styleId="TableTitle">
    <w:name w:val="Table Title"/>
    <w:basedOn w:val="Normal"/>
    <w:qFormat/>
    <w:rsid w:val="004410A1"/>
    <w:pPr>
      <w:keepNext/>
      <w:keepLines/>
      <w:spacing w:before="40" w:after="40" w:line="264" w:lineRule="auto"/>
    </w:pPr>
    <w:rPr>
      <w:rFonts w:asciiTheme="majorHAnsi" w:hAnsiTheme="majorHAnsi"/>
      <w:b/>
      <w:color w:val="000000" w:themeColor="text1"/>
      <w:sz w:val="20"/>
    </w:rPr>
  </w:style>
  <w:style w:type="character" w:styleId="UnresolvedMention">
    <w:name w:val="Unresolved Mention"/>
    <w:basedOn w:val="DefaultParagraphFont"/>
    <w:uiPriority w:val="99"/>
    <w:semiHidden/>
    <w:unhideWhenUsed/>
    <w:rsid w:val="00895ABA"/>
    <w:rPr>
      <w:color w:val="605E5C"/>
      <w:shd w:val="clear" w:color="auto" w:fill="E1DFDD"/>
    </w:rPr>
  </w:style>
  <w:style w:type="character" w:customStyle="1" w:styleId="cf11">
    <w:name w:val="cf11"/>
    <w:basedOn w:val="DefaultParagraphFont"/>
    <w:rsid w:val="00DE390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ia.Brown@acf.hhs.gov" TargetMode="External" /><Relationship Id="rId11" Type="http://schemas.openxmlformats.org/officeDocument/2006/relationships/hyperlink" Target="mailto:lhulsey@mathematica-mpr.com" TargetMode="External" /><Relationship Id="rId12" Type="http://schemas.openxmlformats.org/officeDocument/2006/relationships/hyperlink" Target="mailto:mreid@mathematica-mpr.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aryn.Blitz@acf.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cbi.nlm.nih.gov/pmc/articles/PMC445949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ACDBF5FE-017E-4419-A72F-6940B6D0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3720</Words>
  <Characters>18940</Characters>
  <Application>Microsoft Office Word</Application>
  <DocSecurity>0</DocSecurity>
  <Lines>326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Maya Reid</cp:lastModifiedBy>
  <cp:revision>3</cp:revision>
  <dcterms:created xsi:type="dcterms:W3CDTF">2024-12-10T21:30:00Z</dcterms:created>
  <dcterms:modified xsi:type="dcterms:W3CDTF">2024-12-10T21:31:00Z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