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31FD" w:rsidP="0073416B" w14:paraId="7EDD1232" w14:textId="4E5E2B23">
      <w:r>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-903605</wp:posOffset>
            </wp:positionV>
            <wp:extent cx="7752715" cy="10032925"/>
            <wp:effectExtent l="0" t="0" r="63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53437" cy="100338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1" layoutInCell="1" allowOverlap="1">
                <wp:simplePos x="0" y="0"/>
                <wp:positionH relativeFrom="column">
                  <wp:posOffset>-266700</wp:posOffset>
                </wp:positionH>
                <wp:positionV relativeFrom="paragraph">
                  <wp:posOffset>5972175</wp:posOffset>
                </wp:positionV>
                <wp:extent cx="5734050" cy="525780"/>
                <wp:effectExtent l="0" t="0" r="0" b="7620"/>
                <wp:wrapNone/>
                <wp:docPr id="237" name="Text Box 2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34050" cy="525780"/>
                        </a:xfrm>
                        <a:prstGeom prst="rect">
                          <a:avLst/>
                        </a:prstGeom>
                        <a:solidFill>
                          <a:schemeClr val="bg1"/>
                        </a:solidFill>
                        <a:ln>
                          <a:noFill/>
                        </a:ln>
                        <a:effectLst/>
                      </wps:spPr>
                      <wps:txbx>
                        <w:txbxContent>
                          <w:p w:rsidR="00E031FD" w:rsidRPr="00B3026F" w:rsidP="00961B3E" w14:textId="1F91298A">
                            <w:pPr>
                              <w:pStyle w:val="CoverDate"/>
                              <w:rPr>
                                <w:rFonts w:ascii="Arial" w:hAnsi="Arial" w:cs="Arial"/>
                                <w:color w:val="00567B"/>
                              </w:rPr>
                            </w:pPr>
                            <w:r>
                              <w:rPr>
                                <w:rFonts w:ascii="Arial" w:hAnsi="Arial" w:cs="Arial"/>
                                <w:color w:val="00567B"/>
                              </w:rPr>
                              <w:t>October</w:t>
                            </w:r>
                            <w:r w:rsidR="005219C1">
                              <w:rPr>
                                <w:rFonts w:ascii="Arial" w:hAnsi="Arial" w:cs="Arial"/>
                                <w:color w:val="00567B"/>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7" o:spid="_x0000_s1025" type="#_x0000_t202" style="width:451.5pt;height:41.4pt;margin-top:470.25pt;margin-left:-21pt;mso-height-percent:0;mso-height-relative:margin;mso-width-percent:0;mso-width-relative:margin;mso-wrap-distance-bottom:0;mso-wrap-distance-left:9pt;mso-wrap-distance-right:9pt;mso-wrap-distance-top:0;mso-wrap-style:square;position:absolute;visibility:visible;v-text-anchor:top;z-index:251661312" fillcolor="white" stroked="f">
                <v:textbox>
                  <w:txbxContent>
                    <w:p w:rsidR="00E031FD" w:rsidRPr="00B3026F" w:rsidP="00961B3E" w14:paraId="1A783C64" w14:textId="1F91298A">
                      <w:pPr>
                        <w:pStyle w:val="CoverDate"/>
                        <w:rPr>
                          <w:rFonts w:ascii="Arial" w:hAnsi="Arial" w:cs="Arial"/>
                          <w:color w:val="00567B"/>
                        </w:rPr>
                      </w:pPr>
                      <w:r>
                        <w:rPr>
                          <w:rFonts w:ascii="Arial" w:hAnsi="Arial" w:cs="Arial"/>
                          <w:color w:val="00567B"/>
                        </w:rPr>
                        <w:t>October</w:t>
                      </w:r>
                      <w:r w:rsidR="005219C1">
                        <w:rPr>
                          <w:rFonts w:ascii="Arial" w:hAnsi="Arial" w:cs="Arial"/>
                          <w:color w:val="00567B"/>
                        </w:rPr>
                        <w:t xml:space="preserve"> 2024</w:t>
                      </w:r>
                    </w:p>
                  </w:txbxContent>
                </v:textbox>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-926592</wp:posOffset>
                </wp:positionH>
                <wp:positionV relativeFrom="page">
                  <wp:posOffset>12192</wp:posOffset>
                </wp:positionV>
                <wp:extent cx="5285105" cy="438785"/>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5105" cy="438785"/>
                        </a:xfrm>
                        <a:prstGeom prst="rect">
                          <a:avLst/>
                        </a:prstGeom>
                        <a:noFill/>
                        <a:ln>
                          <a:noFill/>
                        </a:ln>
                        <a:effectLst/>
                      </wps:spPr>
                      <wps:txbx>
                        <w:txbxContent>
                          <w:p w:rsidR="00E031FD" w:rsidRPr="00B3026F" w:rsidP="00E031FD" w14:textId="77777777">
                            <w:pPr>
                              <w:pStyle w:val="Title2"/>
                              <w:rPr>
                                <w:rFonts w:ascii="Arial" w:hAnsi="Arial" w:cs="Arial"/>
                                <w:b w:val="0"/>
                                <w:sz w:val="52"/>
                                <w:szCs w:val="52"/>
                              </w:rPr>
                            </w:pPr>
                            <w:r w:rsidRPr="00B3026F">
                              <w:rPr>
                                <w:rFonts w:ascii="Arial" w:hAnsi="Arial" w:cs="Arial"/>
                                <w:b w:val="0"/>
                                <w:sz w:val="52"/>
                                <w:szCs w:val="52"/>
                              </w:rPr>
                              <w:t>Template and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26" type="#_x0000_t202" style="width:416.15pt;height:34.55pt;margin-top:0.95pt;margin-left:-72.95pt;mso-height-percent:0;mso-height-relative:margin;mso-position-vertical-relative:page;mso-width-percent:0;mso-width-relative:margin;mso-wrap-distance-bottom:0;mso-wrap-distance-left:9pt;mso-wrap-distance-right:9pt;mso-wrap-distance-top:0;mso-wrap-style:square;position:absolute;visibility:visible;v-text-anchor:top;z-index:251659264" filled="f" stroked="f">
                <v:textbox>
                  <w:txbxContent>
                    <w:p w:rsidR="00E031FD" w:rsidRPr="00B3026F" w:rsidP="00E031FD" w14:paraId="5823E5A0" w14:textId="77777777">
                      <w:pPr>
                        <w:pStyle w:val="Title2"/>
                        <w:rPr>
                          <w:rFonts w:ascii="Arial" w:hAnsi="Arial" w:cs="Arial"/>
                          <w:b w:val="0"/>
                          <w:sz w:val="52"/>
                          <w:szCs w:val="52"/>
                        </w:rPr>
                      </w:pPr>
                      <w:r w:rsidRPr="00B3026F">
                        <w:rPr>
                          <w:rFonts w:ascii="Arial" w:hAnsi="Arial" w:cs="Arial"/>
                          <w:b w:val="0"/>
                          <w:sz w:val="52"/>
                          <w:szCs w:val="52"/>
                        </w:rPr>
                        <w:t>Template and Guidance</w:t>
                      </w:r>
                    </w:p>
                  </w:txbxContent>
                </v:textbox>
                <w10:anchorlock/>
              </v:shape>
            </w:pict>
          </mc:Fallback>
        </mc:AlternateContent>
      </w:r>
    </w:p>
    <w:sdt>
      <w:sdtPr>
        <w:id w:val="-1249880172"/>
        <w:docPartObj>
          <w:docPartGallery w:val="Cover Pages"/>
          <w:docPartUnique/>
        </w:docPartObj>
      </w:sdtPr>
      <w:sdtEndPr>
        <w:rPr>
          <w:b/>
          <w:bCs/>
          <w:noProof/>
        </w:rPr>
      </w:sdtEndPr>
      <w:sdtContent>
        <w:p w:rsidR="00B766B9" w:rsidP="00C844E9" w14:paraId="66D356C1" w14:textId="6CAABD4C"/>
        <w:p w:rsidR="00C844E9" w:rsidP="00C844E9" w14:paraId="6F8310A8" w14:textId="77777777">
          <w:pPr>
            <w:rPr>
              <w:b/>
              <w:noProof/>
            </w:rPr>
          </w:pPr>
        </w:p>
        <w:p w:rsidR="00353E09" w:rsidP="0073416B" w14:paraId="2E5B70A6" w14:textId="3B1CCFFD">
          <w:pPr>
            <w:spacing w:after="0"/>
            <w:rPr>
              <w:b/>
              <w:noProof/>
            </w:rPr>
            <w:sectPr w:rsidSect="000464E9">
              <w:footerReference w:type="first" r:id="rId10"/>
              <w:pgSz w:w="12240" w:h="15840" w:code="1"/>
              <w:pgMar w:top="1440" w:right="1440" w:bottom="1440" w:left="1440" w:header="432" w:footer="720" w:gutter="0"/>
              <w:pgNumType w:fmt="lowerRoman" w:start="1"/>
              <w:cols w:space="720"/>
              <w:docGrid w:linePitch="299"/>
            </w:sectPr>
          </w:pPr>
          <w:r>
            <w:rPr>
              <w:b/>
              <w:noProof/>
            </w:rPr>
            <mc:AlternateContent>
              <mc:Choice Requires="wps">
                <w:drawing>
                  <wp:anchor distT="0" distB="0" distL="114300" distR="114300" simplePos="0" relativeHeight="251663360" behindDoc="0" locked="0" layoutInCell="1" allowOverlap="1">
                    <wp:simplePos x="0" y="0"/>
                    <wp:positionH relativeFrom="column">
                      <wp:posOffset>-197224</wp:posOffset>
                    </wp:positionH>
                    <wp:positionV relativeFrom="paragraph">
                      <wp:posOffset>2929106</wp:posOffset>
                    </wp:positionV>
                    <wp:extent cx="6490448" cy="103949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90448" cy="1039495"/>
                            </a:xfrm>
                            <a:prstGeom prst="rect">
                              <a:avLst/>
                            </a:prstGeom>
                            <a:noFill/>
                            <a:ln w="6350">
                              <a:noFill/>
                            </a:ln>
                          </wps:spPr>
                          <wps:txbx>
                            <w:txbxContent>
                              <w:p w:rsidR="00A82B2A" w:rsidRPr="00A82B2A" w14:textId="781427F5">
                                <w:pPr>
                                  <w:rPr>
                                    <w:rFonts w:ascii="Arial" w:hAnsi="Arial" w:cs="Arial"/>
                                    <w:b/>
                                    <w:bCs/>
                                    <w:color w:val="FFFFFF" w:themeColor="background1"/>
                                    <w:sz w:val="72"/>
                                    <w:szCs w:val="52"/>
                                  </w:rPr>
                                </w:pPr>
                                <w:r w:rsidRPr="009229B0">
                                  <w:rPr>
                                    <w:rFonts w:ascii="Arial" w:hAnsi="Arial" w:cs="Arial"/>
                                    <w:b/>
                                    <w:bCs/>
                                    <w:color w:val="FFFFFF" w:themeColor="background1"/>
                                    <w:sz w:val="72"/>
                                    <w:szCs w:val="52"/>
                                  </w:rPr>
                                  <w:t>PREIS Analysis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width:511.05pt;height:81.85pt;margin-top:230.65pt;margin-left:-15.55pt;mso-height-percent:0;mso-height-relative:margin;mso-width-percent:0;mso-width-relative:margin;mso-wrap-distance-bottom:0;mso-wrap-distance-left:9pt;mso-wrap-distance-right:9pt;mso-wrap-distance-top:0;mso-wrap-style:square;position:absolute;visibility:visible;v-text-anchor:top;z-index:251664384" filled="f" stroked="f" strokeweight="0.5pt">
                    <v:textbox>
                      <w:txbxContent>
                        <w:p w:rsidR="00A82B2A" w:rsidRPr="00A82B2A" w14:paraId="0EA8CBE3" w14:textId="781427F5">
                          <w:pPr>
                            <w:rPr>
                              <w:rFonts w:ascii="Arial" w:hAnsi="Arial" w:cs="Arial"/>
                              <w:b/>
                              <w:bCs/>
                              <w:color w:val="FFFFFF" w:themeColor="background1"/>
                              <w:sz w:val="72"/>
                              <w:szCs w:val="52"/>
                            </w:rPr>
                          </w:pPr>
                          <w:r w:rsidRPr="009229B0">
                            <w:rPr>
                              <w:rFonts w:ascii="Arial" w:hAnsi="Arial" w:cs="Arial"/>
                              <w:b/>
                              <w:bCs/>
                              <w:color w:val="FFFFFF" w:themeColor="background1"/>
                              <w:sz w:val="72"/>
                              <w:szCs w:val="52"/>
                            </w:rPr>
                            <w:t>PREIS Analysis Plan</w:t>
                          </w:r>
                        </w:p>
                      </w:txbxContent>
                    </v:textbox>
                  </v:shape>
                </w:pict>
              </mc:Fallback>
            </mc:AlternateContent>
          </w:r>
          <w:r>
            <w:rPr>
              <w:b/>
              <w:noProof/>
            </w:rPr>
            <mc:AlternateContent>
              <mc:Choice Requires="wps">
                <w:drawing>
                  <wp:anchor distT="0" distB="0" distL="114300" distR="114300" simplePos="0" relativeHeight="251665408" behindDoc="0" locked="0" layoutInCell="1" allowOverlap="1">
                    <wp:simplePos x="0" y="0"/>
                    <wp:positionH relativeFrom="column">
                      <wp:posOffset>-197485</wp:posOffset>
                    </wp:positionH>
                    <wp:positionV relativeFrom="paragraph">
                      <wp:posOffset>4120515</wp:posOffset>
                    </wp:positionV>
                    <wp:extent cx="6069106" cy="833307"/>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9106" cy="833307"/>
                            </a:xfrm>
                            <a:prstGeom prst="rect">
                              <a:avLst/>
                            </a:prstGeom>
                            <a:noFill/>
                            <a:ln w="6350">
                              <a:noFill/>
                            </a:ln>
                          </wps:spPr>
                          <wps:txbx>
                            <w:txbxContent>
                              <w:p w:rsidR="00A82B2A" w:rsidRPr="00A82B2A" w:rsidP="00A82B2A" w14:textId="4AD4A15D">
                                <w:pPr>
                                  <w:rPr>
                                    <w:rFonts w:ascii="Arial" w:hAnsi="Arial" w:cs="Arial"/>
                                    <w:color w:val="FFFFFF" w:themeColor="background1"/>
                                    <w:sz w:val="52"/>
                                    <w:szCs w:val="44"/>
                                  </w:rPr>
                                </w:pPr>
                                <w:r w:rsidRPr="009229B0">
                                  <w:rPr>
                                    <w:rFonts w:ascii="Arial" w:hAnsi="Arial" w:cs="Arial"/>
                                    <w:color w:val="FFFFFF" w:themeColor="background1"/>
                                    <w:sz w:val="52"/>
                                    <w:szCs w:val="44"/>
                                  </w:rPr>
                                  <w:t>Template and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5" o:spid="_x0000_s1028" type="#_x0000_t202" style="width:477.9pt;height:65.6pt;margin-top:324.45pt;margin-left:-15.55pt;mso-height-percent:0;mso-height-relative:margin;mso-wrap-distance-bottom:0;mso-wrap-distance-left:9pt;mso-wrap-distance-right:9pt;mso-wrap-distance-top:0;mso-wrap-style:square;position:absolute;visibility:visible;v-text-anchor:top;z-index:251666432" filled="f" stroked="f" strokeweight="0.5pt">
                    <v:textbox>
                      <w:txbxContent>
                        <w:p w:rsidR="00A82B2A" w:rsidRPr="00A82B2A" w:rsidP="00A82B2A" w14:paraId="20EFA749" w14:textId="4AD4A15D">
                          <w:pPr>
                            <w:rPr>
                              <w:rFonts w:ascii="Arial" w:hAnsi="Arial" w:cs="Arial"/>
                              <w:color w:val="FFFFFF" w:themeColor="background1"/>
                              <w:sz w:val="52"/>
                              <w:szCs w:val="44"/>
                            </w:rPr>
                          </w:pPr>
                          <w:r w:rsidRPr="009229B0">
                            <w:rPr>
                              <w:rFonts w:ascii="Arial" w:hAnsi="Arial" w:cs="Arial"/>
                              <w:color w:val="FFFFFF" w:themeColor="background1"/>
                              <w:sz w:val="52"/>
                              <w:szCs w:val="44"/>
                            </w:rPr>
                            <w:t>Template and Guidance</w:t>
                          </w:r>
                        </w:p>
                      </w:txbxContent>
                    </v:textbox>
                  </v:shape>
                </w:pict>
              </mc:Fallback>
            </mc:AlternateContent>
          </w:r>
        </w:p>
      </w:sdtContent>
    </w:sdt>
    <w:p w:rsidR="00B3026F" w:rsidP="001677EE" w14:paraId="0D9D79A7" w14:textId="77777777">
      <w:pPr>
        <w:pStyle w:val="TOCHeader"/>
      </w:pPr>
    </w:p>
    <w:p w:rsidR="00353E09" w:rsidRPr="00353E09" w:rsidP="001677EE" w14:paraId="6B52726E" w14:textId="3AF2019E">
      <w:pPr>
        <w:pStyle w:val="TOCHeader"/>
      </w:pPr>
      <w:r w:rsidRPr="009229B0">
        <w:t>PREIS Analysis Plan Template</w:t>
      </w:r>
    </w:p>
    <w:p w:rsidR="00351257" w:rsidP="00021EBD" w14:paraId="4EE31792" w14:textId="1FAA8FF7">
      <w:pPr>
        <w:pStyle w:val="BodyText"/>
      </w:pPr>
    </w:p>
    <w:p w:rsidR="00645684" w:rsidP="001677EE" w14:paraId="790C2469" w14:textId="1DBC280F">
      <w:pPr>
        <w:pStyle w:val="TOCHeader"/>
      </w:pPr>
      <w:r>
        <w:t>Authors</w:t>
      </w:r>
    </w:p>
    <w:p w:rsidR="00645684" w:rsidP="00021EBD" w14:paraId="61DDD152" w14:textId="574D73D8">
      <w:pPr>
        <w:pStyle w:val="BodyText"/>
      </w:pPr>
      <w:r w:rsidRPr="667557DB">
        <w:rPr>
          <w:lang w:val="en-US"/>
        </w:rPr>
        <w:t>Randall Juras, Michelle Blocklin, and Cristofer Price (Abt Global), with support from the PREP Local Evaluation Support team. We’d also like to acknowledge the thoughtful contributions of the PREIS Steering Committee.</w:t>
      </w:r>
    </w:p>
    <w:p w:rsidR="00351257" w:rsidP="00021EBD" w14:paraId="15B41653" w14:textId="555CC412">
      <w:pPr>
        <w:pStyle w:val="BodyText"/>
      </w:pPr>
    </w:p>
    <w:p w:rsidR="00645684" w:rsidRPr="00EF1271" w:rsidP="00CA41B2" w14:paraId="38C93855" w14:textId="6DA7133B">
      <w:pPr>
        <w:pStyle w:val="BodyText"/>
        <w:jc w:val="center"/>
        <w:rPr>
          <w:lang w:val="fr-FR"/>
        </w:rPr>
      </w:pPr>
      <w:r>
        <w:rPr>
          <w:noProof/>
          <w:lang w:val="en-US"/>
        </w:rPr>
        <w:drawing>
          <wp:inline distT="0" distB="0" distL="0" distR="0">
            <wp:extent cx="1073785" cy="10626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79205" cy="1068021"/>
                    </a:xfrm>
                    <a:prstGeom prst="rect">
                      <a:avLst/>
                    </a:prstGeom>
                  </pic:spPr>
                </pic:pic>
              </a:graphicData>
            </a:graphic>
          </wp:inline>
        </w:drawing>
      </w:r>
      <w:r w:rsidRPr="00EF1271" w:rsidR="00492F6C">
        <w:rPr>
          <w:lang w:val="fr-FR"/>
        </w:rPr>
        <w:t xml:space="preserve"> </w:t>
      </w:r>
    </w:p>
    <w:p w:rsidR="009C0A96" w:rsidRPr="00EF1271" w:rsidP="00CA41B2" w14:paraId="1A82E7FA" w14:textId="77777777">
      <w:pPr>
        <w:pStyle w:val="BodyText"/>
        <w:jc w:val="center"/>
        <w:rPr>
          <w:lang w:val="fr-FR"/>
        </w:rPr>
      </w:pPr>
    </w:p>
    <w:p w:rsidR="00873085" w:rsidRPr="00EF1271" w:rsidP="00CA41B2" w14:paraId="2B0A2628" w14:textId="04A1DE98">
      <w:pPr>
        <w:pStyle w:val="BodyText"/>
        <w:jc w:val="center"/>
        <w:rPr>
          <w:sz w:val="22"/>
          <w:szCs w:val="22"/>
          <w:lang w:val="fr-FR"/>
        </w:rPr>
      </w:pPr>
      <w:r w:rsidRPr="00EF1271">
        <w:rPr>
          <w:sz w:val="22"/>
          <w:szCs w:val="22"/>
          <w:lang w:val="fr-FR"/>
        </w:rPr>
        <w:t xml:space="preserve">Abt </w:t>
      </w:r>
      <w:r w:rsidRPr="00EF1271" w:rsidR="00C419B2">
        <w:rPr>
          <w:sz w:val="22"/>
          <w:szCs w:val="22"/>
          <w:lang w:val="fr-FR"/>
        </w:rPr>
        <w:t>Global</w:t>
      </w:r>
      <w:r w:rsidR="00930682">
        <w:rPr>
          <w:sz w:val="22"/>
          <w:szCs w:val="22"/>
          <w:lang w:val="fr-FR"/>
        </w:rPr>
        <w:t xml:space="preserve"> LLC</w:t>
      </w:r>
      <w:r w:rsidRPr="00EF1271" w:rsidR="003F34CF">
        <w:rPr>
          <w:sz w:val="22"/>
          <w:szCs w:val="22"/>
          <w:lang w:val="fr-FR"/>
        </w:rPr>
        <w:t xml:space="preserve"> </w:t>
      </w:r>
      <w:r w:rsidRPr="00EF1271">
        <w:rPr>
          <w:sz w:val="22"/>
          <w:szCs w:val="22"/>
          <w:lang w:val="fr-FR"/>
        </w:rPr>
        <w:t>|</w:t>
      </w:r>
      <w:r w:rsidRPr="00EF1271" w:rsidR="003F34CF">
        <w:rPr>
          <w:sz w:val="22"/>
          <w:szCs w:val="22"/>
          <w:lang w:val="fr-FR"/>
        </w:rPr>
        <w:t xml:space="preserve"> </w:t>
      </w:r>
      <w:r w:rsidRPr="00EF1271">
        <w:rPr>
          <w:sz w:val="22"/>
          <w:szCs w:val="22"/>
          <w:lang w:val="fr-FR"/>
        </w:rPr>
        <w:t xml:space="preserve">6130 </w:t>
      </w:r>
      <w:r w:rsidRPr="00EF1271">
        <w:rPr>
          <w:sz w:val="22"/>
          <w:szCs w:val="22"/>
          <w:lang w:val="fr-FR"/>
        </w:rPr>
        <w:t>Executive</w:t>
      </w:r>
      <w:r w:rsidRPr="00EF1271">
        <w:rPr>
          <w:sz w:val="22"/>
          <w:szCs w:val="22"/>
          <w:lang w:val="fr-FR"/>
        </w:rPr>
        <w:t xml:space="preserve"> Boulevard</w:t>
      </w:r>
      <w:r w:rsidRPr="00EF1271" w:rsidR="003F34CF">
        <w:rPr>
          <w:sz w:val="22"/>
          <w:szCs w:val="22"/>
          <w:lang w:val="fr-FR"/>
        </w:rPr>
        <w:t xml:space="preserve"> </w:t>
      </w:r>
      <w:r w:rsidRPr="00EF1271">
        <w:rPr>
          <w:sz w:val="22"/>
          <w:szCs w:val="22"/>
          <w:lang w:val="fr-FR"/>
        </w:rPr>
        <w:t>|</w:t>
      </w:r>
      <w:r w:rsidRPr="00EF1271" w:rsidR="003F34CF">
        <w:rPr>
          <w:sz w:val="22"/>
          <w:szCs w:val="22"/>
          <w:lang w:val="fr-FR"/>
        </w:rPr>
        <w:t xml:space="preserve"> </w:t>
      </w:r>
      <w:r w:rsidRPr="00EF1271">
        <w:rPr>
          <w:sz w:val="22"/>
          <w:szCs w:val="22"/>
          <w:lang w:val="fr-FR"/>
        </w:rPr>
        <w:t>Rockville, MD 20852</w:t>
      </w:r>
    </w:p>
    <w:p w:rsidR="00873085" w:rsidRPr="00EF1271" w:rsidP="00873085" w14:paraId="5E0F72F2" w14:textId="77777777">
      <w:pPr>
        <w:rPr>
          <w:lang w:val="fr-FR"/>
        </w:rPr>
      </w:pPr>
    </w:p>
    <w:p w:rsidR="00E9603F" w:rsidRPr="00EF1271" w:rsidP="00873085" w14:paraId="79B14801" w14:textId="77777777">
      <w:pPr>
        <w:tabs>
          <w:tab w:val="left" w:pos="8627"/>
        </w:tabs>
        <w:rPr>
          <w:lang w:val="fr-FR"/>
        </w:rPr>
      </w:pPr>
    </w:p>
    <w:p w:rsidR="00E9603F" w:rsidRPr="00EF1271" w:rsidP="005B4DFC" w14:paraId="0A0375B3" w14:textId="5581FDD9">
      <w:pPr>
        <w:tabs>
          <w:tab w:val="left" w:pos="8627"/>
        </w:tabs>
        <w:jc w:val="center"/>
        <w:rPr>
          <w:lang w:val="fr-FR"/>
        </w:rPr>
      </w:pPr>
      <w:r>
        <w:rPr>
          <w:noProof/>
          <w:lang w:val="fr-FR"/>
        </w:rPr>
        <w:drawing>
          <wp:inline distT="0" distB="0" distL="0" distR="0">
            <wp:extent cx="1400359" cy="683895"/>
            <wp:effectExtent l="0" t="0" r="9525"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5107" cy="686214"/>
                    </a:xfrm>
                    <a:prstGeom prst="rect">
                      <a:avLst/>
                    </a:prstGeom>
                  </pic:spPr>
                </pic:pic>
              </a:graphicData>
            </a:graphic>
          </wp:inline>
        </w:drawing>
      </w:r>
      <w:r w:rsidRPr="00EF1271" w:rsidR="00492F6C">
        <w:rPr>
          <w:lang w:val="fr-FR"/>
        </w:rPr>
        <w:t xml:space="preserve"> </w:t>
      </w:r>
      <w:r>
        <w:rPr>
          <w:noProof/>
          <w:lang w:val="fr-FR"/>
        </w:rPr>
        <w:drawing>
          <wp:inline distT="0" distB="0" distL="0" distR="0">
            <wp:extent cx="1379120" cy="6895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9120" cy="689560"/>
                    </a:xfrm>
                    <a:prstGeom prst="rect">
                      <a:avLst/>
                    </a:prstGeom>
                  </pic:spPr>
                </pic:pic>
              </a:graphicData>
            </a:graphic>
          </wp:inline>
        </w:drawing>
      </w:r>
    </w:p>
    <w:p w:rsidR="00E9603F" w:rsidRPr="00EF1271" w:rsidP="00873085" w14:paraId="4556175E" w14:textId="7482F98A">
      <w:pPr>
        <w:tabs>
          <w:tab w:val="left" w:pos="8627"/>
        </w:tabs>
        <w:rPr>
          <w:lang w:val="fr-FR"/>
        </w:rPr>
      </w:pPr>
      <w:r w:rsidRPr="00ED1C68">
        <w:rPr>
          <w:noProof/>
          <w:lang w:val="fr-FR"/>
        </w:rPr>
        <mc:AlternateContent>
          <mc:Choice Requires="wps">
            <w:drawing>
              <wp:anchor distT="45720" distB="45720" distL="114300" distR="114300" simplePos="0" relativeHeight="251681792" behindDoc="0" locked="0" layoutInCell="1" allowOverlap="1">
                <wp:simplePos x="0" y="0"/>
                <wp:positionH relativeFrom="column">
                  <wp:posOffset>-552450</wp:posOffset>
                </wp:positionH>
                <wp:positionV relativeFrom="paragraph">
                  <wp:posOffset>328930</wp:posOffset>
                </wp:positionV>
                <wp:extent cx="5778500" cy="1622425"/>
                <wp:effectExtent l="0" t="0" r="12700" b="234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00" cy="1622425"/>
                        </a:xfrm>
                        <a:prstGeom prst="rect">
                          <a:avLst/>
                        </a:prstGeom>
                        <a:solidFill>
                          <a:srgbClr val="FFFFFF"/>
                        </a:solidFill>
                        <a:ln w="9525">
                          <a:solidFill>
                            <a:srgbClr val="000000"/>
                          </a:solidFill>
                          <a:miter lim="800000"/>
                          <a:headEnd/>
                          <a:tailEnd/>
                        </a:ln>
                      </wps:spPr>
                      <wps:txbx>
                        <w:txbxContent>
                          <w:p w:rsidR="00ED1C68" w:rsidRPr="0094574F" w:rsidP="00ED1C68" w14:textId="0524F596">
                            <w:pPr>
                              <w:pStyle w:val="Footer"/>
                              <w:rPr>
                                <w:sz w:val="16"/>
                              </w:rPr>
                            </w:pPr>
                            <w:r w:rsidRPr="00F31390">
                              <w:rPr>
                                <w:sz w:val="16"/>
                                <w:szCs w:val="16"/>
                              </w:rPr>
                              <w:t xml:space="preserve">The purpose of this information collection is to </w:t>
                            </w:r>
                            <w:r>
                              <w:t>help PREIS grantees develop data analysis plans</w:t>
                            </w:r>
                            <w:r w:rsidRPr="00F31390">
                              <w:rPr>
                                <w:sz w:val="16"/>
                                <w:szCs w:val="16"/>
                              </w:rPr>
                              <w:t xml:space="preserve">. Public reporting burden for this collection of information is estimated to </w:t>
                            </w:r>
                            <w:r w:rsidRPr="009F6E52">
                              <w:rPr>
                                <w:sz w:val="16"/>
                                <w:szCs w:val="16"/>
                              </w:rPr>
                              <w:t xml:space="preserve">average </w:t>
                            </w:r>
                            <w:r>
                              <w:rPr>
                                <w:sz w:val="16"/>
                                <w:szCs w:val="16"/>
                              </w:rPr>
                              <w:t>12 hours</w:t>
                            </w:r>
                            <w:r w:rsidRPr="009F6E52">
                              <w:rPr>
                                <w:sz w:val="16"/>
                                <w:szCs w:val="16"/>
                              </w:rPr>
                              <w:t xml:space="preserve"> per respondent, including the time for reviewing instructions, gathering, and maintaining the data needed, and reviewing the collection of information. </w:t>
                            </w:r>
                            <w:r w:rsidRPr="009F6E52">
                              <w:rPr>
                                <w:sz w:val="16"/>
                                <w:szCs w:val="16"/>
                                <w:lang w:val="en"/>
                              </w:rPr>
                              <w:t xml:space="preserve">This is a voluntary collection of information. </w:t>
                            </w:r>
                            <w:r w:rsidRPr="009F6E52">
                              <w:rPr>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w:t>
                            </w:r>
                            <w:r w:rsidRPr="009A0EBA">
                              <w:rPr>
                                <w:sz w:val="16"/>
                                <w:szCs w:val="16"/>
                              </w:rPr>
                              <w:t xml:space="preserve">The OMB # is </w:t>
                            </w:r>
                            <w:r>
                              <w:rPr>
                                <w:sz w:val="16"/>
                                <w:szCs w:val="16"/>
                              </w:rPr>
                              <w:t>0970-0531</w:t>
                            </w:r>
                            <w:r w:rsidRPr="009A0EBA">
                              <w:rPr>
                                <w:sz w:val="16"/>
                                <w:szCs w:val="16"/>
                              </w:rPr>
                              <w:t xml:space="preserve"> and the expiration date is </w:t>
                            </w:r>
                            <w:r>
                              <w:rPr>
                                <w:sz w:val="16"/>
                                <w:szCs w:val="16"/>
                              </w:rPr>
                              <w:t>9/30/2025</w:t>
                            </w:r>
                            <w:r w:rsidRPr="009F6E52">
                              <w:rPr>
                                <w:sz w:val="16"/>
                                <w:szCs w:val="16"/>
                              </w:rPr>
                              <w:t xml:space="preserve">.  </w:t>
                            </w:r>
                            <w:r w:rsidRPr="009F6E52">
                              <w:rPr>
                                <w:sz w:val="16"/>
                                <w:szCs w:val="16"/>
                                <w:lang w:val="en"/>
                              </w:rPr>
                              <w:t>If you have any comments on this collection of information, please contact Selma Caal (Selma.Caal@acf.hhs.gov).</w:t>
                            </w:r>
                          </w:p>
                          <w:p w:rsidR="00ED1C68" w14:textId="66AC44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width:455pt;height:110.6pt;margin-top:25.9pt;margin-left:-43.5pt;mso-height-percent:200;mso-height-relative:margin;mso-width-percent:0;mso-width-relative:margin;mso-wrap-distance-bottom:3.6pt;mso-wrap-distance-left:9pt;mso-wrap-distance-right:9pt;mso-wrap-distance-top:3.6pt;mso-wrap-style:square;position:absolute;visibility:visible;v-text-anchor:top;z-index:251682816">
                <v:textbox style="mso-fit-shape-to-text:t">
                  <w:txbxContent>
                    <w:p w:rsidR="00ED1C68" w:rsidRPr="0094574F" w:rsidP="00ED1C68" w14:paraId="13DCC329" w14:textId="0524F596">
                      <w:pPr>
                        <w:pStyle w:val="Footer"/>
                        <w:rPr>
                          <w:sz w:val="16"/>
                        </w:rPr>
                      </w:pPr>
                      <w:r w:rsidRPr="00F31390">
                        <w:rPr>
                          <w:sz w:val="16"/>
                          <w:szCs w:val="16"/>
                        </w:rPr>
                        <w:t xml:space="preserve">The purpose of this information collection is to </w:t>
                      </w:r>
                      <w:r>
                        <w:t>help PREIS grantees develop data analysis plans</w:t>
                      </w:r>
                      <w:r w:rsidRPr="00F31390">
                        <w:rPr>
                          <w:sz w:val="16"/>
                          <w:szCs w:val="16"/>
                        </w:rPr>
                        <w:t xml:space="preserve">. Public reporting burden for this collection of information is estimated to </w:t>
                      </w:r>
                      <w:r w:rsidRPr="009F6E52">
                        <w:rPr>
                          <w:sz w:val="16"/>
                          <w:szCs w:val="16"/>
                        </w:rPr>
                        <w:t xml:space="preserve">average </w:t>
                      </w:r>
                      <w:r>
                        <w:rPr>
                          <w:sz w:val="16"/>
                          <w:szCs w:val="16"/>
                        </w:rPr>
                        <w:t>12 hours</w:t>
                      </w:r>
                      <w:r w:rsidRPr="009F6E52">
                        <w:rPr>
                          <w:sz w:val="16"/>
                          <w:szCs w:val="16"/>
                        </w:rPr>
                        <w:t xml:space="preserve"> per respondent, including the time for reviewing instructions, gathering, and maintaining the data needed, and reviewing the collection of information. </w:t>
                      </w:r>
                      <w:r w:rsidRPr="009F6E52">
                        <w:rPr>
                          <w:sz w:val="16"/>
                          <w:szCs w:val="16"/>
                          <w:lang w:val="en"/>
                        </w:rPr>
                        <w:t xml:space="preserve">This is a voluntary collection of information. </w:t>
                      </w:r>
                      <w:r w:rsidRPr="009F6E52">
                        <w:rPr>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w:t>
                      </w:r>
                      <w:r w:rsidRPr="009A0EBA">
                        <w:rPr>
                          <w:sz w:val="16"/>
                          <w:szCs w:val="16"/>
                        </w:rPr>
                        <w:t xml:space="preserve">The OMB # is </w:t>
                      </w:r>
                      <w:r>
                        <w:rPr>
                          <w:sz w:val="16"/>
                          <w:szCs w:val="16"/>
                        </w:rPr>
                        <w:t>0970-0531</w:t>
                      </w:r>
                      <w:r w:rsidRPr="009A0EBA">
                        <w:rPr>
                          <w:sz w:val="16"/>
                          <w:szCs w:val="16"/>
                        </w:rPr>
                        <w:t xml:space="preserve"> and the expiration date is </w:t>
                      </w:r>
                      <w:r>
                        <w:rPr>
                          <w:sz w:val="16"/>
                          <w:szCs w:val="16"/>
                        </w:rPr>
                        <w:t>9/30/2025</w:t>
                      </w:r>
                      <w:r w:rsidRPr="009F6E52">
                        <w:rPr>
                          <w:sz w:val="16"/>
                          <w:szCs w:val="16"/>
                        </w:rPr>
                        <w:t xml:space="preserve">.  </w:t>
                      </w:r>
                      <w:r w:rsidRPr="009F6E52">
                        <w:rPr>
                          <w:sz w:val="16"/>
                          <w:szCs w:val="16"/>
                          <w:lang w:val="en"/>
                        </w:rPr>
                        <w:t>If you have any comments on this collection of information, please contact Selma Caal (Selma.Caal@acf.hhs.gov).</w:t>
                      </w:r>
                    </w:p>
                    <w:p w:rsidR="00ED1C68" w14:paraId="2DA4743B" w14:textId="66AC44BC"/>
                  </w:txbxContent>
                </v:textbox>
                <w10:wrap type="square"/>
              </v:shape>
            </w:pict>
          </mc:Fallback>
        </mc:AlternateContent>
      </w:r>
    </w:p>
    <w:p w:rsidR="00BD062F" w:rsidRPr="00EF1271" w:rsidP="00873085" w14:paraId="60CECDDA" w14:textId="04C77FEA">
      <w:pPr>
        <w:tabs>
          <w:tab w:val="left" w:pos="8627"/>
        </w:tabs>
        <w:rPr>
          <w:lang w:val="fr-FR"/>
        </w:rPr>
      </w:pPr>
    </w:p>
    <w:p w:rsidR="00BD062F" w:rsidRPr="00EF1271" w:rsidP="00873085" w14:paraId="022291C2" w14:textId="0C3C9325">
      <w:pPr>
        <w:tabs>
          <w:tab w:val="left" w:pos="8627"/>
        </w:tabs>
        <w:rPr>
          <w:lang w:val="fr-FR"/>
        </w:rPr>
        <w:sectPr w:rsidSect="000464E9">
          <w:headerReference w:type="default" r:id="rId14"/>
          <w:footerReference w:type="default" r:id="rId15"/>
          <w:pgSz w:w="12240" w:h="15840" w:code="1"/>
          <w:pgMar w:top="1440" w:right="1440" w:bottom="1440" w:left="1440" w:header="432" w:footer="720" w:gutter="0"/>
          <w:pgNumType w:fmt="lowerRoman" w:start="1"/>
          <w:cols w:space="720"/>
          <w:docGrid w:linePitch="299"/>
        </w:sectPr>
      </w:pPr>
    </w:p>
    <w:p w:rsidR="003453BD" w:rsidRPr="00EF1271" w:rsidP="00C64FB4" w14:paraId="033E6565" w14:textId="77777777">
      <w:pPr>
        <w:pStyle w:val="TOCHeader"/>
        <w:rPr>
          <w:lang w:val="fr-FR"/>
        </w:rPr>
      </w:pPr>
      <w:r w:rsidRPr="00EF1271">
        <w:rPr>
          <w:lang w:val="fr-FR"/>
        </w:rPr>
        <w:t>CONTENTS</w:t>
      </w:r>
    </w:p>
    <w:p w:rsidR="003033DA" w14:paraId="6C0E52AF" w14:textId="0F8F516F">
      <w:pPr>
        <w:pStyle w:val="TOC1"/>
        <w:rPr>
          <w:rFonts w:asciiTheme="minorHAnsi" w:eastAsiaTheme="minorEastAsia" w:hAnsiTheme="minorHAnsi" w:cstheme="minorBidi"/>
          <w:b w:val="0"/>
          <w:kern w:val="2"/>
          <w:sz w:val="24"/>
          <w14:ligatures w14:val="standardContextual"/>
        </w:rPr>
      </w:pPr>
      <w:r>
        <w:rPr>
          <w:lang w:val="fr-FR"/>
        </w:rPr>
        <w:fldChar w:fldCharType="begin"/>
      </w:r>
      <w:r>
        <w:rPr>
          <w:lang w:val="fr-FR"/>
        </w:rPr>
        <w:instrText xml:space="preserve"> TOC \o "1-3" \h \z \u </w:instrText>
      </w:r>
      <w:r>
        <w:rPr>
          <w:lang w:val="fr-FR"/>
        </w:rPr>
        <w:fldChar w:fldCharType="separate"/>
      </w:r>
      <w:hyperlink w:anchor="_Toc178102433" w:history="1">
        <w:r w:rsidRPr="002E6E65">
          <w:rPr>
            <w:rStyle w:val="Hyperlink"/>
          </w:rPr>
          <w:t>Overview of Analysis Plan Requirement</w:t>
        </w:r>
        <w:r>
          <w:rPr>
            <w:webHidden/>
          </w:rPr>
          <w:tab/>
        </w:r>
        <w:r>
          <w:rPr>
            <w:webHidden/>
          </w:rPr>
          <w:fldChar w:fldCharType="begin"/>
        </w:r>
        <w:r>
          <w:rPr>
            <w:webHidden/>
          </w:rPr>
          <w:instrText xml:space="preserve"> PAGEREF _Toc178102433 \h </w:instrText>
        </w:r>
        <w:r>
          <w:rPr>
            <w:webHidden/>
          </w:rPr>
          <w:fldChar w:fldCharType="separate"/>
        </w:r>
        <w:r>
          <w:rPr>
            <w:webHidden/>
          </w:rPr>
          <w:t>ii</w:t>
        </w:r>
        <w:r>
          <w:rPr>
            <w:webHidden/>
          </w:rPr>
          <w:fldChar w:fldCharType="end"/>
        </w:r>
      </w:hyperlink>
    </w:p>
    <w:p w:rsidR="003033DA" w14:paraId="7C86F802" w14:textId="76AA03E0">
      <w:pPr>
        <w:pStyle w:val="TOC1"/>
        <w:rPr>
          <w:rFonts w:asciiTheme="minorHAnsi" w:eastAsiaTheme="minorEastAsia" w:hAnsiTheme="minorHAnsi" w:cstheme="minorBidi"/>
          <w:b w:val="0"/>
          <w:kern w:val="2"/>
          <w:sz w:val="24"/>
          <w14:ligatures w14:val="standardContextual"/>
        </w:rPr>
      </w:pPr>
      <w:hyperlink w:anchor="_Toc178102434" w:history="1">
        <w:r w:rsidRPr="002E6E65">
          <w:rPr>
            <w:rStyle w:val="Hyperlink"/>
          </w:rPr>
          <w:t>How to use this Document</w:t>
        </w:r>
        <w:r>
          <w:rPr>
            <w:webHidden/>
          </w:rPr>
          <w:tab/>
        </w:r>
        <w:r>
          <w:rPr>
            <w:webHidden/>
          </w:rPr>
          <w:fldChar w:fldCharType="begin"/>
        </w:r>
        <w:r>
          <w:rPr>
            <w:webHidden/>
          </w:rPr>
          <w:instrText xml:space="preserve"> PAGEREF _Toc178102434 \h </w:instrText>
        </w:r>
        <w:r>
          <w:rPr>
            <w:webHidden/>
          </w:rPr>
          <w:fldChar w:fldCharType="separate"/>
        </w:r>
        <w:r>
          <w:rPr>
            <w:webHidden/>
          </w:rPr>
          <w:t>iii</w:t>
        </w:r>
        <w:r>
          <w:rPr>
            <w:webHidden/>
          </w:rPr>
          <w:fldChar w:fldCharType="end"/>
        </w:r>
      </w:hyperlink>
    </w:p>
    <w:p w:rsidR="003033DA" w14:paraId="60E56F6B" w14:textId="0F77C736">
      <w:pPr>
        <w:pStyle w:val="TOC1"/>
        <w:rPr>
          <w:rFonts w:asciiTheme="minorHAnsi" w:eastAsiaTheme="minorEastAsia" w:hAnsiTheme="minorHAnsi" w:cstheme="minorBidi"/>
          <w:b w:val="0"/>
          <w:kern w:val="2"/>
          <w:sz w:val="24"/>
          <w14:ligatures w14:val="standardContextual"/>
        </w:rPr>
      </w:pPr>
      <w:hyperlink w:anchor="_Toc178102435" w:history="1">
        <w:r w:rsidRPr="002E6E65">
          <w:rPr>
            <w:rStyle w:val="Hyperlink"/>
          </w:rPr>
          <w:t>Template for Statistical Analysis Plan (Evaluation Plan Section 2.5)</w:t>
        </w:r>
        <w:r>
          <w:rPr>
            <w:webHidden/>
          </w:rPr>
          <w:tab/>
        </w:r>
        <w:r>
          <w:rPr>
            <w:webHidden/>
          </w:rPr>
          <w:fldChar w:fldCharType="begin"/>
        </w:r>
        <w:r>
          <w:rPr>
            <w:webHidden/>
          </w:rPr>
          <w:instrText xml:space="preserve"> PAGEREF _Toc178102435 \h </w:instrText>
        </w:r>
        <w:r>
          <w:rPr>
            <w:webHidden/>
          </w:rPr>
          <w:fldChar w:fldCharType="separate"/>
        </w:r>
        <w:r>
          <w:rPr>
            <w:webHidden/>
          </w:rPr>
          <w:t>1</w:t>
        </w:r>
        <w:r>
          <w:rPr>
            <w:webHidden/>
          </w:rPr>
          <w:fldChar w:fldCharType="end"/>
        </w:r>
      </w:hyperlink>
    </w:p>
    <w:p w:rsidR="003033DA" w14:paraId="5CF03E1A" w14:textId="6AF3A376">
      <w:pPr>
        <w:pStyle w:val="TOC3"/>
        <w:rPr>
          <w:rFonts w:asciiTheme="minorHAnsi" w:eastAsiaTheme="minorEastAsia" w:hAnsiTheme="minorHAnsi" w:cstheme="minorBidi"/>
          <w:kern w:val="2"/>
          <w:sz w:val="24"/>
          <w:szCs w:val="24"/>
          <w14:ligatures w14:val="standardContextual"/>
        </w:rPr>
      </w:pPr>
      <w:hyperlink w:anchor="_Toc178102436" w:history="1">
        <w:r w:rsidRPr="002E6E65">
          <w:rPr>
            <w:rStyle w:val="Hyperlink"/>
          </w:rPr>
          <w:t>2.5.1</w:t>
        </w:r>
        <w:r>
          <w:rPr>
            <w:rFonts w:asciiTheme="minorHAnsi" w:eastAsiaTheme="minorEastAsia" w:hAnsiTheme="minorHAnsi" w:cstheme="minorBidi"/>
            <w:kern w:val="2"/>
            <w:sz w:val="24"/>
            <w:szCs w:val="24"/>
            <w14:ligatures w14:val="standardContextual"/>
          </w:rPr>
          <w:tab/>
        </w:r>
        <w:r w:rsidRPr="002E6E65">
          <w:rPr>
            <w:rStyle w:val="Hyperlink"/>
          </w:rPr>
          <w:t>Data preparation</w:t>
        </w:r>
        <w:r>
          <w:rPr>
            <w:webHidden/>
          </w:rPr>
          <w:tab/>
        </w:r>
        <w:r>
          <w:rPr>
            <w:webHidden/>
          </w:rPr>
          <w:fldChar w:fldCharType="begin"/>
        </w:r>
        <w:r>
          <w:rPr>
            <w:webHidden/>
          </w:rPr>
          <w:instrText xml:space="preserve"> PAGEREF _Toc178102436 \h </w:instrText>
        </w:r>
        <w:r>
          <w:rPr>
            <w:webHidden/>
          </w:rPr>
          <w:fldChar w:fldCharType="separate"/>
        </w:r>
        <w:r>
          <w:rPr>
            <w:webHidden/>
          </w:rPr>
          <w:t>1</w:t>
        </w:r>
        <w:r>
          <w:rPr>
            <w:webHidden/>
          </w:rPr>
          <w:fldChar w:fldCharType="end"/>
        </w:r>
      </w:hyperlink>
    </w:p>
    <w:p w:rsidR="003033DA" w14:paraId="078B4A4F" w14:textId="1B87F0A6">
      <w:pPr>
        <w:pStyle w:val="TOC3"/>
        <w:rPr>
          <w:rFonts w:asciiTheme="minorHAnsi" w:eastAsiaTheme="minorEastAsia" w:hAnsiTheme="minorHAnsi" w:cstheme="minorBidi"/>
          <w:kern w:val="2"/>
          <w:sz w:val="24"/>
          <w:szCs w:val="24"/>
          <w14:ligatures w14:val="standardContextual"/>
        </w:rPr>
      </w:pPr>
      <w:hyperlink w:anchor="_Toc178102437" w:history="1">
        <w:r w:rsidRPr="002E6E65">
          <w:rPr>
            <w:rStyle w:val="Hyperlink"/>
          </w:rPr>
          <w:t>2.5.2</w:t>
        </w:r>
        <w:r>
          <w:rPr>
            <w:rFonts w:asciiTheme="minorHAnsi" w:eastAsiaTheme="minorEastAsia" w:hAnsiTheme="minorHAnsi" w:cstheme="minorBidi"/>
            <w:kern w:val="2"/>
            <w:sz w:val="24"/>
            <w:szCs w:val="24"/>
            <w14:ligatures w14:val="standardContextual"/>
          </w:rPr>
          <w:tab/>
        </w:r>
        <w:r w:rsidRPr="002E6E65">
          <w:rPr>
            <w:rStyle w:val="Hyperlink"/>
          </w:rPr>
          <w:t>Approach to hypothesis testing</w:t>
        </w:r>
        <w:r>
          <w:rPr>
            <w:webHidden/>
          </w:rPr>
          <w:tab/>
        </w:r>
        <w:r>
          <w:rPr>
            <w:webHidden/>
          </w:rPr>
          <w:fldChar w:fldCharType="begin"/>
        </w:r>
        <w:r>
          <w:rPr>
            <w:webHidden/>
          </w:rPr>
          <w:instrText xml:space="preserve"> PAGEREF _Toc178102437 \h </w:instrText>
        </w:r>
        <w:r>
          <w:rPr>
            <w:webHidden/>
          </w:rPr>
          <w:fldChar w:fldCharType="separate"/>
        </w:r>
        <w:r>
          <w:rPr>
            <w:webHidden/>
          </w:rPr>
          <w:t>2</w:t>
        </w:r>
        <w:r>
          <w:rPr>
            <w:webHidden/>
          </w:rPr>
          <w:fldChar w:fldCharType="end"/>
        </w:r>
      </w:hyperlink>
    </w:p>
    <w:p w:rsidR="003033DA" w14:paraId="05AE6A88" w14:textId="6052ECD9">
      <w:pPr>
        <w:pStyle w:val="TOC3"/>
        <w:rPr>
          <w:rFonts w:asciiTheme="minorHAnsi" w:eastAsiaTheme="minorEastAsia" w:hAnsiTheme="minorHAnsi" w:cstheme="minorBidi"/>
          <w:kern w:val="2"/>
          <w:sz w:val="24"/>
          <w:szCs w:val="24"/>
          <w14:ligatures w14:val="standardContextual"/>
        </w:rPr>
      </w:pPr>
      <w:hyperlink w:anchor="_Toc178102438" w:history="1">
        <w:r w:rsidRPr="002E6E65">
          <w:rPr>
            <w:rStyle w:val="Hyperlink"/>
          </w:rPr>
          <w:t>2.5.3.</w:t>
        </w:r>
        <w:r>
          <w:rPr>
            <w:rFonts w:asciiTheme="minorHAnsi" w:eastAsiaTheme="minorEastAsia" w:hAnsiTheme="minorHAnsi" w:cstheme="minorBidi"/>
            <w:kern w:val="2"/>
            <w:sz w:val="24"/>
            <w:szCs w:val="24"/>
            <w14:ligatures w14:val="standardContextual"/>
          </w:rPr>
          <w:tab/>
        </w:r>
        <w:r w:rsidRPr="002E6E65">
          <w:rPr>
            <w:rStyle w:val="Hyperlink"/>
          </w:rPr>
          <w:t>Attrition and baseline equivalence</w:t>
        </w:r>
        <w:r>
          <w:rPr>
            <w:webHidden/>
          </w:rPr>
          <w:tab/>
        </w:r>
        <w:r>
          <w:rPr>
            <w:webHidden/>
          </w:rPr>
          <w:fldChar w:fldCharType="begin"/>
        </w:r>
        <w:r>
          <w:rPr>
            <w:webHidden/>
          </w:rPr>
          <w:instrText xml:space="preserve"> PAGEREF _Toc178102438 \h </w:instrText>
        </w:r>
        <w:r>
          <w:rPr>
            <w:webHidden/>
          </w:rPr>
          <w:fldChar w:fldCharType="separate"/>
        </w:r>
        <w:r>
          <w:rPr>
            <w:webHidden/>
          </w:rPr>
          <w:t>3</w:t>
        </w:r>
        <w:r>
          <w:rPr>
            <w:webHidden/>
          </w:rPr>
          <w:fldChar w:fldCharType="end"/>
        </w:r>
      </w:hyperlink>
    </w:p>
    <w:p w:rsidR="003033DA" w14:paraId="0F398EDE" w14:textId="5CC49494">
      <w:pPr>
        <w:pStyle w:val="TOC3"/>
        <w:rPr>
          <w:rFonts w:asciiTheme="minorHAnsi" w:eastAsiaTheme="minorEastAsia" w:hAnsiTheme="minorHAnsi" w:cstheme="minorBidi"/>
          <w:kern w:val="2"/>
          <w:sz w:val="24"/>
          <w:szCs w:val="24"/>
          <w14:ligatures w14:val="standardContextual"/>
        </w:rPr>
      </w:pPr>
      <w:hyperlink w:anchor="_Toc178102439" w:history="1">
        <w:r w:rsidRPr="002E6E65">
          <w:rPr>
            <w:rStyle w:val="Hyperlink"/>
          </w:rPr>
          <w:t>2.5.4</w:t>
        </w:r>
        <w:r>
          <w:rPr>
            <w:rFonts w:asciiTheme="minorHAnsi" w:eastAsiaTheme="minorEastAsia" w:hAnsiTheme="minorHAnsi" w:cstheme="minorBidi"/>
            <w:kern w:val="2"/>
            <w:sz w:val="24"/>
            <w:szCs w:val="24"/>
            <w14:ligatures w14:val="standardContextual"/>
          </w:rPr>
          <w:tab/>
        </w:r>
        <w:r w:rsidRPr="002E6E65">
          <w:rPr>
            <w:rStyle w:val="Hyperlink"/>
          </w:rPr>
          <w:t>Analytic approach</w:t>
        </w:r>
        <w:r>
          <w:rPr>
            <w:webHidden/>
          </w:rPr>
          <w:tab/>
        </w:r>
        <w:r>
          <w:rPr>
            <w:webHidden/>
          </w:rPr>
          <w:fldChar w:fldCharType="begin"/>
        </w:r>
        <w:r>
          <w:rPr>
            <w:webHidden/>
          </w:rPr>
          <w:instrText xml:space="preserve"> PAGEREF _Toc178102439 \h </w:instrText>
        </w:r>
        <w:r>
          <w:rPr>
            <w:webHidden/>
          </w:rPr>
          <w:fldChar w:fldCharType="separate"/>
        </w:r>
        <w:r>
          <w:rPr>
            <w:webHidden/>
          </w:rPr>
          <w:t>5</w:t>
        </w:r>
        <w:r>
          <w:rPr>
            <w:webHidden/>
          </w:rPr>
          <w:fldChar w:fldCharType="end"/>
        </w:r>
      </w:hyperlink>
    </w:p>
    <w:p w:rsidR="003033DA" w14:paraId="2E2A9B9D" w14:textId="359B20BB">
      <w:pPr>
        <w:pStyle w:val="TOC3"/>
        <w:rPr>
          <w:rFonts w:asciiTheme="minorHAnsi" w:eastAsiaTheme="minorEastAsia" w:hAnsiTheme="minorHAnsi" w:cstheme="minorBidi"/>
          <w:kern w:val="2"/>
          <w:sz w:val="24"/>
          <w:szCs w:val="24"/>
          <w14:ligatures w14:val="standardContextual"/>
        </w:rPr>
      </w:pPr>
      <w:hyperlink w:anchor="_Toc178102440" w:history="1">
        <w:r w:rsidRPr="002E6E65">
          <w:rPr>
            <w:rStyle w:val="Hyperlink"/>
          </w:rPr>
          <w:t>2.5.5</w:t>
        </w:r>
        <w:r>
          <w:rPr>
            <w:rFonts w:asciiTheme="minorHAnsi" w:eastAsiaTheme="minorEastAsia" w:hAnsiTheme="minorHAnsi" w:cstheme="minorBidi"/>
            <w:kern w:val="2"/>
            <w:sz w:val="24"/>
            <w:szCs w:val="24"/>
            <w14:ligatures w14:val="standardContextual"/>
          </w:rPr>
          <w:tab/>
        </w:r>
        <w:r w:rsidRPr="002E6E65">
          <w:rPr>
            <w:rStyle w:val="Hyperlink"/>
          </w:rPr>
          <w:t>Differences in approach for secondary contrasts</w:t>
        </w:r>
        <w:r>
          <w:rPr>
            <w:webHidden/>
          </w:rPr>
          <w:tab/>
        </w:r>
        <w:r>
          <w:rPr>
            <w:webHidden/>
          </w:rPr>
          <w:fldChar w:fldCharType="begin"/>
        </w:r>
        <w:r>
          <w:rPr>
            <w:webHidden/>
          </w:rPr>
          <w:instrText xml:space="preserve"> PAGEREF _Toc178102440 \h </w:instrText>
        </w:r>
        <w:r>
          <w:rPr>
            <w:webHidden/>
          </w:rPr>
          <w:fldChar w:fldCharType="separate"/>
        </w:r>
        <w:r>
          <w:rPr>
            <w:webHidden/>
          </w:rPr>
          <w:t>8</w:t>
        </w:r>
        <w:r>
          <w:rPr>
            <w:webHidden/>
          </w:rPr>
          <w:fldChar w:fldCharType="end"/>
        </w:r>
      </w:hyperlink>
    </w:p>
    <w:p w:rsidR="003033DA" w14:paraId="33A09C05" w14:textId="28FE590F">
      <w:pPr>
        <w:pStyle w:val="TOC3"/>
        <w:rPr>
          <w:rFonts w:asciiTheme="minorHAnsi" w:eastAsiaTheme="minorEastAsia" w:hAnsiTheme="minorHAnsi" w:cstheme="minorBidi"/>
          <w:kern w:val="2"/>
          <w:sz w:val="24"/>
          <w:szCs w:val="24"/>
          <w14:ligatures w14:val="standardContextual"/>
        </w:rPr>
      </w:pPr>
      <w:hyperlink w:anchor="_Toc178102441" w:history="1">
        <w:r w:rsidRPr="002E6E65">
          <w:rPr>
            <w:rStyle w:val="Hyperlink"/>
          </w:rPr>
          <w:t>2.5.6</w:t>
        </w:r>
        <w:r>
          <w:rPr>
            <w:rFonts w:asciiTheme="minorHAnsi" w:eastAsiaTheme="minorEastAsia" w:hAnsiTheme="minorHAnsi" w:cstheme="minorBidi"/>
            <w:kern w:val="2"/>
            <w:sz w:val="24"/>
            <w:szCs w:val="24"/>
            <w14:ligatures w14:val="standardContextual"/>
          </w:rPr>
          <w:tab/>
        </w:r>
        <w:r w:rsidRPr="002E6E65">
          <w:rPr>
            <w:rStyle w:val="Hyperlink"/>
          </w:rPr>
          <w:t>Summary of contrasts</w:t>
        </w:r>
        <w:r>
          <w:rPr>
            <w:webHidden/>
          </w:rPr>
          <w:tab/>
        </w:r>
        <w:r>
          <w:rPr>
            <w:webHidden/>
          </w:rPr>
          <w:fldChar w:fldCharType="begin"/>
        </w:r>
        <w:r>
          <w:rPr>
            <w:webHidden/>
          </w:rPr>
          <w:instrText xml:space="preserve"> PAGEREF _Toc178102441 \h </w:instrText>
        </w:r>
        <w:r>
          <w:rPr>
            <w:webHidden/>
          </w:rPr>
          <w:fldChar w:fldCharType="separate"/>
        </w:r>
        <w:r>
          <w:rPr>
            <w:webHidden/>
          </w:rPr>
          <w:t>8</w:t>
        </w:r>
        <w:r>
          <w:rPr>
            <w:webHidden/>
          </w:rPr>
          <w:fldChar w:fldCharType="end"/>
        </w:r>
      </w:hyperlink>
    </w:p>
    <w:p w:rsidR="003033DA" w14:paraId="338E3852" w14:textId="39727C97">
      <w:pPr>
        <w:pStyle w:val="TOC3"/>
        <w:rPr>
          <w:rFonts w:asciiTheme="minorHAnsi" w:eastAsiaTheme="minorEastAsia" w:hAnsiTheme="minorHAnsi" w:cstheme="minorBidi"/>
          <w:kern w:val="2"/>
          <w:sz w:val="24"/>
          <w:szCs w:val="24"/>
          <w14:ligatures w14:val="standardContextual"/>
        </w:rPr>
      </w:pPr>
      <w:hyperlink w:anchor="_Toc178102442" w:history="1">
        <w:r w:rsidRPr="002E6E65">
          <w:rPr>
            <w:rStyle w:val="Hyperlink"/>
          </w:rPr>
          <w:t>2.5.7</w:t>
        </w:r>
        <w:r>
          <w:rPr>
            <w:rFonts w:asciiTheme="minorHAnsi" w:eastAsiaTheme="minorEastAsia" w:hAnsiTheme="minorHAnsi" w:cstheme="minorBidi"/>
            <w:kern w:val="2"/>
            <w:sz w:val="24"/>
            <w:szCs w:val="24"/>
            <w14:ligatures w14:val="standardContextual"/>
          </w:rPr>
          <w:tab/>
        </w:r>
        <w:r w:rsidRPr="002E6E65">
          <w:rPr>
            <w:rStyle w:val="Hyperlink"/>
          </w:rPr>
          <w:t>Reporting results</w:t>
        </w:r>
        <w:r>
          <w:rPr>
            <w:webHidden/>
          </w:rPr>
          <w:tab/>
        </w:r>
        <w:r>
          <w:rPr>
            <w:webHidden/>
          </w:rPr>
          <w:fldChar w:fldCharType="begin"/>
        </w:r>
        <w:r>
          <w:rPr>
            <w:webHidden/>
          </w:rPr>
          <w:instrText xml:space="preserve"> PAGEREF _Toc178102442 \h </w:instrText>
        </w:r>
        <w:r>
          <w:rPr>
            <w:webHidden/>
          </w:rPr>
          <w:fldChar w:fldCharType="separate"/>
        </w:r>
        <w:r>
          <w:rPr>
            <w:webHidden/>
          </w:rPr>
          <w:t>9</w:t>
        </w:r>
        <w:r>
          <w:rPr>
            <w:webHidden/>
          </w:rPr>
          <w:fldChar w:fldCharType="end"/>
        </w:r>
      </w:hyperlink>
    </w:p>
    <w:p w:rsidR="003033DA" w14:paraId="721366B8" w14:textId="17F17FC6">
      <w:pPr>
        <w:pStyle w:val="TOC3"/>
        <w:rPr>
          <w:rFonts w:asciiTheme="minorHAnsi" w:eastAsiaTheme="minorEastAsia" w:hAnsiTheme="minorHAnsi" w:cstheme="minorBidi"/>
          <w:kern w:val="2"/>
          <w:sz w:val="24"/>
          <w:szCs w:val="24"/>
          <w14:ligatures w14:val="standardContextual"/>
        </w:rPr>
      </w:pPr>
      <w:hyperlink w:anchor="_Toc178102443" w:history="1">
        <w:r w:rsidRPr="002E6E65">
          <w:rPr>
            <w:rStyle w:val="Hyperlink"/>
          </w:rPr>
          <w:t>2.5.8</w:t>
        </w:r>
        <w:r>
          <w:rPr>
            <w:rFonts w:asciiTheme="minorHAnsi" w:eastAsiaTheme="minorEastAsia" w:hAnsiTheme="minorHAnsi" w:cstheme="minorBidi"/>
            <w:kern w:val="2"/>
            <w:sz w:val="24"/>
            <w:szCs w:val="24"/>
            <w14:ligatures w14:val="standardContextual"/>
          </w:rPr>
          <w:tab/>
        </w:r>
        <w:r w:rsidRPr="002E6E65">
          <w:rPr>
            <w:rStyle w:val="Hyperlink"/>
          </w:rPr>
          <w:t>Sensitivity analysis (optional)</w:t>
        </w:r>
        <w:r>
          <w:rPr>
            <w:webHidden/>
          </w:rPr>
          <w:tab/>
        </w:r>
        <w:r>
          <w:rPr>
            <w:webHidden/>
          </w:rPr>
          <w:fldChar w:fldCharType="begin"/>
        </w:r>
        <w:r>
          <w:rPr>
            <w:webHidden/>
          </w:rPr>
          <w:instrText xml:space="preserve"> PAGEREF _Toc178102443 \h </w:instrText>
        </w:r>
        <w:r>
          <w:rPr>
            <w:webHidden/>
          </w:rPr>
          <w:fldChar w:fldCharType="separate"/>
        </w:r>
        <w:r>
          <w:rPr>
            <w:webHidden/>
          </w:rPr>
          <w:t>10</w:t>
        </w:r>
        <w:r>
          <w:rPr>
            <w:webHidden/>
          </w:rPr>
          <w:fldChar w:fldCharType="end"/>
        </w:r>
      </w:hyperlink>
    </w:p>
    <w:p w:rsidR="003033DA" w14:paraId="6D58A53D" w14:textId="531B16B6">
      <w:pPr>
        <w:pStyle w:val="TOC1"/>
        <w:rPr>
          <w:rFonts w:asciiTheme="minorHAnsi" w:eastAsiaTheme="minorEastAsia" w:hAnsiTheme="minorHAnsi" w:cstheme="minorBidi"/>
          <w:b w:val="0"/>
          <w:kern w:val="2"/>
          <w:sz w:val="24"/>
          <w14:ligatures w14:val="standardContextual"/>
        </w:rPr>
      </w:pPr>
      <w:hyperlink w:anchor="_Toc178102444" w:history="1">
        <w:r w:rsidRPr="002E6E65">
          <w:rPr>
            <w:rStyle w:val="Hyperlink"/>
          </w:rPr>
          <w:t>Appendix B. Contrast Table</w:t>
        </w:r>
        <w:r>
          <w:rPr>
            <w:webHidden/>
          </w:rPr>
          <w:tab/>
        </w:r>
        <w:r>
          <w:rPr>
            <w:webHidden/>
          </w:rPr>
          <w:fldChar w:fldCharType="begin"/>
        </w:r>
        <w:r>
          <w:rPr>
            <w:webHidden/>
          </w:rPr>
          <w:instrText xml:space="preserve"> PAGEREF _Toc178102444 \h </w:instrText>
        </w:r>
        <w:r>
          <w:rPr>
            <w:webHidden/>
          </w:rPr>
          <w:fldChar w:fldCharType="separate"/>
        </w:r>
        <w:r>
          <w:rPr>
            <w:webHidden/>
          </w:rPr>
          <w:t>11</w:t>
        </w:r>
        <w:r>
          <w:rPr>
            <w:webHidden/>
          </w:rPr>
          <w:fldChar w:fldCharType="end"/>
        </w:r>
      </w:hyperlink>
    </w:p>
    <w:p w:rsidR="003033DA" w14:paraId="7CC813DC" w14:textId="375A1D10">
      <w:pPr>
        <w:pStyle w:val="TOC1"/>
        <w:rPr>
          <w:rFonts w:asciiTheme="minorHAnsi" w:eastAsiaTheme="minorEastAsia" w:hAnsiTheme="minorHAnsi" w:cstheme="minorBidi"/>
          <w:b w:val="0"/>
          <w:kern w:val="2"/>
          <w:sz w:val="24"/>
          <w14:ligatures w14:val="standardContextual"/>
        </w:rPr>
      </w:pPr>
      <w:hyperlink w:anchor="_Toc178102445" w:history="1">
        <w:r w:rsidRPr="002E6E65">
          <w:rPr>
            <w:rStyle w:val="Hyperlink"/>
          </w:rPr>
          <w:t>Appendix C: Detailed specification of measures to be analyzed</w:t>
        </w:r>
        <w:r>
          <w:rPr>
            <w:webHidden/>
          </w:rPr>
          <w:tab/>
        </w:r>
        <w:r>
          <w:rPr>
            <w:webHidden/>
          </w:rPr>
          <w:fldChar w:fldCharType="begin"/>
        </w:r>
        <w:r>
          <w:rPr>
            <w:webHidden/>
          </w:rPr>
          <w:instrText xml:space="preserve"> PAGEREF _Toc178102445 \h </w:instrText>
        </w:r>
        <w:r>
          <w:rPr>
            <w:webHidden/>
          </w:rPr>
          <w:fldChar w:fldCharType="separate"/>
        </w:r>
        <w:r>
          <w:rPr>
            <w:webHidden/>
          </w:rPr>
          <w:t>12</w:t>
        </w:r>
        <w:r>
          <w:rPr>
            <w:webHidden/>
          </w:rPr>
          <w:fldChar w:fldCharType="end"/>
        </w:r>
      </w:hyperlink>
    </w:p>
    <w:p w:rsidR="009229B0" w:rsidRPr="00EF1271" w:rsidP="009229B0" w14:paraId="5FA9E710" w14:textId="22AEE51F">
      <w:pPr>
        <w:pStyle w:val="BodyText"/>
        <w:rPr>
          <w:lang w:val="fr-FR"/>
        </w:rPr>
      </w:pPr>
      <w:r>
        <w:rPr>
          <w:lang w:val="fr-FR"/>
        </w:rPr>
        <w:fldChar w:fldCharType="end"/>
      </w:r>
    </w:p>
    <w:p w:rsidR="009229B0" w:rsidRPr="00EF1271" w:rsidP="009229B0" w14:paraId="50DE56B0" w14:textId="77777777">
      <w:pPr>
        <w:pStyle w:val="BodyText"/>
        <w:rPr>
          <w:lang w:val="fr-FR"/>
        </w:rPr>
      </w:pPr>
    </w:p>
    <w:p w:rsidR="00D81D4A" w:rsidRPr="00EF1271" w14:paraId="6E16EE9F" w14:textId="77777777">
      <w:pPr>
        <w:rPr>
          <w:rFonts w:eastAsia="Calibri"/>
          <w:sz w:val="20"/>
          <w:lang w:val="fr-FR"/>
        </w:rPr>
        <w:sectPr w:rsidSect="000464E9">
          <w:headerReference w:type="default" r:id="rId16"/>
          <w:footerReference w:type="default" r:id="rId17"/>
          <w:pgSz w:w="12240" w:h="15840" w:code="1"/>
          <w:pgMar w:top="1440" w:right="1440" w:bottom="1440" w:left="1440" w:header="432" w:footer="720" w:gutter="0"/>
          <w:pgNumType w:fmt="lowerRoman" w:start="1"/>
          <w:cols w:space="720"/>
          <w:docGrid w:linePitch="299"/>
        </w:sectPr>
      </w:pPr>
    </w:p>
    <w:p w:rsidR="00585CBE" w:rsidP="00585CBE" w14:paraId="74A4AE6D" w14:textId="1B160774">
      <w:pPr>
        <w:pStyle w:val="Heading1NoNumbering"/>
      </w:pPr>
      <w:bookmarkStart w:id="0" w:name="_Toc178102433"/>
      <w:r w:rsidRPr="009229B0">
        <w:t>Overview of Analysis Plan Requirement</w:t>
      </w:r>
      <w:bookmarkEnd w:id="0"/>
    </w:p>
    <w:p w:rsidR="009229B0" w:rsidP="009229B0" w14:paraId="488279FC" w14:textId="77777777">
      <w:pPr>
        <w:pStyle w:val="BodyText"/>
      </w:pPr>
      <w:r>
        <w:t xml:space="preserve">The purpose of Personal Responsibility Education Innovative Strategies (PREIS) program evaluations is to determine the effectiveness of the innovative interventions and/or approaches on behavior change. Grantees have developed evaluation design plans specifying local impact evaluations that are rigorous in nature, meaning they use a randomized controlled trial (RCT) or a high-quality quasi-experimental design (QED). These evaluations are designed to answer both primary and secondary grantee-specific research questions. </w:t>
      </w:r>
    </w:p>
    <w:p w:rsidR="009229B0" w:rsidP="009229B0" w14:paraId="508EA75D" w14:textId="77777777">
      <w:pPr>
        <w:pStyle w:val="BodyText"/>
      </w:pPr>
      <w:r>
        <w:t>In addition to using a well-specified rigorous design, a key element of evaluation rigor is pre-specification of the primary impact analysis methods. For that reason, PREIS programs and their local evaluators are required to develop an analysis plan in collaboration with the Family and Youth Services Bureau (FYSB). FYSB approval will be required prior to implementation of a proposed analysis plan.</w:t>
      </w:r>
    </w:p>
    <w:p w:rsidR="009229B0" w:rsidP="009229B0" w14:paraId="0BB78D6E" w14:textId="5D2B9976">
      <w:pPr>
        <w:pStyle w:val="BodyText"/>
      </w:pPr>
      <w:r>
        <w:t>This template is provided to PREIS grantees to assist in the development of their analysis plan. It includes the required components of an analysis plan as delineated in the Notice of Funding Opportunity (NOFO)</w:t>
      </w:r>
      <w:r w:rsidR="00BC3225">
        <w:t xml:space="preserve">, as well as the expectations described in the </w:t>
      </w:r>
      <w:hyperlink r:id="rId18" w:history="1">
        <w:r w:rsidRPr="00BC3225" w:rsidR="00BC3225">
          <w:rPr>
            <w:rStyle w:val="Hyperlink"/>
          </w:rPr>
          <w:t>PREIS Standards for Rigor</w:t>
        </w:r>
      </w:hyperlink>
      <w:r w:rsidR="00BC3225">
        <w:t>,</w:t>
      </w:r>
      <w:r>
        <w:t xml:space="preserve"> and provides a logical flow for describing them. </w:t>
      </w:r>
    </w:p>
    <w:p w:rsidR="009229B0" w:rsidP="009229B0" w14:paraId="1BB964FE" w14:textId="77777777">
      <w:pPr>
        <w:pStyle w:val="BodyText"/>
      </w:pPr>
      <w:r>
        <w:t xml:space="preserve">The local evaluation support (LES) team will support the grantees’ development of their analysis plans, through individual support as well as additional resources and webinars. Grantees will be expected to submit draft versions of their analysis plans or sections of their plans according to the review schedule they develop in partnership with their LES </w:t>
      </w:r>
      <w:r w:rsidRPr="00336A80">
        <w:t xml:space="preserve">liaison. This schedule helps ensure the LES team </w:t>
      </w:r>
      <w:r w:rsidRPr="00336A80">
        <w:t>is able to</w:t>
      </w:r>
      <w:r w:rsidRPr="00336A80">
        <w:t xml:space="preserve"> provide ongoing feedback during the plan development, with the expectation that all or almost all components of draft analysis plans will have been reviewed at least once by the LES liaison prior to the complete plan submission by March 2025.</w:t>
      </w:r>
      <w:r>
        <w:t xml:space="preserve"> </w:t>
      </w:r>
    </w:p>
    <w:p w:rsidR="009229B0" w:rsidP="009229B0" w14:paraId="3264284F" w14:textId="77777777">
      <w:pPr>
        <w:pStyle w:val="BodyText"/>
      </w:pPr>
      <w:r>
        <w:t xml:space="preserve">Once evaluators send completed analysis plans to the LES team, the LES team will review the plans in coordination with FYSB. LES liaisons will support grantees and evaluators in revising analysis plans until they meet the </w:t>
      </w:r>
      <w:hyperlink r:id="rId18" w:history="1">
        <w:r w:rsidRPr="00B87610">
          <w:rPr>
            <w:rStyle w:val="Hyperlink"/>
          </w:rPr>
          <w:t>Standards for Rigor</w:t>
        </w:r>
      </w:hyperlink>
      <w:r>
        <w:t xml:space="preserve"> and are approved by FYSB. </w:t>
      </w:r>
    </w:p>
    <w:p w:rsidR="009229B0" w:rsidP="00B10CBA" w14:paraId="1083854A" w14:textId="77777777">
      <w:pPr>
        <w:pStyle w:val="BodyText"/>
      </w:pPr>
    </w:p>
    <w:p w:rsidR="009229B0" w:rsidP="00B10CBA" w14:paraId="5DB30234" w14:textId="67908CA4">
      <w:pPr>
        <w:pStyle w:val="BodyText"/>
        <w:rPr>
          <w:lang w:val="en-US"/>
        </w:rPr>
        <w:sectPr w:rsidSect="000464E9">
          <w:headerReference w:type="default" r:id="rId19"/>
          <w:footerReference w:type="default" r:id="rId20"/>
          <w:headerReference w:type="first" r:id="rId21"/>
          <w:footerReference w:type="first" r:id="rId22"/>
          <w:pgSz w:w="12240" w:h="15840" w:code="1"/>
          <w:pgMar w:top="1440" w:right="1440" w:bottom="1440" w:left="1440" w:header="720" w:footer="720" w:gutter="0"/>
          <w:pgNumType w:fmt="lowerRoman"/>
          <w:cols w:space="720"/>
          <w:titlePg/>
          <w:docGrid w:linePitch="299"/>
        </w:sectPr>
      </w:pPr>
    </w:p>
    <w:p w:rsidR="00D571F4" w:rsidP="00265A41" w14:paraId="1374613D" w14:textId="162F4C30">
      <w:pPr>
        <w:pStyle w:val="Heading1NoNumbering"/>
      </w:pPr>
      <w:bookmarkStart w:id="1" w:name="_Toc178102434"/>
      <w:r w:rsidRPr="009229B0">
        <w:t>How to use this Document</w:t>
      </w:r>
      <w:bookmarkEnd w:id="1"/>
    </w:p>
    <w:p w:rsidR="009229B0" w:rsidP="009229B0" w14:paraId="6B4612AD" w14:textId="77777777">
      <w:pPr>
        <w:pStyle w:val="BodyText"/>
      </w:pPr>
      <w:r w:rsidRPr="667557DB">
        <w:rPr>
          <w:lang w:val="en-US"/>
        </w:rPr>
        <w:t xml:space="preserve">The following sections present a template for your analysis plan, which should be completed by the evaluation team. </w:t>
      </w:r>
      <w:r w:rsidRPr="667557DB">
        <w:rPr>
          <w:b/>
          <w:bCs/>
          <w:lang w:val="en-US"/>
        </w:rPr>
        <w:t xml:space="preserve">These sections are intended to replace section 2.5 of your evaluation plan </w:t>
      </w:r>
      <w:r w:rsidRPr="667557DB">
        <w:rPr>
          <w:lang w:val="en-US"/>
        </w:rPr>
        <w:t xml:space="preserve">and are numbered correspondingly. To submit your analysis plan for review, please replace section 2.5 of your current up-to-date evaluation plan in its entirety and resubmit the evaluation plan. </w:t>
      </w:r>
    </w:p>
    <w:p w:rsidR="009229B0" w:rsidP="009229B0" w14:paraId="7A476883" w14:textId="4E85FA2F">
      <w:pPr>
        <w:pStyle w:val="BodyText"/>
      </w:pPr>
      <w:r>
        <w:t xml:space="preserve">Instructions are included below for completing each section of the analysis plan (i.e., the new section 2.5 of your evaluation plan).  In each section, applicable Expectations from the </w:t>
      </w:r>
      <w:hyperlink r:id="rId18" w:history="1">
        <w:r w:rsidRPr="001B0A57">
          <w:rPr>
            <w:rStyle w:val="Hyperlink"/>
          </w:rPr>
          <w:t>Standards for Rigor</w:t>
        </w:r>
      </w:hyperlink>
      <w:r>
        <w:t xml:space="preserve"> are </w:t>
      </w:r>
      <w:r w:rsidRPr="00F90B45">
        <w:t xml:space="preserve">shown in </w:t>
      </w:r>
      <w:r w:rsidR="005219C1">
        <w:t>red-outlined</w:t>
      </w:r>
      <w:r w:rsidRPr="00F90B45">
        <w:t xml:space="preserve"> text boxes. Additional information (e.g., definitions, tips, explanations) is incl</w:t>
      </w:r>
      <w:r>
        <w:t>uded in blue-shaded text boxes.</w:t>
      </w:r>
    </w:p>
    <w:p w:rsidR="009229B0" w:rsidP="009229B0" w14:paraId="20815890" w14:textId="7650226D">
      <w:pPr>
        <w:pStyle w:val="BodyText"/>
      </w:pPr>
      <w:r w:rsidRPr="009229B0">
        <w:rPr>
          <w:rFonts w:ascii="Aptos" w:eastAsia="Aptos" w:hAnsi="Aptos" w:cs="Arial"/>
          <w:noProof/>
          <w:kern w:val="2"/>
          <w:sz w:val="22"/>
          <w:szCs w:val="22"/>
          <w:lang w:val="en-US"/>
          <w14:ligatures w14:val="standardContextual"/>
        </w:rP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814070</wp:posOffset>
                </wp:positionV>
                <wp:extent cx="5989320" cy="886968"/>
                <wp:effectExtent l="0" t="0" r="11430" b="24765"/>
                <wp:wrapThrough wrapText="bothSides">
                  <wp:wrapPolygon>
                    <wp:start x="0" y="0"/>
                    <wp:lineTo x="0" y="21739"/>
                    <wp:lineTo x="21573" y="21739"/>
                    <wp:lineTo x="21573" y="0"/>
                    <wp:lineTo x="0" y="0"/>
                  </wp:wrapPolygon>
                </wp:wrapThrough>
                <wp:docPr id="808501160"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886968"/>
                        </a:xfrm>
                        <a:prstGeom prst="rect">
                          <a:avLst/>
                        </a:prstGeom>
                        <a:noFill/>
                        <a:ln w="19050">
                          <a:solidFill>
                            <a:srgbClr val="BB2127"/>
                          </a:solidFill>
                        </a:ln>
                      </wps:spPr>
                      <wps:txbx>
                        <w:txbxContent>
                          <w:p w:rsidR="009229B0" w:rsidRPr="00727C20" w:rsidP="009229B0" w14:textId="77777777">
                            <w:pPr>
                              <w:spacing w:before="40" w:after="40"/>
                              <w:rPr>
                                <w:rFonts w:ascii="Arial Narrow" w:hAnsi="Arial Narrow"/>
                                <w:color w:val="000000" w:themeColor="text1"/>
                                <w:sz w:val="20"/>
                              </w:rPr>
                            </w:pPr>
                            <w:r w:rsidRPr="00727C20">
                              <w:rPr>
                                <w:rFonts w:ascii="Arial Narrow" w:hAnsi="Arial Narrow"/>
                                <w:b/>
                                <w:bCs/>
                                <w:color w:val="000000" w:themeColor="text1"/>
                                <w:sz w:val="20"/>
                              </w:rPr>
                              <w:t>Expectation 1C.1:</w:t>
                            </w:r>
                            <w:r w:rsidRPr="00727C20">
                              <w:rPr>
                                <w:rFonts w:ascii="Arial Narrow" w:hAnsi="Arial Narrow"/>
                                <w:color w:val="000000" w:themeColor="text1"/>
                                <w:sz w:val="20"/>
                              </w:rPr>
                              <w:t xml:space="preserve"> Good scientific practice requires specifying key elements of how an evaluation, especially the data analysis, will be conducted in advance of observing the outcome data; it also requires some discipline in following the analysis plan. Pre-specifying an analysis plan gives an evaluator the opportunity to identify the research questions that will be addressed and to describe how the evaluator will address the research questions before collecting and analyzing outcome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0" type="#_x0000_t202" style="width:471.6pt;height:69.85pt;margin-top:64.1pt;margin-left:0;mso-height-percent:0;mso-height-relative:page;mso-width-percent:0;mso-width-relative:page;mso-wrap-distance-bottom:0;mso-wrap-distance-left:9pt;mso-wrap-distance-right:9pt;mso-wrap-distance-top:0;mso-wrap-style:square;position:absolute;visibility:visible;v-text-anchor:top;z-index:251668480" filled="f" strokecolor="#bb2127" strokeweight="1.5pt">
                <v:textbox style="mso-fit-shape-to-text:t">
                  <w:txbxContent>
                    <w:p w:rsidR="009229B0" w:rsidRPr="00727C20" w:rsidP="009229B0" w14:paraId="247A1C6D" w14:textId="77777777">
                      <w:pPr>
                        <w:spacing w:before="40" w:after="40"/>
                        <w:rPr>
                          <w:rFonts w:ascii="Arial Narrow" w:hAnsi="Arial Narrow"/>
                          <w:color w:val="000000" w:themeColor="text1"/>
                          <w:sz w:val="20"/>
                        </w:rPr>
                      </w:pPr>
                      <w:r w:rsidRPr="00727C20">
                        <w:rPr>
                          <w:rFonts w:ascii="Arial Narrow" w:hAnsi="Arial Narrow"/>
                          <w:b/>
                          <w:bCs/>
                          <w:color w:val="000000" w:themeColor="text1"/>
                          <w:sz w:val="20"/>
                        </w:rPr>
                        <w:t>Expectation 1C.1:</w:t>
                      </w:r>
                      <w:r w:rsidRPr="00727C20">
                        <w:rPr>
                          <w:rFonts w:ascii="Arial Narrow" w:hAnsi="Arial Narrow"/>
                          <w:color w:val="000000" w:themeColor="text1"/>
                          <w:sz w:val="20"/>
                        </w:rPr>
                        <w:t xml:space="preserve"> Good scientific practice requires specifying key elements of how an evaluation, especially the data analysis, will be conducted in advance of observing the outcome data; it also requires some discipline in following the analysis plan. Pre-specifying an analysis plan gives an evaluator the opportunity to identify the research questions that will be addressed and to describe how the evaluator will address the research questions before collecting and analyzing outcome data. </w:t>
                      </w:r>
                    </w:p>
                  </w:txbxContent>
                </v:textbox>
                <w10:wrap type="through"/>
                <w10:anchorlock/>
              </v:shape>
            </w:pict>
          </mc:Fallback>
        </mc:AlternateContent>
      </w:r>
      <w:r w:rsidRPr="003570B2">
        <w:t xml:space="preserve">Note that this </w:t>
      </w:r>
      <w:r>
        <w:t>template</w:t>
      </w:r>
      <w:r w:rsidRPr="003570B2">
        <w:t xml:space="preserve"> focuses only on the </w:t>
      </w:r>
      <w:r>
        <w:t>analysis</w:t>
      </w:r>
      <w:r w:rsidRPr="003570B2">
        <w:t xml:space="preserve"> </w:t>
      </w:r>
      <w:r>
        <w:t xml:space="preserve">for </w:t>
      </w:r>
      <w:r w:rsidRPr="003570B2">
        <w:t xml:space="preserve">the </w:t>
      </w:r>
      <w:r w:rsidRPr="003570B2">
        <w:rPr>
          <w:u w:val="single"/>
        </w:rPr>
        <w:t>impact</w:t>
      </w:r>
      <w:r w:rsidRPr="003570B2">
        <w:t xml:space="preserve"> evaluation. You may </w:t>
      </w:r>
      <w:r>
        <w:t xml:space="preserve">optionally expand upon your process evaluation analysis plan in Section 3.1.5 and/or any </w:t>
      </w:r>
      <w:r w:rsidRPr="003570B2">
        <w:t>additional descriptive or other analyses that are not central to the impact study</w:t>
      </w:r>
      <w:r>
        <w:t xml:space="preserve"> in Section 4</w:t>
      </w:r>
      <w:r w:rsidRPr="003570B2">
        <w:t xml:space="preserve"> </w:t>
      </w:r>
      <w:r>
        <w:t>of your updated evaluation plan</w:t>
      </w:r>
      <w:r w:rsidRPr="003570B2">
        <w:t>.</w:t>
      </w:r>
    </w:p>
    <w:p w:rsidR="00265A41" w:rsidRPr="00265A41" w:rsidP="00265A41" w14:paraId="5D8E72C3" w14:textId="41084BC9">
      <w:pPr>
        <w:pStyle w:val="BodyText"/>
        <w:rPr>
          <w:lang w:val="en-US"/>
        </w:rPr>
      </w:pPr>
    </w:p>
    <w:p w:rsidR="001A64E5" w:rsidP="00A212FA" w14:paraId="6ECF90AC" w14:textId="77777777">
      <w:pPr>
        <w:pStyle w:val="BodyText"/>
        <w:sectPr w:rsidSect="0009055B">
          <w:headerReference w:type="first" r:id="rId23"/>
          <w:pgSz w:w="12240" w:h="15840" w:code="1"/>
          <w:pgMar w:top="1440" w:right="1440" w:bottom="1440" w:left="1440" w:header="432" w:footer="720" w:gutter="0"/>
          <w:pgNumType w:fmt="lowerRoman"/>
          <w:cols w:space="720"/>
          <w:titlePg/>
          <w:docGrid w:linePitch="299"/>
        </w:sectPr>
      </w:pPr>
    </w:p>
    <w:p w:rsidR="00352127" w:rsidP="00352127" w14:paraId="1CB4CA41" w14:textId="63DDF7D1">
      <w:pPr>
        <w:pStyle w:val="Heading1NoNumbering"/>
      </w:pPr>
      <w:bookmarkStart w:id="2" w:name="_Toc178102435"/>
      <w:r w:rsidRPr="00352127">
        <w:t>Template for Statistical Analysis Plan (Evaluation Plan Section 2.5)</w:t>
      </w:r>
      <w:bookmarkEnd w:id="2"/>
    </w:p>
    <w:p w:rsidR="00352127" w:rsidP="00352127" w14:paraId="68C494D7" w14:textId="77777777">
      <w:pPr>
        <w:pStyle w:val="BodyText"/>
      </w:pPr>
      <w:r>
        <w:t>In the subsections that follow, describe detailed plans for conducting the statistical analysis for your impact evaluation. Describe your analysis plans for your primary contrasts in Sections 2.5.1 through 2.5.4, and in Section 2.5.5 describe any differences in your analysis plans for your secondary contrasts.</w:t>
      </w:r>
    </w:p>
    <w:p w:rsidR="009229B0" w:rsidP="00352127" w14:paraId="20B8DE51" w14:textId="250F75E7">
      <w:pPr>
        <w:pStyle w:val="BodyText"/>
      </w:pPr>
      <w:r>
        <w:t>Note that some of the subsections below may not be applicable for your specific study design. Please discuss with your LES liaison to confirm whether sections are not applicable and note N/A under corresponding section headers.</w:t>
      </w:r>
    </w:p>
    <w:tbl>
      <w:tblPr>
        <w:tblStyle w:val="TableGrid"/>
        <w:tblW w:w="9360" w:type="dxa"/>
        <w:shd w:val="clear" w:color="auto" w:fill="B8DEE6"/>
        <w:tblLook w:val="04A0"/>
      </w:tblPr>
      <w:tblGrid>
        <w:gridCol w:w="9360"/>
      </w:tblGrid>
      <w:tr w14:paraId="66834FF2" w14:textId="77777777" w:rsidTr="001D2CF1">
        <w:tblPrEx>
          <w:tblW w:w="9360" w:type="dxa"/>
          <w:shd w:val="clear" w:color="auto" w:fill="B8DEE6"/>
          <w:tblLook w:val="04A0"/>
        </w:tblPrEx>
        <w:tc>
          <w:tcPr>
            <w:tcW w:w="13045" w:type="dxa"/>
            <w:shd w:val="clear" w:color="auto" w:fill="B8DEE6"/>
          </w:tcPr>
          <w:p w:rsidR="00352127" w:rsidRPr="0094144D" w:rsidP="00A837D1" w14:paraId="41795374" w14:textId="77777777">
            <w:pPr>
              <w:pStyle w:val="Call-OutBoxText"/>
            </w:pPr>
            <w:bookmarkStart w:id="3" w:name="_Hlk159763752"/>
            <w:r w:rsidRPr="000D565E">
              <w:rPr>
                <w:b/>
                <w:bCs/>
              </w:rPr>
              <w:t>Tip:</w:t>
            </w:r>
            <w:r>
              <w:t xml:space="preserve"> </w:t>
            </w:r>
            <w:r w:rsidRPr="0094144D">
              <w:t xml:space="preserve">If you are using more than one evaluation design to answer your research questions, you will need to fill out this section multiple times. For example, if you are using a school-level QED to answer research questions about the effect of the intervention on middle school students, and an RCT to answer research questions about the effect of the intervention on high-school students, you would fill out this section twice: once for the QED and once for the RCT. If you are planning multiple designs, the LES team can provide additional guidance. </w:t>
            </w:r>
          </w:p>
        </w:tc>
      </w:tr>
      <w:bookmarkEnd w:id="3"/>
    </w:tbl>
    <w:p w:rsidR="00352127" w:rsidRPr="00266EAB" w:rsidP="00352127" w14:paraId="569EE9B4" w14:textId="77777777"/>
    <w:p w:rsidR="00352127" w:rsidRPr="00352127" w:rsidP="00352127" w14:paraId="133CFE79" w14:textId="47838079">
      <w:pPr>
        <w:pStyle w:val="Heading3"/>
      </w:pPr>
      <w:bookmarkStart w:id="4" w:name="_Toc178102436"/>
      <w:r>
        <w:t>2.5.1</w:t>
      </w:r>
      <w:r>
        <w:tab/>
        <w:t>Data preparation</w:t>
      </w:r>
      <w:bookmarkEnd w:id="4"/>
    </w:p>
    <w:p w:rsidR="00352127" w:rsidRPr="00352127" w:rsidP="00352127" w14:paraId="50F6699F" w14:textId="31600AA7">
      <w:pPr>
        <w:pStyle w:val="Heading4"/>
      </w:pPr>
      <w:r w:rsidRPr="00352127">
        <w:t>Outliers and inconsistencies</w:t>
      </w:r>
    </w:p>
    <w:p w:rsidR="00352127" w:rsidRPr="00352127" w:rsidP="00A212FA" w14:paraId="1A35F6DB" w14:textId="5B2746A8">
      <w:pPr>
        <w:pStyle w:val="BodyText"/>
        <w:rPr>
          <w:lang w:val="en-US"/>
        </w:rPr>
      </w:pPr>
      <w:r w:rsidRPr="00352127">
        <w:rPr>
          <w:lang w:val="en-US"/>
        </w:rPr>
        <w:t>Describe your approach for cleaning and preparing the baseline and follow up data for analysis. Include protocols for detecting and correcting inconsistencies between outcomes within a survey wave (for example, a respondent saying they have never had sex but also that they used a condom at last intercourse) and between survey waves (for example, a respondent saying they are sexually active at the 3 month follow up but saying they have never had sex at the 12 month follow up). Describe your approach to identifying and correcting for implausible values (i.e., “outliers”) for continuous and open-ended variables (for example, a respondent identifying their age as well outside the range of program eligibility or their number of sexual partners as implausibly large).</w:t>
      </w:r>
    </w:p>
    <w:tbl>
      <w:tblPr>
        <w:tblStyle w:val="TableGrid"/>
        <w:tblW w:w="9360" w:type="dxa"/>
        <w:shd w:val="clear" w:color="auto" w:fill="B8DEE6"/>
        <w:tblLook w:val="04A0"/>
      </w:tblPr>
      <w:tblGrid>
        <w:gridCol w:w="9360"/>
      </w:tblGrid>
      <w:tr w14:paraId="3C35FCDB" w14:textId="77777777" w:rsidTr="00237F39">
        <w:tblPrEx>
          <w:tblW w:w="9360" w:type="dxa"/>
          <w:shd w:val="clear" w:color="auto" w:fill="B8DEE6"/>
          <w:tblLook w:val="04A0"/>
        </w:tblPrEx>
        <w:tc>
          <w:tcPr>
            <w:tcW w:w="13072" w:type="dxa"/>
            <w:shd w:val="clear" w:color="auto" w:fill="B8DEE6"/>
          </w:tcPr>
          <w:p w:rsidR="000D565E" w:rsidRPr="0094144D" w:rsidP="00A837D1" w14:paraId="2C25ABA1" w14:textId="29729060">
            <w:pPr>
              <w:pStyle w:val="Call-OutBoxText"/>
            </w:pPr>
            <w:r w:rsidRPr="000D565E">
              <w:rPr>
                <w:b/>
                <w:bCs/>
              </w:rPr>
              <w:t>Tip:</w:t>
            </w:r>
            <w:r>
              <w:t xml:space="preserve"> Unless the mechanism by which an outlier occurred is unambiguous, </w:t>
            </w:r>
            <w:r w:rsidR="00BC3225">
              <w:t xml:space="preserve">which is rare, </w:t>
            </w:r>
            <w:r>
              <w:t xml:space="preserve">the LES team recommends treating </w:t>
            </w:r>
            <w:r w:rsidR="00336A80">
              <w:t xml:space="preserve">implausible </w:t>
            </w:r>
            <w:r>
              <w:t xml:space="preserve">outliers as missing data. </w:t>
            </w:r>
            <w:r w:rsidR="00BC3225">
              <w:t>(</w:t>
            </w:r>
            <w:r w:rsidR="00AB4B63">
              <w:t>O</w:t>
            </w:r>
            <w:r w:rsidR="00BC3225">
              <w:t>utlier</w:t>
            </w:r>
            <w:r w:rsidR="00AB4B63">
              <w:t>s</w:t>
            </w:r>
            <w:r w:rsidR="00BC3225">
              <w:t xml:space="preserve"> that could be </w:t>
            </w:r>
            <w:r w:rsidR="00AB4B63">
              <w:t xml:space="preserve">confidently </w:t>
            </w:r>
            <w:r w:rsidR="00BC3225">
              <w:t>corrected would be</w:t>
            </w:r>
            <w:r w:rsidR="00AB4B63">
              <w:t>, for example,</w:t>
            </w:r>
            <w:r w:rsidR="00BC3225">
              <w:t xml:space="preserve"> </w:t>
            </w:r>
            <w:r w:rsidR="00AB4B63">
              <w:t>if a youth in a</w:t>
            </w:r>
            <w:r w:rsidR="00BC3225">
              <w:t xml:space="preserve"> program serving </w:t>
            </w:r>
            <w:r w:rsidR="00AB4B63">
              <w:t xml:space="preserve">mostly </w:t>
            </w:r>
            <w:r w:rsidR="00BC3225">
              <w:t>14 and 15 year olds</w:t>
            </w:r>
            <w:r w:rsidR="00AB4B63">
              <w:t xml:space="preserve"> </w:t>
            </w:r>
            <w:r w:rsidR="00BC3225">
              <w:t xml:space="preserve">entered their age as 115 or 155 instead of 15; or a </w:t>
            </w:r>
            <w:r w:rsidR="00AB4B63">
              <w:t xml:space="preserve">youth in a </w:t>
            </w:r>
            <w:r w:rsidR="00BC3225">
              <w:t>program serving 8</w:t>
            </w:r>
            <w:r w:rsidRPr="00CA2D16" w:rsidR="00BC3225">
              <w:rPr>
                <w:vertAlign w:val="superscript"/>
              </w:rPr>
              <w:t>th</w:t>
            </w:r>
            <w:r w:rsidR="00BC3225">
              <w:t xml:space="preserve"> and 9</w:t>
            </w:r>
            <w:r w:rsidRPr="00CA2D16" w:rsidR="00BC3225">
              <w:rPr>
                <w:vertAlign w:val="superscript"/>
              </w:rPr>
              <w:t>th</w:t>
            </w:r>
            <w:r w:rsidR="00BC3225">
              <w:t xml:space="preserve"> graders entered their grade level as 88</w:t>
            </w:r>
            <w:r w:rsidR="00AB4B63">
              <w:t xml:space="preserve"> instead of 8</w:t>
            </w:r>
            <w:r w:rsidR="00BC3225">
              <w:t xml:space="preserve">).   </w:t>
            </w:r>
          </w:p>
        </w:tc>
      </w:tr>
    </w:tbl>
    <w:p w:rsidR="000D565E" w:rsidP="000D565E" w14:paraId="7E322E54" w14:textId="77777777"/>
    <w:p w:rsidR="00237F39" w:rsidP="00237F39" w14:paraId="13D78166" w14:textId="59D9EC52">
      <w:pPr>
        <w:pStyle w:val="Heading4"/>
      </w:pPr>
      <w:r w:rsidRPr="00237F39">
        <w:t>Missing data</w:t>
      </w:r>
    </w:p>
    <w:p w:rsidR="00AB4B63" w:rsidP="00AB4B63" w14:paraId="407B24DA" w14:textId="5B147226">
      <w:pPr>
        <w:pStyle w:val="Bullets"/>
        <w:numPr>
          <w:ilvl w:val="0"/>
          <w:numId w:val="0"/>
        </w:numPr>
        <w:ind w:left="360" w:hanging="360"/>
      </w:pPr>
      <w:r w:rsidRPr="00AB4B63">
        <w:t>Describe your approach for dealing with:</w:t>
      </w:r>
    </w:p>
    <w:p w:rsidR="00237F39" w:rsidP="00AB4B63" w14:paraId="2CE5F314" w14:textId="0BE8832C">
      <w:pPr>
        <w:pStyle w:val="Bullets"/>
      </w:pPr>
      <w:r>
        <w:t>Missing outcome data (</w:t>
      </w:r>
      <w:r w:rsidR="000D3931">
        <w:t xml:space="preserve">preferably using a method endorsed by the </w:t>
      </w:r>
      <w:hyperlink r:id="rId24" w:history="1">
        <w:r w:rsidRPr="00CA2D16" w:rsidR="000D3931">
          <w:rPr>
            <w:rStyle w:val="Hyperlink"/>
          </w:rPr>
          <w:t>What Works Clearinghouse</w:t>
        </w:r>
      </w:hyperlink>
      <w:r w:rsidR="000D3931">
        <w:t xml:space="preserve">; </w:t>
      </w:r>
      <w:r>
        <w:t>e.g., case deletion</w:t>
      </w:r>
      <w:r w:rsidR="0075753E">
        <w:t>,</w:t>
      </w:r>
      <w:r>
        <w:t xml:space="preserve"> </w:t>
      </w:r>
      <w:r w:rsidR="000D3931">
        <w:t xml:space="preserve">weighting, </w:t>
      </w:r>
      <w:r>
        <w:t>or imputation).</w:t>
      </w:r>
    </w:p>
    <w:p w:rsidR="00237F39" w:rsidP="002D4628" w14:paraId="0AB665F3" w14:textId="4B8F9CCA">
      <w:pPr>
        <w:pStyle w:val="BulletsLast"/>
      </w:pPr>
      <w:r w:rsidRPr="009229B0">
        <w:rPr>
          <w:rFonts w:ascii="Aptos" w:eastAsia="Aptos" w:hAnsi="Aptos" w:cs="Arial"/>
          <w:noProof/>
          <w:kern w:val="2"/>
          <w:sz w:val="22"/>
          <w:szCs w:val="22"/>
          <w:lang w:val="en-US"/>
          <w14:ligatures w14:val="standardContextual"/>
        </w:rPr>
        <mc:AlternateContent>
          <mc:Choice Requires="wps">
            <w:drawing>
              <wp:anchor distT="0" distB="0" distL="114300" distR="114300" simplePos="0" relativeHeight="251669504" behindDoc="0" locked="1" layoutInCell="1" allowOverlap="1">
                <wp:simplePos x="0" y="0"/>
                <wp:positionH relativeFrom="column">
                  <wp:posOffset>0</wp:posOffset>
                </wp:positionH>
                <wp:positionV relativeFrom="paragraph">
                  <wp:posOffset>657530</wp:posOffset>
                </wp:positionV>
                <wp:extent cx="5989320" cy="914400"/>
                <wp:effectExtent l="0" t="0" r="11430" b="18415"/>
                <wp:wrapThrough wrapText="bothSides">
                  <wp:wrapPolygon>
                    <wp:start x="0" y="0"/>
                    <wp:lineTo x="0" y="21585"/>
                    <wp:lineTo x="21573" y="21585"/>
                    <wp:lineTo x="21573" y="0"/>
                    <wp:lineTo x="0" y="0"/>
                  </wp:wrapPolygon>
                </wp:wrapThrough>
                <wp:docPr id="963929502"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914400"/>
                        </a:xfrm>
                        <a:prstGeom prst="rect">
                          <a:avLst/>
                        </a:prstGeom>
                        <a:noFill/>
                        <a:ln w="19050">
                          <a:solidFill>
                            <a:srgbClr val="BB2127"/>
                          </a:solidFill>
                        </a:ln>
                      </wps:spPr>
                      <wps:txbx>
                        <w:txbxContent>
                          <w:p w:rsidR="002D4628" w:rsidP="002D4628" w14:textId="77777777">
                            <w:pPr>
                              <w:pStyle w:val="BodyText"/>
                              <w:spacing w:after="120"/>
                              <w:rPr>
                                <w:rFonts w:ascii="Arial Narrow" w:hAnsi="Arial Narrow"/>
                                <w:spacing w:val="-4"/>
                                <w:sz w:val="20"/>
                                <w:szCs w:val="20"/>
                              </w:rPr>
                            </w:pPr>
                            <w:r w:rsidRPr="005E4C15">
                              <w:rPr>
                                <w:rFonts w:ascii="Arial Narrow" w:hAnsi="Arial Narrow"/>
                                <w:b/>
                                <w:bCs/>
                                <w:spacing w:val="-4"/>
                                <w:sz w:val="20"/>
                                <w:szCs w:val="20"/>
                              </w:rPr>
                              <w:t>Expectation 2A.1.g:</w:t>
                            </w:r>
                            <w:r w:rsidRPr="004B121A">
                              <w:rPr>
                                <w:rFonts w:ascii="Arial Narrow" w:hAnsi="Arial Narrow"/>
                                <w:b/>
                                <w:bCs/>
                                <w:spacing w:val="-4"/>
                                <w:sz w:val="20"/>
                                <w:szCs w:val="20"/>
                              </w:rPr>
                              <w:t xml:space="preserve"> </w:t>
                            </w:r>
                            <w:r w:rsidRPr="004B121A">
                              <w:rPr>
                                <w:rFonts w:ascii="Arial Narrow" w:hAnsi="Arial Narrow"/>
                                <w:spacing w:val="-4"/>
                                <w:sz w:val="20"/>
                                <w:szCs w:val="20"/>
                              </w:rPr>
                              <w:t xml:space="preserve">Evaluation must use acceptable practices for addressing missing data. To satisfy this criterion, evaluations should follow current best practices for handling missing baseline and outcome data. </w:t>
                            </w:r>
                          </w:p>
                          <w:p w:rsidR="002D4628" w:rsidRPr="002D4628" w:rsidP="002D4628" w14:textId="1EB71F22">
                            <w:pPr>
                              <w:pStyle w:val="BodyText"/>
                              <w:spacing w:after="0"/>
                              <w:rPr>
                                <w:rFonts w:ascii="Arial Narrow" w:hAnsi="Arial Narrow"/>
                                <w:color w:val="000000" w:themeColor="text1"/>
                                <w:sz w:val="20"/>
                                <w:szCs w:val="20"/>
                              </w:rPr>
                            </w:pPr>
                            <w:r>
                              <w:rPr>
                                <w:rFonts w:ascii="Arial Narrow" w:hAnsi="Arial Narrow"/>
                                <w:sz w:val="20"/>
                                <w:szCs w:val="20"/>
                              </w:rPr>
                              <w:t>Note that t</w:t>
                            </w:r>
                            <w:r w:rsidRPr="004B121A">
                              <w:rPr>
                                <w:rFonts w:ascii="Arial Narrow" w:hAnsi="Arial Narrow"/>
                                <w:sz w:val="20"/>
                                <w:szCs w:val="20"/>
                              </w:rPr>
                              <w:t xml:space="preserve">he </w:t>
                            </w:r>
                            <w:hyperlink r:id="rId25" w:history="1">
                              <w:r w:rsidRPr="004B121A">
                                <w:rPr>
                                  <w:rStyle w:val="Hyperlink"/>
                                  <w:rFonts w:ascii="Arial Narrow" w:hAnsi="Arial Narrow"/>
                                  <w:sz w:val="20"/>
                                  <w:szCs w:val="20"/>
                                </w:rPr>
                                <w:t>Teen Pregnancy Prevention Evidence Review</w:t>
                              </w:r>
                            </w:hyperlink>
                            <w:r w:rsidRPr="004B121A">
                              <w:rPr>
                                <w:rFonts w:ascii="Arial Narrow" w:hAnsi="Arial Narrow"/>
                                <w:sz w:val="20"/>
                                <w:szCs w:val="20"/>
                              </w:rPr>
                              <w:t xml:space="preserve"> will accept any missing data method endorsed by the </w:t>
                            </w:r>
                            <w:hyperlink r:id="rId24" w:history="1">
                              <w:r w:rsidRPr="004B121A">
                                <w:rPr>
                                  <w:rStyle w:val="Hyperlink"/>
                                  <w:rFonts w:ascii="Arial Narrow" w:hAnsi="Arial Narrow"/>
                                  <w:sz w:val="20"/>
                                  <w:szCs w:val="20"/>
                                </w:rPr>
                                <w:t>What Works Clearinghouse</w:t>
                              </w:r>
                            </w:hyperlink>
                            <w:r w:rsidRPr="004B121A">
                              <w:rPr>
                                <w:rFonts w:ascii="Arial Narrow" w:hAnsi="Arial Narrow"/>
                                <w:sz w:val="20"/>
                                <w:szCs w:val="20"/>
                              </w:rPr>
                              <w:t xml:space="preserve">. The LES team’s current understanding of best practice is described here: </w:t>
                            </w:r>
                            <w:hyperlink r:id="rId26" w:history="1">
                              <w:r w:rsidRPr="004B121A">
                                <w:rPr>
                                  <w:rStyle w:val="Hyperlink"/>
                                  <w:rFonts w:ascii="Arial Narrow" w:hAnsi="Arial Narrow"/>
                                  <w:sz w:val="20"/>
                                  <w:szCs w:val="20"/>
                                </w:rPr>
                                <w:t>https://ies.ed.gov/ncee/wwc/Docs/Multimedia/WWC-Missing-Data-508.pdf</w:t>
                              </w:r>
                            </w:hyperlink>
                            <w:r w:rsidRPr="004B121A">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1" type="#_x0000_t202" style="width:471.6pt;height:1in;margin-top:51.75pt;margin-left:0;mso-height-percent:0;mso-height-relative:page;mso-width-percent:0;mso-width-relative:page;mso-wrap-distance-bottom:0;mso-wrap-distance-left:9pt;mso-wrap-distance-right:9pt;mso-wrap-distance-top:0;mso-wrap-style:square;position:absolute;visibility:visible;v-text-anchor:top;z-index:251670528" filled="f" strokecolor="#bb2127" strokeweight="1.5pt">
                <v:textbox style="mso-fit-shape-to-text:t">
                  <w:txbxContent>
                    <w:p w:rsidR="002D4628" w:rsidP="002D4628" w14:paraId="5CFCBC79" w14:textId="77777777">
                      <w:pPr>
                        <w:pStyle w:val="BodyText"/>
                        <w:spacing w:after="120"/>
                        <w:rPr>
                          <w:rFonts w:ascii="Arial Narrow" w:hAnsi="Arial Narrow"/>
                          <w:spacing w:val="-4"/>
                          <w:sz w:val="20"/>
                          <w:szCs w:val="20"/>
                        </w:rPr>
                      </w:pPr>
                      <w:r w:rsidRPr="005E4C15">
                        <w:rPr>
                          <w:rFonts w:ascii="Arial Narrow" w:hAnsi="Arial Narrow"/>
                          <w:b/>
                          <w:bCs/>
                          <w:spacing w:val="-4"/>
                          <w:sz w:val="20"/>
                          <w:szCs w:val="20"/>
                        </w:rPr>
                        <w:t>Expectation 2A.1.g:</w:t>
                      </w:r>
                      <w:r w:rsidRPr="004B121A">
                        <w:rPr>
                          <w:rFonts w:ascii="Arial Narrow" w:hAnsi="Arial Narrow"/>
                          <w:b/>
                          <w:bCs/>
                          <w:spacing w:val="-4"/>
                          <w:sz w:val="20"/>
                          <w:szCs w:val="20"/>
                        </w:rPr>
                        <w:t xml:space="preserve"> </w:t>
                      </w:r>
                      <w:r w:rsidRPr="004B121A">
                        <w:rPr>
                          <w:rFonts w:ascii="Arial Narrow" w:hAnsi="Arial Narrow"/>
                          <w:spacing w:val="-4"/>
                          <w:sz w:val="20"/>
                          <w:szCs w:val="20"/>
                        </w:rPr>
                        <w:t xml:space="preserve">Evaluation must use acceptable practices for addressing missing data. To satisfy this criterion, evaluations should follow current best practices for handling missing baseline and outcome data. </w:t>
                      </w:r>
                    </w:p>
                    <w:p w:rsidR="002D4628" w:rsidRPr="002D4628" w:rsidP="002D4628" w14:paraId="3F8CB973" w14:textId="1EB71F22">
                      <w:pPr>
                        <w:pStyle w:val="BodyText"/>
                        <w:spacing w:after="0"/>
                        <w:rPr>
                          <w:rFonts w:ascii="Arial Narrow" w:hAnsi="Arial Narrow"/>
                          <w:color w:val="000000" w:themeColor="text1"/>
                          <w:sz w:val="20"/>
                          <w:szCs w:val="20"/>
                        </w:rPr>
                      </w:pPr>
                      <w:r>
                        <w:rPr>
                          <w:rFonts w:ascii="Arial Narrow" w:hAnsi="Arial Narrow"/>
                          <w:sz w:val="20"/>
                          <w:szCs w:val="20"/>
                        </w:rPr>
                        <w:t>Note that t</w:t>
                      </w:r>
                      <w:r w:rsidRPr="004B121A">
                        <w:rPr>
                          <w:rFonts w:ascii="Arial Narrow" w:hAnsi="Arial Narrow"/>
                          <w:sz w:val="20"/>
                          <w:szCs w:val="20"/>
                        </w:rPr>
                        <w:t xml:space="preserve">he </w:t>
                      </w:r>
                      <w:hyperlink r:id="rId25" w:history="1">
                        <w:r w:rsidRPr="004B121A">
                          <w:rPr>
                            <w:rStyle w:val="Hyperlink"/>
                            <w:rFonts w:ascii="Arial Narrow" w:hAnsi="Arial Narrow"/>
                            <w:sz w:val="20"/>
                            <w:szCs w:val="20"/>
                          </w:rPr>
                          <w:t>Teen Pregnancy Prevention Evidence Review</w:t>
                        </w:r>
                      </w:hyperlink>
                      <w:r w:rsidRPr="004B121A">
                        <w:rPr>
                          <w:rFonts w:ascii="Arial Narrow" w:hAnsi="Arial Narrow"/>
                          <w:sz w:val="20"/>
                          <w:szCs w:val="20"/>
                        </w:rPr>
                        <w:t xml:space="preserve"> will accept any missing data method endorsed by the </w:t>
                      </w:r>
                      <w:hyperlink r:id="rId24" w:history="1">
                        <w:r w:rsidRPr="004B121A">
                          <w:rPr>
                            <w:rStyle w:val="Hyperlink"/>
                            <w:rFonts w:ascii="Arial Narrow" w:hAnsi="Arial Narrow"/>
                            <w:sz w:val="20"/>
                            <w:szCs w:val="20"/>
                          </w:rPr>
                          <w:t>What Works Clearinghouse</w:t>
                        </w:r>
                      </w:hyperlink>
                      <w:r w:rsidRPr="004B121A">
                        <w:rPr>
                          <w:rFonts w:ascii="Arial Narrow" w:hAnsi="Arial Narrow"/>
                          <w:sz w:val="20"/>
                          <w:szCs w:val="20"/>
                        </w:rPr>
                        <w:t xml:space="preserve">. The LES team’s current understanding of best practice is described here: </w:t>
                      </w:r>
                      <w:hyperlink r:id="rId26" w:history="1">
                        <w:r w:rsidRPr="004B121A">
                          <w:rPr>
                            <w:rStyle w:val="Hyperlink"/>
                            <w:rFonts w:ascii="Arial Narrow" w:hAnsi="Arial Narrow"/>
                            <w:sz w:val="20"/>
                            <w:szCs w:val="20"/>
                          </w:rPr>
                          <w:t>https://ies.ed.gov/ncee/wwc/Docs/Multimedia/WWC-Missing-Data-508.pdf</w:t>
                        </w:r>
                      </w:hyperlink>
                      <w:r w:rsidRPr="004B121A">
                        <w:rPr>
                          <w:rFonts w:ascii="Arial Narrow" w:hAnsi="Arial Narrow"/>
                          <w:sz w:val="20"/>
                          <w:szCs w:val="20"/>
                        </w:rPr>
                        <w:t>.</w:t>
                      </w:r>
                    </w:p>
                  </w:txbxContent>
                </v:textbox>
                <w10:wrap type="through"/>
                <w10:anchorlock/>
              </v:shape>
            </w:pict>
          </mc:Fallback>
        </mc:AlternateContent>
      </w:r>
      <w:r w:rsidR="00237F39">
        <w:t>Missing values for covariates – i.e., covariates that will be included in the impact model to improve precision or to control for baseline differences (e.g., case deletion, dummy variable method, and imputation method).</w:t>
      </w:r>
    </w:p>
    <w:p w:rsidR="002D4628" w:rsidRPr="00352127" w:rsidP="002D4628" w14:paraId="124FA78B" w14:textId="5F32FBE6">
      <w:pPr>
        <w:pStyle w:val="Heading3"/>
      </w:pPr>
      <w:bookmarkStart w:id="5" w:name="_Toc178102437"/>
      <w:r>
        <w:t>2.5.2</w:t>
      </w:r>
      <w:r>
        <w:tab/>
        <w:t>Approach to hypothesis testing</w:t>
      </w:r>
      <w:bookmarkEnd w:id="5"/>
    </w:p>
    <w:p w:rsidR="002D4628" w:rsidP="002D4628" w14:paraId="096EFEA7" w14:textId="05BA3128">
      <w:pPr>
        <w:pStyle w:val="Heading4"/>
      </w:pPr>
      <w:r w:rsidRPr="002D4628">
        <w:t>Evidence thresholds</w:t>
      </w:r>
    </w:p>
    <w:p w:rsidR="00237F39" w:rsidP="000D565E" w14:paraId="364BAECD" w14:textId="4D03FD45">
      <w:r w:rsidRPr="009229B0">
        <w:rPr>
          <w:rFonts w:ascii="Aptos" w:eastAsia="Aptos" w:hAnsi="Aptos" w:cs="Arial"/>
          <w:noProof/>
          <w:kern w:val="2"/>
          <w:szCs w:val="22"/>
          <w14:ligatures w14:val="standardContextual"/>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2132330</wp:posOffset>
                </wp:positionV>
                <wp:extent cx="5991225" cy="1828800"/>
                <wp:effectExtent l="0" t="0" r="28575" b="10795"/>
                <wp:wrapThrough wrapText="bothSides">
                  <wp:wrapPolygon>
                    <wp:start x="0" y="0"/>
                    <wp:lineTo x="0" y="20903"/>
                    <wp:lineTo x="21634" y="20903"/>
                    <wp:lineTo x="21634" y="0"/>
                    <wp:lineTo x="0" y="0"/>
                  </wp:wrapPolygon>
                </wp:wrapThrough>
                <wp:docPr id="23104071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1225" cy="1828800"/>
                        </a:xfrm>
                        <a:prstGeom prst="rect">
                          <a:avLst/>
                        </a:prstGeom>
                        <a:noFill/>
                        <a:ln w="19050">
                          <a:solidFill>
                            <a:srgbClr val="BB2127"/>
                          </a:solidFill>
                        </a:ln>
                      </wps:spPr>
                      <wps:txbx>
                        <w:txbxContent>
                          <w:p w:rsidR="00027EFF" w:rsidRPr="002D4628" w:rsidP="00027EFF" w14:textId="6CDBDC65">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Expectation 1C.1:</w:t>
                            </w:r>
                            <w:r w:rsidRPr="00027EFF">
                              <w:rPr>
                                <w:rFonts w:ascii="Arial Narrow" w:hAnsi="Arial Narrow"/>
                                <w:spacing w:val="-4"/>
                                <w:sz w:val="20"/>
                                <w:szCs w:val="20"/>
                              </w:rPr>
                              <w:t xml:space="preserve"> For each primary contrast, the pre-specified analysis plan should include the cutoff for statistical significance.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2" type="#_x0000_t202" style="width:471.75pt;height:2in;margin-top:167.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2576" filled="f" strokecolor="#bb2127" strokeweight="1.5pt">
                <v:textbox style="mso-fit-shape-to-text:t">
                  <w:txbxContent>
                    <w:p w:rsidR="00027EFF" w:rsidRPr="002D4628" w:rsidP="00027EFF" w14:paraId="06155FB0" w14:textId="6CDBDC65">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Expectation 1C.1:</w:t>
                      </w:r>
                      <w:r w:rsidRPr="00027EFF">
                        <w:rPr>
                          <w:rFonts w:ascii="Arial Narrow" w:hAnsi="Arial Narrow"/>
                          <w:spacing w:val="-4"/>
                          <w:sz w:val="20"/>
                          <w:szCs w:val="20"/>
                        </w:rPr>
                        <w:t xml:space="preserve"> For each primary contrast, the pre-specified analysis plan should include the cutoff for statistical significance.</w:t>
                      </w:r>
                    </w:p>
                  </w:txbxContent>
                </v:textbox>
                <w10:wrap type="through"/>
              </v:shape>
            </w:pict>
          </mc:Fallback>
        </mc:AlternateContent>
      </w:r>
      <w:r w:rsidRPr="002D4628" w:rsidR="002D4628">
        <w:t xml:space="preserve">Provide a pre-specified cutoff for statistical significance for primary and secondary </w:t>
      </w:r>
      <w:r w:rsidRPr="002D4628" w:rsidR="002D4628">
        <w:t>contrasts, and</w:t>
      </w:r>
      <w:r w:rsidRPr="002D4628" w:rsidR="002D4628">
        <w:t xml:space="preserve"> indicate whether hypothesis tests will be one-sided or two-sided. For both primary and secondary contrasts, the LES team suggests </w:t>
      </w:r>
      <w:r w:rsidR="000D3931">
        <w:t xml:space="preserve">using a two-sided test and specifying a cutoff of </w:t>
      </w:r>
      <w:r w:rsidRPr="002D4628" w:rsidR="002D4628">
        <w:t>p &lt; .05 for statistical significance. If a one-sided test is specified, the analysis plan should provide some justification for why effects in the non-hypothesized direction are not plausible.</w:t>
      </w:r>
    </w:p>
    <w:tbl>
      <w:tblPr>
        <w:tblStyle w:val="TableGrid"/>
        <w:tblW w:w="9360" w:type="dxa"/>
        <w:shd w:val="clear" w:color="auto" w:fill="B8DEE6"/>
        <w:tblLook w:val="04A0"/>
      </w:tblPr>
      <w:tblGrid>
        <w:gridCol w:w="9360"/>
      </w:tblGrid>
      <w:tr w14:paraId="5BB01DF9" w14:textId="77777777" w:rsidTr="002D4628">
        <w:tblPrEx>
          <w:tblW w:w="9360" w:type="dxa"/>
          <w:shd w:val="clear" w:color="auto" w:fill="B8DEE6"/>
          <w:tblLook w:val="04A0"/>
        </w:tblPrEx>
        <w:tc>
          <w:tcPr>
            <w:tcW w:w="9360" w:type="dxa"/>
            <w:shd w:val="clear" w:color="auto" w:fill="B8DEE6"/>
          </w:tcPr>
          <w:p w:rsidR="002D4628" w:rsidP="002D4628" w14:paraId="5550BD13" w14:textId="77777777">
            <w:pPr>
              <w:pStyle w:val="Call-OutBoxText"/>
            </w:pPr>
            <w:r w:rsidRPr="002D4628">
              <w:rPr>
                <w:b/>
                <w:bCs/>
                <w:i/>
                <w:iCs/>
              </w:rPr>
              <w:t>Two-sided hypothesis test:</w:t>
            </w:r>
            <w:r>
              <w:t xml:space="preserve"> A statistical test in which the alternative hypothesis, Ha, states that the parameter of interest is different from the value specified in the null hypothesis, H0. (In impact analyses the null hypothesis value is usually zero) This means that the parameter can be either less than or greater than the value specified in the null hypothesis, H0, but the test does not specify which direction.</w:t>
            </w:r>
          </w:p>
          <w:p w:rsidR="002D4628" w:rsidRPr="0094144D" w:rsidP="002D4628" w14:paraId="3B4831ED" w14:textId="68967CA5">
            <w:pPr>
              <w:pStyle w:val="Call-OutBoxText"/>
            </w:pPr>
            <w:r w:rsidRPr="002D4628">
              <w:rPr>
                <w:b/>
                <w:bCs/>
                <w:i/>
                <w:iCs/>
              </w:rPr>
              <w:t>One-sided hypothesis test:</w:t>
            </w:r>
            <w:r>
              <w:t xml:space="preserve"> A statistical test in which the alternative hypothesis, Ha, specifies that the parameter of interest is greater (or less) than the value specified in the null hypothesis, H0.</w:t>
            </w:r>
          </w:p>
        </w:tc>
      </w:tr>
    </w:tbl>
    <w:p w:rsidR="00027EFF" w:rsidP="00027EFF" w14:paraId="53A29599" w14:textId="7A06D911">
      <w:pPr>
        <w:pStyle w:val="Heading4"/>
      </w:pPr>
      <w:r w:rsidRPr="00027EFF">
        <w:t>Strategy for dealing with multiple comparisons</w:t>
      </w:r>
    </w:p>
    <w:p w:rsidR="00027EFF" w:rsidRPr="001A050F" w:rsidP="00027EFF" w14:paraId="7FCED8EE" w14:textId="77777777">
      <w:r>
        <w:t>D</w:t>
      </w:r>
      <w:r w:rsidRPr="006747B6">
        <w:t xml:space="preserve">escribe </w:t>
      </w:r>
      <w:r>
        <w:t>whether</w:t>
      </w:r>
      <w:r w:rsidRPr="006747B6">
        <w:t xml:space="preserve"> </w:t>
      </w:r>
      <w:r>
        <w:t>you</w:t>
      </w:r>
      <w:r w:rsidRPr="006747B6">
        <w:t xml:space="preserve"> plan to adjust for multiple comparisons in </w:t>
      </w:r>
      <w:r>
        <w:t>your</w:t>
      </w:r>
      <w:r w:rsidRPr="006747B6">
        <w:t xml:space="preserve"> reporting and, if so, the basis for the adjustment. Describe the method that </w:t>
      </w:r>
      <w:r>
        <w:t>you</w:t>
      </w:r>
      <w:r w:rsidRPr="006747B6">
        <w:t xml:space="preserve"> will use to </w:t>
      </w:r>
      <w:r>
        <w:t>adjust</w:t>
      </w:r>
      <w:r w:rsidRPr="006747B6">
        <w:t xml:space="preserve"> for multiple comparisons (e.g., Benjamini-Hochberg).</w:t>
      </w:r>
      <w:r>
        <w:rPr>
          <w:rStyle w:val="FootnoteReference"/>
        </w:rPr>
        <w:footnoteReference w:id="3"/>
      </w:r>
    </w:p>
    <w:p w:rsidR="00027EFF" w:rsidRPr="00644DE9" w:rsidP="00027EFF" w14:paraId="6BBEC7C7" w14:textId="3DB71C26">
      <w:pPr>
        <w:rPr>
          <w:bCs/>
          <w:iCs/>
        </w:rPr>
      </w:pPr>
      <w:r>
        <w:t xml:space="preserve">If more than one </w:t>
      </w:r>
      <w:r w:rsidRPr="001A050F">
        <w:rPr>
          <w:b/>
          <w:bCs/>
        </w:rPr>
        <w:t>primary</w:t>
      </w:r>
      <w:r>
        <w:t xml:space="preserve"> contrast is specified, you</w:t>
      </w:r>
      <w:r w:rsidRPr="006747B6">
        <w:t xml:space="preserve"> </w:t>
      </w:r>
      <w:r>
        <w:t>must</w:t>
      </w:r>
      <w:r w:rsidRPr="006747B6">
        <w:t xml:space="preserve"> adjust for multiple comparisons in </w:t>
      </w:r>
      <w:r>
        <w:t>your</w:t>
      </w:r>
      <w:r w:rsidRPr="006747B6">
        <w:t xml:space="preserve"> analysis.</w:t>
      </w:r>
      <w:r>
        <w:t xml:space="preserve"> If more than one</w:t>
      </w:r>
      <w:r w:rsidRPr="001A050F">
        <w:t xml:space="preserve"> </w:t>
      </w:r>
      <w:r w:rsidRPr="001A050F">
        <w:rPr>
          <w:b/>
          <w:bCs/>
        </w:rPr>
        <w:t>secondary</w:t>
      </w:r>
      <w:r>
        <w:t xml:space="preserve"> contrast has been specified, multiple comparisons adjustments are not required but you could choose to specify such an adjustment either (1) within each outcome domain; or (2) across all secondary contrasts. </w:t>
      </w:r>
      <w:r w:rsidRPr="001A050F">
        <w:rPr>
          <w:bCs/>
          <w:iCs/>
        </w:rPr>
        <w:t xml:space="preserve">If </w:t>
      </w:r>
      <w:r>
        <w:rPr>
          <w:bCs/>
          <w:iCs/>
        </w:rPr>
        <w:t>you are</w:t>
      </w:r>
      <w:r w:rsidRPr="001A050F">
        <w:rPr>
          <w:bCs/>
          <w:iCs/>
        </w:rPr>
        <w:t xml:space="preserve"> not planning to correct for multiple comparisons, this should be stated clearly in this section</w:t>
      </w:r>
      <w:r>
        <w:rPr>
          <w:bCs/>
          <w:iCs/>
        </w:rPr>
        <w:t xml:space="preserve"> along with a rationale explaining the decision</w:t>
      </w:r>
      <w:r w:rsidRPr="001A050F">
        <w:rPr>
          <w:bCs/>
          <w:iCs/>
        </w:rPr>
        <w:t xml:space="preserve">.  </w:t>
      </w:r>
    </w:p>
    <w:tbl>
      <w:tblPr>
        <w:tblStyle w:val="TableGrid"/>
        <w:tblW w:w="9360" w:type="dxa"/>
        <w:shd w:val="clear" w:color="auto" w:fill="B8DEE6"/>
        <w:tblLook w:val="04A0"/>
      </w:tblPr>
      <w:tblGrid>
        <w:gridCol w:w="9360"/>
      </w:tblGrid>
      <w:tr w14:paraId="7938C94D" w14:textId="77777777" w:rsidTr="00A837D1">
        <w:tblPrEx>
          <w:tblW w:w="9360" w:type="dxa"/>
          <w:shd w:val="clear" w:color="auto" w:fill="B8DEE6"/>
          <w:tblLook w:val="04A0"/>
        </w:tblPrEx>
        <w:tc>
          <w:tcPr>
            <w:tcW w:w="9360" w:type="dxa"/>
            <w:shd w:val="clear" w:color="auto" w:fill="B8DEE6"/>
          </w:tcPr>
          <w:p w:rsidR="00BC1C54" w:rsidRPr="00BC1C54" w:rsidP="00A837D1" w14:paraId="1FC8E653" w14:textId="1CD1AB03">
            <w:pPr>
              <w:pStyle w:val="Call-OutBoxText"/>
            </w:pPr>
            <w:r w:rsidRPr="00BC1C54">
              <w:t>Testing more than one contrast will lead to a greater likelihood of mistakenly concluding that the differences in means for outcomes of interest between the intervention and comparison groups are significantly different from zero (called Type I error in hypothesis testing). Strategies for minimizing multiple comparisons include limiting primary analysis to one contrast or applying an acceptable adjustment such as the Benjamini-Hochberg correction.</w:t>
            </w:r>
          </w:p>
        </w:tc>
      </w:tr>
    </w:tbl>
    <w:p w:rsidR="00BC1C54" w:rsidP="00BC1C54" w14:paraId="7190F4FD" w14:textId="34BFAF1A">
      <w:r w:rsidRPr="009229B0">
        <w:rPr>
          <w:rFonts w:ascii="Aptos" w:eastAsia="Aptos" w:hAnsi="Aptos" w:cs="Arial"/>
          <w:noProof/>
          <w:kern w:val="2"/>
          <w:szCs w:val="22"/>
          <w14:ligatures w14:val="standardContextual"/>
        </w:rPr>
        <mc:AlternateContent>
          <mc:Choice Requires="wps">
            <w:drawing>
              <wp:anchor distT="0" distB="0" distL="114300" distR="114300" simplePos="0" relativeHeight="251673600" behindDoc="0" locked="1" layoutInCell="1" allowOverlap="1">
                <wp:simplePos x="0" y="0"/>
                <wp:positionH relativeFrom="column">
                  <wp:posOffset>-36576</wp:posOffset>
                </wp:positionH>
                <wp:positionV relativeFrom="paragraph">
                  <wp:posOffset>179197</wp:posOffset>
                </wp:positionV>
                <wp:extent cx="5989320" cy="402336"/>
                <wp:effectExtent l="0" t="0" r="11430" b="17145"/>
                <wp:wrapThrough wrapText="bothSides">
                  <wp:wrapPolygon>
                    <wp:start x="0" y="0"/>
                    <wp:lineTo x="0" y="21498"/>
                    <wp:lineTo x="21573" y="21498"/>
                    <wp:lineTo x="21573" y="0"/>
                    <wp:lineTo x="0" y="0"/>
                  </wp:wrapPolygon>
                </wp:wrapThrough>
                <wp:docPr id="109677237"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402336"/>
                        </a:xfrm>
                        <a:prstGeom prst="rect">
                          <a:avLst/>
                        </a:prstGeom>
                        <a:noFill/>
                        <a:ln w="19050">
                          <a:solidFill>
                            <a:srgbClr val="BB2127"/>
                          </a:solidFill>
                        </a:ln>
                      </wps:spPr>
                      <wps:txbx>
                        <w:txbxContent>
                          <w:p w:rsidR="00BC1C54" w:rsidRPr="002D4628" w:rsidP="00BC1C54" w14:textId="6D2ACBC0">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Expectation 1C.1:</w:t>
                            </w:r>
                            <w:r w:rsidRPr="00BC1C54">
                              <w:rPr>
                                <w:rFonts w:ascii="Arial Narrow" w:hAnsi="Arial Narrow"/>
                                <w:spacing w:val="-4"/>
                                <w:sz w:val="20"/>
                                <w:szCs w:val="20"/>
                              </w:rPr>
                              <w:t xml:space="preserve"> If there is more than one primary contrast, the plan should specify a strategy for minimizing or adjusting for multiple comparisons.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3" type="#_x0000_t202" style="width:471.6pt;height:31.7pt;margin-top:14.1pt;margin-left:-2.9pt;mso-height-percent:0;mso-height-relative:page;mso-width-percent:0;mso-width-relative:page;mso-wrap-distance-bottom:0;mso-wrap-distance-left:9pt;mso-wrap-distance-right:9pt;mso-wrap-distance-top:0;mso-wrap-style:square;position:absolute;visibility:visible;v-text-anchor:top;z-index:251674624" filled="f" strokecolor="#bb2127" strokeweight="1.5pt">
                <v:textbox style="mso-fit-shape-to-text:t">
                  <w:txbxContent>
                    <w:p w:rsidR="00BC1C54" w:rsidRPr="002D4628" w:rsidP="00BC1C54" w14:paraId="08A01836" w14:textId="6D2ACBC0">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Expectation 1C.1:</w:t>
                      </w:r>
                      <w:r w:rsidRPr="00BC1C54">
                        <w:rPr>
                          <w:rFonts w:ascii="Arial Narrow" w:hAnsi="Arial Narrow"/>
                          <w:spacing w:val="-4"/>
                          <w:sz w:val="20"/>
                          <w:szCs w:val="20"/>
                        </w:rPr>
                        <w:t xml:space="preserve"> If there is more than one primary contrast, the plan should specify a strategy for minimizing or adjusting for multiple comparisons.</w:t>
                      </w:r>
                    </w:p>
                  </w:txbxContent>
                </v:textbox>
                <w10:wrap type="through"/>
                <w10:anchorlock/>
              </v:shape>
            </w:pict>
          </mc:Fallback>
        </mc:AlternateContent>
      </w:r>
    </w:p>
    <w:p w:rsidR="00BC1C54" w14:paraId="0521C7B2" w14:textId="7863005B">
      <w:pPr>
        <w:spacing w:after="0"/>
      </w:pPr>
    </w:p>
    <w:p w:rsidR="00BC1C54" w:rsidRPr="00352127" w:rsidP="00BC1C54" w14:paraId="480D2D3A" w14:textId="11C2F2AF">
      <w:pPr>
        <w:pStyle w:val="Heading3"/>
      </w:pPr>
      <w:bookmarkStart w:id="6" w:name="_Toc178102438"/>
      <w:r>
        <w:t>2.5.3.</w:t>
      </w:r>
      <w:r>
        <w:tab/>
      </w:r>
      <w:r w:rsidRPr="00BC1C54">
        <w:t>Attrition and baseline equivalence</w:t>
      </w:r>
      <w:bookmarkEnd w:id="6"/>
    </w:p>
    <w:p w:rsidR="00BC1C54" w:rsidP="00BC1C54" w14:paraId="7A110CA0" w14:textId="31808303">
      <w:pPr>
        <w:pStyle w:val="Heading4"/>
      </w:pPr>
      <w:r w:rsidRPr="00BC1C54">
        <w:t>Attrition (RCTs only)</w:t>
      </w:r>
    </w:p>
    <w:p w:rsidR="001D2CF1" w:rsidP="001D2CF1" w14:paraId="1524C132" w14:textId="77777777">
      <w:pPr>
        <w:pStyle w:val="BodyText"/>
      </w:pPr>
      <w:r w:rsidRPr="00756C6D">
        <w:rPr>
          <w:i/>
          <w:iCs/>
        </w:rPr>
        <w:t>For studies in which individuals are randomly assigned to treatment and control conditions</w:t>
      </w:r>
      <w:r>
        <w:t>,</w:t>
      </w:r>
      <w:r>
        <w:t xml:space="preserve"> </w:t>
      </w:r>
      <w:r>
        <w:t>describe your plans for calculating attrition at the individual level. For each wave of follow-up data collection, you should</w:t>
      </w:r>
      <w:r w:rsidRPr="00BC24EC">
        <w:t xml:space="preserve"> asses</w:t>
      </w:r>
      <w:r>
        <w:t xml:space="preserve">s </w:t>
      </w:r>
      <w:r w:rsidRPr="00BC24EC">
        <w:t xml:space="preserve">both overall attrition (total sample loss between randomization and </w:t>
      </w:r>
      <w:r>
        <w:t>follow up, as a percentage of the randomized sample</w:t>
      </w:r>
      <w:r w:rsidRPr="00BC24EC">
        <w:t xml:space="preserve">), and differential attrition (percentage </w:t>
      </w:r>
      <w:r>
        <w:t xml:space="preserve">point </w:t>
      </w:r>
      <w:r w:rsidRPr="00BC24EC">
        <w:t xml:space="preserve">difference in attrition between the treatment and control group). </w:t>
      </w:r>
    </w:p>
    <w:p w:rsidR="001D2CF1" w:rsidP="001D2CF1" w14:paraId="3E1450F7" w14:textId="47F293ED">
      <w:pPr>
        <w:pStyle w:val="BodyText"/>
      </w:pPr>
      <w:r w:rsidRPr="00644DE9">
        <w:rPr>
          <w:i/>
          <w:iCs/>
        </w:rPr>
        <w:t>For studies in which clusters are randomly assigned to conditions</w:t>
      </w:r>
      <w:r>
        <w:t xml:space="preserve">, describe your plans for calculating overall and differential attrition of both clusters and individuals at each wave of follow-up data collection.  A cluster has </w:t>
      </w:r>
      <w:r>
        <w:t>attrited</w:t>
      </w:r>
      <w:r>
        <w:t xml:space="preserve"> if no outcome data from any individuals in the cluster was obtained and used in the impact analysis. </w:t>
      </w:r>
      <w:r w:rsidRPr="00380484">
        <w:t xml:space="preserve">For calculating attrition of clusters, the reference group is the clusters that were randomly assigned.  </w:t>
      </w:r>
      <w:r w:rsidRPr="00380484">
        <w:t>In order to</w:t>
      </w:r>
      <w:r w:rsidRPr="00380484">
        <w:t xml:space="preserve"> calculate attrition of individuals, you will need to define the reference group from which attrition will be calculated. Typical reference groups are a) individuals that were enrolled in (or belonged to) clusters prior to random assignment of the clusters (or prior to a time when individuals could have known the treatment status of the cluster); </w:t>
      </w:r>
      <w:r>
        <w:t xml:space="preserve">or </w:t>
      </w:r>
      <w:r w:rsidRPr="00380484">
        <w:t xml:space="preserve">b) Individuals enrolled in (or belonging to) clusters shortly after random assignment of clusters.  </w:t>
      </w:r>
      <w:r>
        <w:t>Attrition of individuals should only be calculated for the individuals in non-</w:t>
      </w:r>
      <w:r>
        <w:t>attriting</w:t>
      </w:r>
      <w:r>
        <w:t xml:space="preserve"> clusters.  If a cluster has </w:t>
      </w:r>
      <w:r>
        <w:t>attrited</w:t>
      </w:r>
      <w:r>
        <w:t>, it is counted in the calculation of cluster-level attrition</w:t>
      </w:r>
      <w:r w:rsidR="00F07896">
        <w:t xml:space="preserve"> and not in the individual attrition calculation</w:t>
      </w:r>
      <w:r>
        <w:t>.  The individuals from that cluster should be excluded from the reference group for calculating individual attrition and should not be included in the attrition calculation of individuals.</w:t>
      </w:r>
    </w:p>
    <w:p w:rsidR="001D2CF1" w:rsidP="001D2CF1" w14:paraId="2C72D73E" w14:textId="5C8192E3">
      <w:pPr>
        <w:pStyle w:val="BodyText"/>
      </w:pPr>
      <w:r w:rsidRPr="00A16874">
        <w:t xml:space="preserve">Exhibit 2 in the </w:t>
      </w:r>
      <w:hyperlink r:id="rId18" w:history="1">
        <w:r w:rsidRPr="00A16874">
          <w:rPr>
            <w:rStyle w:val="Hyperlink"/>
          </w:rPr>
          <w:t>Standards for Rigor</w:t>
        </w:r>
      </w:hyperlink>
      <w:r w:rsidRPr="00A16874">
        <w:t xml:space="preserve"> provides the thresholds for both overall and differential attrition rates under which an RCT is considered to have low attrition per </w:t>
      </w:r>
      <w:r w:rsidRPr="004E71AB">
        <w:rPr>
          <w:rFonts w:asciiTheme="majorBidi" w:hAnsiTheme="majorBidi" w:cstheme="majorBidi"/>
        </w:rPr>
        <w:t xml:space="preserve">the </w:t>
      </w:r>
      <w:hyperlink r:id="rId18" w:history="1">
        <w:r w:rsidRPr="004E71AB">
          <w:rPr>
            <w:rStyle w:val="Hyperlink"/>
            <w:rFonts w:asciiTheme="majorBidi" w:hAnsiTheme="majorBidi" w:cstheme="majorBidi"/>
          </w:rPr>
          <w:t>Standards for Rigor</w:t>
        </w:r>
      </w:hyperlink>
      <w:r w:rsidRPr="004E71AB">
        <w:rPr>
          <w:rFonts w:asciiTheme="majorBidi" w:hAnsiTheme="majorBidi" w:cstheme="majorBidi"/>
        </w:rPr>
        <w:t>. If individual-level or cluster-level attrition is beyond these threshol</w:t>
      </w:r>
      <w:r w:rsidRPr="00A16874">
        <w:t>ds, then the study will be considered a quasi-experimental design for the purpose of establishing baseline equivalence.</w:t>
      </w:r>
    </w:p>
    <w:tbl>
      <w:tblPr>
        <w:tblStyle w:val="TableGrid"/>
        <w:tblW w:w="9360" w:type="dxa"/>
        <w:shd w:val="clear" w:color="auto" w:fill="B8DEE6"/>
        <w:tblLook w:val="04A0"/>
      </w:tblPr>
      <w:tblGrid>
        <w:gridCol w:w="9360"/>
      </w:tblGrid>
      <w:tr w14:paraId="079C4255" w14:textId="77777777" w:rsidTr="00A837D1">
        <w:tblPrEx>
          <w:tblW w:w="9360" w:type="dxa"/>
          <w:shd w:val="clear" w:color="auto" w:fill="B8DEE6"/>
          <w:tblLook w:val="04A0"/>
        </w:tblPrEx>
        <w:tc>
          <w:tcPr>
            <w:tcW w:w="9360" w:type="dxa"/>
            <w:shd w:val="clear" w:color="auto" w:fill="B8DEE6"/>
          </w:tcPr>
          <w:p w:rsidR="001D2CF1" w:rsidP="001D2CF1" w14:paraId="5E358B90" w14:textId="77777777">
            <w:pPr>
              <w:pStyle w:val="Call-OutBoxText"/>
            </w:pPr>
            <w:r>
              <w:t>Attrition occurs when eligible units (schools, students) are randomly assigned but, for whatever reasons, data is not collected from them. Significant amounts of attrition from either the intervention or comparison/control group or both groups can compromise the initial comparability of the groups resulting from random assignment and potentially lead to biased estimates of the intervention’s impact.</w:t>
            </w:r>
          </w:p>
          <w:p w:rsidR="001D2CF1" w:rsidRPr="00BC1C54" w:rsidP="001D2CF1" w14:paraId="44BC51D5" w14:textId="4B8B550F">
            <w:pPr>
              <w:pStyle w:val="Call-OutBoxText"/>
            </w:pPr>
            <w:r w:rsidRPr="001D2CF1">
              <w:rPr>
                <w:b/>
                <w:bCs/>
              </w:rPr>
              <w:t>Tip:</w:t>
            </w:r>
            <w:r>
              <w:t xml:space="preserve"> Because some readers and evidence reviews may want to calculate attrition themselves, the LES team recommends reporting the number randomized and the number included in the analytic sample, by treatment arm, for each contrast.</w:t>
            </w:r>
          </w:p>
        </w:tc>
      </w:tr>
    </w:tbl>
    <w:p w:rsidR="001D2CF1" w:rsidRPr="001D2CF1" w:rsidP="00A212FA" w14:paraId="5BAC995B" w14:textId="661FD2C9">
      <w:pPr>
        <w:pStyle w:val="BodyText"/>
        <w:rPr>
          <w:lang w:val="en-US"/>
        </w:rPr>
      </w:pPr>
      <w:r w:rsidRPr="009229B0">
        <w:rPr>
          <w:rFonts w:ascii="Aptos" w:eastAsia="Aptos" w:hAnsi="Aptos" w:cs="Arial"/>
          <w:noProof/>
          <w:kern w:val="2"/>
          <w:sz w:val="22"/>
          <w:szCs w:val="22"/>
          <w:lang w:val="en-US"/>
          <w14:ligatures w14:val="standardContextual"/>
        </w:rPr>
        <mc:AlternateContent>
          <mc:Choice Requires="wps">
            <w:drawing>
              <wp:anchor distT="0" distB="0" distL="114300" distR="114300" simplePos="0" relativeHeight="251675648" behindDoc="0" locked="1" layoutInCell="1" allowOverlap="1">
                <wp:simplePos x="0" y="0"/>
                <wp:positionH relativeFrom="column">
                  <wp:posOffset>-36195</wp:posOffset>
                </wp:positionH>
                <wp:positionV relativeFrom="paragraph">
                  <wp:posOffset>256489</wp:posOffset>
                </wp:positionV>
                <wp:extent cx="5989320" cy="402336"/>
                <wp:effectExtent l="0" t="0" r="11430" b="17145"/>
                <wp:wrapThrough wrapText="bothSides">
                  <wp:wrapPolygon>
                    <wp:start x="0" y="0"/>
                    <wp:lineTo x="0" y="21498"/>
                    <wp:lineTo x="21573" y="21498"/>
                    <wp:lineTo x="21573" y="0"/>
                    <wp:lineTo x="0" y="0"/>
                  </wp:wrapPolygon>
                </wp:wrapThrough>
                <wp:docPr id="1015952339"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402336"/>
                        </a:xfrm>
                        <a:prstGeom prst="rect">
                          <a:avLst/>
                        </a:prstGeom>
                        <a:noFill/>
                        <a:ln w="19050">
                          <a:solidFill>
                            <a:srgbClr val="BB2127"/>
                          </a:solidFill>
                        </a:ln>
                      </wps:spPr>
                      <wps:txbx>
                        <w:txbxContent>
                          <w:p w:rsidR="005E4C15" w:rsidRPr="005E4C15" w:rsidP="005E4C15" w14:textId="4706E395">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 xml:space="preserve">Expectation </w:t>
                            </w:r>
                            <w:r w:rsidRPr="005E4C15">
                              <w:rPr>
                                <w:rFonts w:ascii="Arial Narrow" w:hAnsi="Arial Narrow"/>
                                <w:b/>
                                <w:bCs/>
                                <w:spacing w:val="-4"/>
                                <w:sz w:val="20"/>
                                <w:szCs w:val="20"/>
                              </w:rPr>
                              <w:t>2A.2.b,c</w:t>
                            </w:r>
                            <w:r w:rsidRPr="005E4C15">
                              <w:rPr>
                                <w:rFonts w:ascii="Arial Narrow" w:hAnsi="Arial Narrow"/>
                                <w:b/>
                                <w:bCs/>
                                <w:spacing w:val="-4"/>
                                <w:sz w:val="20"/>
                                <w:szCs w:val="20"/>
                              </w:rPr>
                              <w:t>:</w:t>
                            </w:r>
                            <w:r w:rsidRPr="005E4C15">
                              <w:rPr>
                                <w:rFonts w:ascii="Arial Narrow" w:hAnsi="Arial Narrow"/>
                                <w:spacing w:val="-4"/>
                                <w:sz w:val="20"/>
                                <w:szCs w:val="20"/>
                              </w:rPr>
                              <w:t xml:space="preserve"> </w:t>
                            </w:r>
                            <w:r w:rsidRPr="005E4C15">
                              <w:rPr>
                                <w:rFonts w:ascii="Arial Narrow" w:hAnsi="Arial Narrow"/>
                                <w:i/>
                                <w:iCs/>
                                <w:spacing w:val="-4"/>
                                <w:sz w:val="20"/>
                                <w:szCs w:val="20"/>
                              </w:rPr>
                              <w:t>Attrition in randomized controlled trials.</w:t>
                            </w:r>
                            <w:r w:rsidRPr="005E4C15">
                              <w:rPr>
                                <w:rFonts w:ascii="Arial Narrow" w:hAnsi="Arial Narrow"/>
                                <w:spacing w:val="-4"/>
                                <w:sz w:val="20"/>
                                <w:szCs w:val="20"/>
                              </w:rPr>
                              <w:t xml:space="preserve"> The study should calculate attrition appropriately, and incorporate strategies designed to keep attrition within an acceptable range. The sample used for the calculation of attrition is defined as the number of individuals who are present for the follow up outcome measurement as a percentage of the total number of members in the sample at the time that individuals learned the condition to which they were randomly assigned.  This guideline includes an assessment of both overall attrition (total sample loss between randomization and the post-test), and differential attrition (percentage difference in attrition between the treatment and control group).  In cluster-level designs (e.g., schools are randomly assigned) with individual-level analysis (e.g., students), attrition will be assessed for both cluster-level units and for individual units; however, attrition is not double-counted across levels of analysis. For example, if a school that serves 100 students drops out of a study, and no outcome data can be collected from students in the schools, attrition will only be counted at the cluster level, and the 100 students will be removed from the denominator in the assessment of individual-level attrition.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4" type="#_x0000_t202" style="width:471.6pt;height:31.7pt;margin-top:20.2pt;margin-left:-2.85pt;mso-height-percent:0;mso-height-relative:page;mso-width-percent:0;mso-width-relative:page;mso-wrap-distance-bottom:0;mso-wrap-distance-left:9pt;mso-wrap-distance-right:9pt;mso-wrap-distance-top:0;mso-wrap-style:square;position:absolute;visibility:visible;v-text-anchor:top;z-index:251676672" filled="f" strokecolor="#bb2127" strokeweight="1.5pt">
                <v:textbox style="mso-fit-shape-to-text:t">
                  <w:txbxContent>
                    <w:p w:rsidR="005E4C15" w:rsidRPr="005E4C15" w:rsidP="005E4C15" w14:paraId="527ED100" w14:textId="4706E395">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 xml:space="preserve">Expectation </w:t>
                      </w:r>
                      <w:r w:rsidRPr="005E4C15">
                        <w:rPr>
                          <w:rFonts w:ascii="Arial Narrow" w:hAnsi="Arial Narrow"/>
                          <w:b/>
                          <w:bCs/>
                          <w:spacing w:val="-4"/>
                          <w:sz w:val="20"/>
                          <w:szCs w:val="20"/>
                        </w:rPr>
                        <w:t>2A.2.b,c</w:t>
                      </w:r>
                      <w:r w:rsidRPr="005E4C15">
                        <w:rPr>
                          <w:rFonts w:ascii="Arial Narrow" w:hAnsi="Arial Narrow"/>
                          <w:b/>
                          <w:bCs/>
                          <w:spacing w:val="-4"/>
                          <w:sz w:val="20"/>
                          <w:szCs w:val="20"/>
                        </w:rPr>
                        <w:t>:</w:t>
                      </w:r>
                      <w:r w:rsidRPr="005E4C15">
                        <w:rPr>
                          <w:rFonts w:ascii="Arial Narrow" w:hAnsi="Arial Narrow"/>
                          <w:spacing w:val="-4"/>
                          <w:sz w:val="20"/>
                          <w:szCs w:val="20"/>
                        </w:rPr>
                        <w:t xml:space="preserve"> </w:t>
                      </w:r>
                      <w:r w:rsidRPr="005E4C15">
                        <w:rPr>
                          <w:rFonts w:ascii="Arial Narrow" w:hAnsi="Arial Narrow"/>
                          <w:i/>
                          <w:iCs/>
                          <w:spacing w:val="-4"/>
                          <w:sz w:val="20"/>
                          <w:szCs w:val="20"/>
                        </w:rPr>
                        <w:t>Attrition in randomized controlled trials.</w:t>
                      </w:r>
                      <w:r w:rsidRPr="005E4C15">
                        <w:rPr>
                          <w:rFonts w:ascii="Arial Narrow" w:hAnsi="Arial Narrow"/>
                          <w:spacing w:val="-4"/>
                          <w:sz w:val="20"/>
                          <w:szCs w:val="20"/>
                        </w:rPr>
                        <w:t xml:space="preserve"> The study should calculate attrition appropriately, and incorporate strategies designed to keep attrition within an acceptable range. The sample used for the calculation of attrition is defined as the number of individuals who are present for the follow up outcome measurement as a percentage of the total number of members in the sample at the time that individuals learned the condition to which they were randomly assigned.  This guideline includes an assessment of both overall attrition (total sample loss between randomization and the post-test), and differential attrition (percentage difference in attrition between the treatment and control group).  In cluster-level designs (e.g., schools are randomly assigned) with individual-level analysis (e.g., students), attrition will be assessed for both cluster-level units and for individual units; however, attrition is not double-counted across levels of analysis. For example, if a school that serves 100 students drops out of a study, and no outcome data can be collected from students in the schools, attrition will only be counted at the cluster level, and the 100 students will be removed from the denominator in the assessment of individual-level attrition.</w:t>
                      </w:r>
                    </w:p>
                  </w:txbxContent>
                </v:textbox>
                <w10:wrap type="through"/>
                <w10:anchorlock/>
              </v:shape>
            </w:pict>
          </mc:Fallback>
        </mc:AlternateContent>
      </w:r>
    </w:p>
    <w:p w:rsidR="005E4C15" w:rsidP="005E4C15" w14:paraId="2A4C2A88" w14:textId="769C52C2"/>
    <w:p w:rsidR="005E4C15" w:rsidP="00AE5329" w14:paraId="1E20111C" w14:textId="49ACB561">
      <w:pPr>
        <w:pStyle w:val="Heading4"/>
      </w:pPr>
      <w:r w:rsidRPr="00AE5329">
        <w:t>Assessing baseline equivalence</w:t>
      </w:r>
    </w:p>
    <w:p w:rsidR="00AE5329" w:rsidRPr="00AE5329" w:rsidP="00AE5329" w14:paraId="5CD4371B" w14:textId="22D00706">
      <w:pPr>
        <w:rPr>
          <w:sz w:val="24"/>
          <w:szCs w:val="24"/>
        </w:rPr>
      </w:pPr>
      <w:r w:rsidRPr="00AE5329">
        <w:rPr>
          <w:sz w:val="24"/>
          <w:szCs w:val="24"/>
        </w:rPr>
        <w:t>Describe your plans for assessing whether the treatment and control/comparison groups that comprise the analytic sample for the impact analysis are equivalent at baseline for each pre-specified contrast. (The analytic sample is compris</w:t>
      </w:r>
      <w:r w:rsidRPr="00AE5329">
        <w:rPr>
          <w:rFonts w:asciiTheme="majorBidi" w:hAnsiTheme="majorBidi" w:cstheme="majorBidi"/>
          <w:sz w:val="24"/>
          <w:szCs w:val="24"/>
        </w:rPr>
        <w:t xml:space="preserve">ed of the same treatment and control units that are included in impact analysis). </w:t>
      </w:r>
      <w:r w:rsidR="00E673B4">
        <w:rPr>
          <w:rFonts w:asciiTheme="majorBidi" w:hAnsiTheme="majorBidi" w:cstheme="majorBidi"/>
          <w:sz w:val="24"/>
          <w:szCs w:val="24"/>
        </w:rPr>
        <w:t>Establishing baseline equivalence</w:t>
      </w:r>
      <w:r w:rsidR="007540D1">
        <w:rPr>
          <w:rFonts w:asciiTheme="majorBidi" w:hAnsiTheme="majorBidi" w:cstheme="majorBidi"/>
          <w:sz w:val="24"/>
          <w:szCs w:val="24"/>
        </w:rPr>
        <w:t xml:space="preserve"> is required for primary contrasts</w:t>
      </w:r>
      <w:r w:rsidR="00E673B4">
        <w:rPr>
          <w:rFonts w:asciiTheme="majorBidi" w:hAnsiTheme="majorBidi" w:cstheme="majorBidi"/>
          <w:sz w:val="24"/>
          <w:szCs w:val="24"/>
        </w:rPr>
        <w:t xml:space="preserve"> in QEDs and high-attrition RCTs</w:t>
      </w:r>
      <w:r w:rsidR="007540D1">
        <w:rPr>
          <w:rFonts w:asciiTheme="majorBidi" w:hAnsiTheme="majorBidi" w:cstheme="majorBidi"/>
          <w:sz w:val="24"/>
          <w:szCs w:val="24"/>
        </w:rPr>
        <w:t xml:space="preserve">.  </w:t>
      </w:r>
      <w:r w:rsidRPr="00AE5329">
        <w:rPr>
          <w:rFonts w:asciiTheme="majorBidi" w:hAnsiTheme="majorBidi" w:cstheme="majorBidi"/>
          <w:sz w:val="24"/>
          <w:szCs w:val="24"/>
        </w:rPr>
        <w:t xml:space="preserve">Although it is not a requirement of the </w:t>
      </w:r>
      <w:hyperlink r:id="rId18" w:history="1">
        <w:r w:rsidRPr="00AE5329">
          <w:rPr>
            <w:rStyle w:val="Hyperlink"/>
            <w:rFonts w:asciiTheme="majorBidi" w:hAnsiTheme="majorBidi" w:cstheme="majorBidi"/>
            <w:sz w:val="24"/>
            <w:szCs w:val="24"/>
          </w:rPr>
          <w:t>Standards for Rigor</w:t>
        </w:r>
      </w:hyperlink>
      <w:r w:rsidRPr="00AE5329">
        <w:rPr>
          <w:rFonts w:asciiTheme="majorBidi" w:hAnsiTheme="majorBidi" w:cstheme="majorBidi"/>
          <w:sz w:val="24"/>
          <w:szCs w:val="24"/>
        </w:rPr>
        <w:t xml:space="preserve">, </w:t>
      </w:r>
      <w:r w:rsidRPr="006630A2">
        <w:rPr>
          <w:rFonts w:asciiTheme="majorBidi" w:hAnsiTheme="majorBidi" w:cstheme="majorBidi"/>
          <w:sz w:val="24"/>
          <w:szCs w:val="24"/>
        </w:rPr>
        <w:t>the LES te</w:t>
      </w:r>
      <w:r w:rsidRPr="006630A2">
        <w:rPr>
          <w:sz w:val="24"/>
          <w:szCs w:val="24"/>
        </w:rPr>
        <w:t xml:space="preserve">am recommends </w:t>
      </w:r>
      <w:r w:rsidRPr="006630A2" w:rsidR="00E673B4">
        <w:rPr>
          <w:sz w:val="24"/>
          <w:szCs w:val="24"/>
        </w:rPr>
        <w:t xml:space="preserve">also </w:t>
      </w:r>
      <w:r w:rsidRPr="006630A2">
        <w:rPr>
          <w:sz w:val="24"/>
          <w:szCs w:val="24"/>
        </w:rPr>
        <w:t>establishing baseline equivalence for secondary contrasts, to ensure that any findings are reviewable by the TPPER.</w:t>
      </w:r>
    </w:p>
    <w:tbl>
      <w:tblPr>
        <w:tblStyle w:val="TableGrid"/>
        <w:tblW w:w="9360" w:type="dxa"/>
        <w:shd w:val="clear" w:color="auto" w:fill="B8DEE6"/>
        <w:tblLook w:val="04A0"/>
      </w:tblPr>
      <w:tblGrid>
        <w:gridCol w:w="9360"/>
      </w:tblGrid>
      <w:tr w14:paraId="2A6AC292" w14:textId="77777777" w:rsidTr="00A837D1">
        <w:tblPrEx>
          <w:tblW w:w="9360" w:type="dxa"/>
          <w:shd w:val="clear" w:color="auto" w:fill="B8DEE6"/>
          <w:tblLook w:val="04A0"/>
        </w:tblPrEx>
        <w:tc>
          <w:tcPr>
            <w:tcW w:w="9360" w:type="dxa"/>
            <w:shd w:val="clear" w:color="auto" w:fill="B8DEE6"/>
          </w:tcPr>
          <w:p w:rsidR="00C538B4" w:rsidRPr="00C538B4" w:rsidP="00C538B4" w14:paraId="433D86D7" w14:textId="6BE61D17">
            <w:pPr>
              <w:pStyle w:val="Call-OutBoxText"/>
              <w:rPr>
                <w:szCs w:val="20"/>
              </w:rPr>
            </w:pPr>
            <w:r w:rsidRPr="00C538B4">
              <w:rPr>
                <w:b/>
                <w:bCs/>
                <w:szCs w:val="20"/>
              </w:rPr>
              <w:t>Tip:</w:t>
            </w:r>
            <w:r w:rsidRPr="009D472A">
              <w:rPr>
                <w:szCs w:val="20"/>
              </w:rPr>
              <w:t xml:space="preserve"> Although RCTs with low attrition do not need to demonstrate baseline equivalence, the LES team recommends that you specify plans for assessing </w:t>
            </w:r>
            <w:r w:rsidRPr="00C538B4">
              <w:t>baseline</w:t>
            </w:r>
            <w:r w:rsidRPr="009D472A">
              <w:rPr>
                <w:szCs w:val="20"/>
              </w:rPr>
              <w:t xml:space="preserve"> equivalence in the analytic sample in case attrition exceeds low levels (see Exhibit 2 in the </w:t>
            </w:r>
            <w:hyperlink r:id="rId18" w:history="1">
              <w:r w:rsidRPr="009D472A">
                <w:rPr>
                  <w:rStyle w:val="Hyperlink"/>
                  <w:szCs w:val="20"/>
                </w:rPr>
                <w:t>Standards for Rigor</w:t>
              </w:r>
            </w:hyperlink>
            <w:r w:rsidRPr="009D472A">
              <w:rPr>
                <w:szCs w:val="20"/>
              </w:rPr>
              <w:t>).</w:t>
            </w:r>
          </w:p>
        </w:tc>
      </w:tr>
    </w:tbl>
    <w:p w:rsidR="005E4C15" w:rsidRPr="00282841" w:rsidP="00A212FA" w14:paraId="26934061" w14:textId="77777777">
      <w:pPr>
        <w:pStyle w:val="BodyText"/>
        <w:rPr>
          <w:lang w:val="en-US"/>
        </w:rPr>
      </w:pPr>
    </w:p>
    <w:p w:rsidR="00282841" w:rsidRPr="00282841" w:rsidP="00282841" w14:paraId="26241D77" w14:textId="77777777">
      <w:pPr>
        <w:rPr>
          <w:sz w:val="24"/>
          <w:szCs w:val="24"/>
        </w:rPr>
      </w:pPr>
      <w:r w:rsidRPr="00282841">
        <w:rPr>
          <w:sz w:val="24"/>
          <w:szCs w:val="24"/>
        </w:rPr>
        <w:t xml:space="preserve">The recommended method is to estimate the baseline treatment-control difference using a model with the same structural components as the impact model (e.g., block (stratum) dummies, random terms, treatment group indicator), but where the pre-test is the dependent variable, and other covariates that would appear in the impact model are omitted. In this approach, the coefficient for the treatment indicator will be the treatment-control difference on the pre-test measure. It is also acceptable to calculate the T-C difference by calculating the mean baseline score in the treatment group and the comparison group and subtracting the comparison mean from the treatment mean to obtain a difference. </w:t>
      </w:r>
    </w:p>
    <w:p w:rsidR="00282841" w:rsidRPr="00282841" w:rsidP="00282841" w14:paraId="528B349F" w14:textId="17D4B013">
      <w:pPr>
        <w:rPr>
          <w:sz w:val="24"/>
          <w:szCs w:val="24"/>
        </w:rPr>
      </w:pPr>
      <w:r w:rsidRPr="00282841">
        <w:rPr>
          <w:sz w:val="24"/>
          <w:szCs w:val="24"/>
        </w:rPr>
        <w:t>However</w:t>
      </w:r>
      <w:r w:rsidR="00DC3DBF">
        <w:rPr>
          <w:sz w:val="24"/>
          <w:szCs w:val="24"/>
        </w:rPr>
        <w:t>,</w:t>
      </w:r>
      <w:r w:rsidRPr="00282841">
        <w:rPr>
          <w:sz w:val="24"/>
          <w:szCs w:val="24"/>
        </w:rPr>
        <w:t xml:space="preserve"> the T-C difference is calculated, you should also standardize the reported baseline T-C difference by dividing that difference by the pooled (combined treatment and comparison group) standard deviation of the pretest or, for binary outcomes, you may choose to standardize using the Cox Index.  This standardized difference is the one you should compare with the baseline equivalence thresholds in the </w:t>
      </w:r>
      <w:hyperlink r:id="rId18" w:history="1">
        <w:r w:rsidRPr="00282841">
          <w:rPr>
            <w:rStyle w:val="Hyperlink"/>
            <w:sz w:val="24"/>
            <w:szCs w:val="24"/>
          </w:rPr>
          <w:t>Standards for Rigor</w:t>
        </w:r>
      </w:hyperlink>
      <w:r w:rsidRPr="00282841">
        <w:rPr>
          <w:sz w:val="24"/>
          <w:szCs w:val="24"/>
        </w:rPr>
        <w:t xml:space="preserve">. </w:t>
      </w:r>
    </w:p>
    <w:p w:rsidR="005E4C15" w:rsidRPr="00282841" w:rsidP="00A212FA" w14:paraId="38C0A001" w14:textId="0F512269">
      <w:pPr>
        <w:pStyle w:val="BodyText"/>
        <w:rPr>
          <w:lang w:val="en-US"/>
        </w:rPr>
      </w:pPr>
      <w:r w:rsidRPr="00F72B79">
        <w:rPr>
          <w:lang w:val="en-US"/>
        </w:rPr>
        <w:t xml:space="preserve">For cluster design studies, standardize the baseline treatment-comparison group difference using the standard deviations of baseline measures of individuals, if possible.  If the data are cluster-level aggregates of individual-level data, and the standard deviation of the individual-level data are not available, then report the standard deviations of the cluster-level measures and standardize the baseline treatment-comparison group difference relative to those standard </w:t>
      </w:r>
      <w:r w:rsidRPr="00F72B79">
        <w:rPr>
          <w:lang w:val="en-US"/>
        </w:rPr>
        <w:t>deviations.  Just be sure to clearly state that the standard deviations reported are cluster-level standard deviations.</w:t>
      </w:r>
    </w:p>
    <w:tbl>
      <w:tblPr>
        <w:tblStyle w:val="TableGrid"/>
        <w:tblW w:w="9360" w:type="dxa"/>
        <w:shd w:val="clear" w:color="auto" w:fill="B8DEE6"/>
        <w:tblLook w:val="04A0"/>
      </w:tblPr>
      <w:tblGrid>
        <w:gridCol w:w="9360"/>
      </w:tblGrid>
      <w:tr w14:paraId="26AB4765" w14:textId="77777777" w:rsidTr="00A837D1">
        <w:tblPrEx>
          <w:tblW w:w="9360" w:type="dxa"/>
          <w:shd w:val="clear" w:color="auto" w:fill="B8DEE6"/>
          <w:tblLook w:val="04A0"/>
        </w:tblPrEx>
        <w:tc>
          <w:tcPr>
            <w:tcW w:w="9360" w:type="dxa"/>
            <w:shd w:val="clear" w:color="auto" w:fill="B8DEE6"/>
          </w:tcPr>
          <w:p w:rsidR="00F72B79" w:rsidRPr="00F72B79" w:rsidP="00A837D1" w14:paraId="795AACFC" w14:textId="680A8F6F">
            <w:pPr>
              <w:pStyle w:val="Call-OutBoxText"/>
              <w:rPr>
                <w:szCs w:val="20"/>
              </w:rPr>
            </w:pPr>
            <w:r w:rsidRPr="00F72B79">
              <w:rPr>
                <w:b/>
                <w:bCs/>
                <w:szCs w:val="20"/>
              </w:rPr>
              <w:t>Tip:</w:t>
            </w:r>
            <w:r w:rsidRPr="00F72B79">
              <w:rPr>
                <w:szCs w:val="20"/>
              </w:rPr>
              <w:t xml:space="preserve"> for continuous measures, the LES team recommends reporting the standard deviation of the baseline measures for both the treatment group and the comparison/control group, because the TPPER may standardize the reported baseline group difference by dividing that difference by the pooled standard deviation of the baseline measure.  </w:t>
            </w:r>
          </w:p>
        </w:tc>
      </w:tr>
    </w:tbl>
    <w:p w:rsidR="00F72B79" w:rsidRPr="00282841" w:rsidP="00F72B79" w14:paraId="13DEAD4F" w14:textId="77777777">
      <w:pPr>
        <w:pStyle w:val="BodyText"/>
        <w:rPr>
          <w:lang w:val="en-US"/>
        </w:rPr>
      </w:pPr>
    </w:p>
    <w:p w:rsidR="008E2FCA" w:rsidRPr="008F1F9E" w:rsidP="008F1F9E" w14:paraId="426401A9" w14:textId="0977AD7A">
      <w:pPr>
        <w:pStyle w:val="BodyText"/>
        <w:rPr>
          <w:lang w:val="en-US"/>
        </w:rPr>
      </w:pPr>
      <w:r w:rsidRPr="009229B0">
        <w:rPr>
          <w:rFonts w:ascii="Aptos" w:eastAsia="Aptos" w:hAnsi="Aptos" w:cs="Arial"/>
          <w:noProof/>
          <w:kern w:val="2"/>
          <w:sz w:val="22"/>
          <w:szCs w:val="22"/>
          <w:lang w:val="en-US"/>
          <w14:ligatures w14:val="standardContextual"/>
        </w:rPr>
        <mc:AlternateContent>
          <mc:Choice Requires="wps">
            <w:drawing>
              <wp:anchor distT="0" distB="0" distL="114300" distR="114300" simplePos="0" relativeHeight="251677696" behindDoc="0" locked="1" layoutInCell="1" allowOverlap="1">
                <wp:simplePos x="0" y="0"/>
                <wp:positionH relativeFrom="margin">
                  <wp:align>center</wp:align>
                </wp:positionH>
                <wp:positionV relativeFrom="paragraph">
                  <wp:posOffset>17780</wp:posOffset>
                </wp:positionV>
                <wp:extent cx="5989320" cy="401955"/>
                <wp:effectExtent l="0" t="0" r="11430" b="18415"/>
                <wp:wrapThrough wrapText="bothSides">
                  <wp:wrapPolygon>
                    <wp:start x="0" y="0"/>
                    <wp:lineTo x="0" y="21597"/>
                    <wp:lineTo x="21573" y="21597"/>
                    <wp:lineTo x="21573" y="0"/>
                    <wp:lineTo x="0" y="0"/>
                  </wp:wrapPolygon>
                </wp:wrapThrough>
                <wp:docPr id="44890214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401955"/>
                        </a:xfrm>
                        <a:prstGeom prst="rect">
                          <a:avLst/>
                        </a:prstGeom>
                        <a:noFill/>
                        <a:ln w="19050">
                          <a:solidFill>
                            <a:srgbClr val="BB2127"/>
                          </a:solidFill>
                        </a:ln>
                      </wps:spPr>
                      <wps:txbx>
                        <w:txbxContent>
                          <w:p w:rsidR="008E2FCA" w:rsidP="008E2FCA" w14:textId="5BF95163">
                            <w:pPr>
                              <w:spacing w:after="120"/>
                              <w:rPr>
                                <w:rFonts w:ascii="Arial Narrow" w:hAnsi="Arial Narrow"/>
                                <w:sz w:val="20"/>
                              </w:rPr>
                            </w:pPr>
                            <w:r w:rsidRPr="008E2FCA">
                              <w:rPr>
                                <w:rFonts w:ascii="Arial Narrow" w:hAnsi="Arial Narrow"/>
                                <w:b/>
                                <w:bCs/>
                                <w:sz w:val="20"/>
                              </w:rPr>
                              <w:t xml:space="preserve">Expectation </w:t>
                            </w:r>
                            <w:r w:rsidRPr="008E2FCA">
                              <w:rPr>
                                <w:rFonts w:ascii="Arial Narrow" w:hAnsi="Arial Narrow"/>
                                <w:b/>
                                <w:bCs/>
                                <w:sz w:val="20"/>
                              </w:rPr>
                              <w:t>2A.3.a,b</w:t>
                            </w:r>
                            <w:r w:rsidRPr="008E2FCA">
                              <w:rPr>
                                <w:rFonts w:ascii="Arial Narrow" w:hAnsi="Arial Narrow"/>
                                <w:b/>
                                <w:bCs/>
                                <w:sz w:val="20"/>
                              </w:rPr>
                              <w:t>:</w:t>
                            </w:r>
                            <w:r w:rsidRPr="008E2FCA">
                              <w:rPr>
                                <w:rFonts w:ascii="Arial Narrow" w:hAnsi="Arial Narrow"/>
                                <w:sz w:val="20"/>
                              </w:rPr>
                              <w:t xml:space="preserve"> </w:t>
                            </w:r>
                            <w:r w:rsidRPr="008E2FCA">
                              <w:rPr>
                                <w:rFonts w:ascii="Arial Narrow" w:hAnsi="Arial Narrow"/>
                                <w:i/>
                                <w:iCs/>
                                <w:sz w:val="20"/>
                              </w:rPr>
                              <w:t>Baseline Equivalence in the Analytic Sample</w:t>
                            </w:r>
                            <w:r w:rsidR="001200F7">
                              <w:rPr>
                                <w:rFonts w:ascii="Arial Narrow" w:hAnsi="Arial Narrow"/>
                                <w:i/>
                                <w:iCs/>
                                <w:sz w:val="20"/>
                              </w:rPr>
                              <w:t xml:space="preserve"> – only for QED designs</w:t>
                            </w:r>
                            <w:r w:rsidRPr="008E2FCA">
                              <w:rPr>
                                <w:rFonts w:ascii="Arial Narrow" w:hAnsi="Arial Narrow"/>
                                <w:i/>
                                <w:iCs/>
                                <w:sz w:val="20"/>
                              </w:rPr>
                              <w:t>.</w:t>
                            </w:r>
                            <w:r w:rsidRPr="008E2FCA">
                              <w:rPr>
                                <w:rFonts w:ascii="Arial Narrow" w:hAnsi="Arial Narrow"/>
                                <w:sz w:val="20"/>
                              </w:rPr>
                              <w:t xml:space="preserve"> A QED should demonstrate that prior to the intervention, the intervention and comparison groups were equivalent on observable characteristics, to minimize potential bias from the choice to participate in the intervention. This should be established for the analytic sample, that is, the study units (e.g., schools, classrooms, individuals) that remain at the end of the study when the outcomes are assessed, rather than the initial groups in the study. For each outcome, assessment of baseline equivalence in the analytic sample means that the exact same records that are used in the impact analysis are used for the baseline equivalence analysis. This means that each unit in the impact and baseline equivalence analyses must have non-missing values for both the baseline and the outcome measure.</w:t>
                            </w:r>
                          </w:p>
                          <w:p w:rsidR="008E2FCA" w:rsidP="008E2FCA" w14:textId="2D15295B">
                            <w:pPr>
                              <w:spacing w:after="120"/>
                              <w:rPr>
                                <w:rFonts w:ascii="Arial Narrow" w:hAnsi="Arial Narrow"/>
                                <w:sz w:val="20"/>
                              </w:rPr>
                            </w:pPr>
                            <w:r w:rsidRPr="00F36CC9">
                              <w:rPr>
                                <w:rFonts w:ascii="Arial Narrow" w:hAnsi="Arial Narrow"/>
                                <w:sz w:val="20"/>
                              </w:rPr>
                              <w:t xml:space="preserve">Evaluations must demonstrate that the intervention and comparison groups were similar at baseline (p &gt; .05, two-tailed test) on three key demographic characteristics: age or grade level, gender, and race/ethnicity. The study authors must also establish baseline equivalence on each primary outcome measure (if available). Because statistical significance is largely a function of sample size (i.e., it is difficult to detect statistically significant differences when sample sizes are small), effect sizes should also be used to assess baseline equivalence. For best practice, baseline differences between treatment and comparison groups should not exceed a standardized mean difference of .25 SD. Regardless of the size of the baseline difference, each analytic model should include as covariates the baseline measure of the outcome of interest (if available) as well as the three key demographic characteristics described above. </w:t>
                            </w:r>
                          </w:p>
                          <w:p w:rsidR="008E2FCA" w:rsidP="008E2FCA" w14:textId="77777777">
                            <w:pPr>
                              <w:spacing w:after="120"/>
                              <w:rPr>
                                <w:rFonts w:ascii="Arial Narrow" w:hAnsi="Arial Narrow"/>
                                <w:sz w:val="20"/>
                              </w:rPr>
                            </w:pPr>
                            <w:r w:rsidRPr="00F36CC9">
                              <w:rPr>
                                <w:rFonts w:ascii="Arial Narrow" w:hAnsi="Arial Narrow"/>
                                <w:sz w:val="20"/>
                              </w:rPr>
                              <w:t>For outcomes where there is no natural baseline measure, where eligibility dictates that the baseline value is zero (e.g., an intervention designed only for youth who have never been sexually active), or for behavioral outcomes measured for youth below the age of 14, it may be impossible to demonstrate baseline equivalence using a baseline measure of the outcome. In such cases, it should be established using a measure of knowledge, intentions, skills, or attitudes.</w:t>
                            </w:r>
                          </w:p>
                          <w:p w:rsidR="008E2FCA" w:rsidRPr="005E4C15" w:rsidP="008E2FCA" w14:textId="40DE5950">
                            <w:pPr>
                              <w:spacing w:after="0"/>
                              <w:rPr>
                                <w:rFonts w:ascii="Arial Narrow" w:hAnsi="Arial Narrow"/>
                                <w:color w:val="000000" w:themeColor="text1"/>
                                <w:sz w:val="20"/>
                                <w:lang w:val="en"/>
                              </w:rPr>
                            </w:pPr>
                            <w:r w:rsidRPr="00F36CC9">
                              <w:rPr>
                                <w:rFonts w:ascii="Arial Narrow" w:hAnsi="Arial Narrow"/>
                                <w:i/>
                                <w:iCs/>
                                <w:sz w:val="20"/>
                              </w:rPr>
                              <w:t>Baseline Equivalence for Cluster QEDs.</w:t>
                            </w:r>
                            <w:r w:rsidRPr="00F36CC9">
                              <w:rPr>
                                <w:rFonts w:ascii="Arial Narrow" w:hAnsi="Arial Narrow"/>
                                <w:sz w:val="20"/>
                              </w:rPr>
                              <w:t xml:space="preserve"> If a quasi-experimental design uses cluster-level assignment but has individual-level data and will show that treatment and comparison group individuals were equivalent at baseline, the QED will be assessed using the baseline equivalence guideline above. However, it may also be acceptable to show that clusters were equivalent at baseline.  There are two acceptable ways to show that clusters are equivalent at baseline: (see </w:t>
                            </w:r>
                            <w:hyperlink r:id="rId18" w:history="1">
                              <w:r w:rsidRPr="009D472A">
                                <w:rPr>
                                  <w:rStyle w:val="Hyperlink"/>
                                  <w:rFonts w:ascii="Arial Narrow" w:hAnsi="Arial Narrow"/>
                                  <w:sz w:val="20"/>
                                </w:rPr>
                                <w:t>Standards for Rigor</w:t>
                              </w:r>
                            </w:hyperlink>
                            <w:r>
                              <w:rPr>
                                <w:rStyle w:val="Hyperlink"/>
                                <w:rFonts w:ascii="Arial Narrow" w:hAnsi="Arial Narrow"/>
                                <w:sz w:val="20"/>
                              </w:rPr>
                              <w:t xml:space="preserve"> </w:t>
                            </w:r>
                            <w:r w:rsidRPr="00F36CC9">
                              <w:rPr>
                                <w:rFonts w:ascii="Arial Narrow" w:hAnsi="Arial Narrow"/>
                                <w:sz w:val="20"/>
                              </w:rPr>
                              <w:t>for additional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5" type="#_x0000_t202" style="width:471.6pt;height:31.65pt;margin-top:1.4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8720" filled="f" strokecolor="#bb2127" strokeweight="1.5pt">
                <v:textbox style="mso-fit-shape-to-text:t">
                  <w:txbxContent>
                    <w:p w:rsidR="008E2FCA" w:rsidP="008E2FCA" w14:paraId="1FE052FD" w14:textId="5BF95163">
                      <w:pPr>
                        <w:spacing w:after="120"/>
                        <w:rPr>
                          <w:rFonts w:ascii="Arial Narrow" w:hAnsi="Arial Narrow"/>
                          <w:sz w:val="20"/>
                        </w:rPr>
                      </w:pPr>
                      <w:r w:rsidRPr="008E2FCA">
                        <w:rPr>
                          <w:rFonts w:ascii="Arial Narrow" w:hAnsi="Arial Narrow"/>
                          <w:b/>
                          <w:bCs/>
                          <w:sz w:val="20"/>
                        </w:rPr>
                        <w:t xml:space="preserve">Expectation </w:t>
                      </w:r>
                      <w:r w:rsidRPr="008E2FCA">
                        <w:rPr>
                          <w:rFonts w:ascii="Arial Narrow" w:hAnsi="Arial Narrow"/>
                          <w:b/>
                          <w:bCs/>
                          <w:sz w:val="20"/>
                        </w:rPr>
                        <w:t>2A.3.a,b</w:t>
                      </w:r>
                      <w:r w:rsidRPr="008E2FCA">
                        <w:rPr>
                          <w:rFonts w:ascii="Arial Narrow" w:hAnsi="Arial Narrow"/>
                          <w:b/>
                          <w:bCs/>
                          <w:sz w:val="20"/>
                        </w:rPr>
                        <w:t>:</w:t>
                      </w:r>
                      <w:r w:rsidRPr="008E2FCA">
                        <w:rPr>
                          <w:rFonts w:ascii="Arial Narrow" w:hAnsi="Arial Narrow"/>
                          <w:sz w:val="20"/>
                        </w:rPr>
                        <w:t xml:space="preserve"> </w:t>
                      </w:r>
                      <w:r w:rsidRPr="008E2FCA">
                        <w:rPr>
                          <w:rFonts w:ascii="Arial Narrow" w:hAnsi="Arial Narrow"/>
                          <w:i/>
                          <w:iCs/>
                          <w:sz w:val="20"/>
                        </w:rPr>
                        <w:t>Baseline Equivalence in the Analytic Sample</w:t>
                      </w:r>
                      <w:r w:rsidR="001200F7">
                        <w:rPr>
                          <w:rFonts w:ascii="Arial Narrow" w:hAnsi="Arial Narrow"/>
                          <w:i/>
                          <w:iCs/>
                          <w:sz w:val="20"/>
                        </w:rPr>
                        <w:t xml:space="preserve"> – only for QED designs</w:t>
                      </w:r>
                      <w:r w:rsidRPr="008E2FCA">
                        <w:rPr>
                          <w:rFonts w:ascii="Arial Narrow" w:hAnsi="Arial Narrow"/>
                          <w:i/>
                          <w:iCs/>
                          <w:sz w:val="20"/>
                        </w:rPr>
                        <w:t>.</w:t>
                      </w:r>
                      <w:r w:rsidRPr="008E2FCA">
                        <w:rPr>
                          <w:rFonts w:ascii="Arial Narrow" w:hAnsi="Arial Narrow"/>
                          <w:sz w:val="20"/>
                        </w:rPr>
                        <w:t xml:space="preserve"> A QED should demonstrate that prior to the intervention, the intervention and comparison groups were equivalent on observable characteristics, to minimize potential bias from the choice to participate in the intervention. This should be established for the analytic sample, that is, the study units (e.g., schools, classrooms, individuals) that remain at the end of the study when the outcomes are assessed, rather than the initial groups in the study. For each outcome, assessment of baseline equivalence in the analytic sample means that the exact same records that are used in the impact analysis are used for the baseline equivalence analysis. This means that each unit in the impact and baseline equivalence analyses must have non-missing values for both the baseline and the outcome measure.</w:t>
                      </w:r>
                    </w:p>
                    <w:p w:rsidR="008E2FCA" w:rsidP="008E2FCA" w14:paraId="0DF27264" w14:textId="2D15295B">
                      <w:pPr>
                        <w:spacing w:after="120"/>
                        <w:rPr>
                          <w:rFonts w:ascii="Arial Narrow" w:hAnsi="Arial Narrow"/>
                          <w:sz w:val="20"/>
                        </w:rPr>
                      </w:pPr>
                      <w:r w:rsidRPr="00F36CC9">
                        <w:rPr>
                          <w:rFonts w:ascii="Arial Narrow" w:hAnsi="Arial Narrow"/>
                          <w:sz w:val="20"/>
                        </w:rPr>
                        <w:t xml:space="preserve">Evaluations must demonstrate that the intervention and comparison groups were similar at baseline (p &gt; .05, two-tailed test) on three key demographic characteristics: age or grade level, gender, and race/ethnicity. The study authors must also establish baseline equivalence on each primary outcome measure (if available). Because statistical significance is largely a function of sample size (i.e., it is difficult to detect statistically significant differences when sample sizes are small), effect sizes should also be used to assess baseline equivalence. For best practice, baseline differences between treatment and comparison groups should not exceed a standardized mean difference of .25 SD. Regardless of the size of the baseline difference, each analytic model should include as covariates the baseline measure of the outcome of interest (if available) as well as the three key demographic characteristics described above. </w:t>
                      </w:r>
                    </w:p>
                    <w:p w:rsidR="008E2FCA" w:rsidP="008E2FCA" w14:paraId="0EAE718A" w14:textId="77777777">
                      <w:pPr>
                        <w:spacing w:after="120"/>
                        <w:rPr>
                          <w:rFonts w:ascii="Arial Narrow" w:hAnsi="Arial Narrow"/>
                          <w:sz w:val="20"/>
                        </w:rPr>
                      </w:pPr>
                      <w:r w:rsidRPr="00F36CC9">
                        <w:rPr>
                          <w:rFonts w:ascii="Arial Narrow" w:hAnsi="Arial Narrow"/>
                          <w:sz w:val="20"/>
                        </w:rPr>
                        <w:t>For outcomes where there is no natural baseline measure, where eligibility dictates that the baseline value is zero (e.g., an intervention designed only for youth who have never been sexually active), or for behavioral outcomes measured for youth below the age of 14, it may be impossible to demonstrate baseline equivalence using a baseline measure of the outcome. In such cases, it should be established using a measure of knowledge, intentions, skills, or attitudes.</w:t>
                      </w:r>
                    </w:p>
                    <w:p w:rsidR="008E2FCA" w:rsidRPr="005E4C15" w:rsidP="008E2FCA" w14:paraId="3A16DB7D" w14:textId="40DE5950">
                      <w:pPr>
                        <w:spacing w:after="0"/>
                        <w:rPr>
                          <w:rFonts w:ascii="Arial Narrow" w:hAnsi="Arial Narrow"/>
                          <w:color w:val="000000" w:themeColor="text1"/>
                          <w:sz w:val="20"/>
                          <w:lang w:val="en"/>
                        </w:rPr>
                      </w:pPr>
                      <w:r w:rsidRPr="00F36CC9">
                        <w:rPr>
                          <w:rFonts w:ascii="Arial Narrow" w:hAnsi="Arial Narrow"/>
                          <w:i/>
                          <w:iCs/>
                          <w:sz w:val="20"/>
                        </w:rPr>
                        <w:t>Baseline Equivalence for Cluster QEDs.</w:t>
                      </w:r>
                      <w:r w:rsidRPr="00F36CC9">
                        <w:rPr>
                          <w:rFonts w:ascii="Arial Narrow" w:hAnsi="Arial Narrow"/>
                          <w:sz w:val="20"/>
                        </w:rPr>
                        <w:t xml:space="preserve"> If a quasi-experimental design uses cluster-level assignment but has individual-level data and will show that treatment and comparison group individuals were equivalent at baseline, the QED will be assessed using the baseline equivalence guideline above. However, it may also be acceptable to show that clusters were equivalent at baseline.  There are two acceptable ways to show that clusters are equivalent at baseline: (see </w:t>
                      </w:r>
                      <w:hyperlink r:id="rId18" w:history="1">
                        <w:r w:rsidRPr="009D472A">
                          <w:rPr>
                            <w:rStyle w:val="Hyperlink"/>
                            <w:rFonts w:ascii="Arial Narrow" w:hAnsi="Arial Narrow"/>
                            <w:sz w:val="20"/>
                          </w:rPr>
                          <w:t>Standards for Rigor</w:t>
                        </w:r>
                      </w:hyperlink>
                      <w:r>
                        <w:rPr>
                          <w:rStyle w:val="Hyperlink"/>
                          <w:rFonts w:ascii="Arial Narrow" w:hAnsi="Arial Narrow"/>
                          <w:sz w:val="20"/>
                        </w:rPr>
                        <w:t xml:space="preserve"> </w:t>
                      </w:r>
                      <w:r w:rsidRPr="00F36CC9">
                        <w:rPr>
                          <w:rFonts w:ascii="Arial Narrow" w:hAnsi="Arial Narrow"/>
                          <w:sz w:val="20"/>
                        </w:rPr>
                        <w:t>for additional details).</w:t>
                      </w:r>
                    </w:p>
                  </w:txbxContent>
                </v:textbox>
                <w10:wrap type="through"/>
                <w10:anchorlock/>
              </v:shape>
            </w:pict>
          </mc:Fallback>
        </mc:AlternateContent>
      </w:r>
    </w:p>
    <w:p w:rsidR="00F72B79" w:rsidP="008E2FCA" w14:paraId="7889E161" w14:textId="326A11CD">
      <w:pPr>
        <w:pStyle w:val="Heading3"/>
      </w:pPr>
      <w:bookmarkStart w:id="7" w:name="_Toc178102439"/>
      <w:r>
        <w:t>2.5.4</w:t>
      </w:r>
      <w:r>
        <w:tab/>
      </w:r>
      <w:r w:rsidRPr="008E2FCA">
        <w:t>Analytic approach</w:t>
      </w:r>
      <w:bookmarkEnd w:id="7"/>
    </w:p>
    <w:p w:rsidR="00F72B79" w:rsidP="00E91E40" w14:paraId="55C551F9" w14:textId="07354015">
      <w:pPr>
        <w:pStyle w:val="Heading4"/>
      </w:pPr>
      <w:r w:rsidRPr="00E91E40">
        <w:t>Modeling approach for primary research questions</w:t>
      </w:r>
    </w:p>
    <w:p w:rsidR="00F72B79" w:rsidP="00A212FA" w14:paraId="6483168B" w14:textId="2C4ED1E3">
      <w:pPr>
        <w:pStyle w:val="BodyText"/>
      </w:pPr>
      <w:r w:rsidRPr="00323082">
        <w:t xml:space="preserve">Describe, in plain language, your overall modeling approach. For example, will similar (e.g., linear) regression models be used for all contrasts? For continuous and binary outcomes? Will impacts be estimated separately at each follow-up time point? If applicable, how will </w:t>
      </w:r>
      <w:r w:rsidRPr="00323082">
        <w:t>you</w:t>
      </w:r>
      <w:r w:rsidRPr="00323082">
        <w:t xml:space="preserve"> account for clustered data?</w:t>
      </w:r>
    </w:p>
    <w:tbl>
      <w:tblPr>
        <w:tblStyle w:val="TableGrid"/>
        <w:tblW w:w="9360" w:type="dxa"/>
        <w:shd w:val="clear" w:color="auto" w:fill="B8DEE6"/>
        <w:tblLook w:val="04A0"/>
      </w:tblPr>
      <w:tblGrid>
        <w:gridCol w:w="9360"/>
      </w:tblGrid>
      <w:tr w14:paraId="2CC132A7" w14:textId="77777777" w:rsidTr="00714DD2">
        <w:tblPrEx>
          <w:tblW w:w="9360" w:type="dxa"/>
          <w:shd w:val="clear" w:color="auto" w:fill="B8DEE6"/>
          <w:tblLook w:val="04A0"/>
        </w:tblPrEx>
        <w:tc>
          <w:tcPr>
            <w:tcW w:w="9360" w:type="dxa"/>
            <w:shd w:val="clear" w:color="auto" w:fill="B8DEE6"/>
          </w:tcPr>
          <w:p w:rsidR="006630A2" w:rsidRPr="00957787" w:rsidP="00714DD2" w14:paraId="2286E9B9" w14:textId="18545FF5">
            <w:pPr>
              <w:pStyle w:val="Call-OutBoxText"/>
              <w:rPr>
                <w:szCs w:val="20"/>
              </w:rPr>
            </w:pPr>
            <w:r>
              <w:rPr>
                <w:szCs w:val="20"/>
              </w:rPr>
              <w:t>Tip</w:t>
            </w:r>
            <w:r w:rsidRPr="00957787">
              <w:rPr>
                <w:szCs w:val="20"/>
              </w:rPr>
              <w:t xml:space="preserve">: </w:t>
            </w:r>
            <w:r>
              <w:rPr>
                <w:szCs w:val="20"/>
              </w:rPr>
              <w:t>it is often acceptable to use a single modeling approach for all contrasts in a study</w:t>
            </w:r>
            <w:r w:rsidRPr="00957787">
              <w:rPr>
                <w:szCs w:val="20"/>
              </w:rPr>
              <w:t>.</w:t>
            </w:r>
            <w:r>
              <w:rPr>
                <w:szCs w:val="20"/>
              </w:rPr>
              <w:t xml:space="preserve"> Many impact evaluations use linear probability models (or hierarchical linear models) for both continuous and binary outcomes because they are easy to interpret.</w:t>
            </w:r>
          </w:p>
        </w:tc>
      </w:tr>
    </w:tbl>
    <w:p w:rsidR="006630A2" w:rsidP="00A212FA" w14:paraId="600FB830" w14:textId="77777777">
      <w:pPr>
        <w:pStyle w:val="BodyText"/>
      </w:pPr>
    </w:p>
    <w:p w:rsidR="005E4C15" w:rsidP="00323082" w14:paraId="06930DA3" w14:textId="5D1A9EFC">
      <w:pPr>
        <w:pStyle w:val="Heading4"/>
      </w:pPr>
      <w:r w:rsidRPr="00323082">
        <w:t>Model specification for primary research questions</w:t>
      </w:r>
    </w:p>
    <w:p w:rsidR="00237F39" w:rsidP="00A212FA" w14:paraId="34418C98" w14:textId="6F44C232">
      <w:pPr>
        <w:pStyle w:val="BodyText"/>
      </w:pPr>
      <w:r w:rsidRPr="00323082">
        <w:t xml:space="preserve">Provide one or more model specifications (e.g. “Greek models”) that correspond to the pre-specified primary contrasts. A single model specification may be relevant to </w:t>
      </w:r>
      <w:r w:rsidRPr="00323082">
        <w:t>all of</w:t>
      </w:r>
      <w:r w:rsidRPr="00323082">
        <w:t xml:space="preserve"> the planned contrasts, or different models may be needed for different types of contrasts. In the model specifications, show:</w:t>
      </w:r>
    </w:p>
    <w:p w:rsidR="00323082" w:rsidP="00323082" w14:paraId="5F7C8DFB" w14:textId="2FDE13AD">
      <w:pPr>
        <w:pStyle w:val="Bullets"/>
      </w:pPr>
      <w:r>
        <w:t>A term representing the dependent variable</w:t>
      </w:r>
    </w:p>
    <w:p w:rsidR="00323082" w:rsidP="00323082" w14:paraId="485FC60D" w14:textId="6E5B9DBF">
      <w:pPr>
        <w:pStyle w:val="Bullets"/>
      </w:pPr>
      <w:r>
        <w:t>A term representing the treatment indicator (i.e. the right-hand-side model term that produces the estimate of program impact on the outcome)</w:t>
      </w:r>
    </w:p>
    <w:p w:rsidR="00323082" w:rsidP="00323082" w14:paraId="1D3DC1D5" w14:textId="41014827">
      <w:pPr>
        <w:pStyle w:val="Bullet2"/>
      </w:pPr>
      <w:r>
        <w:t>For models where the treatment indicator is interacted with other model terms (e.g., with randomization blocks), provided an explanation of how the multiple treatment terms will be averaged to produce a single, overall impact estimate</w:t>
      </w:r>
    </w:p>
    <w:p w:rsidR="00323082" w:rsidP="00323082" w14:paraId="6541CB70" w14:textId="4DD95EAE">
      <w:pPr>
        <w:pStyle w:val="Bullets"/>
      </w:pPr>
      <w:r>
        <w:t xml:space="preserve">Terms representing covariates </w:t>
      </w:r>
    </w:p>
    <w:p w:rsidR="00323082" w:rsidP="00323082" w14:paraId="28267755" w14:textId="7BC7E783">
      <w:pPr>
        <w:pStyle w:val="Bullets"/>
      </w:pPr>
      <w:r>
        <w:t xml:space="preserve">Terms that represent design factors (e.g., randomization or matching blocks, or terms to account for the clustering of students in schools) </w:t>
      </w:r>
    </w:p>
    <w:p w:rsidR="00323082" w:rsidP="00323082" w14:paraId="66BCC414" w14:textId="77777777">
      <w:pPr>
        <w:pStyle w:val="BodyText"/>
      </w:pPr>
      <w:r>
        <w:t>Provide a narrative description of the Greek models including:</w:t>
      </w:r>
    </w:p>
    <w:p w:rsidR="00323082" w:rsidP="00323082" w14:paraId="72BB290D" w14:textId="1A28E17B">
      <w:pPr>
        <w:pStyle w:val="Bullets"/>
      </w:pPr>
      <w:r>
        <w:t>Explanation of variables and subscripts</w:t>
      </w:r>
    </w:p>
    <w:p w:rsidR="00323082" w:rsidP="00323082" w14:paraId="1122C63F" w14:textId="30330510">
      <w:pPr>
        <w:pStyle w:val="Bullets"/>
      </w:pPr>
      <w:r>
        <w:t>Interpretation of key parameters, especially the parameter that will produce an impact estimate</w:t>
      </w:r>
    </w:p>
    <w:p w:rsidR="00323082" w:rsidP="00323082" w14:paraId="7E1C0F5D" w14:textId="6D31D1B9">
      <w:pPr>
        <w:pStyle w:val="Bullets"/>
      </w:pPr>
      <w:r>
        <w:t>Explanation of terms that are included to account for blocking or matching</w:t>
      </w:r>
    </w:p>
    <w:p w:rsidR="00323082" w:rsidP="00323082" w14:paraId="158650A2" w14:textId="731EC60C">
      <w:pPr>
        <w:pStyle w:val="Bullets"/>
      </w:pPr>
      <w:r>
        <w:t xml:space="preserve">Explanation of terms that are included to account for clustering </w:t>
      </w:r>
    </w:p>
    <w:p w:rsidR="00E91E40" w:rsidP="00323082" w14:paraId="720AA4EC" w14:textId="21AA457A">
      <w:pPr>
        <w:pStyle w:val="Bullet2"/>
      </w:pPr>
      <w:r>
        <w:t xml:space="preserve">For example, the unit of analysis might differ from the unit of assignment to the intervention, such as when classrooms are assigned to treatment or control </w:t>
      </w:r>
      <w:r w:rsidR="00E91210">
        <w:t>conditions,</w:t>
      </w:r>
      <w:r>
        <w:t xml:space="preserve"> but outcomes are measured at the student level</w:t>
      </w:r>
    </w:p>
    <w:p w:rsidR="00E673B4" w:rsidP="00E673B4" w14:paraId="7A3A49E1" w14:textId="77777777">
      <w:pPr>
        <w:pStyle w:val="Bullet2"/>
        <w:numPr>
          <w:ilvl w:val="0"/>
          <w:numId w:val="0"/>
        </w:numPr>
      </w:pPr>
    </w:p>
    <w:p w:rsidR="00E673B4" w:rsidP="00E673B4" w14:paraId="28A88F3A" w14:textId="7A763DCF">
      <w:pPr>
        <w:pStyle w:val="BodyText"/>
        <w:rPr>
          <w:lang w:val="en-US"/>
        </w:rPr>
      </w:pPr>
      <w:r w:rsidRPr="00424FAE">
        <w:rPr>
          <w:lang w:val="en-US"/>
        </w:rPr>
        <w:t xml:space="preserve">Below </w:t>
      </w:r>
      <w:r>
        <w:rPr>
          <w:lang w:val="en-US"/>
        </w:rPr>
        <w:t>is</w:t>
      </w:r>
      <w:r w:rsidRPr="00424FAE">
        <w:rPr>
          <w:lang w:val="en-US"/>
        </w:rPr>
        <w:t xml:space="preserve"> </w:t>
      </w:r>
      <w:r>
        <w:rPr>
          <w:lang w:val="en-US"/>
        </w:rPr>
        <w:t>an</w:t>
      </w:r>
      <w:r w:rsidRPr="00424FAE">
        <w:rPr>
          <w:lang w:val="en-US"/>
        </w:rPr>
        <w:t xml:space="preserve"> </w:t>
      </w:r>
      <w:r w:rsidRPr="00CA2D16">
        <w:rPr>
          <w:b/>
          <w:bCs/>
          <w:lang w:val="en-US"/>
        </w:rPr>
        <w:t>example</w:t>
      </w:r>
      <w:r w:rsidRPr="00424FAE">
        <w:rPr>
          <w:lang w:val="en-US"/>
        </w:rPr>
        <w:t xml:space="preserve"> of what a</w:t>
      </w:r>
      <w:r>
        <w:rPr>
          <w:lang w:val="en-US"/>
        </w:rPr>
        <w:t xml:space="preserve"> </w:t>
      </w:r>
      <w:r w:rsidR="00101A47">
        <w:rPr>
          <w:lang w:val="en-US"/>
        </w:rPr>
        <w:t xml:space="preserve">well-specified </w:t>
      </w:r>
      <w:r>
        <w:rPr>
          <w:lang w:val="en-US"/>
        </w:rPr>
        <w:t>Greek model</w:t>
      </w:r>
      <w:r w:rsidRPr="00424FAE">
        <w:rPr>
          <w:lang w:val="en-US"/>
        </w:rPr>
        <w:t xml:space="preserve"> might look like</w:t>
      </w:r>
      <w:r w:rsidR="006F0EC9">
        <w:rPr>
          <w:lang w:val="en-US"/>
        </w:rPr>
        <w:t xml:space="preserve">. </w:t>
      </w:r>
      <w:r w:rsidRPr="00424FAE">
        <w:rPr>
          <w:lang w:val="en-US"/>
        </w:rPr>
        <w:t>(</w:t>
      </w:r>
      <w:r w:rsidR="006F0EC9">
        <w:rPr>
          <w:lang w:val="en-US"/>
        </w:rPr>
        <w:t>You do not have to use this format and y</w:t>
      </w:r>
      <w:r w:rsidRPr="00424FAE">
        <w:rPr>
          <w:lang w:val="en-US"/>
        </w:rPr>
        <w:t>ou</w:t>
      </w:r>
      <w:r>
        <w:rPr>
          <w:lang w:val="en-US"/>
        </w:rPr>
        <w:t>r model specification may be different than this one</w:t>
      </w:r>
      <w:r w:rsidRPr="00424FAE">
        <w:rPr>
          <w:lang w:val="en-US"/>
        </w:rPr>
        <w:t>)</w:t>
      </w:r>
      <w:r w:rsidR="006F0EC9">
        <w:rPr>
          <w:lang w:val="en-US"/>
        </w:rPr>
        <w:t>. This example is for a</w:t>
      </w:r>
      <w:r w:rsidR="00101A47">
        <w:rPr>
          <w:lang w:val="en-US"/>
        </w:rPr>
        <w:t xml:space="preserve"> blocked</w:t>
      </w:r>
      <w:r w:rsidR="006F0EC9">
        <w:rPr>
          <w:lang w:val="en-US"/>
        </w:rPr>
        <w:t xml:space="preserve"> individual-level RCT </w:t>
      </w:r>
      <w:r w:rsidR="00101A47">
        <w:rPr>
          <w:lang w:val="en-US"/>
        </w:rPr>
        <w:t>with students randomly assigned within CBOs</w:t>
      </w:r>
      <w:r w:rsidRPr="00424FAE">
        <w:rPr>
          <w:lang w:val="en-US"/>
        </w:rPr>
        <w:t>:</w:t>
      </w:r>
    </w:p>
    <w:p w:rsidR="006F0EC9" w:rsidP="006F0EC9" w14:paraId="798B310F" w14:textId="7EA3BB8A">
      <w:pPr>
        <w:pStyle w:val="BodyText"/>
      </w:pPr>
      <w:r>
        <w:tab/>
      </w:r>
      <m:oMath>
        <m:sSub>
          <m:sSubPr>
            <m:ctrlPr>
              <w:rPr>
                <w:rFonts w:ascii="Cambria Math" w:hAnsi="Cambria Math"/>
                <w:i/>
              </w:rPr>
            </m:ctrlPr>
          </m:sSubPr>
          <m:e>
            <m:r>
              <w:rPr>
                <w:rFonts w:ascii="Cambria Math" w:hAnsi="Cambria Math"/>
              </w:rPr>
              <m:t>Y</m:t>
            </m:r>
          </m:e>
          <m:sub>
            <m:r>
              <w:rPr>
                <w:rFonts w:ascii="Cambria Math" w:hAnsi="Cambria Math"/>
              </w:rPr>
              <m:t>i,t≠0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Y</m:t>
            </m:r>
          </m:e>
          <m:sub>
            <m:r>
              <w:rPr>
                <w:rFonts w:ascii="Cambria Math" w:hAnsi="Cambria Math"/>
              </w:rPr>
              <m:t>i,t=0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x</m:t>
            </m:r>
          </m:e>
          <m:sub>
            <m:r>
              <w:rPr>
                <w:rFonts w:ascii="Cambria Math" w:hAnsi="Cambria Math"/>
              </w:rPr>
              <m:t>4i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ki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Pr="00182B94">
        <w:t xml:space="preserve"> </w:t>
      </w:r>
    </w:p>
    <w:p w:rsidR="006F0EC9" w:rsidP="006F0EC9" w14:paraId="6BE60EAC" w14:textId="77777777">
      <w:pPr>
        <w:pStyle w:val="BodyText"/>
      </w:pPr>
      <w:r>
        <w:t>W</w:t>
      </w:r>
      <w:r w:rsidRPr="00182B94">
        <w:t>here</w:t>
      </w:r>
      <w:r>
        <w:t>:</w:t>
      </w:r>
    </w:p>
    <w:p w:rsidR="006F0EC9" w:rsidP="006F0EC9" w14:paraId="73CDD0FF" w14:textId="4A793A52">
      <w:pPr>
        <w:pStyle w:val="BodyText"/>
        <w:rPr>
          <w:i/>
          <w:iCs/>
        </w:rPr>
      </w:pPr>
      <m:oMath>
        <m:sSub>
          <m:sSubPr>
            <m:ctrlPr>
              <w:rPr>
                <w:rFonts w:ascii="Cambria Math" w:hAnsi="Cambria Math"/>
                <w:i/>
              </w:rPr>
            </m:ctrlPr>
          </m:sSubPr>
          <m:e>
            <m:r>
              <w:rPr>
                <w:rFonts w:ascii="Cambria Math" w:hAnsi="Cambria Math"/>
              </w:rPr>
              <m:t>Y</m:t>
            </m:r>
          </m:e>
          <m:sub>
            <m:r>
              <w:rPr>
                <w:rFonts w:ascii="Cambria Math" w:hAnsi="Cambria Math"/>
              </w:rPr>
              <m:t>i,t≠0</m:t>
            </m:r>
          </m:sub>
        </m:sSub>
      </m:oMath>
      <w:r w:rsidR="00101A47">
        <w:t xml:space="preserve"> </w:t>
      </w:r>
      <w:r w:rsidRPr="00182B94">
        <w:t xml:space="preserve">is the outcome of interest (e.g. consistent condom use) for student </w:t>
      </w:r>
      <w:r w:rsidR="00101A47">
        <w:rPr>
          <w:i/>
        </w:rPr>
        <w:t xml:space="preserve">i </w:t>
      </w:r>
      <w:r w:rsidR="00101A47">
        <w:t xml:space="preserve">at time </w:t>
      </w:r>
      <w:r w:rsidR="00101A47">
        <w:rPr>
          <w:i/>
          <w:iCs/>
        </w:rPr>
        <w:t>t</w:t>
      </w:r>
    </w:p>
    <w:p w:rsidR="00101A47" w:rsidRPr="00CA2D16" w:rsidP="006F0EC9" w14:paraId="31FAD24C" w14:textId="7493813B">
      <w:pPr>
        <w:pStyle w:val="BodyText"/>
      </w:pPr>
      <w:r w:rsidRPr="00182B94">
        <w:rPr>
          <w:i/>
        </w:rPr>
        <w:t>T</w:t>
      </w:r>
      <w:r w:rsidRPr="00182B94">
        <w:rPr>
          <w:i/>
          <w:vertAlign w:val="subscript"/>
        </w:rPr>
        <w:t>i</w:t>
      </w:r>
      <w:r>
        <w:rPr>
          <w:vertAlign w:val="subscript"/>
        </w:rPr>
        <w:t xml:space="preserve"> </w:t>
      </w:r>
      <w:r w:rsidRPr="00182B94">
        <w:tab/>
        <w:t xml:space="preserve">is a dummy variable equal to 1 if student </w:t>
      </w:r>
      <w:r w:rsidRPr="00182B94">
        <w:rPr>
          <w:i/>
        </w:rPr>
        <w:t xml:space="preserve">i </w:t>
      </w:r>
      <w:r w:rsidRPr="00182B94">
        <w:t>was assigned to the treatment group</w:t>
      </w:r>
    </w:p>
    <w:p w:rsidR="00101A47" w:rsidRPr="00CA2D16" w:rsidP="006F0EC9" w14:paraId="3FE6AFDC" w14:textId="2E61981F">
      <w:pPr>
        <w:pStyle w:val="BodyText"/>
        <w:rPr>
          <w:i/>
          <w:iCs/>
        </w:rPr>
      </w:pPr>
      <m:oMath>
        <m:sSub>
          <m:sSubPr>
            <m:ctrlPr>
              <w:rPr>
                <w:rFonts w:ascii="Cambria Math" w:hAnsi="Cambria Math"/>
                <w:i/>
              </w:rPr>
            </m:ctrlPr>
          </m:sSubPr>
          <m:e>
            <m:r>
              <w:rPr>
                <w:rFonts w:ascii="Cambria Math" w:hAnsi="Cambria Math"/>
              </w:rPr>
              <m:t>Y</m:t>
            </m:r>
          </m:e>
          <m:sub>
            <m:r>
              <w:rPr>
                <w:rFonts w:ascii="Cambria Math" w:hAnsi="Cambria Math"/>
              </w:rPr>
              <m:t>i,t=0</m:t>
            </m:r>
          </m:sub>
        </m:sSub>
      </m:oMath>
      <w:r>
        <w:t xml:space="preserve"> </w:t>
      </w:r>
      <w:r w:rsidRPr="00182B94">
        <w:t xml:space="preserve">is the </w:t>
      </w:r>
      <w:r>
        <w:t xml:space="preserve">baseline measure of the </w:t>
      </w:r>
      <w:r w:rsidRPr="00182B94">
        <w:t xml:space="preserve">outcome of interest (e.g. consistent condom use) for student </w:t>
      </w:r>
      <w:r>
        <w:rPr>
          <w:i/>
        </w:rPr>
        <w:t xml:space="preserve">i </w:t>
      </w:r>
    </w:p>
    <w:p w:rsidR="006F0EC9" w:rsidRPr="00182B94" w:rsidP="006F0EC9" w14:paraId="22CF1C11" w14:textId="76BA5BF7">
      <w:pPr>
        <w:pStyle w:val="BodyText"/>
      </w:pPr>
      <w:r w:rsidRPr="00182B94">
        <w:rPr>
          <w:i/>
        </w:rPr>
        <w:t>Di</w:t>
      </w:r>
      <w:r w:rsidRPr="00182B94">
        <w:t xml:space="preserve"> </w:t>
      </w:r>
      <w:r w:rsidRPr="00182B94">
        <w:tab/>
        <w:t xml:space="preserve">is a </w:t>
      </w:r>
      <w:r w:rsidR="00101A47">
        <w:t>CBO</w:t>
      </w:r>
      <w:r w:rsidRPr="00182B94">
        <w:t xml:space="preserve"> dummy (which accounts for blocking by </w:t>
      </w:r>
      <w:r w:rsidR="00101A47">
        <w:t>CBO</w:t>
      </w:r>
      <w:r w:rsidRPr="00182B94">
        <w:t>)</w:t>
      </w:r>
    </w:p>
    <w:p w:rsidR="006F0EC9" w:rsidRPr="00182B94" w:rsidP="006F0EC9" w14:paraId="7E74752A" w14:textId="77777777">
      <w:pPr>
        <w:pStyle w:val="BodyText"/>
      </w:pPr>
      <w:r w:rsidRPr="00182B94">
        <w:rPr>
          <w:i/>
        </w:rPr>
        <w:t>X</w:t>
      </w:r>
      <w:r w:rsidRPr="00182B94">
        <w:rPr>
          <w:i/>
          <w:vertAlign w:val="subscript"/>
        </w:rPr>
        <w:t>mi</w:t>
      </w:r>
      <w:r>
        <w:rPr>
          <w:i/>
        </w:rPr>
        <w:t xml:space="preserve">  </w:t>
      </w:r>
      <w:r w:rsidRPr="00182B94">
        <w:t>is</w:t>
      </w:r>
      <w:r w:rsidRPr="00182B94">
        <w:t xml:space="preserve"> the </w:t>
      </w:r>
      <w:r w:rsidRPr="00182B94">
        <w:t>m</w:t>
      </w:r>
      <w:r w:rsidRPr="00182B94">
        <w:rPr>
          <w:vertAlign w:val="superscript"/>
        </w:rPr>
        <w:t>th</w:t>
      </w:r>
      <w:r w:rsidRPr="00182B94">
        <w:t xml:space="preserve"> baseline characteristic or control variable for student </w:t>
      </w:r>
      <w:r w:rsidRPr="00182B94">
        <w:rPr>
          <w:i/>
        </w:rPr>
        <w:t>i</w:t>
      </w:r>
      <w:r w:rsidRPr="00182B94">
        <w:t xml:space="preserve"> (e.g. =1 for males). </w:t>
      </w:r>
    </w:p>
    <w:p w:rsidR="00101A47" w:rsidP="00E673B4" w14:paraId="1A397D74" w14:textId="5233FE61">
      <w:pPr>
        <w:pStyle w:val="Bullet2"/>
        <w:numPr>
          <w:ilvl w:val="0"/>
          <w:numId w:val="0"/>
        </w:numPr>
      </w:pPr>
      <w:r w:rsidRPr="00182B94">
        <w:t>The coefficient on the treatment dummy, β</w:t>
      </w:r>
      <w:r w:rsidRPr="00182B94">
        <w:rPr>
          <w:vertAlign w:val="subscript"/>
        </w:rPr>
        <w:t>1</w:t>
      </w:r>
      <w:r w:rsidRPr="00182B94">
        <w:t>, is the primary coefficient of interest.</w:t>
      </w:r>
      <w:r>
        <w:t xml:space="preserve"> </w:t>
      </w:r>
      <w:r w:rsidRPr="00182B94">
        <w:t>For a</w:t>
      </w:r>
      <w:r>
        <w:t>n</w:t>
      </w:r>
      <w:r w:rsidRPr="00182B94">
        <w:t xml:space="preserve"> </w:t>
      </w:r>
      <w:r>
        <w:t xml:space="preserve">unfavorable </w:t>
      </w:r>
      <w:r w:rsidRPr="00182B94">
        <w:t xml:space="preserve">outcome (e.g. </w:t>
      </w:r>
      <w:r>
        <w:t>teen pregnancy</w:t>
      </w:r>
      <w:r w:rsidRPr="00182B94">
        <w:t xml:space="preserve">), a </w:t>
      </w:r>
      <w:r>
        <w:t>negative</w:t>
      </w:r>
      <w:r w:rsidRPr="00182B94">
        <w:t xml:space="preserve"> and statistically significant coefficient would be interpreted to mean that the program was effective </w:t>
      </w:r>
      <w:r>
        <w:t>in reducing the rate of that outcome</w:t>
      </w:r>
      <w:r w:rsidRPr="00182B94">
        <w:t>.</w:t>
      </w:r>
    </w:p>
    <w:tbl>
      <w:tblPr>
        <w:tblStyle w:val="TableGrid"/>
        <w:tblW w:w="9360" w:type="dxa"/>
        <w:shd w:val="clear" w:color="auto" w:fill="B8DEE6"/>
        <w:tblLook w:val="04A0"/>
      </w:tblPr>
      <w:tblGrid>
        <w:gridCol w:w="9360"/>
      </w:tblGrid>
      <w:tr w14:paraId="1F3B030F" w14:textId="77777777" w:rsidTr="00A837D1">
        <w:tblPrEx>
          <w:tblW w:w="9360" w:type="dxa"/>
          <w:shd w:val="clear" w:color="auto" w:fill="B8DEE6"/>
          <w:tblLook w:val="04A0"/>
        </w:tblPrEx>
        <w:tc>
          <w:tcPr>
            <w:tcW w:w="9360" w:type="dxa"/>
            <w:shd w:val="clear" w:color="auto" w:fill="B8DEE6"/>
          </w:tcPr>
          <w:p w:rsidR="00957787" w:rsidRPr="00957787" w:rsidP="00A837D1" w14:paraId="0AB6BB45" w14:textId="7F048407">
            <w:pPr>
              <w:pStyle w:val="Call-OutBoxText"/>
              <w:rPr>
                <w:szCs w:val="20"/>
              </w:rPr>
            </w:pPr>
            <w:bookmarkStart w:id="8" w:name="_Hlk165024526"/>
            <w:r w:rsidRPr="00957787">
              <w:rPr>
                <w:szCs w:val="20"/>
              </w:rPr>
              <w:t>Reminder: many evaluations use different probabilities of assignment for various groups of individuals (e.g., in different research sites or cohorts). If so, they must control for the differential probabilities of assignment in the final analytic model. If the study does not include such controls, it will be considered a quasi-experimental design.</w:t>
            </w:r>
          </w:p>
        </w:tc>
      </w:tr>
      <w:bookmarkEnd w:id="8"/>
    </w:tbl>
    <w:p w:rsidR="00957787" w:rsidRPr="00282841" w:rsidP="00957787" w14:paraId="35F12ABF" w14:textId="77777777">
      <w:pPr>
        <w:pStyle w:val="BodyText"/>
        <w:rPr>
          <w:lang w:val="en-US"/>
        </w:rPr>
      </w:pPr>
    </w:p>
    <w:p w:rsidR="00957787" w:rsidRPr="00957787" w:rsidP="00957787" w14:paraId="4DA9CDA5" w14:textId="77777777">
      <w:pPr>
        <w:pStyle w:val="Heading4"/>
      </w:pPr>
      <w:r w:rsidRPr="00957787">
        <w:t>Covariates</w:t>
      </w:r>
    </w:p>
    <w:p w:rsidR="00957787" w:rsidRPr="00957787" w:rsidP="00957787" w14:paraId="06430F42" w14:textId="77777777">
      <w:pPr>
        <w:pStyle w:val="BodyText"/>
        <w:rPr>
          <w:lang w:val="en-US"/>
        </w:rPr>
      </w:pPr>
      <w:r w:rsidRPr="00957787">
        <w:rPr>
          <w:lang w:val="en-US"/>
        </w:rPr>
        <w:t xml:space="preserve">Provide a detailed description of covariate selection. Note particularly whether the final selection of covariates is theory-driven, data-driven (e.g., an elimination procedure), or some combination. You should state that you have made an a priori decision that the pre-test measure of the outcome will be included in the model along with age or grade level, gender, and race/ethnicity.  For other covariates, if an elimination procedure is planned, state the thresholds for inclusion/exclusion (e.g., covariates with p-values &lt;0.20 will be retained in the final model).  </w:t>
      </w:r>
    </w:p>
    <w:p w:rsidR="00957787" w:rsidP="00957787" w14:paraId="3E576DF4" w14:textId="6CA75C97">
      <w:pPr>
        <w:pStyle w:val="BodyText"/>
        <w:rPr>
          <w:lang w:val="en-US"/>
        </w:rPr>
      </w:pPr>
      <w:r w:rsidRPr="00957787">
        <w:rPr>
          <w:lang w:val="en-US"/>
        </w:rPr>
        <w:t>Do not include “endogenous” covariates in the impact model. Covariates should either be measured before treatment begins or be measures whose values cannot be influenced by the treatment (e.g., treatment cannot change a person’s age).</w:t>
      </w:r>
    </w:p>
    <w:p w:rsidR="00957787" w:rsidRPr="00957787" w:rsidP="00957787" w14:paraId="61EEDD02" w14:textId="7B43750D">
      <w:pPr>
        <w:pStyle w:val="Heading4"/>
      </w:pPr>
      <w:r w:rsidRPr="009229B0">
        <w:rPr>
          <w:rFonts w:ascii="Aptos" w:eastAsia="Aptos" w:hAnsi="Aptos" w:cs="Arial"/>
          <w:noProof/>
          <w:kern w:val="2"/>
          <w:szCs w:val="22"/>
          <w14:ligatures w14:val="standardContextual"/>
        </w:rPr>
        <mc:AlternateContent>
          <mc:Choice Requires="wps">
            <w:drawing>
              <wp:anchor distT="0" distB="0" distL="114300" distR="114300" simplePos="0" relativeHeight="251679744" behindDoc="0" locked="1" layoutInCell="1" allowOverlap="1">
                <wp:simplePos x="0" y="0"/>
                <wp:positionH relativeFrom="column">
                  <wp:posOffset>-68580</wp:posOffset>
                </wp:positionH>
                <wp:positionV relativeFrom="paragraph">
                  <wp:posOffset>31115</wp:posOffset>
                </wp:positionV>
                <wp:extent cx="5989320" cy="401955"/>
                <wp:effectExtent l="0" t="0" r="11430" b="24130"/>
                <wp:wrapThrough wrapText="bothSides">
                  <wp:wrapPolygon>
                    <wp:start x="0" y="0"/>
                    <wp:lineTo x="0" y="21757"/>
                    <wp:lineTo x="21573" y="21757"/>
                    <wp:lineTo x="21573" y="0"/>
                    <wp:lineTo x="0" y="0"/>
                  </wp:wrapPolygon>
                </wp:wrapThrough>
                <wp:docPr id="750369537"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401955"/>
                        </a:xfrm>
                        <a:prstGeom prst="rect">
                          <a:avLst/>
                        </a:prstGeom>
                        <a:noFill/>
                        <a:ln w="19050">
                          <a:solidFill>
                            <a:srgbClr val="BB2127"/>
                          </a:solidFill>
                        </a:ln>
                      </wps:spPr>
                      <wps:txbx>
                        <w:txbxContent>
                          <w:p w:rsidR="00957787" w:rsidRPr="005E4C15" w:rsidP="00957787" w14:textId="3A1F0B06">
                            <w:pPr>
                              <w:spacing w:after="0"/>
                              <w:rPr>
                                <w:rFonts w:ascii="Arial Narrow" w:hAnsi="Arial Narrow"/>
                                <w:color w:val="000000" w:themeColor="text1"/>
                                <w:sz w:val="20"/>
                                <w:lang w:val="en"/>
                              </w:rPr>
                            </w:pPr>
                            <w:r w:rsidRPr="00957787">
                              <w:rPr>
                                <w:rFonts w:ascii="Arial Narrow" w:hAnsi="Arial Narrow"/>
                                <w:b/>
                                <w:bCs/>
                                <w:sz w:val="20"/>
                              </w:rPr>
                              <w:t>Expectation 2A.1.d:</w:t>
                            </w:r>
                            <w:r w:rsidRPr="00957787">
                              <w:rPr>
                                <w:rFonts w:ascii="Arial Narrow" w:hAnsi="Arial Narrow"/>
                                <w:sz w:val="20"/>
                              </w:rPr>
                              <w:t xml:space="preserve"> At a minimum, regression models used to estimate program impacts should control for a baseline measure of the outcome of interest, if available, as well as baseline measures of three key demographic characteristics: age or grade level, gender, and race/ethnicity.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6" type="#_x0000_t202" style="width:471.6pt;height:31.65pt;margin-top:2.45pt;margin-left:-5.4pt;mso-height-percent:0;mso-height-relative:page;mso-width-percent:0;mso-width-relative:page;mso-wrap-distance-bottom:0;mso-wrap-distance-left:9pt;mso-wrap-distance-right:9pt;mso-wrap-distance-top:0;mso-wrap-style:square;position:absolute;visibility:visible;v-text-anchor:top;z-index:251680768" filled="f" strokecolor="#bb2127" strokeweight="1.5pt">
                <v:textbox style="mso-fit-shape-to-text:t">
                  <w:txbxContent>
                    <w:p w:rsidR="00957787" w:rsidRPr="005E4C15" w:rsidP="00957787" w14:paraId="31438B0C" w14:textId="3A1F0B06">
                      <w:pPr>
                        <w:spacing w:after="0"/>
                        <w:rPr>
                          <w:rFonts w:ascii="Arial Narrow" w:hAnsi="Arial Narrow"/>
                          <w:color w:val="000000" w:themeColor="text1"/>
                          <w:sz w:val="20"/>
                          <w:lang w:val="en"/>
                        </w:rPr>
                      </w:pPr>
                      <w:r w:rsidRPr="00957787">
                        <w:rPr>
                          <w:rFonts w:ascii="Arial Narrow" w:hAnsi="Arial Narrow"/>
                          <w:b/>
                          <w:bCs/>
                          <w:sz w:val="20"/>
                        </w:rPr>
                        <w:t>Expectation 2A.1.d:</w:t>
                      </w:r>
                      <w:r w:rsidRPr="00957787">
                        <w:rPr>
                          <w:rFonts w:ascii="Arial Narrow" w:hAnsi="Arial Narrow"/>
                          <w:sz w:val="20"/>
                        </w:rPr>
                        <w:t xml:space="preserve"> At a minimum, regression models used to estimate program impacts should control for a baseline measure of the outcome of interest, if available, as well as baseline measures of three key demographic characteristics: age or grade level, gender, and race/ethnicity.</w:t>
                      </w:r>
                    </w:p>
                  </w:txbxContent>
                </v:textbox>
                <w10:wrap type="through"/>
                <w10:anchorlock/>
              </v:shape>
            </w:pict>
          </mc:Fallback>
        </mc:AlternateContent>
      </w:r>
      <w:r w:rsidRPr="00957787">
        <w:t>Statistical software</w:t>
      </w:r>
    </w:p>
    <w:p w:rsidR="00957787" w:rsidRPr="00957787" w:rsidP="00957787" w14:paraId="23A17B08" w14:textId="77777777">
      <w:pPr>
        <w:pStyle w:val="BodyText"/>
        <w:rPr>
          <w:lang w:val="en-US"/>
        </w:rPr>
      </w:pPr>
      <w:r w:rsidRPr="00957787">
        <w:rPr>
          <w:lang w:val="en-US"/>
        </w:rPr>
        <w:t xml:space="preserve">Specify the software package(s) and versions that will be used to fit the regression models described above. </w:t>
      </w:r>
    </w:p>
    <w:p w:rsidR="00957787" w:rsidRPr="00957787" w:rsidP="00957787" w14:paraId="04F9AB91" w14:textId="77777777">
      <w:pPr>
        <w:pStyle w:val="Heading4"/>
      </w:pPr>
      <w:r w:rsidRPr="00957787">
        <w:t xml:space="preserve">Subgroups (optional) </w:t>
      </w:r>
    </w:p>
    <w:p w:rsidR="00957787" w:rsidRPr="00957787" w:rsidP="00957787" w14:paraId="79377BFD" w14:textId="77777777">
      <w:pPr>
        <w:pStyle w:val="BodyText"/>
        <w:rPr>
          <w:lang w:val="en-US"/>
        </w:rPr>
      </w:pPr>
      <w:r w:rsidRPr="00957787">
        <w:rPr>
          <w:lang w:val="en-US"/>
        </w:rPr>
        <w:t>Describe any subgroups for which you will conduct additional impact analyses (e.g., teen parents, female youth, racial/ethnic subgroups, youth sexually active at baseline, etc.).</w:t>
      </w:r>
    </w:p>
    <w:p w:rsidR="00957787" w:rsidRPr="00957787" w:rsidP="00957787" w14:paraId="609CA074" w14:textId="2AB14CB8">
      <w:pPr>
        <w:pStyle w:val="Bullets"/>
      </w:pPr>
      <w:r w:rsidRPr="00957787">
        <w:t>If the subgroups for which treatment effects will be computed vary across outcomes or follow-up periods, clarify for which combinations of outcomes and follow-up periods the subgroup effects will be estimated</w:t>
      </w:r>
    </w:p>
    <w:p w:rsidR="00957787" w:rsidRPr="00957787" w:rsidP="00957787" w14:paraId="73C4729B" w14:textId="71B9C6A6">
      <w:pPr>
        <w:pStyle w:val="Bullets"/>
      </w:pPr>
      <w:r w:rsidRPr="00957787">
        <w:t>Describe how the subgroup analyses will be conducted, for example, by</w:t>
      </w:r>
    </w:p>
    <w:p w:rsidR="00957787" w:rsidRPr="00957787" w:rsidP="00B72383" w14:paraId="526D96CC" w14:textId="12BE0B76">
      <w:pPr>
        <w:pStyle w:val="Bullet2"/>
      </w:pPr>
      <w:r w:rsidRPr="00957787">
        <w:t xml:space="preserve">including interaction terms in the model or </w:t>
      </w:r>
    </w:p>
    <w:p w:rsidR="00957787" w:rsidRPr="00957787" w:rsidP="00B72383" w14:paraId="513EFEED" w14:textId="3227BD17">
      <w:pPr>
        <w:pStyle w:val="Bullet2"/>
      </w:pPr>
      <w:r w:rsidRPr="00957787">
        <w:t>estimating impacts for an individual subgroup (e.g., girls) or separately for the subgroups (e.g., separately for girls and boys)</w:t>
      </w:r>
    </w:p>
    <w:p w:rsidR="00957787" w:rsidRPr="00957787" w:rsidP="00957787" w14:paraId="12F1D9D1" w14:textId="2F4C88E4">
      <w:pPr>
        <w:pStyle w:val="BodyText"/>
        <w:rPr>
          <w:lang w:val="en-US"/>
        </w:rPr>
      </w:pPr>
      <w:r w:rsidRPr="00957787">
        <w:rPr>
          <w:lang w:val="en-US"/>
        </w:rPr>
        <w:t xml:space="preserve">Either explain in the narrative if and how the overall impact model </w:t>
      </w:r>
      <w:r w:rsidR="00CF2DA8">
        <w:rPr>
          <w:lang w:val="en-US"/>
        </w:rPr>
        <w:t xml:space="preserve">specified above </w:t>
      </w:r>
      <w:r w:rsidRPr="00957787">
        <w:rPr>
          <w:lang w:val="en-US"/>
        </w:rPr>
        <w:t xml:space="preserve">will differ for the subgroup </w:t>
      </w:r>
      <w:r w:rsidRPr="00957787">
        <w:rPr>
          <w:lang w:val="en-US"/>
        </w:rPr>
        <w:t>analyses</w:t>
      </w:r>
      <w:r w:rsidR="00CF2DA8">
        <w:rPr>
          <w:lang w:val="en-US"/>
        </w:rPr>
        <w:t>, or</w:t>
      </w:r>
      <w:r w:rsidR="00CF2DA8">
        <w:rPr>
          <w:lang w:val="en-US"/>
        </w:rPr>
        <w:t xml:space="preserve"> </w:t>
      </w:r>
      <w:r w:rsidRPr="00957787" w:rsidR="00CF2DA8">
        <w:rPr>
          <w:lang w:val="en-US"/>
        </w:rPr>
        <w:t xml:space="preserve">provide an example of the Greek model that will be used to test for subgroup impacts </w:t>
      </w:r>
      <w:r w:rsidR="00CF2DA8">
        <w:rPr>
          <w:lang w:val="en-US"/>
        </w:rPr>
        <w:t>along with a brief narrative explaining the model</w:t>
      </w:r>
      <w:r w:rsidRPr="00957787">
        <w:rPr>
          <w:lang w:val="en-US"/>
        </w:rPr>
        <w:t>.</w:t>
      </w:r>
    </w:p>
    <w:tbl>
      <w:tblPr>
        <w:tblStyle w:val="TableGrid"/>
        <w:tblW w:w="9360" w:type="dxa"/>
        <w:shd w:val="clear" w:color="auto" w:fill="B8DEE6"/>
        <w:tblLook w:val="04A0"/>
      </w:tblPr>
      <w:tblGrid>
        <w:gridCol w:w="9360"/>
      </w:tblGrid>
      <w:tr w14:paraId="6D5047E1" w14:textId="77777777" w:rsidTr="00A837D1">
        <w:tblPrEx>
          <w:tblW w:w="9360" w:type="dxa"/>
          <w:shd w:val="clear" w:color="auto" w:fill="B8DEE6"/>
          <w:tblLook w:val="04A0"/>
        </w:tblPrEx>
        <w:tc>
          <w:tcPr>
            <w:tcW w:w="9360" w:type="dxa"/>
            <w:shd w:val="clear" w:color="auto" w:fill="B8DEE6"/>
          </w:tcPr>
          <w:p w:rsidR="00680BF0" w:rsidRPr="00957787" w:rsidP="00A837D1" w14:paraId="130CCE3A" w14:textId="71B255D4">
            <w:pPr>
              <w:pStyle w:val="Call-OutBoxText"/>
              <w:rPr>
                <w:szCs w:val="20"/>
              </w:rPr>
            </w:pPr>
            <w:r w:rsidRPr="00680BF0">
              <w:rPr>
                <w:b/>
                <w:bCs/>
                <w:szCs w:val="20"/>
              </w:rPr>
              <w:t xml:space="preserve">Tip: </w:t>
            </w:r>
            <w:r w:rsidRPr="00680BF0">
              <w:rPr>
                <w:szCs w:val="20"/>
              </w:rPr>
              <w:t>the TPPER will only review and summarize impact results for subgroups defined by (1) gender or (2) sexual experience at baseline. The TPPER will not report the results of tests for the difference between two subgroups (e.g., the TPPER will not report results of a test of whether impacts were different for boys versus girls).</w:t>
            </w:r>
          </w:p>
        </w:tc>
      </w:tr>
    </w:tbl>
    <w:p w:rsidR="00680BF0" w:rsidP="00680BF0" w14:paraId="03937964" w14:textId="77777777">
      <w:pPr>
        <w:pStyle w:val="Heading4"/>
      </w:pPr>
      <w:r>
        <w:t xml:space="preserve">Statistical power analysis </w:t>
      </w:r>
    </w:p>
    <w:p w:rsidR="00680BF0" w:rsidRPr="00680BF0" w:rsidP="00680BF0" w14:paraId="4BA4A22E" w14:textId="2B1659DA">
      <w:pPr>
        <w:pStyle w:val="BodyText"/>
        <w:rPr>
          <w:rFonts w:asciiTheme="majorBidi" w:hAnsiTheme="majorBidi" w:cstheme="majorBidi"/>
        </w:rPr>
      </w:pPr>
      <w:r w:rsidRPr="00680BF0">
        <w:rPr>
          <w:rFonts w:asciiTheme="majorBidi" w:hAnsiTheme="majorBidi" w:cstheme="majorBidi"/>
        </w:rPr>
        <w:t xml:space="preserve">Present a power analysis for two outcomes showing the proposed sample size will support adequate statistical power to detect program impact/effects. </w:t>
      </w:r>
      <w:r w:rsidR="00A8596B">
        <w:rPr>
          <w:rFonts w:asciiTheme="majorBidi" w:hAnsiTheme="majorBidi" w:cstheme="majorBidi"/>
        </w:rPr>
        <w:t>(</w:t>
      </w:r>
      <w:r w:rsidRPr="00680BF0">
        <w:rPr>
          <w:rFonts w:asciiTheme="majorBidi" w:hAnsiTheme="majorBidi" w:cstheme="majorBidi"/>
          <w:lang w:val="en-US"/>
        </w:rPr>
        <w:t xml:space="preserve">For studies with two or more primary outcomes, the power analysis should focus only on two </w:t>
      </w:r>
      <w:r w:rsidR="005C4190">
        <w:rPr>
          <w:rFonts w:asciiTheme="majorBidi" w:hAnsiTheme="majorBidi" w:cstheme="majorBidi"/>
          <w:lang w:val="en-US"/>
        </w:rPr>
        <w:t>of those</w:t>
      </w:r>
      <w:r w:rsidRPr="00680BF0" w:rsidR="005C4190">
        <w:rPr>
          <w:rFonts w:asciiTheme="majorBidi" w:hAnsiTheme="majorBidi" w:cstheme="majorBidi"/>
          <w:lang w:val="en-US"/>
        </w:rPr>
        <w:t xml:space="preserve"> </w:t>
      </w:r>
      <w:r w:rsidRPr="00680BF0">
        <w:rPr>
          <w:rFonts w:asciiTheme="majorBidi" w:hAnsiTheme="majorBidi" w:cstheme="majorBidi"/>
          <w:lang w:val="en-US"/>
        </w:rPr>
        <w:t xml:space="preserve">primary outcomes. </w:t>
      </w:r>
      <w:r w:rsidRPr="00680BF0">
        <w:rPr>
          <w:rFonts w:asciiTheme="majorBidi" w:hAnsiTheme="majorBidi" w:cstheme="majorBidi"/>
        </w:rPr>
        <w:t>If your study has only one primary outcome, please present a power analysis for that outcome and one secondary outcome.</w:t>
      </w:r>
      <w:r w:rsidR="00A8596B">
        <w:rPr>
          <w:rFonts w:asciiTheme="majorBidi" w:hAnsiTheme="majorBidi" w:cstheme="majorBidi"/>
        </w:rPr>
        <w:t>)</w:t>
      </w:r>
      <w:r w:rsidRPr="00680BF0">
        <w:rPr>
          <w:rFonts w:asciiTheme="majorBidi" w:hAnsiTheme="majorBidi" w:cstheme="majorBidi"/>
        </w:rPr>
        <w:t xml:space="preserve"> Along with the Minimum Detectable Impact (MDI) and Minimum Detectable Effect Size, please make sure to report the following assumptions (</w:t>
      </w:r>
      <w:r w:rsidRPr="00680BF0">
        <w:rPr>
          <w:rFonts w:asciiTheme="majorBidi" w:hAnsiTheme="majorBidi" w:cstheme="majorBidi"/>
          <w:i/>
          <w:iCs/>
        </w:rPr>
        <w:t>if your assumptions have not changed, you may copy and paste the power analysis from section 2.5.4 of your approved evaluation plan into this section</w:t>
      </w:r>
      <w:r w:rsidRPr="00680BF0">
        <w:rPr>
          <w:rFonts w:asciiTheme="majorBidi" w:hAnsiTheme="majorBidi" w:cstheme="majorBidi"/>
        </w:rPr>
        <w:t xml:space="preserve">): </w:t>
      </w:r>
    </w:p>
    <w:p w:rsidR="00680BF0" w:rsidRPr="00680BF0" w:rsidP="00680BF0" w14:paraId="05EEA90A" w14:textId="77777777">
      <w:pPr>
        <w:pStyle w:val="Bullets"/>
      </w:pPr>
      <w:r w:rsidRPr="00680BF0">
        <w:t>The level of significance (usually 0.05 percent)</w:t>
      </w:r>
    </w:p>
    <w:p w:rsidR="00680BF0" w:rsidRPr="00680BF0" w:rsidP="00680BF0" w14:paraId="2FD78E72" w14:textId="77777777">
      <w:pPr>
        <w:pStyle w:val="Bullets"/>
      </w:pPr>
      <w:r w:rsidRPr="00680BF0">
        <w:t>The number of sides of the test (usually two-tailed)</w:t>
      </w:r>
    </w:p>
    <w:p w:rsidR="00680BF0" w:rsidRPr="00680BF0" w:rsidP="00680BF0" w14:paraId="7B806C86" w14:textId="77777777">
      <w:pPr>
        <w:pStyle w:val="Bullets"/>
      </w:pPr>
      <w:r w:rsidRPr="00680BF0">
        <w:t>The power (usually 80 percent)</w:t>
      </w:r>
    </w:p>
    <w:p w:rsidR="00680BF0" w:rsidRPr="00680BF0" w:rsidP="00680BF0" w14:paraId="08D04AF7" w14:textId="77777777">
      <w:pPr>
        <w:pStyle w:val="Bullets"/>
      </w:pPr>
      <w:r w:rsidRPr="00680BF0">
        <w:t>The size of the analytic sample (i.e., the number of treatment and control group members at follow up)</w:t>
      </w:r>
    </w:p>
    <w:p w:rsidR="00680BF0" w:rsidRPr="00680BF0" w:rsidP="00680BF0" w14:paraId="39D8A9FE" w14:textId="77777777">
      <w:pPr>
        <w:pStyle w:val="Bullets"/>
      </w:pPr>
      <w:r w:rsidRPr="00680BF0">
        <w:t>For binary outcomes, the mean of the outcome</w:t>
      </w:r>
    </w:p>
    <w:p w:rsidR="00680BF0" w:rsidRPr="00680BF0" w:rsidP="00680BF0" w14:paraId="47FE3AF5" w14:textId="77777777">
      <w:pPr>
        <w:pStyle w:val="Bullets"/>
      </w:pPr>
      <w:r w:rsidRPr="00680BF0">
        <w:t>For continuous outcomes, the standard deviation of the outcome</w:t>
      </w:r>
    </w:p>
    <w:p w:rsidR="00680BF0" w:rsidRPr="00680BF0" w:rsidP="00680BF0" w14:paraId="7F289FFE" w14:textId="77777777">
      <w:pPr>
        <w:pStyle w:val="Bullets"/>
      </w:pPr>
      <w:r w:rsidRPr="00680BF0">
        <w:t>The R-squared (i.e., proportion of outcome variance explained by covariates)</w:t>
      </w:r>
    </w:p>
    <w:p w:rsidR="00680BF0" w:rsidRPr="00680BF0" w:rsidP="00680BF0" w14:paraId="548ECF0E" w14:textId="77777777">
      <w:pPr>
        <w:pStyle w:val="Bullets"/>
      </w:pPr>
      <w:r w:rsidRPr="00680BF0">
        <w:t>For cluster RCTs, the intraclass correlation coefficient (ICC)</w:t>
      </w:r>
    </w:p>
    <w:p w:rsidR="00680BF0" w:rsidRPr="00680BF0" w:rsidP="00680BF0" w14:paraId="05AA28A0" w14:textId="77777777">
      <w:pPr>
        <w:pStyle w:val="Bullets"/>
      </w:pPr>
      <w:r w:rsidRPr="00680BF0">
        <w:t>For cluster RCTs, the proportion of group-level outcome variance explained by covariates</w:t>
      </w:r>
    </w:p>
    <w:p w:rsidR="00680BF0" w:rsidRPr="00424FAE" w:rsidP="00680BF0" w14:paraId="6BE5421D" w14:textId="77777777">
      <w:pPr>
        <w:pStyle w:val="BodyText"/>
        <w:rPr>
          <w:rFonts w:asciiTheme="majorBidi" w:hAnsiTheme="majorBidi" w:cstheme="majorBidi"/>
        </w:rPr>
      </w:pPr>
      <w:r w:rsidRPr="00424FAE">
        <w:rPr>
          <w:rFonts w:asciiTheme="majorBidi" w:hAnsiTheme="majorBidi" w:cstheme="majorBidi"/>
        </w:rPr>
        <w:t xml:space="preserve">For additional information on </w:t>
      </w:r>
      <w:r w:rsidRPr="00424FAE">
        <w:rPr>
          <w:rFonts w:asciiTheme="majorBidi" w:hAnsiTheme="majorBidi" w:cstheme="majorBidi"/>
          <w:lang w:val="en-US"/>
        </w:rPr>
        <w:t>power</w:t>
      </w:r>
      <w:r w:rsidRPr="00424FAE">
        <w:rPr>
          <w:rFonts w:asciiTheme="majorBidi" w:hAnsiTheme="majorBidi" w:cstheme="majorBidi"/>
        </w:rPr>
        <w:t xml:space="preserve"> analysis, see </w:t>
      </w:r>
      <w:hyperlink r:id="rId27" w:history="1">
        <w:r w:rsidRPr="00424FAE">
          <w:rPr>
            <w:rStyle w:val="Hyperlink"/>
            <w:rFonts w:asciiTheme="majorBidi" w:hAnsiTheme="majorBidi" w:cstheme="majorBidi"/>
            <w:lang w:val="en-US"/>
          </w:rPr>
          <w:t>https://opa.hhs.gov/sites/default/files/2020-07/mdi-tabrief.pdf</w:t>
        </w:r>
      </w:hyperlink>
      <w:r w:rsidRPr="00424FAE">
        <w:rPr>
          <w:rStyle w:val="Hyperlink"/>
          <w:rFonts w:asciiTheme="majorBidi" w:hAnsiTheme="majorBidi" w:cstheme="majorBidi"/>
          <w:lang w:val="en-US"/>
        </w:rPr>
        <w:t xml:space="preserve"> </w:t>
      </w:r>
      <w:r w:rsidRPr="00424FAE">
        <w:rPr>
          <w:rFonts w:asciiTheme="majorBidi" w:hAnsiTheme="majorBidi" w:cstheme="majorBidi"/>
        </w:rPr>
        <w:t xml:space="preserve"> or the LES team’s power analysis webinar </w:t>
      </w:r>
      <w:hyperlink r:id="rId28" w:history="1">
        <w:r w:rsidRPr="00424FAE">
          <w:rPr>
            <w:rStyle w:val="Hyperlink"/>
            <w:rFonts w:asciiTheme="majorBidi" w:hAnsiTheme="majorBidi" w:cstheme="majorBidi"/>
          </w:rPr>
          <w:t>slides</w:t>
        </w:r>
      </w:hyperlink>
      <w:r w:rsidRPr="00424FAE">
        <w:rPr>
          <w:rFonts w:asciiTheme="majorBidi" w:hAnsiTheme="majorBidi" w:cstheme="majorBidi"/>
        </w:rPr>
        <w:t xml:space="preserve"> and </w:t>
      </w:r>
      <w:hyperlink r:id="rId29" w:history="1">
        <w:r w:rsidRPr="00424FAE">
          <w:rPr>
            <w:rStyle w:val="Hyperlink"/>
            <w:rFonts w:asciiTheme="majorBidi" w:hAnsiTheme="majorBidi" w:cstheme="majorBidi"/>
          </w:rPr>
          <w:t>recording</w:t>
        </w:r>
      </w:hyperlink>
      <w:r w:rsidRPr="00424FAE">
        <w:rPr>
          <w:rFonts w:asciiTheme="majorBidi" w:hAnsiTheme="majorBidi" w:cstheme="majorBidi"/>
        </w:rPr>
        <w:t>.</w:t>
      </w:r>
    </w:p>
    <w:tbl>
      <w:tblPr>
        <w:tblStyle w:val="TableGrid"/>
        <w:tblW w:w="9360" w:type="dxa"/>
        <w:shd w:val="clear" w:color="auto" w:fill="B8DEE6"/>
        <w:tblLook w:val="04A0"/>
      </w:tblPr>
      <w:tblGrid>
        <w:gridCol w:w="9360"/>
      </w:tblGrid>
      <w:tr w14:paraId="2F4F0FB8" w14:textId="77777777" w:rsidTr="00A837D1">
        <w:tblPrEx>
          <w:tblW w:w="9360" w:type="dxa"/>
          <w:shd w:val="clear" w:color="auto" w:fill="B8DEE6"/>
          <w:tblLook w:val="04A0"/>
        </w:tblPrEx>
        <w:tc>
          <w:tcPr>
            <w:tcW w:w="9360" w:type="dxa"/>
            <w:shd w:val="clear" w:color="auto" w:fill="B8DEE6"/>
          </w:tcPr>
          <w:p w:rsidR="00424FAE" w:rsidRPr="00424FAE" w:rsidP="00A837D1" w14:paraId="74A9C09C" w14:textId="3B315F4E">
            <w:pPr>
              <w:pStyle w:val="Call-OutBoxText"/>
              <w:rPr>
                <w:szCs w:val="20"/>
              </w:rPr>
            </w:pPr>
            <w:r w:rsidRPr="00424FAE">
              <w:rPr>
                <w:b/>
                <w:bCs/>
                <w:szCs w:val="20"/>
              </w:rPr>
              <w:t>Tip:</w:t>
            </w:r>
            <w:r w:rsidRPr="00424FAE">
              <w:rPr>
                <w:szCs w:val="20"/>
              </w:rPr>
              <w:t xml:space="preserve"> When conducting your power analyses, make sure that you factor in the response rates that you anticipate achieving. For example, if your baseline sample size is 1,000 (500 treatment group members and 500 control group members) and you expect an 80% response rate on the long-term follow up survey, your power analysis should use assume a sample size of 800 (400 treatment and 400 control group members). Your LES Liaison can provide support and additional resources for conducting a power analysis.</w:t>
            </w:r>
          </w:p>
        </w:tc>
      </w:tr>
    </w:tbl>
    <w:p w:rsidR="00424FAE" w:rsidRPr="00282841" w:rsidP="00424FAE" w14:paraId="071AC0D1" w14:textId="77777777">
      <w:pPr>
        <w:pStyle w:val="BodyText"/>
        <w:rPr>
          <w:lang w:val="en-US"/>
        </w:rPr>
      </w:pPr>
    </w:p>
    <w:p w:rsidR="00424FAE" w:rsidRPr="00424FAE" w:rsidP="00424FAE" w14:paraId="52E2E454" w14:textId="77777777">
      <w:pPr>
        <w:pStyle w:val="Heading3"/>
      </w:pPr>
      <w:bookmarkStart w:id="9" w:name="_Toc178102440"/>
      <w:r w:rsidRPr="00424FAE">
        <w:t>2.5.5</w:t>
      </w:r>
      <w:r w:rsidRPr="00424FAE">
        <w:tab/>
        <w:t>Differences in approach for secondary contrasts</w:t>
      </w:r>
      <w:bookmarkEnd w:id="9"/>
    </w:p>
    <w:p w:rsidR="00424FAE" w:rsidRPr="00424FAE" w:rsidP="00424FAE" w14:paraId="655E5117" w14:textId="77777777">
      <w:pPr>
        <w:pStyle w:val="BodyText"/>
        <w:rPr>
          <w:lang w:val="en-US"/>
        </w:rPr>
      </w:pPr>
      <w:r w:rsidRPr="00424FAE">
        <w:rPr>
          <w:lang w:val="en-US"/>
        </w:rPr>
        <w:t>Specify your procedures for conducting analyses to address secondary contrasts, if they differ from the procedures described above. If analytic approaches for primary and secondary contrasts are identical, note that here.</w:t>
      </w:r>
    </w:p>
    <w:p w:rsidR="00424FAE" w:rsidRPr="00424FAE" w:rsidP="00424FAE" w14:paraId="6E59D2BE" w14:textId="77777777">
      <w:pPr>
        <w:pStyle w:val="Heading3"/>
      </w:pPr>
      <w:bookmarkStart w:id="10" w:name="_Toc178102441"/>
      <w:r w:rsidRPr="00424FAE">
        <w:t>2.5.6</w:t>
      </w:r>
      <w:r w:rsidRPr="00424FAE">
        <w:tab/>
        <w:t>Summary of contrasts</w:t>
      </w:r>
      <w:bookmarkEnd w:id="10"/>
    </w:p>
    <w:p w:rsidR="00424FAE" w:rsidRPr="00424FAE" w:rsidP="00424FAE" w14:paraId="06F6B8BD" w14:textId="77777777">
      <w:pPr>
        <w:pStyle w:val="BodyText"/>
        <w:rPr>
          <w:lang w:val="en-US"/>
        </w:rPr>
      </w:pPr>
      <w:r w:rsidRPr="00424FAE">
        <w:rPr>
          <w:lang w:val="en-US"/>
        </w:rPr>
        <w:t xml:space="preserve">Update the description of the test(s)/contrast(s) (from section 2.5.2 of your evaluation plan) that will answer each of your research questions, and note whether the test is primary (i.e., those upon which you will draw outcome evaluation conclusions) or secondary (i.e., those that might provide additional suggestive evidence). To help complete this section, we suggest completing the contrast table in Appendix B. If you have not made any changes to your contrasts, you can </w:t>
      </w:r>
      <w:r w:rsidRPr="00424FAE">
        <w:rPr>
          <w:lang w:val="en-US"/>
        </w:rPr>
        <w:t>copy/paste Section 2.5.2 of your original evaluation plan into Section 2.5.6 (this section) and Appendix B of your revised evaluation plan.</w:t>
      </w:r>
    </w:p>
    <w:p w:rsidR="00424FAE" w:rsidRPr="00424FAE" w:rsidP="00424FAE" w14:paraId="4219EBEC" w14:textId="77777777">
      <w:pPr>
        <w:pStyle w:val="Heading3"/>
      </w:pPr>
      <w:bookmarkStart w:id="11" w:name="_Toc178102442"/>
      <w:r w:rsidRPr="00424FAE">
        <w:t>2.5.7</w:t>
      </w:r>
      <w:r w:rsidRPr="00424FAE">
        <w:tab/>
        <w:t>Reporting results</w:t>
      </w:r>
      <w:bookmarkEnd w:id="11"/>
    </w:p>
    <w:p w:rsidR="00424FAE" w:rsidRPr="00424FAE" w:rsidP="00424FAE" w14:paraId="777C9E96" w14:textId="2DEF7DF7">
      <w:pPr>
        <w:pStyle w:val="BodyText"/>
        <w:rPr>
          <w:lang w:val="en-US"/>
        </w:rPr>
      </w:pPr>
      <w:r w:rsidRPr="00424FAE">
        <w:rPr>
          <w:lang w:val="en-US"/>
        </w:rPr>
        <w:t xml:space="preserve">Specify how </w:t>
      </w:r>
      <w:r w:rsidR="005C4190">
        <w:rPr>
          <w:lang w:val="en-US"/>
        </w:rPr>
        <w:t xml:space="preserve">you anticipate presenting </w:t>
      </w:r>
      <w:r w:rsidRPr="00424FAE">
        <w:rPr>
          <w:lang w:val="en-US"/>
        </w:rPr>
        <w:t xml:space="preserve">impact results </w:t>
      </w:r>
      <w:r w:rsidR="005C4190">
        <w:rPr>
          <w:lang w:val="en-US"/>
        </w:rPr>
        <w:t xml:space="preserve">in your final impact evaluation report </w:t>
      </w:r>
      <w:r w:rsidR="00FF4C78">
        <w:rPr>
          <w:lang w:val="en-US"/>
        </w:rPr>
        <w:t>that will be submitted to</w:t>
      </w:r>
      <w:r w:rsidR="002F29A2">
        <w:rPr>
          <w:lang w:val="en-US"/>
        </w:rPr>
        <w:t xml:space="preserve"> </w:t>
      </w:r>
      <w:r w:rsidR="005C4190">
        <w:rPr>
          <w:lang w:val="en-US"/>
        </w:rPr>
        <w:t>ACF, using table shells</w:t>
      </w:r>
      <w:r w:rsidRPr="00424FAE">
        <w:rPr>
          <w:lang w:val="en-US"/>
        </w:rPr>
        <w:t xml:space="preserve">. The table shells should reflect the decisions you have made about what types of information to report (e.g., will the team report T and C group </w:t>
      </w:r>
      <w:r w:rsidRPr="00424FAE">
        <w:rPr>
          <w:lang w:val="en-US"/>
        </w:rPr>
        <w:t>means</w:t>
      </w:r>
      <w:r w:rsidRPr="00424FAE">
        <w:rPr>
          <w:lang w:val="en-US"/>
        </w:rPr>
        <w:t xml:space="preserve"> and the regression-adjusted difference? Standard errors? Confidence intervals? P-values? Sample sizes?) as well as the format for displaying the information (e.g., separate tables for each follow up period or one table showing results for both short- and long-term follow ups). </w:t>
      </w:r>
    </w:p>
    <w:p w:rsidR="00680BF0" w:rsidP="00424FAE" w14:paraId="7D1ACB59" w14:textId="02DCE93E">
      <w:pPr>
        <w:pStyle w:val="BodyText"/>
        <w:rPr>
          <w:lang w:val="en-US"/>
        </w:rPr>
      </w:pPr>
      <w:r w:rsidRPr="00424FAE">
        <w:rPr>
          <w:lang w:val="en-US"/>
        </w:rPr>
        <w:t>Below are some examples of what a table shell might look like. (You do not have to use any of these formats):</w:t>
      </w:r>
    </w:p>
    <w:p w:rsidR="00424FAE" w:rsidRPr="00424FAE" w:rsidP="00424FAE" w14:paraId="638690F4" w14:textId="67398629">
      <w:pPr>
        <w:pStyle w:val="Caption"/>
      </w:pPr>
      <w:r w:rsidRPr="00424FAE">
        <w:t>Table Shell for Impacts: Example 1 (Binary outcomes – reporting in original metric of the data)</w:t>
      </w:r>
    </w:p>
    <w:tbl>
      <w:tblPr>
        <w:tblStyle w:val="Style1"/>
        <w:tblW w:w="4945" w:type="pct"/>
        <w:tblLayout w:type="fixed"/>
        <w:tblLook w:val="04A0"/>
      </w:tblPr>
      <w:tblGrid>
        <w:gridCol w:w="1800"/>
        <w:gridCol w:w="1078"/>
        <w:gridCol w:w="1078"/>
        <w:gridCol w:w="1265"/>
        <w:gridCol w:w="1200"/>
        <w:gridCol w:w="1265"/>
        <w:gridCol w:w="1561"/>
      </w:tblGrid>
      <w:tr w14:paraId="43346AD5" w14:textId="77777777" w:rsidTr="00424FAE">
        <w:tblPrEx>
          <w:tblW w:w="4945" w:type="pct"/>
          <w:tblLayout w:type="fixed"/>
          <w:tblLook w:val="04A0"/>
        </w:tblPrEx>
        <w:tc>
          <w:tcPr>
            <w:tcW w:w="973" w:type="pct"/>
            <w:vAlign w:val="center"/>
          </w:tcPr>
          <w:p w:rsidR="00424FAE" w:rsidRPr="00424FAE" w:rsidP="00193DF4" w14:paraId="6AF814E2" w14:textId="77777777">
            <w:pPr>
              <w:pStyle w:val="TableColumnHeader"/>
            </w:pPr>
            <w:r w:rsidRPr="00424FAE">
              <w:t>Outcome</w:t>
            </w:r>
          </w:p>
        </w:tc>
        <w:tc>
          <w:tcPr>
            <w:tcW w:w="583" w:type="pct"/>
            <w:vAlign w:val="center"/>
          </w:tcPr>
          <w:p w:rsidR="00424FAE" w:rsidRPr="00424FAE" w:rsidP="00193DF4" w14:paraId="4A460202" w14:textId="77777777">
            <w:pPr>
              <w:pStyle w:val="TableColumnHeader"/>
            </w:pPr>
            <w:r w:rsidRPr="00424FAE">
              <w:t>Treatment Group</w:t>
            </w:r>
          </w:p>
          <w:p w:rsidR="00424FAE" w:rsidRPr="00424FAE" w:rsidP="00193DF4" w14:paraId="7AC7F3BE" w14:textId="77777777">
            <w:pPr>
              <w:pStyle w:val="TableColumnHeader"/>
            </w:pPr>
            <w:r w:rsidRPr="00424FAE">
              <w:t>Mean</w:t>
            </w:r>
          </w:p>
        </w:tc>
        <w:tc>
          <w:tcPr>
            <w:tcW w:w="583" w:type="pct"/>
            <w:vAlign w:val="center"/>
          </w:tcPr>
          <w:p w:rsidR="00424FAE" w:rsidRPr="00424FAE" w:rsidP="00193DF4" w14:paraId="63DECB3D" w14:textId="77777777">
            <w:pPr>
              <w:pStyle w:val="TableColumnHeader"/>
            </w:pPr>
            <w:r w:rsidRPr="00424FAE">
              <w:t>Control Group</w:t>
            </w:r>
          </w:p>
          <w:p w:rsidR="00424FAE" w:rsidRPr="00424FAE" w:rsidP="00193DF4" w14:paraId="7527CFE1" w14:textId="77777777">
            <w:pPr>
              <w:pStyle w:val="TableColumnHeader"/>
            </w:pPr>
            <w:r w:rsidRPr="00424FAE">
              <w:t>Mean</w:t>
            </w:r>
          </w:p>
        </w:tc>
        <w:tc>
          <w:tcPr>
            <w:tcW w:w="684" w:type="pct"/>
            <w:vAlign w:val="center"/>
          </w:tcPr>
          <w:p w:rsidR="00424FAE" w:rsidRPr="00424FAE" w:rsidP="00193DF4" w14:paraId="135EDA16" w14:textId="77777777">
            <w:pPr>
              <w:pStyle w:val="TableColumnHeader"/>
            </w:pPr>
            <w:r w:rsidRPr="00424FAE">
              <w:t>Impact</w:t>
            </w:r>
            <w:r w:rsidRPr="00424FAE">
              <w:br/>
              <w:t>(Difference)</w:t>
            </w:r>
          </w:p>
        </w:tc>
        <w:tc>
          <w:tcPr>
            <w:tcW w:w="649" w:type="pct"/>
            <w:vAlign w:val="center"/>
          </w:tcPr>
          <w:p w:rsidR="00424FAE" w:rsidRPr="00424FAE" w:rsidP="00193DF4" w14:paraId="38E12E79" w14:textId="77777777">
            <w:pPr>
              <w:pStyle w:val="TableColumnHeader"/>
            </w:pPr>
            <w:r w:rsidRPr="00424FAE">
              <w:t>Standard Error</w:t>
            </w:r>
          </w:p>
        </w:tc>
        <w:tc>
          <w:tcPr>
            <w:tcW w:w="684" w:type="pct"/>
            <w:vAlign w:val="center"/>
          </w:tcPr>
          <w:p w:rsidR="00424FAE" w:rsidRPr="00424FAE" w:rsidP="00193DF4" w14:paraId="31C09F71" w14:textId="77777777">
            <w:pPr>
              <w:pStyle w:val="TableColumnHeader"/>
            </w:pPr>
            <w:r w:rsidRPr="00424FAE">
              <w:t>Relative Impact</w:t>
            </w:r>
            <w:r w:rsidRPr="00424FAE">
              <w:br/>
              <w:t>(%)</w:t>
            </w:r>
          </w:p>
        </w:tc>
        <w:tc>
          <w:tcPr>
            <w:tcW w:w="844" w:type="pct"/>
            <w:vAlign w:val="center"/>
          </w:tcPr>
          <w:p w:rsidR="00424FAE" w:rsidRPr="00424FAE" w:rsidP="00193DF4" w14:paraId="45B17077" w14:textId="77777777">
            <w:pPr>
              <w:pStyle w:val="TableColumnHeader"/>
            </w:pPr>
            <w:r w:rsidRPr="00424FAE">
              <w:t>95% Confidence Interval</w:t>
            </w:r>
          </w:p>
        </w:tc>
      </w:tr>
      <w:tr w14:paraId="2DC06CD8" w14:textId="77777777" w:rsidTr="00424FAE">
        <w:tblPrEx>
          <w:tblW w:w="4945" w:type="pct"/>
          <w:tblLayout w:type="fixed"/>
          <w:tblLook w:val="04A0"/>
        </w:tblPrEx>
        <w:tc>
          <w:tcPr>
            <w:tcW w:w="5000" w:type="pct"/>
            <w:gridSpan w:val="7"/>
            <w:shd w:val="clear" w:color="auto" w:fill="FFFFFF"/>
          </w:tcPr>
          <w:p w:rsidR="00424FAE" w:rsidRPr="00193DF4" w:rsidP="00193DF4" w14:paraId="4CF352E8" w14:textId="77777777">
            <w:pPr>
              <w:pStyle w:val="TableText"/>
              <w:rPr>
                <w:b/>
              </w:rPr>
            </w:pPr>
            <w:r w:rsidRPr="00193DF4">
              <w:rPr>
                <w:b/>
              </w:rPr>
              <w:t>Outcome 1</w:t>
            </w:r>
          </w:p>
        </w:tc>
      </w:tr>
      <w:tr w14:paraId="0044A146" w14:textId="77777777" w:rsidTr="00193DF4">
        <w:tblPrEx>
          <w:tblW w:w="4945" w:type="pct"/>
          <w:tblLayout w:type="fixed"/>
          <w:tblLook w:val="04A0"/>
        </w:tblPrEx>
        <w:tc>
          <w:tcPr>
            <w:tcW w:w="973" w:type="pct"/>
          </w:tcPr>
          <w:p w:rsidR="00424FAE" w:rsidRPr="00424FAE" w:rsidP="00193DF4" w14:paraId="4A1C56C9" w14:textId="77777777">
            <w:pPr>
              <w:pStyle w:val="TableText"/>
            </w:pPr>
            <w:r w:rsidRPr="00424FAE">
              <w:t xml:space="preserve">    3-month follow-up</w:t>
            </w:r>
          </w:p>
        </w:tc>
        <w:tc>
          <w:tcPr>
            <w:tcW w:w="583" w:type="pct"/>
            <w:vAlign w:val="center"/>
          </w:tcPr>
          <w:p w:rsidR="00424FAE" w:rsidRPr="00424FAE" w:rsidP="00193DF4" w14:paraId="3C3A3F53" w14:textId="77777777">
            <w:pPr>
              <w:pStyle w:val="TableText"/>
              <w:jc w:val="center"/>
            </w:pPr>
            <w:r w:rsidRPr="00424FAE">
              <w:t>0.60</w:t>
            </w:r>
          </w:p>
        </w:tc>
        <w:tc>
          <w:tcPr>
            <w:tcW w:w="583" w:type="pct"/>
            <w:vAlign w:val="center"/>
          </w:tcPr>
          <w:p w:rsidR="00424FAE" w:rsidRPr="00424FAE" w:rsidP="00193DF4" w14:paraId="219C38FB" w14:textId="77777777">
            <w:pPr>
              <w:pStyle w:val="TableText"/>
              <w:jc w:val="center"/>
            </w:pPr>
            <w:r w:rsidRPr="00424FAE">
              <w:t>0.55</w:t>
            </w:r>
          </w:p>
        </w:tc>
        <w:tc>
          <w:tcPr>
            <w:tcW w:w="684" w:type="pct"/>
            <w:vAlign w:val="center"/>
          </w:tcPr>
          <w:p w:rsidR="00424FAE" w:rsidRPr="00424FAE" w:rsidP="00193DF4" w14:paraId="0142C942" w14:textId="77777777">
            <w:pPr>
              <w:pStyle w:val="TableText"/>
              <w:jc w:val="center"/>
            </w:pPr>
            <w:r w:rsidRPr="00424FAE">
              <w:t>0.05**</w:t>
            </w:r>
          </w:p>
        </w:tc>
        <w:tc>
          <w:tcPr>
            <w:tcW w:w="649" w:type="pct"/>
            <w:vAlign w:val="center"/>
          </w:tcPr>
          <w:p w:rsidR="00424FAE" w:rsidRPr="00424FAE" w:rsidP="00193DF4" w14:paraId="7A2F94CE" w14:textId="77777777">
            <w:pPr>
              <w:pStyle w:val="TableText"/>
              <w:jc w:val="center"/>
            </w:pPr>
            <w:r w:rsidRPr="00424FAE">
              <w:t>0.01</w:t>
            </w:r>
          </w:p>
        </w:tc>
        <w:tc>
          <w:tcPr>
            <w:tcW w:w="684" w:type="pct"/>
            <w:vAlign w:val="center"/>
          </w:tcPr>
          <w:p w:rsidR="00424FAE" w:rsidRPr="00424FAE" w:rsidP="00193DF4" w14:paraId="0E6CAD02" w14:textId="77777777">
            <w:pPr>
              <w:pStyle w:val="TableText"/>
              <w:jc w:val="center"/>
            </w:pPr>
            <w:r w:rsidRPr="00424FAE">
              <w:t>8%</w:t>
            </w:r>
          </w:p>
        </w:tc>
        <w:tc>
          <w:tcPr>
            <w:tcW w:w="844" w:type="pct"/>
            <w:vAlign w:val="center"/>
          </w:tcPr>
          <w:p w:rsidR="00424FAE" w:rsidRPr="00424FAE" w:rsidP="00193DF4" w14:paraId="7A35E2A4" w14:textId="77777777">
            <w:pPr>
              <w:pStyle w:val="TableText"/>
              <w:jc w:val="center"/>
            </w:pPr>
            <w:r w:rsidRPr="00424FAE">
              <w:t>[0.01, 0.09]</w:t>
            </w:r>
          </w:p>
        </w:tc>
      </w:tr>
      <w:tr w14:paraId="1682D4C0" w14:textId="77777777" w:rsidTr="00193DF4">
        <w:tblPrEx>
          <w:tblW w:w="4945" w:type="pct"/>
          <w:tblLayout w:type="fixed"/>
          <w:tblLook w:val="04A0"/>
        </w:tblPrEx>
        <w:tc>
          <w:tcPr>
            <w:tcW w:w="973" w:type="pct"/>
          </w:tcPr>
          <w:p w:rsidR="00424FAE" w:rsidRPr="00424FAE" w:rsidP="00193DF4" w14:paraId="63EB98EC" w14:textId="77777777">
            <w:pPr>
              <w:pStyle w:val="TableText"/>
            </w:pPr>
            <w:r w:rsidRPr="00424FAE">
              <w:t xml:space="preserve">    12-month follow-up</w:t>
            </w:r>
          </w:p>
        </w:tc>
        <w:tc>
          <w:tcPr>
            <w:tcW w:w="583" w:type="pct"/>
            <w:vAlign w:val="center"/>
          </w:tcPr>
          <w:p w:rsidR="00424FAE" w:rsidRPr="00424FAE" w:rsidP="00193DF4" w14:paraId="6056932A" w14:textId="77777777">
            <w:pPr>
              <w:pStyle w:val="TableText"/>
              <w:jc w:val="center"/>
            </w:pPr>
            <w:r w:rsidRPr="00424FAE">
              <w:t>0.60</w:t>
            </w:r>
          </w:p>
        </w:tc>
        <w:tc>
          <w:tcPr>
            <w:tcW w:w="583" w:type="pct"/>
            <w:vAlign w:val="center"/>
          </w:tcPr>
          <w:p w:rsidR="00424FAE" w:rsidRPr="00424FAE" w:rsidP="00193DF4" w14:paraId="74589D07" w14:textId="77777777">
            <w:pPr>
              <w:pStyle w:val="TableText"/>
              <w:jc w:val="center"/>
            </w:pPr>
            <w:r w:rsidRPr="00424FAE">
              <w:t>0.55</w:t>
            </w:r>
          </w:p>
        </w:tc>
        <w:tc>
          <w:tcPr>
            <w:tcW w:w="684" w:type="pct"/>
            <w:vAlign w:val="center"/>
          </w:tcPr>
          <w:p w:rsidR="00424FAE" w:rsidRPr="00424FAE" w:rsidP="00193DF4" w14:paraId="068D0F88" w14:textId="77777777">
            <w:pPr>
              <w:pStyle w:val="TableText"/>
              <w:jc w:val="center"/>
            </w:pPr>
            <w:r w:rsidRPr="00424FAE">
              <w:t>0.05**</w:t>
            </w:r>
          </w:p>
        </w:tc>
        <w:tc>
          <w:tcPr>
            <w:tcW w:w="649" w:type="pct"/>
            <w:vAlign w:val="center"/>
          </w:tcPr>
          <w:p w:rsidR="00424FAE" w:rsidRPr="00424FAE" w:rsidP="00193DF4" w14:paraId="6C997CCA" w14:textId="77777777">
            <w:pPr>
              <w:pStyle w:val="TableText"/>
              <w:jc w:val="center"/>
            </w:pPr>
            <w:r w:rsidRPr="00424FAE">
              <w:t>0.01</w:t>
            </w:r>
          </w:p>
        </w:tc>
        <w:tc>
          <w:tcPr>
            <w:tcW w:w="684" w:type="pct"/>
            <w:vAlign w:val="center"/>
          </w:tcPr>
          <w:p w:rsidR="00424FAE" w:rsidRPr="00424FAE" w:rsidP="00193DF4" w14:paraId="57554DEA" w14:textId="77777777">
            <w:pPr>
              <w:pStyle w:val="TableText"/>
              <w:jc w:val="center"/>
            </w:pPr>
            <w:r w:rsidRPr="00424FAE">
              <w:t>8%</w:t>
            </w:r>
          </w:p>
        </w:tc>
        <w:tc>
          <w:tcPr>
            <w:tcW w:w="844" w:type="pct"/>
            <w:vAlign w:val="center"/>
          </w:tcPr>
          <w:p w:rsidR="00424FAE" w:rsidRPr="00424FAE" w:rsidP="00193DF4" w14:paraId="7E9ADFA6" w14:textId="77777777">
            <w:pPr>
              <w:pStyle w:val="TableText"/>
              <w:jc w:val="center"/>
            </w:pPr>
            <w:r w:rsidRPr="00424FAE">
              <w:t>[0.01, 0.09]</w:t>
            </w:r>
          </w:p>
        </w:tc>
      </w:tr>
      <w:tr w14:paraId="10646B3A" w14:textId="77777777" w:rsidTr="00193DF4">
        <w:tblPrEx>
          <w:tblW w:w="4945" w:type="pct"/>
          <w:tblLayout w:type="fixed"/>
          <w:tblLook w:val="04A0"/>
        </w:tblPrEx>
        <w:tc>
          <w:tcPr>
            <w:tcW w:w="5000" w:type="pct"/>
            <w:gridSpan w:val="7"/>
            <w:vAlign w:val="center"/>
          </w:tcPr>
          <w:p w:rsidR="00424FAE" w:rsidRPr="00193DF4" w:rsidP="00193DF4" w14:paraId="34287D87" w14:textId="77777777">
            <w:pPr>
              <w:pStyle w:val="TableText"/>
              <w:rPr>
                <w:b/>
              </w:rPr>
            </w:pPr>
            <w:r w:rsidRPr="00193DF4">
              <w:rPr>
                <w:b/>
              </w:rPr>
              <w:t>Outcome 2</w:t>
            </w:r>
          </w:p>
        </w:tc>
      </w:tr>
      <w:tr w14:paraId="7D4BF343" w14:textId="77777777" w:rsidTr="00193DF4">
        <w:tblPrEx>
          <w:tblW w:w="4945" w:type="pct"/>
          <w:tblLayout w:type="fixed"/>
          <w:tblLook w:val="04A0"/>
        </w:tblPrEx>
        <w:tc>
          <w:tcPr>
            <w:tcW w:w="973" w:type="pct"/>
          </w:tcPr>
          <w:p w:rsidR="00424FAE" w:rsidRPr="00424FAE" w:rsidP="00193DF4" w14:paraId="777258F9" w14:textId="77777777">
            <w:pPr>
              <w:pStyle w:val="TableText"/>
            </w:pPr>
            <w:r w:rsidRPr="00424FAE">
              <w:t xml:space="preserve">    3-month follow-up</w:t>
            </w:r>
          </w:p>
        </w:tc>
        <w:tc>
          <w:tcPr>
            <w:tcW w:w="583" w:type="pct"/>
            <w:vAlign w:val="center"/>
          </w:tcPr>
          <w:p w:rsidR="00424FAE" w:rsidRPr="00424FAE" w:rsidP="00193DF4" w14:paraId="78CC3E8A" w14:textId="77777777">
            <w:pPr>
              <w:pStyle w:val="TableText"/>
              <w:jc w:val="center"/>
            </w:pPr>
            <w:r w:rsidRPr="00424FAE">
              <w:t>0.60</w:t>
            </w:r>
          </w:p>
        </w:tc>
        <w:tc>
          <w:tcPr>
            <w:tcW w:w="583" w:type="pct"/>
            <w:vAlign w:val="center"/>
          </w:tcPr>
          <w:p w:rsidR="00424FAE" w:rsidRPr="00424FAE" w:rsidP="00193DF4" w14:paraId="4E883E86" w14:textId="77777777">
            <w:pPr>
              <w:pStyle w:val="TableText"/>
              <w:jc w:val="center"/>
            </w:pPr>
            <w:r w:rsidRPr="00424FAE">
              <w:t>0.55</w:t>
            </w:r>
          </w:p>
        </w:tc>
        <w:tc>
          <w:tcPr>
            <w:tcW w:w="684" w:type="pct"/>
            <w:vAlign w:val="center"/>
          </w:tcPr>
          <w:p w:rsidR="00424FAE" w:rsidRPr="00424FAE" w:rsidP="00193DF4" w14:paraId="5BD38766" w14:textId="77777777">
            <w:pPr>
              <w:pStyle w:val="TableText"/>
              <w:jc w:val="center"/>
            </w:pPr>
            <w:r w:rsidRPr="00424FAE">
              <w:t>0.05**</w:t>
            </w:r>
          </w:p>
        </w:tc>
        <w:tc>
          <w:tcPr>
            <w:tcW w:w="649" w:type="pct"/>
            <w:vAlign w:val="center"/>
          </w:tcPr>
          <w:p w:rsidR="00424FAE" w:rsidRPr="00424FAE" w:rsidP="00193DF4" w14:paraId="5CFE4366" w14:textId="77777777">
            <w:pPr>
              <w:pStyle w:val="TableText"/>
              <w:jc w:val="center"/>
            </w:pPr>
            <w:r w:rsidRPr="00424FAE">
              <w:t>0.01</w:t>
            </w:r>
          </w:p>
        </w:tc>
        <w:tc>
          <w:tcPr>
            <w:tcW w:w="684" w:type="pct"/>
            <w:vAlign w:val="center"/>
          </w:tcPr>
          <w:p w:rsidR="00424FAE" w:rsidRPr="00424FAE" w:rsidP="00193DF4" w14:paraId="216C76C0" w14:textId="77777777">
            <w:pPr>
              <w:pStyle w:val="TableText"/>
              <w:jc w:val="center"/>
            </w:pPr>
            <w:r w:rsidRPr="00424FAE">
              <w:t>8%</w:t>
            </w:r>
          </w:p>
        </w:tc>
        <w:tc>
          <w:tcPr>
            <w:tcW w:w="844" w:type="pct"/>
            <w:vAlign w:val="center"/>
          </w:tcPr>
          <w:p w:rsidR="00424FAE" w:rsidRPr="00424FAE" w:rsidP="00193DF4" w14:paraId="59145D4B" w14:textId="77777777">
            <w:pPr>
              <w:pStyle w:val="TableText"/>
              <w:jc w:val="center"/>
            </w:pPr>
            <w:r w:rsidRPr="00424FAE">
              <w:t>[0.01, 0.09]</w:t>
            </w:r>
          </w:p>
        </w:tc>
      </w:tr>
      <w:tr w14:paraId="248A8ED1" w14:textId="77777777" w:rsidTr="00193DF4">
        <w:tblPrEx>
          <w:tblW w:w="4945" w:type="pct"/>
          <w:tblLayout w:type="fixed"/>
          <w:tblLook w:val="04A0"/>
        </w:tblPrEx>
        <w:tc>
          <w:tcPr>
            <w:tcW w:w="973" w:type="pct"/>
          </w:tcPr>
          <w:p w:rsidR="00424FAE" w:rsidRPr="00424FAE" w:rsidP="00193DF4" w14:paraId="65C05C8E" w14:textId="77777777">
            <w:pPr>
              <w:pStyle w:val="TableText"/>
            </w:pPr>
            <w:r w:rsidRPr="00424FAE">
              <w:t xml:space="preserve">    12-month follow-up</w:t>
            </w:r>
          </w:p>
        </w:tc>
        <w:tc>
          <w:tcPr>
            <w:tcW w:w="583" w:type="pct"/>
            <w:vAlign w:val="center"/>
          </w:tcPr>
          <w:p w:rsidR="00424FAE" w:rsidRPr="00424FAE" w:rsidP="00193DF4" w14:paraId="1FABA04F" w14:textId="77777777">
            <w:pPr>
              <w:pStyle w:val="TableText"/>
              <w:jc w:val="center"/>
            </w:pPr>
            <w:r w:rsidRPr="00424FAE">
              <w:t>0.60</w:t>
            </w:r>
          </w:p>
        </w:tc>
        <w:tc>
          <w:tcPr>
            <w:tcW w:w="583" w:type="pct"/>
            <w:vAlign w:val="center"/>
          </w:tcPr>
          <w:p w:rsidR="00424FAE" w:rsidRPr="00424FAE" w:rsidP="00193DF4" w14:paraId="1631BFAF" w14:textId="77777777">
            <w:pPr>
              <w:pStyle w:val="TableText"/>
              <w:jc w:val="center"/>
            </w:pPr>
            <w:r w:rsidRPr="00424FAE">
              <w:t>0.55</w:t>
            </w:r>
          </w:p>
        </w:tc>
        <w:tc>
          <w:tcPr>
            <w:tcW w:w="684" w:type="pct"/>
            <w:vAlign w:val="center"/>
          </w:tcPr>
          <w:p w:rsidR="00424FAE" w:rsidRPr="00424FAE" w:rsidP="00193DF4" w14:paraId="0D934CE8" w14:textId="77777777">
            <w:pPr>
              <w:pStyle w:val="TableText"/>
              <w:jc w:val="center"/>
            </w:pPr>
            <w:r w:rsidRPr="00424FAE">
              <w:t>0.05**</w:t>
            </w:r>
          </w:p>
        </w:tc>
        <w:tc>
          <w:tcPr>
            <w:tcW w:w="649" w:type="pct"/>
            <w:vAlign w:val="center"/>
          </w:tcPr>
          <w:p w:rsidR="00424FAE" w:rsidRPr="00424FAE" w:rsidP="00193DF4" w14:paraId="66FA19D3" w14:textId="77777777">
            <w:pPr>
              <w:pStyle w:val="TableText"/>
              <w:jc w:val="center"/>
            </w:pPr>
            <w:r w:rsidRPr="00424FAE">
              <w:t>0.01</w:t>
            </w:r>
          </w:p>
        </w:tc>
        <w:tc>
          <w:tcPr>
            <w:tcW w:w="684" w:type="pct"/>
            <w:vAlign w:val="center"/>
          </w:tcPr>
          <w:p w:rsidR="00424FAE" w:rsidRPr="00424FAE" w:rsidP="00193DF4" w14:paraId="23BDA0AD" w14:textId="77777777">
            <w:pPr>
              <w:pStyle w:val="TableText"/>
              <w:jc w:val="center"/>
            </w:pPr>
            <w:r w:rsidRPr="00424FAE">
              <w:t>8%</w:t>
            </w:r>
          </w:p>
        </w:tc>
        <w:tc>
          <w:tcPr>
            <w:tcW w:w="844" w:type="pct"/>
            <w:vAlign w:val="center"/>
          </w:tcPr>
          <w:p w:rsidR="00424FAE" w:rsidRPr="00424FAE" w:rsidP="00193DF4" w14:paraId="3CC9CB57" w14:textId="77777777">
            <w:pPr>
              <w:pStyle w:val="TableText"/>
              <w:jc w:val="center"/>
            </w:pPr>
            <w:r w:rsidRPr="00424FAE">
              <w:t>[0.01, 0.09]</w:t>
            </w:r>
          </w:p>
        </w:tc>
      </w:tr>
    </w:tbl>
    <w:p w:rsidR="00424FAE" w:rsidP="00424FAE" w14:paraId="04683A47" w14:textId="13DADC2D">
      <w:pPr>
        <w:pStyle w:val="TableSource"/>
      </w:pPr>
      <w:r w:rsidRPr="00424FAE">
        <w:t>Notes. This table reports the adjusted treatment group mean, control group mean, and difference between the treatment and control groups. Regressions include controls for age/grade, race/ethnicity, gender, and the outcome of interest at baseline. Robust standard errors are reported. Statistical significance, based on difference between research groups: *** 1 percent level; ** 5 percent level; * 10 percent level.</w:t>
      </w:r>
    </w:p>
    <w:p w:rsidR="00424FAE" w:rsidP="005219C1" w14:paraId="16126589" w14:textId="57AA2C65">
      <w:pPr>
        <w:pStyle w:val="Caption"/>
        <w:tabs>
          <w:tab w:val="clear" w:pos="1260"/>
        </w:tabs>
        <w:ind w:left="2340" w:hanging="2340"/>
      </w:pPr>
      <w:r w:rsidRPr="00424FAE">
        <w:t>Table Shell for Impacts: Example 2 (Binary outcomes – reporting percentages who responded affirmatively)</w:t>
      </w:r>
    </w:p>
    <w:tbl>
      <w:tblPr>
        <w:tblStyle w:val="Replicate"/>
        <w:tblW w:w="4985" w:type="pct"/>
        <w:tblLayout w:type="fixed"/>
        <w:tblLook w:val="04A0"/>
      </w:tblPr>
      <w:tblGrid>
        <w:gridCol w:w="1794"/>
        <w:gridCol w:w="964"/>
        <w:gridCol w:w="9"/>
        <w:gridCol w:w="1042"/>
        <w:gridCol w:w="11"/>
        <w:gridCol w:w="955"/>
        <w:gridCol w:w="11"/>
        <w:gridCol w:w="789"/>
        <w:gridCol w:w="938"/>
        <w:gridCol w:w="1050"/>
        <w:gridCol w:w="6"/>
        <w:gridCol w:w="971"/>
        <w:gridCol w:w="776"/>
        <w:gridCol w:w="6"/>
      </w:tblGrid>
      <w:tr w14:paraId="0CC8E5B7" w14:textId="77777777" w:rsidTr="00193DF4">
        <w:tblPrEx>
          <w:tblW w:w="4985" w:type="pct"/>
          <w:tblLayout w:type="fixed"/>
          <w:tblLook w:val="04A0"/>
        </w:tblPrEx>
        <w:trPr>
          <w:gridAfter w:val="1"/>
          <w:wAfter w:w="4" w:type="dxa"/>
          <w:cantSplit/>
          <w:tblHeader/>
        </w:trPr>
        <w:tc>
          <w:tcPr>
            <w:tcW w:w="963" w:type="pct"/>
            <w:vMerge w:val="restart"/>
            <w:tcBorders>
              <w:bottom w:val="single" w:sz="4" w:space="0" w:color="FFFFFF" w:themeColor="background1"/>
              <w:right w:val="single" w:sz="4" w:space="0" w:color="FFFFFF" w:themeColor="background1"/>
            </w:tcBorders>
            <w:shd w:val="clear" w:color="auto" w:fill="156082"/>
          </w:tcPr>
          <w:p w:rsidR="00424FAE" w:rsidRPr="00193DF4" w:rsidP="00193DF4" w14:paraId="33D0D06B" w14:textId="77777777">
            <w:pPr>
              <w:pStyle w:val="TableColumnHeader"/>
              <w:rPr>
                <w:b/>
                <w:bCs/>
                <w:sz w:val="18"/>
                <w:szCs w:val="18"/>
              </w:rPr>
            </w:pPr>
            <w:r w:rsidRPr="00193DF4">
              <w:rPr>
                <w:b/>
                <w:bCs/>
                <w:sz w:val="18"/>
                <w:szCs w:val="18"/>
              </w:rPr>
              <w:t>Outcome</w:t>
            </w:r>
          </w:p>
        </w:tc>
        <w:tc>
          <w:tcPr>
            <w:tcW w:w="2028" w:type="pct"/>
            <w:gridSpan w:val="7"/>
            <w:tcBorders>
              <w:left w:val="single" w:sz="4" w:space="0" w:color="FFFFFF" w:themeColor="background1"/>
              <w:bottom w:val="single" w:sz="4" w:space="0" w:color="FFFFFF" w:themeColor="background1"/>
              <w:right w:val="single" w:sz="4" w:space="0" w:color="FFFFFF" w:themeColor="background1"/>
            </w:tcBorders>
            <w:shd w:val="clear" w:color="auto" w:fill="156082"/>
          </w:tcPr>
          <w:p w:rsidR="00424FAE" w:rsidRPr="00193DF4" w:rsidP="00193DF4" w14:paraId="6CD87B06" w14:textId="77777777">
            <w:pPr>
              <w:pStyle w:val="TableColumnHeader"/>
              <w:rPr>
                <w:b/>
                <w:bCs/>
                <w:sz w:val="18"/>
                <w:szCs w:val="18"/>
              </w:rPr>
            </w:pPr>
            <w:r w:rsidRPr="00193DF4">
              <w:rPr>
                <w:b/>
                <w:bCs/>
                <w:sz w:val="18"/>
                <w:szCs w:val="18"/>
              </w:rPr>
              <w:t>Short-Term Impacts</w:t>
            </w:r>
          </w:p>
        </w:tc>
        <w:tc>
          <w:tcPr>
            <w:tcW w:w="2005" w:type="pct"/>
            <w:gridSpan w:val="5"/>
            <w:tcBorders>
              <w:left w:val="single" w:sz="4" w:space="0" w:color="FFFFFF" w:themeColor="background1"/>
              <w:bottom w:val="single" w:sz="4" w:space="0" w:color="FFFFFF" w:themeColor="background1"/>
            </w:tcBorders>
            <w:shd w:val="clear" w:color="auto" w:fill="156082"/>
          </w:tcPr>
          <w:p w:rsidR="00424FAE" w:rsidRPr="00193DF4" w:rsidP="00193DF4" w14:paraId="47F4936F" w14:textId="77777777">
            <w:pPr>
              <w:pStyle w:val="TableColumnHeader"/>
              <w:rPr>
                <w:b/>
                <w:bCs/>
                <w:sz w:val="18"/>
                <w:szCs w:val="18"/>
              </w:rPr>
            </w:pPr>
            <w:r w:rsidRPr="00193DF4">
              <w:rPr>
                <w:b/>
                <w:bCs/>
                <w:sz w:val="18"/>
                <w:szCs w:val="18"/>
              </w:rPr>
              <w:t>Longer-Term Impacts</w:t>
            </w:r>
          </w:p>
        </w:tc>
      </w:tr>
      <w:tr w14:paraId="42F7FB0E" w14:textId="77777777" w:rsidTr="00193DF4">
        <w:tblPrEx>
          <w:tblW w:w="4985" w:type="pct"/>
          <w:tblLayout w:type="fixed"/>
          <w:tblLook w:val="04A0"/>
        </w:tblPrEx>
        <w:trPr>
          <w:gridAfter w:val="1"/>
          <w:wAfter w:w="4" w:type="dxa"/>
          <w:cantSplit/>
          <w:tblHeader/>
        </w:trPr>
        <w:tc>
          <w:tcPr>
            <w:tcW w:w="963" w:type="pct"/>
            <w:vMerge/>
            <w:tcBorders>
              <w:top w:val="single" w:sz="4" w:space="0" w:color="FFFFFF" w:themeColor="background1"/>
              <w:right w:val="single" w:sz="4" w:space="0" w:color="FFFFFF" w:themeColor="background1"/>
            </w:tcBorders>
            <w:shd w:val="clear" w:color="auto" w:fill="156082"/>
            <w:hideMark/>
          </w:tcPr>
          <w:p w:rsidR="00424FAE" w:rsidRPr="00193DF4" w:rsidP="00193DF4" w14:paraId="12214F89" w14:textId="77777777">
            <w:pPr>
              <w:pStyle w:val="TableColumnHeader"/>
              <w:rPr>
                <w:b/>
                <w:bCs/>
                <w:sz w:val="18"/>
                <w:szCs w:val="18"/>
              </w:rPr>
            </w:pPr>
          </w:p>
        </w:tc>
        <w:tc>
          <w:tcPr>
            <w:tcW w:w="522" w:type="pct"/>
            <w:gridSpan w:val="2"/>
            <w:tcBorders>
              <w:top w:val="single" w:sz="4" w:space="0" w:color="FFFFFF" w:themeColor="background1"/>
              <w:left w:val="single" w:sz="4" w:space="0" w:color="FFFFFF" w:themeColor="background1"/>
              <w:right w:val="single" w:sz="4" w:space="0" w:color="FFFFFF" w:themeColor="background1"/>
            </w:tcBorders>
            <w:shd w:val="clear" w:color="auto" w:fill="156082"/>
            <w:hideMark/>
          </w:tcPr>
          <w:p w:rsidR="00424FAE" w:rsidRPr="00193DF4" w:rsidP="00193DF4" w14:paraId="22F4FB23" w14:textId="77777777">
            <w:pPr>
              <w:pStyle w:val="TableColumnHeader"/>
              <w:rPr>
                <w:b/>
                <w:bCs/>
                <w:sz w:val="18"/>
                <w:szCs w:val="18"/>
              </w:rPr>
            </w:pPr>
            <w:r w:rsidRPr="00193DF4">
              <w:rPr>
                <w:b/>
                <w:bCs/>
                <w:sz w:val="18"/>
                <w:szCs w:val="18"/>
              </w:rPr>
              <w:t>Adjusted Treatment Mean</w:t>
            </w:r>
            <w:r w:rsidRPr="00193DF4">
              <w:rPr>
                <w:rFonts w:cs="Times New Roman Bold"/>
                <w:b/>
                <w:bCs/>
                <w:sz w:val="18"/>
                <w:szCs w:val="18"/>
                <w:vertAlign w:val="superscript"/>
              </w:rPr>
              <w:t>a</w:t>
            </w:r>
          </w:p>
        </w:tc>
        <w:tc>
          <w:tcPr>
            <w:tcW w:w="565" w:type="pct"/>
            <w:gridSpan w:val="2"/>
            <w:tcBorders>
              <w:top w:val="single" w:sz="4" w:space="0" w:color="FFFFFF" w:themeColor="background1"/>
              <w:left w:val="single" w:sz="4" w:space="0" w:color="FFFFFF" w:themeColor="background1"/>
              <w:right w:val="single" w:sz="4" w:space="0" w:color="FFFFFF" w:themeColor="background1"/>
            </w:tcBorders>
            <w:shd w:val="clear" w:color="auto" w:fill="156082"/>
            <w:hideMark/>
          </w:tcPr>
          <w:p w:rsidR="00424FAE" w:rsidRPr="00193DF4" w:rsidP="00193DF4" w14:paraId="2B532251" w14:textId="77777777">
            <w:pPr>
              <w:pStyle w:val="TableColumnHeader"/>
              <w:rPr>
                <w:b/>
                <w:bCs/>
                <w:sz w:val="18"/>
                <w:szCs w:val="18"/>
              </w:rPr>
            </w:pPr>
            <w:r w:rsidRPr="00193DF4">
              <w:rPr>
                <w:b/>
                <w:bCs/>
                <w:sz w:val="18"/>
                <w:szCs w:val="18"/>
              </w:rPr>
              <w:t>Unadjusted Control Mean</w:t>
            </w:r>
          </w:p>
        </w:tc>
        <w:tc>
          <w:tcPr>
            <w:tcW w:w="518" w:type="pct"/>
            <w:gridSpan w:val="2"/>
            <w:tcBorders>
              <w:top w:val="single" w:sz="4" w:space="0" w:color="FFFFFF" w:themeColor="background1"/>
              <w:left w:val="single" w:sz="4" w:space="0" w:color="FFFFFF" w:themeColor="background1"/>
              <w:right w:val="single" w:sz="4" w:space="0" w:color="FFFFFF" w:themeColor="background1"/>
            </w:tcBorders>
            <w:shd w:val="clear" w:color="auto" w:fill="156082"/>
            <w:hideMark/>
          </w:tcPr>
          <w:p w:rsidR="00424FAE" w:rsidRPr="00193DF4" w:rsidP="00193DF4" w14:paraId="2F584489" w14:textId="77777777">
            <w:pPr>
              <w:pStyle w:val="TableColumnHeader"/>
              <w:rPr>
                <w:b/>
                <w:bCs/>
                <w:sz w:val="18"/>
                <w:szCs w:val="18"/>
              </w:rPr>
            </w:pPr>
            <w:r w:rsidRPr="00193DF4">
              <w:rPr>
                <w:b/>
                <w:bCs/>
                <w:sz w:val="18"/>
                <w:szCs w:val="18"/>
              </w:rPr>
              <w:t xml:space="preserve">Treatment </w:t>
            </w:r>
            <w:r w:rsidRPr="00193DF4">
              <w:rPr>
                <w:b/>
                <w:bCs/>
                <w:sz w:val="18"/>
                <w:szCs w:val="18"/>
              </w:rPr>
              <w:t>Effect</w:t>
            </w:r>
            <w:r w:rsidRPr="00193DF4">
              <w:rPr>
                <w:rFonts w:cs="Times New Roman Bold"/>
                <w:b/>
                <w:bCs/>
                <w:sz w:val="18"/>
                <w:szCs w:val="18"/>
                <w:vertAlign w:val="superscript"/>
              </w:rPr>
              <w:t>b</w:t>
            </w:r>
          </w:p>
        </w:tc>
        <w:tc>
          <w:tcPr>
            <w:tcW w:w="423" w:type="pct"/>
            <w:tcBorders>
              <w:top w:val="single" w:sz="4" w:space="0" w:color="FFFFFF" w:themeColor="background1"/>
              <w:left w:val="single" w:sz="4" w:space="0" w:color="FFFFFF" w:themeColor="background1"/>
              <w:right w:val="single" w:sz="4" w:space="0" w:color="FFFFFF" w:themeColor="background1"/>
            </w:tcBorders>
            <w:shd w:val="clear" w:color="auto" w:fill="156082"/>
            <w:hideMark/>
          </w:tcPr>
          <w:p w:rsidR="00424FAE" w:rsidRPr="00193DF4" w:rsidP="00193DF4" w14:paraId="6849FDB4" w14:textId="77777777">
            <w:pPr>
              <w:pStyle w:val="TableColumnHeader"/>
              <w:rPr>
                <w:b/>
                <w:bCs/>
                <w:sz w:val="18"/>
                <w:szCs w:val="18"/>
              </w:rPr>
            </w:pPr>
            <w:r w:rsidRPr="00193DF4">
              <w:rPr>
                <w:b/>
                <w:bCs/>
                <w:sz w:val="18"/>
                <w:szCs w:val="18"/>
              </w:rPr>
              <w:t>p-Value</w:t>
            </w:r>
          </w:p>
        </w:tc>
        <w:tc>
          <w:tcPr>
            <w:tcW w:w="503" w:type="pct"/>
            <w:tcBorders>
              <w:top w:val="single" w:sz="4" w:space="0" w:color="FFFFFF" w:themeColor="background1"/>
              <w:left w:val="single" w:sz="4" w:space="0" w:color="FFFFFF" w:themeColor="background1"/>
              <w:right w:val="single" w:sz="4" w:space="0" w:color="FFFFFF" w:themeColor="background1"/>
            </w:tcBorders>
            <w:shd w:val="clear" w:color="auto" w:fill="156082"/>
          </w:tcPr>
          <w:p w:rsidR="00424FAE" w:rsidRPr="00193DF4" w:rsidP="00193DF4" w14:paraId="7996DC98" w14:textId="77777777">
            <w:pPr>
              <w:pStyle w:val="TableColumnHeader"/>
              <w:rPr>
                <w:b/>
                <w:bCs/>
                <w:sz w:val="18"/>
                <w:szCs w:val="18"/>
              </w:rPr>
            </w:pPr>
            <w:r w:rsidRPr="00193DF4">
              <w:rPr>
                <w:b/>
                <w:bCs/>
                <w:sz w:val="18"/>
                <w:szCs w:val="18"/>
              </w:rPr>
              <w:t>Adjusted Treatment Mean</w:t>
            </w:r>
            <w:r w:rsidRPr="00193DF4">
              <w:rPr>
                <w:rFonts w:cs="Times New Roman Bold"/>
                <w:b/>
                <w:bCs/>
                <w:sz w:val="18"/>
                <w:szCs w:val="18"/>
                <w:vertAlign w:val="superscript"/>
              </w:rPr>
              <w:t>a</w:t>
            </w:r>
          </w:p>
        </w:tc>
        <w:tc>
          <w:tcPr>
            <w:tcW w:w="566" w:type="pct"/>
            <w:gridSpan w:val="2"/>
            <w:tcBorders>
              <w:top w:val="single" w:sz="4" w:space="0" w:color="FFFFFF" w:themeColor="background1"/>
              <w:left w:val="single" w:sz="4" w:space="0" w:color="FFFFFF" w:themeColor="background1"/>
              <w:right w:val="single" w:sz="4" w:space="0" w:color="FFFFFF" w:themeColor="background1"/>
            </w:tcBorders>
            <w:shd w:val="clear" w:color="auto" w:fill="156082"/>
          </w:tcPr>
          <w:p w:rsidR="00424FAE" w:rsidRPr="00193DF4" w:rsidP="00193DF4" w14:paraId="2B99BD3D" w14:textId="77777777">
            <w:pPr>
              <w:pStyle w:val="TableColumnHeader"/>
              <w:rPr>
                <w:b/>
                <w:bCs/>
                <w:sz w:val="18"/>
                <w:szCs w:val="18"/>
              </w:rPr>
            </w:pPr>
            <w:r w:rsidRPr="00193DF4">
              <w:rPr>
                <w:b/>
                <w:bCs/>
                <w:sz w:val="18"/>
                <w:szCs w:val="18"/>
              </w:rPr>
              <w:t>Unadjusted Control Mean</w:t>
            </w:r>
          </w:p>
        </w:tc>
        <w:tc>
          <w:tcPr>
            <w:tcW w:w="521" w:type="pct"/>
            <w:tcBorders>
              <w:top w:val="single" w:sz="4" w:space="0" w:color="FFFFFF" w:themeColor="background1"/>
              <w:left w:val="single" w:sz="4" w:space="0" w:color="FFFFFF" w:themeColor="background1"/>
              <w:right w:val="single" w:sz="4" w:space="0" w:color="FFFFFF" w:themeColor="background1"/>
            </w:tcBorders>
            <w:shd w:val="clear" w:color="auto" w:fill="156082"/>
          </w:tcPr>
          <w:p w:rsidR="00424FAE" w:rsidRPr="00193DF4" w:rsidP="00193DF4" w14:paraId="43FD971D" w14:textId="77777777">
            <w:pPr>
              <w:pStyle w:val="TableColumnHeader"/>
              <w:rPr>
                <w:b/>
                <w:bCs/>
                <w:sz w:val="18"/>
                <w:szCs w:val="18"/>
              </w:rPr>
            </w:pPr>
            <w:r w:rsidRPr="00193DF4">
              <w:rPr>
                <w:b/>
                <w:bCs/>
                <w:sz w:val="18"/>
                <w:szCs w:val="18"/>
              </w:rPr>
              <w:t xml:space="preserve">Treatment </w:t>
            </w:r>
            <w:r w:rsidRPr="00193DF4">
              <w:rPr>
                <w:b/>
                <w:bCs/>
                <w:sz w:val="18"/>
                <w:szCs w:val="18"/>
              </w:rPr>
              <w:t>Effect</w:t>
            </w:r>
            <w:r w:rsidRPr="00193DF4">
              <w:rPr>
                <w:rFonts w:cs="Times New Roman Bold"/>
                <w:b/>
                <w:bCs/>
                <w:sz w:val="18"/>
                <w:szCs w:val="18"/>
                <w:vertAlign w:val="superscript"/>
              </w:rPr>
              <w:t>b</w:t>
            </w:r>
          </w:p>
        </w:tc>
        <w:tc>
          <w:tcPr>
            <w:tcW w:w="416" w:type="pct"/>
            <w:tcBorders>
              <w:top w:val="single" w:sz="4" w:space="0" w:color="FFFFFF" w:themeColor="background1"/>
              <w:left w:val="single" w:sz="4" w:space="0" w:color="FFFFFF" w:themeColor="background1"/>
            </w:tcBorders>
            <w:shd w:val="clear" w:color="auto" w:fill="156082"/>
          </w:tcPr>
          <w:p w:rsidR="00424FAE" w:rsidRPr="00193DF4" w:rsidP="00193DF4" w14:paraId="729B1816" w14:textId="77777777">
            <w:pPr>
              <w:pStyle w:val="TableColumnHeader"/>
              <w:rPr>
                <w:b/>
                <w:bCs/>
                <w:sz w:val="18"/>
                <w:szCs w:val="18"/>
              </w:rPr>
            </w:pPr>
            <w:r w:rsidRPr="00193DF4">
              <w:rPr>
                <w:b/>
                <w:bCs/>
                <w:sz w:val="18"/>
                <w:szCs w:val="18"/>
              </w:rPr>
              <w:t>p-Value</w:t>
            </w:r>
          </w:p>
        </w:tc>
      </w:tr>
      <w:tr w14:paraId="136B2B58" w14:textId="77777777" w:rsidTr="00193DF4">
        <w:tblPrEx>
          <w:tblW w:w="4985" w:type="pct"/>
          <w:tblLayout w:type="fixed"/>
          <w:tblLook w:val="04A0"/>
        </w:tblPrEx>
        <w:trPr>
          <w:cantSplit/>
        </w:trPr>
        <w:tc>
          <w:tcPr>
            <w:tcW w:w="5000" w:type="pct"/>
            <w:gridSpan w:val="14"/>
            <w:shd w:val="clear" w:color="auto" w:fill="auto"/>
            <w:noWrap/>
          </w:tcPr>
          <w:p w:rsidR="00424FAE" w:rsidRPr="00193DF4" w:rsidP="00193DF4" w14:paraId="3E6713B0" w14:textId="77777777">
            <w:pPr>
              <w:pStyle w:val="TableText"/>
              <w:rPr>
                <w:rFonts w:cs="Arial"/>
                <w:b/>
                <w:bCs/>
                <w:color w:val="000000"/>
                <w:sz w:val="18"/>
              </w:rPr>
            </w:pPr>
            <w:r w:rsidRPr="00193DF4">
              <w:rPr>
                <w:rFonts w:cs="Arial"/>
                <w:b/>
                <w:bCs/>
                <w:color w:val="000000"/>
                <w:sz w:val="18"/>
              </w:rPr>
              <w:t>Domain 1 (percentage responding affirmatively)</w:t>
            </w:r>
          </w:p>
        </w:tc>
      </w:tr>
      <w:tr w14:paraId="55931FC5" w14:textId="77777777" w:rsidTr="00193DF4">
        <w:tblPrEx>
          <w:tblW w:w="4985" w:type="pct"/>
          <w:tblLayout w:type="fixed"/>
          <w:tblLook w:val="04A0"/>
        </w:tblPrEx>
        <w:trPr>
          <w:cantSplit/>
        </w:trPr>
        <w:tc>
          <w:tcPr>
            <w:tcW w:w="963" w:type="pct"/>
            <w:shd w:val="clear" w:color="auto" w:fill="auto"/>
            <w:noWrap/>
            <w:hideMark/>
          </w:tcPr>
          <w:p w:rsidR="00424FAE" w:rsidRPr="00424FAE" w:rsidP="00193DF4" w14:paraId="116A91BC" w14:textId="77777777">
            <w:pPr>
              <w:pStyle w:val="TableText"/>
              <w:rPr>
                <w:rFonts w:cs="Arial"/>
                <w:bCs/>
                <w:color w:val="000000"/>
                <w:sz w:val="18"/>
              </w:rPr>
            </w:pPr>
            <w:r w:rsidRPr="00424FAE">
              <w:rPr>
                <w:rFonts w:cs="Arial"/>
                <w:bCs/>
                <w:color w:val="000000"/>
                <w:sz w:val="18"/>
              </w:rPr>
              <w:t>Outcome 1</w:t>
            </w:r>
          </w:p>
        </w:tc>
        <w:tc>
          <w:tcPr>
            <w:tcW w:w="517" w:type="pct"/>
            <w:shd w:val="clear" w:color="auto" w:fill="auto"/>
            <w:noWrap/>
            <w:vAlign w:val="center"/>
          </w:tcPr>
          <w:p w:rsidR="00424FAE" w:rsidRPr="00424FAE" w:rsidP="00193DF4" w14:paraId="406586B4" w14:textId="77777777">
            <w:pPr>
              <w:pStyle w:val="TableText"/>
              <w:jc w:val="center"/>
              <w:rPr>
                <w:rFonts w:cs="Arial"/>
                <w:bCs/>
                <w:color w:val="000000"/>
                <w:sz w:val="18"/>
              </w:rPr>
            </w:pPr>
            <w:r w:rsidRPr="00424FAE">
              <w:rPr>
                <w:rFonts w:cs="Arial"/>
                <w:bCs/>
                <w:color w:val="000000"/>
                <w:sz w:val="18"/>
              </w:rPr>
              <w:t>28.02</w:t>
            </w:r>
          </w:p>
        </w:tc>
        <w:tc>
          <w:tcPr>
            <w:tcW w:w="564" w:type="pct"/>
            <w:gridSpan w:val="2"/>
            <w:shd w:val="clear" w:color="auto" w:fill="auto"/>
            <w:noWrap/>
            <w:vAlign w:val="center"/>
          </w:tcPr>
          <w:p w:rsidR="00424FAE" w:rsidRPr="00424FAE" w:rsidP="00193DF4" w14:paraId="11ED8414" w14:textId="77777777">
            <w:pPr>
              <w:pStyle w:val="TableText"/>
              <w:jc w:val="center"/>
              <w:rPr>
                <w:rFonts w:cs="Arial"/>
                <w:bCs/>
                <w:color w:val="000000"/>
                <w:sz w:val="18"/>
              </w:rPr>
            </w:pPr>
            <w:r w:rsidRPr="00424FAE">
              <w:rPr>
                <w:rFonts w:cs="Arial"/>
                <w:bCs/>
                <w:color w:val="000000"/>
                <w:sz w:val="18"/>
              </w:rPr>
              <w:t>28.14</w:t>
            </w:r>
          </w:p>
        </w:tc>
        <w:tc>
          <w:tcPr>
            <w:tcW w:w="518" w:type="pct"/>
            <w:gridSpan w:val="2"/>
            <w:shd w:val="clear" w:color="auto" w:fill="auto"/>
            <w:noWrap/>
            <w:vAlign w:val="center"/>
          </w:tcPr>
          <w:p w:rsidR="00424FAE" w:rsidRPr="00424FAE" w:rsidP="00193DF4" w14:paraId="5FF0C130" w14:textId="77777777">
            <w:pPr>
              <w:pStyle w:val="TableText"/>
              <w:jc w:val="center"/>
              <w:rPr>
                <w:rFonts w:cs="Arial"/>
                <w:bCs/>
                <w:color w:val="000000"/>
                <w:sz w:val="18"/>
              </w:rPr>
            </w:pPr>
            <w:r w:rsidRPr="00424FAE">
              <w:rPr>
                <w:rFonts w:cs="Arial"/>
                <w:bCs/>
                <w:color w:val="000000"/>
                <w:sz w:val="18"/>
              </w:rPr>
              <w:t>-0.11</w:t>
            </w:r>
          </w:p>
        </w:tc>
        <w:tc>
          <w:tcPr>
            <w:tcW w:w="429" w:type="pct"/>
            <w:gridSpan w:val="2"/>
            <w:shd w:val="clear" w:color="auto" w:fill="auto"/>
            <w:noWrap/>
            <w:vAlign w:val="center"/>
          </w:tcPr>
          <w:p w:rsidR="00424FAE" w:rsidRPr="00424FAE" w:rsidP="00193DF4" w14:paraId="32304B0B" w14:textId="77777777">
            <w:pPr>
              <w:pStyle w:val="TableText"/>
              <w:jc w:val="center"/>
              <w:rPr>
                <w:rFonts w:cs="Arial"/>
                <w:bCs/>
                <w:color w:val="000000"/>
                <w:sz w:val="18"/>
              </w:rPr>
            </w:pPr>
            <w:r w:rsidRPr="00424FAE">
              <w:rPr>
                <w:rFonts w:cs="Arial"/>
                <w:bCs/>
                <w:color w:val="000000"/>
                <w:sz w:val="18"/>
              </w:rPr>
              <w:t>.946</w:t>
            </w:r>
            <w:r w:rsidRPr="00424FAE">
              <w:rPr>
                <w:rFonts w:cs="Arial"/>
                <w:bCs/>
                <w:color w:val="000000"/>
                <w:sz w:val="18"/>
                <w:vertAlign w:val="superscript"/>
              </w:rPr>
              <w:t>c</w:t>
            </w:r>
          </w:p>
        </w:tc>
        <w:tc>
          <w:tcPr>
            <w:tcW w:w="503" w:type="pct"/>
            <w:shd w:val="clear" w:color="auto" w:fill="auto"/>
            <w:vAlign w:val="center"/>
          </w:tcPr>
          <w:p w:rsidR="00424FAE" w:rsidRPr="00424FAE" w:rsidP="00193DF4" w14:paraId="01BBC176" w14:textId="77777777">
            <w:pPr>
              <w:pStyle w:val="TableText"/>
              <w:jc w:val="center"/>
              <w:rPr>
                <w:rFonts w:cs="Arial"/>
                <w:bCs/>
                <w:color w:val="000000"/>
                <w:sz w:val="18"/>
              </w:rPr>
            </w:pPr>
            <w:r w:rsidRPr="00424FAE">
              <w:rPr>
                <w:rFonts w:cs="Arial"/>
                <w:bCs/>
                <w:color w:val="000000"/>
                <w:sz w:val="18"/>
              </w:rPr>
              <w:t>35.95</w:t>
            </w:r>
          </w:p>
        </w:tc>
        <w:tc>
          <w:tcPr>
            <w:tcW w:w="563" w:type="pct"/>
            <w:shd w:val="clear" w:color="auto" w:fill="auto"/>
            <w:vAlign w:val="center"/>
          </w:tcPr>
          <w:p w:rsidR="00424FAE" w:rsidRPr="00424FAE" w:rsidP="00193DF4" w14:paraId="1AF984E4" w14:textId="77777777">
            <w:pPr>
              <w:pStyle w:val="TableText"/>
              <w:jc w:val="center"/>
              <w:rPr>
                <w:rFonts w:cs="Arial"/>
                <w:bCs/>
                <w:color w:val="000000"/>
                <w:sz w:val="18"/>
              </w:rPr>
            </w:pPr>
            <w:r w:rsidRPr="00424FAE">
              <w:rPr>
                <w:rFonts w:cs="Arial"/>
                <w:bCs/>
                <w:color w:val="000000"/>
                <w:sz w:val="18"/>
              </w:rPr>
              <w:t>34.35</w:t>
            </w:r>
          </w:p>
        </w:tc>
        <w:tc>
          <w:tcPr>
            <w:tcW w:w="524" w:type="pct"/>
            <w:gridSpan w:val="2"/>
            <w:shd w:val="clear" w:color="auto" w:fill="auto"/>
            <w:vAlign w:val="center"/>
          </w:tcPr>
          <w:p w:rsidR="00424FAE" w:rsidRPr="00424FAE" w:rsidP="00193DF4" w14:paraId="716BDB12" w14:textId="77777777">
            <w:pPr>
              <w:pStyle w:val="TableText"/>
              <w:jc w:val="center"/>
              <w:rPr>
                <w:rFonts w:cs="Arial"/>
                <w:bCs/>
                <w:color w:val="000000"/>
                <w:sz w:val="18"/>
              </w:rPr>
            </w:pPr>
            <w:r w:rsidRPr="00424FAE">
              <w:rPr>
                <w:rFonts w:cs="Arial"/>
                <w:bCs/>
                <w:color w:val="000000"/>
                <w:sz w:val="18"/>
              </w:rPr>
              <w:t>1.59</w:t>
            </w:r>
          </w:p>
        </w:tc>
        <w:tc>
          <w:tcPr>
            <w:tcW w:w="419" w:type="pct"/>
            <w:gridSpan w:val="2"/>
            <w:shd w:val="clear" w:color="auto" w:fill="auto"/>
            <w:vAlign w:val="center"/>
          </w:tcPr>
          <w:p w:rsidR="00424FAE" w:rsidRPr="00424FAE" w:rsidP="00193DF4" w14:paraId="51C033E1" w14:textId="77777777">
            <w:pPr>
              <w:pStyle w:val="TableText"/>
              <w:jc w:val="center"/>
              <w:rPr>
                <w:rFonts w:cs="Arial"/>
                <w:bCs/>
                <w:color w:val="000000"/>
                <w:sz w:val="18"/>
              </w:rPr>
            </w:pPr>
            <w:r w:rsidRPr="00424FAE">
              <w:rPr>
                <w:rFonts w:cs="Arial"/>
                <w:bCs/>
                <w:color w:val="000000"/>
                <w:sz w:val="18"/>
              </w:rPr>
              <w:t>.378</w:t>
            </w:r>
            <w:r w:rsidRPr="00424FAE">
              <w:rPr>
                <w:rFonts w:cs="Arial"/>
                <w:bCs/>
                <w:color w:val="000000"/>
                <w:sz w:val="18"/>
                <w:vertAlign w:val="superscript"/>
              </w:rPr>
              <w:t>c</w:t>
            </w:r>
          </w:p>
        </w:tc>
      </w:tr>
      <w:tr w14:paraId="2D6E3C48" w14:textId="77777777" w:rsidTr="00193DF4">
        <w:tblPrEx>
          <w:tblW w:w="4985" w:type="pct"/>
          <w:tblLayout w:type="fixed"/>
          <w:tblLook w:val="04A0"/>
        </w:tblPrEx>
        <w:trPr>
          <w:cantSplit/>
        </w:trPr>
        <w:tc>
          <w:tcPr>
            <w:tcW w:w="963" w:type="pct"/>
            <w:shd w:val="clear" w:color="auto" w:fill="auto"/>
            <w:noWrap/>
          </w:tcPr>
          <w:p w:rsidR="00424FAE" w:rsidRPr="00424FAE" w:rsidP="00193DF4" w14:paraId="0836AB07" w14:textId="77777777">
            <w:pPr>
              <w:pStyle w:val="TableText"/>
              <w:rPr>
                <w:rFonts w:cs="Arial"/>
                <w:bCs/>
                <w:color w:val="000000"/>
                <w:sz w:val="18"/>
              </w:rPr>
            </w:pPr>
            <w:r w:rsidRPr="00424FAE">
              <w:rPr>
                <w:rFonts w:cs="Arial"/>
                <w:bCs/>
                <w:color w:val="000000"/>
                <w:sz w:val="18"/>
              </w:rPr>
              <w:t>Outcome 2</w:t>
            </w:r>
          </w:p>
        </w:tc>
        <w:tc>
          <w:tcPr>
            <w:tcW w:w="517" w:type="pct"/>
            <w:shd w:val="clear" w:color="auto" w:fill="auto"/>
            <w:noWrap/>
            <w:vAlign w:val="center"/>
          </w:tcPr>
          <w:p w:rsidR="00424FAE" w:rsidRPr="00424FAE" w:rsidP="00193DF4" w14:paraId="344BD295" w14:textId="77777777">
            <w:pPr>
              <w:pStyle w:val="TableText"/>
              <w:jc w:val="center"/>
              <w:rPr>
                <w:rFonts w:cs="Arial"/>
                <w:bCs/>
                <w:color w:val="000000"/>
                <w:sz w:val="18"/>
              </w:rPr>
            </w:pPr>
            <w:r w:rsidRPr="00424FAE">
              <w:rPr>
                <w:rFonts w:cs="Arial"/>
                <w:bCs/>
                <w:color w:val="000000"/>
                <w:sz w:val="18"/>
              </w:rPr>
              <w:t>8.73</w:t>
            </w:r>
          </w:p>
        </w:tc>
        <w:tc>
          <w:tcPr>
            <w:tcW w:w="564" w:type="pct"/>
            <w:gridSpan w:val="2"/>
            <w:shd w:val="clear" w:color="auto" w:fill="auto"/>
            <w:noWrap/>
            <w:vAlign w:val="center"/>
          </w:tcPr>
          <w:p w:rsidR="00424FAE" w:rsidRPr="00424FAE" w:rsidP="00193DF4" w14:paraId="5BDA69F4" w14:textId="77777777">
            <w:pPr>
              <w:pStyle w:val="TableText"/>
              <w:jc w:val="center"/>
              <w:rPr>
                <w:rFonts w:cs="Arial"/>
                <w:bCs/>
                <w:color w:val="000000"/>
                <w:sz w:val="18"/>
              </w:rPr>
            </w:pPr>
            <w:r w:rsidRPr="00424FAE">
              <w:rPr>
                <w:rFonts w:cs="Arial"/>
                <w:bCs/>
                <w:color w:val="000000"/>
                <w:sz w:val="18"/>
              </w:rPr>
              <w:t>8.99</w:t>
            </w:r>
          </w:p>
        </w:tc>
        <w:tc>
          <w:tcPr>
            <w:tcW w:w="518" w:type="pct"/>
            <w:gridSpan w:val="2"/>
            <w:shd w:val="clear" w:color="auto" w:fill="auto"/>
            <w:noWrap/>
            <w:vAlign w:val="center"/>
          </w:tcPr>
          <w:p w:rsidR="00424FAE" w:rsidRPr="00424FAE" w:rsidP="00193DF4" w14:paraId="651FAEF3" w14:textId="77777777">
            <w:pPr>
              <w:pStyle w:val="TableText"/>
              <w:jc w:val="center"/>
              <w:rPr>
                <w:rFonts w:cs="Arial"/>
                <w:bCs/>
                <w:color w:val="000000"/>
                <w:sz w:val="18"/>
              </w:rPr>
            </w:pPr>
            <w:r w:rsidRPr="00424FAE">
              <w:rPr>
                <w:rFonts w:cs="Arial"/>
                <w:bCs/>
                <w:color w:val="000000"/>
                <w:sz w:val="18"/>
              </w:rPr>
              <w:t>-0.25</w:t>
            </w:r>
          </w:p>
        </w:tc>
        <w:tc>
          <w:tcPr>
            <w:tcW w:w="429" w:type="pct"/>
            <w:gridSpan w:val="2"/>
            <w:shd w:val="clear" w:color="auto" w:fill="auto"/>
            <w:noWrap/>
            <w:vAlign w:val="center"/>
          </w:tcPr>
          <w:p w:rsidR="00424FAE" w:rsidRPr="00424FAE" w:rsidP="00193DF4" w14:paraId="0B877D0B" w14:textId="77777777">
            <w:pPr>
              <w:pStyle w:val="TableText"/>
              <w:jc w:val="center"/>
              <w:rPr>
                <w:rFonts w:cs="Arial"/>
                <w:bCs/>
                <w:color w:val="000000"/>
                <w:sz w:val="18"/>
              </w:rPr>
            </w:pPr>
            <w:r w:rsidRPr="00424FAE">
              <w:rPr>
                <w:rFonts w:cs="Arial"/>
                <w:bCs/>
                <w:color w:val="000000"/>
                <w:sz w:val="18"/>
              </w:rPr>
              <w:t>.815</w:t>
            </w:r>
            <w:r w:rsidRPr="00424FAE">
              <w:rPr>
                <w:rFonts w:cs="Arial"/>
                <w:bCs/>
                <w:color w:val="000000"/>
                <w:sz w:val="18"/>
                <w:vertAlign w:val="superscript"/>
              </w:rPr>
              <w:t>c</w:t>
            </w:r>
          </w:p>
        </w:tc>
        <w:tc>
          <w:tcPr>
            <w:tcW w:w="503" w:type="pct"/>
            <w:shd w:val="clear" w:color="auto" w:fill="auto"/>
            <w:vAlign w:val="center"/>
          </w:tcPr>
          <w:p w:rsidR="00424FAE" w:rsidRPr="00424FAE" w:rsidP="00193DF4" w14:paraId="67D4BD86" w14:textId="77777777">
            <w:pPr>
              <w:pStyle w:val="TableText"/>
              <w:jc w:val="center"/>
              <w:rPr>
                <w:rFonts w:cs="Arial"/>
                <w:bCs/>
                <w:color w:val="000000"/>
                <w:sz w:val="18"/>
              </w:rPr>
            </w:pPr>
            <w:r w:rsidRPr="00424FAE">
              <w:rPr>
                <w:rFonts w:cs="Arial"/>
                <w:bCs/>
                <w:color w:val="000000"/>
                <w:sz w:val="18"/>
              </w:rPr>
              <w:t>12.09</w:t>
            </w:r>
          </w:p>
        </w:tc>
        <w:tc>
          <w:tcPr>
            <w:tcW w:w="563" w:type="pct"/>
            <w:shd w:val="clear" w:color="auto" w:fill="auto"/>
            <w:vAlign w:val="center"/>
          </w:tcPr>
          <w:p w:rsidR="00424FAE" w:rsidRPr="00424FAE" w:rsidP="00193DF4" w14:paraId="6777B62A" w14:textId="77777777">
            <w:pPr>
              <w:pStyle w:val="TableText"/>
              <w:jc w:val="center"/>
              <w:rPr>
                <w:rFonts w:cs="Arial"/>
                <w:bCs/>
                <w:color w:val="000000"/>
                <w:sz w:val="18"/>
              </w:rPr>
            </w:pPr>
            <w:r w:rsidRPr="00424FAE">
              <w:rPr>
                <w:rFonts w:cs="Arial"/>
                <w:bCs/>
                <w:color w:val="000000"/>
                <w:sz w:val="18"/>
              </w:rPr>
              <w:t>11.64</w:t>
            </w:r>
          </w:p>
        </w:tc>
        <w:tc>
          <w:tcPr>
            <w:tcW w:w="524" w:type="pct"/>
            <w:gridSpan w:val="2"/>
            <w:shd w:val="clear" w:color="auto" w:fill="auto"/>
            <w:vAlign w:val="center"/>
          </w:tcPr>
          <w:p w:rsidR="00424FAE" w:rsidRPr="00424FAE" w:rsidP="00193DF4" w14:paraId="76944617" w14:textId="77777777">
            <w:pPr>
              <w:pStyle w:val="TableText"/>
              <w:jc w:val="center"/>
              <w:rPr>
                <w:rFonts w:cs="Arial"/>
                <w:bCs/>
                <w:color w:val="000000"/>
                <w:sz w:val="18"/>
              </w:rPr>
            </w:pPr>
            <w:r w:rsidRPr="00424FAE">
              <w:rPr>
                <w:rFonts w:cs="Arial"/>
                <w:bCs/>
                <w:color w:val="000000"/>
                <w:sz w:val="18"/>
              </w:rPr>
              <w:t>0.45</w:t>
            </w:r>
          </w:p>
        </w:tc>
        <w:tc>
          <w:tcPr>
            <w:tcW w:w="419" w:type="pct"/>
            <w:gridSpan w:val="2"/>
            <w:shd w:val="clear" w:color="auto" w:fill="auto"/>
            <w:vAlign w:val="center"/>
          </w:tcPr>
          <w:p w:rsidR="00424FAE" w:rsidRPr="00424FAE" w:rsidP="00193DF4" w14:paraId="3151E295" w14:textId="77777777">
            <w:pPr>
              <w:pStyle w:val="TableText"/>
              <w:jc w:val="center"/>
              <w:rPr>
                <w:rFonts w:cs="Arial"/>
                <w:bCs/>
                <w:color w:val="000000"/>
                <w:sz w:val="18"/>
              </w:rPr>
            </w:pPr>
            <w:r w:rsidRPr="00424FAE">
              <w:rPr>
                <w:rFonts w:cs="Arial"/>
                <w:bCs/>
                <w:color w:val="000000"/>
                <w:sz w:val="18"/>
              </w:rPr>
              <w:t>.719</w:t>
            </w:r>
            <w:r w:rsidRPr="00424FAE">
              <w:rPr>
                <w:rFonts w:cs="Arial"/>
                <w:bCs/>
                <w:color w:val="000000"/>
                <w:sz w:val="18"/>
                <w:vertAlign w:val="superscript"/>
              </w:rPr>
              <w:t>c</w:t>
            </w:r>
          </w:p>
        </w:tc>
      </w:tr>
      <w:tr w14:paraId="43AC9FA6" w14:textId="77777777" w:rsidTr="00193DF4">
        <w:tblPrEx>
          <w:tblW w:w="4985" w:type="pct"/>
          <w:tblLayout w:type="fixed"/>
          <w:tblLook w:val="04A0"/>
        </w:tblPrEx>
        <w:trPr>
          <w:cantSplit/>
        </w:trPr>
        <w:tc>
          <w:tcPr>
            <w:tcW w:w="5000" w:type="pct"/>
            <w:gridSpan w:val="14"/>
            <w:shd w:val="clear" w:color="auto" w:fill="auto"/>
            <w:noWrap/>
            <w:vAlign w:val="center"/>
          </w:tcPr>
          <w:p w:rsidR="00424FAE" w:rsidRPr="00193DF4" w:rsidP="00193DF4" w14:paraId="790B5AF0" w14:textId="77777777">
            <w:pPr>
              <w:pStyle w:val="TableText"/>
              <w:rPr>
                <w:rFonts w:cs="Arial"/>
                <w:b/>
                <w:bCs/>
                <w:color w:val="000000"/>
                <w:sz w:val="18"/>
              </w:rPr>
            </w:pPr>
            <w:r w:rsidRPr="00193DF4">
              <w:rPr>
                <w:rFonts w:cs="Arial"/>
                <w:b/>
                <w:bCs/>
                <w:color w:val="000000"/>
                <w:sz w:val="18"/>
              </w:rPr>
              <w:t>Domain 2 (percentage responding affirmatively)</w:t>
            </w:r>
          </w:p>
        </w:tc>
      </w:tr>
      <w:tr w14:paraId="4E674A87" w14:textId="77777777" w:rsidTr="00193DF4">
        <w:tblPrEx>
          <w:tblW w:w="4985" w:type="pct"/>
          <w:tblLayout w:type="fixed"/>
          <w:tblLook w:val="04A0"/>
        </w:tblPrEx>
        <w:trPr>
          <w:cantSplit/>
        </w:trPr>
        <w:tc>
          <w:tcPr>
            <w:tcW w:w="963" w:type="pct"/>
            <w:shd w:val="clear" w:color="auto" w:fill="auto"/>
            <w:noWrap/>
            <w:vAlign w:val="center"/>
          </w:tcPr>
          <w:p w:rsidR="00424FAE" w:rsidRPr="00424FAE" w:rsidP="00193DF4" w14:paraId="507583E3" w14:textId="77777777">
            <w:pPr>
              <w:pStyle w:val="TableText"/>
              <w:rPr>
                <w:rFonts w:cs="Arial"/>
                <w:bCs/>
                <w:color w:val="000000"/>
                <w:sz w:val="18"/>
              </w:rPr>
            </w:pPr>
            <w:r w:rsidRPr="00424FAE">
              <w:rPr>
                <w:rFonts w:cs="Arial"/>
                <w:bCs/>
                <w:color w:val="000000"/>
                <w:sz w:val="18"/>
              </w:rPr>
              <w:t>Outcome 1</w:t>
            </w:r>
          </w:p>
        </w:tc>
        <w:tc>
          <w:tcPr>
            <w:tcW w:w="517" w:type="pct"/>
            <w:shd w:val="clear" w:color="auto" w:fill="auto"/>
            <w:noWrap/>
            <w:vAlign w:val="center"/>
          </w:tcPr>
          <w:p w:rsidR="00424FAE" w:rsidRPr="00424FAE" w:rsidP="00193DF4" w14:paraId="47517A79" w14:textId="77777777">
            <w:pPr>
              <w:pStyle w:val="TableText"/>
              <w:jc w:val="center"/>
              <w:rPr>
                <w:rFonts w:cs="Arial"/>
                <w:bCs/>
                <w:color w:val="000000"/>
                <w:sz w:val="18"/>
              </w:rPr>
            </w:pPr>
            <w:r w:rsidRPr="00424FAE">
              <w:rPr>
                <w:rFonts w:cs="Arial"/>
                <w:bCs/>
                <w:color w:val="000000"/>
                <w:sz w:val="18"/>
              </w:rPr>
              <w:t>n/a</w:t>
            </w:r>
          </w:p>
        </w:tc>
        <w:tc>
          <w:tcPr>
            <w:tcW w:w="564" w:type="pct"/>
            <w:gridSpan w:val="2"/>
            <w:shd w:val="clear" w:color="auto" w:fill="auto"/>
            <w:noWrap/>
            <w:vAlign w:val="center"/>
          </w:tcPr>
          <w:p w:rsidR="00424FAE" w:rsidRPr="00424FAE" w:rsidP="00193DF4" w14:paraId="1BD45A16" w14:textId="77777777">
            <w:pPr>
              <w:pStyle w:val="TableText"/>
              <w:jc w:val="center"/>
              <w:rPr>
                <w:rFonts w:cs="Arial"/>
                <w:bCs/>
                <w:color w:val="000000"/>
                <w:sz w:val="18"/>
              </w:rPr>
            </w:pPr>
            <w:r w:rsidRPr="00424FAE">
              <w:rPr>
                <w:rFonts w:cs="Arial"/>
                <w:bCs/>
                <w:color w:val="000000"/>
                <w:sz w:val="18"/>
              </w:rPr>
              <w:t>n/a</w:t>
            </w:r>
          </w:p>
        </w:tc>
        <w:tc>
          <w:tcPr>
            <w:tcW w:w="518" w:type="pct"/>
            <w:gridSpan w:val="2"/>
            <w:shd w:val="clear" w:color="auto" w:fill="auto"/>
            <w:noWrap/>
            <w:vAlign w:val="center"/>
          </w:tcPr>
          <w:p w:rsidR="00424FAE" w:rsidRPr="00424FAE" w:rsidP="00193DF4" w14:paraId="3C90C793" w14:textId="77777777">
            <w:pPr>
              <w:pStyle w:val="TableText"/>
              <w:jc w:val="center"/>
              <w:rPr>
                <w:rFonts w:cs="Arial"/>
                <w:bCs/>
                <w:color w:val="000000"/>
                <w:sz w:val="18"/>
              </w:rPr>
            </w:pPr>
            <w:r w:rsidRPr="00424FAE">
              <w:rPr>
                <w:rFonts w:cs="Arial"/>
                <w:bCs/>
                <w:color w:val="000000"/>
                <w:sz w:val="18"/>
              </w:rPr>
              <w:t>n/a</w:t>
            </w:r>
          </w:p>
        </w:tc>
        <w:tc>
          <w:tcPr>
            <w:tcW w:w="429" w:type="pct"/>
            <w:gridSpan w:val="2"/>
            <w:shd w:val="clear" w:color="auto" w:fill="auto"/>
            <w:noWrap/>
            <w:vAlign w:val="center"/>
          </w:tcPr>
          <w:p w:rsidR="00424FAE" w:rsidRPr="00424FAE" w:rsidP="00193DF4" w14:paraId="1945141E" w14:textId="77777777">
            <w:pPr>
              <w:pStyle w:val="TableText"/>
              <w:jc w:val="center"/>
              <w:rPr>
                <w:rFonts w:cs="Arial"/>
                <w:bCs/>
                <w:color w:val="000000"/>
                <w:sz w:val="18"/>
              </w:rPr>
            </w:pPr>
            <w:r w:rsidRPr="00424FAE">
              <w:rPr>
                <w:rFonts w:cs="Arial"/>
                <w:bCs/>
                <w:color w:val="000000"/>
                <w:sz w:val="18"/>
              </w:rPr>
              <w:t>n/a</w:t>
            </w:r>
          </w:p>
        </w:tc>
        <w:tc>
          <w:tcPr>
            <w:tcW w:w="503" w:type="pct"/>
            <w:shd w:val="clear" w:color="auto" w:fill="auto"/>
            <w:vAlign w:val="center"/>
          </w:tcPr>
          <w:p w:rsidR="00424FAE" w:rsidRPr="00424FAE" w:rsidP="00193DF4" w14:paraId="0A2181D8" w14:textId="77777777">
            <w:pPr>
              <w:pStyle w:val="TableText"/>
              <w:jc w:val="center"/>
              <w:rPr>
                <w:rFonts w:cs="Arial"/>
                <w:bCs/>
                <w:color w:val="000000"/>
                <w:sz w:val="18"/>
              </w:rPr>
            </w:pPr>
            <w:r w:rsidRPr="00424FAE">
              <w:rPr>
                <w:rFonts w:cs="Arial"/>
                <w:bCs/>
                <w:color w:val="000000"/>
                <w:sz w:val="18"/>
              </w:rPr>
              <w:t>5.53</w:t>
            </w:r>
          </w:p>
        </w:tc>
        <w:tc>
          <w:tcPr>
            <w:tcW w:w="563" w:type="pct"/>
            <w:shd w:val="clear" w:color="auto" w:fill="auto"/>
            <w:vAlign w:val="center"/>
          </w:tcPr>
          <w:p w:rsidR="00424FAE" w:rsidRPr="00424FAE" w:rsidP="00193DF4" w14:paraId="427EDEC3" w14:textId="77777777">
            <w:pPr>
              <w:pStyle w:val="TableText"/>
              <w:jc w:val="center"/>
              <w:rPr>
                <w:rFonts w:cs="Arial"/>
                <w:bCs/>
                <w:color w:val="000000"/>
                <w:sz w:val="18"/>
              </w:rPr>
            </w:pPr>
            <w:r w:rsidRPr="00424FAE">
              <w:rPr>
                <w:rFonts w:cs="Arial"/>
                <w:bCs/>
                <w:color w:val="000000"/>
                <w:sz w:val="18"/>
              </w:rPr>
              <w:t>5.91</w:t>
            </w:r>
          </w:p>
        </w:tc>
        <w:tc>
          <w:tcPr>
            <w:tcW w:w="524" w:type="pct"/>
            <w:gridSpan w:val="2"/>
            <w:shd w:val="clear" w:color="auto" w:fill="auto"/>
            <w:vAlign w:val="center"/>
          </w:tcPr>
          <w:p w:rsidR="00424FAE" w:rsidRPr="00424FAE" w:rsidP="00193DF4" w14:paraId="1834A786" w14:textId="77777777">
            <w:pPr>
              <w:pStyle w:val="TableText"/>
              <w:jc w:val="center"/>
              <w:rPr>
                <w:rFonts w:cs="Arial"/>
                <w:bCs/>
                <w:color w:val="000000"/>
                <w:sz w:val="18"/>
              </w:rPr>
            </w:pPr>
            <w:r w:rsidRPr="00424FAE">
              <w:rPr>
                <w:rFonts w:cs="Arial"/>
                <w:bCs/>
                <w:color w:val="000000"/>
                <w:sz w:val="18"/>
              </w:rPr>
              <w:t>-0.38</w:t>
            </w:r>
          </w:p>
        </w:tc>
        <w:tc>
          <w:tcPr>
            <w:tcW w:w="419" w:type="pct"/>
            <w:gridSpan w:val="2"/>
            <w:shd w:val="clear" w:color="auto" w:fill="auto"/>
            <w:vAlign w:val="center"/>
          </w:tcPr>
          <w:p w:rsidR="00424FAE" w:rsidRPr="00424FAE" w:rsidP="00193DF4" w14:paraId="370B7A80" w14:textId="77777777">
            <w:pPr>
              <w:pStyle w:val="TableText"/>
              <w:jc w:val="center"/>
              <w:rPr>
                <w:rFonts w:cs="Arial"/>
                <w:bCs/>
                <w:color w:val="000000"/>
                <w:sz w:val="18"/>
              </w:rPr>
            </w:pPr>
            <w:r w:rsidRPr="00424FAE">
              <w:rPr>
                <w:rFonts w:cs="Arial"/>
                <w:bCs/>
                <w:color w:val="000000"/>
                <w:sz w:val="18"/>
              </w:rPr>
              <w:t>.683</w:t>
            </w:r>
            <w:r w:rsidRPr="00424FAE">
              <w:rPr>
                <w:rFonts w:cs="Arial"/>
                <w:bCs/>
                <w:color w:val="000000"/>
                <w:sz w:val="18"/>
                <w:vertAlign w:val="superscript"/>
              </w:rPr>
              <w:t>d</w:t>
            </w:r>
          </w:p>
        </w:tc>
      </w:tr>
    </w:tbl>
    <w:p w:rsidR="00424FAE" w:rsidRPr="00786B4C" w:rsidP="00424FAE" w14:paraId="1CB18898" w14:textId="77777777">
      <w:pPr>
        <w:pStyle w:val="ExhibitSource"/>
      </w:pPr>
      <w:r w:rsidRPr="00253B3A">
        <w:rPr>
          <w:i/>
        </w:rPr>
        <w:t>Source:</w:t>
      </w:r>
      <w:r w:rsidRPr="00786B4C">
        <w:t xml:space="preserve"> Follow-up survey</w:t>
      </w:r>
      <w:r>
        <w:t>s</w:t>
      </w:r>
      <w:r w:rsidRPr="00786B4C">
        <w:t xml:space="preserve"> administered </w:t>
      </w:r>
      <w:r>
        <w:t>6</w:t>
      </w:r>
      <w:r w:rsidRPr="00786B4C">
        <w:t xml:space="preserve"> months after baseline</w:t>
      </w:r>
      <w:r>
        <w:t xml:space="preserve"> and 12 months after baseline</w:t>
      </w:r>
      <w:r w:rsidRPr="00786B4C">
        <w:t>.</w:t>
      </w:r>
    </w:p>
    <w:p w:rsidR="00424FAE" w:rsidRPr="00786B4C" w:rsidP="00424FAE" w14:paraId="61D1E0E5" w14:textId="77777777">
      <w:pPr>
        <w:pStyle w:val="ExhibitSource"/>
      </w:pPr>
      <w:r w:rsidRPr="00534039">
        <w:rPr>
          <w:i/>
        </w:rPr>
        <w:t>Note</w:t>
      </w:r>
      <w:r>
        <w:t>s</w:t>
      </w:r>
      <w:r w:rsidRPr="00786B4C">
        <w:t xml:space="preserve">: </w:t>
      </w:r>
      <w:r>
        <w:t>Short-term r</w:t>
      </w:r>
      <w:r w:rsidRPr="00786B4C">
        <w:t>esults in this table are based on 2,66</w:t>
      </w:r>
      <w:r>
        <w:t>5</w:t>
      </w:r>
      <w:r w:rsidRPr="00786B4C">
        <w:t xml:space="preserve">–2,667 respondents who provided valid survey responses to relevant items. </w:t>
      </w:r>
      <w:r>
        <w:t xml:space="preserve">Longer-term results are based on </w:t>
      </w:r>
      <w:r w:rsidRPr="00E736A2">
        <w:t>2,7</w:t>
      </w:r>
      <w:r>
        <w:t>20–</w:t>
      </w:r>
      <w:r w:rsidRPr="00E736A2">
        <w:t>2,780</w:t>
      </w:r>
      <w:r>
        <w:t xml:space="preserve"> respondents who provided valid responses to relevant items. </w:t>
      </w:r>
    </w:p>
    <w:p w:rsidR="00424FAE" w:rsidP="00193DF4" w14:paraId="4BAD9B70" w14:textId="185B0663">
      <w:pPr>
        <w:pStyle w:val="ExhibitSource"/>
        <w:spacing w:before="40" w:after="40"/>
        <w:ind w:left="180" w:hanging="180"/>
      </w:pPr>
      <w:r w:rsidRPr="00786B4C">
        <w:rPr>
          <w:vertAlign w:val="superscript"/>
        </w:rPr>
        <w:t>a</w:t>
      </w:r>
      <w:r w:rsidRPr="00786B4C">
        <w:rPr>
          <w:vertAlign w:val="superscript"/>
        </w:rPr>
        <w:t xml:space="preserve"> </w:t>
      </w:r>
      <w:r w:rsidR="00193DF4">
        <w:rPr>
          <w:vertAlign w:val="superscript"/>
        </w:rPr>
        <w:tab/>
      </w:r>
      <w:r w:rsidRPr="00786B4C">
        <w:t>The</w:t>
      </w:r>
      <w:r w:rsidRPr="00786B4C">
        <w:t xml:space="preserve"> treatment group mean is regression</w:t>
      </w:r>
      <w:r>
        <w:t xml:space="preserve"> </w:t>
      </w:r>
      <w:r w:rsidRPr="00786B4C">
        <w:t>adjusted, calculated as the sum of the unadjusted control group mean and the regression</w:t>
      </w:r>
      <w:r>
        <w:t>-</w:t>
      </w:r>
      <w:r w:rsidRPr="00786B4C">
        <w:t>adjusted impact estimate (treatment effect).</w:t>
      </w:r>
    </w:p>
    <w:p w:rsidR="00424FAE" w:rsidP="00193DF4" w14:paraId="5E310741" w14:textId="68FCAE1B">
      <w:pPr>
        <w:pStyle w:val="ExhibitSource"/>
        <w:spacing w:before="40" w:after="40"/>
        <w:ind w:left="180" w:hanging="180"/>
      </w:pPr>
      <w:r w:rsidRPr="00786B4C">
        <w:rPr>
          <w:vertAlign w:val="superscript"/>
        </w:rPr>
        <w:t>b</w:t>
      </w:r>
      <w:r w:rsidRPr="00786B4C">
        <w:t xml:space="preserve"> </w:t>
      </w:r>
      <w:r w:rsidR="00193DF4">
        <w:tab/>
      </w:r>
      <w:r w:rsidRPr="00786B4C">
        <w:t>The</w:t>
      </w:r>
      <w:r w:rsidRPr="00786B4C">
        <w:t xml:space="preserve"> treatment effect was estimated in a multi-level model that controls for </w:t>
      </w:r>
      <w:r>
        <w:t>randomization</w:t>
      </w:r>
      <w:r w:rsidRPr="00786B4C">
        <w:t xml:space="preserve"> blocks and other covariates. The treatment effect is expressed as a difference in percentage points.</w:t>
      </w:r>
      <w:r>
        <w:t xml:space="preserve"> Due to rounding, reported treatment effects may differ from differences between reported means for the treatment and control groups.</w:t>
      </w:r>
    </w:p>
    <w:p w:rsidR="00424FAE" w:rsidP="00193DF4" w14:paraId="19F03437" w14:textId="19364D4E">
      <w:pPr>
        <w:pStyle w:val="ExhibitSource"/>
        <w:spacing w:before="40" w:after="40"/>
        <w:ind w:left="180" w:hanging="180"/>
      </w:pPr>
      <w:r>
        <w:rPr>
          <w:vertAlign w:val="superscript"/>
        </w:rPr>
        <w:t xml:space="preserve">c </w:t>
      </w:r>
      <w:r w:rsidR="00E15DA0">
        <w:rPr>
          <w:vertAlign w:val="superscript"/>
        </w:rPr>
        <w:t>.</w:t>
      </w:r>
      <w:r w:rsidR="00193DF4">
        <w:rPr>
          <w:vertAlign w:val="superscript"/>
        </w:rPr>
        <w:tab/>
      </w:r>
      <w:r>
        <w:t xml:space="preserve">After application of a Benjamini-Hochberg (1995) correction for two tests within this outcome domain, the criterion for statistical significance is </w:t>
      </w:r>
      <w:r w:rsidRPr="00F04798">
        <w:rPr>
          <w:i/>
        </w:rPr>
        <w:t>p</w:t>
      </w:r>
      <w:r>
        <w:t xml:space="preserve">&lt;.05 if both tests have </w:t>
      </w:r>
      <w:r w:rsidRPr="00F04798">
        <w:rPr>
          <w:i/>
        </w:rPr>
        <w:t>p</w:t>
      </w:r>
      <w:r>
        <w:t xml:space="preserve">-values less than .05, and .025 if only one of the two tests has a </w:t>
      </w:r>
      <w:r w:rsidRPr="006073A5">
        <w:rPr>
          <w:i/>
        </w:rPr>
        <w:t>p</w:t>
      </w:r>
      <w:r>
        <w:t>-value less than .05.</w:t>
      </w:r>
    </w:p>
    <w:p w:rsidR="00424FAE" w:rsidP="00193DF4" w14:paraId="2F0FCF2A" w14:textId="4406C897">
      <w:pPr>
        <w:pStyle w:val="ExhibitSource"/>
        <w:spacing w:before="40" w:after="40"/>
        <w:ind w:left="180" w:hanging="180"/>
      </w:pPr>
      <w:r>
        <w:rPr>
          <w:vertAlign w:val="superscript"/>
        </w:rPr>
        <w:t>d</w:t>
      </w:r>
      <w:r w:rsidRPr="00173C2A">
        <w:t xml:space="preserve"> </w:t>
      </w:r>
      <w:r w:rsidR="00193DF4">
        <w:tab/>
      </w:r>
      <w:r>
        <w:t xml:space="preserve">Criterion for statistical significance is </w:t>
      </w:r>
      <w:r w:rsidRPr="006073A5">
        <w:rPr>
          <w:i/>
        </w:rPr>
        <w:t>p</w:t>
      </w:r>
      <w:r>
        <w:t>&lt;.05.</w:t>
      </w:r>
    </w:p>
    <w:p w:rsidR="00E15DA0" w:rsidRPr="00E15DA0" w:rsidP="00E15DA0" w14:paraId="485EAC51" w14:textId="77777777">
      <w:pPr>
        <w:pStyle w:val="BodyText"/>
        <w:rPr>
          <w:lang w:val="en-US"/>
        </w:rPr>
      </w:pPr>
    </w:p>
    <w:p w:rsidR="00424FAE" w:rsidP="00424FAE" w14:paraId="5FD49FE1" w14:textId="0F92A332">
      <w:pPr>
        <w:pStyle w:val="Caption"/>
      </w:pPr>
      <w:r>
        <w:t xml:space="preserve">Table Shell for Impacts: Example 3 (Continuous </w:t>
      </w:r>
      <w:r w:rsidR="005219C1">
        <w:t xml:space="preserve">scale </w:t>
      </w:r>
      <w:r>
        <w:t>outcomes)</w:t>
      </w:r>
    </w:p>
    <w:tbl>
      <w:tblPr>
        <w:tblStyle w:val="Replicate51"/>
        <w:tblW w:w="5000" w:type="pct"/>
        <w:tblInd w:w="-5" w:type="dxa"/>
        <w:tblLayout w:type="fixed"/>
        <w:tblLook w:val="04A0"/>
      </w:tblPr>
      <w:tblGrid>
        <w:gridCol w:w="2912"/>
        <w:gridCol w:w="1328"/>
        <w:gridCol w:w="1279"/>
        <w:gridCol w:w="879"/>
        <w:gridCol w:w="615"/>
        <w:gridCol w:w="1019"/>
        <w:gridCol w:w="1318"/>
      </w:tblGrid>
      <w:tr w14:paraId="212D4132" w14:textId="77777777" w:rsidTr="00EF1271">
        <w:tblPrEx>
          <w:tblW w:w="5000" w:type="pct"/>
          <w:tblInd w:w="-5" w:type="dxa"/>
          <w:tblLayout w:type="fixed"/>
          <w:tblLook w:val="04A0"/>
        </w:tblPrEx>
        <w:trPr>
          <w:trHeight w:val="683"/>
          <w:tblHeader/>
        </w:trPr>
        <w:tc>
          <w:tcPr>
            <w:tcW w:w="1557" w:type="pct"/>
            <w:tcBorders>
              <w:bottom w:val="single" w:sz="4" w:space="0" w:color="auto"/>
              <w:right w:val="single" w:sz="4" w:space="0" w:color="FFFFFF" w:themeColor="background1"/>
            </w:tcBorders>
            <w:shd w:val="clear" w:color="auto" w:fill="156082"/>
            <w:noWrap/>
            <w:vAlign w:val="center"/>
            <w:hideMark/>
          </w:tcPr>
          <w:p w:rsidR="00424FAE" w:rsidRPr="005219C1" w:rsidP="00EF1271" w14:paraId="0B100633" w14:textId="77777777">
            <w:pPr>
              <w:pStyle w:val="TableColumnHeader"/>
              <w:rPr>
                <w:b/>
                <w:bCs/>
              </w:rPr>
            </w:pPr>
            <w:r w:rsidRPr="005219C1">
              <w:rPr>
                <w:b/>
                <w:bCs/>
              </w:rPr>
              <w:t>Outcome</w:t>
            </w:r>
          </w:p>
        </w:tc>
        <w:tc>
          <w:tcPr>
            <w:tcW w:w="710" w:type="pct"/>
            <w:tcBorders>
              <w:left w:val="single" w:sz="4" w:space="0" w:color="FFFFFF" w:themeColor="background1"/>
              <w:bottom w:val="single" w:sz="4" w:space="0" w:color="auto"/>
              <w:right w:val="single" w:sz="4" w:space="0" w:color="FFFFFF" w:themeColor="background1"/>
            </w:tcBorders>
            <w:shd w:val="clear" w:color="auto" w:fill="156082"/>
            <w:noWrap/>
            <w:vAlign w:val="center"/>
            <w:hideMark/>
          </w:tcPr>
          <w:p w:rsidR="00424FAE" w:rsidRPr="005219C1" w:rsidP="00EF1271" w14:paraId="00CA96DE" w14:textId="77777777">
            <w:pPr>
              <w:pStyle w:val="TableColumnHeader"/>
              <w:rPr>
                <w:b/>
                <w:bCs/>
              </w:rPr>
            </w:pPr>
            <w:r w:rsidRPr="005219C1">
              <w:rPr>
                <w:b/>
                <w:bCs/>
              </w:rPr>
              <w:t>Adjusted Treatment Mean</w:t>
            </w:r>
            <w:r w:rsidRPr="005219C1">
              <w:rPr>
                <w:rFonts w:cs="Times New Roman Bold"/>
                <w:b/>
                <w:bCs/>
                <w:vertAlign w:val="superscript"/>
              </w:rPr>
              <w:t>a</w:t>
            </w:r>
          </w:p>
        </w:tc>
        <w:tc>
          <w:tcPr>
            <w:tcW w:w="684" w:type="pct"/>
            <w:tcBorders>
              <w:left w:val="single" w:sz="4" w:space="0" w:color="FFFFFF" w:themeColor="background1"/>
              <w:bottom w:val="single" w:sz="4" w:space="0" w:color="auto"/>
              <w:right w:val="single" w:sz="4" w:space="0" w:color="FFFFFF" w:themeColor="background1"/>
            </w:tcBorders>
            <w:shd w:val="clear" w:color="auto" w:fill="156082"/>
            <w:noWrap/>
            <w:vAlign w:val="center"/>
            <w:hideMark/>
          </w:tcPr>
          <w:p w:rsidR="00424FAE" w:rsidRPr="005219C1" w:rsidP="00EF1271" w14:paraId="770A68EF" w14:textId="77777777">
            <w:pPr>
              <w:pStyle w:val="TableColumnHeader"/>
              <w:rPr>
                <w:b/>
                <w:bCs/>
              </w:rPr>
            </w:pPr>
            <w:r w:rsidRPr="005219C1">
              <w:rPr>
                <w:b/>
                <w:bCs/>
              </w:rPr>
              <w:t>Unadjusted Control Mean</w:t>
            </w:r>
          </w:p>
        </w:tc>
        <w:tc>
          <w:tcPr>
            <w:tcW w:w="799" w:type="pct"/>
            <w:gridSpan w:val="2"/>
            <w:tcBorders>
              <w:left w:val="single" w:sz="4" w:space="0" w:color="FFFFFF" w:themeColor="background1"/>
              <w:bottom w:val="single" w:sz="4" w:space="0" w:color="auto"/>
              <w:right w:val="single" w:sz="4" w:space="0" w:color="FFFFFF" w:themeColor="background1"/>
            </w:tcBorders>
            <w:shd w:val="clear" w:color="auto" w:fill="156082"/>
            <w:noWrap/>
            <w:vAlign w:val="center"/>
            <w:hideMark/>
          </w:tcPr>
          <w:p w:rsidR="00424FAE" w:rsidRPr="005219C1" w:rsidP="00EF1271" w14:paraId="6568920F" w14:textId="77777777">
            <w:pPr>
              <w:pStyle w:val="TableColumnHeader"/>
              <w:rPr>
                <w:b/>
                <w:bCs/>
              </w:rPr>
            </w:pPr>
            <w:r w:rsidRPr="005219C1">
              <w:rPr>
                <w:b/>
                <w:bCs/>
              </w:rPr>
              <w:t xml:space="preserve">Treatment </w:t>
            </w:r>
            <w:r w:rsidRPr="005219C1">
              <w:rPr>
                <w:b/>
                <w:bCs/>
              </w:rPr>
              <w:br/>
            </w:r>
            <w:r w:rsidRPr="005219C1">
              <w:rPr>
                <w:b/>
                <w:bCs/>
              </w:rPr>
              <w:t>Effect</w:t>
            </w:r>
            <w:r w:rsidRPr="005219C1">
              <w:rPr>
                <w:rFonts w:cs="Times New Roman Bold"/>
                <w:b/>
                <w:bCs/>
                <w:vertAlign w:val="superscript"/>
              </w:rPr>
              <w:t>b</w:t>
            </w:r>
          </w:p>
        </w:tc>
        <w:tc>
          <w:tcPr>
            <w:tcW w:w="545" w:type="pct"/>
            <w:tcBorders>
              <w:left w:val="single" w:sz="4" w:space="0" w:color="FFFFFF" w:themeColor="background1"/>
              <w:bottom w:val="single" w:sz="4" w:space="0" w:color="auto"/>
              <w:right w:val="single" w:sz="4" w:space="0" w:color="FFFFFF" w:themeColor="background1"/>
            </w:tcBorders>
            <w:shd w:val="clear" w:color="auto" w:fill="156082"/>
            <w:noWrap/>
            <w:vAlign w:val="center"/>
            <w:hideMark/>
          </w:tcPr>
          <w:p w:rsidR="00424FAE" w:rsidRPr="005219C1" w:rsidP="00EF1271" w14:paraId="77B82AC7" w14:textId="7DD06B21">
            <w:pPr>
              <w:pStyle w:val="TableColumnHeader"/>
              <w:rPr>
                <w:b/>
                <w:bCs/>
              </w:rPr>
            </w:pPr>
            <w:r w:rsidRPr="005219C1">
              <w:rPr>
                <w:b/>
                <w:bCs/>
              </w:rPr>
              <w:t>SES</w:t>
            </w:r>
            <w:r w:rsidRPr="005219C1">
              <w:rPr>
                <w:rFonts w:cs="Times New Roman Bold"/>
                <w:b/>
                <w:bCs/>
                <w:vertAlign w:val="superscript"/>
              </w:rPr>
              <w:t>c</w:t>
            </w:r>
          </w:p>
        </w:tc>
        <w:tc>
          <w:tcPr>
            <w:tcW w:w="705" w:type="pct"/>
            <w:tcBorders>
              <w:left w:val="single" w:sz="4" w:space="0" w:color="FFFFFF" w:themeColor="background1"/>
              <w:bottom w:val="single" w:sz="4" w:space="0" w:color="auto"/>
            </w:tcBorders>
            <w:shd w:val="clear" w:color="auto" w:fill="156082"/>
            <w:noWrap/>
            <w:vAlign w:val="center"/>
            <w:hideMark/>
          </w:tcPr>
          <w:p w:rsidR="00424FAE" w:rsidRPr="005219C1" w:rsidP="00EF1271" w14:paraId="6F4E129F" w14:textId="77777777">
            <w:pPr>
              <w:pStyle w:val="TableColumnHeader"/>
              <w:rPr>
                <w:b/>
                <w:bCs/>
              </w:rPr>
            </w:pPr>
            <w:r w:rsidRPr="005219C1">
              <w:rPr>
                <w:b/>
                <w:bCs/>
                <w:i/>
              </w:rPr>
              <w:t>p</w:t>
            </w:r>
            <w:r w:rsidRPr="005219C1">
              <w:rPr>
                <w:b/>
                <w:bCs/>
              </w:rPr>
              <w:t>-Value</w:t>
            </w:r>
          </w:p>
        </w:tc>
      </w:tr>
      <w:tr w14:paraId="54B7A936" w14:textId="77777777" w:rsidTr="00E15DA0">
        <w:tblPrEx>
          <w:tblW w:w="5000" w:type="pct"/>
          <w:tblInd w:w="-5" w:type="dxa"/>
          <w:tblLayout w:type="fixed"/>
          <w:tblLook w:val="04A0"/>
        </w:tblPrEx>
        <w:tc>
          <w:tcPr>
            <w:tcW w:w="5000" w:type="pct"/>
            <w:gridSpan w:val="7"/>
            <w:tcBorders>
              <w:top w:val="single" w:sz="4" w:space="0" w:color="auto"/>
              <w:left w:val="single" w:sz="4" w:space="0" w:color="auto"/>
              <w:bottom w:val="single" w:sz="4" w:space="0" w:color="auto"/>
              <w:right w:val="single" w:sz="4" w:space="0" w:color="auto"/>
            </w:tcBorders>
            <w:shd w:val="clear" w:color="auto" w:fill="D9D9D9"/>
            <w:noWrap/>
          </w:tcPr>
          <w:p w:rsidR="00E15DA0" w:rsidRPr="005219C1" w:rsidP="00EF1271" w14:paraId="00BC593A" w14:textId="599CDE0B">
            <w:pPr>
              <w:pStyle w:val="TableRowHeader"/>
              <w:rPr>
                <w:rFonts w:cs="Times New Roman Bold"/>
                <w:bCs/>
                <w:color w:val="auto"/>
                <w:sz w:val="20"/>
              </w:rPr>
            </w:pPr>
            <w:r w:rsidRPr="005219C1">
              <w:rPr>
                <w:rFonts w:cs="Times New Roman Bold"/>
                <w:bCs/>
                <w:color w:val="auto"/>
                <w:sz w:val="20"/>
              </w:rPr>
              <w:t>Short-Term Follow-Up</w:t>
            </w:r>
          </w:p>
        </w:tc>
      </w:tr>
      <w:tr w14:paraId="001BBD2E" w14:textId="77777777" w:rsidTr="00E15DA0">
        <w:tblPrEx>
          <w:tblW w:w="5000" w:type="pct"/>
          <w:tblInd w:w="-5" w:type="dxa"/>
          <w:tblLayout w:type="fixed"/>
          <w:tblLook w:val="04A0"/>
        </w:tblPrEx>
        <w:tc>
          <w:tcPr>
            <w:tcW w:w="1557" w:type="pct"/>
            <w:shd w:val="clear" w:color="auto" w:fill="auto"/>
            <w:noWrap/>
          </w:tcPr>
          <w:p w:rsidR="00424FAE" w:rsidRPr="005219C1" w:rsidP="00E15DA0" w14:paraId="24E35DBA" w14:textId="77777777">
            <w:pPr>
              <w:pStyle w:val="TableText"/>
              <w:rPr>
                <w:rFonts w:cs="Arial"/>
                <w:bCs/>
              </w:rPr>
            </w:pPr>
            <w:r w:rsidRPr="005219C1">
              <w:rPr>
                <w:rFonts w:cs="Arial"/>
                <w:bCs/>
              </w:rPr>
              <w:t>Outcome 1</w:t>
            </w:r>
          </w:p>
        </w:tc>
        <w:tc>
          <w:tcPr>
            <w:tcW w:w="710" w:type="pct"/>
            <w:shd w:val="clear" w:color="auto" w:fill="auto"/>
            <w:noWrap/>
            <w:vAlign w:val="center"/>
          </w:tcPr>
          <w:p w:rsidR="00424FAE" w:rsidRPr="005219C1" w:rsidP="00E15DA0" w14:paraId="418F7718" w14:textId="77777777">
            <w:pPr>
              <w:pStyle w:val="TableText"/>
              <w:jc w:val="center"/>
              <w:rPr>
                <w:rFonts w:cs="Arial"/>
                <w:bCs/>
              </w:rPr>
            </w:pPr>
            <w:r w:rsidRPr="005219C1">
              <w:rPr>
                <w:rFonts w:cs="Arial"/>
                <w:bCs/>
              </w:rPr>
              <w:t>3.18</w:t>
            </w:r>
          </w:p>
        </w:tc>
        <w:tc>
          <w:tcPr>
            <w:tcW w:w="684" w:type="pct"/>
            <w:shd w:val="clear" w:color="auto" w:fill="auto"/>
            <w:noWrap/>
            <w:vAlign w:val="center"/>
          </w:tcPr>
          <w:p w:rsidR="00424FAE" w:rsidRPr="005219C1" w:rsidP="00E15DA0" w14:paraId="37D8BB58" w14:textId="77777777">
            <w:pPr>
              <w:pStyle w:val="TableText"/>
              <w:jc w:val="center"/>
              <w:rPr>
                <w:rFonts w:cs="Arial"/>
                <w:bCs/>
              </w:rPr>
            </w:pPr>
            <w:r w:rsidRPr="005219C1">
              <w:rPr>
                <w:rFonts w:cs="Arial"/>
                <w:bCs/>
              </w:rPr>
              <w:t>3.13</w:t>
            </w:r>
          </w:p>
        </w:tc>
        <w:tc>
          <w:tcPr>
            <w:tcW w:w="470" w:type="pct"/>
            <w:tcBorders>
              <w:right w:val="nil"/>
            </w:tcBorders>
            <w:shd w:val="clear" w:color="auto" w:fill="auto"/>
            <w:noWrap/>
            <w:vAlign w:val="center"/>
          </w:tcPr>
          <w:p w:rsidR="00424FAE" w:rsidRPr="005219C1" w:rsidP="00E15DA0" w14:paraId="109800D4" w14:textId="77777777">
            <w:pPr>
              <w:pStyle w:val="TableText"/>
              <w:jc w:val="center"/>
              <w:rPr>
                <w:rFonts w:cs="Arial"/>
                <w:bCs/>
              </w:rPr>
            </w:pPr>
            <w:r w:rsidRPr="005219C1">
              <w:rPr>
                <w:rFonts w:cs="Arial"/>
                <w:bCs/>
              </w:rPr>
              <w:t>0.05</w:t>
            </w:r>
          </w:p>
        </w:tc>
        <w:tc>
          <w:tcPr>
            <w:tcW w:w="329" w:type="pct"/>
            <w:tcBorders>
              <w:left w:val="nil"/>
            </w:tcBorders>
            <w:shd w:val="clear" w:color="auto" w:fill="auto"/>
            <w:vAlign w:val="center"/>
          </w:tcPr>
          <w:p w:rsidR="00424FAE" w:rsidRPr="005219C1" w:rsidP="00E15DA0" w14:paraId="32648109" w14:textId="77777777">
            <w:pPr>
              <w:pStyle w:val="TableText"/>
              <w:jc w:val="center"/>
              <w:rPr>
                <w:rFonts w:cs="Arial"/>
                <w:bCs/>
              </w:rPr>
            </w:pPr>
            <w:r w:rsidRPr="005219C1">
              <w:rPr>
                <w:rFonts w:cs="Arial"/>
                <w:bCs/>
              </w:rPr>
              <w:t>***</w:t>
            </w:r>
          </w:p>
        </w:tc>
        <w:tc>
          <w:tcPr>
            <w:tcW w:w="545" w:type="pct"/>
            <w:shd w:val="clear" w:color="auto" w:fill="auto"/>
            <w:noWrap/>
            <w:vAlign w:val="center"/>
          </w:tcPr>
          <w:p w:rsidR="00424FAE" w:rsidRPr="005219C1" w:rsidP="00E15DA0" w14:paraId="54B6FCB4" w14:textId="77777777">
            <w:pPr>
              <w:pStyle w:val="TableText"/>
              <w:jc w:val="center"/>
              <w:rPr>
                <w:rFonts w:cs="Arial"/>
                <w:bCs/>
              </w:rPr>
            </w:pPr>
            <w:r w:rsidRPr="005219C1">
              <w:rPr>
                <w:rFonts w:cs="Arial"/>
                <w:bCs/>
              </w:rPr>
              <w:t>0.13</w:t>
            </w:r>
          </w:p>
        </w:tc>
        <w:tc>
          <w:tcPr>
            <w:tcW w:w="705" w:type="pct"/>
            <w:shd w:val="clear" w:color="auto" w:fill="auto"/>
            <w:noWrap/>
            <w:vAlign w:val="center"/>
          </w:tcPr>
          <w:p w:rsidR="00424FAE" w:rsidRPr="005219C1" w:rsidP="00E15DA0" w14:paraId="0B095558" w14:textId="77777777">
            <w:pPr>
              <w:pStyle w:val="TableText"/>
              <w:jc w:val="center"/>
              <w:rPr>
                <w:rFonts w:cs="Arial"/>
                <w:bCs/>
              </w:rPr>
            </w:pPr>
            <w:r w:rsidRPr="005219C1">
              <w:rPr>
                <w:rFonts w:cs="Arial"/>
                <w:bCs/>
              </w:rPr>
              <w:t>.000</w:t>
            </w:r>
          </w:p>
        </w:tc>
      </w:tr>
      <w:tr w14:paraId="1F037323" w14:textId="77777777" w:rsidTr="00E15DA0">
        <w:tblPrEx>
          <w:tblW w:w="5000" w:type="pct"/>
          <w:tblInd w:w="-5" w:type="dxa"/>
          <w:tblLayout w:type="fixed"/>
          <w:tblLook w:val="04A0"/>
        </w:tblPrEx>
        <w:tc>
          <w:tcPr>
            <w:tcW w:w="5000" w:type="pct"/>
            <w:gridSpan w:val="7"/>
            <w:tcBorders>
              <w:top w:val="single" w:sz="4" w:space="0" w:color="auto"/>
              <w:left w:val="single" w:sz="4" w:space="0" w:color="auto"/>
              <w:bottom w:val="single" w:sz="4" w:space="0" w:color="auto"/>
              <w:right w:val="single" w:sz="4" w:space="0" w:color="auto"/>
            </w:tcBorders>
            <w:shd w:val="clear" w:color="auto" w:fill="D9D9D9"/>
            <w:noWrap/>
          </w:tcPr>
          <w:p w:rsidR="00E15DA0" w:rsidRPr="005219C1" w:rsidP="00E15DA0" w14:paraId="73D3CA43" w14:textId="779BE2F7">
            <w:pPr>
              <w:pStyle w:val="TableRowHeader"/>
              <w:rPr>
                <w:rFonts w:cs="Times New Roman Bold"/>
                <w:bCs/>
                <w:color w:val="auto"/>
                <w:sz w:val="20"/>
              </w:rPr>
            </w:pPr>
            <w:r w:rsidRPr="005219C1">
              <w:rPr>
                <w:rFonts w:cs="Times New Roman Bold"/>
                <w:bCs/>
                <w:color w:val="auto"/>
                <w:sz w:val="20"/>
              </w:rPr>
              <w:t>Longer-Term Follow-Up</w:t>
            </w:r>
          </w:p>
        </w:tc>
      </w:tr>
      <w:tr w14:paraId="7D5F64DD" w14:textId="77777777" w:rsidTr="00E15DA0">
        <w:tblPrEx>
          <w:tblW w:w="5000" w:type="pct"/>
          <w:tblInd w:w="-5" w:type="dxa"/>
          <w:tblLayout w:type="fixed"/>
          <w:tblLook w:val="04A0"/>
        </w:tblPrEx>
        <w:tc>
          <w:tcPr>
            <w:tcW w:w="1557" w:type="pct"/>
            <w:shd w:val="clear" w:color="auto" w:fill="auto"/>
            <w:noWrap/>
          </w:tcPr>
          <w:p w:rsidR="00424FAE" w:rsidRPr="005219C1" w:rsidP="00E15DA0" w14:paraId="6264D6DC" w14:textId="77777777">
            <w:pPr>
              <w:pStyle w:val="TableText"/>
              <w:rPr>
                <w:rFonts w:cs="Arial"/>
                <w:bCs/>
              </w:rPr>
            </w:pPr>
            <w:r w:rsidRPr="005219C1">
              <w:rPr>
                <w:rFonts w:cs="Arial"/>
                <w:bCs/>
              </w:rPr>
              <w:t>Outcome 1</w:t>
            </w:r>
          </w:p>
        </w:tc>
        <w:tc>
          <w:tcPr>
            <w:tcW w:w="710" w:type="pct"/>
            <w:shd w:val="clear" w:color="auto" w:fill="auto"/>
            <w:noWrap/>
            <w:vAlign w:val="center"/>
          </w:tcPr>
          <w:p w:rsidR="00424FAE" w:rsidRPr="005219C1" w:rsidP="00E15DA0" w14:paraId="5193AB42" w14:textId="77777777">
            <w:pPr>
              <w:pStyle w:val="TableText"/>
              <w:jc w:val="center"/>
              <w:rPr>
                <w:rFonts w:cs="Arial"/>
                <w:bCs/>
              </w:rPr>
            </w:pPr>
            <w:r w:rsidRPr="005219C1">
              <w:rPr>
                <w:rFonts w:cs="Arial"/>
                <w:bCs/>
              </w:rPr>
              <w:t>3.16</w:t>
            </w:r>
          </w:p>
        </w:tc>
        <w:tc>
          <w:tcPr>
            <w:tcW w:w="684" w:type="pct"/>
            <w:shd w:val="clear" w:color="auto" w:fill="auto"/>
            <w:noWrap/>
            <w:vAlign w:val="center"/>
          </w:tcPr>
          <w:p w:rsidR="00424FAE" w:rsidRPr="005219C1" w:rsidP="00E15DA0" w14:paraId="291DEE0D" w14:textId="77777777">
            <w:pPr>
              <w:pStyle w:val="TableText"/>
              <w:jc w:val="center"/>
              <w:rPr>
                <w:rFonts w:cs="Arial"/>
                <w:bCs/>
              </w:rPr>
            </w:pPr>
            <w:r w:rsidRPr="005219C1">
              <w:rPr>
                <w:rFonts w:cs="Arial"/>
                <w:bCs/>
              </w:rPr>
              <w:t>3.13</w:t>
            </w:r>
          </w:p>
        </w:tc>
        <w:tc>
          <w:tcPr>
            <w:tcW w:w="470" w:type="pct"/>
            <w:tcBorders>
              <w:right w:val="nil"/>
            </w:tcBorders>
            <w:shd w:val="clear" w:color="auto" w:fill="auto"/>
            <w:noWrap/>
            <w:vAlign w:val="center"/>
          </w:tcPr>
          <w:p w:rsidR="00424FAE" w:rsidRPr="005219C1" w:rsidP="00E15DA0" w14:paraId="7C4231D9" w14:textId="77777777">
            <w:pPr>
              <w:pStyle w:val="TableText"/>
              <w:jc w:val="center"/>
              <w:rPr>
                <w:rFonts w:cs="Arial"/>
                <w:bCs/>
              </w:rPr>
            </w:pPr>
            <w:r w:rsidRPr="005219C1">
              <w:rPr>
                <w:rFonts w:cs="Arial"/>
                <w:bCs/>
              </w:rPr>
              <w:t>0.03</w:t>
            </w:r>
          </w:p>
        </w:tc>
        <w:tc>
          <w:tcPr>
            <w:tcW w:w="329" w:type="pct"/>
            <w:tcBorders>
              <w:left w:val="nil"/>
            </w:tcBorders>
            <w:shd w:val="clear" w:color="auto" w:fill="auto"/>
            <w:vAlign w:val="center"/>
          </w:tcPr>
          <w:p w:rsidR="00424FAE" w:rsidRPr="005219C1" w:rsidP="00E15DA0" w14:paraId="127F5CD4" w14:textId="77777777">
            <w:pPr>
              <w:pStyle w:val="TableText"/>
              <w:jc w:val="center"/>
              <w:rPr>
                <w:rFonts w:cs="Arial"/>
                <w:bCs/>
              </w:rPr>
            </w:pPr>
            <w:r w:rsidRPr="005219C1">
              <w:rPr>
                <w:rFonts w:cs="Arial"/>
                <w:bCs/>
              </w:rPr>
              <w:t>*</w:t>
            </w:r>
          </w:p>
        </w:tc>
        <w:tc>
          <w:tcPr>
            <w:tcW w:w="545" w:type="pct"/>
            <w:shd w:val="clear" w:color="auto" w:fill="auto"/>
            <w:noWrap/>
            <w:vAlign w:val="center"/>
          </w:tcPr>
          <w:p w:rsidR="00424FAE" w:rsidRPr="005219C1" w:rsidP="00E15DA0" w14:paraId="3B18E265" w14:textId="77777777">
            <w:pPr>
              <w:pStyle w:val="TableText"/>
              <w:jc w:val="center"/>
              <w:rPr>
                <w:rFonts w:cs="Arial"/>
                <w:bCs/>
              </w:rPr>
            </w:pPr>
            <w:r w:rsidRPr="005219C1">
              <w:rPr>
                <w:rFonts w:cs="Arial"/>
                <w:bCs/>
              </w:rPr>
              <w:t>0.08</w:t>
            </w:r>
          </w:p>
        </w:tc>
        <w:tc>
          <w:tcPr>
            <w:tcW w:w="705" w:type="pct"/>
            <w:shd w:val="clear" w:color="auto" w:fill="auto"/>
            <w:noWrap/>
            <w:vAlign w:val="center"/>
          </w:tcPr>
          <w:p w:rsidR="00424FAE" w:rsidRPr="005219C1" w:rsidP="00E15DA0" w14:paraId="44B20B11" w14:textId="77777777">
            <w:pPr>
              <w:pStyle w:val="TableText"/>
              <w:jc w:val="center"/>
              <w:rPr>
                <w:rFonts w:cs="Arial"/>
                <w:bCs/>
              </w:rPr>
            </w:pPr>
            <w:r w:rsidRPr="005219C1">
              <w:rPr>
                <w:rFonts w:cs="Arial"/>
                <w:bCs/>
              </w:rPr>
              <w:t>.027</w:t>
            </w:r>
          </w:p>
        </w:tc>
      </w:tr>
    </w:tbl>
    <w:p w:rsidR="00424FAE" w:rsidRPr="00FE3475" w:rsidP="00E15DA0" w14:paraId="524E9474" w14:textId="77777777">
      <w:pPr>
        <w:pStyle w:val="ExhibitSource"/>
        <w:rPr>
          <w:color w:val="000000"/>
          <w:szCs w:val="18"/>
        </w:rPr>
      </w:pPr>
      <w:r w:rsidRPr="00FE3475">
        <w:rPr>
          <w:i/>
          <w:color w:val="000000"/>
          <w:szCs w:val="18"/>
        </w:rPr>
        <w:t>Source:</w:t>
      </w:r>
      <w:r w:rsidRPr="00FE3475">
        <w:rPr>
          <w:color w:val="000000"/>
          <w:szCs w:val="18"/>
        </w:rPr>
        <w:t xml:space="preserve"> Follow-up survey</w:t>
      </w:r>
      <w:r>
        <w:rPr>
          <w:color w:val="000000"/>
          <w:szCs w:val="18"/>
        </w:rPr>
        <w:t>s</w:t>
      </w:r>
      <w:r w:rsidRPr="00FE3475">
        <w:rPr>
          <w:color w:val="000000"/>
          <w:szCs w:val="18"/>
        </w:rPr>
        <w:t xml:space="preserve"> administered </w:t>
      </w:r>
      <w:r>
        <w:rPr>
          <w:color w:val="000000"/>
          <w:szCs w:val="18"/>
        </w:rPr>
        <w:t>6</w:t>
      </w:r>
      <w:r w:rsidRPr="00FE3475">
        <w:rPr>
          <w:color w:val="000000"/>
          <w:szCs w:val="18"/>
        </w:rPr>
        <w:t xml:space="preserve"> months </w:t>
      </w:r>
      <w:r>
        <w:rPr>
          <w:color w:val="000000"/>
          <w:szCs w:val="18"/>
        </w:rPr>
        <w:t>and 12 months after baseline</w:t>
      </w:r>
      <w:r w:rsidRPr="00FE3475">
        <w:rPr>
          <w:color w:val="000000"/>
          <w:szCs w:val="18"/>
        </w:rPr>
        <w:t>.</w:t>
      </w:r>
    </w:p>
    <w:p w:rsidR="00424FAE" w:rsidRPr="00FE3475" w:rsidP="00E15DA0" w14:paraId="2BA202E7" w14:textId="77777777">
      <w:pPr>
        <w:pStyle w:val="ExhibitSource"/>
        <w:rPr>
          <w:color w:val="000000"/>
          <w:szCs w:val="18"/>
        </w:rPr>
      </w:pPr>
      <w:r w:rsidRPr="00FE3475">
        <w:rPr>
          <w:i/>
          <w:color w:val="000000"/>
          <w:szCs w:val="18"/>
        </w:rPr>
        <w:t>Note</w:t>
      </w:r>
      <w:r w:rsidRPr="00FE3475">
        <w:rPr>
          <w:color w:val="000000"/>
          <w:szCs w:val="18"/>
        </w:rPr>
        <w:t xml:space="preserve">: Results in this table are based on </w:t>
      </w:r>
      <w:r>
        <w:rPr>
          <w:color w:val="000000"/>
          <w:szCs w:val="18"/>
        </w:rPr>
        <w:t>2,675-</w:t>
      </w:r>
      <w:r w:rsidRPr="00BD3B27">
        <w:rPr>
          <w:color w:val="000000"/>
          <w:szCs w:val="18"/>
        </w:rPr>
        <w:t>2,688</w:t>
      </w:r>
      <w:r w:rsidRPr="00FE3475">
        <w:rPr>
          <w:color w:val="000000"/>
          <w:szCs w:val="18"/>
        </w:rPr>
        <w:t xml:space="preserve"> respondents </w:t>
      </w:r>
      <w:r>
        <w:rPr>
          <w:color w:val="000000"/>
          <w:szCs w:val="18"/>
        </w:rPr>
        <w:t xml:space="preserve">(short-term survey) and </w:t>
      </w:r>
      <w:r w:rsidRPr="006545CE">
        <w:rPr>
          <w:color w:val="000000"/>
          <w:szCs w:val="18"/>
        </w:rPr>
        <w:t>2,790–2,799</w:t>
      </w:r>
      <w:r w:rsidRPr="00615736">
        <w:rPr>
          <w:color w:val="000000"/>
          <w:szCs w:val="18"/>
        </w:rPr>
        <w:t xml:space="preserve"> respondents </w:t>
      </w:r>
      <w:r>
        <w:rPr>
          <w:color w:val="000000"/>
          <w:szCs w:val="18"/>
        </w:rPr>
        <w:t xml:space="preserve">(longer-term survey) </w:t>
      </w:r>
      <w:r w:rsidRPr="00615736">
        <w:rPr>
          <w:color w:val="000000"/>
          <w:szCs w:val="18"/>
        </w:rPr>
        <w:t>who provided valid survey responses to relevant items.</w:t>
      </w:r>
      <w:r w:rsidRPr="00615736">
        <w:t xml:space="preserve"> </w:t>
      </w:r>
    </w:p>
    <w:p w:rsidR="00424FAE" w:rsidRPr="00FE3475" w:rsidP="00711426" w14:paraId="01562CD1" w14:textId="6690928F">
      <w:pPr>
        <w:pStyle w:val="ExhibitSource"/>
        <w:ind w:left="180" w:hanging="180"/>
        <w:rPr>
          <w:color w:val="000000"/>
          <w:szCs w:val="18"/>
        </w:rPr>
      </w:pPr>
      <w:r w:rsidRPr="00FE3475">
        <w:rPr>
          <w:color w:val="000000"/>
          <w:szCs w:val="18"/>
          <w:vertAlign w:val="superscript"/>
        </w:rPr>
        <w:t>a</w:t>
      </w:r>
      <w:r>
        <w:rPr>
          <w:color w:val="000000"/>
          <w:szCs w:val="18"/>
          <w:vertAlign w:val="superscript"/>
        </w:rPr>
        <w:t xml:space="preserve"> </w:t>
      </w:r>
      <w:r w:rsidR="00711426">
        <w:rPr>
          <w:color w:val="000000"/>
          <w:szCs w:val="18"/>
          <w:vertAlign w:val="superscript"/>
        </w:rPr>
        <w:tab/>
      </w:r>
      <w:r w:rsidRPr="00FE3475">
        <w:rPr>
          <w:color w:val="000000"/>
          <w:szCs w:val="18"/>
        </w:rPr>
        <w:t>The</w:t>
      </w:r>
      <w:r w:rsidRPr="00FE3475">
        <w:rPr>
          <w:color w:val="000000"/>
          <w:szCs w:val="18"/>
        </w:rPr>
        <w:t xml:space="preserve"> tre</w:t>
      </w:r>
      <w:r>
        <w:rPr>
          <w:color w:val="000000"/>
          <w:szCs w:val="18"/>
        </w:rPr>
        <w:t xml:space="preserve">atment group mean is regression </w:t>
      </w:r>
      <w:r w:rsidRPr="00FE3475">
        <w:rPr>
          <w:color w:val="000000"/>
          <w:szCs w:val="18"/>
        </w:rPr>
        <w:t>adjusted, calculated as the sum of the contro</w:t>
      </w:r>
      <w:r>
        <w:rPr>
          <w:color w:val="000000"/>
          <w:szCs w:val="18"/>
        </w:rPr>
        <w:t>l group mean and the regression-</w:t>
      </w:r>
      <w:r w:rsidRPr="00FE3475">
        <w:rPr>
          <w:color w:val="000000"/>
          <w:szCs w:val="18"/>
        </w:rPr>
        <w:t>adjusted impact estimate (treatment effect).</w:t>
      </w:r>
    </w:p>
    <w:p w:rsidR="00424FAE" w:rsidRPr="00FE3475" w:rsidP="00711426" w14:paraId="6201F9AF" w14:textId="103194F6">
      <w:pPr>
        <w:pStyle w:val="ExhibitSource"/>
        <w:ind w:left="180" w:hanging="180"/>
        <w:rPr>
          <w:color w:val="000000"/>
          <w:szCs w:val="18"/>
        </w:rPr>
      </w:pPr>
      <w:r w:rsidRPr="00FE3475">
        <w:rPr>
          <w:color w:val="000000"/>
          <w:szCs w:val="18"/>
          <w:vertAlign w:val="superscript"/>
        </w:rPr>
        <w:t>b</w:t>
      </w:r>
      <w:r>
        <w:rPr>
          <w:color w:val="000000"/>
          <w:szCs w:val="18"/>
          <w:vertAlign w:val="superscript"/>
        </w:rPr>
        <w:t xml:space="preserve"> </w:t>
      </w:r>
      <w:r w:rsidR="00711426">
        <w:rPr>
          <w:color w:val="000000"/>
          <w:szCs w:val="18"/>
          <w:vertAlign w:val="superscript"/>
        </w:rPr>
        <w:tab/>
      </w:r>
      <w:r w:rsidRPr="00FE3475">
        <w:rPr>
          <w:color w:val="000000"/>
          <w:szCs w:val="18"/>
        </w:rPr>
        <w:t>The</w:t>
      </w:r>
      <w:r w:rsidRPr="00FE3475">
        <w:rPr>
          <w:color w:val="000000"/>
          <w:szCs w:val="18"/>
        </w:rPr>
        <w:t xml:space="preserve"> treatment effect was estimated in a multi-level model that controls for randomization blocks and other covariates. </w:t>
      </w:r>
      <w:r w:rsidR="005219C1">
        <w:rPr>
          <w:color w:val="000000"/>
          <w:szCs w:val="18"/>
        </w:rPr>
        <w:t>T</w:t>
      </w:r>
      <w:r w:rsidRPr="00FE3475">
        <w:rPr>
          <w:color w:val="000000"/>
          <w:szCs w:val="18"/>
        </w:rPr>
        <w:t>he treatment effect is expressed in the original metric of the outcome variable. Due to rounding, reported treatment effects may differ from differences between reported means for the treatment and control groups.</w:t>
      </w:r>
    </w:p>
    <w:p w:rsidR="00424FAE" w:rsidP="00711426" w14:paraId="00D48B6A" w14:textId="01E14310">
      <w:pPr>
        <w:pStyle w:val="ExhibitSource"/>
        <w:ind w:left="180" w:hanging="180"/>
      </w:pPr>
      <w:r w:rsidRPr="00FE3475">
        <w:rPr>
          <w:vertAlign w:val="superscript"/>
        </w:rPr>
        <w:t>c</w:t>
      </w:r>
      <w:r>
        <w:rPr>
          <w:vertAlign w:val="superscript"/>
        </w:rPr>
        <w:t xml:space="preserve"> </w:t>
      </w:r>
      <w:r w:rsidR="00711426">
        <w:rPr>
          <w:vertAlign w:val="superscript"/>
        </w:rPr>
        <w:tab/>
      </w:r>
      <w:r>
        <w:t xml:space="preserve">The </w:t>
      </w:r>
      <w:r w:rsidRPr="00FE3475">
        <w:t xml:space="preserve">SES </w:t>
      </w:r>
      <w:r>
        <w:t xml:space="preserve">is the standardized effect size </w:t>
      </w:r>
      <w:r w:rsidRPr="00FE3475">
        <w:t xml:space="preserve">of the difference. </w:t>
      </w:r>
      <w:r w:rsidR="005219C1">
        <w:t>T</w:t>
      </w:r>
      <w:r>
        <w:t>he SES is the treatment e</w:t>
      </w:r>
      <w:r w:rsidRPr="00FE3475">
        <w:t xml:space="preserve">ffect divided by the pooled standard deviation of the treatment and control </w:t>
      </w:r>
      <w:r w:rsidRPr="00711426">
        <w:rPr>
          <w:color w:val="000000"/>
          <w:szCs w:val="18"/>
        </w:rPr>
        <w:t>groups</w:t>
      </w:r>
      <w:r w:rsidRPr="00FE3475">
        <w:t>.</w:t>
      </w:r>
      <w:r w:rsidRPr="00084FA2">
        <w:rPr>
          <w:color w:val="000000"/>
          <w:szCs w:val="18"/>
        </w:rPr>
        <w:t xml:space="preserve"> </w:t>
      </w:r>
    </w:p>
    <w:p w:rsidR="00424FAE" w:rsidP="00E15DA0" w14:paraId="74F52278" w14:textId="77777777">
      <w:pPr>
        <w:pStyle w:val="ExhibitSource"/>
      </w:pPr>
      <w:r w:rsidRPr="00FE3475">
        <w:t xml:space="preserve">* </w:t>
      </w:r>
      <w:r w:rsidRPr="00590D27">
        <w:rPr>
          <w:i/>
        </w:rPr>
        <w:t>p</w:t>
      </w:r>
      <w:r w:rsidRPr="00FE3475">
        <w:t xml:space="preserve">&lt;.05, ** </w:t>
      </w:r>
      <w:r w:rsidRPr="00590D27">
        <w:rPr>
          <w:i/>
        </w:rPr>
        <w:t>p</w:t>
      </w:r>
      <w:r w:rsidRPr="00FE3475">
        <w:t xml:space="preserve">&lt;.01, *** </w:t>
      </w:r>
      <w:r w:rsidRPr="00590D27">
        <w:rPr>
          <w:i/>
        </w:rPr>
        <w:t>p</w:t>
      </w:r>
      <w:r w:rsidRPr="00FE3475">
        <w:t>&lt;.001 (two-tailed tests).</w:t>
      </w:r>
    </w:p>
    <w:p w:rsidR="00E15DA0" w:rsidP="00E15DA0" w14:paraId="4DFEA5EA" w14:textId="77777777">
      <w:pPr>
        <w:pStyle w:val="BodyText"/>
      </w:pPr>
    </w:p>
    <w:p w:rsidR="00424FAE" w:rsidRPr="00424FAE" w:rsidP="00424FAE" w14:paraId="392AB6BD" w14:textId="77777777">
      <w:pPr>
        <w:pStyle w:val="Heading3"/>
      </w:pPr>
      <w:bookmarkStart w:id="12" w:name="_Toc178102443"/>
      <w:r w:rsidRPr="00424FAE">
        <w:t>2.5.8</w:t>
      </w:r>
      <w:r w:rsidRPr="00424FAE">
        <w:tab/>
        <w:t>Sensitivity analysis (optional)</w:t>
      </w:r>
      <w:bookmarkEnd w:id="12"/>
    </w:p>
    <w:p w:rsidR="00424FAE" w:rsidRPr="00424FAE" w:rsidP="00424FAE" w14:paraId="36B14EEC" w14:textId="6BF1BD8E">
      <w:pPr>
        <w:pStyle w:val="BodyText"/>
        <w:rPr>
          <w:lang w:val="en-US"/>
        </w:rPr>
      </w:pPr>
      <w:r w:rsidRPr="00424FAE">
        <w:rPr>
          <w:lang w:val="en-US"/>
        </w:rPr>
        <w:t xml:space="preserve">Describe any analyses you will conduct to test the robustness of the findings to alternative assumptions or specifications of the analytic </w:t>
      </w:r>
      <w:r w:rsidRPr="00C852D3">
        <w:rPr>
          <w:lang w:val="en-US"/>
        </w:rPr>
        <w:t xml:space="preserve">model. </w:t>
      </w:r>
      <w:r w:rsidRPr="00C852D3" w:rsidR="00CF2DA8">
        <w:rPr>
          <w:lang w:val="en-US"/>
        </w:rPr>
        <w:t xml:space="preserve">Neither the TPPER nor the Standards for Rigor require sensitivity analyses. However, demonstrating that </w:t>
      </w:r>
      <w:r w:rsidRPr="00C852D3" w:rsidR="00E43D6E">
        <w:rPr>
          <w:lang w:val="en-US"/>
        </w:rPr>
        <w:t xml:space="preserve">your </w:t>
      </w:r>
      <w:r w:rsidRPr="00C852D3" w:rsidR="00CF2DA8">
        <w:rPr>
          <w:lang w:val="en-US"/>
        </w:rPr>
        <w:t>results are robust to alternative specifications will lend credibility to your findings.</w:t>
      </w:r>
      <w:r w:rsidRPr="00C852D3" w:rsidR="00E43D6E">
        <w:rPr>
          <w:lang w:val="en-US"/>
        </w:rPr>
        <w:t xml:space="preserve"> </w:t>
      </w:r>
      <w:r w:rsidRPr="00C852D3">
        <w:rPr>
          <w:lang w:val="en-US"/>
        </w:rPr>
        <w:t>For</w:t>
      </w:r>
      <w:r w:rsidRPr="00424FAE">
        <w:rPr>
          <w:lang w:val="en-US"/>
        </w:rPr>
        <w:t xml:space="preserve"> example, if you are using multiple imputation to address missing outcome data, you may wish to test whether your primary findings hold up if you instead use non-response weights or conduct a complete case analysis. Another example would be to test an alternative specification of your analytic model—for instance if you use linear probability models for all contrasts in your main analysis, you may wish to test whether using a nonlinear model such as logit or probit for binary outcomes affects the impact estimates or confidence intervals. Again, finding similar results using different specifications will </w:t>
      </w:r>
      <w:r w:rsidR="00E43D6E">
        <w:rPr>
          <w:lang w:val="en-US"/>
        </w:rPr>
        <w:t>help you to make a stronger case that your findings are the right ones</w:t>
      </w:r>
      <w:r w:rsidRPr="00424FAE">
        <w:rPr>
          <w:lang w:val="en-US"/>
        </w:rPr>
        <w:t xml:space="preserve">. </w:t>
      </w:r>
    </w:p>
    <w:p w:rsidR="00424FAE" w:rsidP="00424FAE" w14:paraId="279AA52C" w14:textId="4B2D7A8B">
      <w:pPr>
        <w:pStyle w:val="BodyText"/>
        <w:rPr>
          <w:lang w:val="en-US"/>
        </w:rPr>
      </w:pPr>
      <w:r w:rsidRPr="00424FAE">
        <w:rPr>
          <w:lang w:val="en-US"/>
        </w:rPr>
        <w:t>Note that the analysis plan does not necessarily need to detail all sensitivity analyses that might be conducted. It is common for questions or doubts to arise as the analysis proceeds, which could be addressed by conducting and reporting a sensitivity analysis. You may conduct such analyses even if they were not specified in the analysis plan.</w:t>
      </w:r>
    </w:p>
    <w:tbl>
      <w:tblPr>
        <w:tblStyle w:val="TableGrid"/>
        <w:tblW w:w="9360" w:type="dxa"/>
        <w:shd w:val="clear" w:color="auto" w:fill="B8DEE6"/>
        <w:tblLook w:val="04A0"/>
      </w:tblPr>
      <w:tblGrid>
        <w:gridCol w:w="9360"/>
      </w:tblGrid>
      <w:tr w14:paraId="09645664" w14:textId="77777777" w:rsidTr="00A837D1">
        <w:tblPrEx>
          <w:tblW w:w="9360" w:type="dxa"/>
          <w:shd w:val="clear" w:color="auto" w:fill="B8DEE6"/>
          <w:tblLook w:val="04A0"/>
        </w:tblPrEx>
        <w:tc>
          <w:tcPr>
            <w:tcW w:w="9360" w:type="dxa"/>
            <w:shd w:val="clear" w:color="auto" w:fill="B8DEE6"/>
          </w:tcPr>
          <w:p w:rsidR="00424FAE" w:rsidRPr="00424FAE" w:rsidP="00A837D1" w14:paraId="1FA1486E" w14:textId="553B305B">
            <w:pPr>
              <w:pStyle w:val="Call-OutBoxText"/>
              <w:rPr>
                <w:szCs w:val="20"/>
              </w:rPr>
            </w:pPr>
            <w:r w:rsidRPr="00424FAE">
              <w:rPr>
                <w:szCs w:val="20"/>
              </w:rPr>
              <w:t>Sensitivity analyses are additional analysis conducted using different assumptions from those made for the primary analyses. Sensitivity analyses can help assess how robust your findings are to the assumptions and decisions made to address the primary analyses.</w:t>
            </w:r>
          </w:p>
        </w:tc>
      </w:tr>
    </w:tbl>
    <w:p w:rsidR="00424FAE" w:rsidRPr="00282841" w:rsidP="00424FAE" w14:paraId="6952F72B" w14:textId="77777777">
      <w:pPr>
        <w:pStyle w:val="BodyText"/>
        <w:rPr>
          <w:lang w:val="en-US"/>
        </w:rPr>
      </w:pPr>
    </w:p>
    <w:p w:rsidR="00424FAE" w:rsidP="00A212FA" w14:paraId="525DEB5C" w14:textId="77777777">
      <w:pPr>
        <w:pStyle w:val="BodyText"/>
        <w:rPr>
          <w:lang w:val="en-US"/>
        </w:rPr>
      </w:pPr>
    </w:p>
    <w:p w:rsidR="00424FAE" w:rsidP="00A212FA" w14:paraId="35A88245" w14:textId="77777777">
      <w:pPr>
        <w:pStyle w:val="BodyText"/>
        <w:rPr>
          <w:lang w:val="en-US"/>
        </w:rPr>
        <w:sectPr w:rsidSect="0009055B">
          <w:footerReference w:type="first" r:id="rId30"/>
          <w:pgSz w:w="12240" w:h="15840" w:code="1"/>
          <w:pgMar w:top="1440" w:right="1440" w:bottom="1440" w:left="1440" w:header="432" w:footer="720" w:gutter="0"/>
          <w:pgNumType w:start="1"/>
          <w:cols w:space="720"/>
          <w:titlePg/>
          <w:docGrid w:linePitch="299"/>
        </w:sectPr>
      </w:pPr>
    </w:p>
    <w:p w:rsidR="00424FAE" w:rsidP="00424FAE" w14:paraId="5E213D5E" w14:textId="54501159">
      <w:pPr>
        <w:pStyle w:val="Heading1NoNumbering"/>
      </w:pPr>
      <w:bookmarkStart w:id="13" w:name="_Toc178102444"/>
      <w:r>
        <w:t>Appendix B. Contrast Table</w:t>
      </w:r>
      <w:bookmarkEnd w:id="13"/>
    </w:p>
    <w:p w:rsidR="00424FAE" w:rsidRPr="00424FAE" w:rsidP="00424FAE" w14:paraId="03BB1573" w14:textId="77777777">
      <w:pPr>
        <w:pStyle w:val="BodyText"/>
        <w:rPr>
          <w:lang w:val="en-US"/>
        </w:rPr>
      </w:pPr>
      <w:r w:rsidRPr="00424FAE">
        <w:rPr>
          <w:lang w:val="en-US"/>
        </w:rPr>
        <w:t>Update the contrast table included in your evaluation plan for each of your research questions as needed. (Note that the LES team provided a contrast table for your primary contrasts in your evaluation plan approval memo.)</w:t>
      </w:r>
    </w:p>
    <w:p w:rsidR="00424FAE" w:rsidRPr="00424FAE" w:rsidP="00424FAE" w14:paraId="6C8E3164" w14:textId="3B327D5F">
      <w:pPr>
        <w:pStyle w:val="BodyText"/>
        <w:rPr>
          <w:lang w:val="en-US"/>
        </w:rPr>
      </w:pPr>
      <w:r w:rsidRPr="00424FAE">
        <w:rPr>
          <w:lang w:val="en-US"/>
        </w:rPr>
        <w:t>Below we provide an example contrast table, including two research questions.</w:t>
      </w:r>
    </w:p>
    <w:tbl>
      <w:tblPr>
        <w:tblStyle w:val="TableGrid"/>
        <w:tblW w:w="13135" w:type="dxa"/>
        <w:tblLayout w:type="fixed"/>
        <w:tblCellMar>
          <w:left w:w="43" w:type="dxa"/>
          <w:right w:w="43" w:type="dxa"/>
        </w:tblCellMar>
        <w:tblLook w:val="04A0"/>
      </w:tblPr>
      <w:tblGrid>
        <w:gridCol w:w="985"/>
        <w:gridCol w:w="720"/>
        <w:gridCol w:w="1080"/>
        <w:gridCol w:w="1170"/>
        <w:gridCol w:w="1593"/>
        <w:gridCol w:w="1350"/>
        <w:gridCol w:w="1017"/>
        <w:gridCol w:w="1400"/>
        <w:gridCol w:w="1260"/>
        <w:gridCol w:w="1350"/>
        <w:gridCol w:w="1210"/>
      </w:tblGrid>
      <w:tr w14:paraId="2B76AF8B" w14:textId="77777777" w:rsidTr="00EF1271">
        <w:tblPrEx>
          <w:tblW w:w="13135" w:type="dxa"/>
          <w:tblLayout w:type="fixed"/>
          <w:tblCellMar>
            <w:left w:w="43" w:type="dxa"/>
            <w:right w:w="43" w:type="dxa"/>
          </w:tblCellMar>
          <w:tblLook w:val="04A0"/>
        </w:tblPrEx>
        <w:trPr>
          <w:trHeight w:val="288"/>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2249C082" w14:textId="77777777">
            <w:pPr>
              <w:pStyle w:val="TableColumnHeader"/>
              <w:rPr>
                <w:sz w:val="18"/>
                <w:szCs w:val="18"/>
              </w:rPr>
            </w:pPr>
            <w:r w:rsidRPr="00EF1271">
              <w:rPr>
                <w:sz w:val="18"/>
                <w:szCs w:val="18"/>
              </w:rPr>
              <w:t>Research Question: Primary/ Secondary</w:t>
            </w:r>
          </w:p>
        </w:tc>
        <w:tc>
          <w:tcPr>
            <w:tcW w:w="7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026B0EC7" w14:textId="77777777">
            <w:pPr>
              <w:pStyle w:val="TableColumnHeader"/>
              <w:rPr>
                <w:sz w:val="18"/>
                <w:szCs w:val="18"/>
              </w:rPr>
            </w:pPr>
            <w:r w:rsidRPr="00EF1271">
              <w:rPr>
                <w:sz w:val="18"/>
                <w:szCs w:val="18"/>
              </w:rPr>
              <w:t>Design</w:t>
            </w:r>
          </w:p>
        </w:tc>
        <w:tc>
          <w:tcPr>
            <w:tcW w:w="10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602289B6" w14:textId="77777777">
            <w:pPr>
              <w:pStyle w:val="TableColumnHeader"/>
              <w:rPr>
                <w:sz w:val="18"/>
                <w:szCs w:val="18"/>
              </w:rPr>
            </w:pPr>
            <w:r w:rsidRPr="00EF1271">
              <w:rPr>
                <w:sz w:val="18"/>
                <w:szCs w:val="18"/>
              </w:rPr>
              <w:t>Target Population*</w:t>
            </w:r>
          </w:p>
        </w:tc>
        <w:tc>
          <w:tcPr>
            <w:tcW w:w="11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2809E569" w14:textId="77777777">
            <w:pPr>
              <w:pStyle w:val="TableColumnHeader"/>
              <w:rPr>
                <w:sz w:val="18"/>
                <w:szCs w:val="18"/>
              </w:rPr>
            </w:pPr>
            <w:r w:rsidRPr="00EF1271">
              <w:rPr>
                <w:sz w:val="18"/>
                <w:szCs w:val="18"/>
              </w:rPr>
              <w:t>Sample Eligibility Criteria</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1EB2B2E8" w14:textId="77777777">
            <w:pPr>
              <w:pStyle w:val="TableColumnHeader"/>
              <w:rPr>
                <w:sz w:val="18"/>
                <w:szCs w:val="18"/>
              </w:rPr>
            </w:pPr>
            <w:r w:rsidRPr="00EF1271">
              <w:rPr>
                <w:sz w:val="18"/>
                <w:szCs w:val="18"/>
              </w:rPr>
              <w:t>Treatment Group</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488625E1" w14:textId="77777777">
            <w:pPr>
              <w:pStyle w:val="TableColumnHeader"/>
              <w:rPr>
                <w:sz w:val="18"/>
                <w:szCs w:val="18"/>
              </w:rPr>
            </w:pPr>
            <w:r w:rsidRPr="00EF1271">
              <w:rPr>
                <w:sz w:val="18"/>
                <w:szCs w:val="18"/>
              </w:rPr>
              <w:t>Comparison Group</w:t>
            </w:r>
          </w:p>
        </w:tc>
        <w:tc>
          <w:tcPr>
            <w:tcW w:w="3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5D67FA09" w14:textId="77777777">
            <w:pPr>
              <w:pStyle w:val="TableColumnHeader"/>
              <w:rPr>
                <w:sz w:val="18"/>
                <w:szCs w:val="18"/>
              </w:rPr>
            </w:pPr>
            <w:r w:rsidRPr="00EF1271">
              <w:rPr>
                <w:sz w:val="18"/>
                <w:szCs w:val="18"/>
              </w:rPr>
              <w:t>Outcome</w:t>
            </w:r>
          </w:p>
        </w:tc>
        <w:tc>
          <w:tcPr>
            <w:tcW w:w="2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78F0082D" w14:textId="77777777">
            <w:pPr>
              <w:pStyle w:val="TableColumnHeader"/>
              <w:rPr>
                <w:sz w:val="18"/>
                <w:szCs w:val="18"/>
              </w:rPr>
            </w:pPr>
            <w:r w:rsidRPr="00EF1271">
              <w:rPr>
                <w:sz w:val="18"/>
                <w:szCs w:val="18"/>
              </w:rPr>
              <w:t>Baseline (if applicable)</w:t>
            </w:r>
          </w:p>
        </w:tc>
      </w:tr>
      <w:tr w14:paraId="54E4B2A9" w14:textId="77777777" w:rsidTr="00EF1271">
        <w:tblPrEx>
          <w:tblW w:w="13135" w:type="dxa"/>
          <w:tblLayout w:type="fixed"/>
          <w:tblCellMar>
            <w:left w:w="43" w:type="dxa"/>
            <w:right w:w="43" w:type="dxa"/>
          </w:tblCellMar>
          <w:tblLook w:val="04A0"/>
        </w:tblPrEx>
        <w:trPr>
          <w:trHeight w:val="288"/>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03393174" w14:textId="77777777">
            <w:pPr>
              <w:pStyle w:val="TableColumnHeader"/>
              <w:rPr>
                <w:sz w:val="18"/>
                <w:szCs w:val="18"/>
              </w:rPr>
            </w:pPr>
          </w:p>
        </w:tc>
        <w:tc>
          <w:tcPr>
            <w:tcW w:w="7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442AED55" w14:textId="77777777">
            <w:pPr>
              <w:pStyle w:val="TableColumnHeader"/>
              <w:rPr>
                <w:sz w:val="18"/>
                <w:szCs w:val="18"/>
              </w:rPr>
            </w:pP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3DDFA694" w14:textId="77777777">
            <w:pPr>
              <w:pStyle w:val="TableColumnHeader"/>
              <w:rPr>
                <w:sz w:val="18"/>
                <w:szCs w:val="18"/>
              </w:rPr>
            </w:pPr>
          </w:p>
        </w:tc>
        <w:tc>
          <w:tcPr>
            <w:tcW w:w="11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48065E4C" w14:textId="77777777">
            <w:pPr>
              <w:pStyle w:val="TableColumnHeader"/>
              <w:rPr>
                <w:sz w:val="18"/>
                <w:szCs w:val="18"/>
              </w:rPr>
            </w:pP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375C5DFB" w14:textId="77777777">
            <w:pPr>
              <w:pStyle w:val="TableColumnHeader"/>
              <w:rPr>
                <w:sz w:val="18"/>
                <w:szCs w:val="18"/>
              </w:rPr>
            </w:pPr>
            <w:r w:rsidRPr="00EF1271">
              <w:rPr>
                <w:sz w:val="18"/>
                <w:szCs w:val="18"/>
              </w:rPr>
              <w:t>Treatment Description*</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6D8E2DE3" w14:textId="77777777">
            <w:pPr>
              <w:pStyle w:val="TableColumnHeader"/>
              <w:rPr>
                <w:sz w:val="18"/>
                <w:szCs w:val="18"/>
              </w:rPr>
            </w:pPr>
            <w:r w:rsidRPr="00EF1271">
              <w:rPr>
                <w:sz w:val="18"/>
                <w:szCs w:val="18"/>
              </w:rPr>
              <w:t>Condition/ Description*</w:t>
            </w:r>
          </w:p>
        </w:tc>
        <w:tc>
          <w:tcPr>
            <w:tcW w:w="1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02835727" w14:textId="77777777">
            <w:pPr>
              <w:pStyle w:val="TableColumnHeader"/>
              <w:rPr>
                <w:sz w:val="18"/>
                <w:szCs w:val="18"/>
              </w:rPr>
            </w:pPr>
            <w:r w:rsidRPr="00EF1271">
              <w:rPr>
                <w:sz w:val="18"/>
                <w:szCs w:val="18"/>
              </w:rPr>
              <w:t>Domain*</w:t>
            </w:r>
          </w:p>
        </w:tc>
        <w:tc>
          <w:tcPr>
            <w:tcW w:w="1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03B3260C" w14:textId="77777777">
            <w:pPr>
              <w:pStyle w:val="TableColumnHeader"/>
              <w:rPr>
                <w:sz w:val="18"/>
                <w:szCs w:val="18"/>
              </w:rPr>
            </w:pPr>
            <w:r w:rsidRPr="00EF1271">
              <w:rPr>
                <w:sz w:val="18"/>
                <w:szCs w:val="18"/>
              </w:rPr>
              <w:t xml:space="preserve">Unit of assignment/ observation: </w:t>
            </w:r>
            <w:r w:rsidRPr="00EF1271">
              <w:rPr>
                <w:sz w:val="18"/>
                <w:szCs w:val="18"/>
              </w:rPr>
              <w:br/>
              <w:t>Measure</w:t>
            </w:r>
            <w:r w:rsidRPr="00EF1271">
              <w:rPr>
                <w:sz w:val="18"/>
                <w:szCs w:val="18"/>
              </w:rPr>
              <w:br/>
              <w:t>[Scale]</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0AC75AA7" w14:textId="77777777">
            <w:pPr>
              <w:pStyle w:val="TableColumnHeader"/>
              <w:rPr>
                <w:sz w:val="18"/>
                <w:szCs w:val="18"/>
              </w:rPr>
            </w:pPr>
            <w:r w:rsidRPr="00EF1271">
              <w:rPr>
                <w:sz w:val="18"/>
                <w:szCs w:val="18"/>
              </w:rPr>
              <w:t>Timing of measurement</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1CED7D4C" w14:textId="77777777">
            <w:pPr>
              <w:pStyle w:val="TableColumnHeader"/>
              <w:rPr>
                <w:sz w:val="18"/>
                <w:szCs w:val="18"/>
              </w:rPr>
            </w:pPr>
            <w:r w:rsidRPr="00EF1271">
              <w:rPr>
                <w:sz w:val="18"/>
                <w:szCs w:val="18"/>
              </w:rPr>
              <w:t xml:space="preserve">Unit of assignment/ observation: </w:t>
            </w:r>
            <w:r w:rsidRPr="00EF1271">
              <w:rPr>
                <w:sz w:val="18"/>
                <w:szCs w:val="18"/>
              </w:rPr>
              <w:br/>
              <w:t>Measure</w:t>
            </w:r>
            <w:r w:rsidRPr="00EF1271">
              <w:rPr>
                <w:sz w:val="18"/>
                <w:szCs w:val="18"/>
              </w:rPr>
              <w:br/>
              <w:t>[Scale]</w:t>
            </w:r>
          </w:p>
        </w:tc>
        <w:tc>
          <w:tcPr>
            <w:tcW w:w="1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5DEC7F83" w14:textId="77777777">
            <w:pPr>
              <w:pStyle w:val="TableColumnHeader"/>
              <w:rPr>
                <w:sz w:val="18"/>
                <w:szCs w:val="18"/>
              </w:rPr>
            </w:pPr>
            <w:r w:rsidRPr="00EF1271">
              <w:rPr>
                <w:sz w:val="18"/>
                <w:szCs w:val="18"/>
              </w:rPr>
              <w:t>Timing of measurement</w:t>
            </w:r>
          </w:p>
        </w:tc>
      </w:tr>
      <w:tr w14:paraId="31430C04" w14:textId="77777777" w:rsidTr="00EF1271">
        <w:tblPrEx>
          <w:tblW w:w="13135" w:type="dxa"/>
          <w:tblLayout w:type="fixed"/>
          <w:tblCellMar>
            <w:left w:w="43" w:type="dxa"/>
            <w:right w:w="43" w:type="dxa"/>
          </w:tblCellMar>
          <w:tblLook w:val="04A0"/>
        </w:tblPrEx>
        <w:trPr>
          <w:trHeight w:val="288"/>
        </w:trPr>
        <w:tc>
          <w:tcPr>
            <w:tcW w:w="985" w:type="dxa"/>
            <w:tcBorders>
              <w:top w:val="single" w:sz="4" w:space="0" w:color="FFFFFF" w:themeColor="background1"/>
            </w:tcBorders>
            <w:hideMark/>
          </w:tcPr>
          <w:p w:rsidR="00424FAE" w:rsidRPr="00EF1271" w:rsidP="00EF1271" w14:paraId="64A6D0B6" w14:textId="77777777">
            <w:pPr>
              <w:pStyle w:val="TableText"/>
              <w:rPr>
                <w:rFonts w:cs="Arial"/>
                <w:color w:val="000000"/>
                <w:sz w:val="18"/>
                <w:szCs w:val="18"/>
              </w:rPr>
            </w:pPr>
            <w:r w:rsidRPr="00EF1271">
              <w:rPr>
                <w:sz w:val="18"/>
                <w:szCs w:val="18"/>
              </w:rPr>
              <w:t>RQ 1</w:t>
            </w:r>
          </w:p>
        </w:tc>
        <w:tc>
          <w:tcPr>
            <w:tcW w:w="720" w:type="dxa"/>
            <w:tcBorders>
              <w:top w:val="single" w:sz="4" w:space="0" w:color="FFFFFF" w:themeColor="background1"/>
            </w:tcBorders>
          </w:tcPr>
          <w:p w:rsidR="00424FAE" w:rsidRPr="00EF1271" w:rsidP="00EF1271" w14:paraId="6EA1D5B8" w14:textId="77777777">
            <w:pPr>
              <w:pStyle w:val="TableText"/>
              <w:rPr>
                <w:rFonts w:cs="Arial"/>
                <w:bCs/>
                <w:color w:val="000000"/>
                <w:sz w:val="18"/>
                <w:szCs w:val="18"/>
              </w:rPr>
            </w:pPr>
            <w:r w:rsidRPr="00EF1271">
              <w:rPr>
                <w:rFonts w:cs="Arial"/>
                <w:bCs/>
                <w:color w:val="000000"/>
                <w:sz w:val="18"/>
                <w:szCs w:val="18"/>
              </w:rPr>
              <w:t>RCT</w:t>
            </w:r>
          </w:p>
        </w:tc>
        <w:tc>
          <w:tcPr>
            <w:tcW w:w="1080" w:type="dxa"/>
            <w:tcBorders>
              <w:top w:val="single" w:sz="4" w:space="0" w:color="FFFFFF" w:themeColor="background1"/>
            </w:tcBorders>
          </w:tcPr>
          <w:p w:rsidR="00424FAE" w:rsidRPr="00EF1271" w:rsidP="00EF1271" w14:paraId="5190DA7F" w14:textId="77777777">
            <w:pPr>
              <w:pStyle w:val="TableText"/>
              <w:rPr>
                <w:rFonts w:cs="Arial"/>
                <w:color w:val="000000"/>
                <w:sz w:val="18"/>
                <w:szCs w:val="18"/>
              </w:rPr>
            </w:pPr>
            <w:r w:rsidRPr="00EF1271">
              <w:rPr>
                <w:rFonts w:cs="Arial"/>
                <w:color w:val="000000"/>
                <w:sz w:val="18"/>
                <w:szCs w:val="18"/>
              </w:rPr>
              <w:t>High school freshmen in low-performing schools</w:t>
            </w:r>
          </w:p>
        </w:tc>
        <w:tc>
          <w:tcPr>
            <w:tcW w:w="1170" w:type="dxa"/>
            <w:tcBorders>
              <w:top w:val="single" w:sz="4" w:space="0" w:color="FFFFFF" w:themeColor="background1"/>
            </w:tcBorders>
          </w:tcPr>
          <w:p w:rsidR="00424FAE" w:rsidRPr="00EF1271" w:rsidP="00EF1271" w14:paraId="3D1B0E48" w14:textId="77777777">
            <w:pPr>
              <w:pStyle w:val="TableText"/>
              <w:rPr>
                <w:rFonts w:cs="Arial"/>
                <w:color w:val="000000"/>
                <w:sz w:val="18"/>
                <w:szCs w:val="18"/>
              </w:rPr>
            </w:pPr>
            <w:r w:rsidRPr="00EF1271">
              <w:rPr>
                <w:rFonts w:cs="Arial"/>
                <w:color w:val="000000"/>
                <w:sz w:val="18"/>
                <w:szCs w:val="18"/>
              </w:rPr>
              <w:t>All students enrolled in health classes in participating schools</w:t>
            </w:r>
          </w:p>
        </w:tc>
        <w:tc>
          <w:tcPr>
            <w:tcW w:w="1593" w:type="dxa"/>
            <w:tcBorders>
              <w:top w:val="single" w:sz="4" w:space="0" w:color="FFFFFF" w:themeColor="background1"/>
            </w:tcBorders>
          </w:tcPr>
          <w:p w:rsidR="00424FAE" w:rsidRPr="00EF1271" w:rsidP="00EF1271" w14:paraId="51FFB952" w14:textId="77777777">
            <w:pPr>
              <w:pStyle w:val="TableText"/>
              <w:rPr>
                <w:rFonts w:cs="Arial"/>
                <w:color w:val="000000"/>
                <w:sz w:val="18"/>
                <w:szCs w:val="18"/>
              </w:rPr>
            </w:pPr>
            <w:r w:rsidRPr="00EF1271">
              <w:rPr>
                <w:rFonts w:cs="Arial"/>
                <w:color w:val="000000"/>
                <w:sz w:val="18"/>
                <w:szCs w:val="18"/>
              </w:rPr>
              <w:t>Innovative Program A</w:t>
            </w:r>
          </w:p>
        </w:tc>
        <w:tc>
          <w:tcPr>
            <w:tcW w:w="1350" w:type="dxa"/>
            <w:tcBorders>
              <w:top w:val="single" w:sz="4" w:space="0" w:color="FFFFFF" w:themeColor="background1"/>
            </w:tcBorders>
          </w:tcPr>
          <w:p w:rsidR="00424FAE" w:rsidRPr="00EF1271" w:rsidP="00EF1271" w14:paraId="5A755E79" w14:textId="77777777">
            <w:pPr>
              <w:pStyle w:val="TableText"/>
              <w:rPr>
                <w:rFonts w:cs="Arial"/>
                <w:color w:val="000000"/>
                <w:sz w:val="18"/>
                <w:szCs w:val="18"/>
              </w:rPr>
            </w:pPr>
            <w:r w:rsidRPr="00EF1271">
              <w:rPr>
                <w:rFonts w:cs="Arial"/>
                <w:color w:val="000000"/>
                <w:sz w:val="18"/>
                <w:szCs w:val="18"/>
              </w:rPr>
              <w:t>Business as usual</w:t>
            </w:r>
          </w:p>
        </w:tc>
        <w:tc>
          <w:tcPr>
            <w:tcW w:w="1017" w:type="dxa"/>
            <w:tcBorders>
              <w:top w:val="single" w:sz="4" w:space="0" w:color="FFFFFF" w:themeColor="background1"/>
            </w:tcBorders>
            <w:hideMark/>
          </w:tcPr>
          <w:p w:rsidR="00424FAE" w:rsidRPr="00EF1271" w:rsidP="00EF1271" w14:paraId="63B62012" w14:textId="77777777">
            <w:pPr>
              <w:pStyle w:val="TableText"/>
              <w:rPr>
                <w:rFonts w:cs="Arial"/>
                <w:color w:val="000000"/>
                <w:sz w:val="18"/>
                <w:szCs w:val="18"/>
              </w:rPr>
            </w:pPr>
            <w:r w:rsidRPr="00EF1271">
              <w:rPr>
                <w:rFonts w:cs="Arial"/>
                <w:color w:val="000000"/>
                <w:sz w:val="18"/>
                <w:szCs w:val="18"/>
              </w:rPr>
              <w:t>Sexual intercourse</w:t>
            </w:r>
          </w:p>
        </w:tc>
        <w:tc>
          <w:tcPr>
            <w:tcW w:w="1400" w:type="dxa"/>
            <w:tcBorders>
              <w:top w:val="single" w:sz="4" w:space="0" w:color="FFFFFF" w:themeColor="background1"/>
            </w:tcBorders>
            <w:hideMark/>
          </w:tcPr>
          <w:p w:rsidR="00424FAE" w:rsidRPr="00EF1271" w:rsidP="00EF1271" w14:paraId="5CF943C1" w14:textId="77777777">
            <w:pPr>
              <w:pStyle w:val="TableText"/>
              <w:rPr>
                <w:rFonts w:cs="Arial"/>
                <w:color w:val="000000"/>
                <w:sz w:val="18"/>
                <w:szCs w:val="18"/>
              </w:rPr>
            </w:pPr>
            <w:r w:rsidRPr="00EF1271">
              <w:rPr>
                <w:rFonts w:cs="Arial"/>
                <w:color w:val="000000"/>
                <w:sz w:val="18"/>
                <w:szCs w:val="18"/>
              </w:rPr>
              <w:t>Individual participants: Survey – sexual intercourse in past month</w:t>
            </w:r>
          </w:p>
        </w:tc>
        <w:tc>
          <w:tcPr>
            <w:tcW w:w="1260" w:type="dxa"/>
            <w:tcBorders>
              <w:top w:val="single" w:sz="4" w:space="0" w:color="FFFFFF" w:themeColor="background1"/>
            </w:tcBorders>
            <w:hideMark/>
          </w:tcPr>
          <w:p w:rsidR="00424FAE" w:rsidRPr="00EF1271" w:rsidP="00EF1271" w14:paraId="61A92E8F" w14:textId="77777777">
            <w:pPr>
              <w:pStyle w:val="TableText"/>
              <w:rPr>
                <w:rFonts w:cs="Arial"/>
                <w:color w:val="000000"/>
                <w:sz w:val="18"/>
                <w:szCs w:val="18"/>
              </w:rPr>
            </w:pPr>
            <w:r w:rsidRPr="00EF1271">
              <w:rPr>
                <w:rFonts w:cs="Arial"/>
                <w:color w:val="000000"/>
                <w:sz w:val="18"/>
                <w:szCs w:val="18"/>
              </w:rPr>
              <w:t xml:space="preserve">6 months and 12 months after random assignment </w:t>
            </w:r>
          </w:p>
        </w:tc>
        <w:tc>
          <w:tcPr>
            <w:tcW w:w="1350" w:type="dxa"/>
            <w:tcBorders>
              <w:top w:val="single" w:sz="4" w:space="0" w:color="FFFFFF" w:themeColor="background1"/>
            </w:tcBorders>
            <w:hideMark/>
          </w:tcPr>
          <w:p w:rsidR="00424FAE" w:rsidRPr="00EF1271" w:rsidP="00EF1271" w14:paraId="326C0FEC" w14:textId="77777777">
            <w:pPr>
              <w:pStyle w:val="TableText"/>
              <w:rPr>
                <w:rFonts w:cs="Arial"/>
                <w:color w:val="000000"/>
                <w:sz w:val="18"/>
                <w:szCs w:val="18"/>
              </w:rPr>
            </w:pPr>
            <w:r w:rsidRPr="00EF1271">
              <w:rPr>
                <w:rFonts w:cs="Arial"/>
                <w:color w:val="000000"/>
                <w:sz w:val="18"/>
                <w:szCs w:val="18"/>
              </w:rPr>
              <w:t>Individual participants: Survey – sexual intercourse in past month</w:t>
            </w:r>
          </w:p>
        </w:tc>
        <w:tc>
          <w:tcPr>
            <w:tcW w:w="1210" w:type="dxa"/>
            <w:tcBorders>
              <w:top w:val="single" w:sz="4" w:space="0" w:color="FFFFFF" w:themeColor="background1"/>
            </w:tcBorders>
            <w:hideMark/>
          </w:tcPr>
          <w:p w:rsidR="00424FAE" w:rsidRPr="00EF1271" w:rsidP="00EF1271" w14:paraId="76ABA0C1" w14:textId="77777777">
            <w:pPr>
              <w:pStyle w:val="TableText"/>
              <w:rPr>
                <w:rFonts w:cs="Arial"/>
                <w:color w:val="000000"/>
                <w:sz w:val="18"/>
                <w:szCs w:val="18"/>
              </w:rPr>
            </w:pPr>
            <w:r w:rsidRPr="00EF1271">
              <w:rPr>
                <w:rFonts w:cs="Arial"/>
                <w:color w:val="000000"/>
                <w:sz w:val="18"/>
                <w:szCs w:val="18"/>
              </w:rPr>
              <w:t>Immediately prior to random assignment</w:t>
            </w:r>
          </w:p>
        </w:tc>
      </w:tr>
      <w:tr w14:paraId="13DFEB9B" w14:textId="77777777" w:rsidTr="00EF1271">
        <w:tblPrEx>
          <w:tblW w:w="13135" w:type="dxa"/>
          <w:tblLayout w:type="fixed"/>
          <w:tblCellMar>
            <w:left w:w="43" w:type="dxa"/>
            <w:right w:w="43" w:type="dxa"/>
          </w:tblCellMar>
          <w:tblLook w:val="04A0"/>
        </w:tblPrEx>
        <w:trPr>
          <w:trHeight w:val="288"/>
        </w:trPr>
        <w:tc>
          <w:tcPr>
            <w:tcW w:w="985" w:type="dxa"/>
          </w:tcPr>
          <w:p w:rsidR="00424FAE" w:rsidRPr="00EF1271" w:rsidP="00EF1271" w14:paraId="7430D1B0" w14:textId="77777777">
            <w:pPr>
              <w:pStyle w:val="TableText"/>
              <w:rPr>
                <w:rFonts w:cs="Arial"/>
                <w:color w:val="000000"/>
                <w:sz w:val="18"/>
                <w:szCs w:val="18"/>
              </w:rPr>
            </w:pPr>
            <w:r w:rsidRPr="00EF1271">
              <w:rPr>
                <w:rFonts w:cs="Arial"/>
                <w:color w:val="000000"/>
                <w:sz w:val="18"/>
                <w:szCs w:val="18"/>
              </w:rPr>
              <w:t>RQ 2</w:t>
            </w:r>
          </w:p>
        </w:tc>
        <w:tc>
          <w:tcPr>
            <w:tcW w:w="720" w:type="dxa"/>
          </w:tcPr>
          <w:p w:rsidR="00424FAE" w:rsidRPr="00EF1271" w:rsidP="00EF1271" w14:paraId="0FE93DC8" w14:textId="77777777">
            <w:pPr>
              <w:pStyle w:val="TableText"/>
              <w:rPr>
                <w:rFonts w:cs="Arial"/>
                <w:color w:val="000000"/>
                <w:sz w:val="18"/>
                <w:szCs w:val="18"/>
              </w:rPr>
            </w:pPr>
            <w:r w:rsidRPr="00EF1271">
              <w:rPr>
                <w:rFonts w:cs="Arial"/>
                <w:color w:val="000000"/>
                <w:sz w:val="18"/>
                <w:szCs w:val="18"/>
              </w:rPr>
              <w:t>RCT</w:t>
            </w:r>
          </w:p>
        </w:tc>
        <w:tc>
          <w:tcPr>
            <w:tcW w:w="1080" w:type="dxa"/>
          </w:tcPr>
          <w:p w:rsidR="00424FAE" w:rsidRPr="00EF1271" w:rsidP="00EF1271" w14:paraId="01F3EA6A" w14:textId="77777777">
            <w:pPr>
              <w:pStyle w:val="TableText"/>
              <w:rPr>
                <w:rFonts w:cs="Arial"/>
                <w:color w:val="000000"/>
                <w:sz w:val="18"/>
                <w:szCs w:val="18"/>
              </w:rPr>
            </w:pPr>
            <w:r w:rsidRPr="00EF1271">
              <w:rPr>
                <w:rFonts w:cs="Arial"/>
                <w:color w:val="000000"/>
                <w:sz w:val="18"/>
                <w:szCs w:val="18"/>
              </w:rPr>
              <w:t>High school freshmen in low-performing schools</w:t>
            </w:r>
          </w:p>
        </w:tc>
        <w:tc>
          <w:tcPr>
            <w:tcW w:w="1170" w:type="dxa"/>
          </w:tcPr>
          <w:p w:rsidR="00424FAE" w:rsidRPr="00EF1271" w:rsidP="00EF1271" w14:paraId="0574A64C" w14:textId="77777777">
            <w:pPr>
              <w:pStyle w:val="TableText"/>
              <w:rPr>
                <w:rFonts w:cs="Arial"/>
                <w:color w:val="000000"/>
                <w:sz w:val="18"/>
                <w:szCs w:val="18"/>
              </w:rPr>
            </w:pPr>
            <w:r w:rsidRPr="00EF1271">
              <w:rPr>
                <w:rFonts w:cs="Arial"/>
                <w:color w:val="000000"/>
                <w:sz w:val="18"/>
                <w:szCs w:val="18"/>
              </w:rPr>
              <w:t>All students enrolled in health classes in participating schools</w:t>
            </w:r>
          </w:p>
        </w:tc>
        <w:tc>
          <w:tcPr>
            <w:tcW w:w="1593" w:type="dxa"/>
          </w:tcPr>
          <w:p w:rsidR="00424FAE" w:rsidRPr="00EF1271" w:rsidP="00EF1271" w14:paraId="671C7785" w14:textId="77777777">
            <w:pPr>
              <w:pStyle w:val="TableText"/>
              <w:rPr>
                <w:rFonts w:cs="Arial"/>
                <w:color w:val="000000"/>
                <w:sz w:val="18"/>
                <w:szCs w:val="18"/>
              </w:rPr>
            </w:pPr>
            <w:r w:rsidRPr="00EF1271">
              <w:rPr>
                <w:rFonts w:cs="Arial"/>
                <w:color w:val="000000"/>
                <w:sz w:val="18"/>
                <w:szCs w:val="18"/>
              </w:rPr>
              <w:t>Innovative Program A</w:t>
            </w:r>
          </w:p>
        </w:tc>
        <w:tc>
          <w:tcPr>
            <w:tcW w:w="1350" w:type="dxa"/>
          </w:tcPr>
          <w:p w:rsidR="00424FAE" w:rsidRPr="00EF1271" w:rsidP="00EF1271" w14:paraId="4A2205D8" w14:textId="77777777">
            <w:pPr>
              <w:pStyle w:val="TableText"/>
              <w:rPr>
                <w:rFonts w:cs="Arial"/>
                <w:color w:val="000000"/>
                <w:sz w:val="18"/>
                <w:szCs w:val="18"/>
              </w:rPr>
            </w:pPr>
            <w:r w:rsidRPr="00EF1271">
              <w:rPr>
                <w:rFonts w:cs="Arial"/>
                <w:color w:val="000000"/>
                <w:sz w:val="18"/>
                <w:szCs w:val="18"/>
              </w:rPr>
              <w:t>Business as usual</w:t>
            </w:r>
          </w:p>
        </w:tc>
        <w:tc>
          <w:tcPr>
            <w:tcW w:w="1017" w:type="dxa"/>
          </w:tcPr>
          <w:p w:rsidR="00424FAE" w:rsidRPr="00EF1271" w:rsidP="00EF1271" w14:paraId="1647068A" w14:textId="77777777">
            <w:pPr>
              <w:pStyle w:val="TableText"/>
              <w:rPr>
                <w:rFonts w:cs="Arial"/>
                <w:color w:val="000000"/>
                <w:sz w:val="18"/>
                <w:szCs w:val="18"/>
              </w:rPr>
            </w:pPr>
            <w:r w:rsidRPr="00EF1271">
              <w:rPr>
                <w:rFonts w:cs="Arial"/>
                <w:color w:val="000000"/>
                <w:sz w:val="18"/>
                <w:szCs w:val="18"/>
              </w:rPr>
              <w:t>Unprotected sex</w:t>
            </w:r>
          </w:p>
        </w:tc>
        <w:tc>
          <w:tcPr>
            <w:tcW w:w="1400" w:type="dxa"/>
          </w:tcPr>
          <w:p w:rsidR="00424FAE" w:rsidRPr="00EF1271" w:rsidP="00EF1271" w14:paraId="3DD29228" w14:textId="77777777">
            <w:pPr>
              <w:pStyle w:val="TableText"/>
              <w:rPr>
                <w:rFonts w:cs="Arial"/>
                <w:color w:val="000000"/>
                <w:sz w:val="18"/>
                <w:szCs w:val="18"/>
              </w:rPr>
            </w:pPr>
            <w:r w:rsidRPr="00EF1271">
              <w:rPr>
                <w:rFonts w:cs="Arial"/>
                <w:color w:val="000000"/>
                <w:sz w:val="18"/>
                <w:szCs w:val="18"/>
              </w:rPr>
              <w:t>Individual participants: Survey – sex without a condom in past month</w:t>
            </w:r>
          </w:p>
        </w:tc>
        <w:tc>
          <w:tcPr>
            <w:tcW w:w="1260" w:type="dxa"/>
          </w:tcPr>
          <w:p w:rsidR="00424FAE" w:rsidRPr="00EF1271" w:rsidP="00EF1271" w14:paraId="523DE0F2" w14:textId="77777777">
            <w:pPr>
              <w:pStyle w:val="TableText"/>
              <w:rPr>
                <w:rFonts w:cs="Arial"/>
                <w:color w:val="000000"/>
                <w:sz w:val="18"/>
                <w:szCs w:val="18"/>
              </w:rPr>
            </w:pPr>
            <w:r w:rsidRPr="00EF1271">
              <w:rPr>
                <w:rFonts w:cs="Arial"/>
                <w:color w:val="000000"/>
                <w:sz w:val="18"/>
                <w:szCs w:val="18"/>
              </w:rPr>
              <w:t>6 months and 12 months after random assignment</w:t>
            </w:r>
          </w:p>
        </w:tc>
        <w:tc>
          <w:tcPr>
            <w:tcW w:w="1350" w:type="dxa"/>
          </w:tcPr>
          <w:p w:rsidR="00424FAE" w:rsidRPr="00EF1271" w:rsidP="00EF1271" w14:paraId="2AEB8AA4" w14:textId="77777777">
            <w:pPr>
              <w:pStyle w:val="TableText"/>
              <w:rPr>
                <w:rFonts w:cs="Arial"/>
                <w:color w:val="000000"/>
                <w:sz w:val="18"/>
                <w:szCs w:val="18"/>
              </w:rPr>
            </w:pPr>
            <w:r w:rsidRPr="00EF1271">
              <w:rPr>
                <w:rFonts w:cs="Arial"/>
                <w:color w:val="000000"/>
                <w:sz w:val="18"/>
                <w:szCs w:val="18"/>
              </w:rPr>
              <w:t>Individual participants: Survey – sex without a condom in past month</w:t>
            </w:r>
          </w:p>
        </w:tc>
        <w:tc>
          <w:tcPr>
            <w:tcW w:w="1210" w:type="dxa"/>
          </w:tcPr>
          <w:p w:rsidR="00424FAE" w:rsidRPr="00EF1271" w:rsidP="00EF1271" w14:paraId="2932908B" w14:textId="77777777">
            <w:pPr>
              <w:pStyle w:val="TableText"/>
              <w:rPr>
                <w:rFonts w:cs="Arial"/>
                <w:color w:val="000000"/>
                <w:sz w:val="18"/>
                <w:szCs w:val="18"/>
              </w:rPr>
            </w:pPr>
            <w:r w:rsidRPr="00EF1271">
              <w:rPr>
                <w:rFonts w:cs="Arial"/>
                <w:color w:val="000000"/>
                <w:sz w:val="18"/>
                <w:szCs w:val="18"/>
              </w:rPr>
              <w:t>Immediately prior to random assignment</w:t>
            </w:r>
          </w:p>
        </w:tc>
      </w:tr>
    </w:tbl>
    <w:p w:rsidR="002B6F87" w:rsidRPr="002B6F87" w:rsidP="002B6F87" w14:paraId="583B9540" w14:textId="77777777">
      <w:pPr>
        <w:pStyle w:val="TableSource"/>
      </w:pPr>
      <w:r w:rsidRPr="002B6F87">
        <w:t>* Indicates one of the four components of your impact evaluation research questions</w:t>
      </w:r>
    </w:p>
    <w:p w:rsidR="002B6F87" w:rsidRPr="002B6F87" w:rsidP="002B6F87" w14:paraId="00D9AE6B" w14:textId="77777777">
      <w:pPr>
        <w:pStyle w:val="TableSource"/>
      </w:pPr>
      <w:r w:rsidRPr="002B6F87">
        <w:t>Example Research Question 1: To what extent did six weeks of Innovative Program A reduce the incidence of sexual intercourse among high school freshmen compared to high school freshmen who did not receive the intervention?</w:t>
      </w:r>
    </w:p>
    <w:p w:rsidR="00424FAE" w:rsidP="002B6F87" w14:paraId="2609C423" w14:textId="3A04DD25">
      <w:pPr>
        <w:pStyle w:val="TableSource"/>
      </w:pPr>
      <w:r w:rsidRPr="002B6F87">
        <w:t>Example Research Question 2: To what extent did six weeks of Innovative Program A reduce the incidence of unprotected sex among high school freshmen compared to high school freshmen who did not receive the intervention?</w:t>
      </w:r>
    </w:p>
    <w:p w:rsidR="002B6F87" w14:paraId="266135CC" w14:textId="77777777">
      <w:pPr>
        <w:spacing w:after="0"/>
        <w:sectPr w:rsidSect="000464E9">
          <w:headerReference w:type="first" r:id="rId31"/>
          <w:footerReference w:type="first" r:id="rId32"/>
          <w:pgSz w:w="15840" w:h="12240" w:orient="landscape" w:code="1"/>
          <w:pgMar w:top="1440" w:right="1440" w:bottom="1440" w:left="1440" w:header="432" w:footer="720" w:gutter="0"/>
          <w:cols w:space="720"/>
          <w:titlePg/>
          <w:docGrid w:linePitch="299"/>
        </w:sectPr>
      </w:pPr>
    </w:p>
    <w:p w:rsidR="002B6F87" w:rsidP="002B6F87" w14:paraId="3C1EF7C7" w14:textId="77777777">
      <w:pPr>
        <w:pStyle w:val="Heading1NoNumbering"/>
      </w:pPr>
      <w:bookmarkStart w:id="14" w:name="_Toc178102445"/>
      <w:r>
        <w:t>Appendix C: Detailed specification of measures to be analyzed</w:t>
      </w:r>
      <w:bookmarkEnd w:id="14"/>
    </w:p>
    <w:p w:rsidR="002B6F87" w:rsidRPr="002B6F87" w:rsidP="002B6F87" w14:paraId="028AC393" w14:textId="1B360C8F">
      <w:pPr>
        <w:pStyle w:val="BodyText"/>
        <w:rPr>
          <w:lang w:val="en-US"/>
        </w:rPr>
      </w:pPr>
      <w:r w:rsidRPr="002B6F87">
        <w:rPr>
          <w:lang w:val="en-US"/>
        </w:rPr>
        <w:t xml:space="preserve">Complete the table below for all primary and secondary outcomes and add this appendix to the end of your evaluation plan. Below we provide an example for </w:t>
      </w:r>
      <w:r w:rsidR="00D00467">
        <w:rPr>
          <w:lang w:val="en-US"/>
        </w:rPr>
        <w:t>three</w:t>
      </w:r>
      <w:r w:rsidRPr="002B6F87">
        <w:rPr>
          <w:lang w:val="en-US"/>
        </w:rPr>
        <w:t xml:space="preserve"> different outcomes.</w:t>
      </w:r>
    </w:p>
    <w:tbl>
      <w:tblPr>
        <w:tblStyle w:val="TableGrid"/>
        <w:tblW w:w="5000" w:type="pct"/>
        <w:tblLook w:val="04A0"/>
      </w:tblPr>
      <w:tblGrid>
        <w:gridCol w:w="1795"/>
        <w:gridCol w:w="1800"/>
        <w:gridCol w:w="4589"/>
        <w:gridCol w:w="4766"/>
      </w:tblGrid>
      <w:tr w14:paraId="04BDEA30" w14:textId="77777777" w:rsidTr="0083294C">
        <w:tblPrEx>
          <w:tblW w:w="5000" w:type="pct"/>
          <w:tblLook w:val="04A0"/>
        </w:tblPrEx>
        <w:trPr>
          <w:tblHeader/>
        </w:trPr>
        <w:tc>
          <w:tcPr>
            <w:tcW w:w="6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2B6F87" w:rsidRPr="00EF1271" w:rsidP="00EF1271" w14:paraId="67445115" w14:textId="77777777">
            <w:pPr>
              <w:pStyle w:val="TableColumnHeader"/>
            </w:pPr>
            <w:r w:rsidRPr="00EF1271">
              <w:t>Outcome domain</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2B6F87" w:rsidRPr="00EF1271" w:rsidP="00EF1271" w14:paraId="42E77862" w14:textId="77777777">
            <w:pPr>
              <w:pStyle w:val="TableColumnHeader"/>
            </w:pPr>
            <w:r w:rsidRPr="00EF1271">
              <w:t>Outcome measure</w:t>
            </w:r>
          </w:p>
        </w:tc>
        <w:tc>
          <w:tcPr>
            <w:tcW w:w="1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2B6F87" w:rsidRPr="00EF1271" w:rsidP="00EF1271" w14:paraId="450214B4" w14:textId="77777777">
            <w:pPr>
              <w:pStyle w:val="TableColumnHeader"/>
            </w:pPr>
            <w:r w:rsidRPr="00EF1271">
              <w:t>Survey items used to construct measure (including coding of responses and relevant skip patterns to demonstrate how the outcome measure will be defined for the full sample)</w:t>
            </w:r>
          </w:p>
        </w:tc>
        <w:tc>
          <w:tcPr>
            <w:tcW w:w="18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2B6F87" w:rsidRPr="00EF1271" w:rsidP="00EF1271" w14:paraId="7BE113B4" w14:textId="77777777">
            <w:pPr>
              <w:pStyle w:val="TableColumnHeader"/>
            </w:pPr>
            <w:r w:rsidRPr="00EF1271">
              <w:t>Description of how survey items will be combined to construct measure (including coding of final construct)</w:t>
            </w:r>
          </w:p>
        </w:tc>
      </w:tr>
      <w:tr w14:paraId="4A7CFE71" w14:textId="77777777" w:rsidTr="00EF1271">
        <w:tblPrEx>
          <w:tblW w:w="5000" w:type="pct"/>
          <w:tblLook w:val="04A0"/>
        </w:tblPrEx>
        <w:tc>
          <w:tcPr>
            <w:tcW w:w="693" w:type="pct"/>
            <w:tcBorders>
              <w:top w:val="single" w:sz="4" w:space="0" w:color="FFFFFF" w:themeColor="background1"/>
            </w:tcBorders>
          </w:tcPr>
          <w:p w:rsidR="002B6F87" w:rsidRPr="00EF1271" w:rsidP="00EF1271" w14:paraId="04CDE86A" w14:textId="77777777">
            <w:pPr>
              <w:pStyle w:val="TableText"/>
              <w:spacing w:after="120"/>
            </w:pPr>
            <w:r w:rsidRPr="00EF1271">
              <w:t>Sexual behavior</w:t>
            </w:r>
          </w:p>
        </w:tc>
        <w:tc>
          <w:tcPr>
            <w:tcW w:w="695" w:type="pct"/>
            <w:tcBorders>
              <w:top w:val="single" w:sz="4" w:space="0" w:color="FFFFFF" w:themeColor="background1"/>
            </w:tcBorders>
          </w:tcPr>
          <w:p w:rsidR="002B6F87" w:rsidRPr="00EF1271" w:rsidP="00EF1271" w14:paraId="6A59EE17" w14:textId="77777777">
            <w:pPr>
              <w:pStyle w:val="TableText"/>
              <w:spacing w:after="120"/>
            </w:pPr>
            <w:r w:rsidRPr="00EF1271">
              <w:t>Sexual intercourse, oral sex, or anal sex in last 90 days</w:t>
            </w:r>
          </w:p>
        </w:tc>
        <w:tc>
          <w:tcPr>
            <w:tcW w:w="1772" w:type="pct"/>
            <w:tcBorders>
              <w:top w:val="single" w:sz="4" w:space="0" w:color="FFFFFF" w:themeColor="background1"/>
            </w:tcBorders>
          </w:tcPr>
          <w:p w:rsidR="002B6F87" w:rsidRPr="00EF1271" w:rsidP="00EF1271" w14:paraId="170FE26B" w14:textId="72362212">
            <w:pPr>
              <w:pStyle w:val="TableText"/>
              <w:spacing w:after="120"/>
            </w:pPr>
            <w:r>
              <w:t xml:space="preserve">Q1: </w:t>
            </w:r>
            <w:r w:rsidRPr="00EF1271">
              <w:t>Have you ever engaged in sexual intercourse, oral sex, or anal sex? (1 = yes, 2 = no)</w:t>
            </w:r>
          </w:p>
          <w:p w:rsidR="002B6F87" w:rsidRPr="00EF1271" w:rsidP="00EF1271" w14:paraId="576DD23A" w14:textId="75A90C3D">
            <w:pPr>
              <w:pStyle w:val="TableText"/>
              <w:spacing w:after="120"/>
            </w:pPr>
            <w:r w:rsidRPr="00EF1271">
              <w:t xml:space="preserve">If Q1 = 1 (yes): </w:t>
            </w:r>
            <w:r w:rsidR="00E02BD3">
              <w:t xml:space="preserve">Q2: </w:t>
            </w:r>
            <w:r w:rsidRPr="00EF1271">
              <w:t>Have you engaged in sexual intercourse in the last 90 days? (1 = yes, 2 = no)</w:t>
            </w:r>
          </w:p>
          <w:p w:rsidR="002B6F87" w:rsidRPr="00EF1271" w:rsidP="00EF1271" w14:paraId="2B26CD1E" w14:textId="2763DC55">
            <w:pPr>
              <w:pStyle w:val="TableText"/>
              <w:spacing w:after="120"/>
            </w:pPr>
            <w:r w:rsidRPr="00EF1271">
              <w:t xml:space="preserve">If Q1 = 1 (yes): </w:t>
            </w:r>
            <w:r w:rsidR="00E02BD3">
              <w:t xml:space="preserve">Q3: </w:t>
            </w:r>
            <w:r w:rsidRPr="00EF1271">
              <w:t>Have you engaged in oral sex in the last 90 days? (1 = yes, 2 = no)</w:t>
            </w:r>
          </w:p>
          <w:p w:rsidR="002B6F87" w:rsidRPr="00EF1271" w:rsidP="00EF1271" w14:paraId="0A97CDC5" w14:textId="624B56F1">
            <w:pPr>
              <w:pStyle w:val="TableText"/>
              <w:spacing w:after="120"/>
            </w:pPr>
            <w:r w:rsidRPr="00EF1271">
              <w:t xml:space="preserve">If Q1 = 1 (yes): </w:t>
            </w:r>
            <w:r w:rsidR="00E02BD3">
              <w:t xml:space="preserve">Q4: </w:t>
            </w:r>
            <w:r w:rsidRPr="00EF1271">
              <w:t>Have you engaged in anal sex in the last 90 days (1 = yes, 2 = no)</w:t>
            </w:r>
          </w:p>
        </w:tc>
        <w:tc>
          <w:tcPr>
            <w:tcW w:w="1840" w:type="pct"/>
            <w:tcBorders>
              <w:top w:val="single" w:sz="4" w:space="0" w:color="FFFFFF" w:themeColor="background1"/>
            </w:tcBorders>
          </w:tcPr>
          <w:p w:rsidR="002B6F87" w:rsidRPr="00EF1271" w:rsidP="00EF1271" w14:paraId="7CBDB82F" w14:textId="77777777">
            <w:pPr>
              <w:pStyle w:val="TableText"/>
              <w:spacing w:after="120"/>
            </w:pPr>
            <w:r w:rsidRPr="00EF1271">
              <w:t>If Q2, Q3, OR Q4 = 1 (yes), then outcome = 1 (yes)</w:t>
            </w:r>
          </w:p>
          <w:p w:rsidR="002B6F87" w:rsidRPr="00EF1271" w:rsidP="00EF1271" w14:paraId="154FD711" w14:textId="77777777">
            <w:pPr>
              <w:pStyle w:val="TableText"/>
              <w:spacing w:after="120"/>
            </w:pPr>
            <w:r w:rsidRPr="00EF1271">
              <w:t>If Q1 = 2 (no), then outcome = 0 (no)</w:t>
            </w:r>
          </w:p>
          <w:p w:rsidR="002B6F87" w:rsidP="00EF1271" w14:paraId="08A2C5B9" w14:textId="77777777">
            <w:pPr>
              <w:pStyle w:val="TableText"/>
              <w:spacing w:after="120"/>
            </w:pPr>
            <w:r w:rsidRPr="00EF1271">
              <w:t>If Q2, Q3, AND Q4 = 2 (no), then outcome = 0 (no).</w:t>
            </w:r>
          </w:p>
          <w:p w:rsidR="0083294C" w:rsidP="00EF1271" w14:paraId="67F66A6A" w14:textId="77777777">
            <w:pPr>
              <w:pStyle w:val="TableText"/>
              <w:spacing w:after="120"/>
            </w:pPr>
          </w:p>
          <w:p w:rsidR="0083294C" w:rsidRPr="00EF1271" w:rsidP="0083294C" w14:paraId="32FA618C" w14:textId="37E3496A">
            <w:pPr>
              <w:pStyle w:val="TableText"/>
              <w:spacing w:after="120"/>
            </w:pPr>
            <w:r>
              <w:t>Outcome coded as 0 = have not had sexual intercourse, oral sex, or anal sex in last 90 days; or 1 = have had had sexual intercourse, oral sex, or anal sex in last 90 days</w:t>
            </w:r>
          </w:p>
        </w:tc>
      </w:tr>
      <w:tr w14:paraId="386F24CC" w14:textId="77777777" w:rsidTr="00A837D1">
        <w:tblPrEx>
          <w:tblW w:w="5000" w:type="pct"/>
          <w:tblLook w:val="04A0"/>
        </w:tblPrEx>
        <w:trPr>
          <w:trHeight w:val="1025"/>
        </w:trPr>
        <w:tc>
          <w:tcPr>
            <w:tcW w:w="693" w:type="pct"/>
          </w:tcPr>
          <w:p w:rsidR="002B6F87" w:rsidRPr="00EF1271" w:rsidP="00EF1271" w14:paraId="383A12F0" w14:textId="77777777">
            <w:pPr>
              <w:pStyle w:val="TableText"/>
              <w:spacing w:after="120"/>
            </w:pPr>
            <w:r w:rsidRPr="00EF1271">
              <w:t>Intentions to engage in sexual activity</w:t>
            </w:r>
          </w:p>
        </w:tc>
        <w:tc>
          <w:tcPr>
            <w:tcW w:w="695" w:type="pct"/>
          </w:tcPr>
          <w:p w:rsidR="002B6F87" w:rsidRPr="00EF1271" w:rsidP="00EF1271" w14:paraId="26F54B85" w14:textId="77777777">
            <w:pPr>
              <w:pStyle w:val="TableText"/>
              <w:spacing w:after="120"/>
            </w:pPr>
            <w:r w:rsidRPr="00EF1271">
              <w:t>Intend to have sexual intercourse, oral sex, or anal sex in the next month</w:t>
            </w:r>
          </w:p>
        </w:tc>
        <w:tc>
          <w:tcPr>
            <w:tcW w:w="1772" w:type="pct"/>
          </w:tcPr>
          <w:p w:rsidR="002B6F87" w:rsidRPr="00EF1271" w:rsidP="00EF1271" w14:paraId="2B5EE7FD" w14:textId="6C76E36B">
            <w:pPr>
              <w:pStyle w:val="TableText"/>
              <w:spacing w:after="120"/>
            </w:pPr>
            <w:r>
              <w:t xml:space="preserve">Q1: </w:t>
            </w:r>
            <w:r w:rsidRPr="00EF1271">
              <w:t>Do you plan to have sexual intercourse in the next month? (1 = yes</w:t>
            </w:r>
            <w:r w:rsidRPr="00EF1271">
              <w:t>, definitely, 2</w:t>
            </w:r>
            <w:r w:rsidRPr="00EF1271">
              <w:t xml:space="preserve"> = yes, probably, 3 = probably not, 4 = definitely not)</w:t>
            </w:r>
          </w:p>
          <w:p w:rsidR="002B6F87" w:rsidRPr="00EF1271" w:rsidP="00EF1271" w14:paraId="72F69100" w14:textId="678F3347">
            <w:pPr>
              <w:pStyle w:val="TableText"/>
              <w:spacing w:after="120"/>
            </w:pPr>
            <w:r>
              <w:t xml:space="preserve">Q2: </w:t>
            </w:r>
            <w:r w:rsidRPr="00EF1271">
              <w:t>Do you plan to have oral sex in the next month? (1 = yes</w:t>
            </w:r>
            <w:r w:rsidRPr="00EF1271">
              <w:t>, definitely, 2</w:t>
            </w:r>
            <w:r w:rsidRPr="00EF1271">
              <w:t xml:space="preserve"> = yes, probably, 3 = probably not, 4 = definitely not)</w:t>
            </w:r>
          </w:p>
          <w:p w:rsidR="002B6F87" w:rsidRPr="00EF1271" w:rsidP="00EF1271" w14:paraId="7825A0C3" w14:textId="77275223">
            <w:pPr>
              <w:pStyle w:val="TableText"/>
              <w:spacing w:after="120"/>
            </w:pPr>
            <w:r>
              <w:t xml:space="preserve">Q3: </w:t>
            </w:r>
            <w:r w:rsidRPr="00EF1271">
              <w:t>Do you plan to have anal sex in the next month? (1 = yes</w:t>
            </w:r>
            <w:r w:rsidRPr="00EF1271">
              <w:t>, definitely, 2</w:t>
            </w:r>
            <w:r w:rsidRPr="00EF1271">
              <w:t xml:space="preserve"> = yes, probably, 3 = probably not, 4 = definitely not)</w:t>
            </w:r>
          </w:p>
        </w:tc>
        <w:tc>
          <w:tcPr>
            <w:tcW w:w="1840" w:type="pct"/>
          </w:tcPr>
          <w:p w:rsidR="002B6F87" w:rsidP="00EF1271" w14:paraId="34047FBD" w14:textId="77777777">
            <w:pPr>
              <w:pStyle w:val="TableText"/>
              <w:spacing w:after="120"/>
            </w:pPr>
            <w:r w:rsidRPr="00EF1271">
              <w:t xml:space="preserve">If Q1, Q2, OR Q3 = 1 or 2 (yes, </w:t>
            </w:r>
            <w:r w:rsidRPr="00EF1271">
              <w:t>definitely</w:t>
            </w:r>
            <w:r w:rsidRPr="00EF1271">
              <w:t xml:space="preserve"> or yes, probably), then outcome = 1; if Q1, Q2, AND Q3 = 3 or 4 (probably not or definitely not), then outcome = 0.</w:t>
            </w:r>
          </w:p>
          <w:p w:rsidR="0083294C" w:rsidP="00EF1271" w14:paraId="00D92850" w14:textId="77777777">
            <w:pPr>
              <w:pStyle w:val="TableText"/>
              <w:spacing w:after="120"/>
            </w:pPr>
          </w:p>
          <w:p w:rsidR="0083294C" w:rsidRPr="00EF1271" w:rsidP="00EF1271" w14:paraId="56954B1B" w14:textId="31D97F8C">
            <w:pPr>
              <w:pStyle w:val="TableText"/>
              <w:spacing w:after="120"/>
            </w:pPr>
            <w:r>
              <w:t xml:space="preserve">Outcome coded as 0 = do not intend to have sexual intercourse, oral sex, or anal sex in </w:t>
            </w:r>
            <w:r w:rsidR="00E50E37">
              <w:t>next month</w:t>
            </w:r>
            <w:r>
              <w:t xml:space="preserve">; or 1 = </w:t>
            </w:r>
            <w:r w:rsidR="00E50E37">
              <w:t>intend to have sexual intercourse, oral sex, or anal sex in next month</w:t>
            </w:r>
          </w:p>
        </w:tc>
      </w:tr>
      <w:tr w14:paraId="44778A85" w14:textId="77777777" w:rsidTr="00A837D1">
        <w:tblPrEx>
          <w:tblW w:w="5000" w:type="pct"/>
          <w:tblLook w:val="04A0"/>
        </w:tblPrEx>
        <w:trPr>
          <w:trHeight w:val="1025"/>
        </w:trPr>
        <w:tc>
          <w:tcPr>
            <w:tcW w:w="693" w:type="pct"/>
          </w:tcPr>
          <w:p w:rsidR="0083294C" w:rsidRPr="00EF1271" w:rsidP="00EF1271" w14:paraId="66F8AC20" w14:textId="7F4BC12D">
            <w:pPr>
              <w:pStyle w:val="TableText"/>
              <w:spacing w:after="120"/>
            </w:pPr>
            <w:r>
              <w:t>Gender attitudes and norms</w:t>
            </w:r>
          </w:p>
        </w:tc>
        <w:tc>
          <w:tcPr>
            <w:tcW w:w="695" w:type="pct"/>
          </w:tcPr>
          <w:p w:rsidR="0083294C" w:rsidRPr="00EF1271" w:rsidP="00EF1271" w14:paraId="6CF03325" w14:textId="397F42E2">
            <w:pPr>
              <w:pStyle w:val="TableText"/>
              <w:spacing w:after="120"/>
            </w:pPr>
            <w:r>
              <w:t>Girls to blame for mistreatment</w:t>
            </w:r>
            <w:r>
              <w:rPr>
                <w:rStyle w:val="FootnoteReference"/>
              </w:rPr>
              <w:footnoteReference w:id="4"/>
            </w:r>
          </w:p>
        </w:tc>
        <w:tc>
          <w:tcPr>
            <w:tcW w:w="1772" w:type="pct"/>
          </w:tcPr>
          <w:p w:rsidR="0083294C" w:rsidRPr="0083294C" w:rsidP="0083294C" w14:paraId="754C51BC" w14:textId="4437C3C5">
            <w:pPr>
              <w:pStyle w:val="TableText"/>
              <w:spacing w:after="120"/>
            </w:pPr>
            <w:r>
              <w:t>Q1</w:t>
            </w:r>
            <w:r w:rsidRPr="0083294C">
              <w:t>. A girl wearing revealing clothing deserves to have comments made about her. (0 = Strongly disagree, 1 = Disagree, 2 = Agree, 3 = Strongly agree)</w:t>
            </w:r>
          </w:p>
          <w:p w:rsidR="0083294C" w:rsidRPr="0083294C" w:rsidP="0083294C" w14:paraId="0BE8857F" w14:textId="3D9123C9">
            <w:pPr>
              <w:pStyle w:val="TableText"/>
              <w:spacing w:after="120"/>
            </w:pPr>
            <w:r>
              <w:t>Q2</w:t>
            </w:r>
            <w:r w:rsidRPr="0083294C">
              <w:t>. If a girl is forced to have sex it is often because she did not say "no" clearly enough. (0 = Strongly disagree, 1 = Disagree, 2 = Agree, 3 = Strongly agree)</w:t>
            </w:r>
          </w:p>
          <w:p w:rsidR="0083294C" w:rsidRPr="0083294C" w:rsidP="0083294C" w14:paraId="725617B3" w14:textId="377405B1">
            <w:pPr>
              <w:pStyle w:val="TableText"/>
              <w:spacing w:after="120"/>
            </w:pPr>
            <w:r>
              <w:t>Q3</w:t>
            </w:r>
            <w:r w:rsidRPr="0083294C">
              <w:t>. In a sexual relationship, it is mainly a girl’s responsibility to make decisions about birth control. (0 = Strongly disagree, 1 = Disagree, 2 = Agree, 3 = Strongly agree)</w:t>
            </w:r>
          </w:p>
          <w:p w:rsidR="0083294C" w:rsidRPr="0083294C" w:rsidP="0083294C" w14:paraId="6BD82190" w14:textId="670F389A">
            <w:pPr>
              <w:pStyle w:val="TableText"/>
              <w:spacing w:after="120"/>
            </w:pPr>
            <w:r>
              <w:t>Q4</w:t>
            </w:r>
            <w:r w:rsidRPr="0083294C">
              <w:t>. Girls who cheat on their boyfriends deserve to be hurt physically. (0 = Strongly disagree, 1 = Disagree, 2 = Agree, 3 = Strongly agree)</w:t>
            </w:r>
          </w:p>
          <w:p w:rsidR="0083294C" w:rsidRPr="0083294C" w:rsidP="0083294C" w14:paraId="5D8C951C" w14:textId="6AA51ADF">
            <w:pPr>
              <w:pStyle w:val="TableText"/>
              <w:spacing w:after="120"/>
            </w:pPr>
            <w:r>
              <w:t>Q5</w:t>
            </w:r>
            <w:r w:rsidRPr="0083294C">
              <w:t>. Girls who cheat on their boyfriends deserve to be hurt emotionally. (0 = Strongly disagree, 1 = Disagree, 2 = Agree, 3 = Strongly agree)</w:t>
            </w:r>
          </w:p>
          <w:p w:rsidR="0083294C" w:rsidRPr="0083294C" w:rsidP="0083294C" w14:paraId="7541407D" w14:textId="5A1739DC">
            <w:pPr>
              <w:pStyle w:val="TableText"/>
              <w:spacing w:after="120"/>
            </w:pPr>
            <w:r>
              <w:t>Q6</w:t>
            </w:r>
            <w:r w:rsidRPr="0083294C">
              <w:t>. Girls should get turned on when a guy is rough with them. (0 = Strongly disagree, 1 = Disagree, 2 = Agree, 3 = Strongly agree)</w:t>
            </w:r>
          </w:p>
          <w:p w:rsidR="0083294C" w:rsidRPr="0083294C" w:rsidP="0083294C" w14:paraId="6353FC23" w14:textId="476D7701">
            <w:pPr>
              <w:pStyle w:val="TableText"/>
              <w:spacing w:after="120"/>
            </w:pPr>
            <w:r>
              <w:t>Q7</w:t>
            </w:r>
            <w:r w:rsidRPr="0083294C">
              <w:t>. Girls usually say no to sex when they really mean yes. (0 = Strongly disagree, 1 = Disagree, 2 = Agree, 3 = Strongly agree)</w:t>
            </w:r>
          </w:p>
          <w:p w:rsidR="0083294C" w:rsidP="0083294C" w14:paraId="55E70561" w14:textId="623B73BA">
            <w:pPr>
              <w:pStyle w:val="TableText"/>
              <w:spacing w:after="120"/>
            </w:pPr>
            <w:r>
              <w:t>Q8</w:t>
            </w:r>
            <w:r w:rsidRPr="0083294C">
              <w:t>. It is a girl’s responsibility to avoid getting pregnant. (0 = Strongly disagree, 1 = Disagree, 2 = Agree, 3 = Strongly agree)</w:t>
            </w:r>
          </w:p>
        </w:tc>
        <w:tc>
          <w:tcPr>
            <w:tcW w:w="1840" w:type="pct"/>
          </w:tcPr>
          <w:p w:rsidR="0083294C" w:rsidP="0083294C" w14:paraId="4FA4A3C8" w14:textId="77777777">
            <w:pPr>
              <w:pStyle w:val="TableText"/>
              <w:spacing w:after="120"/>
            </w:pPr>
            <w:r w:rsidRPr="0083294C">
              <w:t xml:space="preserve">If the respondent answered </w:t>
            </w:r>
            <w:r>
              <w:t>6</w:t>
            </w:r>
            <w:r w:rsidRPr="0083294C">
              <w:t xml:space="preserve"> or more </w:t>
            </w:r>
            <w:r>
              <w:t xml:space="preserve">(75%) </w:t>
            </w:r>
            <w:r w:rsidRPr="0083294C">
              <w:t xml:space="preserve">of the 8 items, </w:t>
            </w:r>
            <w:r>
              <w:t>take the mean of all items</w:t>
            </w:r>
            <w:r w:rsidRPr="0083294C">
              <w:t>.</w:t>
            </w:r>
          </w:p>
          <w:p w:rsidR="0083294C" w:rsidRPr="0083294C" w:rsidP="0083294C" w14:paraId="295C6499" w14:textId="1D0E7B80">
            <w:pPr>
              <w:pStyle w:val="TableText"/>
              <w:spacing w:after="120"/>
            </w:pPr>
            <w:r w:rsidRPr="0083294C">
              <w:t xml:space="preserve">If the respondent answered </w:t>
            </w:r>
            <w:r>
              <w:t>5</w:t>
            </w:r>
            <w:r w:rsidRPr="0083294C">
              <w:t xml:space="preserve"> or fewer of the items, the outcome is missing.</w:t>
            </w:r>
          </w:p>
          <w:p w:rsidR="0083294C" w:rsidRPr="00EF1271" w:rsidP="0083294C" w14:paraId="1AC64CA8" w14:textId="1564B6AB">
            <w:pPr>
              <w:pStyle w:val="TableText"/>
              <w:spacing w:after="120"/>
            </w:pPr>
            <w:r w:rsidRPr="0083294C">
              <w:t>Outcome ranges from 0 to 3, with higher values indicating a higher level of agreement with the concept that girls are to blame for mistreatment.</w:t>
            </w:r>
          </w:p>
        </w:tc>
      </w:tr>
    </w:tbl>
    <w:p w:rsidR="002B6F87" w:rsidP="002B6F87" w14:paraId="73CAD546" w14:textId="77777777">
      <w:pPr>
        <w:pStyle w:val="BodyText"/>
        <w:rPr>
          <w:lang w:val="en-US"/>
        </w:rPr>
      </w:pPr>
    </w:p>
    <w:p w:rsidR="002B6F87" w:rsidRPr="002B6F87" w:rsidP="002B6F87" w14:paraId="3E399189" w14:textId="77777777">
      <w:pPr>
        <w:pStyle w:val="BodyText"/>
        <w:rPr>
          <w:lang w:val="en-US"/>
        </w:rPr>
      </w:pPr>
    </w:p>
    <w:sectPr w:rsidSect="000464E9">
      <w:footerReference w:type="default" r:id="rId33"/>
      <w:headerReference w:type="first" r:id="rId34"/>
      <w:footerReference w:type="first" r:id="rId35"/>
      <w:pgSz w:w="15840" w:h="12240" w:orient="landscape" w:code="1"/>
      <w:pgMar w:top="1440" w:right="1440" w:bottom="1440" w:left="1440" w:header="432"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P="00E77DAE" w14:paraId="35F44CAB" w14:textId="1711BFD1">
    <w:pPr>
      <w:pStyle w:val="Footer"/>
    </w:pPr>
    <w:r w:rsidRPr="00BE5A43">
      <w:t xml:space="preserve">Abt </w:t>
    </w:r>
    <w:r w:rsidR="00C419B2">
      <w:t>Global</w:t>
    </w:r>
    <w:r w:rsidRPr="00BE5A43">
      <w:tab/>
    </w:r>
    <w:r w:rsidRPr="001A64E5" w:rsidR="001A64E5">
      <w:t>PREIS Analysis Plan</w:t>
    </w:r>
    <w:r w:rsidRPr="00BE5A43">
      <w:rPr>
        <w:color w:val="595959"/>
      </w:rPr>
      <w:tab/>
    </w:r>
    <w:r w:rsidR="0009055B">
      <w:rPr>
        <w:color w:val="595959"/>
      </w:rPr>
      <w:t>June</w:t>
    </w:r>
    <w:r>
      <w:rPr>
        <w:color w:val="595959"/>
      </w:rPr>
      <w:t xml:space="preserve"> 202</w:t>
    </w:r>
    <w:r w:rsidR="001A64E5">
      <w:rPr>
        <w:color w:val="595959"/>
      </w:rPr>
      <w:t>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14</w:t>
    </w:r>
    <w:r w:rsidRPr="00BE5A4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RPr="00353E09" w:rsidP="00353E09" w14:paraId="3FBE6A83" w14:textId="6246D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RPr="001A64E5" w:rsidP="001A64E5" w14:paraId="030253AA" w14:textId="2465C03E">
    <w:pPr>
      <w:pStyle w:val="Footer"/>
    </w:pPr>
    <w:r w:rsidRPr="00BE5A43">
      <w:t xml:space="preserve">Abt </w:t>
    </w:r>
    <w:r>
      <w:t>Global</w:t>
    </w:r>
    <w:r w:rsidR="00930682">
      <w:t xml:space="preserve"> LLC</w:t>
    </w:r>
    <w:r w:rsidRPr="00BE5A43">
      <w:tab/>
    </w:r>
    <w:r w:rsidRPr="001A64E5">
      <w:t>PREIS Analysis Plan</w:t>
    </w:r>
    <w:r w:rsidRPr="00BE5A43">
      <w:rPr>
        <w:color w:val="595959"/>
      </w:rPr>
      <w:tab/>
    </w:r>
    <w:r w:rsidR="00E62BE7">
      <w:rPr>
        <w:color w:val="595959"/>
      </w:rPr>
      <w:t>October</w:t>
    </w:r>
    <w:r w:rsidR="0009055B">
      <w:rPr>
        <w:color w:val="595959"/>
      </w:rPr>
      <w:t xml:space="preserve"> </w:t>
    </w:r>
    <w:r>
      <w:rPr>
        <w:color w:val="595959"/>
      </w:rPr>
      <w:t>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t>10</w:t>
    </w:r>
    <w:r w:rsidRPr="00BE5A4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P="009C0A96" w14:paraId="2889CE07" w14:textId="7C615FAA">
    <w:pPr>
      <w:pStyle w:val="Footer"/>
    </w:pPr>
    <w:r w:rsidRPr="00BE5A43">
      <w:t xml:space="preserve">Abt </w:t>
    </w:r>
    <w:r w:rsidR="00930682">
      <w:t>Global LLC</w:t>
    </w:r>
    <w:r w:rsidRPr="00BE5A43">
      <w:tab/>
    </w:r>
    <w:r w:rsidRPr="001A64E5" w:rsidR="001A64E5">
      <w:t>PREIS Analysis Plan</w:t>
    </w:r>
    <w:r w:rsidRPr="00BE5A43">
      <w:rPr>
        <w:color w:val="595959"/>
      </w:rPr>
      <w:tab/>
    </w:r>
    <w:r w:rsidR="00E62BE7">
      <w:rPr>
        <w:color w:val="595959"/>
      </w:rPr>
      <w:t>October</w:t>
    </w:r>
    <w:r w:rsidR="0009055B">
      <w:rPr>
        <w:color w:val="595959"/>
      </w:rPr>
      <w:t xml:space="preserve"> </w:t>
    </w:r>
    <w:r>
      <w:rPr>
        <w:color w:val="595959"/>
      </w:rPr>
      <w:t>202</w:t>
    </w:r>
    <w:r w:rsidR="001A64E5">
      <w:rPr>
        <w:color w:val="595959"/>
      </w:rPr>
      <w:t>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ii</w:t>
    </w:r>
    <w:r w:rsidRPr="00BE5A4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55B" w:rsidP="00E77DAE" w14:paraId="7A7357DF" w14:textId="3010628F">
    <w:pPr>
      <w:pStyle w:val="Footer"/>
    </w:pPr>
    <w:r w:rsidRPr="00BE5A43">
      <w:t xml:space="preserve">Abt </w:t>
    </w:r>
    <w:r>
      <w:t>Global</w:t>
    </w:r>
    <w:r w:rsidR="00930682">
      <w:t xml:space="preserve"> LLC</w:t>
    </w:r>
    <w:r w:rsidRPr="00BE5A43">
      <w:tab/>
    </w:r>
    <w:r w:rsidRPr="001A64E5">
      <w:t>PREIS Analysis Plan</w:t>
    </w:r>
    <w:r w:rsidRPr="00BE5A43">
      <w:rPr>
        <w:color w:val="595959"/>
      </w:rPr>
      <w:tab/>
    </w:r>
    <w:r w:rsidR="00E62BE7">
      <w:rPr>
        <w:color w:val="595959"/>
      </w:rPr>
      <w:t>October</w:t>
    </w:r>
    <w:r>
      <w:rPr>
        <w:color w:val="595959"/>
      </w:rPr>
      <w:t xml:space="preserve">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14</w:t>
    </w:r>
    <w:r w:rsidRPr="00BE5A4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4E5" w:rsidRPr="001A64E5" w:rsidP="001A64E5" w14:paraId="7EB3D36C" w14:textId="412BDAA1">
    <w:pPr>
      <w:pStyle w:val="Footer"/>
    </w:pPr>
    <w:r w:rsidRPr="00BE5A43">
      <w:t xml:space="preserve">Abt </w:t>
    </w:r>
    <w:r>
      <w:t>Global</w:t>
    </w:r>
    <w:r w:rsidR="00930682">
      <w:t xml:space="preserve"> LLC</w:t>
    </w:r>
    <w:r w:rsidRPr="00BE5A43">
      <w:tab/>
    </w:r>
    <w:r w:rsidRPr="001A64E5">
      <w:t>PREIS Analysis Plan</w:t>
    </w:r>
    <w:r w:rsidRPr="00BE5A43">
      <w:rPr>
        <w:color w:val="595959"/>
      </w:rPr>
      <w:tab/>
    </w:r>
    <w:r w:rsidR="00E62BE7">
      <w:rPr>
        <w:color w:val="595959"/>
      </w:rPr>
      <w:t>October</w:t>
    </w:r>
    <w:r>
      <w:rPr>
        <w:color w:val="595959"/>
      </w:rPr>
      <w:t xml:space="preserve">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t>1</w:t>
    </w:r>
    <w:r w:rsidRPr="00BE5A43">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4E5" w:rsidRPr="001A64E5" w:rsidP="001A64E5" w14:paraId="7EDA0F24" w14:textId="5F882F90">
    <w:pPr>
      <w:pStyle w:val="Footer"/>
      <w:tabs>
        <w:tab w:val="clear" w:pos="4680"/>
        <w:tab w:val="center" w:pos="6480"/>
        <w:tab w:val="clear" w:pos="9360"/>
        <w:tab w:val="right" w:pos="12960"/>
      </w:tabs>
    </w:pPr>
    <w:r w:rsidRPr="00BE5A43">
      <w:t xml:space="preserve">Abt </w:t>
    </w:r>
    <w:r>
      <w:t>Global</w:t>
    </w:r>
    <w:r w:rsidR="00930682">
      <w:t xml:space="preserve"> LLC</w:t>
    </w:r>
    <w:r w:rsidRPr="00BE5A43">
      <w:tab/>
    </w:r>
    <w:r w:rsidRPr="001A64E5">
      <w:t>PREIS Analysis Plan</w:t>
    </w:r>
    <w:r w:rsidRPr="00BE5A43">
      <w:rPr>
        <w:color w:val="595959"/>
      </w:rPr>
      <w:tab/>
    </w:r>
    <w:r w:rsidR="00930682">
      <w:rPr>
        <w:color w:val="595959"/>
      </w:rPr>
      <w:t>October</w:t>
    </w:r>
    <w:r>
      <w:rPr>
        <w:color w:val="595959"/>
      </w:rPr>
      <w:t xml:space="preserve">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t>2</w:t>
    </w:r>
    <w:r w:rsidRPr="00BE5A43">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0682" w:rsidP="00930682" w14:paraId="46988613" w14:textId="36E0A1C1">
    <w:pPr>
      <w:pStyle w:val="Footer"/>
      <w:tabs>
        <w:tab w:val="clear" w:pos="4680"/>
        <w:tab w:val="center" w:pos="6480"/>
      </w:tabs>
    </w:pPr>
    <w:r w:rsidRPr="00BE5A43">
      <w:t xml:space="preserve">Abt </w:t>
    </w:r>
    <w:r>
      <w:t>Global LLC</w:t>
    </w:r>
    <w:r w:rsidRPr="00BE5A43">
      <w:tab/>
    </w:r>
    <w:r w:rsidRPr="001A64E5">
      <w:t>PREIS Analysis Plan</w:t>
    </w:r>
    <w:r w:rsidRPr="00BE5A43">
      <w:rPr>
        <w:color w:val="595959"/>
      </w:rPr>
      <w:tab/>
    </w:r>
    <w:r>
      <w:rPr>
        <w:color w:val="595959"/>
      </w:rPr>
      <w:tab/>
    </w:r>
    <w:r>
      <w:rPr>
        <w:color w:val="595959"/>
      </w:rPr>
      <w:tab/>
    </w:r>
    <w:r>
      <w:rPr>
        <w:color w:val="595959"/>
      </w:rPr>
      <w:tab/>
    </w:r>
    <w:r>
      <w:rPr>
        <w:color w:val="595959"/>
      </w:rPr>
      <w:tab/>
    </w:r>
    <w:r>
      <w:rPr>
        <w:color w:val="595959"/>
      </w:rPr>
      <w:tab/>
      <w:t>October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ii</w:t>
    </w:r>
    <w:r w:rsidRPr="00BE5A43">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4E5" w:rsidRPr="001A64E5" w:rsidP="001A64E5" w14:paraId="7F5557B0" w14:textId="44122DDF">
    <w:pPr>
      <w:pStyle w:val="Footer"/>
      <w:tabs>
        <w:tab w:val="clear" w:pos="4680"/>
        <w:tab w:val="center" w:pos="6480"/>
        <w:tab w:val="clear" w:pos="9360"/>
        <w:tab w:val="right" w:pos="12960"/>
      </w:tabs>
    </w:pPr>
    <w:r w:rsidRPr="00BE5A43">
      <w:t xml:space="preserve">Abt </w:t>
    </w:r>
    <w:r>
      <w:t>Global</w:t>
    </w:r>
    <w:r w:rsidR="00930682">
      <w:t xml:space="preserve"> LLC</w:t>
    </w:r>
    <w:r w:rsidRPr="00BE5A43">
      <w:tab/>
    </w:r>
    <w:r w:rsidRPr="001A64E5">
      <w:t>PREIS Analysis Plan</w:t>
    </w:r>
    <w:r w:rsidRPr="00BE5A43">
      <w:rPr>
        <w:color w:val="595959"/>
      </w:rPr>
      <w:tab/>
    </w:r>
    <w:r w:rsidR="00930682">
      <w:rPr>
        <w:color w:val="595959"/>
      </w:rPr>
      <w:t>October</w:t>
    </w:r>
    <w:r>
      <w:rPr>
        <w:color w:val="595959"/>
      </w:rPr>
      <w:t xml:space="preserve">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t>12</w:t>
    </w:r>
    <w:r w:rsidRPr="00BE5A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51861" w:rsidP="00DC17F5" w14:paraId="67319D6F" w14:textId="77777777">
      <w:r>
        <w:separator/>
      </w:r>
    </w:p>
  </w:footnote>
  <w:footnote w:type="continuationSeparator" w:id="1">
    <w:p w:rsidR="00C51861" w:rsidP="00DC17F5" w14:paraId="20254163" w14:textId="77777777">
      <w:r>
        <w:continuationSeparator/>
      </w:r>
    </w:p>
  </w:footnote>
  <w:footnote w:type="continuationNotice" w:id="2">
    <w:p w:rsidR="00C51861" w14:paraId="4AF8E8F6" w14:textId="77777777">
      <w:pPr>
        <w:spacing w:after="0"/>
      </w:pPr>
    </w:p>
  </w:footnote>
  <w:footnote w:id="3">
    <w:p w:rsidR="00027EFF" w:rsidP="00027EFF" w14:paraId="1102FDF4" w14:textId="46F3E6E3">
      <w:pPr>
        <w:pStyle w:val="FootnoteText"/>
      </w:pPr>
      <w:r>
        <w:rPr>
          <w:rStyle w:val="FootnoteReference"/>
        </w:rPr>
        <w:footnoteRef/>
      </w:r>
      <w:r>
        <w:t xml:space="preserve"> </w:t>
      </w:r>
      <w:r>
        <w:tab/>
      </w:r>
      <w:r w:rsidR="006630A2">
        <w:t>Under version 4.1, t</w:t>
      </w:r>
      <w:r w:rsidRPr="001A050F">
        <w:t>he W</w:t>
      </w:r>
      <w:r>
        <w:t xml:space="preserve">hat </w:t>
      </w:r>
      <w:r w:rsidRPr="001A050F">
        <w:t>W</w:t>
      </w:r>
      <w:r>
        <w:t xml:space="preserve">orks </w:t>
      </w:r>
      <w:r w:rsidRPr="001A050F">
        <w:t>C</w:t>
      </w:r>
      <w:r>
        <w:t>learinghouse</w:t>
      </w:r>
      <w:r w:rsidRPr="001A050F">
        <w:t xml:space="preserve"> use</w:t>
      </w:r>
      <w:r w:rsidR="006630A2">
        <w:t>d</w:t>
      </w:r>
      <w:r w:rsidRPr="001A050F">
        <w:t xml:space="preserve"> the Benjamini-Hochberg correct</w:t>
      </w:r>
      <w:r>
        <w:t>ion</w:t>
      </w:r>
      <w:r w:rsidRPr="001A050F">
        <w:t xml:space="preserve"> to adjust for multiple comparisons (see “WWC Procedures Handbook, Version 4.0,” Section VI Reporting on Findings: Subsection 3, “Statistical Significance of Findings” (p. 21)). </w:t>
      </w:r>
      <w:r w:rsidR="006630A2">
        <w:t xml:space="preserve">In version 5.0, the WWC will determine effectiveness ratings at the outcome domain level by creating a domain-level composite finding, eliminating the need for a multiple comparisons adjustment. PREIS evaluations could consider a similar approach. </w:t>
      </w:r>
      <w:r w:rsidRPr="001A050F">
        <w:t xml:space="preserve"> </w:t>
      </w:r>
    </w:p>
  </w:footnote>
  <w:footnote w:id="4">
    <w:p w:rsidR="0083294C" w14:paraId="6235A427" w14:textId="3FCFB450">
      <w:pPr>
        <w:pStyle w:val="FootnoteText"/>
      </w:pPr>
      <w:r>
        <w:rPr>
          <w:rStyle w:val="FootnoteReference"/>
        </w:rPr>
        <w:footnoteRef/>
      </w:r>
      <w:r>
        <w:t xml:space="preserve"> Welti, Griffith &amp; Manlove (2021) developed the scale using the Child</w:t>
      </w:r>
      <w:r w:rsidR="009B7A77">
        <w:t xml:space="preserve"> </w:t>
      </w:r>
      <w:r>
        <w:t>Trends Manhood 2.0 Program Evaluation Baseline Survey and demonstrated reliability (Chronbach’s alpha = 0.83).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RPr="00353E09" w:rsidP="00CA41B2" w14:paraId="010AD1D2" w14:textId="1185563E">
    <w:pPr>
      <w:pStyle w:val="Header"/>
    </w:pPr>
    <w:r>
      <w:drawing>
        <wp:anchor distT="0" distB="0" distL="114300" distR="114300" simplePos="0" relativeHeight="251661312" behindDoc="1" locked="0" layoutInCell="1" allowOverlap="1">
          <wp:simplePos x="0" y="0"/>
          <wp:positionH relativeFrom="margin">
            <wp:posOffset>-950259</wp:posOffset>
          </wp:positionH>
          <wp:positionV relativeFrom="page">
            <wp:posOffset>5230</wp:posOffset>
          </wp:positionV>
          <wp:extent cx="7801573" cy="713232"/>
          <wp:effectExtent l="0" t="0" r="0" b="0"/>
          <wp:wrapSquare wrapText="bothSides"/>
          <wp:docPr id="1352201416" name="Picture 135220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01416" name="Picture 3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01573" cy="71323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RPr="00621346" w:rsidP="00621346" w14:paraId="1A6E3AB9" w14:textId="72F6C587">
    <w:pPr>
      <w:pStyle w:val="Header"/>
    </w:pPr>
    <w:r>
      <w:drawing>
        <wp:anchor distT="0" distB="0" distL="114300" distR="114300" simplePos="0" relativeHeight="251660288" behindDoc="1" locked="0" layoutInCell="1" allowOverlap="1">
          <wp:simplePos x="0" y="0"/>
          <wp:positionH relativeFrom="margin">
            <wp:posOffset>-923365</wp:posOffset>
          </wp:positionH>
          <wp:positionV relativeFrom="page">
            <wp:posOffset>14194</wp:posOffset>
          </wp:positionV>
          <wp:extent cx="7801573" cy="713232"/>
          <wp:effectExtent l="0" t="0" r="0" b="0"/>
          <wp:wrapSquare wrapText="bothSides"/>
          <wp:docPr id="562572763" name="Picture 56257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72763" name="Picture 3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01573" cy="7132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P="005F4315" w14:paraId="23C3CA31" w14:textId="3816F1ED">
    <w:pPr>
      <w:pStyle w:val="Header"/>
      <w:jc w:val="left"/>
    </w:pPr>
    <w:r>
      <w:drawing>
        <wp:anchor distT="0" distB="0" distL="114300" distR="114300" simplePos="0" relativeHeight="251665408" behindDoc="1" locked="0" layoutInCell="1" allowOverlap="1">
          <wp:simplePos x="0" y="0"/>
          <wp:positionH relativeFrom="margin">
            <wp:posOffset>-914400</wp:posOffset>
          </wp:positionH>
          <wp:positionV relativeFrom="page">
            <wp:posOffset>0</wp:posOffset>
          </wp:positionV>
          <wp:extent cx="10131425" cy="716280"/>
          <wp:effectExtent l="0" t="0" r="3175" b="0"/>
          <wp:wrapSquare wrapText="bothSides"/>
          <wp:docPr id="709407344" name="Picture 70940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07344" name="Picture 1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31425" cy="716280"/>
                  </a:xfrm>
                  <a:prstGeom prst="rect">
                    <a:avLst/>
                  </a:prstGeom>
                </pic:spPr>
              </pic:pic>
            </a:graphicData>
          </a:graphic>
          <wp14:sizeRelH relativeFrom="page">
            <wp14:pctWidth>0</wp14:pctWidth>
          </wp14:sizeRelH>
          <wp14:sizeRelV relativeFrom="page">
            <wp14:pctHeight>0</wp14:pctHeight>
          </wp14:sizeRelV>
        </wp:anchor>
      </w:drawing>
    </w:r>
    <w:r w:rsidR="005F4315">
      <w:drawing>
        <wp:anchor distT="0" distB="0" distL="114300" distR="114300" simplePos="0" relativeHeight="251659264" behindDoc="1" locked="0" layoutInCell="1" allowOverlap="1">
          <wp:simplePos x="0" y="0"/>
          <wp:positionH relativeFrom="margin">
            <wp:posOffset>-914400</wp:posOffset>
          </wp:positionH>
          <wp:positionV relativeFrom="page">
            <wp:posOffset>0</wp:posOffset>
          </wp:positionV>
          <wp:extent cx="7801573" cy="713232"/>
          <wp:effectExtent l="0" t="0" r="9525" b="0"/>
          <wp:wrapSquare wrapText="bothSides"/>
          <wp:docPr id="1041294946" name="Picture 104129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94946" name="Picture 33"/>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801573" cy="713232"/>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P="00CA41B2" w14:paraId="358ACB09" w14:textId="31407A8B">
    <w:pPr>
      <w:pStyle w:val="Header"/>
    </w:pPr>
    <w:r>
      <w:drawing>
        <wp:anchor distT="0" distB="0" distL="114300" distR="114300" simplePos="0" relativeHeight="251658240" behindDoc="1" locked="0" layoutInCell="1" allowOverlap="1">
          <wp:simplePos x="0" y="0"/>
          <wp:positionH relativeFrom="margin">
            <wp:posOffset>-931653</wp:posOffset>
          </wp:positionH>
          <wp:positionV relativeFrom="page">
            <wp:posOffset>2852</wp:posOffset>
          </wp:positionV>
          <wp:extent cx="7801573" cy="713232"/>
          <wp:effectExtent l="0" t="0" r="0" b="0"/>
          <wp:wrapSquare wrapText="bothSides"/>
          <wp:docPr id="1365836173" name="Picture 136583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36173" name="Picture 3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01573" cy="713232"/>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1F74" w:rsidP="00CA41B2" w14:paraId="208300D6" w14:textId="77777777">
    <w:pPr>
      <w:pStyle w:val="Header"/>
    </w:pPr>
    <w:r>
      <w:drawing>
        <wp:anchor distT="0" distB="0" distL="114300" distR="114300" simplePos="0" relativeHeight="251662336" behindDoc="1" locked="0" layoutInCell="1" allowOverlap="1">
          <wp:simplePos x="0" y="0"/>
          <wp:positionH relativeFrom="margin">
            <wp:posOffset>-996950</wp:posOffset>
          </wp:positionH>
          <wp:positionV relativeFrom="page">
            <wp:posOffset>-2738</wp:posOffset>
          </wp:positionV>
          <wp:extent cx="10131425" cy="716280"/>
          <wp:effectExtent l="0" t="0" r="3175" b="0"/>
          <wp:wrapSquare wrapText="bothSides"/>
          <wp:docPr id="1979080014" name="Picture 197908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80014" name="Picture 1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31425" cy="71628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FAE" w:rsidP="00CA41B2" w14:paraId="71794C89" w14:textId="77777777">
    <w:pPr>
      <w:pStyle w:val="Header"/>
    </w:pPr>
    <w:r>
      <w:drawing>
        <wp:anchor distT="0" distB="0" distL="114300" distR="114300" simplePos="0" relativeHeight="251663360" behindDoc="1" locked="0" layoutInCell="1" allowOverlap="1">
          <wp:simplePos x="0" y="0"/>
          <wp:positionH relativeFrom="margin">
            <wp:posOffset>-996950</wp:posOffset>
          </wp:positionH>
          <wp:positionV relativeFrom="page">
            <wp:posOffset>-2738</wp:posOffset>
          </wp:positionV>
          <wp:extent cx="10131425" cy="716280"/>
          <wp:effectExtent l="0" t="0" r="3175" b="0"/>
          <wp:wrapSquare wrapText="bothSides"/>
          <wp:docPr id="228469932" name="Picture 22846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69932" name="Picture 1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31425" cy="71628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4E5" w:rsidP="00CA41B2" w14:paraId="6B116850" w14:textId="77777777">
    <w:pPr>
      <w:pStyle w:val="Header"/>
    </w:pPr>
    <w:r>
      <w:drawing>
        <wp:anchor distT="0" distB="0" distL="114300" distR="114300" simplePos="0" relativeHeight="251664384" behindDoc="1" locked="0" layoutInCell="1" allowOverlap="1">
          <wp:simplePos x="0" y="0"/>
          <wp:positionH relativeFrom="margin">
            <wp:posOffset>-996950</wp:posOffset>
          </wp:positionH>
          <wp:positionV relativeFrom="page">
            <wp:posOffset>-2738</wp:posOffset>
          </wp:positionV>
          <wp:extent cx="10131425" cy="716280"/>
          <wp:effectExtent l="0" t="0" r="3175" b="0"/>
          <wp:wrapSquare wrapText="bothSides"/>
          <wp:docPr id="1633283373" name="Picture 163328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83373" name="Picture 1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3142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nsid w:val="2AC75F88"/>
    <w:multiLevelType w:val="hybridMultilevel"/>
    <w:tmpl w:val="4DF8A410"/>
    <w:lvl w:ilvl="0">
      <w:start w:val="1"/>
      <w:numFmt w:val="bullet"/>
      <w:pStyle w:val="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FB281B"/>
    <w:multiLevelType w:val="hybridMultilevel"/>
    <w:tmpl w:val="6F7C7FB6"/>
    <w:lvl w:ilvl="0">
      <w:start w:val="1"/>
      <w:numFmt w:val="bullet"/>
      <w:pStyle w:val="ListBullet"/>
      <w:lvlText w:val=""/>
      <w:lvlJc w:val="left"/>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EAD33C4"/>
    <w:multiLevelType w:val="multilevel"/>
    <w:tmpl w:val="D3F883C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7">
    <w:nsid w:val="71701A89"/>
    <w:multiLevelType w:val="hybridMultilevel"/>
    <w:tmpl w:val="63D8AA3C"/>
    <w:lvl w:ilvl="0">
      <w:start w:val="1"/>
      <w:numFmt w:val="bullet"/>
      <w:pStyle w:val="PPBullet"/>
      <w:lvlText w:val="·"/>
      <w:lvlJc w:val="left"/>
      <w:pPr>
        <w:ind w:left="360" w:hanging="360"/>
      </w:pPr>
      <w:rPr>
        <w:rFonts w:ascii="Symbol" w:hAnsi="Symbol" w:hint="default"/>
        <w:color w:val="48A9C5"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
    <w:nsid w:val="7AD63DA6"/>
    <w:multiLevelType w:val="singleLevel"/>
    <w:tmpl w:val="8BBC4B1E"/>
    <w:lvl w:ilvl="0">
      <w:start w:val="1"/>
      <w:numFmt w:val="bullet"/>
      <w:pStyle w:val="Bullets"/>
      <w:lvlText w:val=""/>
      <w:lvlJc w:val="left"/>
      <w:pPr>
        <w:ind w:left="360" w:hanging="360"/>
      </w:pPr>
      <w:rPr>
        <w:rFonts w:ascii="Symbol" w:hAnsi="Symbol" w:cs="Symbol" w:hint="default"/>
        <w:color w:val="BB2127"/>
        <w:sz w:val="22"/>
      </w:rPr>
    </w:lvl>
  </w:abstractNum>
  <w:num w:numId="1" w16cid:durableId="895316883">
    <w:abstractNumId w:val="2"/>
  </w:num>
  <w:num w:numId="2" w16cid:durableId="1516306443">
    <w:abstractNumId w:val="8"/>
  </w:num>
  <w:num w:numId="3" w16cid:durableId="769471346">
    <w:abstractNumId w:val="0"/>
  </w:num>
  <w:num w:numId="4" w16cid:durableId="1415006348">
    <w:abstractNumId w:val="7"/>
  </w:num>
  <w:num w:numId="5" w16cid:durableId="621309629">
    <w:abstractNumId w:val="1"/>
  </w:num>
  <w:num w:numId="6" w16cid:durableId="589627438">
    <w:abstractNumId w:val="5"/>
  </w:num>
  <w:num w:numId="7" w16cid:durableId="661086484">
    <w:abstractNumId w:val="9"/>
  </w:num>
  <w:num w:numId="8" w16cid:durableId="2119911438">
    <w:abstractNumId w:val="6"/>
  </w:num>
  <w:num w:numId="9" w16cid:durableId="825559068">
    <w:abstractNumId w:val="3"/>
  </w:num>
  <w:num w:numId="10" w16cid:durableId="129397378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10"/>
    <w:rsid w:val="0000010E"/>
    <w:rsid w:val="00001DA2"/>
    <w:rsid w:val="00003A2C"/>
    <w:rsid w:val="00003CA6"/>
    <w:rsid w:val="00003DEA"/>
    <w:rsid w:val="00006B3A"/>
    <w:rsid w:val="00007E90"/>
    <w:rsid w:val="000104BF"/>
    <w:rsid w:val="00010757"/>
    <w:rsid w:val="00011A9A"/>
    <w:rsid w:val="00011B75"/>
    <w:rsid w:val="00012536"/>
    <w:rsid w:val="00012EDA"/>
    <w:rsid w:val="000136F3"/>
    <w:rsid w:val="00016E17"/>
    <w:rsid w:val="00020DF3"/>
    <w:rsid w:val="00021EBD"/>
    <w:rsid w:val="0002216E"/>
    <w:rsid w:val="000247F7"/>
    <w:rsid w:val="0002496B"/>
    <w:rsid w:val="00026F54"/>
    <w:rsid w:val="00027EFF"/>
    <w:rsid w:val="00030ABE"/>
    <w:rsid w:val="00032A81"/>
    <w:rsid w:val="00034057"/>
    <w:rsid w:val="000367E7"/>
    <w:rsid w:val="00036FD6"/>
    <w:rsid w:val="0003796C"/>
    <w:rsid w:val="00040E00"/>
    <w:rsid w:val="000411F7"/>
    <w:rsid w:val="00043EDC"/>
    <w:rsid w:val="000464E9"/>
    <w:rsid w:val="00046728"/>
    <w:rsid w:val="00047488"/>
    <w:rsid w:val="00050C6C"/>
    <w:rsid w:val="000525E0"/>
    <w:rsid w:val="000538B2"/>
    <w:rsid w:val="00053EEF"/>
    <w:rsid w:val="000543DC"/>
    <w:rsid w:val="00054D14"/>
    <w:rsid w:val="00055022"/>
    <w:rsid w:val="0005750B"/>
    <w:rsid w:val="0006045E"/>
    <w:rsid w:val="00060A2A"/>
    <w:rsid w:val="000611D4"/>
    <w:rsid w:val="00062DBC"/>
    <w:rsid w:val="0006350A"/>
    <w:rsid w:val="00063CC5"/>
    <w:rsid w:val="0006587B"/>
    <w:rsid w:val="000667AB"/>
    <w:rsid w:val="00066E42"/>
    <w:rsid w:val="00066E73"/>
    <w:rsid w:val="0006787D"/>
    <w:rsid w:val="00070322"/>
    <w:rsid w:val="00070F10"/>
    <w:rsid w:val="000729B3"/>
    <w:rsid w:val="0008253B"/>
    <w:rsid w:val="00082D01"/>
    <w:rsid w:val="00084FA2"/>
    <w:rsid w:val="0008514F"/>
    <w:rsid w:val="00087856"/>
    <w:rsid w:val="00087E2E"/>
    <w:rsid w:val="00090122"/>
    <w:rsid w:val="000902AA"/>
    <w:rsid w:val="0009055B"/>
    <w:rsid w:val="00090D68"/>
    <w:rsid w:val="00093228"/>
    <w:rsid w:val="000957C0"/>
    <w:rsid w:val="00095D40"/>
    <w:rsid w:val="00097453"/>
    <w:rsid w:val="000A00A2"/>
    <w:rsid w:val="000A1C6D"/>
    <w:rsid w:val="000A1E12"/>
    <w:rsid w:val="000A3416"/>
    <w:rsid w:val="000A7D69"/>
    <w:rsid w:val="000B04AE"/>
    <w:rsid w:val="000B0F65"/>
    <w:rsid w:val="000B33D1"/>
    <w:rsid w:val="000B64F1"/>
    <w:rsid w:val="000B6CB5"/>
    <w:rsid w:val="000B788A"/>
    <w:rsid w:val="000C0A39"/>
    <w:rsid w:val="000C0D21"/>
    <w:rsid w:val="000C3040"/>
    <w:rsid w:val="000C3E1D"/>
    <w:rsid w:val="000C46EA"/>
    <w:rsid w:val="000C5725"/>
    <w:rsid w:val="000C5DE1"/>
    <w:rsid w:val="000D03C5"/>
    <w:rsid w:val="000D05C1"/>
    <w:rsid w:val="000D3931"/>
    <w:rsid w:val="000D44D8"/>
    <w:rsid w:val="000D53F1"/>
    <w:rsid w:val="000D565E"/>
    <w:rsid w:val="000D5777"/>
    <w:rsid w:val="000D7F7F"/>
    <w:rsid w:val="000E2273"/>
    <w:rsid w:val="000E4631"/>
    <w:rsid w:val="000E4CD5"/>
    <w:rsid w:val="000E4FF3"/>
    <w:rsid w:val="000E6B75"/>
    <w:rsid w:val="000E7C50"/>
    <w:rsid w:val="000F18A1"/>
    <w:rsid w:val="000F297C"/>
    <w:rsid w:val="000F53F4"/>
    <w:rsid w:val="00101A47"/>
    <w:rsid w:val="001028EB"/>
    <w:rsid w:val="001034D7"/>
    <w:rsid w:val="00104792"/>
    <w:rsid w:val="00104F2A"/>
    <w:rsid w:val="001065F0"/>
    <w:rsid w:val="00107A04"/>
    <w:rsid w:val="00110A43"/>
    <w:rsid w:val="0011170B"/>
    <w:rsid w:val="00111AEF"/>
    <w:rsid w:val="00112D07"/>
    <w:rsid w:val="00113C3F"/>
    <w:rsid w:val="00116F3F"/>
    <w:rsid w:val="001178CA"/>
    <w:rsid w:val="001200F7"/>
    <w:rsid w:val="00123056"/>
    <w:rsid w:val="0012481F"/>
    <w:rsid w:val="00124BC3"/>
    <w:rsid w:val="001266BB"/>
    <w:rsid w:val="001278D3"/>
    <w:rsid w:val="001307A5"/>
    <w:rsid w:val="00131115"/>
    <w:rsid w:val="00131B63"/>
    <w:rsid w:val="00132441"/>
    <w:rsid w:val="00132F80"/>
    <w:rsid w:val="00135545"/>
    <w:rsid w:val="00135C39"/>
    <w:rsid w:val="00137280"/>
    <w:rsid w:val="00137ADB"/>
    <w:rsid w:val="0014169B"/>
    <w:rsid w:val="00142332"/>
    <w:rsid w:val="0014466C"/>
    <w:rsid w:val="00144A5A"/>
    <w:rsid w:val="001455C4"/>
    <w:rsid w:val="0015144A"/>
    <w:rsid w:val="00152153"/>
    <w:rsid w:val="00152CC1"/>
    <w:rsid w:val="00154A3E"/>
    <w:rsid w:val="00155B3C"/>
    <w:rsid w:val="00157E04"/>
    <w:rsid w:val="00160657"/>
    <w:rsid w:val="00160B87"/>
    <w:rsid w:val="00161BD4"/>
    <w:rsid w:val="00162B16"/>
    <w:rsid w:val="00162E9A"/>
    <w:rsid w:val="00166726"/>
    <w:rsid w:val="00166754"/>
    <w:rsid w:val="0016722C"/>
    <w:rsid w:val="001677DC"/>
    <w:rsid w:val="001677EE"/>
    <w:rsid w:val="001716FC"/>
    <w:rsid w:val="00172119"/>
    <w:rsid w:val="00172DC2"/>
    <w:rsid w:val="0017357A"/>
    <w:rsid w:val="00173C2A"/>
    <w:rsid w:val="00174E1E"/>
    <w:rsid w:val="00176526"/>
    <w:rsid w:val="00180219"/>
    <w:rsid w:val="00182B94"/>
    <w:rsid w:val="00184044"/>
    <w:rsid w:val="00184534"/>
    <w:rsid w:val="00184E3C"/>
    <w:rsid w:val="001850B4"/>
    <w:rsid w:val="00187B0F"/>
    <w:rsid w:val="001910F4"/>
    <w:rsid w:val="00191E0F"/>
    <w:rsid w:val="00193DF4"/>
    <w:rsid w:val="001973E1"/>
    <w:rsid w:val="00197B7A"/>
    <w:rsid w:val="001A04CE"/>
    <w:rsid w:val="001A050F"/>
    <w:rsid w:val="001A0E0A"/>
    <w:rsid w:val="001A23B5"/>
    <w:rsid w:val="001A2EB4"/>
    <w:rsid w:val="001A3108"/>
    <w:rsid w:val="001A403F"/>
    <w:rsid w:val="001A4633"/>
    <w:rsid w:val="001A64E5"/>
    <w:rsid w:val="001B0A57"/>
    <w:rsid w:val="001B0D96"/>
    <w:rsid w:val="001B2BFA"/>
    <w:rsid w:val="001B309E"/>
    <w:rsid w:val="001B3303"/>
    <w:rsid w:val="001B439D"/>
    <w:rsid w:val="001B4509"/>
    <w:rsid w:val="001B768E"/>
    <w:rsid w:val="001B7B33"/>
    <w:rsid w:val="001C0891"/>
    <w:rsid w:val="001C10AF"/>
    <w:rsid w:val="001C4B0C"/>
    <w:rsid w:val="001D060B"/>
    <w:rsid w:val="001D2239"/>
    <w:rsid w:val="001D235E"/>
    <w:rsid w:val="001D2CF1"/>
    <w:rsid w:val="001D3E6A"/>
    <w:rsid w:val="001D4FDD"/>
    <w:rsid w:val="001D5D71"/>
    <w:rsid w:val="001D6C62"/>
    <w:rsid w:val="001D6D44"/>
    <w:rsid w:val="001E0E3A"/>
    <w:rsid w:val="001E0FCB"/>
    <w:rsid w:val="001E2CF1"/>
    <w:rsid w:val="001E36BE"/>
    <w:rsid w:val="001E55ED"/>
    <w:rsid w:val="001E68EB"/>
    <w:rsid w:val="001E6F2C"/>
    <w:rsid w:val="001E7C1C"/>
    <w:rsid w:val="001F063B"/>
    <w:rsid w:val="001F2D0D"/>
    <w:rsid w:val="001F3D09"/>
    <w:rsid w:val="00200470"/>
    <w:rsid w:val="00200E58"/>
    <w:rsid w:val="00201950"/>
    <w:rsid w:val="00203A3C"/>
    <w:rsid w:val="002057A4"/>
    <w:rsid w:val="002064D3"/>
    <w:rsid w:val="002106BF"/>
    <w:rsid w:val="0021417B"/>
    <w:rsid w:val="00214260"/>
    <w:rsid w:val="00214B73"/>
    <w:rsid w:val="0021587C"/>
    <w:rsid w:val="00216D26"/>
    <w:rsid w:val="002176B8"/>
    <w:rsid w:val="00217C9B"/>
    <w:rsid w:val="002216AD"/>
    <w:rsid w:val="00221D2D"/>
    <w:rsid w:val="00221D99"/>
    <w:rsid w:val="00222C3A"/>
    <w:rsid w:val="00223219"/>
    <w:rsid w:val="00223A9F"/>
    <w:rsid w:val="0022464E"/>
    <w:rsid w:val="00224C1A"/>
    <w:rsid w:val="00225EA3"/>
    <w:rsid w:val="0022674D"/>
    <w:rsid w:val="00227977"/>
    <w:rsid w:val="00227DB0"/>
    <w:rsid w:val="00231700"/>
    <w:rsid w:val="0023449A"/>
    <w:rsid w:val="00235F34"/>
    <w:rsid w:val="00235F88"/>
    <w:rsid w:val="002372FF"/>
    <w:rsid w:val="00237F39"/>
    <w:rsid w:val="002409BE"/>
    <w:rsid w:val="00240E92"/>
    <w:rsid w:val="002448B8"/>
    <w:rsid w:val="00245E45"/>
    <w:rsid w:val="00247F8A"/>
    <w:rsid w:val="00250049"/>
    <w:rsid w:val="00253498"/>
    <w:rsid w:val="00253B3A"/>
    <w:rsid w:val="00254104"/>
    <w:rsid w:val="002545BB"/>
    <w:rsid w:val="00255975"/>
    <w:rsid w:val="00257105"/>
    <w:rsid w:val="002572D6"/>
    <w:rsid w:val="002607C5"/>
    <w:rsid w:val="00261035"/>
    <w:rsid w:val="0026495B"/>
    <w:rsid w:val="00265A41"/>
    <w:rsid w:val="0026608B"/>
    <w:rsid w:val="00266EAB"/>
    <w:rsid w:val="002702F7"/>
    <w:rsid w:val="002721EA"/>
    <w:rsid w:val="00273EAA"/>
    <w:rsid w:val="00275036"/>
    <w:rsid w:val="00275463"/>
    <w:rsid w:val="00276648"/>
    <w:rsid w:val="00276702"/>
    <w:rsid w:val="00276EDD"/>
    <w:rsid w:val="00277F05"/>
    <w:rsid w:val="00281401"/>
    <w:rsid w:val="00281A09"/>
    <w:rsid w:val="00282575"/>
    <w:rsid w:val="00282841"/>
    <w:rsid w:val="0028328D"/>
    <w:rsid w:val="002838F5"/>
    <w:rsid w:val="00285725"/>
    <w:rsid w:val="00285BB6"/>
    <w:rsid w:val="00285BFD"/>
    <w:rsid w:val="0028744C"/>
    <w:rsid w:val="00287BEF"/>
    <w:rsid w:val="00287FBE"/>
    <w:rsid w:val="002907DB"/>
    <w:rsid w:val="002937A3"/>
    <w:rsid w:val="00293AB9"/>
    <w:rsid w:val="0029491C"/>
    <w:rsid w:val="002A4078"/>
    <w:rsid w:val="002A4ECA"/>
    <w:rsid w:val="002A5CE0"/>
    <w:rsid w:val="002A6165"/>
    <w:rsid w:val="002B2900"/>
    <w:rsid w:val="002B2F3C"/>
    <w:rsid w:val="002B6F87"/>
    <w:rsid w:val="002C054A"/>
    <w:rsid w:val="002C168F"/>
    <w:rsid w:val="002C22DC"/>
    <w:rsid w:val="002C24EF"/>
    <w:rsid w:val="002C325F"/>
    <w:rsid w:val="002C32AB"/>
    <w:rsid w:val="002C41F9"/>
    <w:rsid w:val="002C4495"/>
    <w:rsid w:val="002C4DA6"/>
    <w:rsid w:val="002C553A"/>
    <w:rsid w:val="002C5AC8"/>
    <w:rsid w:val="002C61F0"/>
    <w:rsid w:val="002C6E58"/>
    <w:rsid w:val="002C6FFD"/>
    <w:rsid w:val="002C757C"/>
    <w:rsid w:val="002C76AB"/>
    <w:rsid w:val="002D0192"/>
    <w:rsid w:val="002D2F88"/>
    <w:rsid w:val="002D3320"/>
    <w:rsid w:val="002D3638"/>
    <w:rsid w:val="002D4536"/>
    <w:rsid w:val="002D4628"/>
    <w:rsid w:val="002D48D8"/>
    <w:rsid w:val="002D747C"/>
    <w:rsid w:val="002D7E04"/>
    <w:rsid w:val="002D7F92"/>
    <w:rsid w:val="002E059A"/>
    <w:rsid w:val="002E1003"/>
    <w:rsid w:val="002E3F59"/>
    <w:rsid w:val="002E596C"/>
    <w:rsid w:val="002E6E65"/>
    <w:rsid w:val="002E74C9"/>
    <w:rsid w:val="002F29A2"/>
    <w:rsid w:val="002F48C8"/>
    <w:rsid w:val="002F4D0B"/>
    <w:rsid w:val="002F55CE"/>
    <w:rsid w:val="002F62C8"/>
    <w:rsid w:val="002F76F5"/>
    <w:rsid w:val="00301961"/>
    <w:rsid w:val="00301E44"/>
    <w:rsid w:val="003033DA"/>
    <w:rsid w:val="00304829"/>
    <w:rsid w:val="00307E89"/>
    <w:rsid w:val="00307FE6"/>
    <w:rsid w:val="0031151A"/>
    <w:rsid w:val="00311B12"/>
    <w:rsid w:val="00312920"/>
    <w:rsid w:val="00314A8A"/>
    <w:rsid w:val="00314E83"/>
    <w:rsid w:val="00320C20"/>
    <w:rsid w:val="00322FA1"/>
    <w:rsid w:val="00323082"/>
    <w:rsid w:val="00324727"/>
    <w:rsid w:val="00324E12"/>
    <w:rsid w:val="00324EC2"/>
    <w:rsid w:val="003277E1"/>
    <w:rsid w:val="003279F2"/>
    <w:rsid w:val="00333099"/>
    <w:rsid w:val="00333E59"/>
    <w:rsid w:val="003363C0"/>
    <w:rsid w:val="00336A80"/>
    <w:rsid w:val="0033750F"/>
    <w:rsid w:val="00340C15"/>
    <w:rsid w:val="00342BA9"/>
    <w:rsid w:val="003444CA"/>
    <w:rsid w:val="003453BD"/>
    <w:rsid w:val="003455BC"/>
    <w:rsid w:val="003470C3"/>
    <w:rsid w:val="00350E0A"/>
    <w:rsid w:val="0035109F"/>
    <w:rsid w:val="00351257"/>
    <w:rsid w:val="00352127"/>
    <w:rsid w:val="00353E09"/>
    <w:rsid w:val="003541DC"/>
    <w:rsid w:val="00354503"/>
    <w:rsid w:val="0035689F"/>
    <w:rsid w:val="003570B2"/>
    <w:rsid w:val="0035745C"/>
    <w:rsid w:val="003623F0"/>
    <w:rsid w:val="00362BCD"/>
    <w:rsid w:val="00370164"/>
    <w:rsid w:val="0037082B"/>
    <w:rsid w:val="003711CD"/>
    <w:rsid w:val="00371EBD"/>
    <w:rsid w:val="00372DB6"/>
    <w:rsid w:val="00372DF9"/>
    <w:rsid w:val="003738AB"/>
    <w:rsid w:val="00380484"/>
    <w:rsid w:val="00380DB1"/>
    <w:rsid w:val="003810E7"/>
    <w:rsid w:val="003821F6"/>
    <w:rsid w:val="00383BFC"/>
    <w:rsid w:val="00384611"/>
    <w:rsid w:val="00384CA0"/>
    <w:rsid w:val="003870BA"/>
    <w:rsid w:val="003902DE"/>
    <w:rsid w:val="00392326"/>
    <w:rsid w:val="00395A89"/>
    <w:rsid w:val="00397F4D"/>
    <w:rsid w:val="003A1E79"/>
    <w:rsid w:val="003A2DCA"/>
    <w:rsid w:val="003A2FA8"/>
    <w:rsid w:val="003A32EF"/>
    <w:rsid w:val="003A3403"/>
    <w:rsid w:val="003A3F87"/>
    <w:rsid w:val="003A4A62"/>
    <w:rsid w:val="003A4FF7"/>
    <w:rsid w:val="003A783E"/>
    <w:rsid w:val="003B0708"/>
    <w:rsid w:val="003B2023"/>
    <w:rsid w:val="003B2081"/>
    <w:rsid w:val="003B3332"/>
    <w:rsid w:val="003B4770"/>
    <w:rsid w:val="003C20BF"/>
    <w:rsid w:val="003C2481"/>
    <w:rsid w:val="003C24F9"/>
    <w:rsid w:val="003C27E4"/>
    <w:rsid w:val="003C3D91"/>
    <w:rsid w:val="003C4C45"/>
    <w:rsid w:val="003C589F"/>
    <w:rsid w:val="003D1895"/>
    <w:rsid w:val="003D5616"/>
    <w:rsid w:val="003D5BFD"/>
    <w:rsid w:val="003D73FF"/>
    <w:rsid w:val="003D7442"/>
    <w:rsid w:val="003D7950"/>
    <w:rsid w:val="003D79E7"/>
    <w:rsid w:val="003E048A"/>
    <w:rsid w:val="003E1AE2"/>
    <w:rsid w:val="003E4791"/>
    <w:rsid w:val="003E4FC2"/>
    <w:rsid w:val="003E59F0"/>
    <w:rsid w:val="003E5C7B"/>
    <w:rsid w:val="003E666B"/>
    <w:rsid w:val="003E72AE"/>
    <w:rsid w:val="003F1130"/>
    <w:rsid w:val="003F1A40"/>
    <w:rsid w:val="003F3225"/>
    <w:rsid w:val="003F34CF"/>
    <w:rsid w:val="003F3E19"/>
    <w:rsid w:val="003F491E"/>
    <w:rsid w:val="003F4DF4"/>
    <w:rsid w:val="00403964"/>
    <w:rsid w:val="004052EA"/>
    <w:rsid w:val="00405D30"/>
    <w:rsid w:val="00410225"/>
    <w:rsid w:val="00411862"/>
    <w:rsid w:val="0041334B"/>
    <w:rsid w:val="004204A5"/>
    <w:rsid w:val="00420E3D"/>
    <w:rsid w:val="00423092"/>
    <w:rsid w:val="00423A8F"/>
    <w:rsid w:val="00424FAE"/>
    <w:rsid w:val="004253E8"/>
    <w:rsid w:val="0042544A"/>
    <w:rsid w:val="00426970"/>
    <w:rsid w:val="00426E28"/>
    <w:rsid w:val="00427741"/>
    <w:rsid w:val="00427EA9"/>
    <w:rsid w:val="00430DF1"/>
    <w:rsid w:val="00431188"/>
    <w:rsid w:val="004319BC"/>
    <w:rsid w:val="00431EC3"/>
    <w:rsid w:val="00432324"/>
    <w:rsid w:val="00433F6C"/>
    <w:rsid w:val="004350B0"/>
    <w:rsid w:val="00436CE5"/>
    <w:rsid w:val="0044013C"/>
    <w:rsid w:val="0044032E"/>
    <w:rsid w:val="00440582"/>
    <w:rsid w:val="00442678"/>
    <w:rsid w:val="00442EBB"/>
    <w:rsid w:val="00443209"/>
    <w:rsid w:val="00445D0C"/>
    <w:rsid w:val="00446598"/>
    <w:rsid w:val="00447CFE"/>
    <w:rsid w:val="00452B83"/>
    <w:rsid w:val="004568FB"/>
    <w:rsid w:val="00462F61"/>
    <w:rsid w:val="0046409C"/>
    <w:rsid w:val="0046547A"/>
    <w:rsid w:val="00465C2B"/>
    <w:rsid w:val="00470AB4"/>
    <w:rsid w:val="004727BE"/>
    <w:rsid w:val="00472E16"/>
    <w:rsid w:val="004734DF"/>
    <w:rsid w:val="00473FE1"/>
    <w:rsid w:val="00474775"/>
    <w:rsid w:val="00475C0F"/>
    <w:rsid w:val="0047643F"/>
    <w:rsid w:val="00476911"/>
    <w:rsid w:val="00480093"/>
    <w:rsid w:val="00480C8F"/>
    <w:rsid w:val="004812AC"/>
    <w:rsid w:val="00484187"/>
    <w:rsid w:val="00484A50"/>
    <w:rsid w:val="00485CC5"/>
    <w:rsid w:val="00486943"/>
    <w:rsid w:val="00487EC5"/>
    <w:rsid w:val="00490EFE"/>
    <w:rsid w:val="004926BC"/>
    <w:rsid w:val="00492F6C"/>
    <w:rsid w:val="00493A48"/>
    <w:rsid w:val="00495B91"/>
    <w:rsid w:val="0049644E"/>
    <w:rsid w:val="004965FB"/>
    <w:rsid w:val="00497287"/>
    <w:rsid w:val="004A194C"/>
    <w:rsid w:val="004A19B5"/>
    <w:rsid w:val="004A1B4D"/>
    <w:rsid w:val="004A1CE2"/>
    <w:rsid w:val="004A1F74"/>
    <w:rsid w:val="004A226F"/>
    <w:rsid w:val="004A3519"/>
    <w:rsid w:val="004A538F"/>
    <w:rsid w:val="004A5408"/>
    <w:rsid w:val="004A67D0"/>
    <w:rsid w:val="004A6C8E"/>
    <w:rsid w:val="004A7695"/>
    <w:rsid w:val="004B121A"/>
    <w:rsid w:val="004B1B6E"/>
    <w:rsid w:val="004B237E"/>
    <w:rsid w:val="004B3401"/>
    <w:rsid w:val="004B38BC"/>
    <w:rsid w:val="004C15E0"/>
    <w:rsid w:val="004C18DF"/>
    <w:rsid w:val="004C24AC"/>
    <w:rsid w:val="004C29E5"/>
    <w:rsid w:val="004C2B46"/>
    <w:rsid w:val="004C5301"/>
    <w:rsid w:val="004C6F40"/>
    <w:rsid w:val="004D02A8"/>
    <w:rsid w:val="004D0C64"/>
    <w:rsid w:val="004D1155"/>
    <w:rsid w:val="004D11FC"/>
    <w:rsid w:val="004D252B"/>
    <w:rsid w:val="004D359E"/>
    <w:rsid w:val="004D4C6D"/>
    <w:rsid w:val="004E01A4"/>
    <w:rsid w:val="004E2F44"/>
    <w:rsid w:val="004E30BC"/>
    <w:rsid w:val="004E5350"/>
    <w:rsid w:val="004E6D68"/>
    <w:rsid w:val="004E71AB"/>
    <w:rsid w:val="004F2732"/>
    <w:rsid w:val="004F3D6D"/>
    <w:rsid w:val="004F4334"/>
    <w:rsid w:val="004F6742"/>
    <w:rsid w:val="004F6A46"/>
    <w:rsid w:val="004F6FFE"/>
    <w:rsid w:val="004F709B"/>
    <w:rsid w:val="004F7F84"/>
    <w:rsid w:val="00503049"/>
    <w:rsid w:val="005074D6"/>
    <w:rsid w:val="00507B7B"/>
    <w:rsid w:val="00507F36"/>
    <w:rsid w:val="0051182F"/>
    <w:rsid w:val="00512337"/>
    <w:rsid w:val="00514193"/>
    <w:rsid w:val="0051462D"/>
    <w:rsid w:val="00514CCE"/>
    <w:rsid w:val="00514FBF"/>
    <w:rsid w:val="005152D0"/>
    <w:rsid w:val="00516E65"/>
    <w:rsid w:val="0051745E"/>
    <w:rsid w:val="005200A3"/>
    <w:rsid w:val="00520756"/>
    <w:rsid w:val="005219C1"/>
    <w:rsid w:val="00522418"/>
    <w:rsid w:val="0052257A"/>
    <w:rsid w:val="00523DC0"/>
    <w:rsid w:val="00524DB5"/>
    <w:rsid w:val="00527E93"/>
    <w:rsid w:val="0053086A"/>
    <w:rsid w:val="005336F5"/>
    <w:rsid w:val="00534039"/>
    <w:rsid w:val="00534B03"/>
    <w:rsid w:val="00534C33"/>
    <w:rsid w:val="00536DB4"/>
    <w:rsid w:val="00537A01"/>
    <w:rsid w:val="0054025D"/>
    <w:rsid w:val="0054388F"/>
    <w:rsid w:val="00544D9A"/>
    <w:rsid w:val="00545051"/>
    <w:rsid w:val="0054673C"/>
    <w:rsid w:val="005479AA"/>
    <w:rsid w:val="00550C9F"/>
    <w:rsid w:val="00550CAF"/>
    <w:rsid w:val="0055123E"/>
    <w:rsid w:val="0055299D"/>
    <w:rsid w:val="0055419C"/>
    <w:rsid w:val="005547AE"/>
    <w:rsid w:val="005563A4"/>
    <w:rsid w:val="0056102A"/>
    <w:rsid w:val="0056163A"/>
    <w:rsid w:val="00562DDE"/>
    <w:rsid w:val="005707D6"/>
    <w:rsid w:val="00571946"/>
    <w:rsid w:val="00572823"/>
    <w:rsid w:val="005744D5"/>
    <w:rsid w:val="00574555"/>
    <w:rsid w:val="00574572"/>
    <w:rsid w:val="005753E4"/>
    <w:rsid w:val="00576D6B"/>
    <w:rsid w:val="00577416"/>
    <w:rsid w:val="00582947"/>
    <w:rsid w:val="00585CA4"/>
    <w:rsid w:val="00585CBE"/>
    <w:rsid w:val="00585D34"/>
    <w:rsid w:val="00585FEB"/>
    <w:rsid w:val="00586584"/>
    <w:rsid w:val="00587D47"/>
    <w:rsid w:val="00587E4E"/>
    <w:rsid w:val="00590D27"/>
    <w:rsid w:val="00595354"/>
    <w:rsid w:val="00597948"/>
    <w:rsid w:val="00597B60"/>
    <w:rsid w:val="00597F58"/>
    <w:rsid w:val="005A024E"/>
    <w:rsid w:val="005A20B5"/>
    <w:rsid w:val="005A4B86"/>
    <w:rsid w:val="005A5362"/>
    <w:rsid w:val="005A56C0"/>
    <w:rsid w:val="005A5DE0"/>
    <w:rsid w:val="005A7CC5"/>
    <w:rsid w:val="005A7F2B"/>
    <w:rsid w:val="005B0C74"/>
    <w:rsid w:val="005B1AC5"/>
    <w:rsid w:val="005B1DD9"/>
    <w:rsid w:val="005B20ED"/>
    <w:rsid w:val="005B2192"/>
    <w:rsid w:val="005B3C62"/>
    <w:rsid w:val="005B4DFC"/>
    <w:rsid w:val="005B592A"/>
    <w:rsid w:val="005B613D"/>
    <w:rsid w:val="005B6A25"/>
    <w:rsid w:val="005B71A3"/>
    <w:rsid w:val="005B7756"/>
    <w:rsid w:val="005C0B43"/>
    <w:rsid w:val="005C1FE6"/>
    <w:rsid w:val="005C26C9"/>
    <w:rsid w:val="005C4190"/>
    <w:rsid w:val="005C4647"/>
    <w:rsid w:val="005C5651"/>
    <w:rsid w:val="005C5D02"/>
    <w:rsid w:val="005C6ABF"/>
    <w:rsid w:val="005C6D0C"/>
    <w:rsid w:val="005C7145"/>
    <w:rsid w:val="005D2A87"/>
    <w:rsid w:val="005D5B25"/>
    <w:rsid w:val="005D5E28"/>
    <w:rsid w:val="005D6B00"/>
    <w:rsid w:val="005E0CF2"/>
    <w:rsid w:val="005E0D71"/>
    <w:rsid w:val="005E2AEA"/>
    <w:rsid w:val="005E4C15"/>
    <w:rsid w:val="005E6B70"/>
    <w:rsid w:val="005E71A9"/>
    <w:rsid w:val="005F342B"/>
    <w:rsid w:val="005F3ADD"/>
    <w:rsid w:val="005F4315"/>
    <w:rsid w:val="005F45C5"/>
    <w:rsid w:val="005F5564"/>
    <w:rsid w:val="00601378"/>
    <w:rsid w:val="00601C7C"/>
    <w:rsid w:val="00603F61"/>
    <w:rsid w:val="00605298"/>
    <w:rsid w:val="00605DDC"/>
    <w:rsid w:val="006073A5"/>
    <w:rsid w:val="00607927"/>
    <w:rsid w:val="006122D8"/>
    <w:rsid w:val="00612300"/>
    <w:rsid w:val="0061247A"/>
    <w:rsid w:val="00615629"/>
    <w:rsid w:val="006156ED"/>
    <w:rsid w:val="00615736"/>
    <w:rsid w:val="00615873"/>
    <w:rsid w:val="00615938"/>
    <w:rsid w:val="006163A7"/>
    <w:rsid w:val="00616862"/>
    <w:rsid w:val="006203FF"/>
    <w:rsid w:val="00621346"/>
    <w:rsid w:val="006223D9"/>
    <w:rsid w:val="0062263A"/>
    <w:rsid w:val="00622C3D"/>
    <w:rsid w:val="0062373B"/>
    <w:rsid w:val="00626502"/>
    <w:rsid w:val="0063014E"/>
    <w:rsid w:val="00631A2C"/>
    <w:rsid w:val="00632B9B"/>
    <w:rsid w:val="00633711"/>
    <w:rsid w:val="0063555E"/>
    <w:rsid w:val="006414E9"/>
    <w:rsid w:val="00641B14"/>
    <w:rsid w:val="006447D3"/>
    <w:rsid w:val="00644DE9"/>
    <w:rsid w:val="00645684"/>
    <w:rsid w:val="006459D1"/>
    <w:rsid w:val="00646AAD"/>
    <w:rsid w:val="00647E34"/>
    <w:rsid w:val="0065112D"/>
    <w:rsid w:val="00652E1A"/>
    <w:rsid w:val="006545CE"/>
    <w:rsid w:val="0065666F"/>
    <w:rsid w:val="00656AC8"/>
    <w:rsid w:val="00660967"/>
    <w:rsid w:val="0066134E"/>
    <w:rsid w:val="006630A2"/>
    <w:rsid w:val="00663858"/>
    <w:rsid w:val="0066417F"/>
    <w:rsid w:val="006654A7"/>
    <w:rsid w:val="0066748B"/>
    <w:rsid w:val="00667929"/>
    <w:rsid w:val="00667A1D"/>
    <w:rsid w:val="00674227"/>
    <w:rsid w:val="006747B6"/>
    <w:rsid w:val="00674B92"/>
    <w:rsid w:val="006772B5"/>
    <w:rsid w:val="0067788D"/>
    <w:rsid w:val="0068071D"/>
    <w:rsid w:val="00680BF0"/>
    <w:rsid w:val="00681267"/>
    <w:rsid w:val="006814BB"/>
    <w:rsid w:val="006840EB"/>
    <w:rsid w:val="006874B5"/>
    <w:rsid w:val="00687C1D"/>
    <w:rsid w:val="00687D43"/>
    <w:rsid w:val="006900A6"/>
    <w:rsid w:val="00690311"/>
    <w:rsid w:val="0069342C"/>
    <w:rsid w:val="00693FBC"/>
    <w:rsid w:val="00694B8F"/>
    <w:rsid w:val="00696F05"/>
    <w:rsid w:val="006A213B"/>
    <w:rsid w:val="006A27E6"/>
    <w:rsid w:val="006A3799"/>
    <w:rsid w:val="006A541C"/>
    <w:rsid w:val="006A5B3B"/>
    <w:rsid w:val="006B035B"/>
    <w:rsid w:val="006B0789"/>
    <w:rsid w:val="006B0ADA"/>
    <w:rsid w:val="006B1823"/>
    <w:rsid w:val="006B1D27"/>
    <w:rsid w:val="006B5FFF"/>
    <w:rsid w:val="006C111C"/>
    <w:rsid w:val="006C1434"/>
    <w:rsid w:val="006C202B"/>
    <w:rsid w:val="006C37C9"/>
    <w:rsid w:val="006C61C5"/>
    <w:rsid w:val="006C7A4C"/>
    <w:rsid w:val="006D0F37"/>
    <w:rsid w:val="006D1378"/>
    <w:rsid w:val="006D406B"/>
    <w:rsid w:val="006D48CA"/>
    <w:rsid w:val="006D675A"/>
    <w:rsid w:val="006E2543"/>
    <w:rsid w:val="006E2B32"/>
    <w:rsid w:val="006F0A18"/>
    <w:rsid w:val="006F0EC9"/>
    <w:rsid w:val="006F1841"/>
    <w:rsid w:val="006F2B34"/>
    <w:rsid w:val="006F2DC7"/>
    <w:rsid w:val="007001BD"/>
    <w:rsid w:val="007010AB"/>
    <w:rsid w:val="007057ED"/>
    <w:rsid w:val="0070646E"/>
    <w:rsid w:val="0070649F"/>
    <w:rsid w:val="0070672F"/>
    <w:rsid w:val="00707829"/>
    <w:rsid w:val="00707E18"/>
    <w:rsid w:val="00710583"/>
    <w:rsid w:val="007105A6"/>
    <w:rsid w:val="00710E0F"/>
    <w:rsid w:val="00711426"/>
    <w:rsid w:val="00711779"/>
    <w:rsid w:val="00712C51"/>
    <w:rsid w:val="00714CB4"/>
    <w:rsid w:val="00714DD2"/>
    <w:rsid w:val="0071506C"/>
    <w:rsid w:val="00715417"/>
    <w:rsid w:val="00716827"/>
    <w:rsid w:val="00723BEA"/>
    <w:rsid w:val="0072434E"/>
    <w:rsid w:val="00724D83"/>
    <w:rsid w:val="007252DB"/>
    <w:rsid w:val="00726DD4"/>
    <w:rsid w:val="00727C20"/>
    <w:rsid w:val="00730F56"/>
    <w:rsid w:val="00731042"/>
    <w:rsid w:val="007317A6"/>
    <w:rsid w:val="00732A41"/>
    <w:rsid w:val="0073416B"/>
    <w:rsid w:val="00734A9D"/>
    <w:rsid w:val="00736A62"/>
    <w:rsid w:val="00737D32"/>
    <w:rsid w:val="007406DD"/>
    <w:rsid w:val="00740891"/>
    <w:rsid w:val="00741736"/>
    <w:rsid w:val="00741A5C"/>
    <w:rsid w:val="00742BFF"/>
    <w:rsid w:val="00744E2C"/>
    <w:rsid w:val="00751610"/>
    <w:rsid w:val="00752119"/>
    <w:rsid w:val="007524AE"/>
    <w:rsid w:val="007540D1"/>
    <w:rsid w:val="00754408"/>
    <w:rsid w:val="007555C8"/>
    <w:rsid w:val="00755EAF"/>
    <w:rsid w:val="007562AD"/>
    <w:rsid w:val="00756460"/>
    <w:rsid w:val="00756C6D"/>
    <w:rsid w:val="007574D0"/>
    <w:rsid w:val="0075753E"/>
    <w:rsid w:val="0076012A"/>
    <w:rsid w:val="00760634"/>
    <w:rsid w:val="007631C7"/>
    <w:rsid w:val="007637D9"/>
    <w:rsid w:val="00763CCC"/>
    <w:rsid w:val="00770AF4"/>
    <w:rsid w:val="00775140"/>
    <w:rsid w:val="00776C72"/>
    <w:rsid w:val="00780461"/>
    <w:rsid w:val="00780567"/>
    <w:rsid w:val="00782279"/>
    <w:rsid w:val="0078258F"/>
    <w:rsid w:val="00782E74"/>
    <w:rsid w:val="007846BC"/>
    <w:rsid w:val="00785FEC"/>
    <w:rsid w:val="00786B4C"/>
    <w:rsid w:val="00787555"/>
    <w:rsid w:val="007875F4"/>
    <w:rsid w:val="0079230A"/>
    <w:rsid w:val="00793193"/>
    <w:rsid w:val="007932FB"/>
    <w:rsid w:val="00793511"/>
    <w:rsid w:val="0079406D"/>
    <w:rsid w:val="00794A78"/>
    <w:rsid w:val="00794B6E"/>
    <w:rsid w:val="007958CC"/>
    <w:rsid w:val="00796809"/>
    <w:rsid w:val="007969A4"/>
    <w:rsid w:val="007A0114"/>
    <w:rsid w:val="007A2585"/>
    <w:rsid w:val="007A3357"/>
    <w:rsid w:val="007B0C99"/>
    <w:rsid w:val="007B1321"/>
    <w:rsid w:val="007B1904"/>
    <w:rsid w:val="007B21AD"/>
    <w:rsid w:val="007B24B7"/>
    <w:rsid w:val="007B2608"/>
    <w:rsid w:val="007B6015"/>
    <w:rsid w:val="007B661C"/>
    <w:rsid w:val="007C41C9"/>
    <w:rsid w:val="007D2B4D"/>
    <w:rsid w:val="007D3614"/>
    <w:rsid w:val="007D6370"/>
    <w:rsid w:val="007D64B3"/>
    <w:rsid w:val="007D668A"/>
    <w:rsid w:val="007D6E84"/>
    <w:rsid w:val="007E068D"/>
    <w:rsid w:val="007E092F"/>
    <w:rsid w:val="007E1776"/>
    <w:rsid w:val="007E17A1"/>
    <w:rsid w:val="007E33DC"/>
    <w:rsid w:val="007E3404"/>
    <w:rsid w:val="007E4AA1"/>
    <w:rsid w:val="007E5EC0"/>
    <w:rsid w:val="007E7549"/>
    <w:rsid w:val="007E772D"/>
    <w:rsid w:val="007E7F16"/>
    <w:rsid w:val="007F14BC"/>
    <w:rsid w:val="007F4754"/>
    <w:rsid w:val="007F5611"/>
    <w:rsid w:val="0080098A"/>
    <w:rsid w:val="00801655"/>
    <w:rsid w:val="00801761"/>
    <w:rsid w:val="0080392F"/>
    <w:rsid w:val="00805DF3"/>
    <w:rsid w:val="008111EB"/>
    <w:rsid w:val="00811E79"/>
    <w:rsid w:val="008121D4"/>
    <w:rsid w:val="00812BA0"/>
    <w:rsid w:val="008130C9"/>
    <w:rsid w:val="008131F8"/>
    <w:rsid w:val="00813D02"/>
    <w:rsid w:val="008146BB"/>
    <w:rsid w:val="00814833"/>
    <w:rsid w:val="0081623E"/>
    <w:rsid w:val="008178BA"/>
    <w:rsid w:val="0082033D"/>
    <w:rsid w:val="008203A5"/>
    <w:rsid w:val="0082138B"/>
    <w:rsid w:val="008222AD"/>
    <w:rsid w:val="0082577B"/>
    <w:rsid w:val="0083104D"/>
    <w:rsid w:val="0083294C"/>
    <w:rsid w:val="0083425E"/>
    <w:rsid w:val="0083455F"/>
    <w:rsid w:val="008349AE"/>
    <w:rsid w:val="008355D2"/>
    <w:rsid w:val="00835B4B"/>
    <w:rsid w:val="00835BFD"/>
    <w:rsid w:val="008366F7"/>
    <w:rsid w:val="008417C4"/>
    <w:rsid w:val="00841F7B"/>
    <w:rsid w:val="00843684"/>
    <w:rsid w:val="0084510B"/>
    <w:rsid w:val="0084511B"/>
    <w:rsid w:val="00846D77"/>
    <w:rsid w:val="00846F26"/>
    <w:rsid w:val="008477CD"/>
    <w:rsid w:val="008477E4"/>
    <w:rsid w:val="00850757"/>
    <w:rsid w:val="00850816"/>
    <w:rsid w:val="00852480"/>
    <w:rsid w:val="00853779"/>
    <w:rsid w:val="00853945"/>
    <w:rsid w:val="008557B3"/>
    <w:rsid w:val="00855E6F"/>
    <w:rsid w:val="0085620D"/>
    <w:rsid w:val="00856632"/>
    <w:rsid w:val="00856A79"/>
    <w:rsid w:val="00860AC2"/>
    <w:rsid w:val="008614AD"/>
    <w:rsid w:val="0086297E"/>
    <w:rsid w:val="00863458"/>
    <w:rsid w:val="00864E2C"/>
    <w:rsid w:val="00865420"/>
    <w:rsid w:val="0086646A"/>
    <w:rsid w:val="00867308"/>
    <w:rsid w:val="00867FAD"/>
    <w:rsid w:val="00873085"/>
    <w:rsid w:val="00875683"/>
    <w:rsid w:val="00880A1B"/>
    <w:rsid w:val="00883392"/>
    <w:rsid w:val="008844C7"/>
    <w:rsid w:val="00884FBB"/>
    <w:rsid w:val="00885CF1"/>
    <w:rsid w:val="00887358"/>
    <w:rsid w:val="008877CC"/>
    <w:rsid w:val="00891503"/>
    <w:rsid w:val="00891692"/>
    <w:rsid w:val="0089248A"/>
    <w:rsid w:val="008938E0"/>
    <w:rsid w:val="00895966"/>
    <w:rsid w:val="00896753"/>
    <w:rsid w:val="00897AAE"/>
    <w:rsid w:val="008A0193"/>
    <w:rsid w:val="008A0E05"/>
    <w:rsid w:val="008A1770"/>
    <w:rsid w:val="008A4337"/>
    <w:rsid w:val="008A5B91"/>
    <w:rsid w:val="008A716F"/>
    <w:rsid w:val="008A76CE"/>
    <w:rsid w:val="008B046E"/>
    <w:rsid w:val="008B0543"/>
    <w:rsid w:val="008B1D72"/>
    <w:rsid w:val="008B4532"/>
    <w:rsid w:val="008B50C9"/>
    <w:rsid w:val="008B53D7"/>
    <w:rsid w:val="008B592F"/>
    <w:rsid w:val="008B5D6F"/>
    <w:rsid w:val="008B62F1"/>
    <w:rsid w:val="008C0888"/>
    <w:rsid w:val="008C1DA6"/>
    <w:rsid w:val="008C2388"/>
    <w:rsid w:val="008C29C4"/>
    <w:rsid w:val="008C2C60"/>
    <w:rsid w:val="008C3384"/>
    <w:rsid w:val="008C3505"/>
    <w:rsid w:val="008C3FB4"/>
    <w:rsid w:val="008C58E7"/>
    <w:rsid w:val="008C6195"/>
    <w:rsid w:val="008C6FA2"/>
    <w:rsid w:val="008D06A9"/>
    <w:rsid w:val="008D1FDD"/>
    <w:rsid w:val="008D30EA"/>
    <w:rsid w:val="008D3528"/>
    <w:rsid w:val="008D3E80"/>
    <w:rsid w:val="008D53DE"/>
    <w:rsid w:val="008D55C8"/>
    <w:rsid w:val="008D7633"/>
    <w:rsid w:val="008E143C"/>
    <w:rsid w:val="008E20DE"/>
    <w:rsid w:val="008E2C7E"/>
    <w:rsid w:val="008E2FCA"/>
    <w:rsid w:val="008E32DB"/>
    <w:rsid w:val="008E6C48"/>
    <w:rsid w:val="008E7784"/>
    <w:rsid w:val="008F024F"/>
    <w:rsid w:val="008F1770"/>
    <w:rsid w:val="008F1F9E"/>
    <w:rsid w:val="008F2A7A"/>
    <w:rsid w:val="008F55DE"/>
    <w:rsid w:val="008F74F9"/>
    <w:rsid w:val="008F7A6A"/>
    <w:rsid w:val="0090106D"/>
    <w:rsid w:val="009013C5"/>
    <w:rsid w:val="00902C2C"/>
    <w:rsid w:val="009061A4"/>
    <w:rsid w:val="00910216"/>
    <w:rsid w:val="009104A3"/>
    <w:rsid w:val="00912E02"/>
    <w:rsid w:val="00916EA7"/>
    <w:rsid w:val="009214FD"/>
    <w:rsid w:val="009229B0"/>
    <w:rsid w:val="009264AE"/>
    <w:rsid w:val="00926B2C"/>
    <w:rsid w:val="00927566"/>
    <w:rsid w:val="00930682"/>
    <w:rsid w:val="00930BDA"/>
    <w:rsid w:val="00931B43"/>
    <w:rsid w:val="00931EE7"/>
    <w:rsid w:val="00932382"/>
    <w:rsid w:val="00932425"/>
    <w:rsid w:val="00934DBA"/>
    <w:rsid w:val="00935E9B"/>
    <w:rsid w:val="009375EB"/>
    <w:rsid w:val="009406D6"/>
    <w:rsid w:val="0094144D"/>
    <w:rsid w:val="00942024"/>
    <w:rsid w:val="00944550"/>
    <w:rsid w:val="0094574F"/>
    <w:rsid w:val="00947565"/>
    <w:rsid w:val="00950911"/>
    <w:rsid w:val="009519D0"/>
    <w:rsid w:val="0095340E"/>
    <w:rsid w:val="009550AD"/>
    <w:rsid w:val="00955139"/>
    <w:rsid w:val="00956605"/>
    <w:rsid w:val="00956E4B"/>
    <w:rsid w:val="0095725F"/>
    <w:rsid w:val="00957787"/>
    <w:rsid w:val="00961AAE"/>
    <w:rsid w:val="00961B3E"/>
    <w:rsid w:val="00963263"/>
    <w:rsid w:val="0096376C"/>
    <w:rsid w:val="00963B4C"/>
    <w:rsid w:val="00965363"/>
    <w:rsid w:val="00965B4D"/>
    <w:rsid w:val="00967D7C"/>
    <w:rsid w:val="009732AC"/>
    <w:rsid w:val="00974D3D"/>
    <w:rsid w:val="009758C8"/>
    <w:rsid w:val="00975EE7"/>
    <w:rsid w:val="00977D73"/>
    <w:rsid w:val="00981271"/>
    <w:rsid w:val="0098376E"/>
    <w:rsid w:val="00990536"/>
    <w:rsid w:val="00992554"/>
    <w:rsid w:val="0099262A"/>
    <w:rsid w:val="009939E9"/>
    <w:rsid w:val="00996799"/>
    <w:rsid w:val="00996E14"/>
    <w:rsid w:val="009A05F3"/>
    <w:rsid w:val="009A0729"/>
    <w:rsid w:val="009A0EBA"/>
    <w:rsid w:val="009A11E5"/>
    <w:rsid w:val="009A1C36"/>
    <w:rsid w:val="009A4ABA"/>
    <w:rsid w:val="009B3D88"/>
    <w:rsid w:val="009B4E35"/>
    <w:rsid w:val="009B56DA"/>
    <w:rsid w:val="009B7981"/>
    <w:rsid w:val="009B7A77"/>
    <w:rsid w:val="009C077F"/>
    <w:rsid w:val="009C0A96"/>
    <w:rsid w:val="009C0E19"/>
    <w:rsid w:val="009C3F1C"/>
    <w:rsid w:val="009C4A0D"/>
    <w:rsid w:val="009C53CB"/>
    <w:rsid w:val="009C55CF"/>
    <w:rsid w:val="009C62A5"/>
    <w:rsid w:val="009C72B6"/>
    <w:rsid w:val="009C7831"/>
    <w:rsid w:val="009C7B15"/>
    <w:rsid w:val="009D059D"/>
    <w:rsid w:val="009D13BB"/>
    <w:rsid w:val="009D18A3"/>
    <w:rsid w:val="009D1AAB"/>
    <w:rsid w:val="009D21C4"/>
    <w:rsid w:val="009D2258"/>
    <w:rsid w:val="009D278A"/>
    <w:rsid w:val="009D472A"/>
    <w:rsid w:val="009D50EB"/>
    <w:rsid w:val="009D6E4F"/>
    <w:rsid w:val="009E32F5"/>
    <w:rsid w:val="009E4CB5"/>
    <w:rsid w:val="009E6279"/>
    <w:rsid w:val="009F0202"/>
    <w:rsid w:val="009F0238"/>
    <w:rsid w:val="009F1F38"/>
    <w:rsid w:val="009F2219"/>
    <w:rsid w:val="009F2649"/>
    <w:rsid w:val="009F2B38"/>
    <w:rsid w:val="009F6E52"/>
    <w:rsid w:val="009F704C"/>
    <w:rsid w:val="009F7C58"/>
    <w:rsid w:val="00A00213"/>
    <w:rsid w:val="00A008C7"/>
    <w:rsid w:val="00A00FB7"/>
    <w:rsid w:val="00A0215D"/>
    <w:rsid w:val="00A04591"/>
    <w:rsid w:val="00A04DEB"/>
    <w:rsid w:val="00A06666"/>
    <w:rsid w:val="00A06CEE"/>
    <w:rsid w:val="00A07CA8"/>
    <w:rsid w:val="00A105E0"/>
    <w:rsid w:val="00A11F8A"/>
    <w:rsid w:val="00A127F5"/>
    <w:rsid w:val="00A1532B"/>
    <w:rsid w:val="00A16874"/>
    <w:rsid w:val="00A2056D"/>
    <w:rsid w:val="00A212FA"/>
    <w:rsid w:val="00A26062"/>
    <w:rsid w:val="00A2650B"/>
    <w:rsid w:val="00A3018B"/>
    <w:rsid w:val="00A3128D"/>
    <w:rsid w:val="00A31E97"/>
    <w:rsid w:val="00A324EA"/>
    <w:rsid w:val="00A33A46"/>
    <w:rsid w:val="00A34414"/>
    <w:rsid w:val="00A35161"/>
    <w:rsid w:val="00A37244"/>
    <w:rsid w:val="00A429C1"/>
    <w:rsid w:val="00A42D2F"/>
    <w:rsid w:val="00A43E82"/>
    <w:rsid w:val="00A44D84"/>
    <w:rsid w:val="00A454AB"/>
    <w:rsid w:val="00A45B43"/>
    <w:rsid w:val="00A46234"/>
    <w:rsid w:val="00A4694F"/>
    <w:rsid w:val="00A4794A"/>
    <w:rsid w:val="00A5089F"/>
    <w:rsid w:val="00A533DE"/>
    <w:rsid w:val="00A53E2B"/>
    <w:rsid w:val="00A54316"/>
    <w:rsid w:val="00A546BE"/>
    <w:rsid w:val="00A54FD6"/>
    <w:rsid w:val="00A553EB"/>
    <w:rsid w:val="00A57005"/>
    <w:rsid w:val="00A63233"/>
    <w:rsid w:val="00A65B0B"/>
    <w:rsid w:val="00A66122"/>
    <w:rsid w:val="00A66820"/>
    <w:rsid w:val="00A70531"/>
    <w:rsid w:val="00A7437A"/>
    <w:rsid w:val="00A803B6"/>
    <w:rsid w:val="00A817CE"/>
    <w:rsid w:val="00A81C3E"/>
    <w:rsid w:val="00A82B2A"/>
    <w:rsid w:val="00A837D1"/>
    <w:rsid w:val="00A85239"/>
    <w:rsid w:val="00A8596B"/>
    <w:rsid w:val="00A85B48"/>
    <w:rsid w:val="00A876BB"/>
    <w:rsid w:val="00A928FA"/>
    <w:rsid w:val="00A96177"/>
    <w:rsid w:val="00AA003E"/>
    <w:rsid w:val="00AA4C10"/>
    <w:rsid w:val="00AA5EE2"/>
    <w:rsid w:val="00AA6762"/>
    <w:rsid w:val="00AA6C3E"/>
    <w:rsid w:val="00AA7708"/>
    <w:rsid w:val="00AA7B0B"/>
    <w:rsid w:val="00AB0724"/>
    <w:rsid w:val="00AB0A45"/>
    <w:rsid w:val="00AB24B8"/>
    <w:rsid w:val="00AB252A"/>
    <w:rsid w:val="00AB32CF"/>
    <w:rsid w:val="00AB4B63"/>
    <w:rsid w:val="00AC36D6"/>
    <w:rsid w:val="00AC3B42"/>
    <w:rsid w:val="00AC4F10"/>
    <w:rsid w:val="00AC59EB"/>
    <w:rsid w:val="00AC7B6B"/>
    <w:rsid w:val="00AD2235"/>
    <w:rsid w:val="00AD2345"/>
    <w:rsid w:val="00AD3FE6"/>
    <w:rsid w:val="00AE1681"/>
    <w:rsid w:val="00AE185E"/>
    <w:rsid w:val="00AE21D6"/>
    <w:rsid w:val="00AE2CE8"/>
    <w:rsid w:val="00AE5329"/>
    <w:rsid w:val="00AE7DE7"/>
    <w:rsid w:val="00AF140A"/>
    <w:rsid w:val="00AF3533"/>
    <w:rsid w:val="00AF61B6"/>
    <w:rsid w:val="00B00182"/>
    <w:rsid w:val="00B0119F"/>
    <w:rsid w:val="00B01A04"/>
    <w:rsid w:val="00B02599"/>
    <w:rsid w:val="00B036C1"/>
    <w:rsid w:val="00B0731E"/>
    <w:rsid w:val="00B073E9"/>
    <w:rsid w:val="00B10CBA"/>
    <w:rsid w:val="00B111C6"/>
    <w:rsid w:val="00B1289D"/>
    <w:rsid w:val="00B12977"/>
    <w:rsid w:val="00B14060"/>
    <w:rsid w:val="00B141E5"/>
    <w:rsid w:val="00B14E45"/>
    <w:rsid w:val="00B166AA"/>
    <w:rsid w:val="00B16B3C"/>
    <w:rsid w:val="00B16D23"/>
    <w:rsid w:val="00B176B6"/>
    <w:rsid w:val="00B221EB"/>
    <w:rsid w:val="00B225F1"/>
    <w:rsid w:val="00B23CAF"/>
    <w:rsid w:val="00B23D46"/>
    <w:rsid w:val="00B243CD"/>
    <w:rsid w:val="00B25EE3"/>
    <w:rsid w:val="00B269D4"/>
    <w:rsid w:val="00B270EF"/>
    <w:rsid w:val="00B3026F"/>
    <w:rsid w:val="00B303B7"/>
    <w:rsid w:val="00B310DA"/>
    <w:rsid w:val="00B31654"/>
    <w:rsid w:val="00B3357C"/>
    <w:rsid w:val="00B33B7F"/>
    <w:rsid w:val="00B34536"/>
    <w:rsid w:val="00B36112"/>
    <w:rsid w:val="00B3769E"/>
    <w:rsid w:val="00B3778A"/>
    <w:rsid w:val="00B377DE"/>
    <w:rsid w:val="00B42404"/>
    <w:rsid w:val="00B4280B"/>
    <w:rsid w:val="00B43E60"/>
    <w:rsid w:val="00B47494"/>
    <w:rsid w:val="00B47927"/>
    <w:rsid w:val="00B54A16"/>
    <w:rsid w:val="00B54C5E"/>
    <w:rsid w:val="00B60E16"/>
    <w:rsid w:val="00B619DA"/>
    <w:rsid w:val="00B61C4A"/>
    <w:rsid w:val="00B61EC9"/>
    <w:rsid w:val="00B63369"/>
    <w:rsid w:val="00B67984"/>
    <w:rsid w:val="00B679AD"/>
    <w:rsid w:val="00B67FF2"/>
    <w:rsid w:val="00B71518"/>
    <w:rsid w:val="00B71F3B"/>
    <w:rsid w:val="00B72383"/>
    <w:rsid w:val="00B72B9B"/>
    <w:rsid w:val="00B73B67"/>
    <w:rsid w:val="00B766B9"/>
    <w:rsid w:val="00B7744A"/>
    <w:rsid w:val="00B81837"/>
    <w:rsid w:val="00B818F7"/>
    <w:rsid w:val="00B82D4D"/>
    <w:rsid w:val="00B83E6E"/>
    <w:rsid w:val="00B84BA5"/>
    <w:rsid w:val="00B84FC3"/>
    <w:rsid w:val="00B8500B"/>
    <w:rsid w:val="00B86BCE"/>
    <w:rsid w:val="00B87610"/>
    <w:rsid w:val="00B87EE6"/>
    <w:rsid w:val="00B90F5C"/>
    <w:rsid w:val="00B9148E"/>
    <w:rsid w:val="00B9260A"/>
    <w:rsid w:val="00B935E9"/>
    <w:rsid w:val="00B93C59"/>
    <w:rsid w:val="00B96ABD"/>
    <w:rsid w:val="00B972AF"/>
    <w:rsid w:val="00BA05E5"/>
    <w:rsid w:val="00BA1728"/>
    <w:rsid w:val="00BA174F"/>
    <w:rsid w:val="00BA1C6C"/>
    <w:rsid w:val="00BA3D77"/>
    <w:rsid w:val="00BA6235"/>
    <w:rsid w:val="00BA623E"/>
    <w:rsid w:val="00BA7B29"/>
    <w:rsid w:val="00BA7D19"/>
    <w:rsid w:val="00BB2113"/>
    <w:rsid w:val="00BB3909"/>
    <w:rsid w:val="00BB4224"/>
    <w:rsid w:val="00BB75CB"/>
    <w:rsid w:val="00BC1C54"/>
    <w:rsid w:val="00BC1F8E"/>
    <w:rsid w:val="00BC24EC"/>
    <w:rsid w:val="00BC3225"/>
    <w:rsid w:val="00BC3552"/>
    <w:rsid w:val="00BC39B5"/>
    <w:rsid w:val="00BC5357"/>
    <w:rsid w:val="00BC5AF8"/>
    <w:rsid w:val="00BC660C"/>
    <w:rsid w:val="00BC68B8"/>
    <w:rsid w:val="00BC6A42"/>
    <w:rsid w:val="00BC76EF"/>
    <w:rsid w:val="00BD05C4"/>
    <w:rsid w:val="00BD062F"/>
    <w:rsid w:val="00BD1E38"/>
    <w:rsid w:val="00BD3B27"/>
    <w:rsid w:val="00BD3DCC"/>
    <w:rsid w:val="00BD4B7D"/>
    <w:rsid w:val="00BD599E"/>
    <w:rsid w:val="00BD64C0"/>
    <w:rsid w:val="00BD6B76"/>
    <w:rsid w:val="00BE1079"/>
    <w:rsid w:val="00BE1926"/>
    <w:rsid w:val="00BE279D"/>
    <w:rsid w:val="00BE5984"/>
    <w:rsid w:val="00BE5A43"/>
    <w:rsid w:val="00BE64E1"/>
    <w:rsid w:val="00BE6C3C"/>
    <w:rsid w:val="00BE6F36"/>
    <w:rsid w:val="00BE7655"/>
    <w:rsid w:val="00BF00B8"/>
    <w:rsid w:val="00BF0F3B"/>
    <w:rsid w:val="00BF18DC"/>
    <w:rsid w:val="00BF2185"/>
    <w:rsid w:val="00BF3044"/>
    <w:rsid w:val="00BF4ACA"/>
    <w:rsid w:val="00BF5601"/>
    <w:rsid w:val="00BF64AC"/>
    <w:rsid w:val="00C0173C"/>
    <w:rsid w:val="00C01CB8"/>
    <w:rsid w:val="00C030E2"/>
    <w:rsid w:val="00C04B4F"/>
    <w:rsid w:val="00C1071C"/>
    <w:rsid w:val="00C11B18"/>
    <w:rsid w:val="00C13DE2"/>
    <w:rsid w:val="00C14408"/>
    <w:rsid w:val="00C1447C"/>
    <w:rsid w:val="00C14776"/>
    <w:rsid w:val="00C14D76"/>
    <w:rsid w:val="00C14E0E"/>
    <w:rsid w:val="00C17F58"/>
    <w:rsid w:val="00C2140F"/>
    <w:rsid w:val="00C21765"/>
    <w:rsid w:val="00C21938"/>
    <w:rsid w:val="00C22D22"/>
    <w:rsid w:val="00C23334"/>
    <w:rsid w:val="00C269A9"/>
    <w:rsid w:val="00C30027"/>
    <w:rsid w:val="00C307E7"/>
    <w:rsid w:val="00C3142E"/>
    <w:rsid w:val="00C314E1"/>
    <w:rsid w:val="00C33C0B"/>
    <w:rsid w:val="00C34A92"/>
    <w:rsid w:val="00C34FB0"/>
    <w:rsid w:val="00C35829"/>
    <w:rsid w:val="00C36010"/>
    <w:rsid w:val="00C370A7"/>
    <w:rsid w:val="00C419B2"/>
    <w:rsid w:val="00C420B8"/>
    <w:rsid w:val="00C436F7"/>
    <w:rsid w:val="00C44714"/>
    <w:rsid w:val="00C51861"/>
    <w:rsid w:val="00C53640"/>
    <w:rsid w:val="00C538B4"/>
    <w:rsid w:val="00C539FC"/>
    <w:rsid w:val="00C54074"/>
    <w:rsid w:val="00C5616C"/>
    <w:rsid w:val="00C576C8"/>
    <w:rsid w:val="00C57E90"/>
    <w:rsid w:val="00C60F70"/>
    <w:rsid w:val="00C62F1C"/>
    <w:rsid w:val="00C62F9F"/>
    <w:rsid w:val="00C6380F"/>
    <w:rsid w:val="00C64FB4"/>
    <w:rsid w:val="00C650A2"/>
    <w:rsid w:val="00C657D3"/>
    <w:rsid w:val="00C65ACA"/>
    <w:rsid w:val="00C67DD5"/>
    <w:rsid w:val="00C7173C"/>
    <w:rsid w:val="00C719C1"/>
    <w:rsid w:val="00C7406B"/>
    <w:rsid w:val="00C744A3"/>
    <w:rsid w:val="00C74784"/>
    <w:rsid w:val="00C76EFF"/>
    <w:rsid w:val="00C80D6C"/>
    <w:rsid w:val="00C80E29"/>
    <w:rsid w:val="00C81663"/>
    <w:rsid w:val="00C81DB5"/>
    <w:rsid w:val="00C844E9"/>
    <w:rsid w:val="00C852D3"/>
    <w:rsid w:val="00C85DF1"/>
    <w:rsid w:val="00C860CC"/>
    <w:rsid w:val="00C900FF"/>
    <w:rsid w:val="00C914D1"/>
    <w:rsid w:val="00C91F51"/>
    <w:rsid w:val="00C92D58"/>
    <w:rsid w:val="00C945C8"/>
    <w:rsid w:val="00C94C8F"/>
    <w:rsid w:val="00C96339"/>
    <w:rsid w:val="00C97EC9"/>
    <w:rsid w:val="00CA2D16"/>
    <w:rsid w:val="00CA41B2"/>
    <w:rsid w:val="00CA58EC"/>
    <w:rsid w:val="00CA7D76"/>
    <w:rsid w:val="00CB086D"/>
    <w:rsid w:val="00CB138D"/>
    <w:rsid w:val="00CB1BF9"/>
    <w:rsid w:val="00CB3AEA"/>
    <w:rsid w:val="00CB3FC8"/>
    <w:rsid w:val="00CB442A"/>
    <w:rsid w:val="00CB6CA4"/>
    <w:rsid w:val="00CC348D"/>
    <w:rsid w:val="00CC362D"/>
    <w:rsid w:val="00CC5134"/>
    <w:rsid w:val="00CC6A58"/>
    <w:rsid w:val="00CC74C9"/>
    <w:rsid w:val="00CD0338"/>
    <w:rsid w:val="00CD0747"/>
    <w:rsid w:val="00CD1DC9"/>
    <w:rsid w:val="00CD2C71"/>
    <w:rsid w:val="00CD3A0E"/>
    <w:rsid w:val="00CD3A25"/>
    <w:rsid w:val="00CD3CE6"/>
    <w:rsid w:val="00CD3F53"/>
    <w:rsid w:val="00CD4074"/>
    <w:rsid w:val="00CD4B2E"/>
    <w:rsid w:val="00CD4DE4"/>
    <w:rsid w:val="00CD576E"/>
    <w:rsid w:val="00CD604F"/>
    <w:rsid w:val="00CD6527"/>
    <w:rsid w:val="00CD6945"/>
    <w:rsid w:val="00CD6B3F"/>
    <w:rsid w:val="00CD77A6"/>
    <w:rsid w:val="00CE11C3"/>
    <w:rsid w:val="00CE13FA"/>
    <w:rsid w:val="00CE7AF8"/>
    <w:rsid w:val="00CF017D"/>
    <w:rsid w:val="00CF1BF1"/>
    <w:rsid w:val="00CF2DA8"/>
    <w:rsid w:val="00CF3E63"/>
    <w:rsid w:val="00CF4ED3"/>
    <w:rsid w:val="00CF55E0"/>
    <w:rsid w:val="00CF561E"/>
    <w:rsid w:val="00CF6BAE"/>
    <w:rsid w:val="00D00467"/>
    <w:rsid w:val="00D013CD"/>
    <w:rsid w:val="00D02B1E"/>
    <w:rsid w:val="00D036E6"/>
    <w:rsid w:val="00D04C6F"/>
    <w:rsid w:val="00D052AD"/>
    <w:rsid w:val="00D068BB"/>
    <w:rsid w:val="00D076B3"/>
    <w:rsid w:val="00D10073"/>
    <w:rsid w:val="00D12865"/>
    <w:rsid w:val="00D13591"/>
    <w:rsid w:val="00D143BA"/>
    <w:rsid w:val="00D1465F"/>
    <w:rsid w:val="00D159CD"/>
    <w:rsid w:val="00D170E1"/>
    <w:rsid w:val="00D176BB"/>
    <w:rsid w:val="00D20141"/>
    <w:rsid w:val="00D209A6"/>
    <w:rsid w:val="00D20DD2"/>
    <w:rsid w:val="00D22F8D"/>
    <w:rsid w:val="00D2354F"/>
    <w:rsid w:val="00D25352"/>
    <w:rsid w:val="00D254AD"/>
    <w:rsid w:val="00D26913"/>
    <w:rsid w:val="00D275C6"/>
    <w:rsid w:val="00D276E0"/>
    <w:rsid w:val="00D32C36"/>
    <w:rsid w:val="00D3418F"/>
    <w:rsid w:val="00D344C1"/>
    <w:rsid w:val="00D34EEE"/>
    <w:rsid w:val="00D353EE"/>
    <w:rsid w:val="00D36C5A"/>
    <w:rsid w:val="00D36E00"/>
    <w:rsid w:val="00D37BAF"/>
    <w:rsid w:val="00D43375"/>
    <w:rsid w:val="00D43748"/>
    <w:rsid w:val="00D45931"/>
    <w:rsid w:val="00D45ACF"/>
    <w:rsid w:val="00D474A7"/>
    <w:rsid w:val="00D51B1E"/>
    <w:rsid w:val="00D51C4C"/>
    <w:rsid w:val="00D52989"/>
    <w:rsid w:val="00D55EA8"/>
    <w:rsid w:val="00D571F4"/>
    <w:rsid w:val="00D573DC"/>
    <w:rsid w:val="00D614C8"/>
    <w:rsid w:val="00D62E1C"/>
    <w:rsid w:val="00D63330"/>
    <w:rsid w:val="00D6410B"/>
    <w:rsid w:val="00D64BE2"/>
    <w:rsid w:val="00D65159"/>
    <w:rsid w:val="00D73688"/>
    <w:rsid w:val="00D74BC5"/>
    <w:rsid w:val="00D80A3F"/>
    <w:rsid w:val="00D81324"/>
    <w:rsid w:val="00D81D4A"/>
    <w:rsid w:val="00D82A30"/>
    <w:rsid w:val="00D90400"/>
    <w:rsid w:val="00D9158F"/>
    <w:rsid w:val="00D91775"/>
    <w:rsid w:val="00D91E52"/>
    <w:rsid w:val="00D9228A"/>
    <w:rsid w:val="00D92721"/>
    <w:rsid w:val="00D94184"/>
    <w:rsid w:val="00D96598"/>
    <w:rsid w:val="00D979EA"/>
    <w:rsid w:val="00D97A57"/>
    <w:rsid w:val="00DA02B9"/>
    <w:rsid w:val="00DA0AE0"/>
    <w:rsid w:val="00DA21AE"/>
    <w:rsid w:val="00DA22E3"/>
    <w:rsid w:val="00DA3EAF"/>
    <w:rsid w:val="00DA42EA"/>
    <w:rsid w:val="00DA746D"/>
    <w:rsid w:val="00DA7FEA"/>
    <w:rsid w:val="00DB269B"/>
    <w:rsid w:val="00DB31AA"/>
    <w:rsid w:val="00DB34AC"/>
    <w:rsid w:val="00DB3BA2"/>
    <w:rsid w:val="00DB6401"/>
    <w:rsid w:val="00DB6408"/>
    <w:rsid w:val="00DB6B6B"/>
    <w:rsid w:val="00DB72D6"/>
    <w:rsid w:val="00DC02B5"/>
    <w:rsid w:val="00DC09E9"/>
    <w:rsid w:val="00DC17C7"/>
    <w:rsid w:val="00DC17F5"/>
    <w:rsid w:val="00DC3927"/>
    <w:rsid w:val="00DC3DBF"/>
    <w:rsid w:val="00DC6A66"/>
    <w:rsid w:val="00DC750C"/>
    <w:rsid w:val="00DD1807"/>
    <w:rsid w:val="00DD1BED"/>
    <w:rsid w:val="00DD1DB3"/>
    <w:rsid w:val="00DD27D1"/>
    <w:rsid w:val="00DE0022"/>
    <w:rsid w:val="00DE1F6A"/>
    <w:rsid w:val="00DE221A"/>
    <w:rsid w:val="00DE2334"/>
    <w:rsid w:val="00DE3688"/>
    <w:rsid w:val="00DE3B97"/>
    <w:rsid w:val="00DE5C1E"/>
    <w:rsid w:val="00DF2528"/>
    <w:rsid w:val="00DF374E"/>
    <w:rsid w:val="00DF44DC"/>
    <w:rsid w:val="00DF4982"/>
    <w:rsid w:val="00DF4D3B"/>
    <w:rsid w:val="00DF68F0"/>
    <w:rsid w:val="00DF6CDE"/>
    <w:rsid w:val="00DF6E08"/>
    <w:rsid w:val="00DF7CF0"/>
    <w:rsid w:val="00DF7D4D"/>
    <w:rsid w:val="00DF7FD6"/>
    <w:rsid w:val="00E0113D"/>
    <w:rsid w:val="00E02BD3"/>
    <w:rsid w:val="00E031FD"/>
    <w:rsid w:val="00E036B5"/>
    <w:rsid w:val="00E039CB"/>
    <w:rsid w:val="00E06975"/>
    <w:rsid w:val="00E06C1F"/>
    <w:rsid w:val="00E07634"/>
    <w:rsid w:val="00E10029"/>
    <w:rsid w:val="00E104A3"/>
    <w:rsid w:val="00E122EC"/>
    <w:rsid w:val="00E1423B"/>
    <w:rsid w:val="00E147E6"/>
    <w:rsid w:val="00E15DA0"/>
    <w:rsid w:val="00E1747C"/>
    <w:rsid w:val="00E175E1"/>
    <w:rsid w:val="00E17D08"/>
    <w:rsid w:val="00E222CB"/>
    <w:rsid w:val="00E25D0C"/>
    <w:rsid w:val="00E2612A"/>
    <w:rsid w:val="00E27A24"/>
    <w:rsid w:val="00E31787"/>
    <w:rsid w:val="00E317E1"/>
    <w:rsid w:val="00E32A26"/>
    <w:rsid w:val="00E34F7F"/>
    <w:rsid w:val="00E3608D"/>
    <w:rsid w:val="00E4060E"/>
    <w:rsid w:val="00E42F03"/>
    <w:rsid w:val="00E43427"/>
    <w:rsid w:val="00E43D6E"/>
    <w:rsid w:val="00E50E37"/>
    <w:rsid w:val="00E55BF9"/>
    <w:rsid w:val="00E570B7"/>
    <w:rsid w:val="00E617EF"/>
    <w:rsid w:val="00E6186E"/>
    <w:rsid w:val="00E62BE7"/>
    <w:rsid w:val="00E63CEA"/>
    <w:rsid w:val="00E64246"/>
    <w:rsid w:val="00E67379"/>
    <w:rsid w:val="00E673B4"/>
    <w:rsid w:val="00E72355"/>
    <w:rsid w:val="00E72F03"/>
    <w:rsid w:val="00E736A2"/>
    <w:rsid w:val="00E7429A"/>
    <w:rsid w:val="00E75D89"/>
    <w:rsid w:val="00E77DAE"/>
    <w:rsid w:val="00E8205A"/>
    <w:rsid w:val="00E834B0"/>
    <w:rsid w:val="00E8419F"/>
    <w:rsid w:val="00E84434"/>
    <w:rsid w:val="00E866E3"/>
    <w:rsid w:val="00E86A4B"/>
    <w:rsid w:val="00E91210"/>
    <w:rsid w:val="00E91E40"/>
    <w:rsid w:val="00E938FE"/>
    <w:rsid w:val="00E94ACE"/>
    <w:rsid w:val="00E94E22"/>
    <w:rsid w:val="00E9603F"/>
    <w:rsid w:val="00EA0304"/>
    <w:rsid w:val="00EA0512"/>
    <w:rsid w:val="00EA11E0"/>
    <w:rsid w:val="00EA16B0"/>
    <w:rsid w:val="00EA3036"/>
    <w:rsid w:val="00EA3434"/>
    <w:rsid w:val="00EA5361"/>
    <w:rsid w:val="00EB1318"/>
    <w:rsid w:val="00EB2911"/>
    <w:rsid w:val="00EB30F5"/>
    <w:rsid w:val="00EB5C8B"/>
    <w:rsid w:val="00EB67A2"/>
    <w:rsid w:val="00EB7238"/>
    <w:rsid w:val="00EC4517"/>
    <w:rsid w:val="00EC47CA"/>
    <w:rsid w:val="00EC6D88"/>
    <w:rsid w:val="00EC7DB0"/>
    <w:rsid w:val="00ED048D"/>
    <w:rsid w:val="00ED18BA"/>
    <w:rsid w:val="00ED1C1B"/>
    <w:rsid w:val="00ED1C68"/>
    <w:rsid w:val="00ED263C"/>
    <w:rsid w:val="00ED2A92"/>
    <w:rsid w:val="00ED503D"/>
    <w:rsid w:val="00ED552A"/>
    <w:rsid w:val="00ED7169"/>
    <w:rsid w:val="00EE11FD"/>
    <w:rsid w:val="00EE1D07"/>
    <w:rsid w:val="00EE5025"/>
    <w:rsid w:val="00EE5F11"/>
    <w:rsid w:val="00EE5FDD"/>
    <w:rsid w:val="00EE63C6"/>
    <w:rsid w:val="00EE6EFC"/>
    <w:rsid w:val="00EF1271"/>
    <w:rsid w:val="00EF29A6"/>
    <w:rsid w:val="00EF58D0"/>
    <w:rsid w:val="00EF6741"/>
    <w:rsid w:val="00EF6D89"/>
    <w:rsid w:val="00EF7326"/>
    <w:rsid w:val="00EF7FE5"/>
    <w:rsid w:val="00F02000"/>
    <w:rsid w:val="00F04244"/>
    <w:rsid w:val="00F04798"/>
    <w:rsid w:val="00F04C15"/>
    <w:rsid w:val="00F0533C"/>
    <w:rsid w:val="00F05D92"/>
    <w:rsid w:val="00F06E0B"/>
    <w:rsid w:val="00F07896"/>
    <w:rsid w:val="00F10030"/>
    <w:rsid w:val="00F110BD"/>
    <w:rsid w:val="00F12216"/>
    <w:rsid w:val="00F13235"/>
    <w:rsid w:val="00F13342"/>
    <w:rsid w:val="00F14242"/>
    <w:rsid w:val="00F1494E"/>
    <w:rsid w:val="00F16012"/>
    <w:rsid w:val="00F16D45"/>
    <w:rsid w:val="00F236F9"/>
    <w:rsid w:val="00F23798"/>
    <w:rsid w:val="00F23C9F"/>
    <w:rsid w:val="00F24267"/>
    <w:rsid w:val="00F24386"/>
    <w:rsid w:val="00F2439E"/>
    <w:rsid w:val="00F251BB"/>
    <w:rsid w:val="00F25E5B"/>
    <w:rsid w:val="00F260AC"/>
    <w:rsid w:val="00F269D2"/>
    <w:rsid w:val="00F26DFB"/>
    <w:rsid w:val="00F27043"/>
    <w:rsid w:val="00F2743C"/>
    <w:rsid w:val="00F31390"/>
    <w:rsid w:val="00F32A03"/>
    <w:rsid w:val="00F32E6E"/>
    <w:rsid w:val="00F33892"/>
    <w:rsid w:val="00F3394E"/>
    <w:rsid w:val="00F366BC"/>
    <w:rsid w:val="00F36CC9"/>
    <w:rsid w:val="00F4134A"/>
    <w:rsid w:val="00F413C5"/>
    <w:rsid w:val="00F41AB0"/>
    <w:rsid w:val="00F41E8C"/>
    <w:rsid w:val="00F4263A"/>
    <w:rsid w:val="00F4740F"/>
    <w:rsid w:val="00F47E96"/>
    <w:rsid w:val="00F50A3A"/>
    <w:rsid w:val="00F517A6"/>
    <w:rsid w:val="00F5183C"/>
    <w:rsid w:val="00F51F2D"/>
    <w:rsid w:val="00F53214"/>
    <w:rsid w:val="00F53649"/>
    <w:rsid w:val="00F54651"/>
    <w:rsid w:val="00F55E2F"/>
    <w:rsid w:val="00F56DE0"/>
    <w:rsid w:val="00F6112C"/>
    <w:rsid w:val="00F61F85"/>
    <w:rsid w:val="00F62976"/>
    <w:rsid w:val="00F62A1E"/>
    <w:rsid w:val="00F6348E"/>
    <w:rsid w:val="00F64088"/>
    <w:rsid w:val="00F64DB9"/>
    <w:rsid w:val="00F65513"/>
    <w:rsid w:val="00F65D1D"/>
    <w:rsid w:val="00F6622F"/>
    <w:rsid w:val="00F712F2"/>
    <w:rsid w:val="00F72B79"/>
    <w:rsid w:val="00F72F0F"/>
    <w:rsid w:val="00F7556C"/>
    <w:rsid w:val="00F760A6"/>
    <w:rsid w:val="00F76809"/>
    <w:rsid w:val="00F8276C"/>
    <w:rsid w:val="00F82C4A"/>
    <w:rsid w:val="00F85399"/>
    <w:rsid w:val="00F868D2"/>
    <w:rsid w:val="00F90B45"/>
    <w:rsid w:val="00F91FCA"/>
    <w:rsid w:val="00F929E9"/>
    <w:rsid w:val="00F92B94"/>
    <w:rsid w:val="00F93183"/>
    <w:rsid w:val="00F976AD"/>
    <w:rsid w:val="00FA035F"/>
    <w:rsid w:val="00FA0558"/>
    <w:rsid w:val="00FA4EFA"/>
    <w:rsid w:val="00FA4FE1"/>
    <w:rsid w:val="00FA5139"/>
    <w:rsid w:val="00FA5501"/>
    <w:rsid w:val="00FA686C"/>
    <w:rsid w:val="00FA6932"/>
    <w:rsid w:val="00FA7212"/>
    <w:rsid w:val="00FB0D31"/>
    <w:rsid w:val="00FB35DA"/>
    <w:rsid w:val="00FB3972"/>
    <w:rsid w:val="00FB40B6"/>
    <w:rsid w:val="00FB5FD5"/>
    <w:rsid w:val="00FB67CE"/>
    <w:rsid w:val="00FB70DE"/>
    <w:rsid w:val="00FB792F"/>
    <w:rsid w:val="00FB79EB"/>
    <w:rsid w:val="00FC151F"/>
    <w:rsid w:val="00FC2148"/>
    <w:rsid w:val="00FC2BD1"/>
    <w:rsid w:val="00FC2E5F"/>
    <w:rsid w:val="00FD1153"/>
    <w:rsid w:val="00FD17C2"/>
    <w:rsid w:val="00FD1BFB"/>
    <w:rsid w:val="00FD634F"/>
    <w:rsid w:val="00FD7B4D"/>
    <w:rsid w:val="00FE060E"/>
    <w:rsid w:val="00FE0922"/>
    <w:rsid w:val="00FE0A7C"/>
    <w:rsid w:val="00FE22BD"/>
    <w:rsid w:val="00FE2611"/>
    <w:rsid w:val="00FE3475"/>
    <w:rsid w:val="00FE6A82"/>
    <w:rsid w:val="00FF2067"/>
    <w:rsid w:val="00FF2BCB"/>
    <w:rsid w:val="00FF3FFA"/>
    <w:rsid w:val="00FF44FD"/>
    <w:rsid w:val="00FF4C78"/>
    <w:rsid w:val="00FF4EC5"/>
    <w:rsid w:val="00FF55D9"/>
    <w:rsid w:val="00FF58B8"/>
    <w:rsid w:val="00FF5E7E"/>
    <w:rsid w:val="4ACD4A91"/>
    <w:rsid w:val="667557DB"/>
  </w:rsids>
  <w:docVars>
    <w:docVar w:name="__Grammarly_42___1" w:val="H4sIAAAAAAAEAKtWcslP9kxRslIyNDayMDYwNjUxNzExNTcysjRS0lEKTi0uzszPAykwrgUAOpNN+i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2212D29"/>
  <w15:docId w15:val="{0AFBABF4-FA9E-4D60-9A94-E716FF44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7F5"/>
    <w:pPr>
      <w:spacing w:after="180"/>
    </w:pPr>
    <w:rPr>
      <w:sz w:val="22"/>
    </w:rPr>
  </w:style>
  <w:style w:type="paragraph" w:styleId="Heading1">
    <w:name w:val="heading 1"/>
    <w:basedOn w:val="Normal"/>
    <w:next w:val="BodyText"/>
    <w:link w:val="Heading1Char"/>
    <w:uiPriority w:val="9"/>
    <w:qFormat/>
    <w:rsid w:val="00E77DAE"/>
    <w:pPr>
      <w:pageBreakBefore/>
      <w:numPr>
        <w:numId w:val="6"/>
      </w:numPr>
      <w:pBdr>
        <w:bottom w:val="single" w:sz="4" w:space="1" w:color="auto"/>
      </w:pBdr>
      <w:outlineLvl w:val="0"/>
    </w:pPr>
    <w:rPr>
      <w:rFonts w:ascii="Arial" w:hAnsi="Arial" w:eastAsiaTheme="minorHAnsi" w:cs="Arial"/>
      <w:b/>
      <w:noProof/>
      <w:color w:val="00567B"/>
      <w:spacing w:val="20"/>
      <w:sz w:val="28"/>
      <w:szCs w:val="22"/>
    </w:rPr>
  </w:style>
  <w:style w:type="paragraph" w:styleId="Heading2">
    <w:name w:val="heading 2"/>
    <w:basedOn w:val="Normal"/>
    <w:next w:val="BodyText"/>
    <w:link w:val="Heading2Char"/>
    <w:uiPriority w:val="9"/>
    <w:qFormat/>
    <w:rsid w:val="00275036"/>
    <w:pPr>
      <w:keepNext/>
      <w:numPr>
        <w:ilvl w:val="1"/>
        <w:numId w:val="6"/>
      </w:numPr>
      <w:spacing w:after="120"/>
      <w:outlineLvl w:val="1"/>
    </w:pPr>
    <w:rPr>
      <w:rFonts w:ascii="Arial" w:hAnsi="Arial" w:cs="Arial"/>
      <w:b/>
      <w:bCs/>
      <w:i/>
      <w:iCs/>
      <w:color w:val="7F7F7F" w:themeColor="text1" w:themeTint="80"/>
      <w:sz w:val="24"/>
      <w:szCs w:val="28"/>
    </w:rPr>
  </w:style>
  <w:style w:type="paragraph" w:styleId="Heading3">
    <w:name w:val="heading 3"/>
    <w:basedOn w:val="Normal"/>
    <w:next w:val="BodyText"/>
    <w:qFormat/>
    <w:rsid w:val="00352127"/>
    <w:pPr>
      <w:keepNext/>
      <w:spacing w:after="120"/>
      <w:ind w:left="720" w:hanging="720"/>
      <w:outlineLvl w:val="2"/>
    </w:pPr>
    <w:rPr>
      <w:rFonts w:ascii="Arial Narrow" w:hAnsi="Arial Narrow" w:eastAsiaTheme="minorHAnsi"/>
      <w:b/>
      <w:szCs w:val="22"/>
    </w:rPr>
  </w:style>
  <w:style w:type="paragraph" w:styleId="Heading4">
    <w:name w:val="heading 4"/>
    <w:basedOn w:val="Normal"/>
    <w:next w:val="BodyText"/>
    <w:link w:val="Heading4Char"/>
    <w:qFormat/>
    <w:rsid w:val="00352127"/>
    <w:pPr>
      <w:keepNext/>
      <w:numPr>
        <w:ilvl w:val="3"/>
        <w:numId w:val="6"/>
      </w:numPr>
      <w:spacing w:after="0"/>
      <w:outlineLvl w:val="3"/>
    </w:pPr>
    <w:rPr>
      <w:b/>
      <w:i/>
      <w:color w:val="BB2127"/>
    </w:rPr>
  </w:style>
  <w:style w:type="paragraph" w:styleId="Heading5">
    <w:name w:val="heading 5"/>
    <w:basedOn w:val="Normal"/>
    <w:next w:val="BodyText"/>
    <w:qFormat/>
    <w:rsid w:val="00BE5A43"/>
    <w:pPr>
      <w:keepNext/>
      <w:keepLines/>
      <w:numPr>
        <w:ilvl w:val="4"/>
        <w:numId w:val="6"/>
      </w:numPr>
      <w:spacing w:after="0"/>
      <w:outlineLvl w:val="4"/>
    </w:pPr>
    <w:rPr>
      <w:rFonts w:ascii="Arial" w:hAnsi="Arial" w:cs="Arial"/>
      <w:b/>
      <w:color w:val="000000" w:themeColor="text1"/>
      <w:sz w:val="18"/>
    </w:rPr>
  </w:style>
  <w:style w:type="paragraph" w:styleId="Heading6">
    <w:name w:val="heading 6"/>
    <w:basedOn w:val="Normal"/>
    <w:next w:val="Normal"/>
    <w:rsid w:val="00495B91"/>
    <w:pPr>
      <w:numPr>
        <w:ilvl w:val="5"/>
        <w:numId w:val="6"/>
      </w:numPr>
      <w:spacing w:before="60" w:after="60"/>
      <w:outlineLvl w:val="5"/>
    </w:pPr>
    <w:rPr>
      <w:b/>
      <w:bCs/>
      <w:szCs w:val="22"/>
    </w:rPr>
  </w:style>
  <w:style w:type="paragraph" w:styleId="Heading7">
    <w:name w:val="heading 7"/>
    <w:basedOn w:val="Normal"/>
    <w:next w:val="Normal"/>
    <w:qFormat/>
    <w:rsid w:val="003A3403"/>
    <w:pPr>
      <w:numPr>
        <w:ilvl w:val="6"/>
        <w:numId w:val="6"/>
      </w:numPr>
      <w:spacing w:before="240" w:after="60"/>
      <w:outlineLvl w:val="6"/>
    </w:pPr>
    <w:rPr>
      <w:sz w:val="24"/>
      <w:szCs w:val="24"/>
    </w:rPr>
  </w:style>
  <w:style w:type="paragraph" w:styleId="Heading8">
    <w:name w:val="heading 8"/>
    <w:basedOn w:val="Normal"/>
    <w:next w:val="Normal"/>
    <w:qFormat/>
    <w:rsid w:val="003A3403"/>
    <w:pPr>
      <w:numPr>
        <w:ilvl w:val="7"/>
        <w:numId w:val="6"/>
      </w:numPr>
      <w:spacing w:before="240" w:after="60"/>
      <w:outlineLvl w:val="7"/>
    </w:pPr>
    <w:rPr>
      <w:i/>
      <w:iCs/>
      <w:sz w:val="24"/>
      <w:szCs w:val="24"/>
    </w:rPr>
  </w:style>
  <w:style w:type="paragraph" w:styleId="Heading9">
    <w:name w:val="heading 9"/>
    <w:basedOn w:val="Normal"/>
    <w:next w:val="Normal"/>
    <w:qFormat/>
    <w:rsid w:val="003A3403"/>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34B"/>
    <w:pPr>
      <w:tabs>
        <w:tab w:val="center" w:pos="4680"/>
        <w:tab w:val="right" w:pos="9360"/>
      </w:tabs>
      <w:spacing w:after="0"/>
    </w:pPr>
    <w:rPr>
      <w:rFonts w:ascii="Arial" w:hAnsi="Arial" w:cs="Arial"/>
      <w:b/>
      <w:color w:val="00567B"/>
      <w:sz w:val="18"/>
    </w:rPr>
  </w:style>
  <w:style w:type="character" w:customStyle="1" w:styleId="FooterChar">
    <w:name w:val="Footer Char"/>
    <w:basedOn w:val="DefaultParagraphFont"/>
    <w:link w:val="Footer"/>
    <w:uiPriority w:val="99"/>
    <w:rsid w:val="0041334B"/>
    <w:rPr>
      <w:rFonts w:ascii="Arial" w:hAnsi="Arial" w:cs="Arial"/>
      <w:b/>
      <w:color w:val="00567B"/>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qFormat/>
    <w:rsid w:val="00021EBD"/>
    <w:rPr>
      <w:sz w:val="24"/>
      <w:szCs w:val="24"/>
      <w:lang w:val="en"/>
    </w:rPr>
  </w:style>
  <w:style w:type="character" w:customStyle="1" w:styleId="BodyTextChar">
    <w:name w:val="Body Text Char"/>
    <w:basedOn w:val="DefaultParagraphFont"/>
    <w:link w:val="BodyText"/>
    <w:rsid w:val="00021EBD"/>
    <w:rPr>
      <w:sz w:val="24"/>
      <w:szCs w:val="24"/>
      <w:lang w:val="en"/>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rsid w:val="00BD062F"/>
    <w:pPr>
      <w:numPr>
        <w:numId w:val="7"/>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E77DAE"/>
    <w:pPr>
      <w:tabs>
        <w:tab w:val="center" w:pos="4680"/>
        <w:tab w:val="right" w:pos="9360"/>
      </w:tabs>
      <w:spacing w:after="240"/>
      <w:jc w:val="right"/>
    </w:pPr>
    <w:rPr>
      <w:rFonts w:ascii="Arial Narrow" w:hAnsi="Arial Narrow"/>
      <w:b/>
      <w:caps/>
      <w:noProof/>
      <w:color w:val="00567B"/>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41334B"/>
    <w:rPr>
      <w:rFonts w:ascii="Arial" w:hAnsi="Arial" w:cs="Arial"/>
      <w:b/>
      <w:color w:val="00567B"/>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rsid w:val="001677EE"/>
    <w:pPr>
      <w:tabs>
        <w:tab w:val="clear" w:pos="4680"/>
        <w:tab w:val="center" w:pos="6480"/>
        <w:tab w:val="clear" w:pos="936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323082"/>
    <w:pPr>
      <w:numPr>
        <w:numId w:val="9"/>
      </w:numPr>
      <w:spacing w:after="120"/>
      <w:contextualSpacing/>
    </w:pPr>
    <w:rPr>
      <w:sz w:val="24"/>
      <w:szCs w:val="24"/>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732AC"/>
    <w:pPr>
      <w:spacing w:before="20" w:after="20"/>
    </w:pPr>
    <w:rPr>
      <w:rFonts w:ascii="Arial Narrow" w:hAnsi="Arial Narrow"/>
      <w:sz w:val="20"/>
    </w:rPr>
  </w:style>
  <w:style w:type="paragraph" w:customStyle="1" w:styleId="TableSource">
    <w:name w:val="Table Source"/>
    <w:basedOn w:val="Normal"/>
    <w:next w:val="BodyText"/>
    <w:qFormat/>
    <w:rsid w:val="001677EE"/>
    <w:pPr>
      <w:spacing w:before="60" w:after="360"/>
      <w:contextualSpacing/>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Cambria" w:hAnsi="Cambria"/>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sz w:val="20"/>
      </w:rPr>
    </w:tblStylePr>
    <w:tblStylePr w:type="lastCol">
      <w:rPr>
        <w:rFonts w:ascii="Cambria" w:hAnsi="Cambria"/>
        <w:sz w:val="20"/>
      </w:rPr>
    </w:tblStylePr>
    <w:tblStylePr w:type="band1Horz">
      <w:rPr>
        <w:rFonts w:ascii="Cambria" w:hAnsi="Cambria"/>
        <w:sz w:val="20"/>
      </w:rPr>
    </w:tblStylePr>
    <w:tblStylePr w:type="band2Horz">
      <w:rPr>
        <w:rFonts w:ascii="Cambria" w:hAnsi="Cambria"/>
        <w:sz w:val="20"/>
      </w:rPr>
    </w:tblStylePr>
  </w:style>
  <w:style w:type="paragraph" w:customStyle="1" w:styleId="Default">
    <w:name w:val="Default"/>
    <w:rsid w:val="006C1434"/>
    <w:pPr>
      <w:autoSpaceDE w:val="0"/>
      <w:autoSpaceDN w:val="0"/>
      <w:adjustRightInd w:val="0"/>
    </w:pPr>
    <w:rPr>
      <w:rFonts w:ascii="Gotham Bold" w:hAnsi="Gotham Bold" w:cs="Gotham Bold"/>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352127"/>
    <w:rPr>
      <w:b/>
      <w:i/>
      <w:color w:val="BB2127"/>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E77DAE"/>
    <w:pPr>
      <w:spacing w:after="120"/>
      <w:jc w:val="center"/>
    </w:pPr>
    <w:rPr>
      <w:rFonts w:ascii="Arial Narrow" w:hAnsi="Arial Narrow" w:eastAsiaTheme="minorHAnsi" w:cs="Arial"/>
      <w:b/>
      <w:color w:val="00567B"/>
      <w:szCs w:val="22"/>
    </w:rPr>
  </w:style>
  <w:style w:type="paragraph" w:customStyle="1" w:styleId="Call-OutBoxText">
    <w:name w:val="Call-Out Box Text"/>
    <w:basedOn w:val="Normal"/>
    <w:qFormat/>
    <w:rsid w:val="00021EBD"/>
    <w:pPr>
      <w:spacing w:before="120"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ind w:left="0" w:firstLine="0"/>
    </w:pPr>
    <w:rPr>
      <w:i/>
    </w:rPr>
  </w:style>
  <w:style w:type="paragraph" w:customStyle="1" w:styleId="TableBullets">
    <w:name w:val="Table Bullets"/>
    <w:basedOn w:val="ListParagraph"/>
    <w:qFormat/>
    <w:rsid w:val="00E55BF9"/>
    <w:pPr>
      <w:numPr>
        <w:numId w:val="3"/>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qFormat/>
    <w:rsid w:val="00AA4C10"/>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5"/>
      </w:numPr>
      <w:ind w:left="216" w:hanging="216"/>
      <w:contextualSpacing/>
    </w:pPr>
  </w:style>
  <w:style w:type="paragraph" w:customStyle="1" w:styleId="PPBullet">
    <w:name w:val="PP Bullet"/>
    <w:qFormat/>
    <w:rsid w:val="0021417B"/>
    <w:pPr>
      <w:widowControl w:val="0"/>
      <w:numPr>
        <w:numId w:val="4"/>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E77DAE"/>
    <w:rPr>
      <w:rFonts w:ascii="Arial Narrow" w:hAnsi="Arial Narrow"/>
      <w:b/>
      <w:caps/>
      <w:noProof/>
      <w:color w:val="00567B"/>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uiPriority w:val="9"/>
    <w:rsid w:val="00E77DAE"/>
    <w:rPr>
      <w:rFonts w:ascii="Arial" w:hAnsi="Arial" w:eastAsiaTheme="minorHAnsi" w:cs="Arial"/>
      <w:b/>
      <w:noProof/>
      <w:color w:val="00567B"/>
      <w:spacing w:val="20"/>
      <w:sz w:val="28"/>
      <w:szCs w:val="22"/>
    </w:rPr>
  </w:style>
  <w:style w:type="character" w:customStyle="1" w:styleId="Heading2Char">
    <w:name w:val="Heading 2 Char"/>
    <w:basedOn w:val="DefaultParagraphFont"/>
    <w:link w:val="Heading2"/>
    <w:uiPriority w:val="9"/>
    <w:rsid w:val="00275036"/>
    <w:rPr>
      <w:rFonts w:ascii="Arial" w:hAnsi="Arial" w:cs="Arial"/>
      <w:b/>
      <w:bCs/>
      <w:i/>
      <w:iCs/>
      <w:color w:val="7F7F7F" w:themeColor="text1" w:themeTint="80"/>
      <w:sz w:val="24"/>
      <w:szCs w:val="28"/>
    </w:rPr>
  </w:style>
  <w:style w:type="paragraph" w:customStyle="1" w:styleId="Heading2NoNumbering">
    <w:name w:val="Heading 2 No Numbering"/>
    <w:next w:val="BodyText"/>
    <w:qFormat/>
    <w:rsid w:val="00585CBE"/>
    <w:pPr>
      <w:spacing w:after="120"/>
    </w:pPr>
    <w:rPr>
      <w:rFonts w:ascii="Arial" w:hAnsi="Arial" w:eastAsiaTheme="minorHAnsi" w:cs="Arial"/>
      <w:b/>
      <w:i/>
      <w:color w:val="7F7F7F" w:themeColor="text1" w:themeTint="80"/>
      <w:sz w:val="24"/>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SS"/>
    <w:link w:val="TitleChar"/>
    <w:uiPriority w:val="10"/>
    <w:qFormat/>
    <w:rsid w:val="00A212FA"/>
    <w:pPr>
      <w:ind w:firstLine="0"/>
      <w:jc w:val="left"/>
    </w:pPr>
    <w:rPr>
      <w:rFonts w:asciiTheme="minorBidi" w:hAnsiTheme="minorBidi" w:cstheme="minorBidi"/>
      <w:b/>
      <w:bCs/>
      <w:color w:val="FFFFFF" w:themeColor="background1"/>
      <w:sz w:val="56"/>
      <w:szCs w:val="56"/>
    </w:rPr>
  </w:style>
  <w:style w:type="character" w:customStyle="1" w:styleId="TitleChar">
    <w:name w:val="Title Char"/>
    <w:basedOn w:val="DefaultParagraphFont"/>
    <w:link w:val="Title"/>
    <w:uiPriority w:val="10"/>
    <w:rsid w:val="00A212FA"/>
    <w:rPr>
      <w:rFonts w:asciiTheme="minorBidi" w:hAnsiTheme="minorBidi" w:cstheme="minorBidi"/>
      <w:b/>
      <w:bCs/>
      <w:color w:val="FFFFFF" w:themeColor="background1"/>
      <w:sz w:val="56"/>
      <w:szCs w:val="56"/>
    </w:rPr>
  </w:style>
  <w:style w:type="paragraph" w:customStyle="1" w:styleId="BulletsLast">
    <w:name w:val="BulletsLast"/>
    <w:basedOn w:val="Bullets"/>
    <w:qFormat/>
    <w:rsid w:val="00961AAE"/>
    <w:pPr>
      <w:spacing w:after="240"/>
    </w:pPr>
  </w:style>
  <w:style w:type="paragraph" w:customStyle="1" w:styleId="CoverDate">
    <w:name w:val="Cover Date"/>
    <w:basedOn w:val="TableSourceCaption"/>
    <w:qFormat/>
    <w:rsid w:val="00A212FA"/>
    <w:rPr>
      <w:rFonts w:ascii="Arial Narrow" w:hAnsi="Arial Narrow"/>
      <w:b/>
      <w:bCs/>
      <w:color w:val="FFFFFF" w:themeColor="background1"/>
      <w:sz w:val="44"/>
      <w:szCs w:val="44"/>
    </w:rPr>
  </w:style>
  <w:style w:type="paragraph" w:customStyle="1" w:styleId="CoverSubmitted">
    <w:name w:val="Cover Submitted"/>
    <w:basedOn w:val="Normal"/>
    <w:qFormat/>
    <w:rsid w:val="00A212FA"/>
    <w:rPr>
      <w:rFonts w:ascii="Arial Narrow" w:hAnsi="Arial Narrow"/>
      <w:color w:val="FFFFFF" w:themeColor="background1"/>
      <w:sz w:val="32"/>
      <w:szCs w:val="32"/>
    </w:rPr>
  </w:style>
  <w:style w:type="table" w:customStyle="1" w:styleId="TableGrid3">
    <w:name w:val="Table Grid3"/>
    <w:basedOn w:val="TableNormal"/>
    <w:next w:val="TableGrid"/>
    <w:uiPriority w:val="59"/>
    <w:rsid w:val="0092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4280B"/>
    <w:rPr>
      <w:color w:val="800080" w:themeColor="followedHyperlink"/>
      <w:u w:val="single"/>
    </w:rPr>
  </w:style>
  <w:style w:type="character" w:customStyle="1" w:styleId="CommentTextChar">
    <w:name w:val="Comment Text Char"/>
    <w:basedOn w:val="DefaultParagraphFont"/>
    <w:link w:val="CommentText"/>
    <w:uiPriority w:val="99"/>
    <w:rsid w:val="00C945C8"/>
  </w:style>
  <w:style w:type="paragraph" w:styleId="Revision">
    <w:name w:val="Revision"/>
    <w:hidden/>
    <w:uiPriority w:val="99"/>
    <w:semiHidden/>
    <w:rsid w:val="00B111C6"/>
    <w:rPr>
      <w:sz w:val="22"/>
    </w:rPr>
  </w:style>
  <w:style w:type="paragraph" w:customStyle="1" w:styleId="NormalSS">
    <w:name w:val="NormalSS"/>
    <w:basedOn w:val="Normal"/>
    <w:qFormat/>
    <w:rsid w:val="0056102A"/>
    <w:pPr>
      <w:tabs>
        <w:tab w:val="left" w:pos="432"/>
      </w:tabs>
      <w:spacing w:after="0"/>
      <w:ind w:firstLine="432"/>
      <w:jc w:val="both"/>
    </w:pPr>
    <w:rPr>
      <w:sz w:val="24"/>
      <w:szCs w:val="24"/>
    </w:rPr>
  </w:style>
  <w:style w:type="paragraph" w:customStyle="1" w:styleId="TableHeaderCenter">
    <w:name w:val="Table Header Center"/>
    <w:basedOn w:val="NormalSS"/>
    <w:qFormat/>
    <w:rsid w:val="0056102A"/>
    <w:pPr>
      <w:spacing w:before="120" w:after="60"/>
      <w:ind w:firstLine="0"/>
      <w:jc w:val="center"/>
    </w:pPr>
  </w:style>
  <w:style w:type="paragraph" w:customStyle="1" w:styleId="TableHeaderLeft">
    <w:name w:val="Table Header Left"/>
    <w:basedOn w:val="NormalSS"/>
    <w:qFormat/>
    <w:rsid w:val="0056102A"/>
    <w:pPr>
      <w:spacing w:before="120" w:after="60"/>
      <w:ind w:firstLine="0"/>
      <w:jc w:val="left"/>
    </w:pPr>
  </w:style>
  <w:style w:type="paragraph" w:customStyle="1" w:styleId="TableSourceCaption">
    <w:name w:val="Table Source_Caption"/>
    <w:basedOn w:val="NormalSS"/>
    <w:qFormat/>
    <w:rsid w:val="0056102A"/>
    <w:pPr>
      <w:tabs>
        <w:tab w:val="clear" w:pos="432"/>
      </w:tabs>
      <w:ind w:left="1080" w:hanging="1080"/>
    </w:pPr>
  </w:style>
  <w:style w:type="table" w:customStyle="1" w:styleId="LightShading-Accent12">
    <w:name w:val="Light Shading - Accent 12"/>
    <w:basedOn w:val="TableNormal"/>
    <w:uiPriority w:val="60"/>
    <w:rsid w:val="0056102A"/>
    <w:rPr>
      <w:rFonts w:ascii="Garamond" w:hAnsi="Garamond"/>
      <w:color w:val="308198" w:themeColor="accent1" w:themeShade="BF"/>
      <w:sz w:val="24"/>
      <w:szCs w:val="24"/>
    </w:rPr>
    <w:tblPr>
      <w:tblStyleRowBandSize w:val="1"/>
      <w:tblStyleColBandSize w:val="1"/>
      <w:tblBorders>
        <w:top w:val="single" w:sz="8" w:space="0" w:color="48A9C5" w:themeColor="accent1"/>
        <w:bottom w:val="single" w:sz="8" w:space="0" w:color="48A9C5" w:themeColor="accent1"/>
      </w:tblBorders>
    </w:tblPr>
    <w:tblStylePr w:type="firstRow">
      <w:pPr>
        <w:spacing w:before="0" w:after="0" w:line="240" w:lineRule="auto"/>
      </w:pPr>
      <w:rPr>
        <w:b/>
        <w:bCs/>
      </w:rPr>
      <w:tblPr/>
      <w:tcPr>
        <w:tcBorders>
          <w:top w:val="single" w:sz="8" w:space="0" w:color="48A9C5" w:themeColor="accent1"/>
          <w:left w:val="nil"/>
          <w:bottom w:val="single" w:sz="8" w:space="0" w:color="48A9C5" w:themeColor="accent1"/>
          <w:right w:val="nil"/>
          <w:insideH w:val="nil"/>
          <w:insideV w:val="nil"/>
        </w:tcBorders>
      </w:tcPr>
    </w:tblStylePr>
    <w:tblStylePr w:type="lastRow">
      <w:pPr>
        <w:spacing w:before="0" w:after="0" w:line="240" w:lineRule="auto"/>
      </w:pPr>
      <w:rPr>
        <w:b/>
        <w:bCs/>
      </w:rPr>
      <w:tblPr/>
      <w:tcPr>
        <w:tcBorders>
          <w:top w:val="single" w:sz="8" w:space="0" w:color="48A9C5" w:themeColor="accent1"/>
          <w:left w:val="nil"/>
          <w:bottom w:val="single" w:sz="8" w:space="0" w:color="48A9C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9F0" w:themeFill="accent1" w:themeFillTint="3F"/>
      </w:tcPr>
    </w:tblStylePr>
    <w:tblStylePr w:type="band1Horz">
      <w:tblPr/>
      <w:tcPr>
        <w:tcBorders>
          <w:left w:val="nil"/>
          <w:right w:val="nil"/>
          <w:insideH w:val="nil"/>
          <w:insideV w:val="nil"/>
        </w:tcBorders>
        <w:shd w:val="clear" w:color="auto" w:fill="D1E9F0" w:themeFill="accent1" w:themeFillTint="3F"/>
      </w:tcPr>
    </w:tblStylePr>
  </w:style>
  <w:style w:type="paragraph" w:customStyle="1" w:styleId="MarkforTableTitle">
    <w:name w:val="Mark for Table Title"/>
    <w:basedOn w:val="Normal"/>
    <w:next w:val="NormalSS"/>
    <w:qFormat/>
    <w:rsid w:val="0056102A"/>
    <w:pPr>
      <w:keepNext/>
      <w:spacing w:after="60"/>
    </w:pPr>
    <w:rPr>
      <w:rFonts w:ascii="Arial" w:hAnsi="Arial" w:cs="Arial"/>
      <w:b/>
      <w:sz w:val="18"/>
    </w:rPr>
  </w:style>
  <w:style w:type="paragraph" w:styleId="NoSpacing">
    <w:name w:val="No Spacing"/>
    <w:link w:val="NoSpacingChar"/>
    <w:uiPriority w:val="1"/>
    <w:qFormat/>
    <w:rsid w:val="00BC535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5357"/>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3E72AE"/>
    <w:rPr>
      <w:color w:val="605E5C"/>
      <w:shd w:val="clear" w:color="auto" w:fill="E1DFDD"/>
    </w:rPr>
  </w:style>
  <w:style w:type="paragraph" w:customStyle="1" w:styleId="NumberedBullet">
    <w:name w:val="Numbered Bullet"/>
    <w:basedOn w:val="Normal"/>
    <w:link w:val="NumberedBulletChar"/>
    <w:qFormat/>
    <w:rsid w:val="001F3D09"/>
    <w:pPr>
      <w:numPr>
        <w:numId w:val="8"/>
      </w:numPr>
      <w:tabs>
        <w:tab w:val="left" w:pos="432"/>
      </w:tabs>
      <w:spacing w:after="120"/>
    </w:pPr>
    <w:rPr>
      <w:rFonts w:ascii="Arial" w:hAnsi="Arial" w:eastAsiaTheme="minorEastAsia" w:cs="Arial"/>
      <w:szCs w:val="22"/>
    </w:rPr>
  </w:style>
  <w:style w:type="character" w:customStyle="1" w:styleId="NumberedBulletChar">
    <w:name w:val="Numbered Bullet Char"/>
    <w:basedOn w:val="DefaultParagraphFont"/>
    <w:link w:val="NumberedBullet"/>
    <w:rsid w:val="001F3D09"/>
    <w:rPr>
      <w:rFonts w:ascii="Arial" w:hAnsi="Arial" w:eastAsiaTheme="minorEastAsia" w:cs="Arial"/>
      <w:sz w:val="22"/>
      <w:szCs w:val="22"/>
    </w:rPr>
  </w:style>
  <w:style w:type="table" w:customStyle="1" w:styleId="TableGrid2">
    <w:name w:val="Table Grid2"/>
    <w:basedOn w:val="TableNormal"/>
    <w:next w:val="TableGrid"/>
    <w:uiPriority w:val="59"/>
    <w:locked/>
    <w:rsid w:val="00D62E1C"/>
    <w:pPr>
      <w:ind w:left="936" w:hanging="360"/>
    </w:pPr>
    <w:rPr>
      <w:rFonts w:ascii="Arial" w:hAnsi="Arial" w:eastAsiaTheme="minorEastAsia"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MB">
    <w:name w:val="Header OMB"/>
    <w:basedOn w:val="Normal"/>
    <w:qFormat/>
    <w:rsid w:val="00E9603F"/>
    <w:pPr>
      <w:tabs>
        <w:tab w:val="center" w:pos="4680"/>
        <w:tab w:val="right" w:pos="9360"/>
      </w:tabs>
      <w:spacing w:after="120"/>
      <w:contextualSpacing/>
      <w:jc w:val="right"/>
    </w:pPr>
    <w:rPr>
      <w:rFonts w:ascii="Calibri" w:eastAsia="Calibri" w:hAnsi="Calibri"/>
      <w:sz w:val="16"/>
      <w:szCs w:val="16"/>
    </w:rPr>
  </w:style>
  <w:style w:type="paragraph" w:customStyle="1" w:styleId="BodyTextaftertable">
    <w:name w:val="Body Text after table"/>
    <w:basedOn w:val="BodyText"/>
    <w:qFormat/>
    <w:rsid w:val="00021EBD"/>
    <w:pPr>
      <w:spacing w:before="240"/>
    </w:pPr>
  </w:style>
  <w:style w:type="paragraph" w:customStyle="1" w:styleId="Bullet2Last">
    <w:name w:val="Bullet2Last"/>
    <w:basedOn w:val="Bullet2"/>
    <w:qFormat/>
    <w:rsid w:val="0070646E"/>
    <w:pPr>
      <w:spacing w:after="240"/>
      <w:contextualSpacing w:val="0"/>
    </w:pPr>
  </w:style>
  <w:style w:type="paragraph" w:customStyle="1" w:styleId="BodyTextunderbullet">
    <w:name w:val="Body Text under bullet"/>
    <w:basedOn w:val="BodyText"/>
    <w:qFormat/>
    <w:rsid w:val="00A06CEE"/>
    <w:pPr>
      <w:ind w:left="720"/>
    </w:pPr>
  </w:style>
  <w:style w:type="paragraph" w:customStyle="1" w:styleId="TableText9pt">
    <w:name w:val="Table Text 9pt"/>
    <w:basedOn w:val="TableText"/>
    <w:qFormat/>
    <w:rsid w:val="005336F5"/>
    <w:rPr>
      <w:sz w:val="18"/>
      <w:szCs w:val="18"/>
    </w:rPr>
  </w:style>
  <w:style w:type="paragraph" w:customStyle="1" w:styleId="TableText9ptItalic">
    <w:name w:val="Table Text 9pt Italic"/>
    <w:basedOn w:val="TableText9pt"/>
    <w:qFormat/>
    <w:rsid w:val="005336F5"/>
    <w:rPr>
      <w:i/>
      <w:iCs/>
    </w:rPr>
  </w:style>
  <w:style w:type="paragraph" w:customStyle="1" w:styleId="TableColumnHeader9pt">
    <w:name w:val="Table Column Header 9pt"/>
    <w:basedOn w:val="TableColumnHeader"/>
    <w:qFormat/>
    <w:rsid w:val="005336F5"/>
    <w:rPr>
      <w:sz w:val="18"/>
      <w:szCs w:val="18"/>
    </w:rPr>
  </w:style>
  <w:style w:type="paragraph" w:customStyle="1" w:styleId="TableRowHeader9pt">
    <w:name w:val="Table Row Header 9pt"/>
    <w:basedOn w:val="TableRowHeader"/>
    <w:qFormat/>
    <w:rsid w:val="005336F5"/>
    <w:rPr>
      <w:sz w:val="18"/>
      <w:szCs w:val="18"/>
    </w:rPr>
  </w:style>
  <w:style w:type="paragraph" w:customStyle="1" w:styleId="TableText9ptBold">
    <w:name w:val="Table Text 9pt Bold"/>
    <w:basedOn w:val="TableText9pt"/>
    <w:qFormat/>
    <w:rsid w:val="005336F5"/>
    <w:rPr>
      <w:b/>
      <w:bCs/>
    </w:rPr>
  </w:style>
  <w:style w:type="paragraph" w:customStyle="1" w:styleId="TableSourceIndent">
    <w:name w:val="Table Source Indent"/>
    <w:basedOn w:val="TableSource"/>
    <w:qFormat/>
    <w:rsid w:val="001677EE"/>
    <w:pPr>
      <w:ind w:left="720"/>
    </w:pPr>
  </w:style>
  <w:style w:type="paragraph" w:customStyle="1" w:styleId="Title2">
    <w:name w:val="Title 2"/>
    <w:basedOn w:val="PPRowHeader"/>
    <w:qFormat/>
    <w:rsid w:val="00A212FA"/>
    <w:rPr>
      <w:rFonts w:asciiTheme="minorHAnsi" w:hAnsiTheme="minorHAnsi" w:cstheme="minorHAnsi"/>
      <w:color w:val="FFFFFF" w:themeColor="background1"/>
      <w:sz w:val="40"/>
      <w:szCs w:val="40"/>
    </w:rPr>
  </w:style>
  <w:style w:type="character" w:customStyle="1" w:styleId="UnresolvedMention2">
    <w:name w:val="Unresolved Mention2"/>
    <w:basedOn w:val="DefaultParagraphFont"/>
    <w:uiPriority w:val="99"/>
    <w:semiHidden/>
    <w:unhideWhenUsed/>
    <w:rsid w:val="007B0C99"/>
    <w:rPr>
      <w:color w:val="605E5C"/>
      <w:shd w:val="clear" w:color="auto" w:fill="E1DFDD"/>
    </w:rPr>
  </w:style>
  <w:style w:type="paragraph" w:styleId="ListBullet">
    <w:name w:val="List Bullet"/>
    <w:basedOn w:val="Normal"/>
    <w:unhideWhenUsed/>
    <w:rsid w:val="000E4FF3"/>
    <w:pPr>
      <w:numPr>
        <w:numId w:val="10"/>
      </w:numPr>
      <w:contextualSpacing/>
    </w:pPr>
  </w:style>
  <w:style w:type="character" w:customStyle="1" w:styleId="cf01">
    <w:name w:val="cf01"/>
    <w:basedOn w:val="DefaultParagraphFont"/>
    <w:rsid w:val="001D2239"/>
    <w:rPr>
      <w:rFonts w:ascii="Segoe UI" w:hAnsi="Segoe UI" w:cs="Segoe UI" w:hint="default"/>
      <w:color w:val="595959"/>
      <w:sz w:val="18"/>
      <w:szCs w:val="18"/>
    </w:rPr>
  </w:style>
  <w:style w:type="character" w:customStyle="1" w:styleId="cf11">
    <w:name w:val="cf11"/>
    <w:basedOn w:val="DefaultParagraphFont"/>
    <w:rsid w:val="001D2239"/>
    <w:rPr>
      <w:rFonts w:ascii="Segoe UI" w:hAnsi="Segoe UI" w:cs="Segoe UI" w:hint="default"/>
      <w:i/>
      <w:iCs/>
      <w:color w:val="595959"/>
      <w:sz w:val="18"/>
      <w:szCs w:val="18"/>
    </w:rPr>
  </w:style>
  <w:style w:type="character" w:styleId="Emphasis">
    <w:name w:val="Emphasis"/>
    <w:basedOn w:val="DefaultParagraphFont"/>
    <w:qFormat/>
    <w:rsid w:val="00265A41"/>
    <w:rPr>
      <w:i/>
      <w:iCs/>
    </w:rPr>
  </w:style>
  <w:style w:type="character" w:styleId="Mention">
    <w:name w:val="Mention"/>
    <w:basedOn w:val="DefaultParagraphFont"/>
    <w:uiPriority w:val="99"/>
    <w:unhideWhenUsed/>
    <w:rsid w:val="00424FAE"/>
    <w:rPr>
      <w:color w:val="2B579A"/>
      <w:shd w:val="clear" w:color="auto" w:fill="E1DFDD"/>
    </w:rPr>
  </w:style>
  <w:style w:type="table" w:customStyle="1" w:styleId="Style1">
    <w:name w:val="Style1"/>
    <w:basedOn w:val="TableNormal"/>
    <w:uiPriority w:val="99"/>
    <w:rsid w:val="00424FAE"/>
    <w:rPr>
      <w:rFonts w:ascii="Arial Narrow" w:hAnsi="Arial Narrow"/>
      <w:kern w:val="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Segoe Script" w:hAnsi="Segoe Script"/>
        <w:color w:val="FFFFFF"/>
        <w:sz w:val="20"/>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156082"/>
      </w:tcPr>
    </w:tblStylePr>
    <w:tblStylePr w:type="band1Vert">
      <w:rPr>
        <w:rFonts w:ascii="Segoe Script" w:hAnsi="Segoe Script"/>
      </w:rPr>
    </w:tblStylePr>
    <w:tblStylePr w:type="band1Horz">
      <w:pPr>
        <w:wordWrap/>
        <w:spacing w:before="0" w:beforeLines="0" w:beforeAutospacing="0" w:after="0" w:afterLines="0" w:afterAutospacing="0" w:line="240" w:lineRule="auto"/>
        <w:contextualSpacing w:val="0"/>
      </w:pPr>
      <w:rPr>
        <w:rFonts w:ascii="Segoe Script" w:hAnsi="Segoe Script"/>
        <w:sz w:val="20"/>
      </w:rPr>
    </w:tblStylePr>
    <w:tblStylePr w:type="band2Horz">
      <w:pPr>
        <w:wordWrap/>
        <w:spacing w:before="0" w:beforeLines="0" w:beforeAutospacing="0" w:after="0" w:afterLines="0" w:afterAutospacing="0" w:line="240" w:lineRule="auto"/>
        <w:contextualSpacing w:val="0"/>
      </w:pPr>
      <w:tblPr/>
      <w:tcPr>
        <w:shd w:val="clear" w:color="auto" w:fill="FAFAFA"/>
      </w:tcPr>
    </w:tblStylePr>
  </w:style>
  <w:style w:type="table" w:customStyle="1" w:styleId="Replicate">
    <w:name w:val="Replicate"/>
    <w:basedOn w:val="TableNormal"/>
    <w:uiPriority w:val="99"/>
    <w:rsid w:val="00424FAE"/>
    <w:rPr>
      <w:rFonts w:ascii="Arial Narrow" w:hAnsi="Arial Narrow"/>
      <w:sz w:val="18"/>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center"/>
      </w:pPr>
      <w:rPr>
        <w:rFonts w:ascii="Century Gothic" w:hAnsi="Century Gothic"/>
        <w:b/>
        <w:caps w:val="0"/>
        <w:smallCaps w:val="0"/>
        <w:strike w:val="0"/>
        <w:dstrike w:val="0"/>
        <w:vanish w:val="0"/>
        <w:sz w:val="18"/>
        <w:vertAlign w:val="baseline"/>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0F9ED5"/>
        <w:vAlign w:val="bottom"/>
      </w:tcPr>
    </w:tblStylePr>
    <w:tblStylePr w:type="lastRow">
      <w:pPr>
        <w:jc w:val="left"/>
      </w:pPr>
      <w:rPr>
        <w:rFonts w:ascii="Century Gothic" w:hAnsi="Century Gothic"/>
        <w:sz w:val="18"/>
      </w:rPr>
    </w:tblStylePr>
    <w:tblStylePr w:type="band1Horz">
      <w:rPr>
        <w:rFonts w:ascii="Century Gothic" w:hAnsi="Century Gothic"/>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AE2D5"/>
      </w:tcPr>
    </w:tblStylePr>
    <w:tblStylePr w:type="band2Horz">
      <w:rPr>
        <w:rFonts w:ascii="Century Gothic" w:hAnsi="Century Gothic"/>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tcPr>
    </w:tblStylePr>
  </w:style>
  <w:style w:type="paragraph" w:customStyle="1" w:styleId="ExhibitSource">
    <w:name w:val="Exhibit Source"/>
    <w:basedOn w:val="Normal"/>
    <w:qFormat/>
    <w:rsid w:val="00424FAE"/>
    <w:pPr>
      <w:spacing w:before="60" w:after="60"/>
    </w:pPr>
    <w:rPr>
      <w:rFonts w:ascii="Arial Narrow" w:hAnsi="Arial Narrow" w:cs="Arial"/>
      <w:sz w:val="18"/>
    </w:rPr>
  </w:style>
  <w:style w:type="paragraph" w:customStyle="1" w:styleId="ExhibitSourceLAST">
    <w:name w:val="Exhibit Source LAST"/>
    <w:basedOn w:val="ExhibitSource"/>
    <w:qFormat/>
    <w:rsid w:val="00424FAE"/>
    <w:pPr>
      <w:spacing w:before="40" w:after="240"/>
    </w:pPr>
  </w:style>
  <w:style w:type="table" w:customStyle="1" w:styleId="Replicate51">
    <w:name w:val="Replicate51"/>
    <w:basedOn w:val="TableNormal"/>
    <w:uiPriority w:val="99"/>
    <w:rsid w:val="00424FAE"/>
    <w:rPr>
      <w:rFonts w:ascii="Arial Narrow" w:hAnsi="Arial Narrow"/>
      <w:sz w:val="18"/>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center"/>
      </w:pPr>
      <w:rPr>
        <w:rFonts w:ascii="Century Gothic" w:hAnsi="Century Gothic"/>
        <w:b/>
        <w:caps w:val="0"/>
        <w:smallCaps w:val="0"/>
        <w:strike w:val="0"/>
        <w:dstrike w:val="0"/>
        <w:vanish w:val="0"/>
        <w:sz w:val="18"/>
        <w:vertAlign w:val="baseline"/>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8064A2"/>
        <w:vAlign w:val="bottom"/>
      </w:tcPr>
    </w:tblStylePr>
    <w:tblStylePr w:type="lastRow">
      <w:pPr>
        <w:jc w:val="left"/>
      </w:pPr>
      <w:rPr>
        <w:rFonts w:ascii="Century Gothic" w:hAnsi="Century Gothic"/>
        <w:sz w:val="18"/>
      </w:rPr>
    </w:tblStylePr>
    <w:tblStylePr w:type="band1Horz">
      <w:rPr>
        <w:rFonts w:ascii="Century Gothic" w:hAnsi="Century Gothic"/>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2DBDB"/>
      </w:tcPr>
    </w:tblStylePr>
    <w:tblStylePr w:type="band2Horz">
      <w:rPr>
        <w:rFonts w:ascii="Century Gothic" w:hAnsi="Century Gothic"/>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tcPr>
    </w:tblStylePr>
  </w:style>
  <w:style w:type="character" w:styleId="UnresolvedMention">
    <w:name w:val="Unresolved Mention"/>
    <w:basedOn w:val="DefaultParagraphFont"/>
    <w:uiPriority w:val="99"/>
    <w:semiHidden/>
    <w:unhideWhenUsed/>
    <w:rsid w:val="00BC3225"/>
    <w:rPr>
      <w:color w:val="605E5C"/>
      <w:shd w:val="clear" w:color="auto" w:fill="E1DFDD"/>
    </w:rPr>
  </w:style>
  <w:style w:type="character" w:styleId="PlaceholderText">
    <w:name w:val="Placeholder Text"/>
    <w:basedOn w:val="DefaultParagraphFont"/>
    <w:uiPriority w:val="99"/>
    <w:semiHidden/>
    <w:rsid w:val="00101A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hyperlink" Target="https://www.preplesd.com/sites/default/files/2022-05/PREP%20Evaluation%20Standards%20for%20Rigor%20-%20Expectations%20for%20Impact%20Studies_FINAL.pdf" TargetMode="Externa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header" Target="header4.xml" /><Relationship Id="rId22" Type="http://schemas.openxmlformats.org/officeDocument/2006/relationships/footer" Target="footer5.xml" /><Relationship Id="rId23" Type="http://schemas.openxmlformats.org/officeDocument/2006/relationships/header" Target="header5.xml" /><Relationship Id="rId24" Type="http://schemas.openxmlformats.org/officeDocument/2006/relationships/hyperlink" Target="https://ies.ed.gov/ncee/wwc/" TargetMode="External" /><Relationship Id="rId25" Type="http://schemas.openxmlformats.org/officeDocument/2006/relationships/hyperlink" Target="https://youth.gov/sites/default/files/2023-11/Version-7.0-TPPER-protocol.pdf" TargetMode="External" /><Relationship Id="rId26" Type="http://schemas.openxmlformats.org/officeDocument/2006/relationships/hyperlink" Target="https://ies.ed.gov/ncee/wwc/Docs/Multimedia/WWC-Missing-Data-508.pdf" TargetMode="External" /><Relationship Id="rId27" Type="http://schemas.openxmlformats.org/officeDocument/2006/relationships/hyperlink" Target="https://opa.hhs.gov/sites/default/files/2020-07/mdi-tabrief.pdf" TargetMode="External" /><Relationship Id="rId28" Type="http://schemas.openxmlformats.org/officeDocument/2006/relationships/hyperlink" Target="https://www.preplesd.com/sites/default/files/2022-08/Power%20Analysis%20Webinar%20Slides.pdf" TargetMode="External" /><Relationship Id="rId29" Type="http://schemas.openxmlformats.org/officeDocument/2006/relationships/hyperlink" Target="https://www.youtube.com/watch?v=rYRHxzTrdck" TargetMode="External" /><Relationship Id="rId3" Type="http://schemas.openxmlformats.org/officeDocument/2006/relationships/webSettings" Target="webSettings.xml" /><Relationship Id="rId30" Type="http://schemas.openxmlformats.org/officeDocument/2006/relationships/footer" Target="footer6.xml" /><Relationship Id="rId31" Type="http://schemas.openxmlformats.org/officeDocument/2006/relationships/header" Target="header6.xml" /><Relationship Id="rId32" Type="http://schemas.openxmlformats.org/officeDocument/2006/relationships/footer" Target="footer7.xml" /><Relationship Id="rId33" Type="http://schemas.openxmlformats.org/officeDocument/2006/relationships/footer" Target="footer8.xml" /><Relationship Id="rId34" Type="http://schemas.openxmlformats.org/officeDocument/2006/relationships/header" Target="header7.xml" /><Relationship Id="rId35" Type="http://schemas.openxmlformats.org/officeDocument/2006/relationships/footer" Target="footer9.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xml version="1.0" encoding="utf-8" standalone="yes"?><Relationships xmlns="http://schemas.openxmlformats.org/package/2006/relationships"><Relationship Id="rId1" Type="http://schemas.openxmlformats.org/officeDocument/2006/relationships/image" Target="media/image5.jpeg" /></Relationships>
</file>

<file path=word/_rels/header2.xml.rels><?xml version="1.0" encoding="utf-8" standalone="yes"?><Relationships xmlns="http://schemas.openxmlformats.org/package/2006/relationships"><Relationship Id="rId1" Type="http://schemas.openxmlformats.org/officeDocument/2006/relationships/image" Target="media/image5.jpeg" /></Relationships>
</file>

<file path=word/_rels/header3.xml.rels><?xml version="1.0" encoding="utf-8" standalone="yes"?><Relationships xmlns="http://schemas.openxmlformats.org/package/2006/relationships"><Relationship Id="rId1" Type="http://schemas.openxmlformats.org/officeDocument/2006/relationships/image" Target="media/image6.jpeg" /><Relationship Id="rId2" Type="http://schemas.openxmlformats.org/officeDocument/2006/relationships/image" Target="media/image5.jpeg" /></Relationships>
</file>

<file path=word/_rels/header4.xml.rels><?xml version="1.0" encoding="utf-8" standalone="yes"?><Relationships xmlns="http://schemas.openxmlformats.org/package/2006/relationships"><Relationship Id="rId1" Type="http://schemas.openxmlformats.org/officeDocument/2006/relationships/image" Target="media/image5.jpeg" /></Relationships>
</file>

<file path=word/_rels/header5.xml.rels><?xml version="1.0" encoding="utf-8" standalone="yes"?><Relationships xmlns="http://schemas.openxmlformats.org/package/2006/relationships"><Relationship Id="rId1" Type="http://schemas.openxmlformats.org/officeDocument/2006/relationships/image" Target="media/image6.jpeg" /></Relationships>
</file>

<file path=word/_rels/header6.xml.rels><?xml version="1.0" encoding="utf-8" standalone="yes"?><Relationships xmlns="http://schemas.openxmlformats.org/package/2006/relationships"><Relationship Id="rId1" Type="http://schemas.openxmlformats.org/officeDocument/2006/relationships/image" Target="media/image6.jpeg" /></Relationships>
</file>

<file path=word/_rels/header7.xml.rels><?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9898B7F1966479B24FB39FA61B502" ma:contentTypeVersion="15" ma:contentTypeDescription="Create a new document." ma:contentTypeScope="" ma:versionID="b969d8ff609bebd9c6c1b1274fb846b7">
  <xsd:schema xmlns:xsd="http://www.w3.org/2001/XMLSchema" xmlns:xs="http://www.w3.org/2001/XMLSchema" xmlns:p="http://schemas.microsoft.com/office/2006/metadata/properties" xmlns:ns1="http://schemas.microsoft.com/sharepoint/v3" xmlns:ns3="7ba242ec-36bc-4e55-a374-79c164371a59" targetNamespace="http://schemas.microsoft.com/office/2006/metadata/properties" ma:root="true" ma:fieldsID="2c8a545da283d7ee802080bd73ee858e" ns1:_="" ns3:_="">
    <xsd:import namespace="http://schemas.microsoft.com/sharepoint/v3"/>
    <xsd:import namespace="7ba242ec-36bc-4e55-a374-79c164371a5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242ec-36bc-4e55-a374-79c164371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ba242ec-36bc-4e55-a374-79c164371a5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EFB0B8-F830-4AD5-9EF0-9C9C74E0B7F2}">
  <ds:schemaRefs>
    <ds:schemaRef ds:uri="http://schemas.openxmlformats.org/officeDocument/2006/bibliography"/>
  </ds:schemaRefs>
</ds:datastoreItem>
</file>

<file path=customXml/itemProps2.xml><?xml version="1.0" encoding="utf-8"?>
<ds:datastoreItem xmlns:ds="http://schemas.openxmlformats.org/officeDocument/2006/customXml" ds:itemID="{FD67C12D-C8ED-4E5B-901D-505DE15D35EB}">
  <ds:schemaRefs>
    <ds:schemaRef ds:uri="http://schemas.microsoft.com/sharepoint/v3/contenttype/forms"/>
  </ds:schemaRefs>
</ds:datastoreItem>
</file>

<file path=customXml/itemProps3.xml><?xml version="1.0" encoding="utf-8"?>
<ds:datastoreItem xmlns:ds="http://schemas.openxmlformats.org/officeDocument/2006/customXml" ds:itemID="{3AE13A65-928C-405C-ABB3-03367DC6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a242ec-36bc-4e55-a374-79c16437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114CE-3609-4F06-95FA-1DF2F7A8CBDC}">
  <ds:schemaRefs>
    <ds:schemaRef ds:uri="http://schemas.microsoft.com/office/2006/metadata/properties"/>
    <ds:schemaRef ds:uri="http://schemas.microsoft.com/office/infopath/2007/PartnerControls"/>
    <ds:schemaRef ds:uri="http://schemas.microsoft.com/sharepoint/v3"/>
    <ds:schemaRef ds:uri="7ba242ec-36bc-4e55-a374-79c164371a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5730</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Mccoy, Kathleen (ACF)</cp:lastModifiedBy>
  <cp:revision>2</cp:revision>
  <cp:lastPrinted>2019-11-07T16:02:00Z</cp:lastPrinted>
  <dcterms:created xsi:type="dcterms:W3CDTF">2024-10-07T14:01:00Z</dcterms:created>
  <dcterms:modified xsi:type="dcterms:W3CDTF">2024-10-07T14:01:00Z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0x0101003D99898B7F1966479B24FB39FA61B502</vt:lpwstr>
  </property>
  <property fmtid="{D5CDD505-2E9C-101B-9397-08002B2CF9AE}" pid="3" name="MediaServiceImageTags">
    <vt:lpwstr/>
  </property>
</Properties>
</file>